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Default Extension="png" ContentType="image/png"/>
  <Override PartName="/word/header12.xml" ContentType="application/vnd.openxmlformats-officedocument.wordprocessingml.header+xml"/>
  <Default Extension="jpeg" ContentType="image/jpeg"/>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footer15.xml" ContentType="application/vnd.openxmlformats-officedocument.wordprocessingml.foot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footer19.xml" ContentType="application/vnd.openxmlformats-officedocument.wordprocessingml.footer+xml"/>
  <Override PartName="/word/header35.xml" ContentType="application/vnd.openxmlformats-officedocument.wordprocessingml.header+xml"/>
  <Override PartName="/word/footer20.xml" ContentType="application/vnd.openxmlformats-officedocument.wordprocessingml.footer+xml"/>
  <Override PartName="/word/header36.xml" ContentType="application/vnd.openxmlformats-officedocument.wordprocessingml.header+xml"/>
  <Override PartName="/word/footer21.xml" ContentType="application/vnd.openxmlformats-officedocument.wordprocessingml.footer+xml"/>
  <Override PartName="/word/header37.xml" ContentType="application/vnd.openxmlformats-officedocument.wordprocessingml.header+xml"/>
  <Override PartName="/word/footer22.xml" ContentType="application/vnd.openxmlformats-officedocument.wordprocessingml.footer+xml"/>
  <Override PartName="/word/header38.xml" ContentType="application/vnd.openxmlformats-officedocument.wordprocessingml.header+xml"/>
  <Override PartName="/word/footer23.xml" ContentType="application/vnd.openxmlformats-officedocument.wordprocessingml.footer+xml"/>
  <Override PartName="/word/header39.xml" ContentType="application/vnd.openxmlformats-officedocument.wordprocessingml.header+xml"/>
  <Override PartName="/word/footer24.xml" ContentType="application/vnd.openxmlformats-officedocument.wordprocessingml.footer+xml"/>
  <Override PartName="/word/header40.xml" ContentType="application/vnd.openxmlformats-officedocument.wordprocessingml.header+xml"/>
  <Override PartName="/word/footer25.xml" ContentType="application/vnd.openxmlformats-officedocument.wordprocessingml.footer+xml"/>
  <Override PartName="/word/header41.xml" ContentType="application/vnd.openxmlformats-officedocument.wordprocessingml.header+xml"/>
  <Override PartName="/word/footer2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7.xml" ContentType="application/vnd.openxmlformats-officedocument.wordprocessingml.footer+xml"/>
  <Override PartName="/word/header48.xml" ContentType="application/vnd.openxmlformats-officedocument.wordprocessingml.header+xml"/>
  <Override PartName="/word/footer2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29.xml" ContentType="application/vnd.openxmlformats-officedocument.wordprocessingml.footer+xml"/>
  <Override PartName="/word/header58.xml" ContentType="application/vnd.openxmlformats-officedocument.wordprocessingml.header+xml"/>
  <Override PartName="/word/footer30.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31.xml" ContentType="application/vnd.openxmlformats-officedocument.wordprocessingml.footer+xml"/>
  <Override PartName="/word/header68.xml" ContentType="application/vnd.openxmlformats-officedocument.wordprocessingml.header+xml"/>
  <Override PartName="/word/footer32.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33.xml" ContentType="application/vnd.openxmlformats-officedocument.wordprocessingml.footer+xml"/>
  <Override PartName="/word/header78.xml" ContentType="application/vnd.openxmlformats-officedocument.wordprocessingml.header+xml"/>
  <Override PartName="/word/footer34.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35.xml" ContentType="application/vnd.openxmlformats-officedocument.wordprocessingml.footer+xml"/>
  <Override PartName="/word/header88.xml" ContentType="application/vnd.openxmlformats-officedocument.wordprocessingml.header+xml"/>
  <Override PartName="/word/footer36.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footer37.xml" ContentType="application/vnd.openxmlformats-officedocument.wordprocessingml.footer+xml"/>
  <Override PartName="/word/header98.xml" ContentType="application/vnd.openxmlformats-officedocument.wordprocessingml.header+xml"/>
  <Override PartName="/word/footer3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39.xml" ContentType="application/vnd.openxmlformats-officedocument.wordprocessingml.footer+xml"/>
  <Override PartName="/word/header108.xml" ContentType="application/vnd.openxmlformats-officedocument.wordprocessingml.header+xml"/>
  <Override PartName="/word/footer40.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footer42.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footer43.xml" ContentType="application/vnd.openxmlformats-officedocument.wordprocessingml.footer+xml"/>
  <Override PartName="/word/header128.xml" ContentType="application/vnd.openxmlformats-officedocument.wordprocessingml.header+xml"/>
  <Override PartName="/word/footer44.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45.xml" ContentType="application/vnd.openxmlformats-officedocument.wordprocessingml.footer+xml"/>
  <Override PartName="/word/header138.xml" ContentType="application/vnd.openxmlformats-officedocument.wordprocessingml.header+xml"/>
  <Override PartName="/word/footer46.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footer47.xml" ContentType="application/vnd.openxmlformats-officedocument.wordprocessingml.footer+xml"/>
  <Override PartName="/word/header148.xml" ContentType="application/vnd.openxmlformats-officedocument.wordprocessingml.header+xml"/>
  <Override PartName="/word/footer48.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footer49.xml" ContentType="application/vnd.openxmlformats-officedocument.wordprocessingml.footer+xml"/>
  <Override PartName="/word/header158.xml" ContentType="application/vnd.openxmlformats-officedocument.wordprocessingml.header+xml"/>
  <Override PartName="/word/footer50.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51.xml" ContentType="application/vnd.openxmlformats-officedocument.wordprocessingml.footer+xml"/>
  <Override PartName="/word/header161.xml" ContentType="application/vnd.openxmlformats-officedocument.wordprocessingml.header+xml"/>
  <Override PartName="/word/footer52.xml" ContentType="application/vnd.openxmlformats-officedocument.wordprocessingml.footer+xml"/>
  <Override PartName="/word/header162.xml" ContentType="application/vnd.openxmlformats-officedocument.wordprocessingml.header+xml"/>
  <Override PartName="/word/footer53.xml" ContentType="application/vnd.openxmlformats-officedocument.wordprocessingml.footer+xml"/>
  <Override PartName="/word/header163.xml" ContentType="application/vnd.openxmlformats-officedocument.wordprocessingml.header+xml"/>
  <Override PartName="/word/footer54.xml" ContentType="application/vnd.openxmlformats-officedocument.wordprocessingml.footer+xml"/>
  <Override PartName="/word/header164.xml" ContentType="application/vnd.openxmlformats-officedocument.wordprocessingml.header+xml"/>
  <Override PartName="/word/footer55.xml" ContentType="application/vnd.openxmlformats-officedocument.wordprocessingml.footer+xml"/>
  <Override PartName="/word/header165.xml" ContentType="application/vnd.openxmlformats-officedocument.wordprocessingml.header+xml"/>
  <Override PartName="/word/footer56.xml" ContentType="application/vnd.openxmlformats-officedocument.wordprocessingml.footer+xml"/>
  <Override PartName="/word/header166.xml" ContentType="application/vnd.openxmlformats-officedocument.wordprocessingml.header+xml"/>
  <Override PartName="/word/footer5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5"/>
        <w:spacing w:before="72"/>
        <w:ind w:left="2335" w:right="1979"/>
        <w:jc w:val="center"/>
      </w:pPr>
      <w:r>
        <w:rPr/>
        <w:t>Before the</w:t>
      </w:r>
    </w:p>
    <w:p>
      <w:pPr>
        <w:pStyle w:val="BodyText"/>
        <w:spacing w:before="4"/>
        <w:rPr>
          <w:rFonts w:ascii="Times New Roman"/>
          <w:sz w:val="24"/>
        </w:rPr>
      </w:pPr>
    </w:p>
    <w:p>
      <w:pPr>
        <w:spacing w:before="1"/>
        <w:ind w:left="2339" w:right="1979" w:firstLine="0"/>
        <w:jc w:val="center"/>
        <w:rPr>
          <w:rFonts w:ascii="Times New Roman"/>
          <w:b/>
          <w:sz w:val="24"/>
        </w:rPr>
      </w:pPr>
      <w:r>
        <w:rPr>
          <w:rFonts w:ascii="Times New Roman"/>
          <w:b/>
          <w:sz w:val="24"/>
        </w:rPr>
        <w:t>FEDERAL COMMUNICATIONS COMMISSION</w:t>
      </w:r>
    </w:p>
    <w:p>
      <w:pPr>
        <w:pStyle w:val="BodyText"/>
        <w:spacing w:before="6"/>
        <w:rPr>
          <w:rFonts w:ascii="Times New Roman"/>
          <w:b/>
          <w:sz w:val="23"/>
        </w:rPr>
      </w:pPr>
    </w:p>
    <w:p>
      <w:pPr>
        <w:spacing w:before="1"/>
        <w:ind w:left="2336" w:right="1979" w:firstLine="0"/>
        <w:jc w:val="center"/>
        <w:rPr>
          <w:rFonts w:ascii="Times New Roman"/>
          <w:sz w:val="24"/>
        </w:rPr>
      </w:pPr>
      <w:r>
        <w:rPr>
          <w:rFonts w:ascii="Times New Roman"/>
          <w:sz w:val="24"/>
        </w:rPr>
        <w:t>Washington, DC 20554</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0"/>
        <w:rPr>
          <w:rFonts w:ascii="Times New Roman"/>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53"/>
        <w:gridCol w:w="577"/>
        <w:gridCol w:w="2759"/>
      </w:tblGrid>
      <w:tr>
        <w:trPr>
          <w:trHeight w:val="1646" w:hRule="exact"/>
        </w:trPr>
        <w:tc>
          <w:tcPr>
            <w:tcW w:w="4753" w:type="dxa"/>
          </w:tcPr>
          <w:p>
            <w:pPr>
              <w:pStyle w:val="TableParagraph"/>
              <w:spacing w:line="266" w:lineRule="exact"/>
              <w:ind w:left="200"/>
              <w:rPr>
                <w:rFonts w:ascii="Times New Roman"/>
                <w:sz w:val="24"/>
              </w:rPr>
            </w:pPr>
            <w:r>
              <w:rPr>
                <w:rFonts w:ascii="Times New Roman"/>
                <w:sz w:val="24"/>
              </w:rPr>
              <w:t>In the Matter of</w:t>
            </w:r>
          </w:p>
          <w:p>
            <w:pPr>
              <w:pStyle w:val="TableParagraph"/>
              <w:spacing w:line="240" w:lineRule="auto"/>
              <w:ind w:left="0"/>
              <w:rPr>
                <w:rFonts w:ascii="Times New Roman"/>
                <w:sz w:val="24"/>
              </w:rPr>
            </w:pPr>
          </w:p>
          <w:p>
            <w:pPr>
              <w:pStyle w:val="TableParagraph"/>
              <w:spacing w:line="240" w:lineRule="auto"/>
              <w:ind w:left="200" w:right="213"/>
              <w:rPr>
                <w:rFonts w:ascii="Times New Roman"/>
                <w:sz w:val="24"/>
              </w:rPr>
            </w:pPr>
            <w:r>
              <w:rPr>
                <w:rFonts w:ascii="Times New Roman"/>
                <w:sz w:val="24"/>
              </w:rPr>
              <w:t>Petition For Waiver to Allow Deployment of Intelligent Transportation System Cellular Vehicle to Everything (C-V2X) Technology</w:t>
            </w:r>
          </w:p>
        </w:tc>
        <w:tc>
          <w:tcPr>
            <w:tcW w:w="577" w:type="dxa"/>
          </w:tcPr>
          <w:p>
            <w:pPr>
              <w:pStyle w:val="TableParagraph"/>
              <w:spacing w:line="266" w:lineRule="exact"/>
              <w:ind w:left="0" w:right="25"/>
              <w:jc w:val="center"/>
              <w:rPr>
                <w:rFonts w:ascii="Times New Roman"/>
                <w:sz w:val="24"/>
              </w:rPr>
            </w:pPr>
            <w:r>
              <w:rPr>
                <w:rFonts w:ascii="Times New Roman"/>
                <w:w w:val="99"/>
                <w:sz w:val="24"/>
              </w:rPr>
              <w:t>)</w:t>
            </w:r>
          </w:p>
          <w:p>
            <w:pPr>
              <w:pStyle w:val="TableParagraph"/>
              <w:spacing w:line="240" w:lineRule="auto"/>
              <w:ind w:left="0" w:right="25"/>
              <w:jc w:val="center"/>
              <w:rPr>
                <w:rFonts w:ascii="Times New Roman"/>
                <w:sz w:val="24"/>
              </w:rPr>
            </w:pPr>
            <w:r>
              <w:rPr>
                <w:rFonts w:ascii="Times New Roman"/>
                <w:w w:val="99"/>
                <w:sz w:val="24"/>
              </w:rPr>
              <w:t>)</w:t>
            </w:r>
          </w:p>
          <w:p>
            <w:pPr>
              <w:pStyle w:val="TableParagraph"/>
              <w:spacing w:line="240" w:lineRule="auto"/>
              <w:ind w:left="0" w:right="25"/>
              <w:jc w:val="center"/>
              <w:rPr>
                <w:rFonts w:ascii="Times New Roman"/>
                <w:sz w:val="24"/>
              </w:rPr>
            </w:pPr>
            <w:r>
              <w:rPr>
                <w:rFonts w:ascii="Times New Roman"/>
                <w:w w:val="99"/>
                <w:sz w:val="24"/>
              </w:rPr>
              <w:t>)</w:t>
            </w:r>
          </w:p>
          <w:p>
            <w:pPr>
              <w:pStyle w:val="TableParagraph"/>
              <w:spacing w:line="240" w:lineRule="auto"/>
              <w:ind w:left="0" w:right="25"/>
              <w:jc w:val="center"/>
              <w:rPr>
                <w:rFonts w:ascii="Times New Roman"/>
                <w:sz w:val="24"/>
              </w:rPr>
            </w:pPr>
            <w:r>
              <w:rPr>
                <w:rFonts w:ascii="Times New Roman"/>
                <w:w w:val="99"/>
                <w:sz w:val="24"/>
              </w:rPr>
              <w:t>)</w:t>
            </w:r>
          </w:p>
          <w:p>
            <w:pPr>
              <w:pStyle w:val="TableParagraph"/>
              <w:spacing w:line="240" w:lineRule="auto"/>
              <w:ind w:left="0" w:right="25"/>
              <w:jc w:val="center"/>
              <w:rPr>
                <w:rFonts w:ascii="Times New Roman"/>
                <w:sz w:val="24"/>
              </w:rPr>
            </w:pPr>
            <w:r>
              <w:rPr>
                <w:rFonts w:ascii="Times New Roman"/>
                <w:w w:val="99"/>
                <w:sz w:val="24"/>
              </w:rPr>
              <w:t>)</w:t>
            </w:r>
          </w:p>
          <w:p>
            <w:pPr>
              <w:pStyle w:val="TableParagraph"/>
              <w:spacing w:line="240" w:lineRule="auto"/>
              <w:ind w:left="0" w:right="25"/>
              <w:jc w:val="center"/>
              <w:rPr>
                <w:rFonts w:ascii="Times New Roman"/>
                <w:sz w:val="24"/>
              </w:rPr>
            </w:pPr>
            <w:r>
              <w:rPr>
                <w:rFonts w:ascii="Times New Roman"/>
                <w:w w:val="99"/>
                <w:sz w:val="24"/>
              </w:rPr>
              <w:t>)</w:t>
            </w:r>
          </w:p>
        </w:tc>
        <w:tc>
          <w:tcPr>
            <w:tcW w:w="2759" w:type="dxa"/>
          </w:tcPr>
          <w:p>
            <w:pPr>
              <w:pStyle w:val="TableParagraph"/>
              <w:spacing w:line="240" w:lineRule="auto"/>
              <w:ind w:left="0"/>
              <w:rPr>
                <w:rFonts w:ascii="Times New Roman"/>
                <w:sz w:val="26"/>
              </w:rPr>
            </w:pPr>
          </w:p>
          <w:p>
            <w:pPr>
              <w:pStyle w:val="TableParagraph"/>
              <w:spacing w:line="240" w:lineRule="auto" w:before="1"/>
              <w:ind w:left="0"/>
              <w:rPr>
                <w:rFonts w:ascii="Times New Roman"/>
                <w:sz w:val="21"/>
              </w:rPr>
            </w:pPr>
          </w:p>
          <w:p>
            <w:pPr>
              <w:pStyle w:val="TableParagraph"/>
              <w:tabs>
                <w:tab w:pos="2559" w:val="left" w:leader="none"/>
              </w:tabs>
              <w:spacing w:line="240" w:lineRule="auto"/>
              <w:ind w:left="262"/>
              <w:rPr>
                <w:rFonts w:ascii="Times New Roman"/>
                <w:sz w:val="24"/>
              </w:rPr>
            </w:pPr>
            <w:r>
              <w:rPr>
                <w:rFonts w:ascii="Times New Roman"/>
                <w:sz w:val="24"/>
              </w:rPr>
              <w:t>ET Docket</w:t>
            </w:r>
            <w:r>
              <w:rPr>
                <w:rFonts w:ascii="Times New Roman"/>
                <w:spacing w:val="-7"/>
                <w:sz w:val="24"/>
              </w:rPr>
              <w:t> </w:t>
            </w:r>
            <w:r>
              <w:rPr>
                <w:rFonts w:ascii="Times New Roman"/>
                <w:sz w:val="24"/>
              </w:rPr>
              <w:t>No.</w:t>
            </w:r>
            <w:r>
              <w:rPr>
                <w:rFonts w:ascii="Times New Roman"/>
                <w:sz w:val="24"/>
                <w:u w:val="single"/>
              </w:rPr>
              <w:t> </w:t>
              <w:tab/>
            </w:r>
          </w:p>
        </w:tc>
      </w:tr>
    </w:tbl>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4"/>
        <w:rPr>
          <w:rFonts w:ascii="Times New Roman"/>
        </w:rPr>
      </w:pPr>
    </w:p>
    <w:p>
      <w:pPr>
        <w:spacing w:before="1"/>
        <w:ind w:left="3216" w:right="0" w:firstLine="0"/>
        <w:jc w:val="left"/>
        <w:rPr>
          <w:rFonts w:ascii="Times New Roman"/>
          <w:b/>
          <w:sz w:val="24"/>
        </w:rPr>
      </w:pPr>
      <w:r>
        <w:rPr>
          <w:rFonts w:ascii="Times New Roman"/>
          <w:b/>
          <w:sz w:val="24"/>
        </w:rPr>
        <w:t>5GAA PETITION FOR WAIVER</w:t>
      </w: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spacing w:before="6"/>
        <w:rPr>
          <w:rFonts w:ascii="Times New Roman"/>
          <w:b/>
          <w:sz w:val="37"/>
        </w:rPr>
      </w:pPr>
    </w:p>
    <w:p>
      <w:pPr>
        <w:spacing w:before="1"/>
        <w:ind w:left="5340" w:right="1613" w:firstLine="0"/>
        <w:jc w:val="left"/>
        <w:rPr>
          <w:rFonts w:ascii="Times New Roman"/>
          <w:sz w:val="24"/>
        </w:rPr>
      </w:pPr>
      <w:r>
        <w:rPr>
          <w:rFonts w:ascii="Times New Roman"/>
          <w:sz w:val="24"/>
        </w:rPr>
        <w:t>Sean T. Conway, Esq. Kelly A. Donohue, Esq. Mark A. Settle, P.E.</w:t>
      </w:r>
    </w:p>
    <w:p>
      <w:pPr>
        <w:pStyle w:val="BodyText"/>
        <w:rPr>
          <w:rFonts w:ascii="Times New Roman"/>
          <w:sz w:val="24"/>
        </w:rPr>
      </w:pPr>
    </w:p>
    <w:p>
      <w:pPr>
        <w:spacing w:before="0"/>
        <w:ind w:left="5340" w:right="1214" w:firstLine="0"/>
        <w:jc w:val="left"/>
        <w:rPr>
          <w:rFonts w:ascii="Times New Roman"/>
          <w:sz w:val="24"/>
        </w:rPr>
      </w:pPr>
      <w:r>
        <w:rPr>
          <w:rFonts w:ascii="Times New Roman"/>
          <w:sz w:val="24"/>
        </w:rPr>
        <w:t>Wilkinson Barker Knauer, LLP 1800 M Street, NW</w:t>
      </w:r>
    </w:p>
    <w:p>
      <w:pPr>
        <w:spacing w:before="0"/>
        <w:ind w:left="5340" w:right="1966" w:firstLine="0"/>
        <w:jc w:val="left"/>
        <w:rPr>
          <w:rFonts w:ascii="Times New Roman"/>
          <w:sz w:val="24"/>
        </w:rPr>
      </w:pPr>
      <w:r>
        <w:rPr>
          <w:rFonts w:ascii="Times New Roman"/>
          <w:sz w:val="24"/>
        </w:rPr>
        <w:t>Suite 800N Washington, DC 20036</w:t>
      </w:r>
    </w:p>
    <w:p>
      <w:pPr>
        <w:pStyle w:val="BodyText"/>
        <w:rPr>
          <w:rFonts w:ascii="Times New Roman"/>
          <w:sz w:val="24"/>
        </w:rPr>
      </w:pPr>
    </w:p>
    <w:p>
      <w:pPr>
        <w:spacing w:before="0"/>
        <w:ind w:left="5340" w:right="0" w:firstLine="0"/>
        <w:jc w:val="left"/>
        <w:rPr>
          <w:rFonts w:ascii="Times New Roman"/>
          <w:sz w:val="24"/>
        </w:rPr>
      </w:pPr>
      <w:r>
        <w:rPr>
          <w:rFonts w:ascii="Times New Roman"/>
          <w:sz w:val="24"/>
        </w:rPr>
        <w:t>Counsel to the 5G Automotive Association</w: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2"/>
        <w:rPr>
          <w:rFonts w:ascii="Times New Roman"/>
          <w:sz w:val="28"/>
        </w:rPr>
      </w:pPr>
    </w:p>
    <w:p>
      <w:pPr>
        <w:spacing w:before="90"/>
        <w:ind w:left="300" w:right="0" w:firstLine="0"/>
        <w:jc w:val="left"/>
        <w:rPr>
          <w:rFonts w:ascii="Times New Roman"/>
          <w:sz w:val="24"/>
        </w:rPr>
      </w:pPr>
      <w:r>
        <w:rPr>
          <w:rFonts w:ascii="Times New Roman"/>
          <w:sz w:val="24"/>
        </w:rPr>
        <w:t>November 21, 2018</w:t>
      </w:r>
    </w:p>
    <w:p>
      <w:pPr>
        <w:spacing w:after="0"/>
        <w:jc w:val="left"/>
        <w:rPr>
          <w:rFonts w:ascii="Times New Roman"/>
          <w:sz w:val="24"/>
        </w:rPr>
        <w:sectPr>
          <w:type w:val="continuous"/>
          <w:pgSz w:w="12240" w:h="15840"/>
          <w:pgMar w:top="1360" w:bottom="280" w:left="1140" w:right="1500"/>
        </w:sectPr>
      </w:pPr>
    </w:p>
    <w:p>
      <w:pPr>
        <w:pStyle w:val="BodyText"/>
        <w:rPr>
          <w:rFonts w:ascii="Times New Roman"/>
          <w:sz w:val="13"/>
        </w:rPr>
      </w:pPr>
    </w:p>
    <w:p>
      <w:pPr>
        <w:pStyle w:val="Heading4"/>
        <w:numPr>
          <w:ilvl w:val="0"/>
          <w:numId w:val="1"/>
        </w:numPr>
        <w:tabs>
          <w:tab w:pos="651" w:val="left" w:leader="none"/>
          <w:tab w:pos="652" w:val="left" w:leader="none"/>
          <w:tab w:pos="9190" w:val="right" w:leader="dot"/>
        </w:tabs>
        <w:spacing w:line="240" w:lineRule="auto" w:before="90" w:after="0"/>
        <w:ind w:left="651" w:right="0" w:hanging="540"/>
        <w:jc w:val="left"/>
        <w:rPr>
          <w:rFonts w:ascii="Times New Roman"/>
        </w:rPr>
      </w:pPr>
      <w:hyperlink w:history="true" w:anchor="_bookmark0">
        <w:r>
          <w:rPr>
            <w:rFonts w:ascii="Times New Roman"/>
          </w:rPr>
          <w:t>Introduction</w:t>
          <w:tab/>
          <w:t>1</w:t>
        </w:r>
      </w:hyperlink>
    </w:p>
    <w:p>
      <w:pPr>
        <w:pStyle w:val="Heading4"/>
        <w:numPr>
          <w:ilvl w:val="0"/>
          <w:numId w:val="1"/>
        </w:numPr>
        <w:tabs>
          <w:tab w:pos="651" w:val="left" w:leader="none"/>
          <w:tab w:pos="652" w:val="left" w:leader="none"/>
          <w:tab w:pos="9190" w:val="right" w:leader="dot"/>
        </w:tabs>
        <w:spacing w:line="240" w:lineRule="auto" w:before="100" w:after="0"/>
        <w:ind w:left="651" w:right="0" w:hanging="540"/>
        <w:jc w:val="left"/>
        <w:rPr>
          <w:rFonts w:ascii="Times New Roman"/>
        </w:rPr>
      </w:pPr>
      <w:hyperlink w:history="true" w:anchor="_bookmark3">
        <w:r>
          <w:rPr>
            <w:rFonts w:ascii="Times New Roman"/>
          </w:rPr>
          <w:t>The Current Rules Prohibit Use of C-V2X in the 5.9</w:t>
        </w:r>
        <w:r>
          <w:rPr>
            <w:rFonts w:ascii="Times New Roman"/>
            <w:spacing w:val="-7"/>
          </w:rPr>
          <w:t> </w:t>
        </w:r>
        <w:r>
          <w:rPr>
            <w:rFonts w:ascii="Times New Roman"/>
          </w:rPr>
          <w:t>GHz</w:t>
        </w:r>
        <w:r>
          <w:rPr>
            <w:rFonts w:ascii="Times New Roman"/>
            <w:spacing w:val="-2"/>
          </w:rPr>
          <w:t> </w:t>
        </w:r>
        <w:r>
          <w:rPr>
            <w:rFonts w:ascii="Times New Roman"/>
          </w:rPr>
          <w:t>Band</w:t>
          <w:tab/>
          <w:t>2</w:t>
        </w:r>
      </w:hyperlink>
    </w:p>
    <w:p>
      <w:pPr>
        <w:pStyle w:val="Heading4"/>
        <w:numPr>
          <w:ilvl w:val="0"/>
          <w:numId w:val="1"/>
        </w:numPr>
        <w:tabs>
          <w:tab w:pos="652" w:val="left" w:leader="none"/>
          <w:tab w:pos="9190" w:val="right" w:leader="dot"/>
        </w:tabs>
        <w:spacing w:line="240" w:lineRule="auto" w:before="98" w:after="0"/>
        <w:ind w:left="651" w:right="107" w:hanging="540"/>
        <w:jc w:val="left"/>
        <w:rPr>
          <w:rFonts w:ascii="Times New Roman" w:hAnsi="Times New Roman"/>
        </w:rPr>
      </w:pPr>
      <w:hyperlink w:history="true" w:anchor="_bookmark13">
        <w:r>
          <w:rPr>
            <w:rFonts w:ascii="Times New Roman" w:hAnsi="Times New Roman"/>
          </w:rPr>
          <w:t>C-V2X is a Modern, Standards-Based Technology Designed to Meet Today’s</w:t>
        </w:r>
      </w:hyperlink>
      <w:r>
        <w:rPr>
          <w:rFonts w:ascii="Times New Roman" w:hAnsi="Times New Roman"/>
        </w:rPr>
        <w:t> </w:t>
      </w:r>
      <w:hyperlink w:history="true" w:anchor="_bookmark13">
        <w:r>
          <w:rPr>
            <w:rFonts w:ascii="Times New Roman" w:hAnsi="Times New Roman"/>
          </w:rPr>
          <w:t>Transportation Challenges as Well as the Evolving Demands of Tomorrow’s 5G</w:t>
        </w:r>
      </w:hyperlink>
      <w:r>
        <w:rPr>
          <w:rFonts w:ascii="Times New Roman" w:hAnsi="Times New Roman"/>
        </w:rPr>
        <w:t> </w:t>
      </w:r>
      <w:hyperlink w:history="true" w:anchor="_bookmark13">
        <w:r>
          <w:rPr>
            <w:rFonts w:ascii="Times New Roman" w:hAnsi="Times New Roman"/>
          </w:rPr>
          <w:t>Connected</w:t>
        </w:r>
        <w:r>
          <w:rPr>
            <w:rFonts w:ascii="Times New Roman" w:hAnsi="Times New Roman"/>
            <w:spacing w:val="-1"/>
          </w:rPr>
          <w:t> </w:t>
        </w:r>
        <w:r>
          <w:rPr>
            <w:rFonts w:ascii="Times New Roman" w:hAnsi="Times New Roman"/>
          </w:rPr>
          <w:t>Transportation</w:t>
        </w:r>
        <w:r>
          <w:rPr>
            <w:rFonts w:ascii="Times New Roman" w:hAnsi="Times New Roman"/>
            <w:spacing w:val="-1"/>
          </w:rPr>
          <w:t> </w:t>
        </w:r>
        <w:r>
          <w:rPr>
            <w:rFonts w:ascii="Times New Roman" w:hAnsi="Times New Roman"/>
          </w:rPr>
          <w:t>Ecosystem</w:t>
          <w:tab/>
          <w:t>5</w:t>
        </w:r>
      </w:hyperlink>
    </w:p>
    <w:p>
      <w:pPr>
        <w:pStyle w:val="Heading4"/>
        <w:numPr>
          <w:ilvl w:val="1"/>
          <w:numId w:val="1"/>
        </w:numPr>
        <w:tabs>
          <w:tab w:pos="1191" w:val="left" w:leader="none"/>
          <w:tab w:pos="1192" w:val="left" w:leader="none"/>
          <w:tab w:pos="9190" w:val="right" w:leader="dot"/>
        </w:tabs>
        <w:spacing w:line="240" w:lineRule="auto" w:before="100" w:after="0"/>
        <w:ind w:left="1191" w:right="107" w:hanging="540"/>
        <w:jc w:val="left"/>
        <w:rPr>
          <w:rFonts w:ascii="Times New Roman" w:hAnsi="Times New Roman"/>
        </w:rPr>
      </w:pPr>
      <w:hyperlink w:history="true" w:anchor="_bookmark24">
        <w:r>
          <w:rPr>
            <w:rFonts w:ascii="Times New Roman" w:hAnsi="Times New Roman"/>
          </w:rPr>
          <w:t>C-V2X Offers Capabilities Today that are Superior to Those of Other</w:t>
        </w:r>
      </w:hyperlink>
      <w:r>
        <w:rPr>
          <w:rFonts w:ascii="Times New Roman" w:hAnsi="Times New Roman"/>
        </w:rPr>
        <w:t> </w:t>
      </w:r>
      <w:hyperlink w:history="true" w:anchor="_bookmark24">
        <w:r>
          <w:rPr>
            <w:rFonts w:ascii="Times New Roman" w:hAnsi="Times New Roman"/>
          </w:rPr>
          <w:t>Technologies – Enabling Safety and</w:t>
        </w:r>
        <w:r>
          <w:rPr>
            <w:rFonts w:ascii="Times New Roman" w:hAnsi="Times New Roman"/>
            <w:spacing w:val="-2"/>
          </w:rPr>
          <w:t> </w:t>
        </w:r>
        <w:r>
          <w:rPr>
            <w:rFonts w:ascii="Times New Roman" w:hAnsi="Times New Roman"/>
          </w:rPr>
          <w:t>Other</w:t>
        </w:r>
        <w:r>
          <w:rPr>
            <w:rFonts w:ascii="Times New Roman" w:hAnsi="Times New Roman"/>
            <w:spacing w:val="-2"/>
          </w:rPr>
          <w:t> </w:t>
        </w:r>
        <w:r>
          <w:rPr>
            <w:rFonts w:ascii="Times New Roman" w:hAnsi="Times New Roman"/>
          </w:rPr>
          <w:t>Benefits</w:t>
          <w:tab/>
          <w:t>7</w:t>
        </w:r>
      </w:hyperlink>
    </w:p>
    <w:p>
      <w:pPr>
        <w:pStyle w:val="Heading5"/>
        <w:numPr>
          <w:ilvl w:val="2"/>
          <w:numId w:val="1"/>
        </w:numPr>
        <w:tabs>
          <w:tab w:pos="1731" w:val="left" w:leader="none"/>
          <w:tab w:pos="1732" w:val="left" w:leader="none"/>
          <w:tab w:pos="9190" w:val="right" w:leader="dot"/>
        </w:tabs>
        <w:spacing w:line="240" w:lineRule="auto" w:before="95" w:after="0"/>
        <w:ind w:left="1731" w:right="107" w:hanging="540"/>
        <w:jc w:val="left"/>
      </w:pPr>
      <w:hyperlink w:history="true" w:anchor="_bookmark25">
        <w:r>
          <w:rPr/>
          <w:t>5GAA Testing Confirms the Significant Performance Advantages of C-V2X</w:t>
        </w:r>
      </w:hyperlink>
      <w:r>
        <w:rPr/>
        <w:t> </w:t>
      </w:r>
      <w:hyperlink w:history="true" w:anchor="_bookmark25">
        <w:r>
          <w:rPr/>
          <w:t>Peer-to-Peer Mode when Measured Against</w:t>
        </w:r>
        <w:r>
          <w:rPr>
            <w:spacing w:val="-1"/>
          </w:rPr>
          <w:t> </w:t>
        </w:r>
        <w:r>
          <w:rPr/>
          <w:t>DSRC</w:t>
          <w:tab/>
          <w:t>7</w:t>
        </w:r>
      </w:hyperlink>
    </w:p>
    <w:p>
      <w:pPr>
        <w:pStyle w:val="Heading5"/>
        <w:numPr>
          <w:ilvl w:val="2"/>
          <w:numId w:val="1"/>
        </w:numPr>
        <w:tabs>
          <w:tab w:pos="1731" w:val="left" w:leader="none"/>
          <w:tab w:pos="1732" w:val="left" w:leader="none"/>
          <w:tab w:pos="9190" w:val="right" w:leader="dot"/>
        </w:tabs>
        <w:spacing w:line="240" w:lineRule="auto" w:before="98" w:after="0"/>
        <w:ind w:left="1731" w:right="107" w:hanging="540"/>
        <w:jc w:val="left"/>
      </w:pPr>
      <w:hyperlink w:history="true" w:anchor="_bookmark29">
        <w:r>
          <w:rPr/>
          <w:t>The Performance Advantages of C-V2X Peer-to-Peer Mode, Which are</w:t>
        </w:r>
      </w:hyperlink>
      <w:r>
        <w:rPr/>
        <w:t> </w:t>
      </w:r>
      <w:hyperlink w:history="true" w:anchor="_bookmark29">
        <w:r>
          <w:rPr/>
          <w:t>Further Augmented by V2N Mode Capabilities, Can Help Unlock Safety and</w:t>
        </w:r>
      </w:hyperlink>
      <w:r>
        <w:rPr/>
        <w:t> </w:t>
      </w:r>
      <w:hyperlink w:history="true" w:anchor="_bookmark29">
        <w:r>
          <w:rPr/>
          <w:t>Other Benefits on</w:t>
        </w:r>
        <w:r>
          <w:rPr>
            <w:spacing w:val="-2"/>
          </w:rPr>
          <w:t> </w:t>
        </w:r>
        <w:r>
          <w:rPr/>
          <w:t>America’s</w:t>
        </w:r>
        <w:r>
          <w:rPr>
            <w:spacing w:val="-1"/>
          </w:rPr>
          <w:t> </w:t>
        </w:r>
        <w:r>
          <w:rPr/>
          <w:t>Roads</w:t>
          <w:tab/>
          <w:t>13</w:t>
        </w:r>
      </w:hyperlink>
    </w:p>
    <w:p>
      <w:pPr>
        <w:pStyle w:val="Heading4"/>
        <w:numPr>
          <w:ilvl w:val="1"/>
          <w:numId w:val="1"/>
        </w:numPr>
        <w:tabs>
          <w:tab w:pos="1192" w:val="left" w:leader="none"/>
          <w:tab w:pos="9190" w:val="right" w:leader="dot"/>
        </w:tabs>
        <w:spacing w:line="240" w:lineRule="auto" w:before="105" w:after="0"/>
        <w:ind w:left="1191" w:right="107" w:hanging="540"/>
        <w:jc w:val="both"/>
        <w:rPr>
          <w:rFonts w:ascii="Times New Roman" w:hAnsi="Times New Roman"/>
        </w:rPr>
      </w:pPr>
      <w:hyperlink w:history="true" w:anchor="_bookmark40">
        <w:r>
          <w:rPr>
            <w:rFonts w:ascii="Times New Roman" w:hAnsi="Times New Roman"/>
          </w:rPr>
          <w:t>C-V2X’s Evolutionary Path to 5G and Subsequent Wireless Generations Will</w:t>
        </w:r>
      </w:hyperlink>
      <w:r>
        <w:rPr>
          <w:rFonts w:ascii="Times New Roman" w:hAnsi="Times New Roman"/>
        </w:rPr>
        <w:t> </w:t>
      </w:r>
      <w:hyperlink w:history="true" w:anchor="_bookmark40">
        <w:r>
          <w:rPr>
            <w:rFonts w:ascii="Times New Roman" w:hAnsi="Times New Roman"/>
          </w:rPr>
          <w:t>Help to Amplify and Expand Upon the Safety and Other Benefits Enabled by</w:t>
        </w:r>
      </w:hyperlink>
      <w:r>
        <w:rPr>
          <w:rFonts w:ascii="Times New Roman" w:hAnsi="Times New Roman"/>
        </w:rPr>
        <w:t> </w:t>
      </w:r>
      <w:hyperlink w:history="true" w:anchor="_bookmark40">
        <w:r>
          <w:rPr>
            <w:rFonts w:ascii="Times New Roman" w:hAnsi="Times New Roman"/>
          </w:rPr>
          <w:t>C-V2X</w:t>
        </w:r>
        <w:r>
          <w:rPr>
            <w:rFonts w:ascii="Times New Roman" w:hAnsi="Times New Roman"/>
            <w:spacing w:val="-2"/>
          </w:rPr>
          <w:t> </w:t>
        </w:r>
        <w:r>
          <w:rPr>
            <w:rFonts w:ascii="Times New Roman" w:hAnsi="Times New Roman"/>
          </w:rPr>
          <w:t>Services</w:t>
          <w:tab/>
          <w:t>16</w:t>
        </w:r>
      </w:hyperlink>
    </w:p>
    <w:p>
      <w:pPr>
        <w:pStyle w:val="Heading4"/>
        <w:numPr>
          <w:ilvl w:val="1"/>
          <w:numId w:val="1"/>
        </w:numPr>
        <w:tabs>
          <w:tab w:pos="1191" w:val="left" w:leader="none"/>
          <w:tab w:pos="1192" w:val="left" w:leader="none"/>
          <w:tab w:pos="9190" w:val="right" w:leader="dot"/>
        </w:tabs>
        <w:spacing w:line="240" w:lineRule="auto" w:before="100" w:after="0"/>
        <w:ind w:left="1191" w:right="107" w:hanging="540"/>
        <w:jc w:val="left"/>
        <w:rPr>
          <w:rFonts w:ascii="Times New Roman" w:hAnsi="Times New Roman"/>
        </w:rPr>
      </w:pPr>
      <w:hyperlink w:history="true" w:anchor="_bookmark48">
        <w:r>
          <w:rPr>
            <w:rFonts w:ascii="Times New Roman" w:hAnsi="Times New Roman"/>
          </w:rPr>
          <w:t>C-V2X’s Unique Cost Efficiency Supports an Accelerated Timeline for</w:t>
        </w:r>
      </w:hyperlink>
      <w:r>
        <w:rPr>
          <w:rFonts w:ascii="Times New Roman" w:hAnsi="Times New Roman"/>
        </w:rPr>
        <w:t> </w:t>
      </w:r>
      <w:hyperlink w:history="true" w:anchor="_bookmark48">
        <w:r>
          <w:rPr>
            <w:rFonts w:ascii="Times New Roman" w:hAnsi="Times New Roman"/>
          </w:rPr>
          <w:t>Deployment</w:t>
          <w:tab/>
          <w:t>18</w:t>
        </w:r>
      </w:hyperlink>
    </w:p>
    <w:p>
      <w:pPr>
        <w:pStyle w:val="Heading4"/>
        <w:numPr>
          <w:ilvl w:val="0"/>
          <w:numId w:val="1"/>
        </w:numPr>
        <w:tabs>
          <w:tab w:pos="651" w:val="left" w:leader="none"/>
          <w:tab w:pos="652" w:val="left" w:leader="none"/>
          <w:tab w:pos="9190" w:val="right" w:leader="dot"/>
        </w:tabs>
        <w:spacing w:line="240" w:lineRule="auto" w:before="98" w:after="0"/>
        <w:ind w:left="651" w:right="107" w:hanging="540"/>
        <w:jc w:val="left"/>
        <w:rPr>
          <w:rFonts w:ascii="Times New Roman"/>
        </w:rPr>
      </w:pPr>
      <w:hyperlink w:history="true" w:anchor="_bookmark58">
        <w:r>
          <w:rPr>
            <w:rFonts w:ascii="Times New Roman"/>
          </w:rPr>
          <w:t>The Commission Should Grant a Waiver of Its Rules to Expedite the Deployment</w:t>
        </w:r>
      </w:hyperlink>
      <w:r>
        <w:rPr>
          <w:rFonts w:ascii="Times New Roman"/>
        </w:rPr>
        <w:t> </w:t>
      </w:r>
      <w:hyperlink w:history="true" w:anchor="_bookmark58">
        <w:r>
          <w:rPr>
            <w:rFonts w:ascii="Times New Roman"/>
          </w:rPr>
          <w:t>of C-V2X</w:t>
          <w:tab/>
          <w:t>21</w:t>
        </w:r>
      </w:hyperlink>
    </w:p>
    <w:p>
      <w:pPr>
        <w:pStyle w:val="Heading4"/>
        <w:numPr>
          <w:ilvl w:val="1"/>
          <w:numId w:val="1"/>
        </w:numPr>
        <w:tabs>
          <w:tab w:pos="1191" w:val="left" w:leader="none"/>
          <w:tab w:pos="1192" w:val="left" w:leader="none"/>
          <w:tab w:pos="9190" w:val="right" w:leader="dot"/>
        </w:tabs>
        <w:spacing w:line="240" w:lineRule="auto" w:before="100" w:after="0"/>
        <w:ind w:left="1191" w:right="0" w:hanging="540"/>
        <w:jc w:val="left"/>
        <w:rPr>
          <w:rFonts w:ascii="Times New Roman"/>
        </w:rPr>
      </w:pPr>
      <w:hyperlink w:history="true" w:anchor="_bookmark62">
        <w:r>
          <w:rPr>
            <w:rFonts w:ascii="Times New Roman"/>
          </w:rPr>
          <w:t>The Good</w:t>
        </w:r>
        <w:r>
          <w:rPr>
            <w:rFonts w:ascii="Times New Roman"/>
            <w:spacing w:val="-2"/>
          </w:rPr>
          <w:t> </w:t>
        </w:r>
        <w:r>
          <w:rPr>
            <w:rFonts w:ascii="Times New Roman"/>
          </w:rPr>
          <w:t>Cause</w:t>
        </w:r>
        <w:r>
          <w:rPr>
            <w:rFonts w:ascii="Times New Roman"/>
            <w:spacing w:val="-2"/>
          </w:rPr>
          <w:t> </w:t>
        </w:r>
        <w:r>
          <w:rPr>
            <w:rFonts w:ascii="Times New Roman"/>
          </w:rPr>
          <w:t>Standard</w:t>
          <w:tab/>
          <w:t>22</w:t>
        </w:r>
      </w:hyperlink>
    </w:p>
    <w:p>
      <w:pPr>
        <w:pStyle w:val="Heading4"/>
        <w:numPr>
          <w:ilvl w:val="1"/>
          <w:numId w:val="1"/>
        </w:numPr>
        <w:tabs>
          <w:tab w:pos="1191" w:val="left" w:leader="none"/>
          <w:tab w:pos="1192" w:val="left" w:leader="none"/>
          <w:tab w:pos="9190" w:val="right" w:leader="dot"/>
        </w:tabs>
        <w:spacing w:line="240" w:lineRule="auto" w:before="97" w:after="0"/>
        <w:ind w:left="1191" w:right="0" w:hanging="540"/>
        <w:jc w:val="left"/>
        <w:rPr>
          <w:rFonts w:ascii="Times New Roman"/>
        </w:rPr>
      </w:pPr>
      <w:hyperlink w:history="true" w:anchor="_bookmark68">
        <w:r>
          <w:rPr>
            <w:rFonts w:ascii="Times New Roman"/>
          </w:rPr>
          <w:t>Good Cause Exists for the Grant of the</w:t>
        </w:r>
        <w:r>
          <w:rPr>
            <w:rFonts w:ascii="Times New Roman"/>
            <w:spacing w:val="-7"/>
          </w:rPr>
          <w:t> </w:t>
        </w:r>
        <w:r>
          <w:rPr>
            <w:rFonts w:ascii="Times New Roman"/>
          </w:rPr>
          <w:t>Requested</w:t>
        </w:r>
        <w:r>
          <w:rPr>
            <w:rFonts w:ascii="Times New Roman"/>
            <w:spacing w:val="-1"/>
          </w:rPr>
          <w:t> </w:t>
        </w:r>
        <w:r>
          <w:rPr>
            <w:rFonts w:ascii="Times New Roman"/>
          </w:rPr>
          <w:t>Waiver</w:t>
          <w:tab/>
          <w:t>23</w:t>
        </w:r>
      </w:hyperlink>
    </w:p>
    <w:p>
      <w:pPr>
        <w:pStyle w:val="Heading5"/>
        <w:numPr>
          <w:ilvl w:val="2"/>
          <w:numId w:val="1"/>
        </w:numPr>
        <w:tabs>
          <w:tab w:pos="1731" w:val="left" w:leader="none"/>
          <w:tab w:pos="1732" w:val="left" w:leader="none"/>
          <w:tab w:pos="9190" w:val="right" w:leader="dot"/>
        </w:tabs>
        <w:spacing w:line="240" w:lineRule="auto" w:before="95" w:after="0"/>
        <w:ind w:left="1731" w:right="107" w:hanging="540"/>
        <w:jc w:val="left"/>
      </w:pPr>
      <w:hyperlink w:history="true" w:anchor="_bookmark69">
        <w:r>
          <w:rPr/>
          <w:t>A Grant of the Requested Waiver is in the Public Interest Because it Will</w:t>
        </w:r>
      </w:hyperlink>
      <w:r>
        <w:rPr/>
        <w:t> </w:t>
      </w:r>
      <w:hyperlink w:history="true" w:anchor="_bookmark69">
        <w:r>
          <w:rPr/>
          <w:t>Expedite the Availability of</w:t>
        </w:r>
        <w:r>
          <w:rPr>
            <w:spacing w:val="-7"/>
          </w:rPr>
          <w:t> </w:t>
        </w:r>
        <w:r>
          <w:rPr/>
          <w:t>ITS</w:t>
        </w:r>
        <w:r>
          <w:rPr>
            <w:spacing w:val="-1"/>
          </w:rPr>
          <w:t> </w:t>
        </w:r>
        <w:r>
          <w:rPr/>
          <w:t>Services</w:t>
          <w:tab/>
          <w:t>23</w:t>
        </w:r>
      </w:hyperlink>
    </w:p>
    <w:p>
      <w:pPr>
        <w:pStyle w:val="Heading5"/>
        <w:numPr>
          <w:ilvl w:val="2"/>
          <w:numId w:val="1"/>
        </w:numPr>
        <w:tabs>
          <w:tab w:pos="1731" w:val="left" w:leader="none"/>
          <w:tab w:pos="1732" w:val="left" w:leader="none"/>
          <w:tab w:pos="9190" w:val="right" w:leader="dot"/>
        </w:tabs>
        <w:spacing w:line="240" w:lineRule="auto" w:before="100" w:after="0"/>
        <w:ind w:left="1731" w:right="107" w:hanging="540"/>
        <w:jc w:val="left"/>
      </w:pPr>
      <w:hyperlink w:history="true" w:anchor="_bookmark82">
        <w:r>
          <w:rPr/>
          <w:t>The Requested Waiver Would Advance, Rather than Undermine, the</w:t>
        </w:r>
      </w:hyperlink>
      <w:r>
        <w:rPr/>
        <w:t> </w:t>
      </w:r>
      <w:hyperlink w:history="true" w:anchor="_bookmark82">
        <w:r>
          <w:rPr/>
          <w:t>Underlying Policy Which the Rule in Question is Intended</w:t>
        </w:r>
        <w:r>
          <w:rPr>
            <w:spacing w:val="-13"/>
          </w:rPr>
          <w:t> </w:t>
        </w:r>
        <w:r>
          <w:rPr/>
          <w:t>to</w:t>
        </w:r>
        <w:r>
          <w:rPr>
            <w:spacing w:val="-1"/>
          </w:rPr>
          <w:t> </w:t>
        </w:r>
        <w:r>
          <w:rPr/>
          <w:t>Serve</w:t>
          <w:tab/>
          <w:t>26</w:t>
        </w:r>
      </w:hyperlink>
    </w:p>
    <w:p>
      <w:pPr>
        <w:pStyle w:val="Heading4"/>
        <w:numPr>
          <w:ilvl w:val="0"/>
          <w:numId w:val="1"/>
        </w:numPr>
        <w:tabs>
          <w:tab w:pos="651" w:val="left" w:leader="none"/>
          <w:tab w:pos="652" w:val="left" w:leader="none"/>
          <w:tab w:pos="9190" w:val="right" w:leader="dot"/>
        </w:tabs>
        <w:spacing w:line="240" w:lineRule="auto" w:before="102" w:after="0"/>
        <w:ind w:left="651" w:right="0" w:hanging="540"/>
        <w:jc w:val="left"/>
        <w:rPr>
          <w:rFonts w:ascii="Times New Roman"/>
        </w:rPr>
      </w:pPr>
      <w:hyperlink w:history="true" w:anchor="_bookmark91">
        <w:r>
          <w:rPr>
            <w:rFonts w:ascii="Times New Roman"/>
          </w:rPr>
          <w:t>Conclusion</w:t>
          <w:tab/>
          <w:t>31</w:t>
        </w:r>
      </w:hyperlink>
    </w:p>
    <w:p>
      <w:pPr>
        <w:spacing w:after="0" w:line="240" w:lineRule="auto"/>
        <w:jc w:val="left"/>
        <w:rPr>
          <w:rFonts w:ascii="Times New Roman"/>
        </w:rPr>
        <w:sectPr>
          <w:headerReference w:type="default" r:id="rId5"/>
          <w:pgSz w:w="12240" w:h="15840"/>
          <w:pgMar w:header="1447" w:footer="0" w:top="1700" w:bottom="280" w:left="1600" w:right="1340"/>
        </w:sectPr>
      </w:pPr>
    </w:p>
    <w:p>
      <w:pPr>
        <w:spacing w:line="326" w:lineRule="auto" w:before="100"/>
        <w:ind w:left="111" w:right="0" w:firstLine="0"/>
        <w:jc w:val="both"/>
        <w:rPr>
          <w:rFonts w:ascii="Times New Roman"/>
          <w:b/>
          <w:sz w:val="24"/>
        </w:rPr>
      </w:pPr>
      <w:hyperlink w:history="true" w:anchor="_bookmark93">
        <w:r>
          <w:rPr>
            <w:rFonts w:ascii="Times New Roman"/>
            <w:b/>
            <w:sz w:val="24"/>
          </w:rPr>
          <w:t>Appendix A -</w:t>
        </w:r>
      </w:hyperlink>
      <w:r>
        <w:rPr>
          <w:rFonts w:ascii="Times New Roman"/>
          <w:b/>
          <w:sz w:val="24"/>
        </w:rPr>
        <w:t> </w:t>
      </w:r>
      <w:hyperlink w:history="true" w:anchor="_bookmark94">
        <w:r>
          <w:rPr>
            <w:rFonts w:ascii="Times New Roman"/>
            <w:b/>
            <w:sz w:val="24"/>
          </w:rPr>
          <w:t>Appendix B -</w:t>
        </w:r>
      </w:hyperlink>
      <w:r>
        <w:rPr>
          <w:rFonts w:ascii="Times New Roman"/>
          <w:b/>
          <w:sz w:val="24"/>
        </w:rPr>
        <w:t> </w:t>
      </w:r>
      <w:hyperlink w:history="true" w:anchor="_bookmark164">
        <w:r>
          <w:rPr>
            <w:rFonts w:ascii="Times New Roman"/>
            <w:b/>
            <w:sz w:val="24"/>
          </w:rPr>
          <w:t>Appendix C -</w:t>
        </w:r>
      </w:hyperlink>
    </w:p>
    <w:p>
      <w:pPr>
        <w:spacing w:before="5"/>
        <w:ind w:left="111" w:right="0" w:firstLine="0"/>
        <w:jc w:val="both"/>
        <w:rPr>
          <w:rFonts w:ascii="Times New Roman"/>
          <w:b/>
          <w:sz w:val="24"/>
        </w:rPr>
      </w:pPr>
      <w:hyperlink w:history="true" w:anchor="_bookmark176">
        <w:r>
          <w:rPr>
            <w:rFonts w:ascii="Times New Roman"/>
            <w:b/>
            <w:sz w:val="24"/>
          </w:rPr>
          <w:t>Appendix D -</w:t>
        </w:r>
      </w:hyperlink>
    </w:p>
    <w:p>
      <w:pPr>
        <w:spacing w:before="100"/>
        <w:ind w:left="111" w:right="0" w:firstLine="0"/>
        <w:jc w:val="left"/>
        <w:rPr>
          <w:rFonts w:ascii="Times New Roman"/>
          <w:b/>
          <w:sz w:val="24"/>
        </w:rPr>
      </w:pPr>
      <w:r>
        <w:rPr/>
        <w:br w:type="column"/>
      </w:r>
      <w:hyperlink w:history="true" w:anchor="_bookmark93">
        <w:r>
          <w:rPr>
            <w:rFonts w:ascii="Times New Roman"/>
            <w:b/>
            <w:sz w:val="24"/>
          </w:rPr>
          <w:t>5GAA Membership ................................................................................... A-1</w:t>
        </w:r>
      </w:hyperlink>
    </w:p>
    <w:p>
      <w:pPr>
        <w:spacing w:before="100"/>
        <w:ind w:left="111" w:right="0" w:firstLine="0"/>
        <w:jc w:val="left"/>
        <w:rPr>
          <w:rFonts w:ascii="Times New Roman"/>
          <w:b/>
          <w:sz w:val="24"/>
        </w:rPr>
      </w:pPr>
      <w:hyperlink w:history="true" w:anchor="_bookmark94">
        <w:r>
          <w:rPr>
            <w:rFonts w:ascii="Times New Roman"/>
            <w:b/>
            <w:sz w:val="24"/>
          </w:rPr>
          <w:t>5GAA C-V2X Test Results ....................................................................... B-1</w:t>
        </w:r>
      </w:hyperlink>
    </w:p>
    <w:p>
      <w:pPr>
        <w:spacing w:before="97"/>
        <w:ind w:left="111" w:right="0" w:firstLine="0"/>
        <w:jc w:val="left"/>
        <w:rPr>
          <w:rFonts w:ascii="Times New Roman"/>
          <w:b/>
          <w:sz w:val="24"/>
        </w:rPr>
      </w:pPr>
      <w:hyperlink w:history="true" w:anchor="_bookmark164">
        <w:r>
          <w:rPr>
            <w:rFonts w:ascii="Times New Roman"/>
            <w:b/>
            <w:sz w:val="24"/>
          </w:rPr>
          <w:t>C-V2X Test and Trials .............................................................................. C-1</w:t>
        </w:r>
      </w:hyperlink>
    </w:p>
    <w:p>
      <w:pPr>
        <w:spacing w:before="100"/>
        <w:ind w:left="111" w:right="0" w:firstLine="0"/>
        <w:jc w:val="left"/>
        <w:rPr>
          <w:rFonts w:ascii="Times New Roman"/>
          <w:b/>
          <w:sz w:val="24"/>
        </w:rPr>
      </w:pPr>
      <w:hyperlink w:history="true" w:anchor="_bookmark176">
        <w:r>
          <w:rPr>
            <w:rFonts w:ascii="Times New Roman"/>
            <w:b/>
            <w:sz w:val="24"/>
          </w:rPr>
          <w:t>Proposed Conditions Applicable to C-V2X Operations Pursuant to the</w:t>
        </w:r>
      </w:hyperlink>
    </w:p>
    <w:p>
      <w:pPr>
        <w:spacing w:after="0"/>
        <w:jc w:val="left"/>
        <w:rPr>
          <w:rFonts w:ascii="Times New Roman"/>
          <w:sz w:val="24"/>
        </w:rPr>
        <w:sectPr>
          <w:type w:val="continuous"/>
          <w:pgSz w:w="12240" w:h="15840"/>
          <w:pgMar w:top="1360" w:bottom="280" w:left="1600" w:right="1340"/>
          <w:cols w:num="2" w:equalWidth="0">
            <w:col w:w="1488" w:space="132"/>
            <w:col w:w="7680"/>
          </w:cols>
        </w:sectPr>
      </w:pPr>
    </w:p>
    <w:p>
      <w:pPr>
        <w:spacing w:before="0"/>
        <w:ind w:left="651" w:right="0" w:firstLine="0"/>
        <w:jc w:val="left"/>
        <w:rPr>
          <w:rFonts w:ascii="Times New Roman"/>
          <w:b/>
          <w:sz w:val="24"/>
        </w:rPr>
      </w:pPr>
      <w:hyperlink w:history="true" w:anchor="_bookmark176">
        <w:r>
          <w:rPr>
            <w:rFonts w:ascii="Times New Roman"/>
            <w:b/>
            <w:sz w:val="24"/>
          </w:rPr>
          <w:t>Waiver Request............................................................................................................ D-1</w:t>
        </w:r>
      </w:hyperlink>
    </w:p>
    <w:p>
      <w:pPr>
        <w:spacing w:after="0"/>
        <w:jc w:val="left"/>
        <w:rPr>
          <w:rFonts w:ascii="Times New Roman"/>
          <w:sz w:val="24"/>
        </w:rPr>
        <w:sectPr>
          <w:type w:val="continuous"/>
          <w:pgSz w:w="12240" w:h="15840"/>
          <w:pgMar w:top="1360" w:bottom="280" w:left="1600" w:right="1340"/>
        </w:sectPr>
      </w:pPr>
    </w:p>
    <w:p>
      <w:pPr>
        <w:pStyle w:val="BodyText"/>
        <w:spacing w:before="7"/>
        <w:rPr>
          <w:rFonts w:ascii="Times New Roman"/>
          <w:b/>
          <w:sz w:val="12"/>
        </w:rPr>
      </w:pPr>
    </w:p>
    <w:p>
      <w:pPr>
        <w:spacing w:before="90"/>
        <w:ind w:left="140" w:right="221" w:firstLine="720"/>
        <w:jc w:val="left"/>
        <w:rPr>
          <w:rFonts w:ascii="Times New Roman" w:hAnsi="Times New Roman"/>
          <w:sz w:val="24"/>
        </w:rPr>
      </w:pPr>
      <w:r>
        <w:rPr>
          <w:rFonts w:ascii="Times New Roman" w:hAnsi="Times New Roman"/>
          <w:sz w:val="24"/>
        </w:rPr>
        <w:t>At the dawn of the 5G revolution, </w:t>
      </w:r>
      <w:r>
        <w:rPr>
          <w:rFonts w:ascii="Times New Roman" w:hAnsi="Times New Roman"/>
          <w:color w:val="030303"/>
          <w:sz w:val="24"/>
        </w:rPr>
        <w:t>the 5G Automotive Association (“5GAA”) – </w:t>
      </w:r>
      <w:r>
        <w:rPr>
          <w:rFonts w:ascii="Times New Roman" w:hAnsi="Times New Roman"/>
          <w:sz w:val="24"/>
        </w:rPr>
        <w:t>a rapidly growing global association that brings together many of the world’s major automotive, technology and telecommunications companies </w:t>
      </w:r>
      <w:r>
        <w:rPr>
          <w:rFonts w:ascii="Times New Roman" w:hAnsi="Times New Roman"/>
          <w:color w:val="030303"/>
          <w:sz w:val="24"/>
        </w:rPr>
        <w:t>– </w:t>
      </w:r>
      <w:r>
        <w:rPr>
          <w:rFonts w:ascii="Times New Roman" w:hAnsi="Times New Roman"/>
          <w:sz w:val="24"/>
        </w:rPr>
        <w:t>requests that the Commission grant a waiver, subject to the conditions proposed in Appendix D attached hereto, of footnote NG160 to Section</w:t>
      </w:r>
    </w:p>
    <w:p>
      <w:pPr>
        <w:pStyle w:val="ListParagraph"/>
        <w:numPr>
          <w:ilvl w:val="1"/>
          <w:numId w:val="2"/>
        </w:numPr>
        <w:tabs>
          <w:tab w:pos="740" w:val="left" w:leader="none"/>
        </w:tabs>
        <w:spacing w:line="240" w:lineRule="auto" w:before="0" w:after="0"/>
        <w:ind w:left="140" w:right="334" w:firstLine="0"/>
        <w:jc w:val="left"/>
        <w:rPr>
          <w:rFonts w:ascii="Times New Roman" w:hAnsi="Times New Roman"/>
          <w:sz w:val="24"/>
        </w:rPr>
      </w:pPr>
      <w:r>
        <w:rPr>
          <w:rFonts w:ascii="Times New Roman" w:hAnsi="Times New Roman"/>
          <w:sz w:val="24"/>
        </w:rPr>
        <w:t>of the Commission’s rules to allow for the deployment of Cellular</w:t>
      </w:r>
      <w:r>
        <w:rPr>
          <w:rFonts w:ascii="Times New Roman" w:hAnsi="Times New Roman"/>
          <w:spacing w:val="-23"/>
          <w:sz w:val="24"/>
        </w:rPr>
        <w:t> </w:t>
      </w:r>
      <w:r>
        <w:rPr>
          <w:rFonts w:ascii="Times New Roman" w:hAnsi="Times New Roman"/>
          <w:sz w:val="24"/>
        </w:rPr>
        <w:t>Vehicle-to-Everything technology, better known as C-V2X, in a 20 MHz channel located in the upper edge of</w:t>
      </w:r>
      <w:r>
        <w:rPr>
          <w:rFonts w:ascii="Times New Roman" w:hAnsi="Times New Roman"/>
          <w:spacing w:val="-18"/>
          <w:sz w:val="24"/>
        </w:rPr>
        <w:t> </w:t>
      </w:r>
      <w:r>
        <w:rPr>
          <w:rFonts w:ascii="Times New Roman" w:hAnsi="Times New Roman"/>
          <w:sz w:val="24"/>
        </w:rPr>
        <w:t>the</w:t>
      </w:r>
    </w:p>
    <w:p>
      <w:pPr>
        <w:spacing w:before="0"/>
        <w:ind w:left="140" w:right="175" w:firstLine="0"/>
        <w:jc w:val="left"/>
        <w:rPr>
          <w:rFonts w:ascii="Times New Roman" w:hAnsi="Times New Roman"/>
          <w:sz w:val="24"/>
        </w:rPr>
      </w:pPr>
      <w:r>
        <w:rPr>
          <w:rFonts w:ascii="Times New Roman" w:hAnsi="Times New Roman"/>
          <w:sz w:val="24"/>
        </w:rPr>
        <w:t>5.850-5.925 GHz (“5.9 GHz”) band (5905-5925 MHz). As supported by the attached 5GAA test report, C-V2X represents a significant advancement in connected vehicle technology and is the first step towards leveraging 5G to increase road safety and to maximize the myriad other benefits of connected vehicles on America’s roads.</w:t>
      </w:r>
    </w:p>
    <w:p>
      <w:pPr>
        <w:pStyle w:val="BodyText"/>
        <w:spacing w:before="6"/>
        <w:rPr>
          <w:rFonts w:ascii="Times New Roman"/>
          <w:sz w:val="22"/>
        </w:rPr>
      </w:pPr>
      <w:r>
        <w:rPr/>
        <w:pict>
          <v:shape style="position:absolute;margin-left:70.559998pt;margin-top:14.192514pt;width:470.9pt;height:110.4pt;mso-position-horizontal-relative:page;mso-position-vertical-relative:paragraph;z-index:0;mso-wrap-distance-left:0;mso-wrap-distance-right:0" type="#_x0000_t202" filled="true" fillcolor="#fefefe" stroked="false">
            <v:textbox inset="0,0,0,0">
              <w:txbxContent>
                <w:p>
                  <w:pPr>
                    <w:spacing w:line="240" w:lineRule="auto" w:before="0"/>
                    <w:ind w:left="28" w:right="91" w:firstLine="720"/>
                    <w:jc w:val="left"/>
                    <w:rPr>
                      <w:rFonts w:ascii="Times New Roman" w:hAnsi="Times New Roman"/>
                      <w:sz w:val="24"/>
                    </w:rPr>
                  </w:pPr>
                  <w:r>
                    <w:rPr>
                      <w:rFonts w:ascii="Times New Roman" w:hAnsi="Times New Roman"/>
                      <w:sz w:val="24"/>
                    </w:rPr>
                    <w:t>Built upon earlier efforts to develop Intelligent Transportation System (“ITS”) services and leveraging advancements in cellular technologies, first 4G and ultimately 5G, C-V2X is a modern, standards-based connected-vehicle communications technology. C-V2X enables direct, peer-to-peer mode communications between vehicles themselves (“V2V”), vehicles and vulnerable persons such as pedestrians and cyclists (“V2P”), and vehicles and transportation infrastructure (“V2I”), as well as communications between vehicles and mobile networks (“V2N”). These communications can help enable important improvements in safety, traffic efficiency, mobility, and energy efficiency on America’s roads.</w:t>
                  </w:r>
                </w:p>
              </w:txbxContent>
            </v:textbox>
            <v:fill type="solid"/>
            <w10:wrap type="topAndBottom"/>
          </v:shape>
        </w:pict>
      </w:r>
    </w:p>
    <w:p>
      <w:pPr>
        <w:pStyle w:val="BodyText"/>
        <w:spacing w:before="2"/>
        <w:rPr>
          <w:rFonts w:ascii="Times New Roman"/>
          <w:sz w:val="14"/>
        </w:rPr>
      </w:pPr>
    </w:p>
    <w:p>
      <w:pPr>
        <w:spacing w:before="90"/>
        <w:ind w:left="140" w:right="70" w:firstLine="720"/>
        <w:jc w:val="left"/>
        <w:rPr>
          <w:rFonts w:ascii="Times New Roman" w:hAnsi="Times New Roman"/>
          <w:sz w:val="24"/>
        </w:rPr>
      </w:pPr>
      <w:r>
        <w:rPr>
          <w:rFonts w:ascii="Times New Roman" w:hAnsi="Times New Roman"/>
          <w:sz w:val="24"/>
        </w:rPr>
        <w:t>Congress, the U.S. Department of Transportation (“DOT”), and the Commission have acknowledged for decades the life-saving and societal benefits enabled by ITS services. Today, the need for ITS services persists. Indeed, the DOT and the National Highway Traffic Safety Administration (“NHTSA”), the nation’s expert agency in traffic safety, repeatedly have stressed in recent years the importance of ITS services in the 5.9 GHz band for improving safety.</w:t>
      </w:r>
    </w:p>
    <w:p>
      <w:pPr>
        <w:pStyle w:val="BodyText"/>
        <w:rPr>
          <w:rFonts w:ascii="Times New Roman"/>
          <w:sz w:val="24"/>
        </w:rPr>
      </w:pPr>
    </w:p>
    <w:p>
      <w:pPr>
        <w:spacing w:before="0" w:after="8"/>
        <w:ind w:left="140" w:right="242" w:firstLine="720"/>
        <w:jc w:val="both"/>
        <w:rPr>
          <w:rFonts w:ascii="Times New Roman" w:hAnsi="Times New Roman"/>
          <w:sz w:val="24"/>
        </w:rPr>
      </w:pPr>
      <w:r>
        <w:rPr>
          <w:rFonts w:ascii="Times New Roman" w:hAnsi="Times New Roman"/>
          <w:sz w:val="24"/>
        </w:rPr>
        <w:t>Unfortunately, widespread implementation of C-V2X technology in the United States is not feasible today. The Commission’s current rules for the 5.9 GHz band – adopted well before the development of C-V2X – restrict ITS operations to those that use the Dedicated Short Range Communications (“DSRC”) standard.</w:t>
      </w:r>
    </w:p>
    <w:p>
      <w:pPr>
        <w:pStyle w:val="BodyText"/>
        <w:ind w:left="111"/>
        <w:rPr>
          <w:rFonts w:ascii="Times New Roman"/>
        </w:rPr>
      </w:pPr>
      <w:r>
        <w:rPr>
          <w:rFonts w:ascii="Times New Roman"/>
        </w:rPr>
        <w:pict>
          <v:group style="width:470.9pt;height:13.8pt;mso-position-horizontal-relative:char;mso-position-vertical-relative:line" coordorigin="0,0" coordsize="9418,276">
            <v:rect style="position:absolute;left:0;top:0;width:9418;height:276" filled="true" fillcolor="#fefefe" stroked="false">
              <v:fill type="solid"/>
            </v:rect>
          </v:group>
        </w:pict>
      </w:r>
      <w:r>
        <w:rPr>
          <w:rFonts w:ascii="Times New Roman"/>
        </w:rPr>
      </w:r>
    </w:p>
    <w:p>
      <w:pPr>
        <w:spacing w:line="234" w:lineRule="exact" w:before="0"/>
        <w:ind w:left="860" w:right="0" w:firstLine="0"/>
        <w:jc w:val="left"/>
        <w:rPr>
          <w:rFonts w:ascii="Times New Roman"/>
          <w:sz w:val="24"/>
        </w:rPr>
      </w:pPr>
      <w:r>
        <w:rPr>
          <w:rFonts w:ascii="Times New Roman"/>
          <w:sz w:val="24"/>
        </w:rPr>
        <w:t>The consequences of this restriction are significant.  Recent testing performed by 5GAA</w:t>
      </w:r>
    </w:p>
    <w:p>
      <w:pPr>
        <w:spacing w:before="0"/>
        <w:ind w:left="139" w:right="167" w:firstLine="0"/>
        <w:jc w:val="left"/>
        <w:rPr>
          <w:rFonts w:ascii="Times New Roman" w:hAnsi="Times New Roman"/>
          <w:sz w:val="24"/>
        </w:rPr>
      </w:pPr>
      <w:r>
        <w:rPr>
          <w:rFonts w:ascii="Times New Roman" w:hAnsi="Times New Roman"/>
          <w:sz w:val="24"/>
        </w:rPr>
        <w:t>members demonstrates that C-V2X peer-to-peer mode consistently outperforms DSRC in several key areas. These performance advantages, which include enhanced reliability over an extended communication range, better non-line-of-sight performance, and greater resiliency, can – both individually and as a complement to existing radar- and camera-based systems – provide vehicles and drivers with an earlier, more complete picture of the surrounding road</w:t>
      </w:r>
      <w:r>
        <w:rPr>
          <w:rFonts w:ascii="Times New Roman" w:hAnsi="Times New Roman"/>
          <w:spacing w:val="-21"/>
          <w:sz w:val="24"/>
        </w:rPr>
        <w:t> </w:t>
      </w:r>
      <w:r>
        <w:rPr>
          <w:rFonts w:ascii="Times New Roman" w:hAnsi="Times New Roman"/>
          <w:sz w:val="24"/>
        </w:rPr>
        <w:t>environment.</w:t>
      </w:r>
    </w:p>
    <w:p>
      <w:pPr>
        <w:pStyle w:val="BodyText"/>
        <w:rPr>
          <w:rFonts w:ascii="Times New Roman"/>
          <w:sz w:val="24"/>
        </w:rPr>
      </w:pPr>
    </w:p>
    <w:p>
      <w:pPr>
        <w:spacing w:before="0"/>
        <w:ind w:left="139" w:right="175" w:firstLine="720"/>
        <w:jc w:val="left"/>
        <w:rPr>
          <w:rFonts w:ascii="Times New Roman" w:hAnsi="Times New Roman"/>
          <w:sz w:val="24"/>
        </w:rPr>
      </w:pPr>
      <w:r>
        <w:rPr>
          <w:rFonts w:ascii="Times New Roman" w:hAnsi="Times New Roman"/>
          <w:sz w:val="24"/>
        </w:rPr>
        <w:t>C-V2X’s performance advantages over DSRC are particularly important in non-line-of- sight scenarios (e.g., around corners, through large trucks, etc.). Because current and near-term in-vehicle camera and sensor-based technologies experience limitations in non-line-of-sight scenarios, C-V2X’s performance advantage over DSRC thus may allow vehicles to perceive and provide earlier warnings of threats hidden from view. As NHTSA has acknowledged, such V2V warnings are particularly useful near intersections and in highway passing and braking scenarios.</w:t>
      </w:r>
    </w:p>
    <w:p>
      <w:pPr>
        <w:spacing w:after="0"/>
        <w:jc w:val="left"/>
        <w:rPr>
          <w:rFonts w:ascii="Times New Roman" w:hAnsi="Times New Roman"/>
          <w:sz w:val="24"/>
        </w:rPr>
        <w:sectPr>
          <w:headerReference w:type="default" r:id="rId6"/>
          <w:pgSz w:w="12240" w:h="15840"/>
          <w:pgMar w:header="1447" w:footer="0" w:top="1700" w:bottom="280" w:left="1300" w:right="1300"/>
        </w:sectPr>
      </w:pPr>
    </w:p>
    <w:p>
      <w:pPr>
        <w:spacing w:before="72"/>
        <w:ind w:left="120" w:right="95" w:firstLine="720"/>
        <w:jc w:val="left"/>
        <w:rPr>
          <w:rFonts w:ascii="Times New Roman" w:hAnsi="Times New Roman"/>
          <w:sz w:val="24"/>
        </w:rPr>
      </w:pPr>
      <w:r>
        <w:rPr>
          <w:rFonts w:ascii="Times New Roman" w:hAnsi="Times New Roman"/>
          <w:sz w:val="24"/>
        </w:rPr>
        <w:t>The performance advantages of C-V2X peer-to-peer mode are further augmented by C- V2X’s V2N mode communications. V2N mode communications play an important complementary role to peer-to-peer mode communications by, among other things, providing the ability to offload less time-sensitive V2V, V2I, and V2P communications to a cellular network during times of peak congestion.</w:t>
      </w:r>
    </w:p>
    <w:p>
      <w:pPr>
        <w:pStyle w:val="BodyText"/>
        <w:rPr>
          <w:rFonts w:ascii="Times New Roman"/>
          <w:sz w:val="24"/>
        </w:rPr>
      </w:pPr>
    </w:p>
    <w:p>
      <w:pPr>
        <w:spacing w:before="0"/>
        <w:ind w:left="119" w:right="95" w:firstLine="720"/>
        <w:jc w:val="left"/>
        <w:rPr>
          <w:rFonts w:ascii="Times New Roman"/>
          <w:sz w:val="24"/>
        </w:rPr>
      </w:pPr>
      <w:r>
        <w:rPr>
          <w:rFonts w:ascii="Times New Roman"/>
          <w:sz w:val="24"/>
        </w:rPr>
        <w:t>C-V2X is also designed with an upgrade path to 5G. Over the next several years, C-V2X will unlock the power of 5G technologies, driving further improvements in performance, introducing new capabilities to connected vehicles and infrastructure, and extending the number of use cases for C-V2X. For example, 5G C-V2X is expected to complement and augment advanced driving applications that enhance semi-automated or fully-automated driving features by coordinating the behaviors of vehicles.</w:t>
      </w:r>
    </w:p>
    <w:p>
      <w:pPr>
        <w:pStyle w:val="BodyText"/>
        <w:spacing w:before="11"/>
        <w:rPr>
          <w:rFonts w:ascii="Times New Roman"/>
          <w:sz w:val="23"/>
        </w:rPr>
      </w:pPr>
    </w:p>
    <w:p>
      <w:pPr>
        <w:spacing w:before="0"/>
        <w:ind w:left="119" w:right="128" w:firstLine="720"/>
        <w:jc w:val="left"/>
        <w:rPr>
          <w:rFonts w:ascii="Times New Roman" w:hAnsi="Times New Roman"/>
          <w:sz w:val="24"/>
        </w:rPr>
      </w:pPr>
      <w:r>
        <w:rPr>
          <w:rFonts w:ascii="Times New Roman" w:hAnsi="Times New Roman"/>
          <w:sz w:val="24"/>
        </w:rPr>
        <w:t>To expedite the availability of C-V2X services, 5GAA is requesting a waiver of the Commission’s rules to deploy C-V2X in the 5.905-5.925 GHz portion of the ITS band. Good cause exists for the issuance of the requested waiver under the conditions proposed herein. First, grant of the requested waiver is in the public interest because it will expedite the widespread availability of ITS services in the 5.9 GHz band. Not only is C-V2X deployment expected to enable important safety benefits, but it also will enable other important public interest benefits, including improvements in traffic efficiency, productivity, mobility, and the conservation of fossil fuels. In addition, grant of the waiver will allow Americans to have access to the same modern safety technologies that are currently available or will soon be in other parts of the world. Finally, because C-V2X can be deployed in a cost-efficient manner, a waiver grant likely will enable consumers to benefit from ITS technology on an expedited timeframe.</w:t>
      </w:r>
    </w:p>
    <w:p>
      <w:pPr>
        <w:pStyle w:val="BodyText"/>
        <w:spacing w:before="11"/>
        <w:rPr>
          <w:rFonts w:ascii="Times New Roman"/>
          <w:sz w:val="23"/>
        </w:rPr>
      </w:pPr>
    </w:p>
    <w:p>
      <w:pPr>
        <w:spacing w:before="0"/>
        <w:ind w:left="119" w:right="95" w:firstLine="720"/>
        <w:jc w:val="left"/>
        <w:rPr>
          <w:rFonts w:ascii="Times New Roman" w:hAnsi="Times New Roman"/>
          <w:sz w:val="24"/>
        </w:rPr>
      </w:pPr>
      <w:r>
        <w:rPr>
          <w:rFonts w:ascii="Times New Roman" w:hAnsi="Times New Roman"/>
          <w:sz w:val="24"/>
        </w:rPr>
        <w:t>Second, rather than undermine the underlying purpose of the rules, the waiver would advance the Commission’s objectives for allocating the 5.9 GHz band for short-range ITS services. The waiver grant will enable the deployment of C-V2X technology, which will help improve vehicular safety and travel. Moreover, a waiver is not expected to disturb existing commercial DSRC operations. Finally, other non-DSRC users of the band will not be negatively affected by a waiver grant, as the conditions proposed herein impose substantially similar technical and service requirements on C-V2X operations as those that are currently required by the Commission’s rules for DSRC operations.</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8"/>
        <w:rPr>
          <w:rFonts w:ascii="Times New Roman"/>
          <w:sz w:val="21"/>
        </w:rPr>
      </w:pPr>
    </w:p>
    <w:p>
      <w:pPr>
        <w:spacing w:before="90"/>
        <w:ind w:left="4712" w:right="4673" w:firstLine="0"/>
        <w:jc w:val="center"/>
        <w:rPr>
          <w:rFonts w:ascii="Times New Roman"/>
          <w:sz w:val="24"/>
        </w:rPr>
      </w:pPr>
      <w:r>
        <w:rPr>
          <w:rFonts w:ascii="Times New Roman"/>
          <w:sz w:val="24"/>
        </w:rPr>
        <w:t>ii</w:t>
      </w:r>
    </w:p>
    <w:p>
      <w:pPr>
        <w:spacing w:after="0"/>
        <w:jc w:val="center"/>
        <w:rPr>
          <w:rFonts w:ascii="Times New Roman"/>
          <w:sz w:val="24"/>
        </w:rPr>
        <w:sectPr>
          <w:headerReference w:type="default" r:id="rId7"/>
          <w:pgSz w:w="12240" w:h="15840"/>
          <w:pgMar w:header="0" w:footer="0" w:top="1360" w:bottom="280" w:left="1320" w:right="1360"/>
        </w:sectPr>
      </w:pPr>
    </w:p>
    <w:p>
      <w:pPr>
        <w:spacing w:before="72"/>
        <w:ind w:left="2335" w:right="2139" w:firstLine="0"/>
        <w:jc w:val="center"/>
        <w:rPr>
          <w:rFonts w:ascii="Times New Roman"/>
          <w:sz w:val="24"/>
        </w:rPr>
      </w:pPr>
      <w:r>
        <w:rPr>
          <w:rFonts w:ascii="Times New Roman"/>
          <w:sz w:val="24"/>
        </w:rPr>
        <w:t>Before the</w:t>
      </w:r>
    </w:p>
    <w:p>
      <w:pPr>
        <w:pStyle w:val="BodyText"/>
        <w:spacing w:before="4"/>
        <w:rPr>
          <w:rFonts w:ascii="Times New Roman"/>
          <w:sz w:val="24"/>
        </w:rPr>
      </w:pPr>
    </w:p>
    <w:p>
      <w:pPr>
        <w:spacing w:before="1"/>
        <w:ind w:left="2339" w:right="2139" w:firstLine="0"/>
        <w:jc w:val="center"/>
        <w:rPr>
          <w:rFonts w:ascii="Times New Roman"/>
          <w:b/>
          <w:sz w:val="24"/>
        </w:rPr>
      </w:pPr>
      <w:r>
        <w:rPr>
          <w:rFonts w:ascii="Times New Roman"/>
          <w:b/>
          <w:sz w:val="24"/>
        </w:rPr>
        <w:t>FEDERAL COMMUNICATIONS COMMISSION</w:t>
      </w:r>
    </w:p>
    <w:p>
      <w:pPr>
        <w:pStyle w:val="BodyText"/>
        <w:spacing w:before="6"/>
        <w:rPr>
          <w:rFonts w:ascii="Times New Roman"/>
          <w:b/>
          <w:sz w:val="23"/>
        </w:rPr>
      </w:pPr>
    </w:p>
    <w:p>
      <w:pPr>
        <w:spacing w:before="1"/>
        <w:ind w:left="2336" w:right="2139" w:firstLine="0"/>
        <w:jc w:val="center"/>
        <w:rPr>
          <w:rFonts w:ascii="Times New Roman"/>
          <w:sz w:val="24"/>
        </w:rPr>
      </w:pPr>
      <w:r>
        <w:rPr>
          <w:rFonts w:ascii="Times New Roman"/>
          <w:sz w:val="24"/>
        </w:rPr>
        <w:t>Washington, DC 20554</w: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0"/>
        <w:rPr>
          <w:rFonts w:ascii="Times New Roman"/>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98"/>
        <w:gridCol w:w="623"/>
        <w:gridCol w:w="2820"/>
      </w:tblGrid>
      <w:tr>
        <w:trPr>
          <w:trHeight w:val="1646" w:hRule="exact"/>
        </w:trPr>
        <w:tc>
          <w:tcPr>
            <w:tcW w:w="4798" w:type="dxa"/>
          </w:tcPr>
          <w:p>
            <w:pPr>
              <w:pStyle w:val="TableParagraph"/>
              <w:spacing w:line="266" w:lineRule="exact"/>
              <w:ind w:left="200"/>
              <w:rPr>
                <w:rFonts w:ascii="Times New Roman"/>
                <w:sz w:val="24"/>
              </w:rPr>
            </w:pPr>
            <w:r>
              <w:rPr>
                <w:rFonts w:ascii="Times New Roman"/>
                <w:sz w:val="24"/>
              </w:rPr>
              <w:t>In the Matter of</w:t>
            </w:r>
          </w:p>
          <w:p>
            <w:pPr>
              <w:pStyle w:val="TableParagraph"/>
              <w:spacing w:line="240" w:lineRule="auto"/>
              <w:ind w:left="0"/>
              <w:rPr>
                <w:rFonts w:ascii="Times New Roman"/>
                <w:sz w:val="24"/>
              </w:rPr>
            </w:pPr>
          </w:p>
          <w:p>
            <w:pPr>
              <w:pStyle w:val="TableParagraph"/>
              <w:spacing w:line="240" w:lineRule="auto"/>
              <w:ind w:left="200" w:right="258"/>
              <w:rPr>
                <w:rFonts w:ascii="Times New Roman"/>
                <w:sz w:val="24"/>
              </w:rPr>
            </w:pPr>
            <w:r>
              <w:rPr>
                <w:rFonts w:ascii="Times New Roman"/>
                <w:sz w:val="24"/>
              </w:rPr>
              <w:t>Petition For Waiver to Allow Deployment of Intelligent Transportation System Cellular Vehicle to Everything (C-V2X) Technology</w:t>
            </w:r>
          </w:p>
        </w:tc>
        <w:tc>
          <w:tcPr>
            <w:tcW w:w="623" w:type="dxa"/>
          </w:tcPr>
          <w:p>
            <w:pPr>
              <w:pStyle w:val="TableParagraph"/>
              <w:spacing w:line="266" w:lineRule="exact"/>
              <w:ind w:left="15"/>
              <w:jc w:val="center"/>
              <w:rPr>
                <w:rFonts w:ascii="Times New Roman"/>
                <w:sz w:val="24"/>
              </w:rPr>
            </w:pPr>
            <w:r>
              <w:rPr>
                <w:rFonts w:ascii="Times New Roman"/>
                <w:w w:val="99"/>
                <w:sz w:val="24"/>
              </w:rPr>
              <w:t>)</w:t>
            </w:r>
          </w:p>
          <w:p>
            <w:pPr>
              <w:pStyle w:val="TableParagraph"/>
              <w:spacing w:line="240" w:lineRule="auto"/>
              <w:ind w:left="15"/>
              <w:jc w:val="center"/>
              <w:rPr>
                <w:rFonts w:ascii="Times New Roman"/>
                <w:sz w:val="24"/>
              </w:rPr>
            </w:pPr>
            <w:r>
              <w:rPr>
                <w:rFonts w:ascii="Times New Roman"/>
                <w:w w:val="99"/>
                <w:sz w:val="24"/>
              </w:rPr>
              <w:t>)</w:t>
            </w:r>
          </w:p>
          <w:p>
            <w:pPr>
              <w:pStyle w:val="TableParagraph"/>
              <w:spacing w:line="240" w:lineRule="auto"/>
              <w:ind w:left="15"/>
              <w:jc w:val="center"/>
              <w:rPr>
                <w:rFonts w:ascii="Times New Roman"/>
                <w:sz w:val="24"/>
              </w:rPr>
            </w:pPr>
            <w:r>
              <w:rPr>
                <w:rFonts w:ascii="Times New Roman"/>
                <w:w w:val="99"/>
                <w:sz w:val="24"/>
              </w:rPr>
              <w:t>)</w:t>
            </w:r>
          </w:p>
          <w:p>
            <w:pPr>
              <w:pStyle w:val="TableParagraph"/>
              <w:spacing w:line="240" w:lineRule="auto"/>
              <w:ind w:left="15"/>
              <w:jc w:val="center"/>
              <w:rPr>
                <w:rFonts w:ascii="Times New Roman"/>
                <w:sz w:val="24"/>
              </w:rPr>
            </w:pPr>
            <w:r>
              <w:rPr>
                <w:rFonts w:ascii="Times New Roman"/>
                <w:w w:val="99"/>
                <w:sz w:val="24"/>
              </w:rPr>
              <w:t>)</w:t>
            </w:r>
          </w:p>
          <w:p>
            <w:pPr>
              <w:pStyle w:val="TableParagraph"/>
              <w:spacing w:line="240" w:lineRule="auto"/>
              <w:ind w:left="15"/>
              <w:jc w:val="center"/>
              <w:rPr>
                <w:rFonts w:ascii="Times New Roman"/>
                <w:sz w:val="24"/>
              </w:rPr>
            </w:pPr>
            <w:r>
              <w:rPr>
                <w:rFonts w:ascii="Times New Roman"/>
                <w:w w:val="99"/>
                <w:sz w:val="24"/>
              </w:rPr>
              <w:t>)</w:t>
            </w:r>
          </w:p>
          <w:p>
            <w:pPr>
              <w:pStyle w:val="TableParagraph"/>
              <w:spacing w:line="240" w:lineRule="auto"/>
              <w:ind w:left="15"/>
              <w:jc w:val="center"/>
              <w:rPr>
                <w:rFonts w:ascii="Times New Roman"/>
                <w:sz w:val="24"/>
              </w:rPr>
            </w:pPr>
            <w:r>
              <w:rPr>
                <w:rFonts w:ascii="Times New Roman"/>
                <w:w w:val="99"/>
                <w:sz w:val="24"/>
              </w:rPr>
              <w:t>)</w:t>
            </w:r>
          </w:p>
        </w:tc>
        <w:tc>
          <w:tcPr>
            <w:tcW w:w="2820" w:type="dxa"/>
          </w:tcPr>
          <w:p>
            <w:pPr>
              <w:pStyle w:val="TableParagraph"/>
              <w:spacing w:line="240" w:lineRule="auto"/>
              <w:ind w:left="0"/>
              <w:rPr>
                <w:rFonts w:ascii="Times New Roman"/>
                <w:sz w:val="26"/>
              </w:rPr>
            </w:pPr>
          </w:p>
          <w:p>
            <w:pPr>
              <w:pStyle w:val="TableParagraph"/>
              <w:spacing w:line="240" w:lineRule="auto" w:before="1"/>
              <w:ind w:left="0"/>
              <w:rPr>
                <w:rFonts w:ascii="Times New Roman"/>
                <w:sz w:val="21"/>
              </w:rPr>
            </w:pPr>
          </w:p>
          <w:p>
            <w:pPr>
              <w:pStyle w:val="TableParagraph"/>
              <w:tabs>
                <w:tab w:pos="2620" w:val="left" w:leader="none"/>
              </w:tabs>
              <w:spacing w:line="240" w:lineRule="auto"/>
              <w:ind w:left="263"/>
              <w:rPr>
                <w:rFonts w:ascii="Times New Roman"/>
                <w:sz w:val="24"/>
              </w:rPr>
            </w:pPr>
            <w:r>
              <w:rPr>
                <w:rFonts w:ascii="Times New Roman"/>
                <w:sz w:val="24"/>
              </w:rPr>
              <w:t>ET Docket</w:t>
            </w:r>
            <w:r>
              <w:rPr>
                <w:rFonts w:ascii="Times New Roman"/>
                <w:spacing w:val="-7"/>
                <w:sz w:val="24"/>
              </w:rPr>
              <w:t> </w:t>
            </w:r>
            <w:r>
              <w:rPr>
                <w:rFonts w:ascii="Times New Roman"/>
                <w:sz w:val="24"/>
              </w:rPr>
              <w:t>No. </w:t>
            </w:r>
            <w:r>
              <w:rPr>
                <w:rFonts w:ascii="Times New Roman"/>
                <w:sz w:val="24"/>
                <w:u w:val="single"/>
              </w:rPr>
              <w:t> </w:t>
              <w:tab/>
            </w:r>
          </w:p>
        </w:tc>
      </w:tr>
    </w:tbl>
    <w:p>
      <w:pPr>
        <w:pStyle w:val="BodyText"/>
        <w:rPr>
          <w:rFonts w:ascii="Times New Roman"/>
        </w:rPr>
      </w:pPr>
    </w:p>
    <w:p>
      <w:pPr>
        <w:pStyle w:val="BodyText"/>
        <w:spacing w:before="7"/>
        <w:rPr>
          <w:rFonts w:ascii="Times New Roman"/>
        </w:rPr>
      </w:pPr>
    </w:p>
    <w:p>
      <w:pPr>
        <w:spacing w:before="90"/>
        <w:ind w:left="2335" w:right="2139" w:firstLine="0"/>
        <w:jc w:val="center"/>
        <w:rPr>
          <w:rFonts w:ascii="Times New Roman"/>
          <w:b/>
          <w:sz w:val="24"/>
        </w:rPr>
      </w:pPr>
      <w:r>
        <w:rPr>
          <w:rFonts w:ascii="Times New Roman"/>
          <w:b/>
          <w:sz w:val="24"/>
        </w:rPr>
        <w:t>5GAA Petition For Waiver</w:t>
      </w:r>
    </w:p>
    <w:p>
      <w:pPr>
        <w:pStyle w:val="BodyText"/>
        <w:spacing w:before="3"/>
        <w:rPr>
          <w:rFonts w:ascii="Times New Roman"/>
          <w:b/>
          <w:sz w:val="31"/>
        </w:rPr>
      </w:pPr>
    </w:p>
    <w:p>
      <w:pPr>
        <w:pStyle w:val="ListParagraph"/>
        <w:numPr>
          <w:ilvl w:val="2"/>
          <w:numId w:val="2"/>
        </w:numPr>
        <w:tabs>
          <w:tab w:pos="1019" w:val="left" w:leader="none"/>
          <w:tab w:pos="1020" w:val="left" w:leader="none"/>
        </w:tabs>
        <w:spacing w:line="240" w:lineRule="auto" w:before="0" w:after="0"/>
        <w:ind w:left="840" w:right="0" w:hanging="540"/>
        <w:jc w:val="left"/>
        <w:rPr>
          <w:rFonts w:ascii="Times New Roman"/>
          <w:b/>
          <w:sz w:val="24"/>
        </w:rPr>
      </w:pPr>
      <w:bookmarkStart w:name="I. Introduction" w:id="1"/>
      <w:bookmarkEnd w:id="1"/>
      <w:r>
        <w:rPr/>
      </w:r>
      <w:bookmarkStart w:name="_bookmark0" w:id="2"/>
      <w:bookmarkEnd w:id="2"/>
      <w:r>
        <w:rPr/>
      </w:r>
      <w:bookmarkStart w:name="_bookmark0" w:id="3"/>
      <w:bookmarkEnd w:id="3"/>
      <w:r>
        <w:rPr>
          <w:rFonts w:ascii="Times New Roman"/>
          <w:b/>
          <w:sz w:val="24"/>
        </w:rPr>
        <w:t>I</w:t>
      </w:r>
      <w:r>
        <w:rPr>
          <w:rFonts w:ascii="Times New Roman"/>
          <w:b/>
          <w:sz w:val="24"/>
        </w:rPr>
        <w:t>ntroduction</w:t>
      </w:r>
    </w:p>
    <w:p>
      <w:pPr>
        <w:pStyle w:val="BodyText"/>
        <w:spacing w:before="4"/>
        <w:rPr>
          <w:rFonts w:ascii="Times New Roman"/>
          <w:b/>
        </w:rPr>
      </w:pPr>
    </w:p>
    <w:p>
      <w:pPr>
        <w:spacing w:line="465" w:lineRule="auto" w:before="0"/>
        <w:ind w:left="299" w:right="60" w:firstLine="720"/>
        <w:jc w:val="left"/>
        <w:rPr>
          <w:rFonts w:ascii="Times New Roman" w:hAnsi="Times New Roman"/>
          <w:sz w:val="24"/>
        </w:rPr>
      </w:pPr>
      <w:r>
        <w:rPr/>
        <w:pict>
          <v:line style="position:absolute;mso-position-horizontal-relative:page;mso-position-vertical-relative:paragraph;z-index:-506968" from="72pt,133.66362pt" to="216pt,133.66362pt" stroked="true" strokeweight=".599pt" strokecolor="#000000">
            <v:stroke dashstyle="solid"/>
            <w10:wrap type="none"/>
          </v:line>
        </w:pict>
      </w:r>
      <w:r>
        <w:rPr>
          <w:rFonts w:ascii="Times New Roman" w:hAnsi="Times New Roman"/>
          <w:sz w:val="24"/>
        </w:rPr>
        <w:t>Pursuant to Section 1.3 of the Federal Communications Commission’s (“FCC” or “Commission”) rules, the 5G – Automobile Association (“5GAA”)</w:t>
      </w:r>
      <w:hyperlink w:history="true" w:anchor="_bookmark1">
        <w:r>
          <w:rPr>
            <w:rFonts w:ascii="Times New Roman" w:hAnsi="Times New Roman"/>
            <w:position w:val="11"/>
            <w:sz w:val="16"/>
          </w:rPr>
          <w:t>1</w:t>
        </w:r>
      </w:hyperlink>
      <w:r>
        <w:rPr>
          <w:rFonts w:ascii="Times New Roman" w:hAnsi="Times New Roman"/>
          <w:position w:val="11"/>
          <w:sz w:val="16"/>
        </w:rPr>
        <w:t> </w:t>
      </w:r>
      <w:r>
        <w:rPr>
          <w:rFonts w:ascii="Times New Roman" w:hAnsi="Times New Roman"/>
          <w:sz w:val="24"/>
        </w:rPr>
        <w:t>respectfully requests that the Commission grant a blanket waiver, with conditions, of footnote NG160 to Section 2.106 of the Commission’s rules</w:t>
      </w:r>
      <w:hyperlink w:history="true" w:anchor="_bookmark2">
        <w:r>
          <w:rPr>
            <w:rFonts w:ascii="Times New Roman" w:hAnsi="Times New Roman"/>
            <w:position w:val="11"/>
            <w:sz w:val="16"/>
          </w:rPr>
          <w:t>2</w:t>
        </w:r>
      </w:hyperlink>
      <w:r>
        <w:rPr>
          <w:rFonts w:ascii="Times New Roman" w:hAnsi="Times New Roman"/>
          <w:position w:val="11"/>
          <w:sz w:val="16"/>
        </w:rPr>
        <w:t> </w:t>
      </w:r>
      <w:r>
        <w:rPr>
          <w:rFonts w:ascii="Times New Roman" w:hAnsi="Times New Roman"/>
          <w:sz w:val="24"/>
        </w:rPr>
        <w:t>to allow for the deployment of Cellular Vehicle-to-Everything technology, better known as C-V2X, in the 5.905-5.925 GHz range of the 5.850-5.925 GHz (“5.9 GHz”)</w:t>
      </w:r>
    </w:p>
    <w:p>
      <w:pPr>
        <w:spacing w:line="240" w:lineRule="auto" w:before="24"/>
        <w:ind w:left="299" w:right="153" w:firstLine="0"/>
        <w:jc w:val="left"/>
        <w:rPr>
          <w:rFonts w:ascii="Times New Roman" w:hAnsi="Times New Roman"/>
          <w:sz w:val="20"/>
        </w:rPr>
      </w:pPr>
      <w:bookmarkStart w:name="_bookmark1" w:id="4"/>
      <w:bookmarkEnd w:id="4"/>
      <w:r>
        <w:rPr/>
      </w:r>
      <w:r>
        <w:rPr>
          <w:rFonts w:ascii="Times New Roman" w:hAnsi="Times New Roman"/>
          <w:position w:val="9"/>
          <w:sz w:val="13"/>
        </w:rPr>
        <w:t>1 </w:t>
      </w:r>
      <w:r>
        <w:rPr>
          <w:rFonts w:ascii="Times New Roman" w:hAnsi="Times New Roman"/>
          <w:sz w:val="20"/>
        </w:rPr>
        <w:t>5GAA is a global cross-industry organization of companies from the automotive, technology and telecommunications industries working together to develop end-to-end connectivity solutions for intelligent transportation, future mobility systems and smart cities. </w:t>
      </w:r>
      <w:r>
        <w:rPr>
          <w:rFonts w:ascii="Times New Roman" w:hAnsi="Times New Roman"/>
          <w:i/>
          <w:sz w:val="20"/>
        </w:rPr>
        <w:t>See </w:t>
      </w:r>
      <w:r>
        <w:rPr>
          <w:rFonts w:ascii="Times New Roman" w:hAnsi="Times New Roman"/>
          <w:sz w:val="20"/>
        </w:rPr>
        <w:t>5GAA, </w:t>
      </w:r>
      <w:hyperlink r:id="rId9">
        <w:r>
          <w:rPr>
            <w:rFonts w:ascii="Times New Roman" w:hAnsi="Times New Roman"/>
            <w:color w:val="0000FF"/>
            <w:sz w:val="20"/>
            <w:u w:val="single" w:color="0000FF"/>
          </w:rPr>
          <w:t>www.5gaa.org </w:t>
        </w:r>
      </w:hyperlink>
      <w:r>
        <w:rPr>
          <w:rFonts w:ascii="Times New Roman" w:hAnsi="Times New Roman"/>
          <w:sz w:val="20"/>
        </w:rPr>
        <w:t>(last visited Nov. 19, 2018). Created in 2016 by eight founding members, 5GAA’s membership has expanded rapidly and now includes over 100 companies. </w:t>
      </w:r>
      <w:r>
        <w:rPr>
          <w:rFonts w:ascii="Times New Roman" w:hAnsi="Times New Roman"/>
          <w:i/>
          <w:sz w:val="20"/>
        </w:rPr>
        <w:t>See </w:t>
      </w:r>
      <w:r>
        <w:rPr>
          <w:rFonts w:ascii="Times New Roman" w:hAnsi="Times New Roman"/>
          <w:sz w:val="20"/>
          <w:u w:val="single"/>
        </w:rPr>
        <w:t>Appendix A </w:t>
      </w:r>
      <w:r>
        <w:rPr>
          <w:rFonts w:ascii="Times New Roman" w:hAnsi="Times New Roman"/>
          <w:sz w:val="20"/>
        </w:rPr>
        <w:t>for a complete member list. In the past two years, 5GAA and its members have demonstrated the capabilities of C-V2X across the globe. </w:t>
      </w:r>
      <w:r>
        <w:rPr>
          <w:rFonts w:ascii="Times New Roman" w:hAnsi="Times New Roman"/>
          <w:i/>
          <w:sz w:val="20"/>
        </w:rPr>
        <w:t>See </w:t>
      </w:r>
      <w:r>
        <w:rPr>
          <w:rFonts w:ascii="Times New Roman" w:hAnsi="Times New Roman"/>
          <w:sz w:val="20"/>
        </w:rPr>
        <w:t>Press Release, 5GAA, </w:t>
      </w:r>
      <w:r>
        <w:rPr>
          <w:rFonts w:ascii="Times New Roman" w:hAnsi="Times New Roman"/>
          <w:i/>
          <w:sz w:val="20"/>
        </w:rPr>
        <w:t>5GAA, BMW Group, Ford and </w:t>
      </w:r>
      <w:r>
        <w:rPr>
          <w:rFonts w:ascii="Times New Roman" w:hAnsi="Times New Roman"/>
          <w:i/>
          <w:sz w:val="20"/>
        </w:rPr>
        <w:t>Groupe PSA Exhibit First European Demonstration of C-V2X Direct Communication Interoperability Between Multiple Automakers </w:t>
      </w:r>
      <w:r>
        <w:rPr>
          <w:rFonts w:ascii="Times New Roman" w:hAnsi="Times New Roman"/>
          <w:sz w:val="20"/>
        </w:rPr>
        <w:t>(July 11, 2018), </w:t>
      </w:r>
      <w:hyperlink r:id="rId10">
        <w:r>
          <w:rPr>
            <w:rFonts w:ascii="Times New Roman" w:hAnsi="Times New Roman"/>
            <w:color w:val="0000FF"/>
            <w:sz w:val="20"/>
            <w:u w:val="single" w:color="0000FF"/>
          </w:rPr>
          <w:t>http://5gaa.org/news/5gaa-bmw-group-ford-and-groupe-psa-exhibit-first-</w:t>
        </w:r>
      </w:hyperlink>
      <w:r>
        <w:rPr>
          <w:rFonts w:ascii="Times New Roman" w:hAnsi="Times New Roman"/>
          <w:color w:val="0000FF"/>
          <w:sz w:val="20"/>
          <w:u w:val="single" w:color="0000FF"/>
        </w:rPr>
        <w:t> </w:t>
      </w:r>
      <w:hyperlink r:id="rId10">
        <w:r>
          <w:rPr>
            <w:rFonts w:ascii="Times New Roman" w:hAnsi="Times New Roman"/>
            <w:color w:val="0000FF"/>
            <w:sz w:val="20"/>
            <w:u w:val="single" w:color="0000FF"/>
          </w:rPr>
          <w:t>european-demonstration-of-c-v2x-direct-communication-interoperability-between-multiple-automakers</w:t>
        </w:r>
        <w:r>
          <w:rPr>
            <w:rFonts w:ascii="Times New Roman" w:hAnsi="Times New Roman"/>
            <w:sz w:val="20"/>
          </w:rPr>
          <w:t>;</w:t>
        </w:r>
      </w:hyperlink>
      <w:r>
        <w:rPr>
          <w:rFonts w:ascii="Times New Roman" w:hAnsi="Times New Roman"/>
          <w:sz w:val="20"/>
        </w:rPr>
        <w:t> Press Release, 5GAA, </w:t>
      </w:r>
      <w:r>
        <w:rPr>
          <w:rFonts w:ascii="Times New Roman" w:hAnsi="Times New Roman"/>
          <w:i/>
          <w:sz w:val="20"/>
        </w:rPr>
        <w:t>5GAA, Audi, Ford and Qualcomm Showcase C-V2X Direct Communications Interoperability to </w:t>
      </w:r>
      <w:r>
        <w:rPr>
          <w:rFonts w:ascii="Times New Roman" w:hAnsi="Times New Roman"/>
          <w:i/>
          <w:sz w:val="20"/>
        </w:rPr>
        <w:t>Improve Road Safety </w:t>
      </w:r>
      <w:r>
        <w:rPr>
          <w:rFonts w:ascii="Times New Roman" w:hAnsi="Times New Roman"/>
          <w:sz w:val="20"/>
        </w:rPr>
        <w:t>(Apr. 26, 2018), </w:t>
      </w:r>
      <w:hyperlink r:id="rId11">
        <w:r>
          <w:rPr>
            <w:rFonts w:ascii="Times New Roman" w:hAnsi="Times New Roman"/>
            <w:color w:val="0000FF"/>
            <w:sz w:val="20"/>
            <w:u w:val="single" w:color="0000FF"/>
          </w:rPr>
          <w:t>http://5gaa.org/news/5gaa-audi-ford-and-qualcomm-showcase-c-v2x-direct-</w:t>
        </w:r>
      </w:hyperlink>
      <w:r>
        <w:rPr>
          <w:rFonts w:ascii="Times New Roman" w:hAnsi="Times New Roman"/>
          <w:color w:val="0000FF"/>
          <w:sz w:val="20"/>
          <w:u w:val="single" w:color="0000FF"/>
        </w:rPr>
        <w:t> </w:t>
      </w:r>
      <w:hyperlink r:id="rId11">
        <w:r>
          <w:rPr>
            <w:rFonts w:ascii="Times New Roman" w:hAnsi="Times New Roman"/>
            <w:color w:val="0000FF"/>
            <w:sz w:val="20"/>
            <w:u w:val="single" w:color="0000FF"/>
          </w:rPr>
          <w:t>communications-interoperability-to-improve-road-safety-2</w:t>
        </w:r>
        <w:r>
          <w:rPr>
            <w:rFonts w:ascii="Times New Roman" w:hAnsi="Times New Roman"/>
            <w:sz w:val="20"/>
          </w:rPr>
          <w:t>;</w:t>
        </w:r>
      </w:hyperlink>
      <w:r>
        <w:rPr>
          <w:rFonts w:ascii="Times New Roman" w:hAnsi="Times New Roman"/>
          <w:sz w:val="20"/>
        </w:rPr>
        <w:t> Press Release, 5GAA, </w:t>
      </w:r>
      <w:r>
        <w:rPr>
          <w:rFonts w:ascii="Times New Roman" w:hAnsi="Times New Roman"/>
          <w:i/>
          <w:sz w:val="20"/>
        </w:rPr>
        <w:t>5GAA participates in Testbed </w:t>
      </w:r>
      <w:r>
        <w:rPr>
          <w:rFonts w:ascii="Times New Roman" w:hAnsi="Times New Roman"/>
          <w:i/>
          <w:sz w:val="20"/>
        </w:rPr>
        <w:t>Visit in Shanghai </w:t>
      </w:r>
      <w:r>
        <w:rPr>
          <w:rFonts w:ascii="Times New Roman" w:hAnsi="Times New Roman"/>
          <w:sz w:val="20"/>
        </w:rPr>
        <w:t>(Nov. 16, 2017), </w:t>
      </w:r>
      <w:hyperlink r:id="rId12">
        <w:r>
          <w:rPr>
            <w:rFonts w:ascii="Times New Roman" w:hAnsi="Times New Roman"/>
            <w:color w:val="0000FF"/>
            <w:sz w:val="20"/>
            <w:u w:val="single" w:color="0000FF"/>
          </w:rPr>
          <w:t>http://5gaa.org/news/5gaa-participates-in-testbed-visit-in-shanghai</w:t>
        </w:r>
        <w:r>
          <w:rPr>
            <w:rFonts w:ascii="Times New Roman" w:hAnsi="Times New Roman"/>
            <w:sz w:val="20"/>
          </w:rPr>
          <w:t>;</w:t>
        </w:r>
      </w:hyperlink>
      <w:r>
        <w:rPr>
          <w:rFonts w:ascii="Times New Roman" w:hAnsi="Times New Roman"/>
          <w:sz w:val="20"/>
        </w:rPr>
        <w:t> Press Release, 5GAA, </w:t>
      </w:r>
      <w:r>
        <w:rPr>
          <w:rFonts w:ascii="Times New Roman" w:hAnsi="Times New Roman"/>
          <w:i/>
          <w:sz w:val="20"/>
        </w:rPr>
        <w:t>5GAA joins 3GPP </w:t>
      </w:r>
      <w:r>
        <w:rPr>
          <w:rFonts w:ascii="Times New Roman" w:hAnsi="Times New Roman"/>
          <w:sz w:val="20"/>
        </w:rPr>
        <w:t>(Apr. 27, 2018), </w:t>
      </w:r>
      <w:hyperlink r:id="rId13">
        <w:r>
          <w:rPr>
            <w:rFonts w:ascii="Times New Roman" w:hAnsi="Times New Roman"/>
            <w:color w:val="0000FF"/>
            <w:sz w:val="20"/>
            <w:u w:val="single" w:color="0000FF"/>
          </w:rPr>
          <w:t>http://5gaa.org/news/5gaa-joins-3gpp</w:t>
        </w:r>
        <w:r>
          <w:rPr>
            <w:rFonts w:ascii="Times New Roman" w:hAnsi="Times New Roman"/>
            <w:sz w:val="20"/>
          </w:rPr>
          <w:t>;</w:t>
        </w:r>
      </w:hyperlink>
      <w:r>
        <w:rPr>
          <w:rFonts w:ascii="Times New Roman" w:hAnsi="Times New Roman"/>
          <w:sz w:val="20"/>
        </w:rPr>
        <w:t> GSMA, </w:t>
      </w:r>
      <w:r>
        <w:rPr>
          <w:rFonts w:ascii="Times New Roman" w:hAnsi="Times New Roman"/>
          <w:i/>
          <w:sz w:val="20"/>
        </w:rPr>
        <w:t>Cellular </w:t>
      </w:r>
      <w:r>
        <w:rPr>
          <w:rFonts w:ascii="Times New Roman" w:hAnsi="Times New Roman"/>
          <w:i/>
          <w:sz w:val="20"/>
        </w:rPr>
        <w:t>Vehicle-to-Everything (C-V2X) Enabling Intelligent Transport </w:t>
      </w:r>
      <w:r>
        <w:rPr>
          <w:rFonts w:ascii="Times New Roman" w:hAnsi="Times New Roman"/>
          <w:sz w:val="20"/>
        </w:rPr>
        <w:t>(rel. Jan. 2, 2018 ), </w:t>
      </w:r>
      <w:hyperlink r:id="rId14">
        <w:r>
          <w:rPr>
            <w:rFonts w:ascii="Times New Roman" w:hAnsi="Times New Roman"/>
            <w:color w:val="0000FF"/>
            <w:sz w:val="20"/>
            <w:u w:val="single" w:color="0000FF"/>
          </w:rPr>
          <w:t>https://www.gsma.com/iot/wp-</w:t>
        </w:r>
      </w:hyperlink>
      <w:r>
        <w:rPr>
          <w:rFonts w:ascii="Times New Roman" w:hAnsi="Times New Roman"/>
          <w:color w:val="0000FF"/>
          <w:sz w:val="20"/>
          <w:u w:val="single" w:color="0000FF"/>
        </w:rPr>
        <w:t> </w:t>
      </w:r>
      <w:hyperlink r:id="rId14">
        <w:r>
          <w:rPr>
            <w:rFonts w:ascii="Times New Roman" w:hAnsi="Times New Roman"/>
            <w:color w:val="0000FF"/>
            <w:sz w:val="20"/>
            <w:u w:val="single" w:color="0000FF"/>
          </w:rPr>
          <w:t>content/uploads/2017/12/C-2VX-Enabling-Intelligent-Transport_2.pdf</w:t>
        </w:r>
        <w:r>
          <w:rPr>
            <w:rFonts w:ascii="Times New Roman" w:hAnsi="Times New Roman"/>
            <w:sz w:val="20"/>
          </w:rPr>
          <w:t>.</w:t>
        </w:r>
      </w:hyperlink>
    </w:p>
    <w:p>
      <w:pPr>
        <w:pStyle w:val="BodyText"/>
        <w:spacing w:before="96"/>
        <w:ind w:left="300" w:right="60" w:hanging="1"/>
        <w:rPr>
          <w:rFonts w:ascii="Times New Roman" w:hAnsi="Times New Roman"/>
        </w:rPr>
      </w:pPr>
      <w:bookmarkStart w:name="_bookmark2" w:id="5"/>
      <w:bookmarkEnd w:id="5"/>
      <w:r>
        <w:rPr/>
      </w:r>
      <w:r>
        <w:rPr>
          <w:rFonts w:ascii="Times New Roman" w:hAnsi="Times New Roman"/>
          <w:position w:val="9"/>
          <w:sz w:val="13"/>
        </w:rPr>
        <w:t>2 </w:t>
      </w:r>
      <w:r>
        <w:rPr>
          <w:rFonts w:ascii="Times New Roman" w:hAnsi="Times New Roman"/>
        </w:rPr>
        <w:t>47 C.F.R. § 2.106, NG160 (“In the 5850–5925 MHz band, the use of the non-Federal government mobile service is limited to Dedicated Short Range Communications operating in the Intelligent Transportation System radio service.”).</w:t>
      </w:r>
    </w:p>
    <w:p>
      <w:pPr>
        <w:spacing w:after="0"/>
        <w:rPr>
          <w:rFonts w:ascii="Times New Roman" w:hAnsi="Times New Roman"/>
        </w:rPr>
        <w:sectPr>
          <w:headerReference w:type="default" r:id="rId8"/>
          <w:pgSz w:w="12240" w:h="15840"/>
          <w:pgMar w:header="0" w:footer="0" w:top="1360" w:bottom="280" w:left="1140" w:right="1340"/>
        </w:sectPr>
      </w:pPr>
    </w:p>
    <w:p>
      <w:pPr>
        <w:spacing w:line="480" w:lineRule="auto" w:before="76"/>
        <w:ind w:left="119" w:right="137" w:firstLine="0"/>
        <w:jc w:val="left"/>
        <w:rPr>
          <w:rFonts w:ascii="Times New Roman" w:hAnsi="Times New Roman"/>
          <w:sz w:val="24"/>
        </w:rPr>
      </w:pPr>
      <w:r>
        <w:rPr>
          <w:rFonts w:ascii="Times New Roman" w:hAnsi="Times New Roman"/>
          <w:sz w:val="24"/>
        </w:rPr>
        <w:t>band. In addition to the instant petition for waiver (“Waiver Request”),</w:t>
      </w:r>
      <w:hyperlink w:history="true" w:anchor="_bookmark4">
        <w:r>
          <w:rPr>
            <w:rFonts w:ascii="Times New Roman" w:hAnsi="Times New Roman"/>
            <w:position w:val="11"/>
            <w:sz w:val="16"/>
          </w:rPr>
          <w:t>3</w:t>
        </w:r>
      </w:hyperlink>
      <w:r>
        <w:rPr>
          <w:rFonts w:ascii="Times New Roman" w:hAnsi="Times New Roman"/>
          <w:position w:val="11"/>
          <w:sz w:val="16"/>
        </w:rPr>
        <w:t> </w:t>
      </w:r>
      <w:r>
        <w:rPr>
          <w:rFonts w:ascii="Times New Roman" w:hAnsi="Times New Roman"/>
          <w:sz w:val="24"/>
        </w:rPr>
        <w:t>5GAA plans to file a complementary petition for rulemaking in the near future requesting that the Commission initiate a proceeding to modify its rules for the 5.9 GHz band to provide stakeholders the flexibility to take the evolutionary leap forward in connected vehicle technologies. This Waiver Request is narrowly tailored to allow for the immediate deployment of C-V2X during the pendency of the Commission’s broader proceeding. As further discussed herein, a grant of the Waiver Request would serve the public interest by expediting the availability of C-V2X technology that holds the potential to improve safety, traffic efficiency, mobility, and energy efficiency on America’s roads and would further, rather than undermine, the underlying objectives for allocating the 5.9 GHz band for ITS</w:t>
      </w:r>
      <w:r>
        <w:rPr>
          <w:rFonts w:ascii="Times New Roman" w:hAnsi="Times New Roman"/>
          <w:spacing w:val="-8"/>
          <w:sz w:val="24"/>
        </w:rPr>
        <w:t> </w:t>
      </w:r>
      <w:r>
        <w:rPr>
          <w:rFonts w:ascii="Times New Roman" w:hAnsi="Times New Roman"/>
          <w:sz w:val="24"/>
        </w:rPr>
        <w:t>services.</w:t>
      </w:r>
    </w:p>
    <w:p>
      <w:pPr>
        <w:pStyle w:val="ListParagraph"/>
        <w:numPr>
          <w:ilvl w:val="2"/>
          <w:numId w:val="2"/>
        </w:numPr>
        <w:tabs>
          <w:tab w:pos="839" w:val="left" w:leader="none"/>
          <w:tab w:pos="840" w:val="left" w:leader="none"/>
        </w:tabs>
        <w:spacing w:line="240" w:lineRule="auto" w:before="14" w:after="0"/>
        <w:ind w:left="840" w:right="0" w:hanging="720"/>
        <w:jc w:val="left"/>
        <w:rPr>
          <w:rFonts w:ascii="Times New Roman"/>
          <w:b/>
          <w:sz w:val="24"/>
        </w:rPr>
      </w:pPr>
      <w:bookmarkStart w:name="II. The Current Rules Prohibit Use of C-" w:id="6"/>
      <w:bookmarkEnd w:id="6"/>
      <w:r>
        <w:rPr/>
      </w:r>
      <w:bookmarkStart w:name="_bookmark3" w:id="7"/>
      <w:bookmarkEnd w:id="7"/>
      <w:r>
        <w:rPr/>
      </w:r>
      <w:bookmarkStart w:name="_bookmark3" w:id="8"/>
      <w:bookmarkEnd w:id="8"/>
      <w:r>
        <w:rPr>
          <w:rFonts w:ascii="Times New Roman"/>
          <w:b/>
          <w:sz w:val="24"/>
        </w:rPr>
        <w:t>T</w:t>
      </w:r>
      <w:r>
        <w:rPr>
          <w:rFonts w:ascii="Times New Roman"/>
          <w:b/>
          <w:sz w:val="24"/>
        </w:rPr>
        <w:t>he Current Rules Prohibit Use of C-V2X in the 5.9 GHz</w:t>
      </w:r>
      <w:r>
        <w:rPr>
          <w:rFonts w:ascii="Times New Roman"/>
          <w:b/>
          <w:spacing w:val="-19"/>
          <w:sz w:val="24"/>
        </w:rPr>
        <w:t> </w:t>
      </w:r>
      <w:r>
        <w:rPr>
          <w:rFonts w:ascii="Times New Roman"/>
          <w:b/>
          <w:sz w:val="24"/>
        </w:rPr>
        <w:t>Band</w:t>
      </w:r>
    </w:p>
    <w:p>
      <w:pPr>
        <w:pStyle w:val="BodyText"/>
        <w:spacing w:before="4"/>
        <w:rPr>
          <w:rFonts w:ascii="Times New Roman"/>
          <w:b/>
        </w:rPr>
      </w:pPr>
    </w:p>
    <w:p>
      <w:pPr>
        <w:spacing w:line="472" w:lineRule="auto" w:before="1"/>
        <w:ind w:left="119" w:right="107" w:firstLine="720"/>
        <w:jc w:val="left"/>
        <w:rPr>
          <w:rFonts w:ascii="Times New Roman" w:hAnsi="Times New Roman"/>
          <w:sz w:val="24"/>
        </w:rPr>
      </w:pPr>
      <w:r>
        <w:rPr>
          <w:rFonts w:ascii="Times New Roman" w:hAnsi="Times New Roman"/>
          <w:sz w:val="24"/>
        </w:rPr>
        <w:t>Built upon earlier Intelligent Transportation System (“ITS”) efforts and recent advancements in cellular technologies, C-V2X is a modern standards-based communications system that represents an evolution in connected vehicle technology and the first step towards leveraging 5G to increase safety and to maximize the myriad other benefits of connected</w:t>
      </w:r>
      <w:r>
        <w:rPr>
          <w:rFonts w:ascii="Times New Roman" w:hAnsi="Times New Roman"/>
          <w:spacing w:val="-23"/>
          <w:sz w:val="24"/>
        </w:rPr>
        <w:t> </w:t>
      </w:r>
      <w:r>
        <w:rPr>
          <w:rFonts w:ascii="Times New Roman" w:hAnsi="Times New Roman"/>
          <w:sz w:val="24"/>
        </w:rPr>
        <w:t>vehicles on America’s roads. Already incorporated into standards set by the 3</w:t>
      </w:r>
      <w:r>
        <w:rPr>
          <w:rFonts w:ascii="Times New Roman" w:hAnsi="Times New Roman"/>
          <w:position w:val="11"/>
          <w:sz w:val="16"/>
        </w:rPr>
        <w:t>rd </w:t>
      </w:r>
      <w:r>
        <w:rPr>
          <w:rFonts w:ascii="Times New Roman" w:hAnsi="Times New Roman"/>
          <w:sz w:val="24"/>
        </w:rPr>
        <w:t>Generation Partnership Project (“3GPP”),</w:t>
      </w:r>
      <w:hyperlink w:history="true" w:anchor="_bookmark5">
        <w:r>
          <w:rPr>
            <w:rFonts w:ascii="Times New Roman" w:hAnsi="Times New Roman"/>
            <w:position w:val="11"/>
            <w:sz w:val="16"/>
          </w:rPr>
          <w:t>4</w:t>
        </w:r>
      </w:hyperlink>
      <w:r>
        <w:rPr>
          <w:rFonts w:ascii="Times New Roman" w:hAnsi="Times New Roman"/>
          <w:position w:val="11"/>
          <w:sz w:val="16"/>
        </w:rPr>
        <w:t> </w:t>
      </w:r>
      <w:r>
        <w:rPr>
          <w:rFonts w:ascii="Times New Roman" w:hAnsi="Times New Roman"/>
          <w:sz w:val="24"/>
        </w:rPr>
        <w:t>C-V2X empowers direct communications between vehicles (“V2V”), between vehicles and pedestrians, cyclists and other vulnerable persons (“V2P”), and between vehicles and transportation infrastructure (“V2I”), as well as communications between vehicles and mobile networks</w:t>
      </w:r>
      <w:r>
        <w:rPr>
          <w:rFonts w:ascii="Times New Roman" w:hAnsi="Times New Roman"/>
          <w:spacing w:val="-8"/>
          <w:sz w:val="24"/>
        </w:rPr>
        <w:t> </w:t>
      </w:r>
      <w:r>
        <w:rPr>
          <w:rFonts w:ascii="Times New Roman" w:hAnsi="Times New Roman"/>
          <w:sz w:val="24"/>
        </w:rPr>
        <w:t>(“V2N”).</w: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6"/>
        <w:rPr>
          <w:rFonts w:ascii="Times New Roman"/>
          <w:sz w:val="17"/>
        </w:rPr>
      </w:pPr>
      <w:r>
        <w:rPr/>
        <w:pict>
          <v:line style="position:absolute;mso-position-horizontal-relative:page;mso-position-vertical-relative:paragraph;z-index:1096;mso-wrap-distance-left:0;mso-wrap-distance-right:0" from="72pt,12.365656pt" to="216pt,12.365656pt" stroked="true" strokeweight=".6pt" strokecolor="#000000">
            <v:stroke dashstyle="solid"/>
            <w10:wrap type="topAndBottom"/>
          </v:line>
        </w:pict>
      </w:r>
    </w:p>
    <w:p>
      <w:pPr>
        <w:pStyle w:val="BodyText"/>
        <w:spacing w:before="50"/>
        <w:ind w:left="120" w:hanging="1"/>
        <w:rPr>
          <w:rFonts w:ascii="Times New Roman"/>
        </w:rPr>
      </w:pPr>
      <w:bookmarkStart w:name="_bookmark4" w:id="9"/>
      <w:bookmarkEnd w:id="9"/>
      <w:r>
        <w:rPr/>
      </w:r>
      <w:r>
        <w:rPr>
          <w:rFonts w:ascii="Times New Roman"/>
          <w:position w:val="9"/>
          <w:sz w:val="13"/>
        </w:rPr>
        <w:t>3 </w:t>
      </w:r>
      <w:r>
        <w:rPr>
          <w:rFonts w:ascii="Times New Roman"/>
        </w:rPr>
        <w:t>This Waiver Request reflects the views of 5GAA, and does not necessarily reflect the views or positions of each of the individual members of 5GAA.</w:t>
      </w:r>
    </w:p>
    <w:p>
      <w:pPr>
        <w:pStyle w:val="BodyText"/>
        <w:spacing w:before="95"/>
        <w:ind w:left="120"/>
        <w:rPr>
          <w:rFonts w:ascii="Times New Roman" w:hAnsi="Times New Roman"/>
        </w:rPr>
      </w:pPr>
      <w:bookmarkStart w:name="_bookmark5" w:id="10"/>
      <w:bookmarkEnd w:id="10"/>
      <w:r>
        <w:rPr/>
      </w:r>
      <w:r>
        <w:rPr>
          <w:rFonts w:ascii="Times New Roman" w:hAnsi="Times New Roman"/>
          <w:position w:val="9"/>
          <w:sz w:val="13"/>
        </w:rPr>
        <w:t>4 </w:t>
      </w:r>
      <w:r>
        <w:rPr>
          <w:rFonts w:ascii="Times New Roman" w:hAnsi="Times New Roman"/>
        </w:rPr>
        <w:t>3GPP is the world’s preeminent standards body for cellular technologies.</w:t>
      </w:r>
    </w:p>
    <w:p>
      <w:pPr>
        <w:spacing w:after="0"/>
        <w:rPr>
          <w:rFonts w:ascii="Times New Roman" w:hAnsi="Times New Roman"/>
        </w:rPr>
        <w:sectPr>
          <w:headerReference w:type="default" r:id="rId15"/>
          <w:footerReference w:type="default" r:id="rId16"/>
          <w:pgSz w:w="12240" w:h="15840"/>
          <w:pgMar w:header="0" w:footer="1070" w:top="1320" w:bottom="1260" w:left="1320" w:right="1340"/>
          <w:pgNumType w:start="2"/>
        </w:sectPr>
      </w:pPr>
    </w:p>
    <w:p>
      <w:pPr>
        <w:spacing w:line="472" w:lineRule="auto" w:before="72"/>
        <w:ind w:left="119" w:right="90" w:firstLine="720"/>
        <w:jc w:val="left"/>
        <w:rPr>
          <w:rFonts w:ascii="Times New Roman" w:hAnsi="Times New Roman"/>
          <w:sz w:val="24"/>
        </w:rPr>
      </w:pPr>
      <w:r>
        <w:rPr>
          <w:rFonts w:ascii="Times New Roman" w:hAnsi="Times New Roman"/>
          <w:sz w:val="24"/>
        </w:rPr>
        <w:t>C-V2X offers capabilities unrivaled by other ITS technologies. In extensive comparative benchmark testing conducted by members of 5GAA, C-V2X consistently outperformed radio operations based on the IEEE 802.11p standard, commonly referred to as Dedicated Short Range Communications (“DSRC”),</w:t>
      </w:r>
      <w:hyperlink w:history="true" w:anchor="_bookmark6">
        <w:r>
          <w:rPr>
            <w:rFonts w:ascii="Times New Roman" w:hAnsi="Times New Roman"/>
            <w:position w:val="11"/>
            <w:sz w:val="16"/>
          </w:rPr>
          <w:t>5</w:t>
        </w:r>
      </w:hyperlink>
      <w:r>
        <w:rPr>
          <w:rFonts w:ascii="Times New Roman" w:hAnsi="Times New Roman"/>
          <w:position w:val="11"/>
          <w:sz w:val="16"/>
        </w:rPr>
        <w:t> </w:t>
      </w:r>
      <w:r>
        <w:rPr>
          <w:rFonts w:ascii="Times New Roman" w:hAnsi="Times New Roman"/>
          <w:sz w:val="24"/>
        </w:rPr>
        <w:t>in a number of key areas.</w:t>
      </w:r>
      <w:hyperlink w:history="true" w:anchor="_bookmark7">
        <w:r>
          <w:rPr>
            <w:rFonts w:ascii="Times New Roman" w:hAnsi="Times New Roman"/>
            <w:position w:val="11"/>
            <w:sz w:val="16"/>
          </w:rPr>
          <w:t>6</w:t>
        </w:r>
      </w:hyperlink>
      <w:r>
        <w:rPr>
          <w:rFonts w:ascii="Times New Roman" w:hAnsi="Times New Roman"/>
          <w:position w:val="11"/>
          <w:sz w:val="16"/>
        </w:rPr>
        <w:t> </w:t>
      </w:r>
      <w:r>
        <w:rPr>
          <w:rFonts w:ascii="Times New Roman" w:hAnsi="Times New Roman"/>
          <w:sz w:val="24"/>
        </w:rPr>
        <w:t>These performance advantages, which include superior reliability over a much greater communications range, better non-line-of-sight</w:t>
      </w:r>
    </w:p>
    <w:p>
      <w:pPr>
        <w:spacing w:line="480" w:lineRule="auto" w:before="18"/>
        <w:ind w:left="120" w:right="316" w:firstLine="0"/>
        <w:jc w:val="left"/>
        <w:rPr>
          <w:rFonts w:ascii="Times New Roman" w:hAnsi="Times New Roman"/>
          <w:sz w:val="24"/>
        </w:rPr>
      </w:pPr>
      <w:r>
        <w:rPr>
          <w:rFonts w:ascii="Times New Roman" w:hAnsi="Times New Roman"/>
          <w:sz w:val="24"/>
        </w:rPr>
        <w:t>performance, and greater resiliency, can – both individually and as a complement to in-vehicle camera and sensor-based technologies – provide vehicles and drivers with an earlier, more complete picture of the surrounding road environment.</w:t>
      </w:r>
    </w:p>
    <w:p>
      <w:pPr>
        <w:spacing w:line="480" w:lineRule="auto" w:before="10"/>
        <w:ind w:left="120" w:right="100" w:firstLine="720"/>
        <w:jc w:val="left"/>
        <w:rPr>
          <w:rFonts w:ascii="Times New Roman"/>
          <w:sz w:val="24"/>
        </w:rPr>
      </w:pPr>
      <w:r>
        <w:rPr>
          <w:rFonts w:ascii="Times New Roman"/>
          <w:sz w:val="24"/>
        </w:rPr>
        <w:t>C-V2X also offers an evolution path to 5G. Chairman Pai has recognized the potential of 5G-enabled ITS:</w:t>
      </w:r>
    </w:p>
    <w:p>
      <w:pPr>
        <w:spacing w:line="276" w:lineRule="exact" w:before="13"/>
        <w:ind w:left="1559" w:right="1495" w:firstLine="0"/>
        <w:jc w:val="both"/>
        <w:rPr>
          <w:rFonts w:ascii="Times New Roman" w:hAnsi="Times New Roman"/>
          <w:sz w:val="16"/>
        </w:rPr>
      </w:pPr>
      <w:r>
        <w:rPr>
          <w:rFonts w:ascii="Times New Roman" w:hAnsi="Times New Roman"/>
          <w:sz w:val="24"/>
        </w:rPr>
        <w:t>Imagine a world where everything that can be connected will be connected – where driverless cars talk to smart transportation networks…. That’s a snapshot of what the 5G world will look like.</w:t>
      </w:r>
      <w:hyperlink w:history="true" w:anchor="_bookmark8">
        <w:r>
          <w:rPr>
            <w:rFonts w:ascii="Times New Roman" w:hAnsi="Times New Roman"/>
            <w:position w:val="11"/>
            <w:sz w:val="16"/>
          </w:rPr>
          <w:t>7</w:t>
        </w:r>
      </w:hyperlink>
    </w:p>
    <w:p>
      <w:pPr>
        <w:spacing w:line="480" w:lineRule="auto" w:before="236"/>
        <w:ind w:left="120" w:right="90" w:firstLine="0"/>
        <w:jc w:val="left"/>
        <w:rPr>
          <w:rFonts w:ascii="Times New Roman" w:hAnsi="Times New Roman"/>
          <w:sz w:val="24"/>
        </w:rPr>
      </w:pPr>
      <w:r>
        <w:rPr>
          <w:rFonts w:ascii="Times New Roman" w:hAnsi="Times New Roman"/>
          <w:sz w:val="24"/>
        </w:rPr>
        <w:t>C-V2X technology’s evolution path to 5G promises to bring this vision to ITS, addressing America’s road safety and connected mobility needs with applications such as connected and automated driving, ubiquitous access to services, and integration into smart city and intelligent transportation applications.</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5"/>
        <w:rPr>
          <w:rFonts w:ascii="Times New Roman"/>
          <w:sz w:val="14"/>
        </w:rPr>
      </w:pPr>
      <w:r>
        <w:rPr/>
        <w:pict>
          <v:line style="position:absolute;mso-position-horizontal-relative:page;mso-position-vertical-relative:paragraph;z-index:1120;mso-wrap-distance-left:0;mso-wrap-distance-right:0" from="72pt,10.550756pt" to="216pt,10.550756pt" stroked="true" strokeweight=".599pt" strokecolor="#000000">
            <v:stroke dashstyle="solid"/>
            <w10:wrap type="topAndBottom"/>
          </v:line>
        </w:pict>
      </w:r>
    </w:p>
    <w:p>
      <w:pPr>
        <w:pStyle w:val="BodyText"/>
        <w:spacing w:before="50"/>
        <w:ind w:left="120" w:right="151" w:hanging="1"/>
        <w:rPr>
          <w:rFonts w:ascii="Times New Roman" w:hAnsi="Times New Roman"/>
        </w:rPr>
      </w:pPr>
      <w:bookmarkStart w:name="_bookmark6" w:id="11"/>
      <w:bookmarkEnd w:id="11"/>
      <w:r>
        <w:rPr/>
      </w:r>
      <w:r>
        <w:rPr>
          <w:rFonts w:ascii="Times New Roman" w:hAnsi="Times New Roman"/>
          <w:position w:val="9"/>
          <w:sz w:val="13"/>
        </w:rPr>
        <w:t>5 </w:t>
      </w:r>
      <w:r>
        <w:rPr>
          <w:rFonts w:ascii="Times New Roman" w:hAnsi="Times New Roman"/>
        </w:rPr>
        <w:t>Over the course of the better part of the last two decades, the DSRC service has been conflated with the IEEE 802.11p standard, which in turn is based on the ASTM E2213-03 standard. The Commission’s rules define the DSRC service broadly, but limit operations within the DSRC service to radios compliant with the ASTM E2213-03 standard. </w:t>
      </w:r>
      <w:r>
        <w:rPr>
          <w:rFonts w:ascii="Times New Roman" w:hAnsi="Times New Roman"/>
          <w:i/>
        </w:rPr>
        <w:t>Compare </w:t>
      </w:r>
      <w:r>
        <w:rPr>
          <w:rFonts w:ascii="Times New Roman" w:hAnsi="Times New Roman"/>
        </w:rPr>
        <w:t>47 C.F.R. § 90.371 (defining DSRC service) </w:t>
      </w:r>
      <w:r>
        <w:rPr>
          <w:rFonts w:ascii="Times New Roman" w:hAnsi="Times New Roman"/>
          <w:i/>
        </w:rPr>
        <w:t>with </w:t>
      </w:r>
      <w:r>
        <w:rPr>
          <w:rFonts w:ascii="Times New Roman" w:hAnsi="Times New Roman"/>
        </w:rPr>
        <w:t>47 C.F.R. §§ 90.379, 95.3189 (limiting operations to radios compliant with the ASTM E2213-03 standard). This Petition uses the term “DSRC” to refer to technology based on the IEEE 802.11p standard or the ASTM E2213-03 standard.</w:t>
      </w:r>
    </w:p>
    <w:p>
      <w:pPr>
        <w:pStyle w:val="BodyText"/>
        <w:spacing w:before="95"/>
        <w:ind w:left="120"/>
        <w:rPr>
          <w:rFonts w:ascii="Times New Roman"/>
        </w:rPr>
      </w:pPr>
      <w:bookmarkStart w:name="_bookmark7" w:id="12"/>
      <w:bookmarkEnd w:id="12"/>
      <w:r>
        <w:rPr/>
      </w:r>
      <w:r>
        <w:rPr>
          <w:rFonts w:ascii="Times New Roman"/>
          <w:position w:val="9"/>
          <w:sz w:val="13"/>
        </w:rPr>
        <w:t>6 </w:t>
      </w:r>
      <w:r>
        <w:rPr>
          <w:rFonts w:ascii="Times New Roman"/>
          <w:i/>
        </w:rPr>
        <w:t>See </w:t>
      </w:r>
      <w:r>
        <w:rPr>
          <w:rFonts w:ascii="Times New Roman"/>
        </w:rPr>
        <w:t>5GAA Test Report at </w:t>
      </w:r>
      <w:r>
        <w:rPr>
          <w:rFonts w:ascii="Times New Roman"/>
          <w:u w:val="single"/>
        </w:rPr>
        <w:t>Appendix B</w:t>
      </w:r>
      <w:r>
        <w:rPr>
          <w:rFonts w:ascii="Times New Roman"/>
        </w:rPr>
        <w:t>.</w:t>
      </w:r>
    </w:p>
    <w:p>
      <w:pPr>
        <w:spacing w:before="93"/>
        <w:ind w:left="120" w:right="214" w:firstLine="0"/>
        <w:jc w:val="left"/>
        <w:rPr>
          <w:rFonts w:ascii="Times New Roman"/>
          <w:sz w:val="20"/>
        </w:rPr>
      </w:pPr>
      <w:bookmarkStart w:name="_bookmark8" w:id="13"/>
      <w:bookmarkEnd w:id="13"/>
      <w:r>
        <w:rPr/>
      </w:r>
      <w:r>
        <w:rPr>
          <w:rFonts w:ascii="Times New Roman"/>
          <w:position w:val="9"/>
          <w:sz w:val="13"/>
        </w:rPr>
        <w:t>7 </w:t>
      </w:r>
      <w:r>
        <w:rPr>
          <w:rFonts w:ascii="Times New Roman"/>
          <w:sz w:val="20"/>
        </w:rPr>
        <w:t>Ajit Pai, </w:t>
      </w:r>
      <w:r>
        <w:rPr>
          <w:rFonts w:ascii="Times New Roman"/>
          <w:i/>
          <w:sz w:val="20"/>
        </w:rPr>
        <w:t>Column: Florida is on the leading edge of 5G</w:t>
      </w:r>
      <w:r>
        <w:rPr>
          <w:rFonts w:ascii="Times New Roman"/>
          <w:sz w:val="20"/>
        </w:rPr>
        <w:t>, Tampa Bay Times, May 14, 2018, </w:t>
      </w:r>
      <w:hyperlink r:id="rId19">
        <w:r>
          <w:rPr>
            <w:rFonts w:ascii="Times New Roman"/>
            <w:color w:val="0000FF"/>
            <w:sz w:val="20"/>
            <w:u w:val="single" w:color="0000FF"/>
          </w:rPr>
          <w:t>https://www.tbo.com/-</w:t>
        </w:r>
      </w:hyperlink>
      <w:r>
        <w:rPr>
          <w:rFonts w:ascii="Times New Roman"/>
          <w:color w:val="0000FF"/>
          <w:sz w:val="20"/>
          <w:u w:val="single" w:color="0000FF"/>
        </w:rPr>
        <w:t> </w:t>
      </w:r>
      <w:hyperlink r:id="rId19">
        <w:r>
          <w:rPr>
            <w:rFonts w:ascii="Times New Roman"/>
            <w:color w:val="0000FF"/>
            <w:sz w:val="20"/>
            <w:u w:val="single" w:color="0000FF"/>
          </w:rPr>
          <w:t>opinion/columns/Column-Florida-is-on-the-leading-edge-of-5G_168227409</w:t>
        </w:r>
        <w:r>
          <w:rPr>
            <w:rFonts w:ascii="Times New Roman"/>
            <w:sz w:val="20"/>
          </w:rPr>
          <w:t>.</w:t>
        </w:r>
      </w:hyperlink>
    </w:p>
    <w:p>
      <w:pPr>
        <w:spacing w:after="0"/>
        <w:jc w:val="left"/>
        <w:rPr>
          <w:rFonts w:ascii="Times New Roman"/>
          <w:sz w:val="20"/>
        </w:rPr>
        <w:sectPr>
          <w:headerReference w:type="default" r:id="rId17"/>
          <w:footerReference w:type="default" r:id="rId18"/>
          <w:pgSz w:w="12240" w:h="15840"/>
          <w:pgMar w:header="0" w:footer="1070" w:top="1360" w:bottom="1260" w:left="1320" w:right="1380"/>
          <w:pgNumType w:start="3"/>
        </w:sectPr>
      </w:pPr>
    </w:p>
    <w:p>
      <w:pPr>
        <w:spacing w:line="480" w:lineRule="auto" w:before="72"/>
        <w:ind w:left="120" w:right="230" w:firstLine="720"/>
        <w:jc w:val="both"/>
        <w:rPr>
          <w:rFonts w:ascii="Times New Roman" w:hAnsi="Times New Roman"/>
          <w:sz w:val="24"/>
        </w:rPr>
      </w:pPr>
      <w:r>
        <w:rPr>
          <w:rFonts w:ascii="Times New Roman" w:hAnsi="Times New Roman"/>
          <w:sz w:val="24"/>
        </w:rPr>
        <w:t>Unfortunately, widespread implementation of C-V2X technology in the United States is not feasible today. The Commission’s current rules for the 5.9 GHz band – adopted well before the development of C-V2X – restrict ITS operations to those that use the DSRC standard.</w:t>
      </w:r>
    </w:p>
    <w:p>
      <w:pPr>
        <w:spacing w:line="480" w:lineRule="auto" w:before="10"/>
        <w:ind w:left="120" w:right="95" w:firstLine="720"/>
        <w:jc w:val="left"/>
        <w:rPr>
          <w:rFonts w:ascii="Times New Roman" w:hAnsi="Times New Roman"/>
          <w:sz w:val="24"/>
        </w:rPr>
      </w:pPr>
      <w:r>
        <w:rPr>
          <w:rFonts w:ascii="Times New Roman" w:hAnsi="Times New Roman"/>
          <w:sz w:val="24"/>
        </w:rPr>
        <w:t>The negative repercussions of this restriction are considerable. Opening the 5.9 GHz to a newer technology, C-V2X, will bring great societal benefits. Congress, the U.S. Department of Transportation (“DOT”), and the Commission have acknowledged for decades the potential life- saving and societal benefits enabled by ITS.  With respect to safety in particular, NHTSA – the</w:t>
      </w:r>
    </w:p>
    <w:p>
      <w:pPr>
        <w:spacing w:line="465" w:lineRule="auto" w:before="10"/>
        <w:ind w:left="119" w:right="102" w:firstLine="0"/>
        <w:jc w:val="left"/>
        <w:rPr>
          <w:rFonts w:ascii="Times New Roman" w:hAnsi="Times New Roman"/>
          <w:sz w:val="24"/>
        </w:rPr>
      </w:pPr>
      <w:r>
        <w:rPr>
          <w:rFonts w:ascii="Times New Roman" w:hAnsi="Times New Roman"/>
          <w:sz w:val="24"/>
        </w:rPr>
        <w:t>nation’s expert agency in traffic safety – has stated that </w:t>
      </w:r>
      <w:r>
        <w:rPr>
          <w:rFonts w:ascii="Times New Roman" w:hAnsi="Times New Roman"/>
          <w:spacing w:val="-3"/>
          <w:sz w:val="24"/>
        </w:rPr>
        <w:t>ITS </w:t>
      </w:r>
      <w:r>
        <w:rPr>
          <w:rFonts w:ascii="Times New Roman" w:hAnsi="Times New Roman"/>
          <w:sz w:val="24"/>
        </w:rPr>
        <w:t>technologies in the 5.9 GHz band have the potential to “revolutionize motor vehicle safety.”</w:t>
      </w:r>
      <w:hyperlink w:history="true" w:anchor="_bookmark9">
        <w:r>
          <w:rPr>
            <w:rFonts w:ascii="Times New Roman" w:hAnsi="Times New Roman"/>
            <w:position w:val="11"/>
            <w:sz w:val="16"/>
          </w:rPr>
          <w:t>8</w:t>
        </w:r>
      </w:hyperlink>
      <w:r>
        <w:rPr>
          <w:rFonts w:ascii="Times New Roman" w:hAnsi="Times New Roman"/>
          <w:position w:val="11"/>
          <w:sz w:val="16"/>
        </w:rPr>
        <w:t> </w:t>
      </w:r>
      <w:r>
        <w:rPr>
          <w:rFonts w:ascii="Times New Roman" w:hAnsi="Times New Roman"/>
          <w:sz w:val="24"/>
        </w:rPr>
        <w:t>This is due, among other reasons, to the fact that ITS technologies can address crashes that cannot be prevented by current vehicle- resident technologies.</w:t>
      </w:r>
      <w:hyperlink w:history="true" w:anchor="_bookmark10">
        <w:r>
          <w:rPr>
            <w:rFonts w:ascii="Times New Roman" w:hAnsi="Times New Roman"/>
            <w:position w:val="11"/>
            <w:sz w:val="16"/>
          </w:rPr>
          <w:t>9</w:t>
        </w:r>
      </w:hyperlink>
      <w:r>
        <w:rPr>
          <w:rFonts w:ascii="Times New Roman" w:hAnsi="Times New Roman"/>
          <w:position w:val="11"/>
          <w:sz w:val="16"/>
        </w:rPr>
        <w:t>  </w:t>
      </w:r>
      <w:r>
        <w:rPr>
          <w:rFonts w:ascii="Times New Roman" w:hAnsi="Times New Roman"/>
          <w:sz w:val="24"/>
        </w:rPr>
        <w:t>For example, </w:t>
      </w:r>
      <w:r>
        <w:rPr>
          <w:rFonts w:ascii="Times New Roman" w:hAnsi="Times New Roman"/>
          <w:spacing w:val="-3"/>
          <w:sz w:val="24"/>
        </w:rPr>
        <w:t>ITS </w:t>
      </w:r>
      <w:r>
        <w:rPr>
          <w:rFonts w:ascii="Times New Roman" w:hAnsi="Times New Roman"/>
          <w:sz w:val="24"/>
        </w:rPr>
        <w:t>technologies offer non-line-of-sight capabilities (i.e., the ability to “see” around corners and “see” through other vehicles) that vehicle-resident sensors cannot match.</w:t>
      </w:r>
      <w:hyperlink w:history="true" w:anchor="_bookmark11">
        <w:r>
          <w:rPr>
            <w:rFonts w:ascii="Times New Roman" w:hAnsi="Times New Roman"/>
            <w:position w:val="11"/>
            <w:sz w:val="16"/>
          </w:rPr>
          <w:t>10</w:t>
        </w:r>
      </w:hyperlink>
      <w:r>
        <w:rPr>
          <w:rFonts w:ascii="Times New Roman" w:hAnsi="Times New Roman"/>
          <w:position w:val="11"/>
          <w:sz w:val="16"/>
        </w:rPr>
        <w:t>  </w:t>
      </w:r>
      <w:r>
        <w:rPr>
          <w:rFonts w:ascii="Times New Roman" w:hAnsi="Times New Roman"/>
          <w:sz w:val="24"/>
        </w:rPr>
        <w:t>In addition, NHTSA expects the fusion of </w:t>
      </w:r>
      <w:r>
        <w:rPr>
          <w:rFonts w:ascii="Times New Roman" w:hAnsi="Times New Roman"/>
          <w:spacing w:val="-3"/>
          <w:sz w:val="24"/>
        </w:rPr>
        <w:t>ITS </w:t>
      </w:r>
      <w:r>
        <w:rPr>
          <w:rFonts w:ascii="Times New Roman" w:hAnsi="Times New Roman"/>
          <w:sz w:val="24"/>
        </w:rPr>
        <w:t>with vehicle-resident technologies to enhance the reliability and accuracy of sensor-based information in the short term and, in the longer term, advance the further development of vehicle automation systems.</w:t>
      </w:r>
      <w:hyperlink w:history="true" w:anchor="_bookmark12">
        <w:r>
          <w:rPr>
            <w:rFonts w:ascii="Times New Roman" w:hAnsi="Times New Roman"/>
            <w:position w:val="11"/>
            <w:sz w:val="16"/>
          </w:rPr>
          <w:t>11</w:t>
        </w:r>
      </w:hyperlink>
      <w:r>
        <w:rPr>
          <w:rFonts w:ascii="Times New Roman" w:hAnsi="Times New Roman"/>
          <w:position w:val="11"/>
          <w:sz w:val="16"/>
        </w:rPr>
        <w:t> </w:t>
      </w:r>
      <w:r>
        <w:rPr>
          <w:rFonts w:ascii="Times New Roman" w:hAnsi="Times New Roman"/>
          <w:sz w:val="24"/>
        </w:rPr>
        <w:t>Consistent with the importance of ITS services in the 5.9 GHz band, the DOT recently issued guidance “encourage[ing] the automotive industry, wireless technology</w:t>
      </w:r>
      <w:r>
        <w:rPr>
          <w:rFonts w:ascii="Times New Roman" w:hAnsi="Times New Roman"/>
          <w:spacing w:val="-21"/>
          <w:sz w:val="24"/>
        </w:rPr>
        <w:t> </w:t>
      </w:r>
      <w:r>
        <w:rPr>
          <w:rFonts w:ascii="Times New Roman" w:hAnsi="Times New Roman"/>
          <w:sz w:val="24"/>
        </w:rPr>
        <w:t>companies,</w: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5"/>
        <w:rPr>
          <w:rFonts w:ascii="Times New Roman"/>
          <w:sz w:val="18"/>
        </w:rPr>
      </w:pPr>
      <w:r>
        <w:rPr/>
        <w:pict>
          <v:line style="position:absolute;mso-position-horizontal-relative:page;mso-position-vertical-relative:paragraph;z-index:1144;mso-wrap-distance-left:0;mso-wrap-distance-right:0" from="72pt,12.878651pt" to="216pt,12.878651pt" stroked="true" strokeweight=".6pt" strokecolor="#000000">
            <v:stroke dashstyle="solid"/>
            <w10:wrap type="topAndBottom"/>
          </v:line>
        </w:pict>
      </w:r>
    </w:p>
    <w:p>
      <w:pPr>
        <w:pStyle w:val="BodyText"/>
        <w:spacing w:before="50"/>
        <w:ind w:left="120" w:right="95" w:hanging="1"/>
        <w:rPr>
          <w:rFonts w:ascii="Times New Roman" w:hAnsi="Times New Roman"/>
        </w:rPr>
      </w:pPr>
      <w:bookmarkStart w:name="_bookmark9" w:id="14"/>
      <w:bookmarkEnd w:id="14"/>
      <w:r>
        <w:rPr/>
      </w:r>
      <w:r>
        <w:rPr>
          <w:rFonts w:ascii="Times New Roman" w:hAnsi="Times New Roman"/>
          <w:position w:val="9"/>
          <w:sz w:val="13"/>
        </w:rPr>
        <w:t>8 </w:t>
      </w:r>
      <w:r>
        <w:rPr>
          <w:rFonts w:ascii="Times New Roman" w:hAnsi="Times New Roman"/>
          <w:i/>
        </w:rPr>
        <w:t>See</w:t>
      </w:r>
      <w:r>
        <w:rPr>
          <w:rFonts w:ascii="Times New Roman" w:hAnsi="Times New Roman"/>
        </w:rPr>
        <w:t>, </w:t>
      </w:r>
      <w:r>
        <w:rPr>
          <w:rFonts w:ascii="Times New Roman" w:hAnsi="Times New Roman"/>
          <w:i/>
        </w:rPr>
        <w:t>e.g.</w:t>
      </w:r>
      <w:r>
        <w:rPr>
          <w:rFonts w:ascii="Times New Roman" w:hAnsi="Times New Roman"/>
        </w:rPr>
        <w:t>, Federal Motor Vehicle Safety Standards; V2V Communications, 82 Fed. Reg. 3854, 3855 (Jan. 12, 2017) (“Federal Motor Vehicle Safety Standards”).</w:t>
      </w:r>
    </w:p>
    <w:p>
      <w:pPr>
        <w:pStyle w:val="BodyText"/>
        <w:spacing w:before="93"/>
        <w:ind w:left="120"/>
        <w:rPr>
          <w:rFonts w:ascii="Times New Roman"/>
        </w:rPr>
      </w:pPr>
      <w:bookmarkStart w:name="_bookmark10" w:id="15"/>
      <w:bookmarkEnd w:id="15"/>
      <w:r>
        <w:rPr/>
      </w:r>
      <w:r>
        <w:rPr>
          <w:rFonts w:ascii="Times New Roman"/>
          <w:position w:val="9"/>
          <w:sz w:val="13"/>
        </w:rPr>
        <w:t>9 </w:t>
      </w:r>
      <w:r>
        <w:rPr>
          <w:rFonts w:ascii="Times New Roman"/>
          <w:i/>
        </w:rPr>
        <w:t>See id</w:t>
      </w:r>
      <w:r>
        <w:rPr>
          <w:rFonts w:ascii="Times New Roman"/>
        </w:rPr>
        <w:t>. Vehicle-resident technologies include in-vehicle camera and sensor-based technologies.</w:t>
      </w:r>
    </w:p>
    <w:p>
      <w:pPr>
        <w:pStyle w:val="BodyText"/>
        <w:spacing w:before="95"/>
        <w:ind w:left="119" w:right="128"/>
        <w:rPr>
          <w:rFonts w:ascii="Times New Roman"/>
        </w:rPr>
      </w:pPr>
      <w:bookmarkStart w:name="_bookmark11" w:id="16"/>
      <w:bookmarkEnd w:id="16"/>
      <w:r>
        <w:rPr/>
      </w:r>
      <w:r>
        <w:rPr>
          <w:rFonts w:ascii="Times New Roman"/>
          <w:position w:val="9"/>
          <w:sz w:val="13"/>
        </w:rPr>
        <w:t>10 </w:t>
      </w:r>
      <w:r>
        <w:rPr>
          <w:rFonts w:ascii="Times New Roman"/>
        </w:rPr>
        <w:t>In addition to increased non-line-of-sight capabilities, ITS offers a number of additional benefits.  For example, ITS basic safety messages contain additional information, such as path predictions and driver actions, not available from traditional sensors.  Moreover, ITS offers an operational range that far exceeds that of vehicle-resident systems, and ITS technology is not subject to the same system limitations as vehicle-resident sensors, which may be affected by weather, sunlight, shadows, or cleanliness.</w:t>
      </w:r>
    </w:p>
    <w:p>
      <w:pPr>
        <w:pStyle w:val="BodyText"/>
        <w:spacing w:before="92"/>
        <w:ind w:left="120"/>
        <w:rPr>
          <w:rFonts w:ascii="Times New Roman"/>
        </w:rPr>
      </w:pPr>
      <w:bookmarkStart w:name="_bookmark12" w:id="17"/>
      <w:bookmarkEnd w:id="17"/>
      <w:r>
        <w:rPr/>
      </w:r>
      <w:r>
        <w:rPr>
          <w:rFonts w:ascii="Times New Roman"/>
          <w:position w:val="9"/>
          <w:sz w:val="13"/>
        </w:rPr>
        <w:t>11 </w:t>
      </w:r>
      <w:r>
        <w:rPr>
          <w:rFonts w:ascii="Times New Roman"/>
          <w:i/>
        </w:rPr>
        <w:t>See </w:t>
      </w:r>
      <w:r>
        <w:rPr>
          <w:rFonts w:ascii="Times New Roman"/>
        </w:rPr>
        <w:t>Federal Motor Vehicle Safety Standards, 82 Fed. Reg. at 3855.</w:t>
      </w:r>
    </w:p>
    <w:p>
      <w:pPr>
        <w:spacing w:after="0"/>
        <w:rPr>
          <w:rFonts w:ascii="Times New Roman"/>
        </w:rPr>
        <w:sectPr>
          <w:headerReference w:type="default" r:id="rId20"/>
          <w:footerReference w:type="default" r:id="rId21"/>
          <w:pgSz w:w="12240" w:h="15840"/>
          <w:pgMar w:header="0" w:footer="1070" w:top="1360" w:bottom="1260" w:left="1320" w:right="1360"/>
          <w:pgNumType w:start="4"/>
        </w:sectPr>
      </w:pPr>
    </w:p>
    <w:p>
      <w:pPr>
        <w:spacing w:line="448" w:lineRule="auto" w:before="72"/>
        <w:ind w:left="120" w:right="1196" w:firstLine="0"/>
        <w:jc w:val="left"/>
        <w:rPr>
          <w:rFonts w:ascii="Times New Roman" w:hAnsi="Times New Roman"/>
          <w:sz w:val="16"/>
        </w:rPr>
      </w:pPr>
      <w:r>
        <w:rPr>
          <w:rFonts w:ascii="Times New Roman" w:hAnsi="Times New Roman"/>
          <w:sz w:val="24"/>
        </w:rPr>
        <w:t>[infrastructure owners and operators], and other stakeholders to continue developing technologies that leverage the 5.9 GHz spectrum for transportation safety benefits.”</w:t>
      </w:r>
      <w:hyperlink w:history="true" w:anchor="_bookmark14">
        <w:r>
          <w:rPr>
            <w:rFonts w:ascii="Times New Roman" w:hAnsi="Times New Roman"/>
            <w:position w:val="11"/>
            <w:sz w:val="16"/>
          </w:rPr>
          <w:t>12</w:t>
        </w:r>
      </w:hyperlink>
    </w:p>
    <w:p>
      <w:pPr>
        <w:spacing w:line="480" w:lineRule="auto" w:before="11"/>
        <w:ind w:left="120" w:right="116" w:firstLine="720"/>
        <w:jc w:val="left"/>
        <w:rPr>
          <w:rFonts w:ascii="Times New Roman" w:hAnsi="Times New Roman"/>
          <w:sz w:val="24"/>
        </w:rPr>
      </w:pPr>
      <w:r>
        <w:rPr>
          <w:rFonts w:ascii="Times New Roman" w:hAnsi="Times New Roman"/>
          <w:sz w:val="24"/>
        </w:rPr>
        <w:t>To accelerate the realization of the expected benefits from C-V2X services, and consistent with the DOT’s guidance regarding the development of technologies that leverage the</w:t>
      </w:r>
    </w:p>
    <w:p>
      <w:pPr>
        <w:spacing w:line="480" w:lineRule="auto" w:before="10"/>
        <w:ind w:left="119" w:right="103" w:firstLine="0"/>
        <w:jc w:val="left"/>
        <w:rPr>
          <w:rFonts w:ascii="Times New Roman"/>
          <w:sz w:val="24"/>
        </w:rPr>
      </w:pPr>
      <w:r>
        <w:rPr>
          <w:rFonts w:ascii="Times New Roman"/>
          <w:sz w:val="24"/>
        </w:rPr>
        <w:t>5.9 GHz band, the Commission should grant this Waiver Request to allow for the near-term deployment of C-V2X technology. While this Waiver Request seeks permission to deploy C- V2X in the upper 20 MHz of 5.9 GHz band, this request should not be misconstrued as an indication that C-V2X requires only 20 MHz of spectrum. While 20 MHz is the ideal channel size for 4G LTE-based C-V2X, i.e., the initial version of C-V2X, the bandwidth requirements to support more intensive 5G-enabled road safety applications will be much higher. This should come as no surprise. It is a simple matter of physics that 5G technology requires access to large swaths of spectrum to meet the speed and latency requirements of 5G applications. 5G-based C- V2X is no different.  5GAA thus plans to file a complementary petition for rulemaking in the near future requesting that the Commission initiate a proceeding to modify its 5.9 GHz band ITS rules to provide stakeholders the flexibility to take the evolutionary leap forward in connected vehicle technologies enabled by 5G.</w:t>
      </w:r>
    </w:p>
    <w:p>
      <w:pPr>
        <w:pStyle w:val="ListParagraph"/>
        <w:numPr>
          <w:ilvl w:val="2"/>
          <w:numId w:val="2"/>
        </w:numPr>
        <w:tabs>
          <w:tab w:pos="839" w:val="left" w:leader="none"/>
          <w:tab w:pos="840" w:val="left" w:leader="none"/>
        </w:tabs>
        <w:spacing w:line="240" w:lineRule="auto" w:before="15" w:after="0"/>
        <w:ind w:left="840" w:right="504" w:hanging="720"/>
        <w:jc w:val="left"/>
        <w:rPr>
          <w:rFonts w:ascii="Times New Roman" w:hAnsi="Times New Roman"/>
          <w:b/>
          <w:sz w:val="24"/>
        </w:rPr>
      </w:pPr>
      <w:bookmarkStart w:name="III. C-V2X is a Modern, Standards-Based " w:id="18"/>
      <w:bookmarkEnd w:id="18"/>
      <w:r>
        <w:rPr/>
      </w:r>
      <w:bookmarkStart w:name="_bookmark13" w:id="19"/>
      <w:bookmarkEnd w:id="19"/>
      <w:r>
        <w:rPr/>
      </w:r>
      <w:bookmarkStart w:name="_bookmark13" w:id="20"/>
      <w:bookmarkEnd w:id="20"/>
      <w:r>
        <w:rPr>
          <w:rFonts w:ascii="Times New Roman" w:hAnsi="Times New Roman"/>
          <w:b/>
          <w:sz w:val="24"/>
        </w:rPr>
        <w:t>C</w:t>
      </w:r>
      <w:r>
        <w:rPr>
          <w:rFonts w:ascii="Times New Roman" w:hAnsi="Times New Roman"/>
          <w:b/>
          <w:sz w:val="24"/>
        </w:rPr>
        <w:t>-V2X is a Modern, Standards-Based Technology Designed to Meet Today’s Transportation Challenges as Well as the Evolving Demands of Tomorrow’s 5G Connected Transportation</w:t>
      </w:r>
      <w:r>
        <w:rPr>
          <w:rFonts w:ascii="Times New Roman" w:hAnsi="Times New Roman"/>
          <w:b/>
          <w:spacing w:val="-12"/>
          <w:sz w:val="24"/>
        </w:rPr>
        <w:t> </w:t>
      </w:r>
      <w:r>
        <w:rPr>
          <w:rFonts w:ascii="Times New Roman" w:hAnsi="Times New Roman"/>
          <w:b/>
          <w:sz w:val="24"/>
        </w:rPr>
        <w:t>Ecosystem</w:t>
      </w:r>
    </w:p>
    <w:p>
      <w:pPr>
        <w:spacing w:line="480" w:lineRule="auto" w:before="233"/>
        <w:ind w:left="119" w:right="289" w:firstLine="720"/>
        <w:jc w:val="left"/>
        <w:rPr>
          <w:rFonts w:ascii="Times New Roman"/>
          <w:sz w:val="24"/>
        </w:rPr>
      </w:pPr>
      <w:r>
        <w:rPr>
          <w:rFonts w:ascii="Times New Roman"/>
          <w:sz w:val="24"/>
        </w:rPr>
        <w:t>Building upon decades of continuous evolution in cellular technologies, the standards development for C-V2X began in 2015 when 3GPP specified C-V2X features based on the 4G</w: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6"/>
        <w:rPr>
          <w:rFonts w:ascii="Times New Roman"/>
          <w:sz w:val="27"/>
        </w:rPr>
      </w:pPr>
      <w:r>
        <w:rPr/>
        <w:pict>
          <v:line style="position:absolute;mso-position-horizontal-relative:page;mso-position-vertical-relative:paragraph;z-index:1168;mso-wrap-distance-left:0;mso-wrap-distance-right:0" from="72pt,18.086370pt" to="216pt,18.086370pt" stroked="true" strokeweight=".599pt" strokecolor="#000000">
            <v:stroke dashstyle="solid"/>
            <w10:wrap type="topAndBottom"/>
          </v:line>
        </w:pict>
      </w:r>
    </w:p>
    <w:p>
      <w:pPr>
        <w:spacing w:before="50"/>
        <w:ind w:left="120" w:right="227" w:firstLine="0"/>
        <w:jc w:val="left"/>
        <w:rPr>
          <w:rFonts w:ascii="Times New Roman"/>
          <w:sz w:val="20"/>
        </w:rPr>
      </w:pPr>
      <w:bookmarkStart w:name="_bookmark14" w:id="21"/>
      <w:bookmarkEnd w:id="21"/>
      <w:r>
        <w:rPr/>
      </w:r>
      <w:r>
        <w:rPr>
          <w:rFonts w:ascii="Times New Roman"/>
          <w:position w:val="9"/>
          <w:sz w:val="13"/>
        </w:rPr>
        <w:t>12 </w:t>
      </w:r>
      <w:r>
        <w:rPr>
          <w:rFonts w:ascii="Times New Roman"/>
          <w:i/>
          <w:sz w:val="20"/>
        </w:rPr>
        <w:t>See </w:t>
      </w:r>
      <w:r>
        <w:rPr>
          <w:rFonts w:ascii="Times New Roman"/>
          <w:sz w:val="20"/>
        </w:rPr>
        <w:t>U.S. Department of Transportation, </w:t>
      </w:r>
      <w:r>
        <w:rPr>
          <w:rFonts w:ascii="Times New Roman"/>
          <w:i/>
          <w:sz w:val="20"/>
        </w:rPr>
        <w:t>Automated Vehicles 3.0, Preparing For the Future of Transportation</w:t>
      </w:r>
      <w:r>
        <w:rPr>
          <w:rFonts w:ascii="Times New Roman"/>
          <w:sz w:val="20"/>
        </w:rPr>
        <w:t>, at 16 (Oct. 4, 2018), </w:t>
      </w:r>
      <w:hyperlink r:id="rId24">
        <w:r>
          <w:rPr>
            <w:rFonts w:ascii="Times New Roman"/>
            <w:color w:val="0000FF"/>
            <w:sz w:val="20"/>
            <w:u w:val="single" w:color="0000FF"/>
          </w:rPr>
          <w:t>https://www.transportation.gov/sites/dot.gov/files/docs/policy-initiatives/automated-</w:t>
        </w:r>
      </w:hyperlink>
      <w:r>
        <w:rPr>
          <w:rFonts w:ascii="Times New Roman"/>
          <w:color w:val="0000FF"/>
          <w:sz w:val="20"/>
          <w:u w:val="single" w:color="0000FF"/>
        </w:rPr>
        <w:t> </w:t>
      </w:r>
      <w:hyperlink r:id="rId24">
        <w:r>
          <w:rPr>
            <w:rFonts w:ascii="Times New Roman"/>
            <w:color w:val="0000FF"/>
            <w:sz w:val="20"/>
            <w:u w:val="single" w:color="0000FF"/>
          </w:rPr>
          <w:t>vehicles/320711/preparing-future-transportation-automated-vehicle-30.pdf</w:t>
        </w:r>
        <w:r>
          <w:rPr>
            <w:rFonts w:ascii="Times New Roman"/>
            <w:sz w:val="20"/>
          </w:rPr>
          <w:t>.</w:t>
        </w:r>
      </w:hyperlink>
    </w:p>
    <w:p>
      <w:pPr>
        <w:spacing w:after="0"/>
        <w:jc w:val="left"/>
        <w:rPr>
          <w:rFonts w:ascii="Times New Roman"/>
          <w:sz w:val="20"/>
        </w:rPr>
        <w:sectPr>
          <w:headerReference w:type="default" r:id="rId22"/>
          <w:footerReference w:type="default" r:id="rId23"/>
          <w:pgSz w:w="12240" w:h="15840"/>
          <w:pgMar w:header="0" w:footer="1070" w:top="1360" w:bottom="1260" w:left="1320" w:right="1400"/>
          <w:pgNumType w:start="5"/>
        </w:sectPr>
      </w:pPr>
    </w:p>
    <w:p>
      <w:pPr>
        <w:spacing w:line="458" w:lineRule="auto" w:before="76"/>
        <w:ind w:left="119" w:right="230" w:firstLine="0"/>
        <w:jc w:val="left"/>
        <w:rPr>
          <w:rFonts w:ascii="Times New Roman"/>
          <w:sz w:val="16"/>
        </w:rPr>
      </w:pPr>
      <w:r>
        <w:rPr>
          <w:rFonts w:ascii="Times New Roman"/>
          <w:sz w:val="24"/>
        </w:rPr>
        <w:t>LTE-Pro system in 3GPP Release 14</w:t>
      </w:r>
      <w:bookmarkStart w:name="_bookmark16" w:id="22"/>
      <w:bookmarkEnd w:id="22"/>
      <w:r>
        <w:rPr>
          <w:rFonts w:ascii="Times New Roman"/>
          <w:sz w:val="24"/>
        </w:rPr>
        <w:t>.</w:t>
      </w:r>
      <w:hyperlink w:history="true" w:anchor="_bookmark18">
        <w:r>
          <w:rPr>
            <w:rFonts w:ascii="Times New Roman"/>
            <w:position w:val="11"/>
            <w:sz w:val="16"/>
          </w:rPr>
          <w:t>13</w:t>
        </w:r>
      </w:hyperlink>
      <w:r>
        <w:rPr>
          <w:rFonts w:ascii="Times New Roman"/>
          <w:position w:val="11"/>
          <w:sz w:val="16"/>
        </w:rPr>
        <w:t> </w:t>
      </w:r>
      <w:r>
        <w:rPr>
          <w:rFonts w:ascii="Times New Roman"/>
          <w:sz w:val="24"/>
        </w:rPr>
        <w:t>The Release 14 version of LTE, which was finalized in 2017, was the first cellular standard to incorporate C-V2X technology, but it would not be the las</w:t>
      </w:r>
      <w:bookmarkStart w:name="_bookmark15" w:id="23"/>
      <w:bookmarkEnd w:id="23"/>
      <w:r>
        <w:rPr>
          <w:rFonts w:ascii="Times New Roman"/>
          <w:sz w:val="24"/>
        </w:rPr>
        <w:t>t</w:t>
      </w:r>
      <w:r>
        <w:rPr>
          <w:rFonts w:ascii="Times New Roman"/>
          <w:sz w:val="24"/>
        </w:rPr>
        <w:t>.</w:t>
      </w:r>
      <w:hyperlink w:history="true" w:anchor="_bookmark19">
        <w:r>
          <w:rPr>
            <w:rFonts w:ascii="Times New Roman"/>
            <w:position w:val="11"/>
            <w:sz w:val="16"/>
          </w:rPr>
          <w:t>14</w:t>
        </w:r>
      </w:hyperlink>
      <w:r>
        <w:rPr>
          <w:rFonts w:ascii="Times New Roman"/>
          <w:position w:val="11"/>
          <w:sz w:val="16"/>
        </w:rPr>
        <w:t> </w:t>
      </w:r>
      <w:r>
        <w:rPr>
          <w:rFonts w:ascii="Times New Roman"/>
          <w:sz w:val="24"/>
        </w:rPr>
        <w:t>3GPP Release 15 also incorporated C-V2X,</w:t>
      </w:r>
      <w:hyperlink w:history="true" w:anchor="_bookmark20">
        <w:r>
          <w:rPr>
            <w:rFonts w:ascii="Times New Roman"/>
            <w:position w:val="11"/>
            <w:sz w:val="16"/>
          </w:rPr>
          <w:t>15</w:t>
        </w:r>
      </w:hyperlink>
      <w:r>
        <w:rPr>
          <w:rFonts w:ascii="Times New Roman"/>
          <w:position w:val="11"/>
          <w:sz w:val="16"/>
        </w:rPr>
        <w:t> </w:t>
      </w:r>
      <w:r>
        <w:rPr>
          <w:rFonts w:ascii="Times New Roman"/>
          <w:sz w:val="24"/>
        </w:rPr>
        <w:t>and work already is underway to develop 5G C-V2X in 3GPP Release 16, which is expected to be completed next year.</w:t>
      </w:r>
      <w:hyperlink w:history="true" w:anchor="_bookmark21">
        <w:r>
          <w:rPr>
            <w:rFonts w:ascii="Times New Roman"/>
            <w:position w:val="11"/>
            <w:sz w:val="16"/>
          </w:rPr>
          <w:t>16</w:t>
        </w:r>
      </w:hyperlink>
    </w:p>
    <w:p>
      <w:pPr>
        <w:spacing w:line="472" w:lineRule="auto" w:before="0"/>
        <w:ind w:left="119" w:right="544" w:firstLine="720"/>
        <w:jc w:val="left"/>
        <w:rPr>
          <w:rFonts w:ascii="Times New Roman"/>
          <w:sz w:val="24"/>
        </w:rPr>
      </w:pPr>
      <w:r>
        <w:rPr>
          <w:rFonts w:ascii="Times New Roman"/>
          <w:sz w:val="24"/>
        </w:rPr>
        <w:t>C-V2X is comprised of two complementary communications modes for vehicular operations: peer-to-peer (called PC5 in 3GPP specifications) and network (called Uu in the specifications) communications. Peer-to-peer mode communications, which can operate independently of cellular networks and without a network subscripti</w:t>
      </w:r>
      <w:bookmarkStart w:name="_bookmark17" w:id="24"/>
      <w:bookmarkEnd w:id="24"/>
      <w:r>
        <w:rPr>
          <w:rFonts w:ascii="Times New Roman"/>
          <w:sz w:val="24"/>
        </w:rPr>
        <w:t>on</w:t>
      </w:r>
      <w:r>
        <w:rPr>
          <w:rFonts w:ascii="Times New Roman"/>
          <w:sz w:val="24"/>
        </w:rPr>
        <w:t>,</w:t>
      </w:r>
      <w:hyperlink w:history="true" w:anchor="_bookmark22">
        <w:r>
          <w:rPr>
            <w:rFonts w:ascii="Times New Roman"/>
            <w:position w:val="11"/>
            <w:sz w:val="16"/>
          </w:rPr>
          <w:t>17</w:t>
        </w:r>
      </w:hyperlink>
      <w:r>
        <w:rPr>
          <w:rFonts w:ascii="Times New Roman"/>
          <w:position w:val="11"/>
          <w:sz w:val="16"/>
        </w:rPr>
        <w:t> </w:t>
      </w:r>
      <w:r>
        <w:rPr>
          <w:rFonts w:ascii="Times New Roman"/>
          <w:sz w:val="24"/>
        </w:rPr>
        <w:t>include: (1) V2V communications, which are expected to be used to communicate safety information between</w:t>
      </w:r>
    </w:p>
    <w:p>
      <w:pPr>
        <w:spacing w:line="480" w:lineRule="auto" w:before="20"/>
        <w:ind w:left="120" w:right="530" w:firstLine="0"/>
        <w:jc w:val="left"/>
        <w:rPr>
          <w:rFonts w:ascii="Times New Roman"/>
          <w:sz w:val="24"/>
        </w:rPr>
      </w:pPr>
      <w:r>
        <w:rPr>
          <w:rFonts w:ascii="Times New Roman"/>
          <w:sz w:val="24"/>
        </w:rPr>
        <w:t>nearby vehicles to prevent collisions; (2) V2I communications (e.g., traffic signals, variable message signs, etc.), which are expected to communicate safety and traffic information to prevent accidents associated with roadway conditions and improve traffic efficiency, and (3) V2P communications, which are expected to be used to communicate safety information between vehicles and other road users such as pedestrians, bicyclists, motorcyclists, etc. to</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5"/>
        <w:rPr>
          <w:rFonts w:ascii="Times New Roman"/>
          <w:sz w:val="10"/>
        </w:rPr>
      </w:pPr>
      <w:r>
        <w:rPr/>
        <w:pict>
          <v:line style="position:absolute;mso-position-horizontal-relative:page;mso-position-vertical-relative:paragraph;z-index:1192;mso-wrap-distance-left:0;mso-wrap-distance-right:0" from="72pt,8.264423pt" to="216pt,8.264423pt" stroked="true" strokeweight=".599pt" strokecolor="#000000">
            <v:stroke dashstyle="solid"/>
            <w10:wrap type="topAndBottom"/>
          </v:line>
        </w:pict>
      </w:r>
    </w:p>
    <w:p>
      <w:pPr>
        <w:spacing w:before="50"/>
        <w:ind w:left="120" w:right="316" w:firstLine="0"/>
        <w:jc w:val="left"/>
        <w:rPr>
          <w:rFonts w:ascii="Times New Roman"/>
          <w:sz w:val="20"/>
        </w:rPr>
      </w:pPr>
      <w:bookmarkStart w:name="_bookmark18" w:id="25"/>
      <w:bookmarkEnd w:id="25"/>
      <w:r>
        <w:rPr/>
      </w:r>
      <w:r>
        <w:rPr>
          <w:rFonts w:ascii="Times New Roman"/>
          <w:position w:val="9"/>
          <w:sz w:val="13"/>
        </w:rPr>
        <w:t>13 </w:t>
      </w:r>
      <w:r>
        <w:rPr>
          <w:rFonts w:ascii="Times New Roman"/>
          <w:sz w:val="20"/>
        </w:rPr>
        <w:t>Dino Flore, </w:t>
      </w:r>
      <w:r>
        <w:rPr>
          <w:rFonts w:ascii="Times New Roman"/>
          <w:i/>
          <w:sz w:val="20"/>
        </w:rPr>
        <w:t>Initial Cellular V2X standard completed</w:t>
      </w:r>
      <w:r>
        <w:rPr>
          <w:rFonts w:ascii="Times New Roman"/>
          <w:sz w:val="20"/>
        </w:rPr>
        <w:t>, 3GPP (Sept. 26, 2016), </w:t>
      </w:r>
      <w:hyperlink r:id="rId27">
        <w:r>
          <w:rPr>
            <w:rFonts w:ascii="Times New Roman"/>
            <w:color w:val="0000FF"/>
            <w:sz w:val="20"/>
            <w:u w:val="single" w:color="0000FF"/>
          </w:rPr>
          <w:t>http://www.3gpp.org/news-</w:t>
        </w:r>
      </w:hyperlink>
      <w:r>
        <w:rPr>
          <w:rFonts w:ascii="Times New Roman"/>
          <w:color w:val="0000FF"/>
          <w:sz w:val="20"/>
          <w:u w:val="single" w:color="0000FF"/>
        </w:rPr>
        <w:t> </w:t>
      </w:r>
      <w:hyperlink r:id="rId27">
        <w:r>
          <w:rPr>
            <w:rFonts w:ascii="Times New Roman"/>
            <w:color w:val="0000FF"/>
            <w:sz w:val="20"/>
            <w:u w:val="single" w:color="0000FF"/>
          </w:rPr>
          <w:t>events/3gpp-news/1798-v2x_r14ietf%20ipwave</w:t>
        </w:r>
        <w:r>
          <w:rPr>
            <w:rFonts w:ascii="Times New Roman"/>
            <w:sz w:val="20"/>
          </w:rPr>
          <w:t>;</w:t>
        </w:r>
      </w:hyperlink>
      <w:r>
        <w:rPr>
          <w:rFonts w:ascii="Times New Roman"/>
          <w:sz w:val="20"/>
        </w:rPr>
        <w:t> NGMN Alliance, </w:t>
      </w:r>
      <w:r>
        <w:rPr>
          <w:rFonts w:ascii="Times New Roman"/>
          <w:i/>
          <w:sz w:val="20"/>
        </w:rPr>
        <w:t>V2X White Paper v. 1.0</w:t>
      </w:r>
      <w:r>
        <w:rPr>
          <w:rFonts w:ascii="Times New Roman"/>
          <w:sz w:val="20"/>
        </w:rPr>
        <w:t>, at 19 (June 17, 2018), </w:t>
      </w:r>
      <w:hyperlink r:id="rId28">
        <w:r>
          <w:rPr>
            <w:rFonts w:ascii="Times New Roman"/>
            <w:color w:val="0000FF"/>
            <w:sz w:val="20"/>
            <w:u w:val="single" w:color="0000FF"/>
          </w:rPr>
          <w:t>https://www.ngmn.org/fileadmin/ngmn/content/downloads/Technical/2018/V2X_white_paper_v1_0.pdf</w:t>
        </w:r>
        <w:r>
          <w:rPr>
            <w:rFonts w:ascii="Times New Roman"/>
            <w:sz w:val="20"/>
          </w:rPr>
          <w:t>.</w:t>
        </w:r>
      </w:hyperlink>
    </w:p>
    <w:p>
      <w:pPr>
        <w:pStyle w:val="BodyText"/>
        <w:spacing w:before="95"/>
        <w:ind w:left="120"/>
        <w:rPr>
          <w:rFonts w:ascii="Times New Roman"/>
        </w:rPr>
      </w:pPr>
      <w:bookmarkStart w:name="_bookmark19" w:id="26"/>
      <w:bookmarkEnd w:id="26"/>
      <w:r>
        <w:rPr/>
      </w:r>
      <w:r>
        <w:rPr>
          <w:rFonts w:ascii="Times New Roman"/>
          <w:position w:val="9"/>
          <w:sz w:val="13"/>
        </w:rPr>
        <w:t>14 </w:t>
      </w:r>
      <w:r>
        <w:rPr>
          <w:rFonts w:ascii="Times New Roman"/>
        </w:rPr>
        <w:t>3GPP, </w:t>
      </w:r>
      <w:r>
        <w:rPr>
          <w:rFonts w:ascii="Times New Roman"/>
          <w:i/>
        </w:rPr>
        <w:t>Release 14</w:t>
      </w:r>
      <w:r>
        <w:rPr>
          <w:rFonts w:ascii="Times New Roman"/>
        </w:rPr>
        <w:t>, </w:t>
      </w:r>
      <w:hyperlink r:id="rId29">
        <w:r>
          <w:rPr>
            <w:rFonts w:ascii="Times New Roman"/>
            <w:color w:val="0000FF"/>
            <w:u w:val="single" w:color="0000FF"/>
          </w:rPr>
          <w:t>http://www.3gpp.org/release-14 </w:t>
        </w:r>
      </w:hyperlink>
      <w:r>
        <w:rPr>
          <w:rFonts w:ascii="Times New Roman"/>
        </w:rPr>
        <w:t>(last visited Nov. 19, 2018).</w:t>
      </w:r>
    </w:p>
    <w:p>
      <w:pPr>
        <w:pStyle w:val="BodyText"/>
        <w:spacing w:before="95"/>
        <w:ind w:left="120"/>
        <w:rPr>
          <w:rFonts w:ascii="Times New Roman"/>
        </w:rPr>
      </w:pPr>
      <w:bookmarkStart w:name="_bookmark20" w:id="27"/>
      <w:bookmarkEnd w:id="27"/>
      <w:r>
        <w:rPr/>
      </w:r>
      <w:r>
        <w:rPr>
          <w:rFonts w:ascii="Times New Roman"/>
          <w:position w:val="9"/>
          <w:sz w:val="13"/>
        </w:rPr>
        <w:t>15 </w:t>
      </w:r>
      <w:r>
        <w:rPr>
          <w:rFonts w:ascii="Times New Roman"/>
        </w:rPr>
        <w:t>3GPP, </w:t>
      </w:r>
      <w:r>
        <w:rPr>
          <w:rFonts w:ascii="Times New Roman"/>
          <w:i/>
        </w:rPr>
        <w:t>Release 15, </w:t>
      </w:r>
      <w:hyperlink r:id="rId30">
        <w:r>
          <w:rPr>
            <w:rFonts w:ascii="Times New Roman"/>
            <w:color w:val="0000FF"/>
            <w:u w:val="single" w:color="0000FF"/>
          </w:rPr>
          <w:t>http://www.3gpp.org/release-15 </w:t>
        </w:r>
      </w:hyperlink>
      <w:r>
        <w:rPr>
          <w:rFonts w:ascii="Times New Roman"/>
        </w:rPr>
        <w:t>(last visited Nov. 19, 2018).</w:t>
      </w:r>
    </w:p>
    <w:p>
      <w:pPr>
        <w:pStyle w:val="BodyText"/>
        <w:spacing w:before="95"/>
        <w:ind w:left="120" w:right="83"/>
        <w:rPr>
          <w:rFonts w:ascii="Times New Roman"/>
        </w:rPr>
      </w:pPr>
      <w:bookmarkStart w:name="_bookmark21" w:id="28"/>
      <w:bookmarkEnd w:id="28"/>
      <w:r>
        <w:rPr/>
      </w:r>
      <w:r>
        <w:rPr>
          <w:rFonts w:ascii="Times New Roman"/>
          <w:position w:val="9"/>
          <w:sz w:val="13"/>
        </w:rPr>
        <w:t>16 </w:t>
      </w:r>
      <w:r>
        <w:rPr>
          <w:rFonts w:ascii="Times New Roman"/>
          <w:i/>
        </w:rPr>
        <w:t>See </w:t>
      </w:r>
      <w:r>
        <w:rPr>
          <w:rFonts w:ascii="Times New Roman"/>
        </w:rPr>
        <w:t>3GPP, </w:t>
      </w:r>
      <w:r>
        <w:rPr>
          <w:rFonts w:ascii="Times New Roman"/>
          <w:i/>
        </w:rPr>
        <w:t>3GPP Features and Study Items</w:t>
      </w:r>
      <w:r>
        <w:rPr>
          <w:rFonts w:ascii="Times New Roman"/>
        </w:rPr>
        <w:t>, </w:t>
      </w:r>
      <w:hyperlink r:id="rId31">
        <w:r>
          <w:rPr>
            <w:rFonts w:ascii="Times New Roman"/>
            <w:color w:val="0000FF"/>
            <w:u w:val="single" w:color="0000FF"/>
          </w:rPr>
          <w:t>http://www.3gpp.org/DynaReport/FeatureListFrameSet.htm </w:t>
        </w:r>
      </w:hyperlink>
      <w:r>
        <w:rPr>
          <w:rFonts w:ascii="Times New Roman"/>
        </w:rPr>
        <w:t>(last visited Nov. 19, 2018) (identifying a study on NR Vehicle-to-Everything as part of the feature and study item list for Release 16).</w:t>
      </w:r>
    </w:p>
    <w:p>
      <w:pPr>
        <w:pStyle w:val="BodyText"/>
        <w:spacing w:before="95"/>
        <w:ind w:left="119" w:right="95"/>
        <w:rPr>
          <w:rFonts w:ascii="Times New Roman"/>
        </w:rPr>
      </w:pPr>
      <w:bookmarkStart w:name="_bookmark22" w:id="29"/>
      <w:bookmarkEnd w:id="29"/>
      <w:r>
        <w:rPr/>
      </w:r>
      <w:r>
        <w:rPr>
          <w:rFonts w:ascii="Times New Roman"/>
          <w:position w:val="9"/>
          <w:sz w:val="13"/>
        </w:rPr>
        <w:t>17 </w:t>
      </w:r>
      <w:r>
        <w:rPr>
          <w:rFonts w:ascii="Times New Roman"/>
        </w:rPr>
        <w:t>As excitement grows about the potential for C-V2X to improve traffic safety, productivity, mobility, and energy efficiency, there inevitably also has developed a few inaccuracies regarding the nature of this service. One such inaccuracy is that the V2V, V2I, and V2P services that C-V2X enables will require a subscription. The peer-to-peer mode communications enabled by C-V2X do not require cellular network connectivity and thus do not require a subscription. </w:t>
      </w:r>
      <w:r>
        <w:rPr>
          <w:rFonts w:ascii="Times New Roman"/>
          <w:i/>
        </w:rPr>
        <w:t>See </w:t>
      </w:r>
      <w:r>
        <w:rPr>
          <w:rFonts w:ascii="Times New Roman"/>
        </w:rPr>
        <w:t>Tom Rebbeck et al., </w:t>
      </w:r>
      <w:r>
        <w:rPr>
          <w:rFonts w:ascii="Times New Roman"/>
          <w:i/>
        </w:rPr>
        <w:t>Socio-Economic Benefits of Cellular V2X</w:t>
      </w:r>
      <w:r>
        <w:rPr>
          <w:rFonts w:ascii="Times New Roman"/>
        </w:rPr>
        <w:t>, at 28, Analysys Mason (Dec.</w:t>
      </w:r>
    </w:p>
    <w:p>
      <w:pPr>
        <w:pStyle w:val="BodyText"/>
        <w:ind w:left="120" w:right="657"/>
        <w:rPr>
          <w:rFonts w:ascii="Times New Roman"/>
        </w:rPr>
      </w:pPr>
      <w:r>
        <w:rPr>
          <w:rFonts w:ascii="Times New Roman"/>
        </w:rPr>
        <w:t>2017), </w:t>
      </w:r>
      <w:hyperlink r:id="rId32">
        <w:r>
          <w:rPr>
            <w:rFonts w:ascii="Times New Roman"/>
            <w:color w:val="0000FF"/>
            <w:u w:val="single" w:color="0000FF"/>
          </w:rPr>
          <w:t>http://5gaa.org/wp-content/uploads/2017/12/Final-report-for-5GAA-on-cellular-V2X-socio-economic-</w:t>
        </w:r>
      </w:hyperlink>
      <w:r>
        <w:rPr>
          <w:rFonts w:ascii="Times New Roman"/>
          <w:color w:val="0000FF"/>
          <w:u w:val="single" w:color="0000FF"/>
        </w:rPr>
        <w:t> </w:t>
      </w:r>
      <w:hyperlink r:id="rId32">
        <w:r>
          <w:rPr>
            <w:rFonts w:ascii="Times New Roman"/>
            <w:color w:val="0000FF"/>
            <w:u w:val="single" w:color="0000FF"/>
          </w:rPr>
          <w:t>benefits-051217_FINAL.pdf</w:t>
        </w:r>
        <w:r>
          <w:rPr>
            <w:rFonts w:ascii="Times New Roman"/>
          </w:rPr>
          <w:t>.</w:t>
        </w:r>
      </w:hyperlink>
    </w:p>
    <w:p>
      <w:pPr>
        <w:spacing w:after="0"/>
        <w:rPr>
          <w:rFonts w:ascii="Times New Roman"/>
        </w:rPr>
        <w:sectPr>
          <w:headerReference w:type="default" r:id="rId25"/>
          <w:footerReference w:type="default" r:id="rId26"/>
          <w:pgSz w:w="12240" w:h="15840"/>
          <w:pgMar w:header="0" w:footer="1070" w:top="1320" w:bottom="1260" w:left="1320" w:right="1360"/>
          <w:pgNumType w:start="6"/>
        </w:sectPr>
      </w:pPr>
    </w:p>
    <w:p>
      <w:pPr>
        <w:pStyle w:val="BodyText"/>
        <w:spacing w:before="2"/>
        <w:rPr>
          <w:rFonts w:ascii="Times New Roman"/>
          <w:sz w:val="16"/>
        </w:rPr>
      </w:pPr>
    </w:p>
    <w:p>
      <w:pPr>
        <w:spacing w:line="480" w:lineRule="auto" w:before="90"/>
        <w:ind w:left="120" w:right="115" w:firstLine="0"/>
        <w:jc w:val="left"/>
        <w:rPr>
          <w:rFonts w:ascii="Times New Roman"/>
          <w:sz w:val="24"/>
        </w:rPr>
      </w:pPr>
      <w:r>
        <w:rPr>
          <w:rFonts w:ascii="Times New Roman"/>
          <w:sz w:val="24"/>
        </w:rPr>
        <w:t>(V2N) mode cap</w:t>
      </w:r>
      <w:bookmarkStart w:name="_bookmark23" w:id="30"/>
      <w:bookmarkEnd w:id="30"/>
      <w:r>
        <w:rPr>
          <w:rFonts w:ascii="Times New Roman"/>
          <w:sz w:val="24"/>
        </w:rPr>
        <w:t>a</w:t>
      </w:r>
      <w:r>
        <w:rPr>
          <w:rFonts w:ascii="Times New Roman"/>
          <w:sz w:val="24"/>
        </w:rPr>
        <w:t>bilities allow vehicles to communicate with the rest of the world over the Uu interface and through cellular networks. These V2N mode communications enable key supporting functions for the peer-to-peer mode communications uses and expand the universe of applications enabled by C-V2X services.</w:t>
      </w:r>
    </w:p>
    <w:p>
      <w:pPr>
        <w:spacing w:line="480" w:lineRule="auto" w:before="10"/>
        <w:ind w:left="119" w:right="689" w:firstLine="720"/>
        <w:jc w:val="left"/>
        <w:rPr>
          <w:rFonts w:ascii="Times New Roman"/>
          <w:sz w:val="24"/>
        </w:rPr>
      </w:pPr>
      <w:r>
        <w:rPr>
          <w:rFonts w:ascii="Times New Roman"/>
          <w:sz w:val="24"/>
        </w:rPr>
        <w:t>Individually and in concert, these two communications modes of C-V2X make this technology uniquely suited to further the objectives of ITS in the 5.9 GHz band.</w:t>
      </w:r>
    </w:p>
    <w:p>
      <w:pPr>
        <w:pStyle w:val="ListParagraph"/>
        <w:numPr>
          <w:ilvl w:val="0"/>
          <w:numId w:val="3"/>
        </w:numPr>
        <w:tabs>
          <w:tab w:pos="1559" w:val="left" w:leader="none"/>
          <w:tab w:pos="1560" w:val="left" w:leader="none"/>
        </w:tabs>
        <w:spacing w:line="240" w:lineRule="auto" w:before="15" w:after="0"/>
        <w:ind w:left="1560" w:right="825" w:hanging="720"/>
        <w:jc w:val="left"/>
        <w:rPr>
          <w:rFonts w:ascii="Times New Roman" w:hAnsi="Times New Roman"/>
          <w:b/>
          <w:sz w:val="24"/>
        </w:rPr>
      </w:pPr>
      <w:bookmarkStart w:name="A. C-V2X Offers Capabilities Today that " w:id="31"/>
      <w:bookmarkEnd w:id="31"/>
      <w:r>
        <w:rPr/>
      </w:r>
      <w:bookmarkStart w:name="_bookmark24" w:id="32"/>
      <w:bookmarkEnd w:id="32"/>
      <w:r>
        <w:rPr/>
      </w:r>
      <w:bookmarkStart w:name="_bookmark24" w:id="33"/>
      <w:bookmarkEnd w:id="33"/>
      <w:r>
        <w:rPr>
          <w:rFonts w:ascii="Times New Roman" w:hAnsi="Times New Roman"/>
          <w:b/>
          <w:sz w:val="24"/>
        </w:rPr>
        <w:t>C</w:t>
      </w:r>
      <w:r>
        <w:rPr>
          <w:rFonts w:ascii="Times New Roman" w:hAnsi="Times New Roman"/>
          <w:b/>
          <w:sz w:val="24"/>
        </w:rPr>
        <w:t>-V2X Offers Capabilities Today that are Superior to Those of Other Technologies – Enabling Safety and Other</w:t>
      </w:r>
      <w:r>
        <w:rPr>
          <w:rFonts w:ascii="Times New Roman" w:hAnsi="Times New Roman"/>
          <w:b/>
          <w:spacing w:val="-15"/>
          <w:sz w:val="24"/>
        </w:rPr>
        <w:t> </w:t>
      </w:r>
      <w:r>
        <w:rPr>
          <w:rFonts w:ascii="Times New Roman" w:hAnsi="Times New Roman"/>
          <w:b/>
          <w:sz w:val="24"/>
        </w:rPr>
        <w:t>Benefits</w:t>
      </w:r>
    </w:p>
    <w:p>
      <w:pPr>
        <w:pStyle w:val="BodyText"/>
        <w:spacing w:before="5"/>
        <w:rPr>
          <w:rFonts w:ascii="Times New Roman"/>
          <w:b/>
        </w:rPr>
      </w:pPr>
    </w:p>
    <w:p>
      <w:pPr>
        <w:spacing w:line="480" w:lineRule="auto" w:before="0"/>
        <w:ind w:left="119" w:right="110" w:firstLine="720"/>
        <w:jc w:val="left"/>
        <w:rPr>
          <w:rFonts w:ascii="Times New Roman" w:hAnsi="Times New Roman"/>
          <w:sz w:val="24"/>
        </w:rPr>
      </w:pPr>
      <w:r>
        <w:rPr>
          <w:rFonts w:ascii="Times New Roman" w:hAnsi="Times New Roman"/>
          <w:sz w:val="24"/>
        </w:rPr>
        <w:t>The superior capabilities of C-V2X primarily are enabled by the radio performance of C- V2X peer-to-peer mode communications, which far exceeds the performance of DSRC radios in key areas. This performance advantage is augmented in turn by C-V2X’s V2N mode communications in a number of ways. In their totality, the resulting capabilities of C-V2X hold the potential to deliver a range of societal benefits.</w:t>
      </w:r>
    </w:p>
    <w:p>
      <w:pPr>
        <w:pStyle w:val="ListParagraph"/>
        <w:numPr>
          <w:ilvl w:val="1"/>
          <w:numId w:val="3"/>
        </w:numPr>
        <w:tabs>
          <w:tab w:pos="2280" w:val="left" w:leader="none"/>
        </w:tabs>
        <w:spacing w:line="240" w:lineRule="auto" w:before="10" w:after="0"/>
        <w:ind w:left="2280" w:right="440" w:hanging="360"/>
        <w:jc w:val="left"/>
        <w:rPr>
          <w:rFonts w:ascii="Times New Roman"/>
          <w:i/>
          <w:sz w:val="24"/>
        </w:rPr>
      </w:pPr>
      <w:bookmarkStart w:name="1. 5GAA Testing Confirms the Significant" w:id="34"/>
      <w:bookmarkEnd w:id="34"/>
      <w:r>
        <w:rPr/>
      </w:r>
      <w:bookmarkStart w:name="_bookmark25" w:id="35"/>
      <w:bookmarkEnd w:id="35"/>
      <w:r>
        <w:rPr/>
      </w:r>
      <w:bookmarkStart w:name="_bookmark25" w:id="36"/>
      <w:bookmarkEnd w:id="36"/>
      <w:r>
        <w:rPr>
          <w:rFonts w:ascii="Times New Roman"/>
          <w:i/>
          <w:sz w:val="24"/>
        </w:rPr>
        <w:t>5</w:t>
      </w:r>
      <w:r>
        <w:rPr>
          <w:rFonts w:ascii="Times New Roman"/>
          <w:i/>
          <w:sz w:val="24"/>
        </w:rPr>
        <w:t>GAA Testing Confirms the Significant Performance Advantages of</w:t>
      </w:r>
      <w:r>
        <w:rPr>
          <w:rFonts w:ascii="Times New Roman"/>
          <w:i/>
          <w:spacing w:val="-17"/>
          <w:sz w:val="24"/>
        </w:rPr>
        <w:t> </w:t>
      </w:r>
      <w:r>
        <w:rPr>
          <w:rFonts w:ascii="Times New Roman"/>
          <w:i/>
          <w:sz w:val="24"/>
        </w:rPr>
        <w:t>C- </w:t>
      </w:r>
      <w:r>
        <w:rPr>
          <w:rFonts w:ascii="Times New Roman"/>
          <w:i/>
          <w:sz w:val="24"/>
        </w:rPr>
        <w:t>V2X Peer-to-Peer Mode when Measured Against</w:t>
      </w:r>
      <w:r>
        <w:rPr>
          <w:rFonts w:ascii="Times New Roman"/>
          <w:i/>
          <w:spacing w:val="-11"/>
          <w:sz w:val="24"/>
        </w:rPr>
        <w:t> </w:t>
      </w:r>
      <w:r>
        <w:rPr>
          <w:rFonts w:ascii="Times New Roman"/>
          <w:i/>
          <w:sz w:val="24"/>
        </w:rPr>
        <w:t>DSRC</w:t>
      </w:r>
    </w:p>
    <w:p>
      <w:pPr>
        <w:pStyle w:val="BodyText"/>
        <w:spacing w:before="10"/>
        <w:rPr>
          <w:rFonts w:ascii="Times New Roman"/>
          <w:i/>
        </w:rPr>
      </w:pPr>
    </w:p>
    <w:p>
      <w:pPr>
        <w:spacing w:line="480" w:lineRule="auto" w:before="0"/>
        <w:ind w:left="119" w:right="217" w:firstLine="720"/>
        <w:jc w:val="left"/>
        <w:rPr>
          <w:rFonts w:ascii="Times New Roman"/>
          <w:sz w:val="24"/>
        </w:rPr>
      </w:pPr>
      <w:r>
        <w:rPr/>
        <w:pict>
          <v:line style="position:absolute;mso-position-horizontal-relative:page;mso-position-vertical-relative:paragraph;z-index:-506800" from="72pt,219.282608pt" to="254.4pt,219.282608pt" stroked="true" strokeweight=".481pt" strokecolor="#0000ff">
            <v:stroke dashstyle="solid"/>
            <w10:wrap type="none"/>
          </v:line>
        </w:pict>
      </w:r>
      <w:r>
        <w:rPr>
          <w:rFonts w:ascii="Times New Roman"/>
          <w:sz w:val="24"/>
        </w:rPr>
        <w:t>A number of 5GAA members recently conducted extensive comparative benchmark testing to measure the radio performance of C-V2X peer-to-peer mode communications against DSRC. Using technology-agnostic test procedures documented and harmonized in 5GAA for global consistency and meticulous management of parameters affecting radio propagation to ensure fair comparison, the testing demonstrates that the radio performance of C-V2X peer-to-</w: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4"/>
        <w:rPr>
          <w:rFonts w:ascii="Times New Roman"/>
          <w:sz w:val="10"/>
        </w:rPr>
      </w:pPr>
      <w:r>
        <w:rPr/>
        <w:pict>
          <v:line style="position:absolute;mso-position-horizontal-relative:page;mso-position-vertical-relative:paragraph;z-index:1216;mso-wrap-distance-left:0;mso-wrap-distance-right:0" from="72pt,8.228429pt" to="216pt,8.228429pt" stroked="true" strokeweight=".599pt" strokecolor="#000000">
            <v:stroke dashstyle="solid"/>
            <w10:wrap type="topAndBottom"/>
          </v:line>
        </w:pict>
      </w:r>
    </w:p>
    <w:p>
      <w:pPr>
        <w:pStyle w:val="BodyText"/>
        <w:spacing w:before="50"/>
        <w:ind w:left="120" w:right="116"/>
        <w:rPr>
          <w:rFonts w:ascii="Times New Roman"/>
        </w:rPr>
      </w:pPr>
      <w:bookmarkStart w:name="_bookmark26" w:id="37"/>
      <w:bookmarkEnd w:id="37"/>
      <w:r>
        <w:rPr/>
      </w:r>
      <w:r>
        <w:rPr>
          <w:rFonts w:ascii="Times New Roman"/>
          <w:position w:val="9"/>
          <w:sz w:val="13"/>
        </w:rPr>
        <w:t>18 </w:t>
      </w:r>
      <w:r>
        <w:rPr>
          <w:rFonts w:ascii="Times New Roman"/>
          <w:i/>
        </w:rPr>
        <w:t>See </w:t>
      </w:r>
      <w:r>
        <w:rPr>
          <w:rFonts w:ascii="Times New Roman"/>
        </w:rPr>
        <w:t>5G Americas White Paper, </w:t>
      </w:r>
      <w:r>
        <w:rPr>
          <w:rFonts w:ascii="Times New Roman"/>
          <w:i/>
        </w:rPr>
        <w:t>Cellular V2X Communications Towards 5G</w:t>
      </w:r>
      <w:r>
        <w:rPr>
          <w:rFonts w:ascii="Times New Roman"/>
        </w:rPr>
        <w:t>, at 4 (Mar. 2018), </w:t>
      </w:r>
      <w:hyperlink r:id="rId34">
        <w:r>
          <w:rPr>
            <w:rFonts w:ascii="Times New Roman"/>
            <w:color w:val="0000FF"/>
            <w:w w:val="95"/>
            <w:u w:val="single" w:color="0000FF"/>
          </w:rPr>
          <w:t>http://www.5gamericas.org/files/9615/2096/4441/2018_5G_Americas_White_Paper_Cellular_V2X_Communicatio</w:t>
        </w:r>
      </w:hyperlink>
      <w:r>
        <w:rPr>
          <w:rFonts w:ascii="Times New Roman"/>
          <w:color w:val="0000FF"/>
          <w:w w:val="95"/>
          <w:u w:val="single" w:color="0000FF"/>
        </w:rPr>
        <w:t> </w:t>
      </w:r>
      <w:hyperlink r:id="rId34">
        <w:r>
          <w:rPr>
            <w:rFonts w:ascii="Times New Roman"/>
            <w:color w:val="0000FF"/>
          </w:rPr>
          <w:t>ns_Towards_5G  Final_for_Distribution.pdf</w:t>
        </w:r>
        <w:r>
          <w:rPr>
            <w:rFonts w:ascii="Times New Roman"/>
          </w:rPr>
          <w:t>.</w:t>
        </w:r>
      </w:hyperlink>
      <w:r>
        <w:rPr>
          <w:rFonts w:ascii="Times New Roman"/>
        </w:rPr>
        <w:t>  Because C-V2X is part of the 3GPP standard, any vulnerable road user carrying a mobile device could potentially benefit from the protections offered by C-V2X. </w:t>
      </w:r>
      <w:r>
        <w:rPr>
          <w:rFonts w:ascii="Times New Roman"/>
          <w:i/>
        </w:rPr>
        <w:t>Id</w:t>
      </w:r>
      <w:r>
        <w:rPr>
          <w:rFonts w:ascii="Times New Roman"/>
        </w:rPr>
        <w:t>. at 29.</w:t>
      </w:r>
    </w:p>
    <w:p>
      <w:pPr>
        <w:spacing w:after="0"/>
        <w:rPr>
          <w:rFonts w:ascii="Times New Roman"/>
        </w:rPr>
        <w:sectPr>
          <w:headerReference w:type="default" r:id="rId33"/>
          <w:pgSz w:w="12240" w:h="15840"/>
          <w:pgMar w:header="1402" w:footer="1070" w:top="1700" w:bottom="1260" w:left="1320" w:right="1400"/>
        </w:sectPr>
      </w:pPr>
    </w:p>
    <w:p>
      <w:pPr>
        <w:pStyle w:val="BodyText"/>
        <w:spacing w:before="2"/>
        <w:rPr>
          <w:rFonts w:ascii="Times New Roman"/>
          <w:sz w:val="16"/>
        </w:rPr>
      </w:pPr>
    </w:p>
    <w:p>
      <w:pPr>
        <w:spacing w:line="472" w:lineRule="auto" w:before="90"/>
        <w:ind w:left="119" w:right="96" w:firstLine="0"/>
        <w:jc w:val="left"/>
        <w:rPr>
          <w:rFonts w:ascii="Times New Roman" w:hAnsi="Times New Roman"/>
          <w:sz w:val="24"/>
        </w:rPr>
      </w:pPr>
      <w:r>
        <w:rPr>
          <w:rFonts w:ascii="Times New Roman" w:hAnsi="Times New Roman"/>
          <w:sz w:val="24"/>
        </w:rPr>
        <w:t>DSRC, C-V2X peer-to-peer mode delivers superior reliability over a much greater communications range, better non-line-of-sight performance, and greater resiliency to interference. Moreover, C-V2X implements congestion control mechanisms that meet the standards set by the Society of Automotive Engineers (“SAE”).</w:t>
      </w:r>
      <w:hyperlink w:history="true" w:anchor="_bookmark28">
        <w:r>
          <w:rPr>
            <w:rFonts w:ascii="Times New Roman" w:hAnsi="Times New Roman"/>
            <w:position w:val="11"/>
            <w:sz w:val="16"/>
          </w:rPr>
          <w:t>20</w:t>
        </w:r>
      </w:hyperlink>
      <w:r>
        <w:rPr>
          <w:rFonts w:ascii="Times New Roman" w:hAnsi="Times New Roman"/>
          <w:position w:val="11"/>
          <w:sz w:val="16"/>
        </w:rPr>
        <w:t> </w:t>
      </w:r>
      <w:r>
        <w:rPr>
          <w:rFonts w:ascii="Times New Roman" w:hAnsi="Times New Roman"/>
          <w:sz w:val="24"/>
        </w:rPr>
        <w:t>While the complete 5GAA Test Report is attached in </w:t>
      </w:r>
      <w:r>
        <w:rPr>
          <w:rFonts w:ascii="Times New Roman" w:hAnsi="Times New Roman"/>
          <w:sz w:val="24"/>
          <w:u w:val="single"/>
        </w:rPr>
        <w:t>Appendix B</w:t>
      </w:r>
      <w:r>
        <w:rPr>
          <w:rFonts w:ascii="Times New Roman" w:hAnsi="Times New Roman"/>
          <w:sz w:val="24"/>
        </w:rPr>
        <w:t>, an overview of the highlights of this testing provides</w:t>
      </w:r>
    </w:p>
    <w:p>
      <w:pPr>
        <w:spacing w:before="18"/>
        <w:ind w:left="120" w:right="0" w:firstLine="0"/>
        <w:jc w:val="left"/>
        <w:rPr>
          <w:rFonts w:ascii="Times New Roman"/>
          <w:sz w:val="24"/>
        </w:rPr>
      </w:pPr>
      <w:r>
        <w:rPr>
          <w:rFonts w:ascii="Times New Roman"/>
          <w:sz w:val="24"/>
        </w:rPr>
        <w:t>valuable insight into the performance advantages of C-V2X.</w:t>
      </w:r>
    </w:p>
    <w:p>
      <w:pPr>
        <w:pStyle w:val="BodyText"/>
        <w:spacing w:before="11"/>
        <w:rPr>
          <w:rFonts w:ascii="Times New Roman"/>
          <w:sz w:val="23"/>
        </w:rPr>
      </w:pPr>
    </w:p>
    <w:p>
      <w:pPr>
        <w:spacing w:before="0"/>
        <w:ind w:left="120" w:right="0" w:firstLine="0"/>
        <w:jc w:val="left"/>
        <w:rPr>
          <w:rFonts w:ascii="Times New Roman" w:hAnsi="Times New Roman"/>
          <w:sz w:val="24"/>
        </w:rPr>
      </w:pPr>
      <w:r>
        <w:rPr>
          <w:rFonts w:ascii="Times New Roman" w:hAnsi="Times New Roman"/>
          <w:sz w:val="24"/>
          <w:u w:val="single"/>
        </w:rPr>
        <w:t>C-V2X’s Superior Reliability Over a Much Greater Communications Range</w:t>
      </w:r>
    </w:p>
    <w:p>
      <w:pPr>
        <w:pStyle w:val="BodyText"/>
        <w:spacing w:before="1"/>
        <w:rPr>
          <w:rFonts w:ascii="Times New Roman"/>
          <w:sz w:val="16"/>
        </w:rPr>
      </w:pPr>
    </w:p>
    <w:p>
      <w:pPr>
        <w:spacing w:line="480" w:lineRule="auto" w:before="90" w:after="18"/>
        <w:ind w:left="119" w:right="96" w:firstLine="720"/>
        <w:jc w:val="left"/>
        <w:rPr>
          <w:rFonts w:ascii="Times New Roman" w:hAnsi="Times New Roman"/>
          <w:sz w:val="24"/>
        </w:rPr>
      </w:pPr>
      <w:r>
        <w:rPr>
          <w:rFonts w:ascii="Times New Roman" w:hAnsi="Times New Roman"/>
          <w:sz w:val="24"/>
        </w:rPr>
        <w:t>5GAA’s line-of-sight field testing assessed the baseline range capability for V2V message exchanges using C-V2X peer-to-peer mode and DSRC. In one scenario, a stationary vehicle received communications from a vehicle in its line of sight.</w:t>
      </w:r>
    </w:p>
    <w:p>
      <w:pPr>
        <w:pStyle w:val="BodyText"/>
        <w:ind w:left="312"/>
        <w:rPr>
          <w:rFonts w:ascii="Times New Roman"/>
        </w:rPr>
      </w:pPr>
      <w:r>
        <w:rPr>
          <w:rFonts w:ascii="Times New Roman"/>
        </w:rPr>
        <w:drawing>
          <wp:inline distT="0" distB="0" distL="0" distR="0">
            <wp:extent cx="5716788" cy="2237994"/>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36" cstate="print"/>
                    <a:stretch>
                      <a:fillRect/>
                    </a:stretch>
                  </pic:blipFill>
                  <pic:spPr>
                    <a:xfrm>
                      <a:off x="0" y="0"/>
                      <a:ext cx="5716788" cy="2237994"/>
                    </a:xfrm>
                    <a:prstGeom prst="rect">
                      <a:avLst/>
                    </a:prstGeom>
                  </pic:spPr>
                </pic:pic>
              </a:graphicData>
            </a:graphic>
          </wp:inline>
        </w:drawing>
      </w:r>
      <w:r>
        <w:rPr>
          <w:rFonts w:ascii="Times New Roman"/>
        </w:rPr>
      </w:r>
    </w:p>
    <w:p>
      <w:pPr>
        <w:spacing w:before="0"/>
        <w:ind w:left="2959" w:right="0" w:firstLine="0"/>
        <w:jc w:val="left"/>
        <w:rPr>
          <w:rFonts w:ascii="Times New Roman" w:hAnsi="Times New Roman"/>
          <w:i/>
          <w:sz w:val="20"/>
        </w:rPr>
      </w:pPr>
      <w:r>
        <w:rPr>
          <w:rFonts w:ascii="Times New Roman" w:hAnsi="Times New Roman"/>
          <w:b/>
          <w:i/>
          <w:sz w:val="20"/>
        </w:rPr>
        <w:t>Figure 1</w:t>
      </w:r>
      <w:r>
        <w:rPr>
          <w:rFonts w:ascii="Times New Roman" w:hAnsi="Times New Roman"/>
          <w:i/>
          <w:sz w:val="20"/>
        </w:rPr>
        <w:t>: Depiction of 5GAA’s Line-of-Sight field test.</w:t>
      </w:r>
    </w:p>
    <w:p>
      <w:pPr>
        <w:pStyle w:val="BodyText"/>
        <w:spacing w:before="10"/>
        <w:rPr>
          <w:rFonts w:ascii="Times New Roman"/>
          <w:i/>
          <w:sz w:val="23"/>
        </w:rPr>
      </w:pPr>
    </w:p>
    <w:p>
      <w:pPr>
        <w:pStyle w:val="Heading5"/>
        <w:spacing w:line="480" w:lineRule="auto"/>
        <w:ind w:left="120" w:right="96" w:firstLine="720"/>
      </w:pPr>
      <w:r>
        <w:rPr/>
        <w:t>As demonstrated in Figure 2, and discussed in detail at pages 72-78 of the 5GAA Test Report, under 5GAA’s testing parameters, C-V2X reliably received messages at distances up to 1,175 meters, which amounts to an approximate line-of-sight range advantage of 500 meters</w:t>
      </w:r>
    </w:p>
    <w:p>
      <w:pPr>
        <w:pStyle w:val="BodyText"/>
        <w:spacing w:before="10"/>
        <w:rPr>
          <w:rFonts w:ascii="Times New Roman"/>
          <w:sz w:val="11"/>
        </w:rPr>
      </w:pPr>
      <w:r>
        <w:rPr/>
        <w:pict>
          <v:line style="position:absolute;mso-position-horizontal-relative:page;mso-position-vertical-relative:paragraph;z-index:1264;mso-wrap-distance-left:0;mso-wrap-distance-right:0" from="72pt,9.105310pt" to="216pt,9.105310pt" stroked="true" strokeweight=".6pt" strokecolor="#000000">
            <v:stroke dashstyle="solid"/>
            <w10:wrap type="topAndBottom"/>
          </v:line>
        </w:pict>
      </w:r>
    </w:p>
    <w:p>
      <w:pPr>
        <w:pStyle w:val="BodyText"/>
        <w:spacing w:before="50"/>
        <w:ind w:left="120"/>
        <w:rPr>
          <w:rFonts w:ascii="Times New Roman"/>
        </w:rPr>
      </w:pPr>
      <w:bookmarkStart w:name="_bookmark27" w:id="38"/>
      <w:bookmarkEnd w:id="38"/>
      <w:r>
        <w:rPr/>
      </w:r>
      <w:r>
        <w:rPr>
          <w:rFonts w:ascii="Times New Roman"/>
          <w:position w:val="9"/>
          <w:sz w:val="13"/>
        </w:rPr>
        <w:t>19 </w:t>
      </w:r>
      <w:r>
        <w:rPr>
          <w:rFonts w:ascii="Times New Roman"/>
          <w:i/>
        </w:rPr>
        <w:t>See </w:t>
      </w:r>
      <w:r>
        <w:rPr>
          <w:rFonts w:ascii="Times New Roman"/>
        </w:rPr>
        <w:t>5GAA Test Report at </w:t>
      </w:r>
      <w:r>
        <w:rPr>
          <w:rFonts w:ascii="Times New Roman"/>
          <w:u w:val="single"/>
        </w:rPr>
        <w:t>Appendix B</w:t>
      </w:r>
      <w:r>
        <w:rPr>
          <w:rFonts w:ascii="Times New Roman"/>
        </w:rPr>
        <w:t>.</w:t>
      </w:r>
    </w:p>
    <w:p>
      <w:pPr>
        <w:pStyle w:val="BodyText"/>
        <w:spacing w:before="93"/>
        <w:ind w:left="119" w:right="587"/>
        <w:rPr>
          <w:rFonts w:ascii="Times New Roman"/>
        </w:rPr>
      </w:pPr>
      <w:bookmarkStart w:name="_bookmark28" w:id="39"/>
      <w:bookmarkEnd w:id="39"/>
      <w:r>
        <w:rPr/>
      </w:r>
      <w:r>
        <w:rPr>
          <w:rFonts w:ascii="Times New Roman"/>
          <w:position w:val="9"/>
          <w:sz w:val="13"/>
        </w:rPr>
        <w:t>20 </w:t>
      </w:r>
      <w:r>
        <w:rPr>
          <w:rFonts w:ascii="Times New Roman"/>
        </w:rPr>
        <w:t>Moreover, this radio is designed with a consistently achieved, highly reliable latency regardless of channel congestion.  </w:t>
      </w:r>
      <w:r>
        <w:rPr>
          <w:rFonts w:ascii="Times New Roman"/>
          <w:i/>
        </w:rPr>
        <w:t>See </w:t>
      </w:r>
      <w:r>
        <w:rPr>
          <w:rFonts w:ascii="Times New Roman"/>
        </w:rPr>
        <w:t>5G Americas White Paper, </w:t>
      </w:r>
      <w:r>
        <w:rPr>
          <w:rFonts w:ascii="Times New Roman"/>
          <w:i/>
        </w:rPr>
        <w:t>supra </w:t>
      </w:r>
      <w:r>
        <w:rPr>
          <w:rFonts w:ascii="Times New Roman"/>
        </w:rPr>
        <w:t>note </w:t>
      </w:r>
      <w:hyperlink w:history="true" w:anchor="_bookmark23">
        <w:r>
          <w:rPr>
            <w:rFonts w:ascii="Times New Roman"/>
          </w:rPr>
          <w:t>18,</w:t>
        </w:r>
      </w:hyperlink>
      <w:r>
        <w:rPr>
          <w:rFonts w:ascii="Times New Roman"/>
        </w:rPr>
        <w:t> at 22.</w:t>
      </w:r>
    </w:p>
    <w:p>
      <w:pPr>
        <w:spacing w:after="0"/>
        <w:rPr>
          <w:rFonts w:ascii="Times New Roman"/>
        </w:rPr>
        <w:sectPr>
          <w:headerReference w:type="default" r:id="rId35"/>
          <w:pgSz w:w="12240" w:h="15840"/>
          <w:pgMar w:header="1402" w:footer="1070" w:top="1700" w:bottom="1260" w:left="1320" w:right="1500"/>
        </w:sectPr>
      </w:pPr>
    </w:p>
    <w:p>
      <w:pPr>
        <w:pStyle w:val="BodyText"/>
        <w:spacing w:before="2"/>
        <w:rPr>
          <w:rFonts w:ascii="Times New Roman"/>
          <w:sz w:val="16"/>
        </w:rPr>
      </w:pPr>
    </w:p>
    <w:p>
      <w:pPr>
        <w:spacing w:before="90"/>
        <w:ind w:left="120" w:right="0" w:firstLine="0"/>
        <w:jc w:val="left"/>
        <w:rPr>
          <w:rFonts w:ascii="Times New Roman"/>
          <w:sz w:val="24"/>
        </w:rPr>
      </w:pPr>
      <w:r>
        <w:rPr>
          <w:rFonts w:ascii="Times New Roman"/>
          <w:sz w:val="24"/>
        </w:rPr>
        <w:t>reliably deliver messages in a line-of-sight scenario was almost 75% greater than that of DSRC.</w:t>
      </w:r>
    </w:p>
    <w:p>
      <w:pPr>
        <w:pStyle w:val="BodyText"/>
        <w:spacing w:before="5"/>
        <w:rPr>
          <w:rFonts w:ascii="Times New Roman"/>
          <w:sz w:val="21"/>
        </w:rPr>
      </w:pPr>
      <w:r>
        <w:rPr/>
        <w:drawing>
          <wp:anchor distT="0" distB="0" distL="0" distR="0" allowOverlap="1" layoutInCell="1" locked="0" behindDoc="0" simplePos="0" relativeHeight="1288">
            <wp:simplePos x="0" y="0"/>
            <wp:positionH relativeFrom="page">
              <wp:posOffset>1732914</wp:posOffset>
            </wp:positionH>
            <wp:positionV relativeFrom="paragraph">
              <wp:posOffset>181639</wp:posOffset>
            </wp:positionV>
            <wp:extent cx="4276641" cy="2496978"/>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38" cstate="print"/>
                    <a:stretch>
                      <a:fillRect/>
                    </a:stretch>
                  </pic:blipFill>
                  <pic:spPr>
                    <a:xfrm>
                      <a:off x="0" y="0"/>
                      <a:ext cx="4276641" cy="2496978"/>
                    </a:xfrm>
                    <a:prstGeom prst="rect">
                      <a:avLst/>
                    </a:prstGeom>
                  </pic:spPr>
                </pic:pic>
              </a:graphicData>
            </a:graphic>
          </wp:anchor>
        </w:drawing>
      </w:r>
    </w:p>
    <w:p>
      <w:pPr>
        <w:spacing w:before="0"/>
        <w:ind w:left="1374" w:right="979" w:hanging="259"/>
        <w:jc w:val="left"/>
        <w:rPr>
          <w:rFonts w:ascii="Times New Roman"/>
          <w:sz w:val="24"/>
        </w:rPr>
      </w:pPr>
      <w:r>
        <w:rPr>
          <w:rFonts w:ascii="Times New Roman"/>
          <w:b/>
          <w:i/>
          <w:sz w:val="20"/>
        </w:rPr>
        <w:t>Figure 2</w:t>
      </w:r>
      <w:r>
        <w:rPr>
          <w:rFonts w:ascii="Times New Roman"/>
          <w:i/>
          <w:sz w:val="20"/>
        </w:rPr>
        <w:t>: Line-of-sight field test results in a scenario in which a stationary vehicle received </w:t>
      </w:r>
      <w:r>
        <w:rPr>
          <w:rFonts w:ascii="Times New Roman"/>
          <w:i/>
          <w:sz w:val="20"/>
        </w:rPr>
        <w:t>communications from an approaching vehicle that was transmitting communications</w:t>
      </w:r>
      <w:r>
        <w:rPr>
          <w:rFonts w:ascii="Times New Roman"/>
          <w:sz w:val="24"/>
        </w:rPr>
        <w:t>.</w:t>
      </w:r>
    </w:p>
    <w:p>
      <w:pPr>
        <w:pStyle w:val="BodyText"/>
        <w:rPr>
          <w:rFonts w:ascii="Times New Roman"/>
          <w:sz w:val="24"/>
        </w:rPr>
      </w:pPr>
    </w:p>
    <w:p>
      <w:pPr>
        <w:pStyle w:val="Heading5"/>
        <w:ind w:left="120"/>
      </w:pPr>
      <w:r>
        <w:rPr>
          <w:u w:val="single"/>
        </w:rPr>
        <w:t>C-V2X’s Better Non-Line of-Sight Performance</w:t>
      </w:r>
    </w:p>
    <w:p>
      <w:pPr>
        <w:pStyle w:val="BodyText"/>
        <w:spacing w:before="2"/>
        <w:rPr>
          <w:rFonts w:ascii="Times New Roman"/>
          <w:sz w:val="16"/>
        </w:rPr>
      </w:pPr>
    </w:p>
    <w:p>
      <w:pPr>
        <w:spacing w:line="480" w:lineRule="auto" w:before="90"/>
        <w:ind w:left="119" w:right="749" w:firstLine="720"/>
        <w:jc w:val="left"/>
        <w:rPr>
          <w:rFonts w:ascii="Times New Roman"/>
          <w:sz w:val="24"/>
        </w:rPr>
      </w:pPr>
      <w:r>
        <w:rPr>
          <w:rFonts w:ascii="Times New Roman"/>
          <w:sz w:val="24"/>
        </w:rPr>
        <w:t>An examination of two specific tests helps to illustrate the better non-line-of-sight performance of C-V2X peer-to-peer mode compared to DSRC. These tests are (1) the intersection test with an obstructed view and (2) the shadowing test.</w:t>
      </w:r>
    </w:p>
    <w:p>
      <w:pPr>
        <w:spacing w:line="480" w:lineRule="auto" w:before="10"/>
        <w:ind w:left="119" w:right="102" w:firstLine="720"/>
        <w:jc w:val="left"/>
        <w:rPr>
          <w:rFonts w:ascii="Times New Roman" w:hAnsi="Times New Roman"/>
          <w:sz w:val="24"/>
        </w:rPr>
      </w:pPr>
      <w:r>
        <w:rPr>
          <w:rFonts w:ascii="Times New Roman" w:hAnsi="Times New Roman"/>
          <w:i/>
          <w:sz w:val="24"/>
        </w:rPr>
        <w:t>Intersection Test with an Obstructed View</w:t>
      </w:r>
      <w:r>
        <w:rPr>
          <w:rFonts w:ascii="Times New Roman" w:hAnsi="Times New Roman"/>
          <w:sz w:val="24"/>
        </w:rPr>
        <w:t>. 5GAA’s intersection test with an obstructed view assessed V2V communication capabilities in situations in which an obstruction is blocking the line of sight between a vehicle at an intersection and vehicles in lateral traffic crossing the intersection.  An illustration of this test scenario is provided in Figure 3.</w:t>
      </w:r>
    </w:p>
    <w:p>
      <w:pPr>
        <w:spacing w:after="0" w:line="480" w:lineRule="auto"/>
        <w:jc w:val="left"/>
        <w:rPr>
          <w:rFonts w:ascii="Times New Roman" w:hAnsi="Times New Roman"/>
          <w:sz w:val="24"/>
        </w:rPr>
        <w:sectPr>
          <w:headerReference w:type="default" r:id="rId37"/>
          <w:pgSz w:w="12240" w:h="15840"/>
          <w:pgMar w:header="1442" w:footer="1070" w:top="1700" w:bottom="1260" w:left="1320" w:right="1440"/>
        </w:sectPr>
      </w:pPr>
    </w:p>
    <w:p>
      <w:pPr>
        <w:pStyle w:val="BodyText"/>
        <w:ind w:left="654"/>
        <w:rPr>
          <w:rFonts w:ascii="Times New Roman"/>
        </w:rPr>
      </w:pPr>
      <w:r>
        <w:rPr>
          <w:rFonts w:ascii="Times New Roman"/>
        </w:rPr>
        <w:drawing>
          <wp:inline distT="0" distB="0" distL="0" distR="0">
            <wp:extent cx="5184424" cy="2922460"/>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40" cstate="print"/>
                    <a:stretch>
                      <a:fillRect/>
                    </a:stretch>
                  </pic:blipFill>
                  <pic:spPr>
                    <a:xfrm>
                      <a:off x="0" y="0"/>
                      <a:ext cx="5184424" cy="2922460"/>
                    </a:xfrm>
                    <a:prstGeom prst="rect">
                      <a:avLst/>
                    </a:prstGeom>
                  </pic:spPr>
                </pic:pic>
              </a:graphicData>
            </a:graphic>
          </wp:inline>
        </w:drawing>
      </w:r>
      <w:r>
        <w:rPr>
          <w:rFonts w:ascii="Times New Roman"/>
        </w:rPr>
      </w:r>
    </w:p>
    <w:p>
      <w:pPr>
        <w:spacing w:before="41"/>
        <w:ind w:left="1239" w:right="1143" w:firstLine="0"/>
        <w:jc w:val="center"/>
        <w:rPr>
          <w:rFonts w:ascii="Times New Roman" w:hAnsi="Times New Roman"/>
          <w:i/>
          <w:sz w:val="20"/>
        </w:rPr>
      </w:pPr>
      <w:r>
        <w:rPr>
          <w:rFonts w:ascii="Times New Roman" w:hAnsi="Times New Roman"/>
          <w:b/>
          <w:i/>
          <w:sz w:val="20"/>
        </w:rPr>
        <w:t>Figure 3</w:t>
      </w:r>
      <w:r>
        <w:rPr>
          <w:rFonts w:ascii="Times New Roman" w:hAnsi="Times New Roman"/>
          <w:i/>
          <w:sz w:val="20"/>
        </w:rPr>
        <w:t>: Depiction of 5GAA’s Intersection Test with Obstructed View.</w:t>
      </w:r>
    </w:p>
    <w:p>
      <w:pPr>
        <w:spacing w:before="0"/>
        <w:ind w:left="1242" w:right="1143" w:firstLine="0"/>
        <w:jc w:val="center"/>
        <w:rPr>
          <w:rFonts w:ascii="Times New Roman"/>
          <w:i/>
          <w:sz w:val="20"/>
        </w:rPr>
      </w:pPr>
      <w:r>
        <w:rPr>
          <w:rFonts w:ascii="Times New Roman"/>
          <w:i/>
          <w:sz w:val="20"/>
        </w:rPr>
        <w:t>In this scenario, the stationary vehicle (SV) is receiving communications and the vehicle </w:t>
      </w:r>
      <w:r>
        <w:rPr>
          <w:rFonts w:ascii="Times New Roman"/>
          <w:i/>
          <w:sz w:val="20"/>
        </w:rPr>
        <w:t>moving lateral across the intersection (MV) is transmitting communications.</w:t>
      </w:r>
    </w:p>
    <w:p>
      <w:pPr>
        <w:pStyle w:val="BodyText"/>
        <w:spacing w:before="6"/>
        <w:rPr>
          <w:rFonts w:ascii="Times New Roman"/>
          <w:i/>
        </w:rPr>
      </w:pPr>
    </w:p>
    <w:p>
      <w:pPr>
        <w:pStyle w:val="Heading5"/>
        <w:spacing w:line="480" w:lineRule="auto"/>
        <w:ind w:left="100" w:right="96" w:firstLine="720"/>
      </w:pPr>
      <w:r>
        <w:rPr/>
        <w:t>In this scenario, C-V2X peer-to-peer mode communications again outperformed DSRC by a wide margin. As illustrated in Figure 4 and discussed in detail at pages 84-87 of the 5GAA Test Report, C-V2X demonstrated a reliable range of approximately 875 meters in this scenario, outperforming DSRC’s reliable range of approximately 375 meters. In other words, the testing results indicate that C-V2X’s reliable range is more than twice that of DSRC in this scenario.</w:t>
      </w:r>
    </w:p>
    <w:p>
      <w:pPr>
        <w:spacing w:after="0" w:line="480" w:lineRule="auto"/>
        <w:sectPr>
          <w:headerReference w:type="default" r:id="rId39"/>
          <w:pgSz w:w="12240" w:h="15840"/>
          <w:pgMar w:header="0" w:footer="1070" w:top="1440" w:bottom="1260" w:left="1340" w:right="1440"/>
        </w:sectPr>
      </w:pPr>
    </w:p>
    <w:p>
      <w:pPr>
        <w:pStyle w:val="BodyText"/>
        <w:ind w:left="1043"/>
        <w:rPr>
          <w:rFonts w:ascii="Times New Roman"/>
        </w:rPr>
      </w:pPr>
      <w:r>
        <w:rPr>
          <w:rFonts w:ascii="Times New Roman"/>
        </w:rPr>
        <w:drawing>
          <wp:inline distT="0" distB="0" distL="0" distR="0">
            <wp:extent cx="4750513" cy="2474976"/>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43" cstate="print"/>
                    <a:stretch>
                      <a:fillRect/>
                    </a:stretch>
                  </pic:blipFill>
                  <pic:spPr>
                    <a:xfrm>
                      <a:off x="0" y="0"/>
                      <a:ext cx="4750513" cy="2474976"/>
                    </a:xfrm>
                    <a:prstGeom prst="rect">
                      <a:avLst/>
                    </a:prstGeom>
                  </pic:spPr>
                </pic:pic>
              </a:graphicData>
            </a:graphic>
          </wp:inline>
        </w:drawing>
      </w:r>
      <w:r>
        <w:rPr>
          <w:rFonts w:ascii="Times New Roman"/>
        </w:rPr>
      </w:r>
    </w:p>
    <w:p>
      <w:pPr>
        <w:spacing w:before="15"/>
        <w:ind w:left="228" w:right="129" w:firstLine="0"/>
        <w:jc w:val="center"/>
        <w:rPr>
          <w:rFonts w:ascii="Times New Roman"/>
          <w:i/>
          <w:sz w:val="20"/>
        </w:rPr>
      </w:pPr>
      <w:r>
        <w:rPr>
          <w:rFonts w:ascii="Times New Roman"/>
          <w:b/>
          <w:i/>
          <w:sz w:val="20"/>
        </w:rPr>
        <w:t>Figure 4</w:t>
      </w:r>
      <w:r>
        <w:rPr>
          <w:rFonts w:ascii="Times New Roman"/>
          <w:i/>
          <w:sz w:val="20"/>
        </w:rPr>
        <w:t>: Intersection Test with Obstructed View in a scenario in which a stationary vehicle is receiving </w:t>
      </w:r>
      <w:r>
        <w:rPr>
          <w:rFonts w:ascii="Times New Roman"/>
          <w:i/>
          <w:sz w:val="20"/>
        </w:rPr>
        <w:t>communications and the vehicle moving lateral across the intersection is transmitting communications.</w:t>
      </w:r>
    </w:p>
    <w:p>
      <w:pPr>
        <w:pStyle w:val="BodyText"/>
        <w:spacing w:before="10"/>
        <w:rPr>
          <w:rFonts w:ascii="Times New Roman"/>
          <w:i/>
          <w:sz w:val="23"/>
        </w:rPr>
      </w:pPr>
    </w:p>
    <w:p>
      <w:pPr>
        <w:pStyle w:val="Heading5"/>
        <w:spacing w:line="480" w:lineRule="auto"/>
        <w:ind w:left="120" w:right="62" w:firstLine="720"/>
      </w:pPr>
      <w:r>
        <w:rPr/>
        <w:drawing>
          <wp:anchor distT="0" distB="0" distL="0" distR="0" allowOverlap="1" layoutInCell="1" locked="0" behindDoc="0" simplePos="0" relativeHeight="1312">
            <wp:simplePos x="0" y="0"/>
            <wp:positionH relativeFrom="page">
              <wp:posOffset>1162685</wp:posOffset>
            </wp:positionH>
            <wp:positionV relativeFrom="paragraph">
              <wp:posOffset>1775626</wp:posOffset>
            </wp:positionV>
            <wp:extent cx="5224338" cy="1714500"/>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44" cstate="print"/>
                    <a:stretch>
                      <a:fillRect/>
                    </a:stretch>
                  </pic:blipFill>
                  <pic:spPr>
                    <a:xfrm>
                      <a:off x="0" y="0"/>
                      <a:ext cx="5224338" cy="1714500"/>
                    </a:xfrm>
                    <a:prstGeom prst="rect">
                      <a:avLst/>
                    </a:prstGeom>
                  </pic:spPr>
                </pic:pic>
              </a:graphicData>
            </a:graphic>
          </wp:anchor>
        </w:drawing>
      </w:r>
      <w:r>
        <w:rPr>
          <w:i/>
        </w:rPr>
        <w:t>Shadowing Field Test</w:t>
      </w:r>
      <w:r>
        <w:rPr/>
        <w:t>. 5GAA’s shadowing test assessed the capability for V2V message exchange in non-line of sight scenarios in which there is a significant obstruction between the vehicles trying to communicate with one another.  In this scenario, which is illustrated in Figure 5 below, the stationary vehicle and blocker remain motionless while the moving vehicle travels away from the blocker.</w:t>
      </w:r>
    </w:p>
    <w:p>
      <w:pPr>
        <w:spacing w:before="1"/>
        <w:ind w:left="230" w:right="129" w:firstLine="0"/>
        <w:jc w:val="center"/>
        <w:rPr>
          <w:rFonts w:ascii="Times New Roman"/>
          <w:i/>
          <w:sz w:val="20"/>
        </w:rPr>
      </w:pPr>
      <w:r>
        <w:rPr>
          <w:rFonts w:ascii="Times New Roman"/>
          <w:b/>
          <w:i/>
          <w:sz w:val="20"/>
        </w:rPr>
        <w:t>Figure 5</w:t>
      </w:r>
      <w:r>
        <w:rPr>
          <w:rFonts w:ascii="Times New Roman"/>
          <w:i/>
          <w:sz w:val="20"/>
        </w:rPr>
        <w:t>: Shadowing Test in a scenario in which a stationary blocker is positioned in front of a stationary vehicle </w:t>
      </w:r>
      <w:r>
        <w:rPr>
          <w:rFonts w:ascii="Times New Roman"/>
          <w:i/>
          <w:sz w:val="20"/>
        </w:rPr>
        <w:t>(SV) that is transmitting to a vehicle moving (MV) away from the SV and blocker. In this scenario, the blocker creates a significant line of sight obstruction between the vehicles.</w:t>
      </w:r>
    </w:p>
    <w:p>
      <w:pPr>
        <w:pStyle w:val="BodyText"/>
        <w:spacing w:before="10"/>
        <w:rPr>
          <w:rFonts w:ascii="Times New Roman"/>
          <w:i/>
          <w:sz w:val="19"/>
        </w:rPr>
      </w:pPr>
    </w:p>
    <w:p>
      <w:pPr>
        <w:pStyle w:val="Heading5"/>
        <w:spacing w:line="480" w:lineRule="auto" w:before="1"/>
        <w:ind w:left="119" w:right="290" w:firstLine="720"/>
      </w:pPr>
      <w:r>
        <w:rPr/>
        <w:t>In the shadowing test scenario, C-V2X peer-to-peer mode communications once again outperformed DSRC by a wide margin. As illustrated in Figure 6 and discussed in detail at pages 79-83 of the 5GAA Test Report, C-V2X achieved a reliable range of approximately 425 meters, compared to DSRC’s reliable range of only 125 meters.  In other words, the testing</w:t>
      </w:r>
    </w:p>
    <w:p>
      <w:pPr>
        <w:spacing w:after="0" w:line="480" w:lineRule="auto"/>
        <w:sectPr>
          <w:headerReference w:type="default" r:id="rId41"/>
          <w:footerReference w:type="default" r:id="rId42"/>
          <w:pgSz w:w="12240" w:h="15840"/>
          <w:pgMar w:header="0" w:footer="1070" w:top="940" w:bottom="1260" w:left="1320" w:right="1420"/>
          <w:pgNumType w:start="11"/>
        </w:sectPr>
      </w:pPr>
    </w:p>
    <w:p>
      <w:pPr>
        <w:spacing w:line="480" w:lineRule="auto" w:before="72"/>
        <w:ind w:left="120" w:right="355" w:firstLine="0"/>
        <w:jc w:val="left"/>
        <w:rPr>
          <w:rFonts w:ascii="Times New Roman"/>
          <w:sz w:val="24"/>
        </w:rPr>
      </w:pPr>
      <w:r>
        <w:rPr>
          <w:rFonts w:ascii="Times New Roman"/>
          <w:sz w:val="24"/>
        </w:rPr>
        <w:t>results indicate that C-V2X delivers superior transmission reliability at almost three times the range of DSRC in this scenario. As discussed in greater detail below, the results of the shadowing field testing, which are depicted in Figure 6, and the intersection test with an obstructed view are significant because they demonstrate the potential of C-V2X to provide vehicles with information about the surrounding environment that cannot be seen by the driver and that may not be detected by current in-vehicle camera and sensor-based technologies.</w:t>
      </w:r>
    </w:p>
    <w:p>
      <w:pPr>
        <w:pStyle w:val="BodyText"/>
        <w:spacing w:before="2"/>
        <w:rPr>
          <w:rFonts w:ascii="Times New Roman"/>
          <w:sz w:val="18"/>
        </w:rPr>
      </w:pPr>
      <w:r>
        <w:rPr/>
        <w:drawing>
          <wp:anchor distT="0" distB="0" distL="0" distR="0" allowOverlap="1" layoutInCell="1" locked="0" behindDoc="0" simplePos="0" relativeHeight="1336">
            <wp:simplePos x="0" y="0"/>
            <wp:positionH relativeFrom="page">
              <wp:posOffset>1843404</wp:posOffset>
            </wp:positionH>
            <wp:positionV relativeFrom="paragraph">
              <wp:posOffset>157967</wp:posOffset>
            </wp:positionV>
            <wp:extent cx="4081567" cy="2298954"/>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47" cstate="print"/>
                    <a:stretch>
                      <a:fillRect/>
                    </a:stretch>
                  </pic:blipFill>
                  <pic:spPr>
                    <a:xfrm>
                      <a:off x="0" y="0"/>
                      <a:ext cx="4081567" cy="2298954"/>
                    </a:xfrm>
                    <a:prstGeom prst="rect">
                      <a:avLst/>
                    </a:prstGeom>
                  </pic:spPr>
                </pic:pic>
              </a:graphicData>
            </a:graphic>
          </wp:anchor>
        </w:drawing>
      </w:r>
    </w:p>
    <w:p>
      <w:pPr>
        <w:spacing w:before="0"/>
        <w:ind w:left="2613" w:right="279" w:hanging="1577"/>
        <w:jc w:val="left"/>
        <w:rPr>
          <w:rFonts w:ascii="Times New Roman"/>
          <w:i/>
          <w:sz w:val="20"/>
        </w:rPr>
      </w:pPr>
      <w:r>
        <w:rPr>
          <w:rFonts w:ascii="Times New Roman"/>
          <w:b/>
          <w:i/>
          <w:sz w:val="20"/>
        </w:rPr>
        <w:t>Figure 6</w:t>
      </w:r>
      <w:r>
        <w:rPr>
          <w:rFonts w:ascii="Times New Roman"/>
          <w:i/>
          <w:sz w:val="20"/>
        </w:rPr>
        <w:t>: Shadowing Test results in a scenario in which a blocker is positioned in front of a stationary </w:t>
      </w:r>
      <w:r>
        <w:rPr>
          <w:rFonts w:ascii="Times New Roman"/>
          <w:i/>
          <w:sz w:val="20"/>
        </w:rPr>
        <w:t>vehicle to create a significant line of sight obstruction.</w:t>
      </w:r>
    </w:p>
    <w:p>
      <w:pPr>
        <w:pStyle w:val="BodyText"/>
        <w:spacing w:before="10"/>
        <w:rPr>
          <w:rFonts w:ascii="Times New Roman"/>
          <w:i/>
          <w:sz w:val="19"/>
        </w:rPr>
      </w:pPr>
    </w:p>
    <w:p>
      <w:pPr>
        <w:pStyle w:val="Heading5"/>
        <w:spacing w:before="1"/>
        <w:ind w:left="120"/>
      </w:pPr>
      <w:r>
        <w:rPr>
          <w:u w:val="single"/>
        </w:rPr>
        <w:t>C-V2X’s Superior Resiliency to Interference</w:t>
      </w:r>
    </w:p>
    <w:p>
      <w:pPr>
        <w:pStyle w:val="BodyText"/>
        <w:spacing w:before="2"/>
        <w:rPr>
          <w:rFonts w:ascii="Times New Roman"/>
          <w:sz w:val="16"/>
        </w:rPr>
      </w:pPr>
    </w:p>
    <w:p>
      <w:pPr>
        <w:spacing w:line="480" w:lineRule="auto" w:before="90"/>
        <w:ind w:left="119" w:right="129" w:firstLine="720"/>
        <w:jc w:val="left"/>
        <w:rPr>
          <w:rFonts w:ascii="Times New Roman" w:hAnsi="Times New Roman"/>
          <w:sz w:val="24"/>
        </w:rPr>
      </w:pPr>
      <w:r>
        <w:rPr>
          <w:rFonts w:ascii="Times New Roman" w:hAnsi="Times New Roman"/>
          <w:sz w:val="24"/>
        </w:rPr>
        <w:t>5GAA’s testing also demonstrates a significant advantage for C-V2X in its resilience to out of band interference.  </w:t>
      </w:r>
      <w:r>
        <w:rPr>
          <w:rFonts w:ascii="Times New Roman" w:hAnsi="Times New Roman"/>
          <w:spacing w:val="-3"/>
          <w:sz w:val="24"/>
        </w:rPr>
        <w:t>In </w:t>
      </w:r>
      <w:r>
        <w:rPr>
          <w:rFonts w:ascii="Times New Roman" w:hAnsi="Times New Roman"/>
          <w:sz w:val="24"/>
        </w:rPr>
        <w:t>one scenario, line-of-sight range for C-V2X and DSRC was measured while a wireless hot spot operated in an adjacent channel. As demonstrated in Figure 7 and discussed in detail at pages 79-83 of the 5GAA Test Report, C-V2X once again demonstrated a significant advantage with a reliable range of more than seven times that of DSRC.</w:t>
      </w:r>
    </w:p>
    <w:p>
      <w:pPr>
        <w:spacing w:after="0" w:line="480" w:lineRule="auto"/>
        <w:jc w:val="left"/>
        <w:rPr>
          <w:rFonts w:ascii="Times New Roman" w:hAnsi="Times New Roman"/>
          <w:sz w:val="24"/>
        </w:rPr>
        <w:sectPr>
          <w:headerReference w:type="default" r:id="rId45"/>
          <w:footerReference w:type="default" r:id="rId46"/>
          <w:pgSz w:w="12240" w:h="15840"/>
          <w:pgMar w:header="0" w:footer="1070" w:top="1360" w:bottom="1260" w:left="1320" w:right="1340"/>
          <w:pgNumType w:start="12"/>
        </w:sectPr>
      </w:pPr>
    </w:p>
    <w:p>
      <w:pPr>
        <w:pStyle w:val="BodyText"/>
        <w:ind w:left="1173"/>
        <w:rPr>
          <w:rFonts w:ascii="Times New Roman"/>
        </w:rPr>
      </w:pPr>
      <w:r>
        <w:rPr>
          <w:rFonts w:ascii="Times New Roman"/>
        </w:rPr>
        <w:drawing>
          <wp:inline distT="0" distB="0" distL="0" distR="0">
            <wp:extent cx="4553656" cy="2695765"/>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50" cstate="print"/>
                    <a:stretch>
                      <a:fillRect/>
                    </a:stretch>
                  </pic:blipFill>
                  <pic:spPr>
                    <a:xfrm>
                      <a:off x="0" y="0"/>
                      <a:ext cx="4553656" cy="2695765"/>
                    </a:xfrm>
                    <a:prstGeom prst="rect">
                      <a:avLst/>
                    </a:prstGeom>
                  </pic:spPr>
                </pic:pic>
              </a:graphicData>
            </a:graphic>
          </wp:inline>
        </w:drawing>
      </w:r>
      <w:r>
        <w:rPr>
          <w:rFonts w:ascii="Times New Roman"/>
        </w:rPr>
      </w:r>
    </w:p>
    <w:p>
      <w:pPr>
        <w:spacing w:line="230" w:lineRule="exact" w:before="41"/>
        <w:ind w:left="1077" w:right="819" w:hanging="240"/>
        <w:jc w:val="left"/>
        <w:rPr>
          <w:rFonts w:ascii="Times New Roman"/>
          <w:i/>
          <w:sz w:val="13"/>
        </w:rPr>
      </w:pPr>
      <w:r>
        <w:rPr>
          <w:rFonts w:ascii="Times New Roman"/>
          <w:b/>
          <w:i/>
          <w:sz w:val="20"/>
        </w:rPr>
        <w:t>Figure 7</w:t>
      </w:r>
      <w:r>
        <w:rPr>
          <w:rFonts w:ascii="Times New Roman"/>
          <w:i/>
          <w:sz w:val="20"/>
        </w:rPr>
        <w:t>: Line-of-sight range with out of band interference was measured in a scenario in which a </w:t>
      </w:r>
      <w:r>
        <w:rPr>
          <w:rFonts w:ascii="Times New Roman"/>
          <w:i/>
          <w:sz w:val="20"/>
        </w:rPr>
        <w:t>moving, transmitting vehicle approached a stationary vehicle while a Wi-Fi hotspot using an 80 MHz channel operated with a 40 MHz separation to the C-V2X or DSRC</w:t>
      </w:r>
      <w:r>
        <w:rPr>
          <w:rFonts w:ascii="Times New Roman"/>
          <w:i/>
          <w:spacing w:val="-19"/>
          <w:sz w:val="20"/>
        </w:rPr>
        <w:t> </w:t>
      </w:r>
      <w:r>
        <w:rPr>
          <w:rFonts w:ascii="Times New Roman"/>
          <w:i/>
          <w:sz w:val="20"/>
        </w:rPr>
        <w:t>operations.</w:t>
      </w:r>
      <w:hyperlink w:history="true" w:anchor="_bookmark30">
        <w:r>
          <w:rPr>
            <w:rFonts w:ascii="Times New Roman"/>
            <w:i/>
            <w:position w:val="9"/>
            <w:sz w:val="13"/>
          </w:rPr>
          <w:t>21</w:t>
        </w:r>
      </w:hyperlink>
    </w:p>
    <w:p>
      <w:pPr>
        <w:pStyle w:val="BodyText"/>
        <w:spacing w:before="7"/>
        <w:rPr>
          <w:rFonts w:ascii="Times New Roman"/>
          <w:i/>
          <w:sz w:val="19"/>
        </w:rPr>
      </w:pPr>
    </w:p>
    <w:p>
      <w:pPr>
        <w:pStyle w:val="Heading5"/>
        <w:numPr>
          <w:ilvl w:val="0"/>
          <w:numId w:val="4"/>
        </w:numPr>
        <w:tabs>
          <w:tab w:pos="362" w:val="left" w:leader="none"/>
        </w:tabs>
        <w:spacing w:line="240" w:lineRule="auto" w:before="1" w:after="0"/>
        <w:ind w:left="361" w:right="0" w:hanging="241"/>
        <w:jc w:val="left"/>
      </w:pPr>
      <w:r>
        <w:rPr>
          <w:u w:val="single"/>
        </w:rPr>
        <w:t>V2X’s Congestion</w:t>
      </w:r>
      <w:r>
        <w:rPr>
          <w:spacing w:val="-6"/>
          <w:u w:val="single"/>
        </w:rPr>
        <w:t> </w:t>
      </w:r>
      <w:r>
        <w:rPr>
          <w:u w:val="single"/>
        </w:rPr>
        <w:t>Control</w:t>
      </w:r>
    </w:p>
    <w:p>
      <w:pPr>
        <w:pStyle w:val="BodyText"/>
        <w:spacing w:before="2"/>
        <w:rPr>
          <w:rFonts w:ascii="Times New Roman"/>
          <w:sz w:val="16"/>
        </w:rPr>
      </w:pPr>
    </w:p>
    <w:p>
      <w:pPr>
        <w:spacing w:line="480" w:lineRule="auto" w:before="90"/>
        <w:ind w:left="119" w:right="256" w:firstLine="720"/>
        <w:jc w:val="left"/>
        <w:rPr>
          <w:rFonts w:ascii="Times New Roman" w:hAnsi="Times New Roman"/>
          <w:sz w:val="24"/>
        </w:rPr>
      </w:pPr>
      <w:r>
        <w:rPr>
          <w:rFonts w:ascii="Times New Roman" w:hAnsi="Times New Roman"/>
          <w:sz w:val="24"/>
        </w:rPr>
        <w:t>5GAA’s testing also confirms C-V2X’s ability to implement congestion control. As demonstrated more fully in the 5GAA Test Report, testing indicates that C-V2X can implement communications congestion control in accordance with the industry standard specified by the SAE, which was designed specifically for DSRC.  By employing additional congestion</w:t>
      </w:r>
    </w:p>
    <w:p>
      <w:pPr>
        <w:spacing w:line="448" w:lineRule="auto" w:before="10"/>
        <w:ind w:left="120" w:right="616" w:firstLine="0"/>
        <w:jc w:val="left"/>
        <w:rPr>
          <w:rFonts w:ascii="Times New Roman"/>
          <w:sz w:val="16"/>
        </w:rPr>
      </w:pPr>
      <w:r>
        <w:rPr>
          <w:rFonts w:ascii="Times New Roman"/>
          <w:sz w:val="24"/>
        </w:rPr>
        <w:t>management techniques, C-V2X is likely to demonstrate performance that exceeds the SAE standards.</w:t>
      </w:r>
      <w:hyperlink w:history="true" w:anchor="_bookmark31">
        <w:r>
          <w:rPr>
            <w:rFonts w:ascii="Times New Roman"/>
            <w:position w:val="11"/>
            <w:sz w:val="16"/>
          </w:rPr>
          <w:t>22</w:t>
        </w:r>
      </w:hyperlink>
    </w:p>
    <w:p>
      <w:pPr>
        <w:pStyle w:val="ListParagraph"/>
        <w:numPr>
          <w:ilvl w:val="1"/>
          <w:numId w:val="3"/>
        </w:numPr>
        <w:tabs>
          <w:tab w:pos="2280" w:val="left" w:leader="none"/>
        </w:tabs>
        <w:spacing w:line="240" w:lineRule="auto" w:before="8" w:after="0"/>
        <w:ind w:left="2280" w:right="353" w:hanging="360"/>
        <w:jc w:val="left"/>
        <w:rPr>
          <w:rFonts w:ascii="Times New Roman" w:hAnsi="Times New Roman"/>
          <w:i/>
          <w:sz w:val="24"/>
        </w:rPr>
      </w:pPr>
      <w:bookmarkStart w:name="2. The Performance Advantages of C-V2X P" w:id="40"/>
      <w:bookmarkEnd w:id="40"/>
      <w:r>
        <w:rPr/>
      </w:r>
      <w:bookmarkStart w:name="_bookmark29" w:id="41"/>
      <w:bookmarkEnd w:id="41"/>
      <w:r>
        <w:rPr/>
      </w:r>
      <w:bookmarkStart w:name="_bookmark29" w:id="42"/>
      <w:bookmarkEnd w:id="42"/>
      <w:r>
        <w:rPr>
          <w:rFonts w:ascii="Times New Roman" w:hAnsi="Times New Roman"/>
          <w:i/>
          <w:sz w:val="24"/>
        </w:rPr>
        <w:t>T</w:t>
      </w:r>
      <w:r>
        <w:rPr>
          <w:rFonts w:ascii="Times New Roman" w:hAnsi="Times New Roman"/>
          <w:i/>
          <w:sz w:val="24"/>
        </w:rPr>
        <w:t>he Performance Advantages of C-V2X Peer-to-Peer Mode, Which are </w:t>
      </w:r>
      <w:r>
        <w:rPr>
          <w:rFonts w:ascii="Times New Roman" w:hAnsi="Times New Roman"/>
          <w:i/>
          <w:sz w:val="24"/>
        </w:rPr>
        <w:t>Further Augmented by V2N Mode Capabilities, Can Help Unlock</w:t>
      </w:r>
      <w:r>
        <w:rPr>
          <w:rFonts w:ascii="Times New Roman" w:hAnsi="Times New Roman"/>
          <w:i/>
          <w:spacing w:val="-14"/>
          <w:sz w:val="24"/>
        </w:rPr>
        <w:t> </w:t>
      </w:r>
      <w:r>
        <w:rPr>
          <w:rFonts w:ascii="Times New Roman" w:hAnsi="Times New Roman"/>
          <w:i/>
          <w:sz w:val="24"/>
        </w:rPr>
        <w:t>Safety and Other Benefits on America’s</w:t>
      </w:r>
      <w:r>
        <w:rPr>
          <w:rFonts w:ascii="Times New Roman" w:hAnsi="Times New Roman"/>
          <w:i/>
          <w:spacing w:val="-9"/>
          <w:sz w:val="24"/>
        </w:rPr>
        <w:t> </w:t>
      </w:r>
      <w:r>
        <w:rPr>
          <w:rFonts w:ascii="Times New Roman" w:hAnsi="Times New Roman"/>
          <w:i/>
          <w:sz w:val="24"/>
        </w:rPr>
        <w:t>Roads</w:t>
      </w:r>
    </w:p>
    <w:p>
      <w:pPr>
        <w:pStyle w:val="BodyText"/>
        <w:spacing w:before="9"/>
        <w:rPr>
          <w:rFonts w:ascii="Times New Roman"/>
          <w:i/>
        </w:rPr>
      </w:pPr>
    </w:p>
    <w:p>
      <w:pPr>
        <w:spacing w:line="480" w:lineRule="auto" w:before="0"/>
        <w:ind w:left="120" w:right="83" w:firstLine="720"/>
        <w:jc w:val="left"/>
        <w:rPr>
          <w:rFonts w:ascii="Times New Roman"/>
          <w:sz w:val="24"/>
        </w:rPr>
      </w:pPr>
      <w:r>
        <w:rPr>
          <w:rFonts w:ascii="Times New Roman"/>
          <w:sz w:val="24"/>
        </w:rPr>
        <w:t>The performance advantages of C-V2X peer-to-peer mode can help unlock improvements in a variety of ITS applications and in a variety of different scenarios (e.g., varying road/traffic</w:t>
      </w:r>
    </w:p>
    <w:p>
      <w:pPr>
        <w:pStyle w:val="BodyText"/>
        <w:spacing w:line="20" w:lineRule="exact"/>
        <w:ind w:left="114"/>
        <w:rPr>
          <w:rFonts w:ascii="Times New Roman"/>
          <w:sz w:val="2"/>
        </w:rPr>
      </w:pPr>
      <w:r>
        <w:rPr>
          <w:rFonts w:ascii="Times New Roman"/>
          <w:sz w:val="2"/>
        </w:rPr>
        <w:pict>
          <v:group style="width:144.6pt;height:.6pt;mso-position-horizontal-relative:char;mso-position-vertical-relative:line" coordorigin="0,0" coordsize="2892,12">
            <v:line style="position:absolute" from="6,6" to="2886,6" stroked="true" strokeweight=".6pt" strokecolor="#000000">
              <v:stroke dashstyle="solid"/>
            </v:line>
          </v:group>
        </w:pict>
      </w:r>
      <w:r>
        <w:rPr>
          <w:rFonts w:ascii="Times New Roman"/>
          <w:sz w:val="2"/>
        </w:rPr>
      </w:r>
    </w:p>
    <w:p>
      <w:pPr>
        <w:pStyle w:val="BodyText"/>
        <w:spacing w:before="80"/>
        <w:ind w:left="119" w:right="170"/>
        <w:rPr>
          <w:rFonts w:ascii="Times New Roman" w:hAnsi="Times New Roman"/>
        </w:rPr>
      </w:pPr>
      <w:bookmarkStart w:name="_bookmark30" w:id="43"/>
      <w:bookmarkEnd w:id="43"/>
      <w:r>
        <w:rPr/>
      </w:r>
      <w:r>
        <w:rPr>
          <w:rFonts w:ascii="Times New Roman" w:hAnsi="Times New Roman"/>
          <w:position w:val="9"/>
          <w:sz w:val="13"/>
        </w:rPr>
        <w:t>21 </w:t>
      </w:r>
      <w:r>
        <w:rPr>
          <w:rFonts w:ascii="Times New Roman" w:hAnsi="Times New Roman"/>
        </w:rPr>
        <w:t>The initial dip observed in DSRC performance is a consequence of out-of-band emissions, which effectively raise the floor of receiver sensitivity and amplify the effect of reflected-ray destructive interference. This is not observed in C-V2X results because of C-V2X’s higher link-budget.  The importance of such resiliency in a world where Wi- Fi presence will be pervasive cannot be understated.</w:t>
      </w:r>
    </w:p>
    <w:p>
      <w:pPr>
        <w:pStyle w:val="BodyText"/>
        <w:spacing w:before="93"/>
        <w:ind w:left="119"/>
        <w:rPr>
          <w:rFonts w:ascii="Times New Roman" w:hAnsi="Times New Roman"/>
        </w:rPr>
      </w:pPr>
      <w:bookmarkStart w:name="_bookmark31" w:id="44"/>
      <w:bookmarkEnd w:id="44"/>
      <w:r>
        <w:rPr/>
      </w:r>
      <w:r>
        <w:rPr>
          <w:rFonts w:ascii="Times New Roman" w:hAnsi="Times New Roman"/>
          <w:position w:val="9"/>
          <w:sz w:val="13"/>
        </w:rPr>
        <w:t>22 </w:t>
      </w:r>
      <w:r>
        <w:rPr>
          <w:rFonts w:ascii="Times New Roman" w:hAnsi="Times New Roman"/>
        </w:rPr>
        <w:t>For example, C-V2X can manage radio resources at a more granular level as channel widths increase, which holds the promise to enable further improvements in C-V2X’s implementation of congestion control.</w:t>
      </w:r>
    </w:p>
    <w:p>
      <w:pPr>
        <w:spacing w:after="0"/>
        <w:rPr>
          <w:rFonts w:ascii="Times New Roman" w:hAnsi="Times New Roman"/>
        </w:rPr>
        <w:sectPr>
          <w:headerReference w:type="default" r:id="rId48"/>
          <w:footerReference w:type="default" r:id="rId49"/>
          <w:pgSz w:w="12240" w:h="15840"/>
          <w:pgMar w:header="0" w:footer="1070" w:top="1440" w:bottom="1260" w:left="1320" w:right="1340"/>
          <w:pgNumType w:start="13"/>
        </w:sectPr>
      </w:pPr>
    </w:p>
    <w:p>
      <w:pPr>
        <w:spacing w:line="480" w:lineRule="auto" w:before="72"/>
        <w:ind w:left="120" w:right="0" w:firstLine="0"/>
        <w:jc w:val="left"/>
        <w:rPr>
          <w:rFonts w:ascii="Times New Roman"/>
          <w:sz w:val="24"/>
        </w:rPr>
      </w:pPr>
      <w:r>
        <w:rPr>
          <w:rFonts w:ascii="Times New Roman"/>
          <w:sz w:val="24"/>
        </w:rPr>
        <w:t>conditions and vehicle speeds). With C-V2X, drivers and vehicles will have access to a more complete and accurate picture of the surrounding road environment.  For example:</w:t>
      </w:r>
    </w:p>
    <w:p>
      <w:pPr>
        <w:pStyle w:val="ListParagraph"/>
        <w:numPr>
          <w:ilvl w:val="1"/>
          <w:numId w:val="4"/>
        </w:numPr>
        <w:tabs>
          <w:tab w:pos="1200" w:val="left" w:leader="none"/>
        </w:tabs>
        <w:spacing w:line="223" w:lineRule="auto" w:before="29" w:after="0"/>
        <w:ind w:left="1200" w:right="587" w:hanging="360"/>
        <w:jc w:val="both"/>
        <w:rPr>
          <w:rFonts w:ascii="Times New Roman" w:hAnsi="Times New Roman"/>
          <w:sz w:val="16"/>
        </w:rPr>
      </w:pPr>
      <w:r>
        <w:rPr>
          <w:rFonts w:ascii="Times New Roman" w:hAnsi="Times New Roman"/>
          <w:b/>
          <w:i/>
          <w:sz w:val="24"/>
        </w:rPr>
        <w:t>C-V2X’s improved non-line-of-sight performance </w:t>
      </w:r>
      <w:r>
        <w:rPr>
          <w:rFonts w:ascii="Times New Roman" w:hAnsi="Times New Roman"/>
          <w:sz w:val="24"/>
        </w:rPr>
        <w:t>allows vehicles and drivers</w:t>
      </w:r>
      <w:r>
        <w:rPr>
          <w:rFonts w:ascii="Times New Roman" w:hAnsi="Times New Roman"/>
          <w:spacing w:val="-22"/>
          <w:sz w:val="24"/>
        </w:rPr>
        <w:t> </w:t>
      </w:r>
      <w:r>
        <w:rPr>
          <w:rFonts w:ascii="Times New Roman" w:hAnsi="Times New Roman"/>
          <w:sz w:val="24"/>
        </w:rPr>
        <w:t>to “see” more clearly through obstructions and further around corners, providing an earlier, more expanded view of the</w:t>
      </w:r>
      <w:r>
        <w:rPr>
          <w:rFonts w:ascii="Times New Roman" w:hAnsi="Times New Roman"/>
          <w:spacing w:val="2"/>
          <w:sz w:val="24"/>
        </w:rPr>
        <w:t> </w:t>
      </w:r>
      <w:r>
        <w:rPr>
          <w:rFonts w:ascii="Times New Roman" w:hAnsi="Times New Roman"/>
          <w:sz w:val="24"/>
        </w:rPr>
        <w:t>surroundings;</w:t>
      </w:r>
      <w:hyperlink w:history="true" w:anchor="_bookmark32">
        <w:r>
          <w:rPr>
            <w:rFonts w:ascii="Times New Roman" w:hAnsi="Times New Roman"/>
            <w:position w:val="11"/>
            <w:sz w:val="16"/>
          </w:rPr>
          <w:t>23</w:t>
        </w:r>
      </w:hyperlink>
    </w:p>
    <w:p>
      <w:pPr>
        <w:pStyle w:val="BodyText"/>
        <w:spacing w:before="4"/>
        <w:rPr>
          <w:rFonts w:ascii="Times New Roman"/>
          <w:sz w:val="26"/>
        </w:rPr>
      </w:pPr>
    </w:p>
    <w:p>
      <w:pPr>
        <w:pStyle w:val="Heading5"/>
        <w:numPr>
          <w:ilvl w:val="1"/>
          <w:numId w:val="4"/>
        </w:numPr>
        <w:tabs>
          <w:tab w:pos="1199" w:val="left" w:leader="none"/>
          <w:tab w:pos="1200" w:val="left" w:leader="none"/>
        </w:tabs>
        <w:spacing w:line="274" w:lineRule="exact" w:before="0" w:after="0"/>
        <w:ind w:left="1200" w:right="437" w:hanging="360"/>
        <w:jc w:val="left"/>
        <w:rPr>
          <w:sz w:val="16"/>
        </w:rPr>
      </w:pPr>
      <w:r>
        <w:rPr>
          <w:b/>
          <w:i/>
        </w:rPr>
        <w:t>C-V2X’s enhanced reliability </w:t>
      </w:r>
      <w:r>
        <w:rPr/>
        <w:t>provides more certainty that critical safety</w:t>
      </w:r>
      <w:r>
        <w:rPr>
          <w:spacing w:val="-26"/>
        </w:rPr>
        <w:t> </w:t>
      </w:r>
      <w:r>
        <w:rPr/>
        <w:t>messages reach their intended destination at a much greater communications</w:t>
      </w:r>
      <w:r>
        <w:rPr>
          <w:spacing w:val="-5"/>
        </w:rPr>
        <w:t> </w:t>
      </w:r>
      <w:r>
        <w:rPr/>
        <w:t>range;</w:t>
      </w:r>
      <w:hyperlink w:history="true" w:anchor="_bookmark33">
        <w:r>
          <w:rPr>
            <w:position w:val="11"/>
            <w:sz w:val="16"/>
          </w:rPr>
          <w:t>24</w:t>
        </w:r>
      </w:hyperlink>
    </w:p>
    <w:p>
      <w:pPr>
        <w:pStyle w:val="BodyText"/>
        <w:spacing w:before="9"/>
        <w:rPr>
          <w:rFonts w:ascii="Times New Roman"/>
          <w:sz w:val="25"/>
        </w:rPr>
      </w:pPr>
    </w:p>
    <w:p>
      <w:pPr>
        <w:pStyle w:val="ListParagraph"/>
        <w:numPr>
          <w:ilvl w:val="1"/>
          <w:numId w:val="4"/>
        </w:numPr>
        <w:tabs>
          <w:tab w:pos="1199" w:val="left" w:leader="none"/>
          <w:tab w:pos="1200" w:val="left" w:leader="none"/>
        </w:tabs>
        <w:spacing w:line="274" w:lineRule="exact" w:before="0" w:after="0"/>
        <w:ind w:left="1200" w:right="486" w:hanging="360"/>
        <w:jc w:val="left"/>
        <w:rPr>
          <w:rFonts w:ascii="Times New Roman" w:hAnsi="Times New Roman"/>
          <w:sz w:val="24"/>
        </w:rPr>
      </w:pPr>
      <w:r>
        <w:rPr>
          <w:rFonts w:ascii="Times New Roman" w:hAnsi="Times New Roman"/>
          <w:b/>
          <w:i/>
          <w:sz w:val="24"/>
        </w:rPr>
        <w:t>C-V2X’s superior resiliency </w:t>
      </w:r>
      <w:r>
        <w:rPr>
          <w:rFonts w:ascii="Times New Roman" w:hAnsi="Times New Roman"/>
          <w:sz w:val="24"/>
        </w:rPr>
        <w:t>to out of band emissions provides a more</w:t>
      </w:r>
      <w:r>
        <w:rPr>
          <w:rFonts w:ascii="Times New Roman" w:hAnsi="Times New Roman"/>
          <w:spacing w:val="-18"/>
          <w:sz w:val="24"/>
        </w:rPr>
        <w:t> </w:t>
      </w:r>
      <w:r>
        <w:rPr>
          <w:rFonts w:ascii="Times New Roman" w:hAnsi="Times New Roman"/>
          <w:sz w:val="24"/>
        </w:rPr>
        <w:t>dependable performance for vehicles and</w:t>
      </w:r>
      <w:r>
        <w:rPr>
          <w:rFonts w:ascii="Times New Roman" w:hAnsi="Times New Roman"/>
          <w:spacing w:val="-9"/>
          <w:sz w:val="24"/>
        </w:rPr>
        <w:t> </w:t>
      </w:r>
      <w:r>
        <w:rPr>
          <w:rFonts w:ascii="Times New Roman" w:hAnsi="Times New Roman"/>
          <w:sz w:val="24"/>
        </w:rPr>
        <w:t>drivers;</w:t>
      </w:r>
    </w:p>
    <w:p>
      <w:pPr>
        <w:pStyle w:val="BodyText"/>
        <w:spacing w:before="10"/>
        <w:rPr>
          <w:rFonts w:ascii="Times New Roman"/>
          <w:sz w:val="23"/>
        </w:rPr>
      </w:pPr>
    </w:p>
    <w:p>
      <w:pPr>
        <w:pStyle w:val="Heading5"/>
        <w:numPr>
          <w:ilvl w:val="1"/>
          <w:numId w:val="4"/>
        </w:numPr>
        <w:tabs>
          <w:tab w:pos="1200" w:val="left" w:leader="none"/>
        </w:tabs>
        <w:spacing w:line="240" w:lineRule="auto" w:before="0" w:after="0"/>
        <w:ind w:left="1200" w:right="237" w:hanging="360"/>
        <w:jc w:val="both"/>
      </w:pPr>
      <w:r>
        <w:rPr>
          <w:b/>
          <w:i/>
        </w:rPr>
        <w:t>C-V2X’s higher capacity </w:t>
      </w:r>
      <w:r>
        <w:rPr/>
        <w:t>to transmit data, a feature expected in future versions of C- V2X, will allow more and higher quality information to reach the driver and vehicle; and</w:t>
      </w:r>
    </w:p>
    <w:p>
      <w:pPr>
        <w:pStyle w:val="BodyText"/>
        <w:spacing w:before="6"/>
        <w:rPr>
          <w:rFonts w:ascii="Times New Roman"/>
          <w:sz w:val="25"/>
        </w:rPr>
      </w:pPr>
    </w:p>
    <w:p>
      <w:pPr>
        <w:pStyle w:val="ListParagraph"/>
        <w:numPr>
          <w:ilvl w:val="1"/>
          <w:numId w:val="4"/>
        </w:numPr>
        <w:tabs>
          <w:tab w:pos="1199" w:val="left" w:leader="none"/>
          <w:tab w:pos="1200" w:val="left" w:leader="none"/>
        </w:tabs>
        <w:spacing w:line="223" w:lineRule="auto" w:before="1" w:after="0"/>
        <w:ind w:left="1200" w:right="384" w:hanging="360"/>
        <w:jc w:val="left"/>
        <w:rPr>
          <w:rFonts w:ascii="Times New Roman" w:hAnsi="Times New Roman"/>
          <w:sz w:val="16"/>
        </w:rPr>
      </w:pPr>
      <w:r>
        <w:rPr>
          <w:rFonts w:ascii="Times New Roman" w:hAnsi="Times New Roman"/>
          <w:b/>
          <w:i/>
          <w:sz w:val="24"/>
        </w:rPr>
        <w:t>C-V2X’s communications congestion control </w:t>
      </w:r>
      <w:r>
        <w:rPr>
          <w:rFonts w:ascii="Times New Roman" w:hAnsi="Times New Roman"/>
          <w:sz w:val="24"/>
        </w:rPr>
        <w:t>in traffic jams and other scenarios in which there is a high volume of vehicles in the same vicinity helps to ensure more consistent</w:t>
      </w:r>
      <w:r>
        <w:rPr>
          <w:rFonts w:ascii="Times New Roman" w:hAnsi="Times New Roman"/>
          <w:spacing w:val="8"/>
          <w:sz w:val="24"/>
        </w:rPr>
        <w:t> </w:t>
      </w:r>
      <w:r>
        <w:rPr>
          <w:rFonts w:ascii="Times New Roman" w:hAnsi="Times New Roman"/>
          <w:sz w:val="24"/>
        </w:rPr>
        <w:t>performance.</w:t>
      </w:r>
      <w:hyperlink w:history="true" w:anchor="_bookmark34">
        <w:r>
          <w:rPr>
            <w:rFonts w:ascii="Times New Roman" w:hAnsi="Times New Roman"/>
            <w:position w:val="11"/>
            <w:sz w:val="16"/>
          </w:rPr>
          <w:t>25</w:t>
        </w:r>
      </w:hyperlink>
    </w:p>
    <w:p>
      <w:pPr>
        <w:pStyle w:val="BodyText"/>
        <w:spacing w:before="3"/>
        <w:rPr>
          <w:rFonts w:ascii="Times New Roman"/>
          <w:sz w:val="24"/>
        </w:rPr>
      </w:pPr>
    </w:p>
    <w:p>
      <w:pPr>
        <w:pStyle w:val="Heading5"/>
        <w:spacing w:line="472" w:lineRule="auto"/>
        <w:ind w:left="120" w:right="141"/>
        <w:rPr>
          <w:sz w:val="16"/>
        </w:rPr>
      </w:pPr>
      <w:r>
        <w:rPr/>
        <w:t>These unique characteristics will translate into a variety of societal benefits. For example, the performance advantages of C-V2X peer-to-peer mode was a key factor contributing to a recent analysis published by 5GAA estimating that thousands more lives could be saved and tens of thousands – if not hundreds of thousands – of serious injuries avoided over a 22 year period if C- V2X were to be deployed in Europe.</w:t>
      </w:r>
      <w:hyperlink w:history="true" w:anchor="_bookmark35">
        <w:r>
          <w:rPr>
            <w:position w:val="11"/>
            <w:sz w:val="16"/>
          </w:rPr>
          <w:t>26</w:t>
        </w:r>
      </w:hyperlink>
    </w:p>
    <w:p>
      <w:pPr>
        <w:spacing w:line="257" w:lineRule="exact" w:before="0"/>
        <w:ind w:left="840" w:right="0" w:firstLine="0"/>
        <w:jc w:val="left"/>
        <w:rPr>
          <w:rFonts w:ascii="Times New Roman" w:hAnsi="Times New Roman"/>
          <w:sz w:val="24"/>
        </w:rPr>
      </w:pPr>
      <w:r>
        <w:rPr>
          <w:rFonts w:ascii="Times New Roman" w:hAnsi="Times New Roman"/>
          <w:sz w:val="24"/>
        </w:rPr>
        <w:t>C-V2X’s performance advantages over DSRC are particularly important in non-line-of-</w:t>
      </w:r>
    </w:p>
    <w:p>
      <w:pPr>
        <w:pStyle w:val="BodyText"/>
        <w:rPr>
          <w:rFonts w:ascii="Times New Roman"/>
          <w:sz w:val="24"/>
        </w:rPr>
      </w:pPr>
    </w:p>
    <w:p>
      <w:pPr>
        <w:spacing w:line="480" w:lineRule="auto" w:before="1"/>
        <w:ind w:left="120" w:right="0" w:firstLine="0"/>
        <w:jc w:val="left"/>
        <w:rPr>
          <w:rFonts w:ascii="Times New Roman" w:hAnsi="Times New Roman"/>
          <w:sz w:val="24"/>
        </w:rPr>
      </w:pPr>
      <w:r>
        <w:rPr/>
        <w:pict>
          <v:line style="position:absolute;mso-position-horizontal-relative:page;mso-position-vertical-relative:paragraph;z-index:-506656" from="72pt,53.073616pt" to="216pt,53.073616pt" stroked="true" strokeweight=".599pt" strokecolor="#000000">
            <v:stroke dashstyle="solid"/>
            <w10:wrap type="none"/>
          </v:line>
        </w:pict>
      </w:r>
      <w:r>
        <w:rPr>
          <w:rFonts w:ascii="Times New Roman" w:hAnsi="Times New Roman"/>
          <w:sz w:val="24"/>
        </w:rPr>
        <w:t>sight scenarios (e.g., around corners, around large trucks, etc.). Current and near-term in-vehicle camera and sensor-based technologies experience limitations in these scenarios.  C-V2X’s non-</w:t>
      </w:r>
    </w:p>
    <w:p>
      <w:pPr>
        <w:spacing w:before="52"/>
        <w:ind w:left="120" w:right="0" w:firstLine="0"/>
        <w:jc w:val="left"/>
        <w:rPr>
          <w:rFonts w:ascii="Times New Roman"/>
          <w:sz w:val="20"/>
        </w:rPr>
      </w:pPr>
      <w:bookmarkStart w:name="_bookmark32" w:id="45"/>
      <w:bookmarkEnd w:id="45"/>
      <w:r>
        <w:rPr/>
      </w:r>
      <w:r>
        <w:rPr>
          <w:rFonts w:ascii="Times New Roman"/>
          <w:position w:val="9"/>
          <w:sz w:val="13"/>
        </w:rPr>
        <w:t>23 </w:t>
      </w:r>
      <w:r>
        <w:rPr>
          <w:rFonts w:ascii="Times New Roman"/>
          <w:i/>
          <w:sz w:val="20"/>
        </w:rPr>
        <w:t>See </w:t>
      </w:r>
      <w:r>
        <w:rPr>
          <w:rFonts w:ascii="Times New Roman"/>
          <w:sz w:val="20"/>
        </w:rPr>
        <w:t>5G Americas White Paper, </w:t>
      </w:r>
      <w:r>
        <w:rPr>
          <w:rFonts w:ascii="Times New Roman"/>
          <w:i/>
          <w:sz w:val="20"/>
        </w:rPr>
        <w:t>supra </w:t>
      </w:r>
      <w:r>
        <w:rPr>
          <w:rFonts w:ascii="Times New Roman"/>
          <w:sz w:val="20"/>
        </w:rPr>
        <w:t>note </w:t>
      </w:r>
      <w:hyperlink w:history="true" w:anchor="_bookmark23">
        <w:r>
          <w:rPr>
            <w:rFonts w:ascii="Times New Roman"/>
            <w:sz w:val="20"/>
          </w:rPr>
          <w:t>18,</w:t>
        </w:r>
      </w:hyperlink>
      <w:r>
        <w:rPr>
          <w:rFonts w:ascii="Times New Roman"/>
          <w:sz w:val="20"/>
        </w:rPr>
        <w:t> at 21-22.</w:t>
      </w:r>
    </w:p>
    <w:p>
      <w:pPr>
        <w:spacing w:before="96"/>
        <w:ind w:left="120" w:right="0" w:firstLine="0"/>
        <w:jc w:val="left"/>
        <w:rPr>
          <w:rFonts w:ascii="Times New Roman"/>
          <w:sz w:val="20"/>
        </w:rPr>
      </w:pPr>
      <w:bookmarkStart w:name="_bookmark33" w:id="46"/>
      <w:bookmarkEnd w:id="46"/>
      <w:r>
        <w:rPr/>
      </w:r>
      <w:r>
        <w:rPr>
          <w:rFonts w:ascii="Times New Roman"/>
          <w:position w:val="9"/>
          <w:sz w:val="13"/>
        </w:rPr>
        <w:t>24 </w:t>
      </w:r>
      <w:r>
        <w:rPr>
          <w:rFonts w:ascii="Times New Roman"/>
          <w:i/>
          <w:sz w:val="20"/>
        </w:rPr>
        <w:t>See id</w:t>
      </w:r>
      <w:r>
        <w:rPr>
          <w:rFonts w:ascii="Times New Roman"/>
          <w:sz w:val="20"/>
        </w:rPr>
        <w:t>.</w:t>
      </w:r>
    </w:p>
    <w:p>
      <w:pPr>
        <w:spacing w:before="96"/>
        <w:ind w:left="120" w:right="0" w:firstLine="0"/>
        <w:jc w:val="left"/>
        <w:rPr>
          <w:rFonts w:ascii="Times New Roman"/>
          <w:sz w:val="20"/>
        </w:rPr>
      </w:pPr>
      <w:bookmarkStart w:name="_bookmark34" w:id="47"/>
      <w:bookmarkEnd w:id="47"/>
      <w:r>
        <w:rPr/>
      </w:r>
      <w:r>
        <w:rPr>
          <w:rFonts w:ascii="Times New Roman"/>
          <w:position w:val="9"/>
          <w:sz w:val="13"/>
        </w:rPr>
        <w:t>25 </w:t>
      </w:r>
      <w:r>
        <w:rPr>
          <w:rFonts w:ascii="Times New Roman"/>
          <w:i/>
          <w:sz w:val="20"/>
        </w:rPr>
        <w:t>See id. </w:t>
      </w:r>
      <w:r>
        <w:rPr>
          <w:rFonts w:ascii="Times New Roman"/>
          <w:sz w:val="20"/>
        </w:rPr>
        <w:t>at 22.</w:t>
      </w:r>
    </w:p>
    <w:p>
      <w:pPr>
        <w:spacing w:before="96"/>
        <w:ind w:left="119" w:right="117" w:firstLine="0"/>
        <w:jc w:val="left"/>
        <w:rPr>
          <w:rFonts w:ascii="Times New Roman" w:hAnsi="Times New Roman"/>
          <w:sz w:val="20"/>
        </w:rPr>
      </w:pPr>
      <w:bookmarkStart w:name="_bookmark35" w:id="48"/>
      <w:bookmarkEnd w:id="48"/>
      <w:r>
        <w:rPr/>
      </w:r>
      <w:r>
        <w:rPr>
          <w:rFonts w:ascii="Times New Roman" w:hAnsi="Times New Roman"/>
          <w:position w:val="9"/>
          <w:sz w:val="13"/>
        </w:rPr>
        <w:t>26 </w:t>
      </w:r>
      <w:r>
        <w:rPr>
          <w:rFonts w:ascii="Times New Roman" w:hAnsi="Times New Roman"/>
          <w:i/>
          <w:sz w:val="20"/>
        </w:rPr>
        <w:t>See </w:t>
      </w:r>
      <w:r>
        <w:rPr>
          <w:rFonts w:ascii="Times New Roman" w:hAnsi="Times New Roman"/>
          <w:sz w:val="20"/>
        </w:rPr>
        <w:t>5GAA, </w:t>
      </w:r>
      <w:r>
        <w:rPr>
          <w:rFonts w:ascii="Times New Roman" w:hAnsi="Times New Roman"/>
          <w:i/>
          <w:sz w:val="20"/>
        </w:rPr>
        <w:t>An assessment of LTE-V2X (PC5) and 802.11p direct communications technologies for improved road </w:t>
      </w:r>
      <w:r>
        <w:rPr>
          <w:rFonts w:ascii="Times New Roman" w:hAnsi="Times New Roman"/>
          <w:i/>
          <w:sz w:val="20"/>
        </w:rPr>
        <w:t>safety in the EU</w:t>
      </w:r>
      <w:r>
        <w:rPr>
          <w:rFonts w:ascii="Times New Roman" w:hAnsi="Times New Roman"/>
          <w:sz w:val="20"/>
        </w:rPr>
        <w:t>, at 22 (Dec. 5, 2017), </w:t>
      </w:r>
      <w:hyperlink r:id="rId53">
        <w:r>
          <w:rPr>
            <w:rFonts w:ascii="Times New Roman" w:hAnsi="Times New Roman"/>
            <w:color w:val="0000FF"/>
            <w:sz w:val="20"/>
            <w:u w:val="single" w:color="0000FF"/>
          </w:rPr>
          <w:t>http://5gaa.org/wp-content/uploads/2017/12/5GAA-Road-safety-FINAL2017-</w:t>
        </w:r>
      </w:hyperlink>
      <w:r>
        <w:rPr>
          <w:rFonts w:ascii="Times New Roman" w:hAnsi="Times New Roman"/>
          <w:color w:val="0000FF"/>
          <w:sz w:val="20"/>
          <w:u w:val="single" w:color="0000FF"/>
        </w:rPr>
        <w:t> </w:t>
      </w:r>
      <w:hyperlink r:id="rId53">
        <w:r>
          <w:rPr>
            <w:rFonts w:ascii="Times New Roman" w:hAnsi="Times New Roman"/>
            <w:color w:val="0000FF"/>
            <w:sz w:val="20"/>
            <w:u w:val="single" w:color="0000FF"/>
          </w:rPr>
          <w:t>12-05.pdf </w:t>
        </w:r>
      </w:hyperlink>
      <w:r>
        <w:rPr>
          <w:rFonts w:ascii="Times New Roman" w:hAnsi="Times New Roman"/>
          <w:sz w:val="20"/>
        </w:rPr>
        <w:t>(“The modelling indicates that LTE-V2X (PC5) has a superior radio performance, particularly in dense urban settings with large numbers of competing vehicles, and in high speed roads. The superior reliability of LTE- V2X (PC5) results in a higher number of avoided fatalities and serious injuries compared to 802.11p….”).</w:t>
      </w:r>
    </w:p>
    <w:p>
      <w:pPr>
        <w:spacing w:after="0"/>
        <w:jc w:val="left"/>
        <w:rPr>
          <w:rFonts w:ascii="Times New Roman" w:hAnsi="Times New Roman"/>
          <w:sz w:val="20"/>
        </w:rPr>
        <w:sectPr>
          <w:headerReference w:type="default" r:id="rId51"/>
          <w:footerReference w:type="default" r:id="rId52"/>
          <w:pgSz w:w="12240" w:h="15840"/>
          <w:pgMar w:header="0" w:footer="1070" w:top="1360" w:bottom="1260" w:left="1320" w:right="1320"/>
          <w:pgNumType w:start="14"/>
        </w:sectPr>
      </w:pPr>
    </w:p>
    <w:p>
      <w:pPr>
        <w:spacing w:line="472" w:lineRule="auto" w:before="72"/>
        <w:ind w:left="119" w:right="84" w:firstLine="0"/>
        <w:jc w:val="left"/>
        <w:rPr>
          <w:rFonts w:ascii="Times New Roman"/>
          <w:sz w:val="16"/>
        </w:rPr>
      </w:pPr>
      <w:r>
        <w:rPr>
          <w:rFonts w:ascii="Times New Roman"/>
          <w:sz w:val="24"/>
        </w:rPr>
        <w:t>line-of-sight performance advantage over DSRC thus may allow vehicles to perceive and provide earlier warnings of threats hidden from detection by current and near-term vehicle-resident technologies.  Such warnings are particularly useful near intersections and in highway passing and braking scenarios. Indeed, as referenced in Section II, NHTSA repeatedly has endorsed the potential of V2V ITS technologies to help address crashes in scenarios such as these.</w:t>
      </w:r>
      <w:hyperlink w:history="true" w:anchor="_bookmark36">
        <w:r>
          <w:rPr>
            <w:rFonts w:ascii="Times New Roman"/>
            <w:position w:val="11"/>
            <w:sz w:val="16"/>
          </w:rPr>
          <w:t>27</w:t>
        </w:r>
      </w:hyperlink>
    </w:p>
    <w:p>
      <w:pPr>
        <w:spacing w:line="257" w:lineRule="exact" w:before="0"/>
        <w:ind w:left="840" w:right="0" w:firstLine="0"/>
        <w:jc w:val="left"/>
        <w:rPr>
          <w:rFonts w:ascii="Times New Roman"/>
          <w:sz w:val="24"/>
        </w:rPr>
      </w:pPr>
      <w:r>
        <w:rPr>
          <w:rFonts w:ascii="Times New Roman"/>
          <w:sz w:val="24"/>
        </w:rPr>
        <w:t>The performance advantages of C-V2X peer-to-peer mode are further augmented by C-</w:t>
      </w:r>
    </w:p>
    <w:p>
      <w:pPr>
        <w:spacing w:line="550" w:lineRule="atLeast" w:before="2"/>
        <w:ind w:left="119" w:right="135" w:firstLine="0"/>
        <w:jc w:val="left"/>
        <w:rPr>
          <w:rFonts w:ascii="Times New Roman" w:hAnsi="Times New Roman"/>
          <w:sz w:val="24"/>
        </w:rPr>
      </w:pPr>
      <w:r>
        <w:rPr>
          <w:rFonts w:ascii="Times New Roman" w:hAnsi="Times New Roman"/>
          <w:sz w:val="24"/>
        </w:rPr>
        <w:t>V2X’s V2N mode communications. V2N mode communications play an important complementary role to peer-to-peer mode communications by, among other things, providing the ability to offload less time-sensitive V2V, V2I, and V2P communications to the cellular network during times of peak congestion.</w:t>
      </w:r>
      <w:hyperlink w:history="true" w:anchor="_bookmark37">
        <w:r>
          <w:rPr>
            <w:rFonts w:ascii="Times New Roman" w:hAnsi="Times New Roman"/>
            <w:position w:val="11"/>
            <w:sz w:val="16"/>
          </w:rPr>
          <w:t>28</w:t>
        </w:r>
      </w:hyperlink>
      <w:r>
        <w:rPr>
          <w:rFonts w:ascii="Times New Roman" w:hAnsi="Times New Roman"/>
          <w:position w:val="11"/>
          <w:sz w:val="16"/>
        </w:rPr>
        <w:t> </w:t>
      </w:r>
      <w:r>
        <w:rPr>
          <w:rFonts w:ascii="Times New Roman" w:hAnsi="Times New Roman"/>
          <w:sz w:val="24"/>
        </w:rPr>
        <w:t>This offloading feature increases the reliability of C-V2X’s peer-to-peer mode communications, enhancing the effectiveness of critical time-sensitive services enabled by C-V2X. In addition, vehicles will be able to unlock a host of new applications by utilizing C-V2X’s V2N mode to communicate with almost anyone at any time.</w:t>
      </w:r>
    </w:p>
    <w:p>
      <w:pPr>
        <w:pStyle w:val="BodyText"/>
        <w:rPr>
          <w:rFonts w:ascii="Times New Roman"/>
          <w:sz w:val="24"/>
        </w:rPr>
      </w:pPr>
    </w:p>
    <w:p>
      <w:pPr>
        <w:spacing w:line="448" w:lineRule="auto" w:before="0"/>
        <w:ind w:left="119" w:right="443" w:firstLine="0"/>
        <w:jc w:val="left"/>
        <w:rPr>
          <w:rFonts w:ascii="Times New Roman"/>
          <w:sz w:val="16"/>
        </w:rPr>
      </w:pPr>
      <w:r>
        <w:rPr>
          <w:rFonts w:ascii="Times New Roman"/>
          <w:sz w:val="24"/>
        </w:rPr>
        <w:t>This V2N mode functionality would allow, for example, integration with smart-city and other connected transportation initiatives that also use cellular technology.</w:t>
      </w:r>
      <w:hyperlink w:history="true" w:anchor="_bookmark38">
        <w:r>
          <w:rPr>
            <w:rFonts w:ascii="Times New Roman"/>
            <w:position w:val="11"/>
            <w:sz w:val="16"/>
          </w:rPr>
          <w:t>29</w:t>
        </w:r>
      </w:hyperlink>
    </w:p>
    <w:p>
      <w:pPr>
        <w:spacing w:line="465" w:lineRule="auto" w:before="11"/>
        <w:ind w:left="119" w:right="129" w:firstLine="720"/>
        <w:jc w:val="left"/>
        <w:rPr>
          <w:rFonts w:ascii="Times New Roman"/>
          <w:sz w:val="24"/>
        </w:rPr>
      </w:pPr>
      <w:r>
        <w:rPr>
          <w:rFonts w:ascii="Times New Roman"/>
          <w:sz w:val="24"/>
        </w:rPr>
        <w:t>These capabilities allow C-V2X to support all of the V2V and V2I applications identified by NHTSA in its 2016 notice of proposed rulemaking on V2V communications.</w:t>
      </w:r>
      <w:hyperlink w:history="true" w:anchor="_bookmark39">
        <w:r>
          <w:rPr>
            <w:rFonts w:ascii="Times New Roman"/>
            <w:position w:val="11"/>
            <w:sz w:val="16"/>
          </w:rPr>
          <w:t>30</w:t>
        </w:r>
      </w:hyperlink>
      <w:r>
        <w:rPr>
          <w:rFonts w:ascii="Times New Roman"/>
          <w:position w:val="11"/>
          <w:sz w:val="16"/>
        </w:rPr>
        <w:t> </w:t>
      </w:r>
      <w:r>
        <w:rPr>
          <w:rFonts w:ascii="Times New Roman"/>
          <w:sz w:val="24"/>
        </w:rPr>
        <w:t>All told, the safety, efficiency, mobility, and environmental benefits resulting from these capabilities are</w: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10"/>
        </w:rPr>
      </w:pPr>
      <w:r>
        <w:rPr/>
        <w:pict>
          <v:line style="position:absolute;mso-position-horizontal-relative:page;mso-position-vertical-relative:paragraph;z-index:1408;mso-wrap-distance-left:0;mso-wrap-distance-right:0" from="72pt,8.075721pt" to="216pt,8.075721pt" stroked="true" strokeweight=".599pt" strokecolor="#000000">
            <v:stroke dashstyle="solid"/>
            <w10:wrap type="topAndBottom"/>
          </v:line>
        </w:pict>
      </w:r>
    </w:p>
    <w:p>
      <w:pPr>
        <w:pStyle w:val="BodyText"/>
        <w:spacing w:before="50"/>
        <w:ind w:left="119" w:right="129"/>
        <w:rPr>
          <w:rFonts w:ascii="Times New Roman" w:hAnsi="Times New Roman"/>
        </w:rPr>
      </w:pPr>
      <w:bookmarkStart w:name="_bookmark36" w:id="49"/>
      <w:bookmarkEnd w:id="49"/>
      <w:r>
        <w:rPr/>
      </w:r>
      <w:r>
        <w:rPr>
          <w:rFonts w:ascii="Times New Roman" w:hAnsi="Times New Roman"/>
          <w:position w:val="9"/>
          <w:sz w:val="13"/>
        </w:rPr>
        <w:t>27 </w:t>
      </w:r>
      <w:r>
        <w:rPr>
          <w:rFonts w:ascii="Times New Roman" w:hAnsi="Times New Roman"/>
          <w:i/>
        </w:rPr>
        <w:t>See supra </w:t>
      </w:r>
      <w:r>
        <w:rPr>
          <w:rFonts w:ascii="Times New Roman" w:hAnsi="Times New Roman"/>
        </w:rPr>
        <w:t>pp. 4-5. </w:t>
      </w:r>
      <w:r>
        <w:rPr>
          <w:rFonts w:ascii="Times New Roman" w:hAnsi="Times New Roman"/>
          <w:i/>
        </w:rPr>
        <w:t>See also</w:t>
      </w:r>
      <w:r>
        <w:rPr>
          <w:rFonts w:ascii="Times New Roman" w:hAnsi="Times New Roman"/>
        </w:rPr>
        <w:t>, </w:t>
      </w:r>
      <w:r>
        <w:rPr>
          <w:rFonts w:ascii="Times New Roman" w:hAnsi="Times New Roman"/>
          <w:i/>
        </w:rPr>
        <w:t>e.g.</w:t>
      </w:r>
      <w:r>
        <w:rPr>
          <w:rFonts w:ascii="Times New Roman" w:hAnsi="Times New Roman"/>
        </w:rPr>
        <w:t>, Federal Motor Vehicle Safety Standards, 82 Fed. Reg. at 3855 (“This ability to communicate certain information that cannot be acquired by vehicle-resident onboard sensors makes V2V particularly good at preventing impending intersection crashes, such as when a vehicle is attempting to make a left turn from one road to another.”).</w:t>
      </w:r>
    </w:p>
    <w:p>
      <w:pPr>
        <w:spacing w:before="95"/>
        <w:ind w:left="120" w:right="0" w:firstLine="0"/>
        <w:jc w:val="left"/>
        <w:rPr>
          <w:rFonts w:ascii="Times New Roman"/>
          <w:sz w:val="20"/>
        </w:rPr>
      </w:pPr>
      <w:bookmarkStart w:name="_bookmark37" w:id="50"/>
      <w:bookmarkEnd w:id="50"/>
      <w:r>
        <w:rPr/>
      </w:r>
      <w:r>
        <w:rPr>
          <w:rFonts w:ascii="Times New Roman"/>
          <w:position w:val="9"/>
          <w:sz w:val="13"/>
        </w:rPr>
        <w:t>28 </w:t>
      </w:r>
      <w:r>
        <w:rPr>
          <w:rFonts w:ascii="Times New Roman"/>
          <w:sz w:val="20"/>
        </w:rPr>
        <w:t>Rebbeck, </w:t>
      </w:r>
      <w:r>
        <w:rPr>
          <w:rFonts w:ascii="Times New Roman"/>
          <w:i/>
          <w:sz w:val="20"/>
        </w:rPr>
        <w:t>supra </w:t>
      </w:r>
      <w:r>
        <w:rPr>
          <w:rFonts w:ascii="Times New Roman"/>
          <w:sz w:val="20"/>
        </w:rPr>
        <w:t>note </w:t>
      </w:r>
      <w:hyperlink w:history="true" w:anchor="_bookmark17">
        <w:r>
          <w:rPr>
            <w:rFonts w:ascii="Times New Roman"/>
            <w:sz w:val="20"/>
          </w:rPr>
          <w:t>17,</w:t>
        </w:r>
      </w:hyperlink>
      <w:r>
        <w:rPr>
          <w:rFonts w:ascii="Times New Roman"/>
          <w:sz w:val="20"/>
        </w:rPr>
        <w:t> at 2.</w:t>
      </w:r>
    </w:p>
    <w:p>
      <w:pPr>
        <w:spacing w:before="93"/>
        <w:ind w:left="120" w:right="0" w:firstLine="0"/>
        <w:jc w:val="left"/>
        <w:rPr>
          <w:rFonts w:ascii="Times New Roman"/>
          <w:i/>
          <w:sz w:val="20"/>
        </w:rPr>
      </w:pPr>
      <w:bookmarkStart w:name="_bookmark38" w:id="51"/>
      <w:bookmarkEnd w:id="51"/>
      <w:r>
        <w:rPr/>
      </w:r>
      <w:r>
        <w:rPr>
          <w:rFonts w:ascii="Times New Roman"/>
          <w:position w:val="9"/>
          <w:sz w:val="13"/>
        </w:rPr>
        <w:t>29 </w:t>
      </w:r>
      <w:r>
        <w:rPr>
          <w:rFonts w:ascii="Times New Roman"/>
          <w:i/>
          <w:sz w:val="20"/>
        </w:rPr>
        <w:t>Id.</w:t>
      </w:r>
    </w:p>
    <w:p>
      <w:pPr>
        <w:pStyle w:val="BodyText"/>
        <w:spacing w:before="96"/>
        <w:ind w:left="120"/>
        <w:rPr>
          <w:rFonts w:ascii="Times New Roman"/>
        </w:rPr>
      </w:pPr>
      <w:bookmarkStart w:name="_bookmark39" w:id="52"/>
      <w:bookmarkEnd w:id="52"/>
      <w:r>
        <w:rPr/>
      </w:r>
      <w:r>
        <w:rPr>
          <w:rFonts w:ascii="Times New Roman"/>
          <w:position w:val="9"/>
          <w:sz w:val="13"/>
        </w:rPr>
        <w:t>30 </w:t>
      </w:r>
      <w:r>
        <w:rPr>
          <w:rFonts w:ascii="Times New Roman"/>
          <w:i/>
        </w:rPr>
        <w:t>See </w:t>
      </w:r>
      <w:r>
        <w:rPr>
          <w:rFonts w:ascii="Times New Roman"/>
        </w:rPr>
        <w:t>Federal Motor Vehicle Safety Standards, 82 Fed. Reg. 3854.</w:t>
      </w:r>
    </w:p>
    <w:p>
      <w:pPr>
        <w:spacing w:after="0"/>
        <w:rPr>
          <w:rFonts w:ascii="Times New Roman"/>
        </w:rPr>
        <w:sectPr>
          <w:headerReference w:type="default" r:id="rId54"/>
          <w:footerReference w:type="default" r:id="rId55"/>
          <w:pgSz w:w="12240" w:h="15840"/>
          <w:pgMar w:header="0" w:footer="1070" w:top="1360" w:bottom="1260" w:left="1320" w:right="1340"/>
          <w:pgNumType w:start="15"/>
        </w:sectPr>
      </w:pPr>
    </w:p>
    <w:p>
      <w:pPr>
        <w:pStyle w:val="BodyText"/>
        <w:spacing w:before="2"/>
        <w:rPr>
          <w:rFonts w:ascii="Times New Roman"/>
          <w:sz w:val="16"/>
        </w:rPr>
      </w:pPr>
    </w:p>
    <w:p>
      <w:pPr>
        <w:spacing w:line="480" w:lineRule="auto" w:before="90"/>
        <w:ind w:left="120" w:right="249" w:firstLine="0"/>
        <w:jc w:val="left"/>
        <w:rPr>
          <w:rFonts w:ascii="Times New Roman" w:hAnsi="Times New Roman"/>
          <w:sz w:val="24"/>
        </w:rPr>
      </w:pPr>
      <w:r>
        <w:rPr>
          <w:rFonts w:ascii="Times New Roman" w:hAnsi="Times New Roman"/>
          <w:sz w:val="24"/>
        </w:rPr>
        <w:t>grant of the requested waiver, and ultimately changes to modernize the Commission’s rules, the benefits of C-V2X will only increase in a 5G world.</w:t>
      </w:r>
    </w:p>
    <w:p>
      <w:pPr>
        <w:pStyle w:val="ListParagraph"/>
        <w:numPr>
          <w:ilvl w:val="0"/>
          <w:numId w:val="3"/>
        </w:numPr>
        <w:tabs>
          <w:tab w:pos="1560" w:val="left" w:leader="none"/>
        </w:tabs>
        <w:spacing w:line="240" w:lineRule="auto" w:before="15" w:after="0"/>
        <w:ind w:left="1560" w:right="103" w:hanging="720"/>
        <w:jc w:val="both"/>
        <w:rPr>
          <w:rFonts w:ascii="Times New Roman" w:hAnsi="Times New Roman"/>
          <w:b/>
          <w:sz w:val="24"/>
        </w:rPr>
      </w:pPr>
      <w:bookmarkStart w:name="B. C-V2X’s Evolutionary Path to 5G and S" w:id="53"/>
      <w:bookmarkEnd w:id="53"/>
      <w:r>
        <w:rPr/>
      </w:r>
      <w:bookmarkStart w:name="_bookmark40" w:id="54"/>
      <w:bookmarkEnd w:id="54"/>
      <w:r>
        <w:rPr/>
      </w:r>
      <w:bookmarkStart w:name="_bookmark40" w:id="55"/>
      <w:bookmarkEnd w:id="55"/>
      <w:r>
        <w:rPr>
          <w:rFonts w:ascii="Times New Roman" w:hAnsi="Times New Roman"/>
          <w:b/>
          <w:sz w:val="24"/>
        </w:rPr>
        <w:t>C</w:t>
      </w:r>
      <w:r>
        <w:rPr>
          <w:rFonts w:ascii="Times New Roman" w:hAnsi="Times New Roman"/>
          <w:b/>
          <w:sz w:val="24"/>
        </w:rPr>
        <w:t>-V2X’s Evolutionary Path to 5G and Subsequent Wireless Generations Will Help to Amplify and Expand Upon the Safety and Other Benefits Enabled by C-V2X</w:t>
      </w:r>
      <w:r>
        <w:rPr>
          <w:rFonts w:ascii="Times New Roman" w:hAnsi="Times New Roman"/>
          <w:b/>
          <w:spacing w:val="-8"/>
          <w:sz w:val="24"/>
        </w:rPr>
        <w:t> </w:t>
      </w:r>
      <w:r>
        <w:rPr>
          <w:rFonts w:ascii="Times New Roman" w:hAnsi="Times New Roman"/>
          <w:b/>
          <w:sz w:val="24"/>
        </w:rPr>
        <w:t>Services</w:t>
      </w:r>
    </w:p>
    <w:p>
      <w:pPr>
        <w:pStyle w:val="BodyText"/>
        <w:spacing w:before="5"/>
        <w:rPr>
          <w:rFonts w:ascii="Times New Roman"/>
          <w:b/>
        </w:rPr>
      </w:pPr>
    </w:p>
    <w:p>
      <w:pPr>
        <w:spacing w:line="480" w:lineRule="auto" w:before="0"/>
        <w:ind w:left="120" w:right="279" w:firstLine="720"/>
        <w:jc w:val="left"/>
        <w:rPr>
          <w:rFonts w:ascii="Times New Roman" w:hAnsi="Times New Roman"/>
          <w:sz w:val="24"/>
        </w:rPr>
      </w:pPr>
      <w:r>
        <w:rPr>
          <w:rFonts w:ascii="Times New Roman" w:hAnsi="Times New Roman"/>
          <w:sz w:val="24"/>
        </w:rPr>
        <w:t>Fifth-generation wireless technologies will enable transformative societal benefits in a wide range of areas. With data speeds of 100Mbit/s or more, ultra-low latency of a few milliseconds or less, extremely high reliability, and massive capacity, 5G will spur the development of myriad innovative applications that will revolutionize a broad range of industries, transforming the way we work, learn, and get around. The transportation industry – and specifically the automotive industry – is widely viewed as one of the key sectors that will benefit from 5G capabilities and services. For this reason, C-V2X is designed with a clear path to 5G, subsequent 5G advances, and subsequent wireless generations.</w:t>
      </w:r>
    </w:p>
    <w:p>
      <w:pPr>
        <w:spacing w:line="480" w:lineRule="auto" w:before="10"/>
        <w:ind w:left="120" w:right="149" w:firstLine="720"/>
        <w:jc w:val="left"/>
        <w:rPr>
          <w:rFonts w:ascii="Times New Roman"/>
          <w:sz w:val="24"/>
        </w:rPr>
      </w:pPr>
      <w:r>
        <w:rPr>
          <w:rFonts w:ascii="Times New Roman"/>
          <w:sz w:val="24"/>
        </w:rPr>
        <w:t>While the initial 3GPP standards specify a 4G LTE-based version of C-V2X peer-to-peer mode, work is already underway to develop 5G C-V2X peer-to-peer mode.  The specifications for the first version of 5G-based C-V2X are expected to be finalized as soon as next year.</w:t>
      </w:r>
    </w:p>
    <w:p>
      <w:pPr>
        <w:spacing w:line="286" w:lineRule="exact" w:before="0"/>
        <w:ind w:left="120" w:right="0" w:firstLine="0"/>
        <w:jc w:val="left"/>
        <w:rPr>
          <w:rFonts w:ascii="Times New Roman"/>
          <w:sz w:val="24"/>
        </w:rPr>
      </w:pPr>
      <w:r>
        <w:rPr>
          <w:rFonts w:ascii="Times New Roman"/>
          <w:sz w:val="24"/>
        </w:rPr>
        <w:t>Because C-V2X peer-to-peer mode was developed with an evolution path to 5G,</w:t>
      </w:r>
      <w:hyperlink w:history="true" w:anchor="_bookmark42">
        <w:r>
          <w:rPr>
            <w:rFonts w:ascii="Times New Roman"/>
            <w:position w:val="11"/>
            <w:sz w:val="16"/>
          </w:rPr>
          <w:t>32</w:t>
        </w:r>
      </w:hyperlink>
      <w:r>
        <w:rPr>
          <w:rFonts w:ascii="Times New Roman"/>
          <w:position w:val="11"/>
          <w:sz w:val="16"/>
        </w:rPr>
        <w:t> </w:t>
      </w:r>
      <w:r>
        <w:rPr>
          <w:rFonts w:ascii="Times New Roman"/>
          <w:sz w:val="24"/>
        </w:rPr>
        <w:t>all future</w:t>
      </w:r>
    </w:p>
    <w:p>
      <w:pPr>
        <w:pStyle w:val="BodyText"/>
        <w:rPr>
          <w:rFonts w:ascii="Times New Roman"/>
          <w:sz w:val="24"/>
        </w:rPr>
      </w:pPr>
    </w:p>
    <w:p>
      <w:pPr>
        <w:spacing w:before="0"/>
        <w:ind w:left="120" w:right="0" w:firstLine="0"/>
        <w:jc w:val="left"/>
        <w:rPr>
          <w:rFonts w:ascii="Times New Roman"/>
          <w:sz w:val="24"/>
        </w:rPr>
      </w:pPr>
      <w:r>
        <w:rPr>
          <w:rFonts w:ascii="Times New Roman"/>
          <w:sz w:val="24"/>
        </w:rPr>
        <w:t>versions of C-V2X are expected to be functionally backward compatible with earlier versions,</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9"/>
        <w:rPr>
          <w:rFonts w:ascii="Times New Roman"/>
          <w:sz w:val="15"/>
        </w:rPr>
      </w:pPr>
      <w:r>
        <w:rPr/>
        <w:pict>
          <v:line style="position:absolute;mso-position-horizontal-relative:page;mso-position-vertical-relative:paragraph;z-index:1432;mso-wrap-distance-left:0;mso-wrap-distance-right:0" from="72pt,11.366934pt" to="216pt,11.366934pt" stroked="true" strokeweight=".6pt" strokecolor="#000000">
            <v:stroke dashstyle="solid"/>
            <w10:wrap type="topAndBottom"/>
          </v:line>
        </w:pict>
      </w:r>
    </w:p>
    <w:p>
      <w:pPr>
        <w:pStyle w:val="BodyText"/>
        <w:spacing w:before="50"/>
        <w:ind w:left="119" w:right="129"/>
        <w:rPr>
          <w:rFonts w:ascii="Times New Roman"/>
        </w:rPr>
      </w:pPr>
      <w:bookmarkStart w:name="_bookmark41" w:id="56"/>
      <w:bookmarkEnd w:id="56"/>
      <w:r>
        <w:rPr/>
      </w:r>
      <w:r>
        <w:rPr>
          <w:rFonts w:ascii="Times New Roman"/>
          <w:position w:val="9"/>
          <w:sz w:val="13"/>
        </w:rPr>
        <w:t>31 </w:t>
      </w:r>
      <w:r>
        <w:rPr>
          <w:rFonts w:ascii="Times New Roman"/>
        </w:rPr>
        <w:t>In addition, C-V2X peer-to-peer communications will benefit from established and developing security and transport layers and application protocols defined by the automotive standards communities, including the SAE, International Organization for Standardization, European Telecommunications Standards Institute, and Institute of Electrical and Electronics Engineers. C-V2X network communications will be able to reuse various security components that are already implemented in cellular networks. Working in concert, these security components will help to ensure robust security for C-V2X communications.</w:t>
      </w:r>
    </w:p>
    <w:p>
      <w:pPr>
        <w:spacing w:before="95"/>
        <w:ind w:left="120" w:right="0" w:firstLine="0"/>
        <w:jc w:val="left"/>
        <w:rPr>
          <w:rFonts w:ascii="Times New Roman"/>
          <w:sz w:val="20"/>
        </w:rPr>
      </w:pPr>
      <w:bookmarkStart w:name="_bookmark42" w:id="57"/>
      <w:bookmarkEnd w:id="57"/>
      <w:r>
        <w:rPr/>
      </w:r>
      <w:r>
        <w:rPr>
          <w:rFonts w:ascii="Times New Roman"/>
          <w:position w:val="9"/>
          <w:sz w:val="13"/>
        </w:rPr>
        <w:t>32 </w:t>
      </w:r>
      <w:r>
        <w:rPr>
          <w:rFonts w:ascii="Times New Roman"/>
          <w:sz w:val="20"/>
        </w:rPr>
        <w:t>3GPP, </w:t>
      </w:r>
      <w:r>
        <w:rPr>
          <w:rFonts w:ascii="Times New Roman"/>
          <w:i/>
          <w:sz w:val="20"/>
        </w:rPr>
        <w:t>Release 14</w:t>
      </w:r>
      <w:r>
        <w:rPr>
          <w:rFonts w:ascii="Times New Roman"/>
          <w:sz w:val="20"/>
        </w:rPr>
        <w:t>, </w:t>
      </w:r>
      <w:r>
        <w:rPr>
          <w:rFonts w:ascii="Times New Roman"/>
          <w:i/>
          <w:sz w:val="20"/>
        </w:rPr>
        <w:t>supra </w:t>
      </w:r>
      <w:r>
        <w:rPr>
          <w:rFonts w:ascii="Times New Roman"/>
          <w:sz w:val="20"/>
        </w:rPr>
        <w:t>note </w:t>
      </w:r>
      <w:hyperlink w:history="true" w:anchor="_bookmark15">
        <w:r>
          <w:rPr>
            <w:rFonts w:ascii="Times New Roman"/>
            <w:sz w:val="20"/>
          </w:rPr>
          <w:t>14;</w:t>
        </w:r>
      </w:hyperlink>
      <w:r>
        <w:rPr>
          <w:rFonts w:ascii="Times New Roman"/>
          <w:sz w:val="20"/>
        </w:rPr>
        <w:t> </w:t>
      </w:r>
      <w:r>
        <w:rPr>
          <w:rFonts w:ascii="Times New Roman"/>
          <w:i/>
          <w:sz w:val="20"/>
        </w:rPr>
        <w:t>see also </w:t>
      </w:r>
      <w:r>
        <w:rPr>
          <w:rFonts w:ascii="Times New Roman"/>
          <w:sz w:val="20"/>
        </w:rPr>
        <w:t>Rebbeck, </w:t>
      </w:r>
      <w:r>
        <w:rPr>
          <w:rFonts w:ascii="Times New Roman"/>
          <w:i/>
          <w:sz w:val="20"/>
        </w:rPr>
        <w:t>supra </w:t>
      </w:r>
      <w:r>
        <w:rPr>
          <w:rFonts w:ascii="Times New Roman"/>
          <w:sz w:val="20"/>
        </w:rPr>
        <w:t>note </w:t>
      </w:r>
      <w:hyperlink w:history="true" w:anchor="_bookmark17">
        <w:r>
          <w:rPr>
            <w:rFonts w:ascii="Times New Roman"/>
            <w:sz w:val="20"/>
          </w:rPr>
          <w:t>17,</w:t>
        </w:r>
      </w:hyperlink>
      <w:r>
        <w:rPr>
          <w:rFonts w:ascii="Times New Roman"/>
          <w:sz w:val="20"/>
        </w:rPr>
        <w:t> at 1.</w:t>
      </w:r>
    </w:p>
    <w:p>
      <w:pPr>
        <w:spacing w:after="0"/>
        <w:jc w:val="left"/>
        <w:rPr>
          <w:rFonts w:ascii="Times New Roman"/>
          <w:sz w:val="20"/>
        </w:rPr>
        <w:sectPr>
          <w:headerReference w:type="default" r:id="rId56"/>
          <w:pgSz w:w="12240" w:h="15840"/>
          <w:pgMar w:header="1402" w:footer="1070" w:top="1700" w:bottom="1260" w:left="1320" w:right="1340"/>
        </w:sectPr>
      </w:pPr>
    </w:p>
    <w:p>
      <w:pPr>
        <w:pStyle w:val="BodyText"/>
        <w:spacing w:before="2"/>
        <w:rPr>
          <w:rFonts w:ascii="Times New Roman"/>
          <w:sz w:val="16"/>
        </w:rPr>
      </w:pPr>
    </w:p>
    <w:p>
      <w:pPr>
        <w:spacing w:line="465" w:lineRule="auto" w:before="90"/>
        <w:ind w:left="119" w:right="504" w:firstLine="0"/>
        <w:jc w:val="left"/>
        <w:rPr>
          <w:rFonts w:ascii="Times New Roman" w:hAnsi="Times New Roman"/>
          <w:sz w:val="16"/>
        </w:rPr>
      </w:pPr>
      <w:r>
        <w:rPr>
          <w:rFonts w:ascii="Times New Roman" w:hAnsi="Times New Roman"/>
          <w:sz w:val="24"/>
        </w:rPr>
        <w:t>introduced, new vehicles will be able to communicate with older versions of C-V2X-enabled vehicles, infrastructure, and networks, effectively future-proofing the technology by ensuring seamless communications between all enabled devices.</w:t>
      </w:r>
      <w:hyperlink w:history="true" w:anchor="_bookmark44">
        <w:r>
          <w:rPr>
            <w:rFonts w:ascii="Times New Roman" w:hAnsi="Times New Roman"/>
            <w:position w:val="11"/>
            <w:sz w:val="16"/>
          </w:rPr>
          <w:t>34</w:t>
        </w:r>
      </w:hyperlink>
      <w:r>
        <w:rPr>
          <w:rFonts w:ascii="Times New Roman" w:hAnsi="Times New Roman"/>
          <w:position w:val="11"/>
          <w:sz w:val="16"/>
        </w:rPr>
        <w:t> </w:t>
      </w:r>
      <w:r>
        <w:rPr>
          <w:rFonts w:ascii="Times New Roman" w:hAnsi="Times New Roman"/>
          <w:sz w:val="24"/>
        </w:rPr>
        <w:t>Thus, as the commercial wireless industry evolves to 5G, C-V2X peer-to-peer mode can and will evolve as well – adding 5G capabilities to C-V2X communications.</w:t>
      </w:r>
      <w:hyperlink w:history="true" w:anchor="_bookmark45">
        <w:r>
          <w:rPr>
            <w:rFonts w:ascii="Times New Roman" w:hAnsi="Times New Roman"/>
            <w:position w:val="11"/>
            <w:sz w:val="16"/>
          </w:rPr>
          <w:t>35</w:t>
        </w:r>
      </w:hyperlink>
    </w:p>
    <w:p>
      <w:pPr>
        <w:spacing w:line="472" w:lineRule="auto" w:before="0"/>
        <w:ind w:left="119" w:right="102" w:firstLine="720"/>
        <w:jc w:val="left"/>
        <w:rPr>
          <w:rFonts w:ascii="Times New Roman"/>
          <w:sz w:val="24"/>
        </w:rPr>
      </w:pPr>
      <w:r>
        <w:rPr>
          <w:rFonts w:ascii="Times New Roman"/>
          <w:sz w:val="24"/>
        </w:rPr>
        <w:t>This evolutionary path will allow C-V2X to unlock the power of 5G technologies, driving further improvements in performance, introducing new capabilities to connected vehicles and infrastructure, and extending the number of use cases for C-V2X. 5G C-V2X peer-to-peer mode communications, for example, will use advanced radio technologies such as massive MIMO and beamforming to achieve ultra-low latency and ultra-high capacity capabilities.</w:t>
      </w:r>
      <w:hyperlink w:history="true" w:anchor="_bookmark46">
        <w:r>
          <w:rPr>
            <w:rFonts w:ascii="Times New Roman"/>
            <w:position w:val="11"/>
            <w:sz w:val="16"/>
          </w:rPr>
          <w:t>36</w:t>
        </w:r>
      </w:hyperlink>
      <w:r>
        <w:rPr>
          <w:rFonts w:ascii="Times New Roman"/>
          <w:position w:val="11"/>
          <w:sz w:val="16"/>
        </w:rPr>
        <w:t>  </w:t>
      </w:r>
      <w:r>
        <w:rPr>
          <w:rFonts w:ascii="Times New Roman"/>
          <w:sz w:val="24"/>
        </w:rPr>
        <w:t>With respect to</w:t>
      </w:r>
    </w:p>
    <w:p>
      <w:pPr>
        <w:spacing w:line="257" w:lineRule="exact" w:before="10"/>
        <w:ind w:left="120" w:right="0" w:firstLine="0"/>
        <w:jc w:val="left"/>
        <w:rPr>
          <w:rFonts w:ascii="Times New Roman"/>
          <w:sz w:val="24"/>
        </w:rPr>
      </w:pPr>
      <w:r>
        <w:rPr>
          <w:rFonts w:ascii="Times New Roman"/>
          <w:sz w:val="24"/>
        </w:rPr>
        <w:t>5G-enabled V2N and V2I, the combination of high-bandwidth operations and edge computing</w:t>
      </w:r>
    </w:p>
    <w:p>
      <w:pPr>
        <w:pStyle w:val="BodyText"/>
        <w:spacing w:before="11"/>
        <w:rPr>
          <w:rFonts w:ascii="Times New Roman"/>
          <w:sz w:val="23"/>
        </w:rPr>
      </w:pPr>
    </w:p>
    <w:p>
      <w:pPr>
        <w:spacing w:line="448" w:lineRule="auto" w:before="0"/>
        <w:ind w:left="120" w:right="0" w:firstLine="0"/>
        <w:jc w:val="left"/>
        <w:rPr>
          <w:rFonts w:ascii="Times New Roman"/>
          <w:sz w:val="16"/>
        </w:rPr>
      </w:pPr>
      <w:r>
        <w:rPr>
          <w:rFonts w:ascii="Times New Roman"/>
          <w:sz w:val="24"/>
        </w:rPr>
        <w:t>capabilities will allow for the movement of larger amounts of data, over shorter distances, in smaller amounts of time, maximizing the safety benefits of C-V2X.</w:t>
      </w:r>
      <w:hyperlink w:history="true" w:anchor="_bookmark47">
        <w:r>
          <w:rPr>
            <w:rFonts w:ascii="Times New Roman"/>
            <w:position w:val="11"/>
            <w:sz w:val="16"/>
          </w:rPr>
          <w:t>37</w:t>
        </w:r>
      </w:hyperlink>
    </w:p>
    <w:p>
      <w:pPr>
        <w:spacing w:line="480" w:lineRule="auto" w:before="11"/>
        <w:ind w:left="120" w:right="167" w:firstLine="720"/>
        <w:jc w:val="left"/>
        <w:rPr>
          <w:rFonts w:ascii="Times New Roman" w:hAnsi="Times New Roman"/>
          <w:sz w:val="24"/>
        </w:rPr>
      </w:pPr>
      <w:r>
        <w:rPr>
          <w:rFonts w:ascii="Times New Roman" w:hAnsi="Times New Roman"/>
          <w:sz w:val="24"/>
        </w:rPr>
        <w:t>While the applications for 5G C-V2X likely will expand in ways that are difficult to predict, 5GAA is aggressively exploring 5G C-V2X’s role in advanced driving applications. For example, C-V2X will complement and augment advanced driving applications that enhance semi-automated or fully-automated driving features (likely with the assistance of vehicle-</w:t>
      </w:r>
    </w:p>
    <w:p>
      <w:pPr>
        <w:pStyle w:val="BodyText"/>
        <w:rPr>
          <w:rFonts w:ascii="Times New Roman"/>
        </w:rPr>
      </w:pPr>
    </w:p>
    <w:p>
      <w:pPr>
        <w:pStyle w:val="BodyText"/>
        <w:spacing w:before="3"/>
        <w:rPr>
          <w:rFonts w:ascii="Times New Roman"/>
          <w:sz w:val="14"/>
        </w:rPr>
      </w:pPr>
      <w:r>
        <w:rPr/>
        <w:pict>
          <v:line style="position:absolute;mso-position-horizontal-relative:page;mso-position-vertical-relative:paragraph;z-index:1456;mso-wrap-distance-left:0;mso-wrap-distance-right:0" from="72pt,10.486571pt" to="216pt,10.486571pt" stroked="true" strokeweight=".599pt" strokecolor="#000000">
            <v:stroke dashstyle="solid"/>
            <w10:wrap type="topAndBottom"/>
          </v:line>
        </w:pict>
      </w:r>
    </w:p>
    <w:p>
      <w:pPr>
        <w:pStyle w:val="BodyText"/>
        <w:spacing w:before="50"/>
        <w:ind w:left="119" w:right="866"/>
        <w:rPr>
          <w:rFonts w:ascii="Times New Roman"/>
        </w:rPr>
      </w:pPr>
      <w:bookmarkStart w:name="_bookmark43" w:id="58"/>
      <w:bookmarkEnd w:id="58"/>
      <w:r>
        <w:rPr/>
      </w:r>
      <w:r>
        <w:rPr>
          <w:rFonts w:ascii="Times New Roman"/>
          <w:position w:val="9"/>
          <w:sz w:val="13"/>
        </w:rPr>
        <w:t>33 </w:t>
      </w:r>
      <w:r>
        <w:rPr>
          <w:rFonts w:ascii="Times New Roman"/>
        </w:rPr>
        <w:t>Rebbeck, </w:t>
      </w:r>
      <w:r>
        <w:rPr>
          <w:rFonts w:ascii="Times New Roman"/>
          <w:i/>
        </w:rPr>
        <w:t>supra </w:t>
      </w:r>
      <w:r>
        <w:rPr>
          <w:rFonts w:ascii="Times New Roman"/>
        </w:rPr>
        <w:t>note </w:t>
      </w:r>
      <w:hyperlink w:history="true" w:anchor="_bookmark17">
        <w:r>
          <w:rPr>
            <w:rFonts w:ascii="Times New Roman"/>
          </w:rPr>
          <w:t>17,</w:t>
        </w:r>
      </w:hyperlink>
      <w:r>
        <w:rPr>
          <w:rFonts w:ascii="Times New Roman"/>
        </w:rPr>
        <w:t> at 21 (noting that 3GPP Release 16, which is expected in 2019, will consider the specifications for 5G C-V2X).</w:t>
      </w:r>
    </w:p>
    <w:p>
      <w:pPr>
        <w:spacing w:before="95"/>
        <w:ind w:left="120" w:right="0" w:firstLine="0"/>
        <w:jc w:val="left"/>
        <w:rPr>
          <w:rFonts w:ascii="Times New Roman"/>
          <w:sz w:val="20"/>
        </w:rPr>
      </w:pPr>
      <w:bookmarkStart w:name="_bookmark44" w:id="59"/>
      <w:bookmarkEnd w:id="59"/>
      <w:r>
        <w:rPr/>
      </w:r>
      <w:r>
        <w:rPr>
          <w:rFonts w:ascii="Times New Roman"/>
          <w:position w:val="9"/>
          <w:sz w:val="13"/>
        </w:rPr>
        <w:t>34 </w:t>
      </w:r>
      <w:r>
        <w:rPr>
          <w:rFonts w:ascii="Times New Roman"/>
          <w:i/>
          <w:sz w:val="20"/>
        </w:rPr>
        <w:t>See id. </w:t>
      </w:r>
      <w:r>
        <w:rPr>
          <w:rFonts w:ascii="Times New Roman"/>
          <w:sz w:val="20"/>
        </w:rPr>
        <w:t>at 30.</w:t>
      </w:r>
    </w:p>
    <w:p>
      <w:pPr>
        <w:spacing w:before="95"/>
        <w:ind w:left="120" w:right="0" w:firstLine="0"/>
        <w:jc w:val="left"/>
        <w:rPr>
          <w:rFonts w:ascii="Times New Roman"/>
          <w:sz w:val="20"/>
        </w:rPr>
      </w:pPr>
      <w:bookmarkStart w:name="_bookmark45" w:id="60"/>
      <w:bookmarkEnd w:id="60"/>
      <w:r>
        <w:rPr/>
      </w:r>
      <w:r>
        <w:rPr>
          <w:rFonts w:ascii="Times New Roman"/>
          <w:position w:val="9"/>
          <w:sz w:val="13"/>
        </w:rPr>
        <w:t>35 </w:t>
      </w:r>
      <w:r>
        <w:rPr>
          <w:rFonts w:ascii="Times New Roman"/>
          <w:i/>
          <w:sz w:val="20"/>
        </w:rPr>
        <w:t>See id. </w:t>
      </w:r>
      <w:r>
        <w:rPr>
          <w:rFonts w:ascii="Times New Roman"/>
          <w:sz w:val="20"/>
        </w:rPr>
        <w:t>at 13.</w:t>
      </w:r>
    </w:p>
    <w:p>
      <w:pPr>
        <w:pStyle w:val="BodyText"/>
        <w:spacing w:before="95"/>
        <w:ind w:left="120"/>
        <w:rPr>
          <w:rFonts w:ascii="Times New Roman"/>
        </w:rPr>
      </w:pPr>
      <w:bookmarkStart w:name="_bookmark46" w:id="61"/>
      <w:bookmarkEnd w:id="61"/>
      <w:r>
        <w:rPr/>
      </w:r>
      <w:r>
        <w:rPr>
          <w:rFonts w:ascii="Times New Roman"/>
          <w:position w:val="9"/>
          <w:sz w:val="13"/>
        </w:rPr>
        <w:t>36 </w:t>
      </w:r>
      <w:r>
        <w:rPr>
          <w:rFonts w:ascii="Times New Roman"/>
        </w:rPr>
        <w:t>5G Americas White Paper, </w:t>
      </w:r>
      <w:r>
        <w:rPr>
          <w:rFonts w:ascii="Times New Roman"/>
          <w:i/>
        </w:rPr>
        <w:t>supra </w:t>
      </w:r>
      <w:r>
        <w:rPr>
          <w:rFonts w:ascii="Times New Roman"/>
        </w:rPr>
        <w:t>note </w:t>
      </w:r>
      <w:hyperlink w:history="true" w:anchor="_bookmark23">
        <w:r>
          <w:rPr>
            <w:rFonts w:ascii="Times New Roman"/>
          </w:rPr>
          <w:t>18,</w:t>
        </w:r>
      </w:hyperlink>
      <w:r>
        <w:rPr>
          <w:rFonts w:ascii="Times New Roman"/>
        </w:rPr>
        <w:t> at 14.</w:t>
      </w:r>
    </w:p>
    <w:p>
      <w:pPr>
        <w:spacing w:line="244" w:lineRule="auto" w:before="80"/>
        <w:ind w:left="119" w:right="117" w:firstLine="0"/>
        <w:jc w:val="left"/>
        <w:rPr>
          <w:rFonts w:ascii="Times New Roman"/>
          <w:sz w:val="20"/>
        </w:rPr>
      </w:pPr>
      <w:bookmarkStart w:name="_bookmark47" w:id="62"/>
      <w:bookmarkEnd w:id="62"/>
      <w:r>
        <w:rPr/>
      </w:r>
      <w:r>
        <w:rPr>
          <w:rFonts w:ascii="Times New Roman"/>
          <w:position w:val="11"/>
          <w:sz w:val="16"/>
        </w:rPr>
        <w:t>37 </w:t>
      </w:r>
      <w:r>
        <w:rPr>
          <w:rFonts w:ascii="Times New Roman"/>
          <w:sz w:val="20"/>
        </w:rPr>
        <w:t>5GAA White Paper, </w:t>
      </w:r>
      <w:r>
        <w:rPr>
          <w:rFonts w:ascii="Times New Roman"/>
          <w:i/>
          <w:sz w:val="20"/>
        </w:rPr>
        <w:t>Toward fully connected vehicles: Edge computing for advanced automotive communications</w:t>
      </w:r>
      <w:r>
        <w:rPr>
          <w:rFonts w:ascii="Times New Roman"/>
          <w:sz w:val="20"/>
        </w:rPr>
        <w:t>, at 6 (Dec. 2017), </w:t>
      </w:r>
      <w:hyperlink r:id="rId58">
        <w:r>
          <w:rPr>
            <w:rFonts w:ascii="Times New Roman"/>
            <w:color w:val="0000FF"/>
            <w:sz w:val="20"/>
            <w:u w:val="single" w:color="0000FF"/>
          </w:rPr>
          <w:t>http://5gaa.org/wp-content/uploads/2017/12/5GAA_T-170219-whitepaper-EdgeComputing_- </w:t>
        </w:r>
      </w:hyperlink>
      <w:hyperlink r:id="rId58">
        <w:r>
          <w:rPr>
            <w:rFonts w:ascii="Times New Roman"/>
            <w:color w:val="0000FF"/>
            <w:sz w:val="20"/>
            <w:u w:val="single" w:color="0000FF"/>
          </w:rPr>
          <w:t>5GAA.pdf</w:t>
        </w:r>
        <w:r>
          <w:rPr>
            <w:rFonts w:ascii="Times New Roman"/>
            <w:sz w:val="20"/>
          </w:rPr>
          <w:t>.</w:t>
        </w:r>
      </w:hyperlink>
    </w:p>
    <w:p>
      <w:pPr>
        <w:spacing w:after="0" w:line="244" w:lineRule="auto"/>
        <w:jc w:val="left"/>
        <w:rPr>
          <w:rFonts w:ascii="Times New Roman"/>
          <w:sz w:val="20"/>
        </w:rPr>
        <w:sectPr>
          <w:headerReference w:type="default" r:id="rId57"/>
          <w:pgSz w:w="12240" w:h="15840"/>
          <w:pgMar w:header="1402" w:footer="1070" w:top="1700" w:bottom="1260" w:left="1320" w:right="1320"/>
        </w:sectPr>
      </w:pPr>
    </w:p>
    <w:p>
      <w:pPr>
        <w:pStyle w:val="Heading5"/>
        <w:spacing w:line="480" w:lineRule="auto" w:before="72"/>
        <w:ind w:left="120" w:right="90"/>
      </w:pPr>
      <w:r>
        <w:rPr/>
        <w:t>mounted radar and other sensors) by coordinating the behaviors of vehicles. These applications allow a vehicle to share the trajectory data obtained from its local sensors with vehicles in its proximity. In addition, vehicles will be able to share their future intentions (i.e., lane changes, etc.) and engage in persistent information exchanges with vehicles in their proximity. Such exchanges will involve extended sensor data. Extended sensor applications allow vehicles to obtain information about objects around them located beyond the view of their own onboard sensors. These applications accomplish this by sharing sensor data (for example, data obtained from cameras, radar, and LIDAR) with nearby vehicles, providing a more complete picture of road and traffic conditions.  Successful implementation of these extended sensors applications</w:t>
      </w:r>
    </w:p>
    <w:p>
      <w:pPr>
        <w:spacing w:line="448" w:lineRule="auto" w:before="10"/>
        <w:ind w:left="120" w:right="262" w:firstLine="0"/>
        <w:jc w:val="left"/>
        <w:rPr>
          <w:rFonts w:ascii="Times New Roman"/>
          <w:sz w:val="16"/>
        </w:rPr>
      </w:pPr>
      <w:r>
        <w:rPr>
          <w:rFonts w:ascii="Times New Roman"/>
          <w:sz w:val="24"/>
        </w:rPr>
        <w:t>will require the type of ultra-low latency and ultra-high data rate communications supported by 5G capabilities.</w:t>
      </w:r>
      <w:hyperlink w:history="true" w:anchor="_bookmark49">
        <w:r>
          <w:rPr>
            <w:rFonts w:ascii="Times New Roman"/>
            <w:position w:val="11"/>
            <w:sz w:val="16"/>
          </w:rPr>
          <w:t>38</w:t>
        </w:r>
      </w:hyperlink>
    </w:p>
    <w:p>
      <w:pPr>
        <w:spacing w:line="472" w:lineRule="auto" w:before="11"/>
        <w:ind w:left="119" w:right="102" w:firstLine="720"/>
        <w:jc w:val="left"/>
        <w:rPr>
          <w:rFonts w:ascii="Times New Roman"/>
          <w:sz w:val="24"/>
        </w:rPr>
      </w:pPr>
      <w:r>
        <w:rPr>
          <w:rFonts w:ascii="Times New Roman"/>
          <w:sz w:val="24"/>
        </w:rPr>
        <w:t>To enable these types of advanced driving applications, initial research suggests that the communications requirements will include high bandwidth to support burst transmission of large quantities of data, 99.99 percent message reliability for highest degree of automation, and 10 ms latency for the highest degree of automation.</w:t>
      </w:r>
      <w:hyperlink w:history="true" w:anchor="_bookmark50">
        <w:r>
          <w:rPr>
            <w:rFonts w:ascii="Times New Roman"/>
            <w:position w:val="11"/>
            <w:sz w:val="16"/>
          </w:rPr>
          <w:t>39</w:t>
        </w:r>
      </w:hyperlink>
      <w:r>
        <w:rPr>
          <w:rFonts w:ascii="Times New Roman"/>
          <w:position w:val="11"/>
          <w:sz w:val="16"/>
        </w:rPr>
        <w:t> </w:t>
      </w:r>
      <w:r>
        <w:rPr>
          <w:rFonts w:ascii="Times New Roman"/>
          <w:sz w:val="24"/>
        </w:rPr>
        <w:t>These types of communications may only be possible with 5G C-V2X capabilities.</w:t>
      </w:r>
    </w:p>
    <w:p>
      <w:pPr>
        <w:pStyle w:val="ListParagraph"/>
        <w:numPr>
          <w:ilvl w:val="0"/>
          <w:numId w:val="3"/>
        </w:numPr>
        <w:tabs>
          <w:tab w:pos="1559" w:val="left" w:leader="none"/>
          <w:tab w:pos="1560" w:val="left" w:leader="none"/>
        </w:tabs>
        <w:spacing w:line="240" w:lineRule="auto" w:before="23" w:after="0"/>
        <w:ind w:left="1560" w:right="750" w:hanging="720"/>
        <w:jc w:val="left"/>
        <w:rPr>
          <w:rFonts w:ascii="Times New Roman" w:hAnsi="Times New Roman"/>
          <w:b/>
          <w:sz w:val="24"/>
        </w:rPr>
      </w:pPr>
      <w:bookmarkStart w:name="C. C-V2X’s Unique Cost Efficiency Suppor" w:id="63"/>
      <w:bookmarkEnd w:id="63"/>
      <w:r>
        <w:rPr/>
      </w:r>
      <w:bookmarkStart w:name="_bookmark48" w:id="64"/>
      <w:bookmarkEnd w:id="64"/>
      <w:r>
        <w:rPr/>
      </w:r>
      <w:bookmarkStart w:name="_bookmark48" w:id="65"/>
      <w:bookmarkEnd w:id="65"/>
      <w:r>
        <w:rPr>
          <w:rFonts w:ascii="Times New Roman" w:hAnsi="Times New Roman"/>
          <w:b/>
          <w:sz w:val="24"/>
        </w:rPr>
        <w:t>C</w:t>
      </w:r>
      <w:r>
        <w:rPr>
          <w:rFonts w:ascii="Times New Roman" w:hAnsi="Times New Roman"/>
          <w:b/>
          <w:sz w:val="24"/>
        </w:rPr>
        <w:t>-V2X’s Unique Cost Efficiency Supports an Accelerated Timeline for Deployment</w:t>
      </w:r>
    </w:p>
    <w:p>
      <w:pPr>
        <w:pStyle w:val="BodyText"/>
        <w:spacing w:before="5"/>
        <w:rPr>
          <w:rFonts w:ascii="Times New Roman"/>
          <w:b/>
        </w:rPr>
      </w:pPr>
    </w:p>
    <w:p>
      <w:pPr>
        <w:spacing w:line="480" w:lineRule="auto" w:before="0"/>
        <w:ind w:left="120" w:right="90" w:firstLine="720"/>
        <w:jc w:val="left"/>
        <w:rPr>
          <w:rFonts w:ascii="Times New Roman"/>
          <w:sz w:val="24"/>
        </w:rPr>
      </w:pPr>
      <w:r>
        <w:rPr>
          <w:rFonts w:ascii="Times New Roman"/>
          <w:sz w:val="24"/>
        </w:rPr>
        <w:t>Of course, to maximize the safety and other societal benefits resulting from C-V2X services, the technology must be deployed commercially. C-V2X offers a unique cost efficiency that supports deployment on an accelerated timeline.  This cost efficiency is based on a number of factors.</w:t>
      </w:r>
    </w:p>
    <w:p>
      <w:pPr>
        <w:pStyle w:val="BodyText"/>
        <w:spacing w:before="8"/>
        <w:rPr>
          <w:rFonts w:ascii="Times New Roman"/>
          <w:sz w:val="24"/>
        </w:rPr>
      </w:pPr>
      <w:r>
        <w:rPr/>
        <w:pict>
          <v:line style="position:absolute;mso-position-horizontal-relative:page;mso-position-vertical-relative:paragraph;z-index:1480;mso-wrap-distance-left:0;mso-wrap-distance-right:0" from="72pt,16.453878pt" to="216pt,16.453878pt" stroked="true" strokeweight=".599pt" strokecolor="#000000">
            <v:stroke dashstyle="solid"/>
            <w10:wrap type="topAndBottom"/>
          </v:line>
        </w:pict>
      </w:r>
    </w:p>
    <w:p>
      <w:pPr>
        <w:pStyle w:val="BodyText"/>
        <w:spacing w:before="50"/>
        <w:ind w:left="120"/>
        <w:rPr>
          <w:rFonts w:ascii="Times New Roman"/>
        </w:rPr>
      </w:pPr>
      <w:bookmarkStart w:name="_bookmark49" w:id="66"/>
      <w:bookmarkEnd w:id="66"/>
      <w:r>
        <w:rPr/>
      </w:r>
      <w:r>
        <w:rPr>
          <w:rFonts w:ascii="Times New Roman"/>
          <w:position w:val="9"/>
          <w:sz w:val="13"/>
        </w:rPr>
        <w:t>38 </w:t>
      </w:r>
      <w:r>
        <w:rPr>
          <w:rFonts w:ascii="Times New Roman"/>
        </w:rPr>
        <w:t>5G Americas White Paper, </w:t>
      </w:r>
      <w:r>
        <w:rPr>
          <w:rFonts w:ascii="Times New Roman"/>
          <w:i/>
        </w:rPr>
        <w:t>supra </w:t>
      </w:r>
      <w:r>
        <w:rPr>
          <w:rFonts w:ascii="Times New Roman"/>
        </w:rPr>
        <w:t>note </w:t>
      </w:r>
      <w:hyperlink w:history="true" w:anchor="_bookmark23">
        <w:r>
          <w:rPr>
            <w:rFonts w:ascii="Times New Roman"/>
          </w:rPr>
          <w:t>18,</w:t>
        </w:r>
      </w:hyperlink>
      <w:r>
        <w:rPr>
          <w:rFonts w:ascii="Times New Roman"/>
        </w:rPr>
        <w:t> at 24-25.</w:t>
      </w:r>
    </w:p>
    <w:p>
      <w:pPr>
        <w:spacing w:before="95"/>
        <w:ind w:left="120" w:right="0" w:firstLine="0"/>
        <w:jc w:val="left"/>
        <w:rPr>
          <w:rFonts w:ascii="Times New Roman"/>
          <w:sz w:val="20"/>
        </w:rPr>
      </w:pPr>
      <w:bookmarkStart w:name="_bookmark50" w:id="67"/>
      <w:bookmarkEnd w:id="67"/>
      <w:r>
        <w:rPr/>
      </w:r>
      <w:r>
        <w:rPr>
          <w:rFonts w:ascii="Times New Roman"/>
          <w:position w:val="9"/>
          <w:sz w:val="13"/>
        </w:rPr>
        <w:t>39 </w:t>
      </w:r>
      <w:r>
        <w:rPr>
          <w:rFonts w:ascii="Times New Roman"/>
          <w:i/>
          <w:sz w:val="20"/>
        </w:rPr>
        <w:t>Id. </w:t>
      </w:r>
      <w:r>
        <w:rPr>
          <w:rFonts w:ascii="Times New Roman"/>
          <w:sz w:val="20"/>
        </w:rPr>
        <w:t>at 24.</w:t>
      </w:r>
    </w:p>
    <w:p>
      <w:pPr>
        <w:spacing w:after="0"/>
        <w:jc w:val="left"/>
        <w:rPr>
          <w:rFonts w:ascii="Times New Roman"/>
          <w:sz w:val="20"/>
        </w:rPr>
        <w:sectPr>
          <w:headerReference w:type="default" r:id="rId59"/>
          <w:pgSz w:w="12240" w:h="15840"/>
          <w:pgMar w:header="0" w:footer="1070" w:top="1360" w:bottom="1260" w:left="1320" w:right="1380"/>
        </w:sectPr>
      </w:pPr>
    </w:p>
    <w:p>
      <w:pPr>
        <w:spacing w:line="465" w:lineRule="auto" w:before="72"/>
        <w:ind w:left="119" w:right="134" w:firstLine="720"/>
        <w:jc w:val="left"/>
        <w:rPr>
          <w:rFonts w:ascii="Times New Roman"/>
          <w:sz w:val="24"/>
        </w:rPr>
      </w:pPr>
      <w:r>
        <w:rPr>
          <w:rFonts w:ascii="Times New Roman"/>
          <w:sz w:val="24"/>
        </w:rPr>
        <w:t>First, C-V2X technology can be economically integrated into vehicles. In response to the overwhelming consumer demand for cellular-connected vehicles, virtually all new vehicles are or soon will be equipped with cellular modem chipsets.</w:t>
      </w:r>
      <w:hyperlink w:history="true" w:anchor="_bookmark51">
        <w:r>
          <w:rPr>
            <w:rFonts w:ascii="Times New Roman"/>
            <w:position w:val="11"/>
            <w:sz w:val="16"/>
          </w:rPr>
          <w:t>40</w:t>
        </w:r>
      </w:hyperlink>
      <w:r>
        <w:rPr>
          <w:rFonts w:ascii="Times New Roman"/>
          <w:position w:val="11"/>
          <w:sz w:val="16"/>
        </w:rPr>
        <w:t> </w:t>
      </w:r>
      <w:r>
        <w:rPr>
          <w:rFonts w:ascii="Times New Roman"/>
          <w:sz w:val="24"/>
        </w:rPr>
        <w:t>C-V2X can be added as an additional feature in these chipset products, lowering bill of materials costs, simplifying the supply chain and logistics, and reducing vehicle maintenance costs.</w:t>
      </w:r>
      <w:hyperlink w:history="true" w:anchor="_bookmark52">
        <w:r>
          <w:rPr>
            <w:rFonts w:ascii="Times New Roman"/>
            <w:position w:val="11"/>
            <w:sz w:val="16"/>
          </w:rPr>
          <w:t>41</w:t>
        </w:r>
      </w:hyperlink>
      <w:r>
        <w:rPr>
          <w:rFonts w:ascii="Times New Roman"/>
          <w:position w:val="11"/>
          <w:sz w:val="16"/>
        </w:rPr>
        <w:t>  </w:t>
      </w:r>
      <w:r>
        <w:rPr>
          <w:rFonts w:ascii="Times New Roman"/>
          <w:sz w:val="24"/>
        </w:rPr>
        <w:t>These savings can be</w:t>
      </w:r>
      <w:r>
        <w:rPr>
          <w:rFonts w:ascii="Times New Roman"/>
          <w:spacing w:val="-10"/>
          <w:sz w:val="24"/>
        </w:rPr>
        <w:t> </w:t>
      </w:r>
      <w:r>
        <w:rPr>
          <w:rFonts w:ascii="Times New Roman"/>
          <w:sz w:val="24"/>
        </w:rPr>
        <w:t>significant.</w:t>
      </w:r>
    </w:p>
    <w:p>
      <w:pPr>
        <w:spacing w:line="480" w:lineRule="auto" w:before="0"/>
        <w:ind w:left="120" w:right="129" w:firstLine="720"/>
        <w:jc w:val="left"/>
        <w:rPr>
          <w:rFonts w:ascii="Times New Roman" w:hAnsi="Times New Roman"/>
          <w:sz w:val="24"/>
        </w:rPr>
      </w:pPr>
      <w:r>
        <w:rPr>
          <w:rFonts w:ascii="Times New Roman" w:hAnsi="Times New Roman"/>
          <w:sz w:val="24"/>
        </w:rPr>
        <w:t>Second, C-V2X can leverage today’s cellular networks and tomorrow’s 5G networks to reduce infrastructure deployment costs.  By re-using existing commercial mobile infrastructure in certain situations, C-V2X can offer enhanced functionality and increased reliability at reduced costs.  The opportunities for cost-saving synergies will further increase with the deployment of</w:t>
      </w:r>
    </w:p>
    <w:p>
      <w:pPr>
        <w:spacing w:line="448" w:lineRule="auto" w:before="20"/>
        <w:ind w:left="120" w:right="448" w:firstLine="0"/>
        <w:jc w:val="left"/>
        <w:rPr>
          <w:rFonts w:ascii="Times New Roman"/>
          <w:sz w:val="16"/>
        </w:rPr>
      </w:pPr>
      <w:r>
        <w:rPr>
          <w:rFonts w:ascii="Times New Roman"/>
          <w:sz w:val="24"/>
        </w:rPr>
        <w:t>5G networks, which is expected to see an additional $275 billion of investment in the coming years.</w:t>
      </w:r>
      <w:hyperlink w:history="true" w:anchor="_bookmark53">
        <w:r>
          <w:rPr>
            <w:rFonts w:ascii="Times New Roman"/>
            <w:position w:val="11"/>
            <w:sz w:val="16"/>
          </w:rPr>
          <w:t>42</w:t>
        </w:r>
      </w:hyperlink>
    </w:p>
    <w:p>
      <w:pPr>
        <w:spacing w:line="480" w:lineRule="auto" w:before="10"/>
        <w:ind w:left="120" w:right="102" w:firstLine="720"/>
        <w:jc w:val="both"/>
        <w:rPr>
          <w:rFonts w:ascii="Times New Roman" w:hAnsi="Times New Roman"/>
          <w:sz w:val="24"/>
        </w:rPr>
      </w:pPr>
      <w:r>
        <w:rPr>
          <w:rFonts w:ascii="Times New Roman" w:hAnsi="Times New Roman"/>
          <w:sz w:val="24"/>
        </w:rPr>
        <w:t>Third, C-V2X’s evolutionary path to 5G will help accelerate the development of a market for C-V2X, creating economies of scale and driving down costs. This path to 5G will ensure that future versions of C-V2X modules remain functionally backwards compatible with the current</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2"/>
        <w:rPr>
          <w:rFonts w:ascii="Times New Roman"/>
          <w:sz w:val="11"/>
        </w:rPr>
      </w:pPr>
      <w:r>
        <w:rPr/>
        <w:pict>
          <v:line style="position:absolute;mso-position-horizontal-relative:page;mso-position-vertical-relative:paragraph;z-index:1504;mso-wrap-distance-left:0;mso-wrap-distance-right:0" from="72pt,8.702331pt" to="216pt,8.702331pt" stroked="true" strokeweight=".6pt" strokecolor="#000000">
            <v:stroke dashstyle="solid"/>
            <w10:wrap type="topAndBottom"/>
          </v:line>
        </w:pict>
      </w:r>
    </w:p>
    <w:p>
      <w:pPr>
        <w:spacing w:before="50"/>
        <w:ind w:left="119" w:right="339" w:firstLine="0"/>
        <w:jc w:val="left"/>
        <w:rPr>
          <w:rFonts w:ascii="Times New Roman" w:hAnsi="Times New Roman"/>
          <w:sz w:val="20"/>
        </w:rPr>
      </w:pPr>
      <w:bookmarkStart w:name="_bookmark51" w:id="68"/>
      <w:bookmarkEnd w:id="68"/>
      <w:r>
        <w:rPr/>
      </w:r>
      <w:r>
        <w:rPr>
          <w:rFonts w:ascii="Times New Roman" w:hAnsi="Times New Roman"/>
          <w:position w:val="9"/>
          <w:sz w:val="13"/>
        </w:rPr>
        <w:t>40 </w:t>
      </w:r>
      <w:r>
        <w:rPr>
          <w:rFonts w:ascii="Times New Roman" w:hAnsi="Times New Roman"/>
          <w:i/>
          <w:sz w:val="20"/>
        </w:rPr>
        <w:t>See e.g.</w:t>
      </w:r>
      <w:r>
        <w:rPr>
          <w:rFonts w:ascii="Times New Roman" w:hAnsi="Times New Roman"/>
          <w:sz w:val="20"/>
        </w:rPr>
        <w:t>, Press Release, Ford, </w:t>
      </w:r>
      <w:r>
        <w:rPr>
          <w:rFonts w:ascii="Times New Roman" w:hAnsi="Times New Roman"/>
          <w:i/>
          <w:sz w:val="20"/>
        </w:rPr>
        <w:t>Ford Readies North America’s Freshest Lineup By 2020 With Onslaught Of </w:t>
      </w:r>
      <w:r>
        <w:rPr>
          <w:rFonts w:ascii="Times New Roman" w:hAnsi="Times New Roman"/>
          <w:i/>
          <w:sz w:val="20"/>
        </w:rPr>
        <w:t>Connected New Trucks, SUVs And Hybrids </w:t>
      </w:r>
      <w:r>
        <w:rPr>
          <w:rFonts w:ascii="Times New Roman" w:hAnsi="Times New Roman"/>
          <w:sz w:val="20"/>
        </w:rPr>
        <w:t>(Mar. 15, 2018), </w:t>
      </w:r>
      <w:hyperlink r:id="rId62">
        <w:r>
          <w:rPr>
            <w:rFonts w:ascii="Times New Roman" w:hAnsi="Times New Roman"/>
            <w:color w:val="0000FF"/>
            <w:sz w:val="20"/>
            <w:u w:val="single" w:color="0000FF"/>
          </w:rPr>
          <w:t>https://media.ford.com/content/fordmedia/fna/us/en-</w:t>
        </w:r>
      </w:hyperlink>
    </w:p>
    <w:p>
      <w:pPr>
        <w:pStyle w:val="BodyText"/>
        <w:ind w:left="120" w:right="95"/>
        <w:rPr>
          <w:rFonts w:ascii="Times New Roman"/>
        </w:rPr>
      </w:pPr>
      <w:hyperlink r:id="rId62">
        <w:r>
          <w:rPr>
            <w:rFonts w:ascii="Times New Roman"/>
            <w:color w:val="0000FF"/>
            <w:u w:val="single" w:color="0000FF"/>
          </w:rPr>
          <w:t>/news/2018/03/15/ford-readies-north-americas-freshest-lineup-by-2020.html </w:t>
        </w:r>
      </w:hyperlink>
      <w:r>
        <w:rPr>
          <w:rFonts w:ascii="Times New Roman"/>
        </w:rPr>
        <w:t>(Ford announcing that all new Ford vehicles will have 4G LTE connectivity by the end of 2019); AT&amp;T, </w:t>
      </w:r>
      <w:r>
        <w:rPr>
          <w:rFonts w:ascii="Times New Roman"/>
          <w:i/>
        </w:rPr>
        <w:t>Connected Car News</w:t>
      </w:r>
      <w:r>
        <w:rPr>
          <w:rFonts w:ascii="Times New Roman"/>
        </w:rPr>
        <w:t>, </w:t>
      </w:r>
      <w:hyperlink r:id="rId63">
        <w:r>
          <w:rPr>
            <w:rFonts w:ascii="Times New Roman"/>
            <w:color w:val="0000FF"/>
            <w:u w:val="single" w:color="0000FF"/>
          </w:rPr>
          <w:t>http://about.att.com-</w:t>
        </w:r>
      </w:hyperlink>
    </w:p>
    <w:p>
      <w:pPr>
        <w:pStyle w:val="BodyText"/>
        <w:spacing w:before="2"/>
        <w:ind w:left="119" w:right="123"/>
        <w:rPr>
          <w:rFonts w:ascii="Times New Roman" w:hAnsi="Times New Roman"/>
        </w:rPr>
      </w:pPr>
      <w:hyperlink r:id="rId63">
        <w:r>
          <w:rPr>
            <w:rFonts w:ascii="Times New Roman" w:hAnsi="Times New Roman"/>
            <w:color w:val="0000FF"/>
            <w:u w:val="single" w:color="0000FF"/>
          </w:rPr>
          <w:t>/sites/internet-of-things/connected_car </w:t>
        </w:r>
      </w:hyperlink>
      <w:r>
        <w:rPr>
          <w:rFonts w:ascii="Times New Roman" w:hAnsi="Times New Roman"/>
        </w:rPr>
        <w:t>(last visited Nov. 19, 2018) (noting that AT&amp;T has 21 million connected cars and 3.2 connected fleet vehicles on its network); Daimler, </w:t>
      </w:r>
      <w:r>
        <w:rPr>
          <w:rFonts w:ascii="Times New Roman" w:hAnsi="Times New Roman"/>
          <w:i/>
        </w:rPr>
        <w:t>Daimler’s Perspective on Car-to-X Technologies (5GAA </w:t>
      </w:r>
      <w:r>
        <w:rPr>
          <w:rFonts w:ascii="Times New Roman" w:hAnsi="Times New Roman"/>
          <w:i/>
        </w:rPr>
        <w:t>member)</w:t>
      </w:r>
      <w:r>
        <w:rPr>
          <w:rFonts w:ascii="Times New Roman" w:hAnsi="Times New Roman"/>
        </w:rPr>
        <w:t>, at 2 (June 2018), </w:t>
      </w:r>
      <w:hyperlink r:id="rId64">
        <w:r>
          <w:rPr>
            <w:rFonts w:ascii="Times New Roman" w:hAnsi="Times New Roman"/>
            <w:color w:val="0000FF"/>
            <w:u w:val="single" w:color="0000FF"/>
          </w:rPr>
          <w:t>http://5gaa.org/wp-content/uploads/2018/06/5.-Daimler-view-on-V2X-5GAA-Policy-</w:t>
        </w:r>
      </w:hyperlink>
      <w:r>
        <w:rPr>
          <w:rFonts w:ascii="Times New Roman" w:hAnsi="Times New Roman"/>
          <w:color w:val="0000FF"/>
          <w:u w:val="single" w:color="0000FF"/>
        </w:rPr>
        <w:t> </w:t>
      </w:r>
      <w:hyperlink r:id="rId64">
        <w:r>
          <w:rPr>
            <w:rFonts w:ascii="Times New Roman" w:hAnsi="Times New Roman"/>
            <w:color w:val="0000FF"/>
            <w:u w:val="single" w:color="0000FF"/>
          </w:rPr>
          <w:t>Debate.pdf </w:t>
        </w:r>
      </w:hyperlink>
      <w:r>
        <w:rPr>
          <w:rFonts w:ascii="Times New Roman" w:hAnsi="Times New Roman"/>
        </w:rPr>
        <w:t>(noting 90% of new Mercedes-Benz cars are already connected worldwide); Kristen Hall-Geisler, </w:t>
      </w:r>
      <w:r>
        <w:rPr>
          <w:rFonts w:ascii="Times New Roman" w:hAnsi="Times New Roman"/>
          <w:i/>
        </w:rPr>
        <w:t>More </w:t>
      </w:r>
      <w:r>
        <w:rPr>
          <w:rFonts w:ascii="Times New Roman" w:hAnsi="Times New Roman"/>
          <w:i/>
        </w:rPr>
        <w:t>cars than phones were connected to cell service in Q1</w:t>
      </w:r>
      <w:r>
        <w:rPr>
          <w:rFonts w:ascii="Times New Roman" w:hAnsi="Times New Roman"/>
        </w:rPr>
        <w:t>, TechCrunch (June 20, 2016), </w:t>
      </w:r>
      <w:hyperlink r:id="rId65">
        <w:r>
          <w:rPr>
            <w:rFonts w:ascii="Times New Roman" w:hAnsi="Times New Roman"/>
            <w:color w:val="0000FF"/>
            <w:u w:val="single" w:color="0000FF"/>
          </w:rPr>
          <w:t>https://techcrunch.com/2016/-</w:t>
        </w:r>
      </w:hyperlink>
      <w:r>
        <w:rPr>
          <w:rFonts w:ascii="Times New Roman" w:hAnsi="Times New Roman"/>
          <w:color w:val="0000FF"/>
          <w:u w:val="single" w:color="0000FF"/>
        </w:rPr>
        <w:t> </w:t>
      </w:r>
      <w:hyperlink r:id="rId65">
        <w:r>
          <w:rPr>
            <w:rFonts w:ascii="Times New Roman" w:hAnsi="Times New Roman"/>
            <w:color w:val="0000FF"/>
            <w:u w:val="single" w:color="0000FF"/>
          </w:rPr>
          <w:t>06/20/more-cars-than-phones-were-connected-to-cell-service-in-q1 </w:t>
        </w:r>
      </w:hyperlink>
      <w:r>
        <w:rPr>
          <w:rFonts w:ascii="Times New Roman" w:hAnsi="Times New Roman"/>
        </w:rPr>
        <w:t>(in the first quarter of 2016, connected cars accounted for a third of all new cellular devices); Press Release, Gartner, </w:t>
      </w:r>
      <w:r>
        <w:rPr>
          <w:rFonts w:ascii="Times New Roman" w:hAnsi="Times New Roman"/>
          <w:i/>
        </w:rPr>
        <w:t>Gartner Says Connected Car Production </w:t>
      </w:r>
      <w:r>
        <w:rPr>
          <w:rFonts w:ascii="Times New Roman" w:hAnsi="Times New Roman"/>
          <w:i/>
        </w:rPr>
        <w:t>to Grow Rapidly Over Next Five Years </w:t>
      </w:r>
      <w:r>
        <w:rPr>
          <w:rFonts w:ascii="Times New Roman" w:hAnsi="Times New Roman"/>
        </w:rPr>
        <w:t>(Sept. 29, 2016), </w:t>
      </w:r>
      <w:hyperlink r:id="rId66">
        <w:r>
          <w:rPr>
            <w:rFonts w:ascii="Times New Roman" w:hAnsi="Times New Roman"/>
            <w:color w:val="0000FF"/>
            <w:u w:val="single" w:color="0000FF"/>
          </w:rPr>
          <w:t>https://www.gartner.com/newsroom/id/3460018</w:t>
        </w:r>
      </w:hyperlink>
      <w:r>
        <w:rPr>
          <w:rFonts w:ascii="Times New Roman" w:hAnsi="Times New Roman"/>
          <w:color w:val="0000FF"/>
          <w:u w:val="single" w:color="0000FF"/>
        </w:rPr>
        <w:t> </w:t>
      </w:r>
      <w:r>
        <w:rPr>
          <w:rFonts w:ascii="Times New Roman" w:hAnsi="Times New Roman"/>
        </w:rPr>
        <w:t>(calculating how there will be approximately 120 million connected vehicles on the road globally by 2020).</w:t>
      </w:r>
    </w:p>
    <w:p>
      <w:pPr>
        <w:spacing w:before="95"/>
        <w:ind w:left="120" w:right="0" w:firstLine="0"/>
        <w:jc w:val="left"/>
        <w:rPr>
          <w:rFonts w:ascii="Times New Roman"/>
          <w:sz w:val="20"/>
        </w:rPr>
      </w:pPr>
      <w:bookmarkStart w:name="_bookmark52" w:id="69"/>
      <w:bookmarkEnd w:id="69"/>
      <w:r>
        <w:rPr/>
      </w:r>
      <w:r>
        <w:rPr>
          <w:rFonts w:ascii="Times New Roman"/>
          <w:position w:val="9"/>
          <w:sz w:val="13"/>
        </w:rPr>
        <w:t>41 </w:t>
      </w:r>
      <w:r>
        <w:rPr>
          <w:rFonts w:ascii="Times New Roman"/>
          <w:sz w:val="20"/>
        </w:rPr>
        <w:t>NGMN Alliance, </w:t>
      </w:r>
      <w:r>
        <w:rPr>
          <w:rFonts w:ascii="Times New Roman"/>
          <w:i/>
          <w:sz w:val="20"/>
        </w:rPr>
        <w:t>supra </w:t>
      </w:r>
      <w:r>
        <w:rPr>
          <w:rFonts w:ascii="Times New Roman"/>
          <w:sz w:val="20"/>
        </w:rPr>
        <w:t>note </w:t>
      </w:r>
      <w:hyperlink w:history="true" w:anchor="_bookmark16">
        <w:r>
          <w:rPr>
            <w:rFonts w:ascii="Times New Roman"/>
            <w:sz w:val="20"/>
          </w:rPr>
          <w:t>13,</w:t>
        </w:r>
      </w:hyperlink>
      <w:r>
        <w:rPr>
          <w:rFonts w:ascii="Times New Roman"/>
          <w:sz w:val="20"/>
        </w:rPr>
        <w:t> at 42-43.</w:t>
      </w:r>
    </w:p>
    <w:p>
      <w:pPr>
        <w:spacing w:before="93"/>
        <w:ind w:left="119" w:right="733" w:firstLine="0"/>
        <w:jc w:val="left"/>
        <w:rPr>
          <w:rFonts w:ascii="Times New Roman"/>
          <w:sz w:val="20"/>
        </w:rPr>
      </w:pPr>
      <w:bookmarkStart w:name="_bookmark53" w:id="70"/>
      <w:bookmarkEnd w:id="70"/>
      <w:r>
        <w:rPr/>
      </w:r>
      <w:r>
        <w:rPr>
          <w:rFonts w:ascii="Times New Roman"/>
          <w:position w:val="9"/>
          <w:sz w:val="13"/>
        </w:rPr>
        <w:t>42 </w:t>
      </w:r>
      <w:r>
        <w:rPr>
          <w:rFonts w:ascii="Times New Roman"/>
          <w:sz w:val="20"/>
        </w:rPr>
        <w:t>Accenture Strategy, </w:t>
      </w:r>
      <w:r>
        <w:rPr>
          <w:rFonts w:ascii="Times New Roman"/>
          <w:i/>
          <w:sz w:val="20"/>
        </w:rPr>
        <w:t>How 5G Can Help Municipalities Become Vibrant Smart Cities</w:t>
      </w:r>
      <w:r>
        <w:rPr>
          <w:rFonts w:ascii="Times New Roman"/>
          <w:sz w:val="20"/>
        </w:rPr>
        <w:t>, at 1 (Jan. 2017), </w:t>
      </w:r>
      <w:hyperlink r:id="rId67">
        <w:r>
          <w:rPr>
            <w:rFonts w:ascii="Times New Roman"/>
            <w:color w:val="0000FF"/>
            <w:w w:val="95"/>
            <w:sz w:val="20"/>
            <w:u w:val="single" w:color="0000FF"/>
          </w:rPr>
          <w:t>https://newsroom.accenture.com/content/1101/files/Accenture_5G-Municipalities-Become-Smart-Cities.pdf</w:t>
        </w:r>
        <w:r>
          <w:rPr>
            <w:rFonts w:ascii="Times New Roman"/>
            <w:w w:val="95"/>
            <w:sz w:val="20"/>
          </w:rPr>
          <w:t>.</w:t>
        </w:r>
      </w:hyperlink>
    </w:p>
    <w:p>
      <w:pPr>
        <w:spacing w:after="0"/>
        <w:jc w:val="left"/>
        <w:rPr>
          <w:rFonts w:ascii="Times New Roman"/>
          <w:sz w:val="20"/>
        </w:rPr>
        <w:sectPr>
          <w:headerReference w:type="default" r:id="rId60"/>
          <w:footerReference w:type="default" r:id="rId61"/>
          <w:pgSz w:w="12240" w:h="15840"/>
          <w:pgMar w:header="0" w:footer="1070" w:top="1360" w:bottom="1260" w:left="1320" w:right="1360"/>
          <w:pgNumType w:start="19"/>
        </w:sectPr>
      </w:pPr>
    </w:p>
    <w:p>
      <w:pPr>
        <w:spacing w:line="480" w:lineRule="auto" w:before="76"/>
        <w:ind w:left="119" w:right="129" w:firstLine="0"/>
        <w:jc w:val="left"/>
        <w:rPr>
          <w:rFonts w:ascii="Times New Roman"/>
          <w:sz w:val="24"/>
        </w:rPr>
      </w:pPr>
      <w:r>
        <w:rPr>
          <w:rFonts w:ascii="Times New Roman"/>
          <w:sz w:val="24"/>
        </w:rPr>
        <w:t>versions of this technology,</w:t>
      </w:r>
      <w:hyperlink w:history="true" w:anchor="_bookmark54">
        <w:r>
          <w:rPr>
            <w:rFonts w:ascii="Times New Roman"/>
            <w:position w:val="11"/>
            <w:sz w:val="16"/>
          </w:rPr>
          <w:t>43</w:t>
        </w:r>
      </w:hyperlink>
      <w:r>
        <w:rPr>
          <w:rFonts w:ascii="Times New Roman"/>
          <w:position w:val="11"/>
          <w:sz w:val="16"/>
        </w:rPr>
        <w:t> </w:t>
      </w:r>
      <w:r>
        <w:rPr>
          <w:rFonts w:ascii="Times New Roman"/>
          <w:sz w:val="24"/>
        </w:rPr>
        <w:t>providing consumers, automakers, roadway operators, infrastructure providers, and network operators with the assurance that C-V2X products purchased today will retain functionality in the future. In turn, C-V2X may even accelerate the deployment of 5G wireless networks. With the opportunity to connect with 5G C-V2X-equipped vehicles, mobile network operators and roadway operators may see incentives to speed the deployment of 5G networks, creating a self-reinforcing spiral of investment in both 5G networks and 5G C-V2X.</w:t>
      </w:r>
    </w:p>
    <w:p>
      <w:pPr>
        <w:spacing w:line="472" w:lineRule="auto" w:before="9"/>
        <w:ind w:left="119" w:right="279" w:firstLine="720"/>
        <w:jc w:val="left"/>
        <w:rPr>
          <w:rFonts w:ascii="Times New Roman" w:hAnsi="Times New Roman"/>
          <w:sz w:val="24"/>
        </w:rPr>
      </w:pPr>
      <w:r>
        <w:rPr>
          <w:rFonts w:ascii="Times New Roman" w:hAnsi="Times New Roman"/>
          <w:sz w:val="24"/>
        </w:rPr>
        <w:t>Fourth, the growing momentum towards the adoption of C-V2X internationally will further increase economies of scale, driving down the cost curve for this technology.  As reflected in 5GAA’s rapidly growing membership, many of the world’s major automotive, technology and telecommunications companies are seriously exploring – if not committed to – the deployment of C-V2X.</w:t>
      </w:r>
      <w:hyperlink w:history="true" w:anchor="_bookmark55">
        <w:r>
          <w:rPr>
            <w:rFonts w:ascii="Times New Roman" w:hAnsi="Times New Roman"/>
            <w:position w:val="11"/>
            <w:sz w:val="16"/>
          </w:rPr>
          <w:t>44</w:t>
        </w:r>
      </w:hyperlink>
      <w:r>
        <w:rPr>
          <w:rFonts w:ascii="Times New Roman" w:hAnsi="Times New Roman"/>
          <w:position w:val="11"/>
          <w:sz w:val="16"/>
        </w:rPr>
        <w:t>  </w:t>
      </w:r>
      <w:r>
        <w:rPr>
          <w:rFonts w:ascii="Times New Roman" w:hAnsi="Times New Roman"/>
          <w:sz w:val="24"/>
        </w:rPr>
        <w:t>In addition, the Chinese Ministry of Industry and Information</w:t>
      </w:r>
    </w:p>
    <w:p>
      <w:pPr>
        <w:spacing w:line="257" w:lineRule="exact" w:before="0"/>
        <w:ind w:left="120" w:right="0" w:firstLine="0"/>
        <w:jc w:val="left"/>
        <w:rPr>
          <w:rFonts w:ascii="Times New Roman"/>
          <w:sz w:val="24"/>
        </w:rPr>
      </w:pPr>
      <w:r>
        <w:rPr>
          <w:rFonts w:ascii="Times New Roman"/>
          <w:sz w:val="24"/>
        </w:rPr>
        <w:t>Technology already has allocated spectrum for C-V2X, and regulators in other parts of the world</w:t>
      </w:r>
    </w:p>
    <w:p>
      <w:pPr>
        <w:pStyle w:val="BodyText"/>
        <w:spacing w:before="11"/>
        <w:rPr>
          <w:rFonts w:ascii="Times New Roman"/>
        </w:rPr>
      </w:pPr>
    </w:p>
    <w:p>
      <w:pPr>
        <w:spacing w:line="470" w:lineRule="auto" w:before="0"/>
        <w:ind w:left="120" w:right="309" w:firstLine="0"/>
        <w:jc w:val="left"/>
        <w:rPr>
          <w:rFonts w:ascii="Times New Roman"/>
          <w:sz w:val="16"/>
        </w:rPr>
      </w:pPr>
      <w:r>
        <w:rPr>
          <w:rFonts w:ascii="Times New Roman"/>
          <w:sz w:val="24"/>
        </w:rPr>
        <w:t>are contemplating similar action.</w:t>
      </w:r>
      <w:hyperlink w:history="true" w:anchor="_bookmark56">
        <w:r>
          <w:rPr>
            <w:rFonts w:ascii="Times New Roman"/>
            <w:position w:val="11"/>
            <w:sz w:val="16"/>
          </w:rPr>
          <w:t>45</w:t>
        </w:r>
      </w:hyperlink>
      <w:r>
        <w:rPr>
          <w:rFonts w:ascii="Times New Roman"/>
          <w:position w:val="11"/>
          <w:sz w:val="16"/>
        </w:rPr>
        <w:t> </w:t>
      </w:r>
      <w:r>
        <w:rPr>
          <w:rFonts w:ascii="Times New Roman"/>
          <w:sz w:val="24"/>
        </w:rPr>
        <w:t>This international momentum will grow as automobile manufacturers, technology companies, mobile network operators, and governments continue to demonstrate the superior performance capabilities of C-V2X in tests and trials around the globe.</w:t>
      </w:r>
      <w:hyperlink w:history="true" w:anchor="_bookmark57">
        <w:r>
          <w:rPr>
            <w:rFonts w:ascii="Times New Roman"/>
            <w:position w:val="11"/>
            <w:sz w:val="16"/>
          </w:rPr>
          <w:t>46</w:t>
        </w:r>
      </w:hyperlink>
    </w:p>
    <w:p>
      <w:pPr>
        <w:pStyle w:val="BodyText"/>
        <w:rPr>
          <w:rFonts w:ascii="Times New Roman"/>
        </w:rPr>
      </w:pPr>
    </w:p>
    <w:p>
      <w:pPr>
        <w:pStyle w:val="BodyText"/>
        <w:rPr>
          <w:rFonts w:ascii="Times New Roman"/>
        </w:rPr>
      </w:pPr>
    </w:p>
    <w:p>
      <w:pPr>
        <w:pStyle w:val="BodyText"/>
        <w:spacing w:before="5"/>
        <w:rPr>
          <w:rFonts w:ascii="Times New Roman"/>
          <w:sz w:val="14"/>
        </w:rPr>
      </w:pPr>
      <w:r>
        <w:rPr/>
        <w:pict>
          <v:line style="position:absolute;mso-position-horizontal-relative:page;mso-position-vertical-relative:paragraph;z-index:1528;mso-wrap-distance-left:0;mso-wrap-distance-right:0" from="72pt,10.593346pt" to="216pt,10.593346pt" stroked="true" strokeweight=".6pt" strokecolor="#000000">
            <v:stroke dashstyle="solid"/>
            <w10:wrap type="topAndBottom"/>
          </v:line>
        </w:pict>
      </w:r>
    </w:p>
    <w:p>
      <w:pPr>
        <w:pStyle w:val="BodyText"/>
        <w:spacing w:before="50"/>
        <w:ind w:left="119" w:right="841"/>
        <w:rPr>
          <w:rFonts w:ascii="Times New Roman" w:hAnsi="Times New Roman"/>
        </w:rPr>
      </w:pPr>
      <w:bookmarkStart w:name="_bookmark54" w:id="71"/>
      <w:bookmarkEnd w:id="71"/>
      <w:r>
        <w:rPr/>
      </w:r>
      <w:r>
        <w:rPr>
          <w:rFonts w:ascii="Times New Roman" w:hAnsi="Times New Roman"/>
          <w:position w:val="9"/>
          <w:sz w:val="13"/>
        </w:rPr>
        <w:t>43 </w:t>
      </w:r>
      <w:r>
        <w:rPr>
          <w:rFonts w:ascii="Times New Roman" w:hAnsi="Times New Roman"/>
        </w:rPr>
        <w:t>Rebbeck, </w:t>
      </w:r>
      <w:r>
        <w:rPr>
          <w:rFonts w:ascii="Times New Roman" w:hAnsi="Times New Roman"/>
          <w:i/>
        </w:rPr>
        <w:t>supra </w:t>
      </w:r>
      <w:r>
        <w:rPr>
          <w:rFonts w:ascii="Times New Roman" w:hAnsi="Times New Roman"/>
        </w:rPr>
        <w:t>note </w:t>
      </w:r>
      <w:hyperlink w:history="true" w:anchor="_bookmark17">
        <w:r>
          <w:rPr>
            <w:rFonts w:ascii="Times New Roman" w:hAnsi="Times New Roman"/>
          </w:rPr>
          <w:t>17,</w:t>
        </w:r>
      </w:hyperlink>
      <w:r>
        <w:rPr>
          <w:rFonts w:ascii="Times New Roman" w:hAnsi="Times New Roman"/>
        </w:rPr>
        <w:t> at 2 (citing the certainty of C-V2X’s future evolution to 5G as facilitating earlier deployment and after-market deployment).</w:t>
      </w:r>
    </w:p>
    <w:p>
      <w:pPr>
        <w:pStyle w:val="BodyText"/>
        <w:spacing w:before="93"/>
        <w:ind w:left="119"/>
        <w:rPr>
          <w:rFonts w:ascii="Times New Roman"/>
        </w:rPr>
      </w:pPr>
      <w:bookmarkStart w:name="_bookmark55" w:id="72"/>
      <w:bookmarkEnd w:id="72"/>
      <w:r>
        <w:rPr/>
      </w:r>
      <w:r>
        <w:rPr>
          <w:rFonts w:ascii="Times New Roman"/>
          <w:position w:val="9"/>
          <w:sz w:val="13"/>
        </w:rPr>
        <w:t>44 </w:t>
      </w:r>
      <w:r>
        <w:rPr>
          <w:rFonts w:ascii="Times New Roman"/>
        </w:rPr>
        <w:t>Similarly, the Next Generation Mobile Alliance, a forum founded by world-leading mobile network operators, recently created a C-V2X task force to, among other things, accelerate the global deployment of C-V2X technology. NGMN Alliance, </w:t>
      </w:r>
      <w:r>
        <w:rPr>
          <w:rFonts w:ascii="Times New Roman"/>
          <w:i/>
        </w:rPr>
        <w:t>supra </w:t>
      </w:r>
      <w:r>
        <w:rPr>
          <w:rFonts w:ascii="Times New Roman"/>
        </w:rPr>
        <w:t>note </w:t>
      </w:r>
      <w:hyperlink w:history="true" w:anchor="_bookmark16">
        <w:r>
          <w:rPr>
            <w:rFonts w:ascii="Times New Roman"/>
          </w:rPr>
          <w:t>13,</w:t>
        </w:r>
      </w:hyperlink>
      <w:r>
        <w:rPr>
          <w:rFonts w:ascii="Times New Roman"/>
        </w:rPr>
        <w:t> at 8.</w:t>
      </w:r>
    </w:p>
    <w:p>
      <w:pPr>
        <w:spacing w:line="240" w:lineRule="auto" w:before="95"/>
        <w:ind w:left="119" w:right="0" w:firstLine="0"/>
        <w:jc w:val="left"/>
        <w:rPr>
          <w:rFonts w:ascii="Times New Roman" w:hAnsi="Times New Roman"/>
          <w:sz w:val="20"/>
        </w:rPr>
      </w:pPr>
      <w:bookmarkStart w:name="_bookmark56" w:id="73"/>
      <w:bookmarkEnd w:id="73"/>
      <w:r>
        <w:rPr/>
      </w:r>
      <w:r>
        <w:rPr>
          <w:rFonts w:ascii="Times New Roman" w:hAnsi="Times New Roman"/>
          <w:position w:val="9"/>
          <w:sz w:val="13"/>
        </w:rPr>
        <w:t>45 </w:t>
      </w:r>
      <w:r>
        <w:rPr>
          <w:rFonts w:ascii="Times New Roman" w:hAnsi="Times New Roman"/>
          <w:i/>
          <w:sz w:val="20"/>
        </w:rPr>
        <w:t>See </w:t>
      </w:r>
      <w:r>
        <w:rPr>
          <w:rFonts w:ascii="Times New Roman" w:hAnsi="Times New Roman"/>
          <w:sz w:val="20"/>
        </w:rPr>
        <w:t>Ministry of Industry and Information Technology of the People’s Republic of China, MIIT (2018) No. 203 regulation (Nov. 2018). </w:t>
      </w:r>
      <w:r>
        <w:rPr>
          <w:rFonts w:ascii="Times New Roman" w:hAnsi="Times New Roman"/>
          <w:i/>
          <w:sz w:val="20"/>
        </w:rPr>
        <w:t>See also </w:t>
      </w:r>
      <w:r>
        <w:rPr>
          <w:rFonts w:ascii="Times New Roman" w:hAnsi="Times New Roman"/>
          <w:sz w:val="20"/>
        </w:rPr>
        <w:t>TU Automotive, </w:t>
      </w:r>
      <w:r>
        <w:rPr>
          <w:rFonts w:ascii="Times New Roman" w:hAnsi="Times New Roman"/>
          <w:i/>
          <w:sz w:val="20"/>
        </w:rPr>
        <w:t>C-V2X’s Momentum in China May Drive Connected-Car </w:t>
      </w:r>
      <w:r>
        <w:rPr>
          <w:rFonts w:ascii="Times New Roman" w:hAnsi="Times New Roman"/>
          <w:i/>
          <w:sz w:val="20"/>
        </w:rPr>
        <w:t>Development </w:t>
      </w:r>
      <w:r>
        <w:rPr>
          <w:rFonts w:ascii="Times New Roman" w:hAnsi="Times New Roman"/>
          <w:sz w:val="20"/>
        </w:rPr>
        <w:t>(Nov. 7, 2018), </w:t>
      </w:r>
      <w:hyperlink r:id="rId70">
        <w:r>
          <w:rPr>
            <w:rFonts w:ascii="Times New Roman" w:hAnsi="Times New Roman"/>
            <w:color w:val="0000FF"/>
            <w:sz w:val="20"/>
            <w:u w:val="single" w:color="0000FF"/>
          </w:rPr>
          <w:t>https://www.tu-auto.com/c-v2xs-momentum-in-china-may-drive-connected-car-</w:t>
        </w:r>
      </w:hyperlink>
      <w:r>
        <w:rPr>
          <w:rFonts w:ascii="Times New Roman" w:hAnsi="Times New Roman"/>
          <w:color w:val="0000FF"/>
          <w:sz w:val="20"/>
          <w:u w:val="single" w:color="0000FF"/>
        </w:rPr>
        <w:t> </w:t>
      </w:r>
      <w:hyperlink r:id="rId70">
        <w:r>
          <w:rPr>
            <w:rFonts w:ascii="Times New Roman" w:hAnsi="Times New Roman"/>
            <w:color w:val="0000FF"/>
            <w:sz w:val="20"/>
            <w:u w:val="single" w:color="0000FF"/>
          </w:rPr>
          <w:t>development/</w:t>
        </w:r>
        <w:r>
          <w:rPr>
            <w:rFonts w:ascii="Times New Roman" w:hAnsi="Times New Roman"/>
            <w:sz w:val="20"/>
          </w:rPr>
          <w:t>.</w:t>
        </w:r>
      </w:hyperlink>
    </w:p>
    <w:p>
      <w:pPr>
        <w:spacing w:before="95"/>
        <w:ind w:left="120" w:right="0" w:firstLine="0"/>
        <w:jc w:val="left"/>
        <w:rPr>
          <w:rFonts w:ascii="Times New Roman"/>
          <w:sz w:val="20"/>
        </w:rPr>
      </w:pPr>
      <w:bookmarkStart w:name="_bookmark57" w:id="74"/>
      <w:bookmarkEnd w:id="74"/>
      <w:r>
        <w:rPr/>
      </w:r>
      <w:r>
        <w:rPr>
          <w:rFonts w:ascii="Times New Roman"/>
          <w:position w:val="9"/>
          <w:sz w:val="13"/>
        </w:rPr>
        <w:t>46 </w:t>
      </w:r>
      <w:r>
        <w:rPr>
          <w:rFonts w:ascii="Times New Roman"/>
          <w:i/>
          <w:sz w:val="20"/>
        </w:rPr>
        <w:t>See </w:t>
      </w:r>
      <w:r>
        <w:rPr>
          <w:rFonts w:ascii="Times New Roman"/>
          <w:sz w:val="20"/>
          <w:u w:val="single"/>
        </w:rPr>
        <w:t>Appendix C</w:t>
      </w:r>
      <w:r>
        <w:rPr>
          <w:rFonts w:ascii="Times New Roman"/>
          <w:sz w:val="20"/>
        </w:rPr>
        <w:t>.</w:t>
      </w:r>
    </w:p>
    <w:p>
      <w:pPr>
        <w:spacing w:after="0"/>
        <w:jc w:val="left"/>
        <w:rPr>
          <w:rFonts w:ascii="Times New Roman"/>
          <w:sz w:val="20"/>
        </w:rPr>
        <w:sectPr>
          <w:headerReference w:type="default" r:id="rId68"/>
          <w:footerReference w:type="default" r:id="rId69"/>
          <w:pgSz w:w="12240" w:h="15840"/>
          <w:pgMar w:header="0" w:footer="1070" w:top="1320" w:bottom="1260" w:left="1320" w:right="1340"/>
          <w:pgNumType w:start="20"/>
        </w:sectPr>
      </w:pPr>
    </w:p>
    <w:p>
      <w:pPr>
        <w:pStyle w:val="ListParagraph"/>
        <w:numPr>
          <w:ilvl w:val="2"/>
          <w:numId w:val="2"/>
        </w:numPr>
        <w:tabs>
          <w:tab w:pos="839" w:val="left" w:leader="none"/>
          <w:tab w:pos="840" w:val="left" w:leader="none"/>
        </w:tabs>
        <w:spacing w:line="240" w:lineRule="auto" w:before="76" w:after="0"/>
        <w:ind w:left="840" w:right="159" w:hanging="720"/>
        <w:jc w:val="left"/>
        <w:rPr>
          <w:rFonts w:ascii="Times New Roman"/>
          <w:b/>
          <w:sz w:val="24"/>
        </w:rPr>
      </w:pPr>
      <w:bookmarkStart w:name="IV. The Commission Should Grant a Waiver" w:id="75"/>
      <w:bookmarkEnd w:id="75"/>
      <w:r>
        <w:rPr/>
      </w:r>
      <w:bookmarkStart w:name="_bookmark58" w:id="76"/>
      <w:bookmarkEnd w:id="76"/>
      <w:r>
        <w:rPr/>
      </w:r>
      <w:bookmarkStart w:name="_bookmark58" w:id="77"/>
      <w:bookmarkEnd w:id="77"/>
      <w:r>
        <w:rPr>
          <w:rFonts w:ascii="Times New Roman"/>
          <w:b/>
          <w:sz w:val="24"/>
        </w:rPr>
        <w:t>T</w:t>
      </w:r>
      <w:r>
        <w:rPr>
          <w:rFonts w:ascii="Times New Roman"/>
          <w:b/>
          <w:sz w:val="24"/>
        </w:rPr>
        <w:t>he Commission Should Grant a Waiver of Its Rules to Expedite the Deployment</w:t>
      </w:r>
      <w:r>
        <w:rPr>
          <w:rFonts w:ascii="Times New Roman"/>
          <w:b/>
          <w:spacing w:val="-26"/>
          <w:sz w:val="24"/>
        </w:rPr>
        <w:t> </w:t>
      </w:r>
      <w:r>
        <w:rPr>
          <w:rFonts w:ascii="Times New Roman"/>
          <w:b/>
          <w:sz w:val="24"/>
        </w:rPr>
        <w:t>of C-V2X</w:t>
      </w:r>
    </w:p>
    <w:p>
      <w:pPr>
        <w:pStyle w:val="BodyText"/>
        <w:spacing w:before="4"/>
        <w:rPr>
          <w:rFonts w:ascii="Times New Roman"/>
          <w:b/>
        </w:rPr>
      </w:pPr>
    </w:p>
    <w:p>
      <w:pPr>
        <w:spacing w:line="458" w:lineRule="auto" w:before="0"/>
        <w:ind w:left="119" w:right="159" w:firstLine="720"/>
        <w:jc w:val="both"/>
        <w:rPr>
          <w:rFonts w:ascii="Times New Roman" w:hAnsi="Times New Roman"/>
          <w:sz w:val="24"/>
        </w:rPr>
      </w:pPr>
      <w:r>
        <w:rPr>
          <w:rFonts w:ascii="Times New Roman" w:hAnsi="Times New Roman"/>
          <w:sz w:val="24"/>
        </w:rPr>
        <w:t>In light of the transformational effect C-V2X is expected to have on motor vehicle travel, 5GAA requests that the Commission grant a blanket waiver, with conditions, of footnote NG160 to Section 2.106 of the Commission’s rules</w:t>
      </w:r>
      <w:hyperlink w:history="true" w:anchor="_bookmark59">
        <w:r>
          <w:rPr>
            <w:rFonts w:ascii="Times New Roman" w:hAnsi="Times New Roman"/>
            <w:position w:val="11"/>
            <w:sz w:val="16"/>
          </w:rPr>
          <w:t>47</w:t>
        </w:r>
      </w:hyperlink>
      <w:r>
        <w:rPr>
          <w:rFonts w:ascii="Times New Roman" w:hAnsi="Times New Roman"/>
          <w:position w:val="11"/>
          <w:sz w:val="16"/>
        </w:rPr>
        <w:t> </w:t>
      </w:r>
      <w:r>
        <w:rPr>
          <w:rFonts w:ascii="Times New Roman" w:hAnsi="Times New Roman"/>
          <w:sz w:val="24"/>
        </w:rPr>
        <w:t>to allow for the near term deployment of C-V2X in 5905-5925 MHz.</w:t>
      </w:r>
      <w:hyperlink w:history="true" w:anchor="_bookmark60">
        <w:r>
          <w:rPr>
            <w:rFonts w:ascii="Times New Roman" w:hAnsi="Times New Roman"/>
            <w:position w:val="11"/>
            <w:sz w:val="16"/>
          </w:rPr>
          <w:t>48</w:t>
        </w:r>
      </w:hyperlink>
      <w:r>
        <w:rPr>
          <w:rFonts w:ascii="Times New Roman" w:hAnsi="Times New Roman"/>
          <w:position w:val="11"/>
          <w:sz w:val="16"/>
        </w:rPr>
        <w:t>  </w:t>
      </w:r>
      <w:r>
        <w:rPr>
          <w:rFonts w:ascii="Times New Roman" w:hAnsi="Times New Roman"/>
          <w:sz w:val="24"/>
        </w:rPr>
        <w:t>The proposed waiver conditions set forth in </w:t>
      </w:r>
      <w:r>
        <w:rPr>
          <w:rFonts w:ascii="Times New Roman" w:hAnsi="Times New Roman"/>
          <w:sz w:val="24"/>
          <w:u w:val="single"/>
        </w:rPr>
        <w:t>Appendix D </w:t>
      </w:r>
      <w:r>
        <w:rPr>
          <w:rFonts w:ascii="Times New Roman" w:hAnsi="Times New Roman"/>
          <w:sz w:val="24"/>
        </w:rPr>
        <w:t>are narrowly</w:t>
      </w:r>
    </w:p>
    <w:p>
      <w:pPr>
        <w:spacing w:line="480" w:lineRule="auto" w:before="0"/>
        <w:ind w:left="119" w:right="117" w:firstLine="0"/>
        <w:jc w:val="left"/>
        <w:rPr>
          <w:rFonts w:ascii="Times New Roman" w:hAnsi="Times New Roman"/>
          <w:sz w:val="24"/>
        </w:rPr>
      </w:pPr>
      <w:r>
        <w:rPr>
          <w:rFonts w:ascii="Times New Roman" w:hAnsi="Times New Roman"/>
          <w:sz w:val="24"/>
        </w:rPr>
        <w:t>constructed to allow for the introduction of C-V2X services in the near term during the pendency of the Commission’s broader rulemaking.  To be clear, 5GAA is not seeking access to the full</w:t>
      </w:r>
    </w:p>
    <w:p>
      <w:pPr>
        <w:pStyle w:val="ListParagraph"/>
        <w:numPr>
          <w:ilvl w:val="1"/>
          <w:numId w:val="5"/>
        </w:numPr>
        <w:tabs>
          <w:tab w:pos="480" w:val="left" w:leader="none"/>
        </w:tabs>
        <w:spacing w:line="470" w:lineRule="auto" w:before="12" w:after="0"/>
        <w:ind w:left="120" w:right="135" w:firstLine="0"/>
        <w:jc w:val="left"/>
        <w:rPr>
          <w:rFonts w:ascii="Times New Roman"/>
          <w:sz w:val="24"/>
        </w:rPr>
      </w:pPr>
      <w:r>
        <w:rPr>
          <w:rFonts w:ascii="Times New Roman"/>
          <w:sz w:val="24"/>
        </w:rPr>
        <w:t>GHz band under this waiver request. Rather, 5GAA is merely seeking access to the 5.905- 5.925 GHz frequency range to begin C-V2X operations as soon as possible.</w:t>
      </w:r>
      <w:hyperlink w:history="true" w:anchor="_bookmark61">
        <w:r>
          <w:rPr>
            <w:rFonts w:ascii="Times New Roman"/>
            <w:position w:val="11"/>
            <w:sz w:val="16"/>
          </w:rPr>
          <w:t>49</w:t>
        </w:r>
      </w:hyperlink>
      <w:r>
        <w:rPr>
          <w:rFonts w:ascii="Times New Roman"/>
          <w:position w:val="11"/>
          <w:sz w:val="16"/>
        </w:rPr>
        <w:t> </w:t>
      </w:r>
      <w:r>
        <w:rPr>
          <w:rFonts w:ascii="Times New Roman"/>
          <w:sz w:val="24"/>
        </w:rPr>
        <w:t>Significantly, as noted below, 5GAA has crafted this Waiver Request to ensure that C-V2X deployment under</w:t>
      </w:r>
      <w:r>
        <w:rPr>
          <w:rFonts w:ascii="Times New Roman"/>
          <w:spacing w:val="-20"/>
          <w:sz w:val="24"/>
        </w:rPr>
        <w:t> </w:t>
      </w:r>
      <w:r>
        <w:rPr>
          <w:rFonts w:ascii="Times New Roman"/>
          <w:sz w:val="24"/>
        </w:rPr>
        <w:t>the requested relief should have no significant impact on any existing DSRC operations in the</w:t>
      </w:r>
      <w:r>
        <w:rPr>
          <w:rFonts w:ascii="Times New Roman"/>
          <w:spacing w:val="-24"/>
          <w:sz w:val="24"/>
        </w:rPr>
        <w:t> </w:t>
      </w:r>
      <w:r>
        <w:rPr>
          <w:rFonts w:ascii="Times New Roman"/>
          <w:sz w:val="24"/>
        </w:rPr>
        <w:t>band.</w:t>
      </w:r>
    </w:p>
    <w:p>
      <w:pPr>
        <w:spacing w:line="480" w:lineRule="auto" w:before="21" w:after="19"/>
        <w:ind w:left="119" w:right="283" w:firstLine="720"/>
        <w:jc w:val="left"/>
        <w:rPr>
          <w:rFonts w:ascii="Times New Roman"/>
          <w:sz w:val="24"/>
        </w:rPr>
      </w:pPr>
      <w:r>
        <w:rPr>
          <w:rFonts w:ascii="Times New Roman"/>
          <w:sz w:val="24"/>
        </w:rPr>
        <w:t>The requested waiver will allow for basic C-V2X services, which will support V2V and V2I messages that enable many important safety applications, such as red light warnings, basic</w:t>
      </w:r>
    </w:p>
    <w:p>
      <w:pPr>
        <w:pStyle w:val="BodyText"/>
        <w:spacing w:line="20" w:lineRule="exact"/>
        <w:ind w:left="114"/>
        <w:rPr>
          <w:rFonts w:ascii="Times New Roman"/>
          <w:sz w:val="2"/>
        </w:rPr>
      </w:pPr>
      <w:r>
        <w:rPr>
          <w:rFonts w:ascii="Times New Roman"/>
          <w:sz w:val="2"/>
        </w:rPr>
        <w:pict>
          <v:group style="width:144.6pt;height:.6pt;mso-position-horizontal-relative:char;mso-position-vertical-relative:line" coordorigin="0,0" coordsize="2892,12">
            <v:line style="position:absolute" from="6,6" to="2886,6" stroked="true" strokeweight=".6pt" strokecolor="#000000">
              <v:stroke dashstyle="solid"/>
            </v:line>
          </v:group>
        </w:pict>
      </w:r>
      <w:r>
        <w:rPr>
          <w:rFonts w:ascii="Times New Roman"/>
          <w:sz w:val="2"/>
        </w:rPr>
      </w:r>
    </w:p>
    <w:p>
      <w:pPr>
        <w:pStyle w:val="BodyText"/>
        <w:spacing w:before="71"/>
        <w:ind w:left="120" w:right="230" w:hanging="1"/>
        <w:rPr>
          <w:rFonts w:ascii="Times New Roman" w:hAnsi="Times New Roman"/>
        </w:rPr>
      </w:pPr>
      <w:bookmarkStart w:name="_bookmark59" w:id="78"/>
      <w:bookmarkEnd w:id="78"/>
      <w:r>
        <w:rPr/>
      </w:r>
      <w:r>
        <w:rPr>
          <w:rFonts w:ascii="Times New Roman" w:hAnsi="Times New Roman"/>
          <w:position w:val="9"/>
          <w:sz w:val="13"/>
        </w:rPr>
        <w:t>47 </w:t>
      </w:r>
      <w:r>
        <w:rPr>
          <w:rFonts w:ascii="Times New Roman" w:hAnsi="Times New Roman"/>
        </w:rPr>
        <w:t>47 C.F.R. § 2.106, NG160 (“In the 5850–5925 MHz band, the use of the non-Federal government mobile service is limited to Dedicated Short Range Communications operating in the Intelligent Transportation System radio service.”).</w:t>
      </w:r>
    </w:p>
    <w:p>
      <w:pPr>
        <w:pStyle w:val="BodyText"/>
        <w:spacing w:before="95"/>
        <w:ind w:left="119" w:right="115"/>
        <w:rPr>
          <w:rFonts w:ascii="Times New Roman" w:hAnsi="Times New Roman"/>
        </w:rPr>
      </w:pPr>
      <w:bookmarkStart w:name="_bookmark60" w:id="79"/>
      <w:bookmarkEnd w:id="79"/>
      <w:r>
        <w:rPr/>
      </w:r>
      <w:r>
        <w:rPr>
          <w:rFonts w:ascii="Times New Roman" w:hAnsi="Times New Roman"/>
          <w:position w:val="9"/>
          <w:sz w:val="13"/>
        </w:rPr>
        <w:t>48 </w:t>
      </w:r>
      <w:r>
        <w:rPr>
          <w:rFonts w:ascii="Times New Roman" w:hAnsi="Times New Roman"/>
        </w:rPr>
        <w:t>5GAA has structured this request as a waiver of footnote NG160 in part because, as noted previously, the Commission’s Dedicated Short Range Communications Service has been conflated with the IEEE 802.11p standard, which in turn is based on the ASTM E2213-03 standard.  As a result, a waiver permitting C-V2X operations under the Dedicated Short Range Communications Service may cause confusion to the public. To the extent that the Commission finds that waiver of specific rules within Part 90 and 95 are more appropriate in this context, 5GAA requests waiver of Sections 90.375, 90.377, 90.379, 95.3159, 95.3163, 95.3167, 95.3189, and any others the</w:t>
      </w:r>
    </w:p>
    <w:p>
      <w:pPr>
        <w:pStyle w:val="BodyText"/>
        <w:ind w:left="119"/>
        <w:rPr>
          <w:rFonts w:ascii="Times New Roman" w:hAnsi="Times New Roman"/>
        </w:rPr>
      </w:pPr>
      <w:r>
        <w:rPr>
          <w:rFonts w:ascii="Times New Roman" w:hAnsi="Times New Roman"/>
        </w:rPr>
        <w:t>Commission views as barriers for the deployment of C-V2X. 47 C.F.R. §§ 90.375, 90.377, 90.379, 95.3159,</w:t>
      </w:r>
    </w:p>
    <w:p>
      <w:pPr>
        <w:pStyle w:val="BodyText"/>
        <w:ind w:left="119"/>
        <w:rPr>
          <w:rFonts w:ascii="Times New Roman"/>
        </w:rPr>
      </w:pPr>
      <w:r>
        <w:rPr>
          <w:rFonts w:ascii="Times New Roman"/>
        </w:rPr>
        <w:t>95.3163, 95.3167, 95.3189.</w:t>
      </w:r>
    </w:p>
    <w:p>
      <w:pPr>
        <w:pStyle w:val="BodyText"/>
        <w:spacing w:before="94"/>
        <w:ind w:left="119" w:right="50"/>
        <w:rPr>
          <w:rFonts w:ascii="Times New Roman" w:hAnsi="Times New Roman"/>
        </w:rPr>
      </w:pPr>
      <w:bookmarkStart w:name="_bookmark61" w:id="80"/>
      <w:bookmarkEnd w:id="80"/>
      <w:r>
        <w:rPr/>
      </w:r>
      <w:r>
        <w:rPr>
          <w:rFonts w:ascii="Times New Roman" w:hAnsi="Times New Roman"/>
          <w:position w:val="9"/>
          <w:sz w:val="13"/>
        </w:rPr>
        <w:t>49 </w:t>
      </w:r>
      <w:r>
        <w:rPr>
          <w:rFonts w:ascii="Times New Roman" w:hAnsi="Times New Roman"/>
        </w:rPr>
        <w:t>Granting C-V2X permission to operate on a 20 MHz channel will enhance C-V2X’s ability to implement congestion control, should help improve its resiliency to out of band interference, and will enable capacity to adjust dynamically between V2V and V2I applications in any given location, depending on usage. A 20 MHz channel allows for soft multiplexing of the various peer-to-peer mode communications supported by C-V2X. The communications system therefore will dynamically adjust to the capacity demands, ensuring a high reliability for message delivery. While the 5GAA Test Report reflects testing performed on a 10 MHz channel, 5GAA members have validated C-V2X operation in a 20 MHz channel in laboratory tests and are planning to conduct additional field tests using a 20 MHz channel in the very near future. Congestion control test results are expected to improve when utilizing a 20 MHz channel because a wider channel naturally accommodates more simultaneous users. In addition, resiliency test results using 20 MHz may similarly improve due to C-V2X’s channel sensing, which will choose less polluted parts of the channel for message transmission.</w:t>
      </w:r>
    </w:p>
    <w:p>
      <w:pPr>
        <w:spacing w:after="0"/>
        <w:rPr>
          <w:rFonts w:ascii="Times New Roman" w:hAnsi="Times New Roman"/>
        </w:rPr>
        <w:sectPr>
          <w:headerReference w:type="default" r:id="rId71"/>
          <w:footerReference w:type="default" r:id="rId72"/>
          <w:pgSz w:w="12240" w:h="15840"/>
          <w:pgMar w:header="0" w:footer="1070" w:top="1360" w:bottom="1260" w:left="1320" w:right="1340"/>
          <w:pgNumType w:start="21"/>
        </w:sectPr>
      </w:pPr>
    </w:p>
    <w:p>
      <w:pPr>
        <w:pStyle w:val="BodyText"/>
        <w:spacing w:before="2"/>
        <w:rPr>
          <w:rFonts w:ascii="Times New Roman"/>
          <w:sz w:val="16"/>
        </w:rPr>
      </w:pPr>
    </w:p>
    <w:p>
      <w:pPr>
        <w:spacing w:line="480" w:lineRule="auto" w:before="90"/>
        <w:ind w:left="120" w:right="95" w:firstLine="0"/>
        <w:jc w:val="left"/>
        <w:rPr>
          <w:rFonts w:ascii="Times New Roman" w:hAnsi="Times New Roman"/>
          <w:sz w:val="24"/>
        </w:rPr>
      </w:pPr>
      <w:r>
        <w:rPr>
          <w:rFonts w:ascii="Times New Roman" w:hAnsi="Times New Roman"/>
          <w:sz w:val="24"/>
        </w:rPr>
        <w:t>5GAA’s forthcoming petition for rulemaking will request that the Commission initiate a rulemaking to modernize the 5.9 GHz band to enable advanced C-V2X services, which will support the delivery of 5G C-V2X applications. To unleash these advanced features, 5G C-V2X will need to access much more spectrum in the 5.9 GHz band than the 20 MHz that are the subject of this Waiver Request.</w:t>
      </w:r>
    </w:p>
    <w:p>
      <w:pPr>
        <w:pStyle w:val="ListParagraph"/>
        <w:numPr>
          <w:ilvl w:val="2"/>
          <w:numId w:val="5"/>
        </w:numPr>
        <w:tabs>
          <w:tab w:pos="1559" w:val="left" w:leader="none"/>
          <w:tab w:pos="1560" w:val="left" w:leader="none"/>
        </w:tabs>
        <w:spacing w:line="240" w:lineRule="auto" w:before="15" w:after="0"/>
        <w:ind w:left="1560" w:right="0" w:hanging="720"/>
        <w:jc w:val="left"/>
        <w:rPr>
          <w:rFonts w:ascii="Times New Roman"/>
          <w:b/>
          <w:sz w:val="24"/>
        </w:rPr>
      </w:pPr>
      <w:bookmarkStart w:name="A. The Good Cause Standard" w:id="81"/>
      <w:bookmarkEnd w:id="81"/>
      <w:r>
        <w:rPr/>
      </w:r>
      <w:bookmarkStart w:name="_bookmark62" w:id="82"/>
      <w:bookmarkEnd w:id="82"/>
      <w:r>
        <w:rPr/>
      </w:r>
      <w:bookmarkStart w:name="_bookmark62" w:id="83"/>
      <w:bookmarkEnd w:id="83"/>
      <w:r>
        <w:rPr>
          <w:rFonts w:ascii="Times New Roman"/>
          <w:b/>
          <w:sz w:val="24"/>
        </w:rPr>
        <w:t>T</w:t>
      </w:r>
      <w:r>
        <w:rPr>
          <w:rFonts w:ascii="Times New Roman"/>
          <w:b/>
          <w:sz w:val="24"/>
        </w:rPr>
        <w:t>he Good Cause</w:t>
      </w:r>
      <w:r>
        <w:rPr>
          <w:rFonts w:ascii="Times New Roman"/>
          <w:b/>
          <w:spacing w:val="-10"/>
          <w:sz w:val="24"/>
        </w:rPr>
        <w:t> </w:t>
      </w:r>
      <w:r>
        <w:rPr>
          <w:rFonts w:ascii="Times New Roman"/>
          <w:b/>
          <w:sz w:val="24"/>
        </w:rPr>
        <w:t>Standard</w:t>
      </w:r>
    </w:p>
    <w:p>
      <w:pPr>
        <w:pStyle w:val="BodyText"/>
        <w:spacing w:before="5"/>
        <w:rPr>
          <w:rFonts w:ascii="Times New Roman"/>
          <w:b/>
        </w:rPr>
      </w:pPr>
    </w:p>
    <w:p>
      <w:pPr>
        <w:spacing w:line="463" w:lineRule="auto" w:before="0"/>
        <w:ind w:left="119" w:right="150" w:firstLine="720"/>
        <w:jc w:val="left"/>
        <w:rPr>
          <w:rFonts w:ascii="Times New Roman" w:hAnsi="Times New Roman"/>
          <w:sz w:val="24"/>
        </w:rPr>
      </w:pPr>
      <w:r>
        <w:rPr>
          <w:rFonts w:ascii="Times New Roman" w:hAnsi="Times New Roman"/>
          <w:sz w:val="24"/>
        </w:rPr>
        <w:t>The Commission is authorized to waive its rules where the petitioner demonstrates good cause for such action.</w:t>
      </w:r>
      <w:hyperlink w:history="true" w:anchor="_bookmark64">
        <w:r>
          <w:rPr>
            <w:rFonts w:ascii="Times New Roman" w:hAnsi="Times New Roman"/>
            <w:position w:val="11"/>
            <w:sz w:val="16"/>
          </w:rPr>
          <w:t>51</w:t>
        </w:r>
      </w:hyperlink>
      <w:r>
        <w:rPr>
          <w:rFonts w:ascii="Times New Roman" w:hAnsi="Times New Roman"/>
          <w:position w:val="11"/>
          <w:sz w:val="16"/>
        </w:rPr>
        <w:t> </w:t>
      </w:r>
      <w:r>
        <w:rPr>
          <w:rFonts w:ascii="Times New Roman" w:hAnsi="Times New Roman"/>
          <w:sz w:val="24"/>
        </w:rPr>
        <w:t>Good cause may be found where “particular facts would make strict compliance inconsistent with the public interest.”</w:t>
      </w:r>
      <w:hyperlink w:history="true" w:anchor="_bookmark65">
        <w:r>
          <w:rPr>
            <w:rFonts w:ascii="Times New Roman" w:hAnsi="Times New Roman"/>
            <w:position w:val="11"/>
            <w:sz w:val="16"/>
          </w:rPr>
          <w:t>52</w:t>
        </w:r>
      </w:hyperlink>
      <w:r>
        <w:rPr>
          <w:rFonts w:ascii="Times New Roman" w:hAnsi="Times New Roman"/>
          <w:position w:val="11"/>
          <w:sz w:val="16"/>
        </w:rPr>
        <w:t> </w:t>
      </w:r>
      <w:r>
        <w:rPr>
          <w:rFonts w:ascii="Times New Roman" w:hAnsi="Times New Roman"/>
          <w:sz w:val="24"/>
        </w:rPr>
        <w:t>In making this determination, the Commission may “take into account considerations of hardship, equity, or more effective implementation of overall policy.”</w:t>
      </w:r>
      <w:hyperlink w:history="true" w:anchor="_bookmark66">
        <w:r>
          <w:rPr>
            <w:rFonts w:ascii="Times New Roman" w:hAnsi="Times New Roman"/>
            <w:position w:val="11"/>
            <w:sz w:val="16"/>
          </w:rPr>
          <w:t>53</w:t>
        </w:r>
      </w:hyperlink>
      <w:r>
        <w:rPr>
          <w:rFonts w:ascii="Times New Roman" w:hAnsi="Times New Roman"/>
          <w:position w:val="11"/>
          <w:sz w:val="16"/>
        </w:rPr>
        <w:t> </w:t>
      </w:r>
      <w:r>
        <w:rPr>
          <w:rFonts w:ascii="Times New Roman" w:hAnsi="Times New Roman"/>
          <w:sz w:val="24"/>
        </w:rPr>
        <w:t>To satisfy the public interest requirement, “the waiver cannot undermine the purposes of the rule, and there must be a stronger public interest benefit in granting the waiver than in applying the rule.”</w:t>
      </w:r>
      <w:hyperlink w:history="true" w:anchor="_bookmark67">
        <w:r>
          <w:rPr>
            <w:rFonts w:ascii="Times New Roman" w:hAnsi="Times New Roman"/>
            <w:position w:val="11"/>
            <w:sz w:val="16"/>
          </w:rPr>
          <w:t>54</w:t>
        </w:r>
      </w:hyperlink>
      <w:r>
        <w:rPr>
          <w:rFonts w:ascii="Times New Roman" w:hAnsi="Times New Roman"/>
          <w:position w:val="11"/>
          <w:sz w:val="16"/>
        </w:rPr>
        <w:t> </w:t>
      </w:r>
      <w:r>
        <w:rPr>
          <w:rFonts w:ascii="Times New Roman" w:hAnsi="Times New Roman"/>
          <w:sz w:val="24"/>
        </w:rPr>
        <w:t>The Commission has also found that a waiver request satisfies its public interest requirement where it would serve some larger public interest</w:t>
      </w:r>
    </w:p>
    <w:p>
      <w:pPr>
        <w:pStyle w:val="BodyText"/>
        <w:spacing w:before="1"/>
        <w:rPr>
          <w:rFonts w:ascii="Times New Roman"/>
          <w:sz w:val="27"/>
        </w:rPr>
      </w:pPr>
      <w:r>
        <w:rPr/>
        <w:pict>
          <v:line style="position:absolute;mso-position-horizontal-relative:page;mso-position-vertical-relative:paragraph;z-index:1576;mso-wrap-distance-left:0;mso-wrap-distance-right:0" from="72pt,17.853987pt" to="216pt,17.853987pt" stroked="true" strokeweight=".599pt" strokecolor="#000000">
            <v:stroke dashstyle="solid"/>
            <w10:wrap type="topAndBottom"/>
          </v:line>
        </w:pict>
      </w:r>
    </w:p>
    <w:p>
      <w:pPr>
        <w:pStyle w:val="BodyText"/>
        <w:spacing w:before="50"/>
        <w:ind w:left="119" w:right="90"/>
        <w:rPr>
          <w:rFonts w:ascii="Times New Roman"/>
        </w:rPr>
      </w:pPr>
      <w:bookmarkStart w:name="_bookmark63" w:id="84"/>
      <w:bookmarkEnd w:id="84"/>
      <w:r>
        <w:rPr/>
      </w:r>
      <w:r>
        <w:rPr>
          <w:rFonts w:ascii="Times New Roman"/>
          <w:position w:val="9"/>
          <w:sz w:val="13"/>
        </w:rPr>
        <w:t>50 </w:t>
      </w:r>
      <w:r>
        <w:rPr>
          <w:rFonts w:ascii="Times New Roman"/>
        </w:rPr>
        <w:t>The requested waiver will enable basic C-V2X services, which will support V2V and V2I messages such as the Basic Safety Message, Signal Phase and Timing, Emergency Vehicle Alert, Probe Data Management, Probe Vehicle Data, Signal Request Message, Signal Status Message, Geometric Intersection Description, Traveler Information Message, &amp; others encompassed by the Road Safety Message.</w:t>
      </w:r>
    </w:p>
    <w:p>
      <w:pPr>
        <w:spacing w:before="95"/>
        <w:ind w:left="119" w:right="95" w:firstLine="0"/>
        <w:jc w:val="left"/>
        <w:rPr>
          <w:rFonts w:ascii="Times New Roman"/>
          <w:sz w:val="20"/>
        </w:rPr>
      </w:pPr>
      <w:bookmarkStart w:name="_bookmark64" w:id="85"/>
      <w:bookmarkEnd w:id="85"/>
      <w:r>
        <w:rPr/>
      </w:r>
      <w:r>
        <w:rPr>
          <w:rFonts w:ascii="Times New Roman"/>
          <w:position w:val="9"/>
          <w:sz w:val="13"/>
        </w:rPr>
        <w:t>51 </w:t>
      </w:r>
      <w:r>
        <w:rPr>
          <w:rFonts w:ascii="Times New Roman"/>
          <w:i/>
          <w:sz w:val="20"/>
        </w:rPr>
        <w:t>Northeast Cellular Telephone Co. v. FCC</w:t>
      </w:r>
      <w:r>
        <w:rPr>
          <w:rFonts w:ascii="Times New Roman"/>
          <w:sz w:val="20"/>
        </w:rPr>
        <w:t>, 897 F.2d 1164 (D.C. Cir. 1990); </w:t>
      </w:r>
      <w:r>
        <w:rPr>
          <w:rFonts w:ascii="Times New Roman"/>
          <w:i/>
          <w:sz w:val="20"/>
        </w:rPr>
        <w:t>WAIT Radio v. FCC</w:t>
      </w:r>
      <w:r>
        <w:rPr>
          <w:rFonts w:ascii="Times New Roman"/>
          <w:sz w:val="20"/>
        </w:rPr>
        <w:t>, 418 F.2d 1153 (D.C. Cir. 1969).</w:t>
      </w:r>
    </w:p>
    <w:p>
      <w:pPr>
        <w:spacing w:before="95"/>
        <w:ind w:left="119" w:right="230" w:firstLine="0"/>
        <w:jc w:val="left"/>
        <w:rPr>
          <w:rFonts w:ascii="Times New Roman" w:hAnsi="Times New Roman"/>
          <w:sz w:val="20"/>
        </w:rPr>
      </w:pPr>
      <w:bookmarkStart w:name="_bookmark65" w:id="86"/>
      <w:bookmarkEnd w:id="86"/>
      <w:r>
        <w:rPr/>
      </w:r>
      <w:r>
        <w:rPr>
          <w:rFonts w:ascii="Times New Roman" w:hAnsi="Times New Roman"/>
          <w:position w:val="9"/>
          <w:sz w:val="13"/>
        </w:rPr>
        <w:t>52 </w:t>
      </w:r>
      <w:r>
        <w:rPr>
          <w:rFonts w:ascii="Times New Roman" w:hAnsi="Times New Roman"/>
          <w:i/>
          <w:sz w:val="20"/>
        </w:rPr>
        <w:t>Northeast Cellular</w:t>
      </w:r>
      <w:r>
        <w:rPr>
          <w:rFonts w:ascii="Times New Roman" w:hAnsi="Times New Roman"/>
          <w:sz w:val="20"/>
        </w:rPr>
        <w:t>, 897 F.2d at 1166; </w:t>
      </w:r>
      <w:r>
        <w:rPr>
          <w:rFonts w:ascii="Times New Roman" w:hAnsi="Times New Roman"/>
          <w:i/>
          <w:sz w:val="20"/>
        </w:rPr>
        <w:t>see also ICO Global Communications v. FCC</w:t>
      </w:r>
      <w:r>
        <w:rPr>
          <w:rFonts w:ascii="Times New Roman" w:hAnsi="Times New Roman"/>
          <w:sz w:val="20"/>
        </w:rPr>
        <w:t>, 428 F.3d 264, 269 (quoting </w:t>
      </w:r>
      <w:r>
        <w:rPr>
          <w:rFonts w:ascii="Times New Roman" w:hAnsi="Times New Roman"/>
          <w:i/>
          <w:sz w:val="20"/>
        </w:rPr>
        <w:t>Northeast Cellular</w:t>
      </w:r>
      <w:r>
        <w:rPr>
          <w:rFonts w:ascii="Times New Roman" w:hAnsi="Times New Roman"/>
          <w:sz w:val="20"/>
        </w:rPr>
        <w:t>); </w:t>
      </w:r>
      <w:r>
        <w:rPr>
          <w:rFonts w:ascii="Times New Roman" w:hAnsi="Times New Roman"/>
          <w:i/>
          <w:sz w:val="20"/>
        </w:rPr>
        <w:t>WAIT Radio</w:t>
      </w:r>
      <w:r>
        <w:rPr>
          <w:rFonts w:ascii="Times New Roman" w:hAnsi="Times New Roman"/>
          <w:sz w:val="20"/>
        </w:rPr>
        <w:t>, 418 F.2d at 1157-59; </w:t>
      </w:r>
      <w:r>
        <w:rPr>
          <w:rFonts w:ascii="Times New Roman" w:hAnsi="Times New Roman"/>
          <w:i/>
          <w:sz w:val="20"/>
        </w:rPr>
        <w:t>Deere &amp; Company Request for Limited Waiver of Part 15 </w:t>
      </w:r>
      <w:r>
        <w:rPr>
          <w:rFonts w:ascii="Times New Roman" w:hAnsi="Times New Roman"/>
          <w:i/>
          <w:sz w:val="20"/>
        </w:rPr>
        <w:t>Rules for Fixed White Space Device</w:t>
      </w:r>
      <w:r>
        <w:rPr>
          <w:rFonts w:ascii="Times New Roman" w:hAnsi="Times New Roman"/>
          <w:sz w:val="20"/>
        </w:rPr>
        <w:t>, Order, 31 FCC Rcd 2131, 2134 ¶ 8 (OET 2016) (“</w:t>
      </w:r>
      <w:r>
        <w:rPr>
          <w:rFonts w:ascii="Times New Roman" w:hAnsi="Times New Roman"/>
          <w:i/>
          <w:sz w:val="20"/>
        </w:rPr>
        <w:t>Deere Order</w:t>
      </w:r>
      <w:r>
        <w:rPr>
          <w:rFonts w:ascii="Times New Roman" w:hAnsi="Times New Roman"/>
          <w:sz w:val="20"/>
        </w:rPr>
        <w:t>”) (quoting </w:t>
      </w:r>
      <w:r>
        <w:rPr>
          <w:rFonts w:ascii="Times New Roman" w:hAnsi="Times New Roman"/>
          <w:i/>
          <w:sz w:val="20"/>
        </w:rPr>
        <w:t>Northeast Cellular</w:t>
      </w:r>
      <w:r>
        <w:rPr>
          <w:rFonts w:ascii="Times New Roman" w:hAnsi="Times New Roman"/>
          <w:sz w:val="20"/>
        </w:rPr>
        <w:t>).</w:t>
      </w:r>
    </w:p>
    <w:p>
      <w:pPr>
        <w:spacing w:before="95"/>
        <w:ind w:left="120" w:right="0" w:firstLine="0"/>
        <w:jc w:val="left"/>
        <w:rPr>
          <w:rFonts w:ascii="Times New Roman"/>
          <w:sz w:val="20"/>
        </w:rPr>
      </w:pPr>
      <w:bookmarkStart w:name="_bookmark66" w:id="87"/>
      <w:bookmarkEnd w:id="87"/>
      <w:r>
        <w:rPr/>
      </w:r>
      <w:r>
        <w:rPr>
          <w:rFonts w:ascii="Times New Roman"/>
          <w:position w:val="9"/>
          <w:sz w:val="13"/>
        </w:rPr>
        <w:t>53 </w:t>
      </w:r>
      <w:r>
        <w:rPr>
          <w:rFonts w:ascii="Times New Roman"/>
          <w:i/>
          <w:sz w:val="20"/>
        </w:rPr>
        <w:t>WAIT Radio</w:t>
      </w:r>
      <w:r>
        <w:rPr>
          <w:rFonts w:ascii="Times New Roman"/>
          <w:sz w:val="20"/>
        </w:rPr>
        <w:t>, 418 F.2d at 1159.</w:t>
      </w:r>
    </w:p>
    <w:p>
      <w:pPr>
        <w:pStyle w:val="BodyText"/>
        <w:spacing w:before="95"/>
        <w:ind w:left="119" w:right="201"/>
        <w:rPr>
          <w:rFonts w:ascii="Times New Roman" w:hAnsi="Times New Roman"/>
        </w:rPr>
      </w:pPr>
      <w:bookmarkStart w:name="_bookmark67" w:id="88"/>
      <w:bookmarkEnd w:id="88"/>
      <w:r>
        <w:rPr/>
      </w:r>
      <w:r>
        <w:rPr>
          <w:rFonts w:ascii="Times New Roman" w:hAnsi="Times New Roman"/>
          <w:position w:val="9"/>
          <w:sz w:val="13"/>
        </w:rPr>
        <w:t>54 </w:t>
      </w:r>
      <w:r>
        <w:rPr>
          <w:rFonts w:ascii="Times New Roman" w:hAnsi="Times New Roman"/>
          <w:i/>
        </w:rPr>
        <w:t>Deere Order</w:t>
      </w:r>
      <w:r>
        <w:rPr>
          <w:rFonts w:ascii="Times New Roman" w:hAnsi="Times New Roman"/>
        </w:rPr>
        <w:t>, 31 FCC Rcd at 2134 ¶ 8; </w:t>
      </w:r>
      <w:r>
        <w:rPr>
          <w:rFonts w:ascii="Times New Roman" w:hAnsi="Times New Roman"/>
          <w:i/>
        </w:rPr>
        <w:t>see also WAIT Radio</w:t>
      </w:r>
      <w:r>
        <w:rPr>
          <w:rFonts w:ascii="Times New Roman" w:hAnsi="Times New Roman"/>
        </w:rPr>
        <w:t>, 418 F.2d at 1157 (stating that even though the overall objectives of a general rule have been adjudged to be in the public interest, it is possible that application of the rule to a specific case may not serve the public interest if an applicant’s proposal does not undermine the public interest policy served by the rule); </w:t>
      </w:r>
      <w:r>
        <w:rPr>
          <w:rFonts w:ascii="Times New Roman" w:hAnsi="Times New Roman"/>
          <w:i/>
        </w:rPr>
        <w:t>Kyma Medical Technologies Ltd.</w:t>
      </w:r>
      <w:r>
        <w:rPr>
          <w:rFonts w:ascii="Times New Roman" w:hAnsi="Times New Roman"/>
        </w:rPr>
        <w:t>, Order, 31 FCC Rcd 9705, 9707 ¶ 5 (OET 2016) (“</w:t>
      </w:r>
      <w:r>
        <w:rPr>
          <w:rFonts w:ascii="Times New Roman" w:hAnsi="Times New Roman"/>
          <w:i/>
        </w:rPr>
        <w:t>Kyma Order</w:t>
      </w:r>
      <w:r>
        <w:rPr>
          <w:rFonts w:ascii="Times New Roman" w:hAnsi="Times New Roman"/>
        </w:rPr>
        <w:t>”).</w:t>
      </w:r>
    </w:p>
    <w:p>
      <w:pPr>
        <w:spacing w:after="0"/>
        <w:rPr>
          <w:rFonts w:ascii="Times New Roman" w:hAnsi="Times New Roman"/>
        </w:rPr>
        <w:sectPr>
          <w:headerReference w:type="default" r:id="rId73"/>
          <w:pgSz w:w="12240" w:h="15840"/>
          <w:pgMar w:header="1402" w:footer="1070" w:top="1700" w:bottom="1260" w:left="1320" w:right="1360"/>
        </w:sectPr>
      </w:pPr>
    </w:p>
    <w:p>
      <w:pPr>
        <w:pStyle w:val="BodyText"/>
        <w:spacing w:before="8"/>
        <w:rPr>
          <w:rFonts w:ascii="Times New Roman"/>
          <w:sz w:val="12"/>
        </w:rPr>
      </w:pPr>
    </w:p>
    <w:p>
      <w:pPr>
        <w:spacing w:before="94"/>
        <w:ind w:left="120" w:right="0" w:firstLine="0"/>
        <w:jc w:val="left"/>
        <w:rPr>
          <w:rFonts w:ascii="Times New Roman"/>
          <w:sz w:val="16"/>
        </w:rPr>
      </w:pPr>
      <w:r>
        <w:rPr>
          <w:rFonts w:ascii="Times New Roman"/>
          <w:sz w:val="24"/>
        </w:rPr>
        <w:t>strict application of the rule in question.</w:t>
      </w:r>
      <w:hyperlink w:history="true" w:anchor="_bookmark70">
        <w:r>
          <w:rPr>
            <w:rFonts w:ascii="Times New Roman"/>
            <w:position w:val="11"/>
            <w:sz w:val="16"/>
          </w:rPr>
          <w:t>55</w:t>
        </w:r>
      </w:hyperlink>
    </w:p>
    <w:p>
      <w:pPr>
        <w:pStyle w:val="BodyText"/>
        <w:spacing w:before="4"/>
        <w:rPr>
          <w:rFonts w:ascii="Times New Roman"/>
          <w:sz w:val="24"/>
        </w:rPr>
      </w:pPr>
    </w:p>
    <w:p>
      <w:pPr>
        <w:pStyle w:val="ListParagraph"/>
        <w:numPr>
          <w:ilvl w:val="2"/>
          <w:numId w:val="5"/>
        </w:numPr>
        <w:tabs>
          <w:tab w:pos="1559" w:val="left" w:leader="none"/>
          <w:tab w:pos="1560" w:val="left" w:leader="none"/>
        </w:tabs>
        <w:spacing w:line="240" w:lineRule="auto" w:before="0" w:after="0"/>
        <w:ind w:left="1560" w:right="0" w:hanging="720"/>
        <w:jc w:val="left"/>
        <w:rPr>
          <w:rFonts w:ascii="Times New Roman"/>
          <w:b/>
          <w:sz w:val="24"/>
        </w:rPr>
      </w:pPr>
      <w:bookmarkStart w:name="B. Good Cause Exists for the Grant of th" w:id="89"/>
      <w:bookmarkEnd w:id="89"/>
      <w:r>
        <w:rPr/>
      </w:r>
      <w:bookmarkStart w:name="_bookmark68" w:id="90"/>
      <w:bookmarkEnd w:id="90"/>
      <w:r>
        <w:rPr/>
      </w:r>
      <w:bookmarkStart w:name="_bookmark68" w:id="91"/>
      <w:bookmarkEnd w:id="91"/>
      <w:r>
        <w:rPr>
          <w:rFonts w:ascii="Times New Roman"/>
          <w:b/>
          <w:sz w:val="24"/>
        </w:rPr>
        <w:t>G</w:t>
      </w:r>
      <w:r>
        <w:rPr>
          <w:rFonts w:ascii="Times New Roman"/>
          <w:b/>
          <w:sz w:val="24"/>
        </w:rPr>
        <w:t>ood Cause Exists for the Grant of the Requested</w:t>
      </w:r>
      <w:r>
        <w:rPr>
          <w:rFonts w:ascii="Times New Roman"/>
          <w:b/>
          <w:spacing w:val="-17"/>
          <w:sz w:val="24"/>
        </w:rPr>
        <w:t> </w:t>
      </w:r>
      <w:r>
        <w:rPr>
          <w:rFonts w:ascii="Times New Roman"/>
          <w:b/>
          <w:sz w:val="24"/>
        </w:rPr>
        <w:t>Waiver</w:t>
      </w:r>
    </w:p>
    <w:p>
      <w:pPr>
        <w:pStyle w:val="BodyText"/>
        <w:spacing w:before="5"/>
        <w:rPr>
          <w:rFonts w:ascii="Times New Roman"/>
          <w:b/>
        </w:rPr>
      </w:pPr>
    </w:p>
    <w:p>
      <w:pPr>
        <w:pStyle w:val="ListParagraph"/>
        <w:numPr>
          <w:ilvl w:val="3"/>
          <w:numId w:val="5"/>
        </w:numPr>
        <w:tabs>
          <w:tab w:pos="1560" w:val="left" w:leader="none"/>
        </w:tabs>
        <w:spacing w:line="240" w:lineRule="auto" w:before="0" w:after="0"/>
        <w:ind w:left="1560" w:right="125" w:hanging="360"/>
        <w:jc w:val="left"/>
        <w:rPr>
          <w:rFonts w:ascii="Times New Roman"/>
          <w:i/>
          <w:sz w:val="24"/>
        </w:rPr>
      </w:pPr>
      <w:bookmarkStart w:name="1. A Grant of the Requested Waiver is in" w:id="92"/>
      <w:bookmarkEnd w:id="92"/>
      <w:r>
        <w:rPr/>
      </w:r>
      <w:bookmarkStart w:name="_bookmark69" w:id="93"/>
      <w:bookmarkEnd w:id="93"/>
      <w:r>
        <w:rPr/>
      </w:r>
      <w:bookmarkStart w:name="_bookmark69" w:id="94"/>
      <w:bookmarkEnd w:id="94"/>
      <w:r>
        <w:rPr>
          <w:rFonts w:ascii="Times New Roman"/>
          <w:i/>
          <w:sz w:val="24"/>
        </w:rPr>
        <w:t>A</w:t>
      </w:r>
      <w:r>
        <w:rPr>
          <w:rFonts w:ascii="Times New Roman"/>
          <w:i/>
          <w:sz w:val="24"/>
        </w:rPr>
        <w:t> Grant of the Requested Waiver is in the Public Interest Because it Will Expedite </w:t>
      </w:r>
      <w:r>
        <w:rPr>
          <w:rFonts w:ascii="Times New Roman"/>
          <w:i/>
          <w:sz w:val="24"/>
        </w:rPr>
        <w:t>the Availability of ITS</w:t>
      </w:r>
      <w:r>
        <w:rPr>
          <w:rFonts w:ascii="Times New Roman"/>
          <w:i/>
          <w:spacing w:val="-11"/>
          <w:sz w:val="24"/>
        </w:rPr>
        <w:t> </w:t>
      </w:r>
      <w:r>
        <w:rPr>
          <w:rFonts w:ascii="Times New Roman"/>
          <w:i/>
          <w:sz w:val="24"/>
        </w:rPr>
        <w:t>Services</w:t>
      </w:r>
    </w:p>
    <w:p>
      <w:pPr>
        <w:pStyle w:val="BodyText"/>
        <w:spacing w:before="9"/>
        <w:rPr>
          <w:rFonts w:ascii="Times New Roman"/>
          <w:i/>
        </w:rPr>
      </w:pPr>
    </w:p>
    <w:p>
      <w:pPr>
        <w:spacing w:line="472" w:lineRule="auto" w:before="1"/>
        <w:ind w:left="119" w:right="112" w:firstLine="720"/>
        <w:jc w:val="left"/>
        <w:rPr>
          <w:rFonts w:ascii="Times New Roman" w:hAnsi="Times New Roman"/>
          <w:sz w:val="24"/>
        </w:rPr>
      </w:pPr>
      <w:r>
        <w:rPr>
          <w:rFonts w:ascii="Times New Roman" w:hAnsi="Times New Roman"/>
          <w:sz w:val="24"/>
        </w:rPr>
        <w:t>For decades, Congress, the DOT, and the Commission have acknowledged the life-saving and societal benefits of connected vehicle technologies. ITS traces its modern day origins to the mid-1980s, when the DOT, in partnership with state departments of transportation, academia, and industry, began evaluating how to incorporate communication technology into transportation infrastructure to improve safety, mobility, and emissions.</w:t>
      </w:r>
      <w:hyperlink w:history="true" w:anchor="_bookmark71">
        <w:r>
          <w:rPr>
            <w:rFonts w:ascii="Times New Roman" w:hAnsi="Times New Roman"/>
            <w:position w:val="11"/>
            <w:sz w:val="16"/>
          </w:rPr>
          <w:t>56</w:t>
        </w:r>
      </w:hyperlink>
      <w:r>
        <w:rPr>
          <w:rFonts w:ascii="Times New Roman" w:hAnsi="Times New Roman"/>
          <w:position w:val="11"/>
          <w:sz w:val="16"/>
        </w:rPr>
        <w:t> </w:t>
      </w:r>
      <w:r>
        <w:rPr>
          <w:rFonts w:ascii="Times New Roman" w:hAnsi="Times New Roman"/>
          <w:sz w:val="24"/>
        </w:rPr>
        <w:t>Shortly thereafter, in the Intermodal Surface Transportation Efficiency Act of 1991 (“ISTEA”), Congress established a national program within the DOT for the development of ITS, which Congress identified as a means to improve traveler safety, decrease traffic congestion, facilitate the reduction of air pollution, and conserve vital fossil fuels by incorporating technology and advanced electronics into the nation’s transportation infrastructure.</w:t>
      </w:r>
      <w:hyperlink w:history="true" w:anchor="_bookmark72">
        <w:r>
          <w:rPr>
            <w:rFonts w:ascii="Times New Roman" w:hAnsi="Times New Roman"/>
            <w:position w:val="11"/>
            <w:sz w:val="16"/>
          </w:rPr>
          <w:t>57</w:t>
        </w:r>
      </w:hyperlink>
      <w:r>
        <w:rPr>
          <w:rFonts w:ascii="Times New Roman" w:hAnsi="Times New Roman"/>
          <w:position w:val="11"/>
          <w:sz w:val="16"/>
        </w:rPr>
        <w:t>  </w:t>
      </w:r>
      <w:r>
        <w:rPr>
          <w:rFonts w:ascii="Times New Roman" w:hAnsi="Times New Roman"/>
          <w:sz w:val="24"/>
        </w:rPr>
        <w:t>The passage of ISTEA represented the first in a sequence</w:t>
      </w:r>
      <w:r>
        <w:rPr>
          <w:rFonts w:ascii="Times New Roman" w:hAnsi="Times New Roman"/>
          <w:spacing w:val="-10"/>
          <w:sz w:val="24"/>
        </w:rPr>
        <w:t> </w:t>
      </w:r>
      <w:r>
        <w:rPr>
          <w:rFonts w:ascii="Times New Roman" w:hAnsi="Times New Roman"/>
          <w:sz w:val="24"/>
        </w:rPr>
        <w:t>of</w:t>
      </w:r>
    </w:p>
    <w:p>
      <w:pPr>
        <w:pStyle w:val="BodyText"/>
        <w:rPr>
          <w:rFonts w:ascii="Times New Roman"/>
        </w:rPr>
      </w:pPr>
    </w:p>
    <w:p>
      <w:pPr>
        <w:pStyle w:val="BodyText"/>
        <w:rPr>
          <w:rFonts w:ascii="Times New Roman"/>
        </w:rPr>
      </w:pPr>
    </w:p>
    <w:p>
      <w:pPr>
        <w:pStyle w:val="BodyText"/>
        <w:spacing w:before="1"/>
        <w:rPr>
          <w:rFonts w:ascii="Times New Roman"/>
          <w:sz w:val="10"/>
        </w:rPr>
      </w:pPr>
      <w:r>
        <w:rPr/>
        <w:pict>
          <v:line style="position:absolute;mso-position-horizontal-relative:page;mso-position-vertical-relative:paragraph;z-index:1600;mso-wrap-distance-left:0;mso-wrap-distance-right:0" from="72pt,8.062688pt" to="216pt,8.062688pt" stroked="true" strokeweight=".599pt" strokecolor="#000000">
            <v:stroke dashstyle="solid"/>
            <w10:wrap type="topAndBottom"/>
          </v:line>
        </w:pict>
      </w:r>
    </w:p>
    <w:p>
      <w:pPr>
        <w:spacing w:before="50"/>
        <w:ind w:left="119" w:right="153" w:firstLine="0"/>
        <w:jc w:val="left"/>
        <w:rPr>
          <w:rFonts w:ascii="Times New Roman" w:hAnsi="Times New Roman"/>
          <w:sz w:val="20"/>
        </w:rPr>
      </w:pPr>
      <w:bookmarkStart w:name="_bookmark70" w:id="95"/>
      <w:bookmarkEnd w:id="95"/>
      <w:r>
        <w:rPr/>
      </w:r>
      <w:r>
        <w:rPr>
          <w:rFonts w:ascii="Times New Roman" w:hAnsi="Times New Roman"/>
          <w:position w:val="9"/>
          <w:sz w:val="13"/>
        </w:rPr>
        <w:t>55 </w:t>
      </w:r>
      <w:r>
        <w:rPr>
          <w:rFonts w:ascii="Times New Roman" w:hAnsi="Times New Roman"/>
          <w:i/>
          <w:sz w:val="20"/>
        </w:rPr>
        <w:t>Kyma Order</w:t>
      </w:r>
      <w:r>
        <w:rPr>
          <w:rFonts w:ascii="Times New Roman" w:hAnsi="Times New Roman"/>
          <w:sz w:val="20"/>
        </w:rPr>
        <w:t>, 31 FCC Rcd at 9707 ¶ 5. </w:t>
      </w:r>
      <w:r>
        <w:rPr>
          <w:rFonts w:ascii="Times New Roman" w:hAnsi="Times New Roman"/>
          <w:i/>
          <w:sz w:val="20"/>
        </w:rPr>
        <w:t>See also Amendment of Part 15 of the Commission’s Rules To Establish </w:t>
      </w:r>
      <w:r>
        <w:rPr>
          <w:rFonts w:ascii="Times New Roman" w:hAnsi="Times New Roman"/>
          <w:i/>
          <w:sz w:val="20"/>
        </w:rPr>
        <w:t>Regulations for Tank Level Probing Radars in the Frequency Band 77-81 GHz</w:t>
      </w:r>
      <w:r>
        <w:rPr>
          <w:rFonts w:ascii="Times New Roman" w:hAnsi="Times New Roman"/>
          <w:sz w:val="20"/>
        </w:rPr>
        <w:t>, Notice of Proposed Rulemaking, 25 FCC Rcd 601, 612 ¶ 31 (2010) (“</w:t>
      </w:r>
      <w:r>
        <w:rPr>
          <w:rFonts w:ascii="Times New Roman" w:hAnsi="Times New Roman"/>
          <w:i/>
          <w:sz w:val="20"/>
        </w:rPr>
        <w:t>77-81 GHz NPRM</w:t>
      </w:r>
      <w:r>
        <w:rPr>
          <w:rFonts w:ascii="Times New Roman" w:hAnsi="Times New Roman"/>
          <w:sz w:val="20"/>
        </w:rPr>
        <w:t>”); </w:t>
      </w:r>
      <w:r>
        <w:rPr>
          <w:rFonts w:ascii="Times New Roman" w:hAnsi="Times New Roman"/>
          <w:i/>
          <w:sz w:val="20"/>
        </w:rPr>
        <w:t>Deere Order</w:t>
      </w:r>
      <w:r>
        <w:rPr>
          <w:rFonts w:ascii="Times New Roman" w:hAnsi="Times New Roman"/>
          <w:sz w:val="20"/>
        </w:rPr>
        <w:t>, 31 FCC Rcd at 2138 ¶¶ 15-16.</w:t>
      </w:r>
    </w:p>
    <w:p>
      <w:pPr>
        <w:pStyle w:val="BodyText"/>
        <w:spacing w:before="95"/>
        <w:ind w:left="120"/>
        <w:rPr>
          <w:rFonts w:ascii="Times New Roman"/>
        </w:rPr>
      </w:pPr>
      <w:bookmarkStart w:name="_bookmark71" w:id="96"/>
      <w:bookmarkEnd w:id="96"/>
      <w:r>
        <w:rPr/>
      </w:r>
      <w:r>
        <w:rPr>
          <w:rFonts w:ascii="Times New Roman"/>
          <w:position w:val="9"/>
          <w:sz w:val="13"/>
        </w:rPr>
        <w:t>56 </w:t>
      </w:r>
      <w:r>
        <w:rPr>
          <w:rFonts w:ascii="Times New Roman"/>
          <w:i/>
        </w:rPr>
        <w:t>See </w:t>
      </w:r>
      <w:r>
        <w:rPr>
          <w:rFonts w:ascii="Times New Roman"/>
        </w:rPr>
        <w:t>Federal Motor Vehicle Safety Standards, 82 Fed. Reg. at 3867 (discussion of the history of V2V research).</w:t>
      </w:r>
    </w:p>
    <w:p>
      <w:pPr>
        <w:pStyle w:val="BodyText"/>
        <w:spacing w:before="95"/>
        <w:ind w:left="119" w:right="389"/>
        <w:rPr>
          <w:rFonts w:ascii="Times New Roman" w:hAnsi="Times New Roman"/>
        </w:rPr>
      </w:pPr>
      <w:bookmarkStart w:name="_bookmark72" w:id="97"/>
      <w:bookmarkEnd w:id="97"/>
      <w:r>
        <w:rPr/>
      </w:r>
      <w:r>
        <w:rPr>
          <w:rFonts w:ascii="Times New Roman" w:hAnsi="Times New Roman"/>
          <w:position w:val="9"/>
          <w:sz w:val="13"/>
        </w:rPr>
        <w:t>57 </w:t>
      </w:r>
      <w:r>
        <w:rPr>
          <w:rFonts w:ascii="Times New Roman" w:hAnsi="Times New Roman"/>
        </w:rPr>
        <w:t>Intelligent Vehicle-Highway Systems Act, Pub. L. No. 102-240 § 6052 (b), 105 Stat. 1914, 2189-90 (1991), </w:t>
      </w:r>
      <w:hyperlink r:id="rId75">
        <w:r>
          <w:rPr>
            <w:rFonts w:ascii="Times New Roman" w:hAnsi="Times New Roman"/>
            <w:color w:val="0000FF"/>
            <w:u w:val="single" w:color="0000FF"/>
          </w:rPr>
          <w:t>https://www.gpo.gov/fdsys/pkg/STATUTE-105/pdf/STATUTE-105-Pg1914.pdf</w:t>
        </w:r>
        <w:r>
          <w:rPr>
            <w:rFonts w:ascii="Times New Roman" w:hAnsi="Times New Roman"/>
          </w:rPr>
          <w:t>.</w:t>
        </w:r>
      </w:hyperlink>
      <w:r>
        <w:rPr>
          <w:rFonts w:ascii="Times New Roman" w:hAnsi="Times New Roman"/>
        </w:rPr>
        <w:t> The DOT embraced Congress’ approach:</w:t>
      </w:r>
    </w:p>
    <w:p>
      <w:pPr>
        <w:pStyle w:val="BodyText"/>
        <w:spacing w:before="120"/>
        <w:ind w:left="840" w:right="1356"/>
        <w:jc w:val="both"/>
        <w:rPr>
          <w:rFonts w:ascii="Times New Roman" w:hAnsi="Times New Roman"/>
        </w:rPr>
      </w:pPr>
      <w:r>
        <w:rPr>
          <w:rFonts w:ascii="Times New Roman" w:hAnsi="Times New Roman"/>
        </w:rPr>
        <w:t>Surface transportation systems – the networks of highways, local streets, bus routes, and  rail lines – are the ties that bind communities and facilitate commerce, connecting businesses and residents to work, homes, schools, services, and each other. During the past 20 years, however, transportation systems have struggled to keep pace with Americans’ growing and changing travel needs …. Rather than continuing to rely simply upon quantitative additions to the existing transportation infrastructure, Congress has chosen to also</w:t>
      </w:r>
      <w:r>
        <w:rPr>
          <w:rFonts w:ascii="Times New Roman" w:hAnsi="Times New Roman"/>
          <w:spacing w:val="-3"/>
        </w:rPr>
        <w:t> </w:t>
      </w:r>
      <w:r>
        <w:rPr>
          <w:rFonts w:ascii="Times New Roman" w:hAnsi="Times New Roman"/>
        </w:rPr>
        <w:t>emphasize</w:t>
      </w:r>
      <w:r>
        <w:rPr>
          <w:rFonts w:ascii="Times New Roman" w:hAnsi="Times New Roman"/>
          <w:spacing w:val="-4"/>
        </w:rPr>
        <w:t> </w:t>
      </w:r>
      <w:r>
        <w:rPr>
          <w:rFonts w:ascii="Times New Roman" w:hAnsi="Times New Roman"/>
        </w:rPr>
        <w:t>the</w:t>
      </w:r>
      <w:r>
        <w:rPr>
          <w:rFonts w:ascii="Times New Roman" w:hAnsi="Times New Roman"/>
          <w:spacing w:val="-1"/>
        </w:rPr>
        <w:t> </w:t>
      </w:r>
      <w:r>
        <w:rPr>
          <w:rFonts w:ascii="Times New Roman" w:hAnsi="Times New Roman"/>
        </w:rPr>
        <w:t>use</w:t>
      </w:r>
      <w:r>
        <w:rPr>
          <w:rFonts w:ascii="Times New Roman" w:hAnsi="Times New Roman"/>
          <w:spacing w:val="-4"/>
        </w:rPr>
        <w:t> </w:t>
      </w:r>
      <w:r>
        <w:rPr>
          <w:rFonts w:ascii="Times New Roman" w:hAnsi="Times New Roman"/>
        </w:rPr>
        <w:t>of</w:t>
      </w:r>
      <w:r>
        <w:rPr>
          <w:rFonts w:ascii="Times New Roman" w:hAnsi="Times New Roman"/>
          <w:spacing w:val="-6"/>
        </w:rPr>
        <w:t> </w:t>
      </w:r>
      <w:r>
        <w:rPr>
          <w:rFonts w:ascii="Times New Roman" w:hAnsi="Times New Roman"/>
        </w:rPr>
        <w:t>technology</w:t>
      </w:r>
      <w:r>
        <w:rPr>
          <w:rFonts w:ascii="Times New Roman" w:hAnsi="Times New Roman"/>
          <w:spacing w:val="-8"/>
        </w:rPr>
        <w:t> </w:t>
      </w:r>
      <w:r>
        <w:rPr>
          <w:rFonts w:ascii="Times New Roman" w:hAnsi="Times New Roman"/>
        </w:rPr>
        <w:t>to</w:t>
      </w:r>
      <w:r>
        <w:rPr>
          <w:rFonts w:ascii="Times New Roman" w:hAnsi="Times New Roman"/>
          <w:spacing w:val="-3"/>
        </w:rPr>
        <w:t> </w:t>
      </w:r>
      <w:r>
        <w:rPr>
          <w:rFonts w:ascii="Times New Roman" w:hAnsi="Times New Roman"/>
        </w:rPr>
        <w:t>improve</w:t>
      </w:r>
      <w:r>
        <w:rPr>
          <w:rFonts w:ascii="Times New Roman" w:hAnsi="Times New Roman"/>
          <w:spacing w:val="-4"/>
        </w:rPr>
        <w:t> </w:t>
      </w:r>
      <w:r>
        <w:rPr>
          <w:rFonts w:ascii="Times New Roman" w:hAnsi="Times New Roman"/>
        </w:rPr>
        <w:t>the</w:t>
      </w:r>
      <w:r>
        <w:rPr>
          <w:rFonts w:ascii="Times New Roman" w:hAnsi="Times New Roman"/>
          <w:spacing w:val="-4"/>
        </w:rPr>
        <w:t> </w:t>
      </w:r>
      <w:r>
        <w:rPr>
          <w:rFonts w:ascii="Times New Roman" w:hAnsi="Times New Roman"/>
        </w:rPr>
        <w:t>performance</w:t>
      </w:r>
      <w:r>
        <w:rPr>
          <w:rFonts w:ascii="Times New Roman" w:hAnsi="Times New Roman"/>
          <w:spacing w:val="-4"/>
        </w:rPr>
        <w:t> </w:t>
      </w:r>
      <w:r>
        <w:rPr>
          <w:rFonts w:ascii="Times New Roman" w:hAnsi="Times New Roman"/>
        </w:rPr>
        <w:t>of</w:t>
      </w:r>
      <w:r>
        <w:rPr>
          <w:rFonts w:ascii="Times New Roman" w:hAnsi="Times New Roman"/>
          <w:spacing w:val="-6"/>
        </w:rPr>
        <w:t> </w:t>
      </w:r>
      <w:r>
        <w:rPr>
          <w:rFonts w:ascii="Times New Roman" w:hAnsi="Times New Roman"/>
        </w:rPr>
        <w:t>that</w:t>
      </w:r>
      <w:r>
        <w:rPr>
          <w:rFonts w:ascii="Times New Roman" w:hAnsi="Times New Roman"/>
          <w:spacing w:val="-4"/>
        </w:rPr>
        <w:t> </w:t>
      </w:r>
      <w:r>
        <w:rPr>
          <w:rFonts w:ascii="Times New Roman" w:hAnsi="Times New Roman"/>
        </w:rPr>
        <w:t>infrastructure.</w:t>
      </w:r>
    </w:p>
    <w:p>
      <w:pPr>
        <w:pStyle w:val="BodyText"/>
        <w:spacing w:before="117"/>
        <w:ind w:left="120" w:right="1258"/>
        <w:rPr>
          <w:rFonts w:ascii="Times New Roman"/>
        </w:rPr>
      </w:pPr>
      <w:r>
        <w:rPr>
          <w:rFonts w:ascii="Times New Roman"/>
        </w:rPr>
        <w:t>Comments of the U.S. Department of Transportation, ET Docket No. 98-95, at 2 (filed July 28, 1997), </w:t>
      </w:r>
      <w:hyperlink r:id="rId76">
        <w:r>
          <w:rPr>
            <w:rFonts w:ascii="Times New Roman"/>
            <w:color w:val="0000FF"/>
            <w:u w:val="single" w:color="0000FF"/>
          </w:rPr>
          <w:t>https://ecfsapi.fcc.gov/file/1879770001.pdf</w:t>
        </w:r>
        <w:r>
          <w:rPr>
            <w:rFonts w:ascii="Times New Roman"/>
          </w:rPr>
          <w:t>.</w:t>
        </w:r>
      </w:hyperlink>
    </w:p>
    <w:p>
      <w:pPr>
        <w:spacing w:after="0"/>
        <w:rPr>
          <w:rFonts w:ascii="Times New Roman"/>
        </w:rPr>
        <w:sectPr>
          <w:headerReference w:type="default" r:id="rId74"/>
          <w:pgSz w:w="12240" w:h="15840"/>
          <w:pgMar w:header="1442" w:footer="1070" w:top="1700" w:bottom="1260" w:left="1320" w:right="1340"/>
        </w:sectPr>
      </w:pPr>
    </w:p>
    <w:p>
      <w:pPr>
        <w:pStyle w:val="BodyText"/>
        <w:spacing w:before="8"/>
        <w:rPr>
          <w:rFonts w:ascii="Times New Roman"/>
          <w:sz w:val="12"/>
        </w:rPr>
      </w:pPr>
    </w:p>
    <w:p>
      <w:pPr>
        <w:spacing w:line="470" w:lineRule="auto" w:before="94"/>
        <w:ind w:left="120" w:right="94" w:firstLine="0"/>
        <w:jc w:val="left"/>
        <w:rPr>
          <w:rFonts w:ascii="Times New Roman" w:hAnsi="Times New Roman"/>
          <w:sz w:val="16"/>
        </w:rPr>
      </w:pPr>
      <w:r>
        <w:rPr>
          <w:rFonts w:ascii="Times New Roman" w:hAnsi="Times New Roman"/>
          <w:sz w:val="24"/>
        </w:rPr>
        <w:t>Commission’s allocation of the 5.9 GHz band for ITS.</w:t>
      </w:r>
      <w:hyperlink w:history="true" w:anchor="_bookmark75">
        <w:r>
          <w:rPr>
            <w:rFonts w:ascii="Times New Roman" w:hAnsi="Times New Roman"/>
            <w:position w:val="11"/>
            <w:sz w:val="16"/>
          </w:rPr>
          <w:t>60</w:t>
        </w:r>
      </w:hyperlink>
      <w:r>
        <w:rPr>
          <w:rFonts w:ascii="Times New Roman" w:hAnsi="Times New Roman"/>
          <w:position w:val="11"/>
          <w:sz w:val="16"/>
        </w:rPr>
        <w:t> </w:t>
      </w:r>
      <w:r>
        <w:rPr>
          <w:rFonts w:ascii="Times New Roman" w:hAnsi="Times New Roman"/>
          <w:sz w:val="24"/>
        </w:rPr>
        <w:t>In the </w:t>
      </w:r>
      <w:r>
        <w:rPr>
          <w:rFonts w:ascii="Times New Roman" w:hAnsi="Times New Roman"/>
          <w:i/>
          <w:sz w:val="24"/>
        </w:rPr>
        <w:t>Allocation Report and Order</w:t>
      </w:r>
      <w:r>
        <w:rPr>
          <w:rFonts w:ascii="Times New Roman" w:hAnsi="Times New Roman"/>
          <w:sz w:val="24"/>
        </w:rPr>
        <w:t>, the Commission found that the ITS allocation would “further the goals of the United States Congress and the Department of Transportation to improve the efficiency of the Nation’s transportation infrastructure and will facilitate the growth and development of the ITS industry.”</w:t>
      </w:r>
      <w:hyperlink w:history="true" w:anchor="_bookmark76">
        <w:r>
          <w:rPr>
            <w:rFonts w:ascii="Times New Roman" w:hAnsi="Times New Roman"/>
            <w:position w:val="11"/>
            <w:sz w:val="16"/>
          </w:rPr>
          <w:t>61</w:t>
        </w:r>
      </w:hyperlink>
    </w:p>
    <w:p>
      <w:pPr>
        <w:spacing w:line="260" w:lineRule="exact" w:before="0"/>
        <w:ind w:left="840" w:right="0" w:firstLine="0"/>
        <w:jc w:val="left"/>
        <w:rPr>
          <w:rFonts w:ascii="Times New Roman"/>
          <w:sz w:val="24"/>
        </w:rPr>
      </w:pPr>
      <w:r>
        <w:rPr>
          <w:rFonts w:ascii="Times New Roman"/>
          <w:sz w:val="24"/>
        </w:rPr>
        <w:t>Today, the need for ITS has only increased.  Hundreds of Americans are losing their lives</w:t>
      </w:r>
    </w:p>
    <w:p>
      <w:pPr>
        <w:pStyle w:val="BodyText"/>
        <w:spacing w:before="11"/>
        <w:rPr>
          <w:rFonts w:ascii="Times New Roman"/>
        </w:rPr>
      </w:pPr>
    </w:p>
    <w:p>
      <w:pPr>
        <w:spacing w:line="448" w:lineRule="auto" w:before="0"/>
        <w:ind w:left="120" w:right="355" w:firstLine="0"/>
        <w:jc w:val="left"/>
        <w:rPr>
          <w:rFonts w:ascii="Times New Roman" w:hAnsi="Times New Roman"/>
          <w:sz w:val="24"/>
        </w:rPr>
      </w:pPr>
      <w:r>
        <w:rPr>
          <w:rFonts w:ascii="Times New Roman" w:hAnsi="Times New Roman"/>
          <w:sz w:val="24"/>
        </w:rPr>
        <w:t>every day on our nation’s roadways,</w:t>
      </w:r>
      <w:hyperlink w:history="true" w:anchor="_bookmark77">
        <w:r>
          <w:rPr>
            <w:rFonts w:ascii="Times New Roman" w:hAnsi="Times New Roman"/>
            <w:position w:val="11"/>
            <w:sz w:val="16"/>
          </w:rPr>
          <w:t>62</w:t>
        </w:r>
      </w:hyperlink>
      <w:r>
        <w:rPr>
          <w:rFonts w:ascii="Times New Roman" w:hAnsi="Times New Roman"/>
          <w:position w:val="11"/>
          <w:sz w:val="16"/>
        </w:rPr>
        <w:t> </w:t>
      </w:r>
      <w:r>
        <w:rPr>
          <w:rFonts w:ascii="Times New Roman" w:hAnsi="Times New Roman"/>
          <w:sz w:val="24"/>
        </w:rPr>
        <w:t>with millions more being injured annually in motor vehicle accidents.</w:t>
      </w:r>
      <w:hyperlink w:history="true" w:anchor="_bookmark78">
        <w:r>
          <w:rPr>
            <w:rFonts w:ascii="Times New Roman" w:hAnsi="Times New Roman"/>
            <w:position w:val="11"/>
            <w:sz w:val="16"/>
          </w:rPr>
          <w:t>63</w:t>
        </w:r>
      </w:hyperlink>
      <w:r>
        <w:rPr>
          <w:rFonts w:ascii="Times New Roman" w:hAnsi="Times New Roman"/>
          <w:position w:val="11"/>
          <w:sz w:val="16"/>
        </w:rPr>
        <w:t> </w:t>
      </w:r>
      <w:r>
        <w:rPr>
          <w:rFonts w:ascii="Times New Roman" w:hAnsi="Times New Roman"/>
          <w:sz w:val="24"/>
        </w:rPr>
        <w:t>More and more road use has contributed significantly to increased traffic congestion, higher energy consumption and worsening pollution.</w:t>
      </w:r>
      <w:hyperlink w:history="true" w:anchor="_bookmark79">
        <w:r>
          <w:rPr>
            <w:rFonts w:ascii="Times New Roman" w:hAnsi="Times New Roman"/>
            <w:position w:val="11"/>
            <w:sz w:val="16"/>
          </w:rPr>
          <w:t>64</w:t>
        </w:r>
      </w:hyperlink>
      <w:r>
        <w:rPr>
          <w:rFonts w:ascii="Times New Roman" w:hAnsi="Times New Roman"/>
          <w:position w:val="11"/>
          <w:sz w:val="16"/>
        </w:rPr>
        <w:t>  </w:t>
      </w:r>
      <w:r>
        <w:rPr>
          <w:rFonts w:ascii="Times New Roman" w:hAnsi="Times New Roman"/>
          <w:sz w:val="24"/>
        </w:rPr>
        <w:t>Furthermore, millions of</w:t>
      </w:r>
    </w:p>
    <w:p>
      <w:pPr>
        <w:pStyle w:val="BodyText"/>
        <w:rPr>
          <w:rFonts w:ascii="Times New Roman"/>
        </w:rPr>
      </w:pPr>
    </w:p>
    <w:p>
      <w:pPr>
        <w:pStyle w:val="BodyText"/>
        <w:spacing w:before="11"/>
        <w:rPr>
          <w:rFonts w:ascii="Times New Roman"/>
          <w:sz w:val="19"/>
        </w:rPr>
      </w:pPr>
      <w:r>
        <w:rPr/>
        <w:pict>
          <v:line style="position:absolute;mso-position-horizontal-relative:page;mso-position-vertical-relative:paragraph;z-index:1624;mso-wrap-distance-left:0;mso-wrap-distance-right:0" from="72pt,13.737639pt" to="216pt,13.737639pt" stroked="true" strokeweight=".599pt" strokecolor="#000000">
            <v:stroke dashstyle="solid"/>
            <w10:wrap type="topAndBottom"/>
          </v:line>
        </w:pict>
      </w:r>
    </w:p>
    <w:p>
      <w:pPr>
        <w:pStyle w:val="BodyText"/>
        <w:spacing w:before="50"/>
        <w:ind w:left="119" w:right="1216"/>
        <w:rPr>
          <w:rFonts w:ascii="Times New Roman"/>
        </w:rPr>
      </w:pPr>
      <w:bookmarkStart w:name="_bookmark73" w:id="98"/>
      <w:bookmarkEnd w:id="98"/>
      <w:r>
        <w:rPr/>
      </w:r>
      <w:r>
        <w:rPr>
          <w:rFonts w:ascii="Times New Roman"/>
          <w:position w:val="9"/>
          <w:sz w:val="13"/>
        </w:rPr>
        <w:t>58 </w:t>
      </w:r>
      <w:r>
        <w:rPr>
          <w:rFonts w:ascii="Times New Roman"/>
          <w:i/>
        </w:rPr>
        <w:t>See, e.g.</w:t>
      </w:r>
      <w:r>
        <w:rPr>
          <w:rFonts w:ascii="Times New Roman"/>
        </w:rPr>
        <w:t>, Transportation Equity Act for the 21st Century, Pub. L. No. 105-178, 112 Stat. 107 (1998), </w:t>
      </w:r>
      <w:hyperlink r:id="rId78">
        <w:r>
          <w:rPr>
            <w:rFonts w:ascii="Times New Roman"/>
            <w:color w:val="0000FF"/>
            <w:u w:val="single" w:color="0000FF"/>
          </w:rPr>
          <w:t>https://www.congress.gov/105/plaws/publ178/PLAW-105publ178.pdf</w:t>
        </w:r>
        <w:r>
          <w:rPr>
            <w:rFonts w:ascii="Times New Roman"/>
          </w:rPr>
          <w:t>.</w:t>
        </w:r>
      </w:hyperlink>
    </w:p>
    <w:p>
      <w:pPr>
        <w:pStyle w:val="BodyText"/>
        <w:spacing w:before="95"/>
        <w:ind w:left="119"/>
        <w:rPr>
          <w:rFonts w:ascii="Times New Roman" w:hAnsi="Times New Roman"/>
        </w:rPr>
      </w:pPr>
      <w:bookmarkStart w:name="_bookmark74" w:id="99"/>
      <w:bookmarkEnd w:id="99"/>
      <w:r>
        <w:rPr/>
      </w:r>
      <w:r>
        <w:rPr>
          <w:rFonts w:ascii="Times New Roman" w:hAnsi="Times New Roman"/>
          <w:position w:val="9"/>
          <w:sz w:val="13"/>
        </w:rPr>
        <w:t>59 </w:t>
      </w:r>
      <w:r>
        <w:rPr>
          <w:rFonts w:ascii="Times New Roman" w:hAnsi="Times New Roman"/>
        </w:rPr>
        <w:t>For example, in 1994, the DOT officially sanctioned the term “ITS” as a replacement for “IVHS,” or “Intelligent Vehicle Highway System,” and established the ITS Joint Program Office to oversee and manage a national ITS program. </w:t>
      </w:r>
      <w:r>
        <w:rPr>
          <w:rFonts w:ascii="Times New Roman" w:hAnsi="Times New Roman"/>
          <w:i/>
        </w:rPr>
        <w:t>See </w:t>
      </w:r>
      <w:r>
        <w:rPr>
          <w:rFonts w:ascii="Times New Roman" w:hAnsi="Times New Roman"/>
        </w:rPr>
        <w:t>Ashley Auer, Shelley Feese, and Stephen Lockwood, </w:t>
      </w:r>
      <w:r>
        <w:rPr>
          <w:rFonts w:ascii="Times New Roman" w:hAnsi="Times New Roman"/>
          <w:i/>
        </w:rPr>
        <w:t>History of Intelligent Transportation Systems</w:t>
      </w:r>
      <w:r>
        <w:rPr>
          <w:rFonts w:ascii="Times New Roman" w:hAnsi="Times New Roman"/>
        </w:rPr>
        <w:t>, at 15, U.S. Department of Transportation, ITS Joint Program Office (May 2016), </w:t>
      </w:r>
      <w:hyperlink r:id="rId79">
        <w:r>
          <w:rPr>
            <w:rFonts w:ascii="Times New Roman" w:hAnsi="Times New Roman"/>
            <w:color w:val="0000FF"/>
            <w:u w:val="single" w:color="0000FF"/>
          </w:rPr>
          <w:t>https://rosap.ntl.bts.gov/view/dot-</w:t>
        </w:r>
      </w:hyperlink>
    </w:p>
    <w:p>
      <w:pPr>
        <w:pStyle w:val="BodyText"/>
        <w:ind w:left="120"/>
        <w:rPr>
          <w:rFonts w:ascii="Times New Roman" w:hAnsi="Times New Roman"/>
        </w:rPr>
      </w:pPr>
      <w:hyperlink r:id="rId79">
        <w:r>
          <w:rPr>
            <w:rFonts w:ascii="Times New Roman" w:hAnsi="Times New Roman"/>
            <w:color w:val="0000FF"/>
            <w:u w:val="single" w:color="0000FF"/>
          </w:rPr>
          <w:t>/30826</w:t>
        </w:r>
        <w:r>
          <w:rPr>
            <w:rFonts w:ascii="Times New Roman" w:hAnsi="Times New Roman"/>
          </w:rPr>
          <w:t>.</w:t>
        </w:r>
      </w:hyperlink>
      <w:r>
        <w:rPr>
          <w:rFonts w:ascii="Times New Roman" w:hAnsi="Times New Roman"/>
        </w:rPr>
        <w:t> In 1998, the DOT’s Intelligent Vehicle Initiative Program was established to help develop driver assistance products and reduce the number and severity of vehicular collisions. </w:t>
      </w:r>
      <w:r>
        <w:rPr>
          <w:rFonts w:ascii="Times New Roman" w:hAnsi="Times New Roman"/>
          <w:i/>
        </w:rPr>
        <w:t>Id</w:t>
      </w:r>
      <w:r>
        <w:rPr>
          <w:rFonts w:ascii="Times New Roman" w:hAnsi="Times New Roman"/>
        </w:rPr>
        <w:t>. at 26. The following year, the DOT established a Commercial Vehicle Information Systems and Networks Grant Program to support states in the deployment of advanced technologies in safety information exchange, electronic credentialing, and electronic screening.  </w:t>
      </w:r>
      <w:r>
        <w:rPr>
          <w:rFonts w:ascii="Times New Roman" w:hAnsi="Times New Roman"/>
          <w:i/>
        </w:rPr>
        <w:t>Id</w:t>
      </w:r>
      <w:r>
        <w:rPr>
          <w:rFonts w:ascii="Times New Roman" w:hAnsi="Times New Roman"/>
        </w:rPr>
        <w:t>. at 16.</w:t>
      </w:r>
    </w:p>
    <w:p>
      <w:pPr>
        <w:spacing w:before="96"/>
        <w:ind w:left="119" w:right="129" w:firstLine="0"/>
        <w:jc w:val="left"/>
        <w:rPr>
          <w:rFonts w:ascii="Times New Roman" w:hAnsi="Times New Roman"/>
          <w:sz w:val="20"/>
        </w:rPr>
      </w:pPr>
      <w:bookmarkStart w:name="_bookmark75" w:id="100"/>
      <w:bookmarkEnd w:id="100"/>
      <w:r>
        <w:rPr/>
      </w:r>
      <w:r>
        <w:rPr>
          <w:rFonts w:ascii="Times New Roman" w:hAnsi="Times New Roman"/>
          <w:position w:val="9"/>
          <w:sz w:val="13"/>
        </w:rPr>
        <w:t>60 </w:t>
      </w:r>
      <w:r>
        <w:rPr>
          <w:rFonts w:ascii="Times New Roman" w:hAnsi="Times New Roman"/>
          <w:i/>
          <w:sz w:val="20"/>
        </w:rPr>
        <w:t>See Amendment of Parts 2 and 90 of the Commission’s Rules to Allocate the 5.850-5.925 GHz Band to the Mobile </w:t>
      </w:r>
      <w:r>
        <w:rPr>
          <w:rFonts w:ascii="Times New Roman" w:hAnsi="Times New Roman"/>
          <w:i/>
          <w:sz w:val="20"/>
        </w:rPr>
        <w:t>Service for Dedicated Short Range Communications of Intelligent Transportation Services</w:t>
      </w:r>
      <w:r>
        <w:rPr>
          <w:rFonts w:ascii="Times New Roman" w:hAnsi="Times New Roman"/>
          <w:sz w:val="20"/>
        </w:rPr>
        <w:t>, Report and Order, 14 FCC Rcd 18221 (1999) (“</w:t>
      </w:r>
      <w:r>
        <w:rPr>
          <w:rFonts w:ascii="Times New Roman" w:hAnsi="Times New Roman"/>
          <w:i/>
          <w:sz w:val="20"/>
        </w:rPr>
        <w:t>Allocation Report and Order</w:t>
      </w:r>
      <w:r>
        <w:rPr>
          <w:rFonts w:ascii="Times New Roman" w:hAnsi="Times New Roman"/>
          <w:sz w:val="20"/>
        </w:rPr>
        <w:t>”).</w:t>
      </w:r>
    </w:p>
    <w:p>
      <w:pPr>
        <w:spacing w:before="95"/>
        <w:ind w:left="120" w:right="0" w:firstLine="0"/>
        <w:jc w:val="left"/>
        <w:rPr>
          <w:rFonts w:ascii="Times New Roman" w:hAnsi="Times New Roman"/>
          <w:sz w:val="20"/>
        </w:rPr>
      </w:pPr>
      <w:bookmarkStart w:name="_bookmark76" w:id="101"/>
      <w:bookmarkEnd w:id="101"/>
      <w:r>
        <w:rPr/>
      </w:r>
      <w:r>
        <w:rPr>
          <w:rFonts w:ascii="Times New Roman" w:hAnsi="Times New Roman"/>
          <w:position w:val="9"/>
          <w:sz w:val="13"/>
        </w:rPr>
        <w:t>61 </w:t>
      </w:r>
      <w:r>
        <w:rPr>
          <w:rFonts w:ascii="Times New Roman" w:hAnsi="Times New Roman"/>
          <w:i/>
          <w:sz w:val="20"/>
        </w:rPr>
        <w:t>Id</w:t>
      </w:r>
      <w:r>
        <w:rPr>
          <w:rFonts w:ascii="Times New Roman" w:hAnsi="Times New Roman"/>
          <w:sz w:val="20"/>
        </w:rPr>
        <w:t>. at 18221 ¶ 1.l.</w:t>
      </w:r>
    </w:p>
    <w:p>
      <w:pPr>
        <w:spacing w:before="92"/>
        <w:ind w:left="120" w:right="199" w:firstLine="0"/>
        <w:jc w:val="left"/>
        <w:rPr>
          <w:rFonts w:ascii="Times New Roman"/>
          <w:sz w:val="20"/>
        </w:rPr>
      </w:pPr>
      <w:bookmarkStart w:name="_bookmark77" w:id="102"/>
      <w:bookmarkEnd w:id="102"/>
      <w:r>
        <w:rPr/>
      </w:r>
      <w:r>
        <w:rPr>
          <w:rFonts w:ascii="Times New Roman"/>
          <w:position w:val="9"/>
          <w:sz w:val="13"/>
        </w:rPr>
        <w:t>62 </w:t>
      </w:r>
      <w:r>
        <w:rPr>
          <w:rFonts w:ascii="Times New Roman"/>
          <w:sz w:val="20"/>
        </w:rPr>
        <w:t>Press Release, NHTSA, </w:t>
      </w:r>
      <w:r>
        <w:rPr>
          <w:rFonts w:ascii="Times New Roman"/>
          <w:i/>
          <w:sz w:val="20"/>
        </w:rPr>
        <w:t>USDOT Releases 2016 Fatal Traffic Crash Data </w:t>
      </w:r>
      <w:r>
        <w:rPr>
          <w:rFonts w:ascii="Times New Roman"/>
          <w:sz w:val="20"/>
        </w:rPr>
        <w:t>(Oct. 6, 2017), </w:t>
      </w:r>
      <w:hyperlink r:id="rId80">
        <w:r>
          <w:rPr>
            <w:rFonts w:ascii="Times New Roman"/>
            <w:color w:val="0000FF"/>
            <w:sz w:val="20"/>
            <w:u w:val="single" w:color="0000FF"/>
          </w:rPr>
          <w:t>https://www.nhtsa.gov/-</w:t>
        </w:r>
      </w:hyperlink>
      <w:r>
        <w:rPr>
          <w:rFonts w:ascii="Times New Roman"/>
          <w:color w:val="0000FF"/>
          <w:sz w:val="20"/>
          <w:u w:val="single" w:color="0000FF"/>
        </w:rPr>
        <w:t> </w:t>
      </w:r>
      <w:hyperlink r:id="rId80">
        <w:r>
          <w:rPr>
            <w:rFonts w:ascii="Times New Roman"/>
            <w:color w:val="0000FF"/>
            <w:sz w:val="20"/>
            <w:u w:val="single" w:color="0000FF"/>
          </w:rPr>
          <w:t>press-releases/usdot-releases-2016-fatal-traffic-crash-data</w:t>
        </w:r>
        <w:r>
          <w:rPr>
            <w:rFonts w:ascii="Times New Roman"/>
            <w:sz w:val="20"/>
          </w:rPr>
          <w:t>.</w:t>
        </w:r>
      </w:hyperlink>
    </w:p>
    <w:p>
      <w:pPr>
        <w:spacing w:before="95"/>
        <w:ind w:left="119" w:right="0" w:firstLine="0"/>
        <w:jc w:val="left"/>
        <w:rPr>
          <w:rFonts w:ascii="Times New Roman"/>
          <w:sz w:val="20"/>
        </w:rPr>
      </w:pPr>
      <w:bookmarkStart w:name="_bookmark78" w:id="103"/>
      <w:bookmarkEnd w:id="103"/>
      <w:r>
        <w:rPr/>
      </w:r>
      <w:r>
        <w:rPr>
          <w:rFonts w:ascii="Times New Roman"/>
          <w:position w:val="9"/>
          <w:sz w:val="13"/>
        </w:rPr>
        <w:t>63 </w:t>
      </w:r>
      <w:r>
        <w:rPr>
          <w:rFonts w:ascii="Times New Roman"/>
          <w:sz w:val="20"/>
        </w:rPr>
        <w:t>NHTSA, </w:t>
      </w:r>
      <w:r>
        <w:rPr>
          <w:rFonts w:ascii="Times New Roman"/>
          <w:i/>
          <w:sz w:val="20"/>
        </w:rPr>
        <w:t>Summary of Motor Vehicle Crashes </w:t>
      </w:r>
      <w:r>
        <w:rPr>
          <w:rFonts w:ascii="Times New Roman"/>
          <w:sz w:val="20"/>
        </w:rPr>
        <w:t>(Sept. 2018), </w:t>
      </w:r>
      <w:hyperlink r:id="rId81">
        <w:r>
          <w:rPr>
            <w:rFonts w:ascii="Times New Roman"/>
            <w:color w:val="0000FF"/>
            <w:w w:val="95"/>
            <w:sz w:val="20"/>
            <w:u w:val="single" w:color="0000FF"/>
          </w:rPr>
          <w:t>https://crashstats.nhtsa.dot.gov/Api/Public/ViewPublication/812580</w:t>
        </w:r>
        <w:r>
          <w:rPr>
            <w:rFonts w:ascii="Times New Roman"/>
            <w:w w:val="95"/>
            <w:sz w:val="20"/>
          </w:rPr>
          <w:t>.</w:t>
        </w:r>
      </w:hyperlink>
    </w:p>
    <w:p>
      <w:pPr>
        <w:spacing w:before="95"/>
        <w:ind w:left="120" w:right="0" w:firstLine="0"/>
        <w:jc w:val="left"/>
        <w:rPr>
          <w:rFonts w:ascii="Times New Roman" w:hAnsi="Times New Roman"/>
          <w:sz w:val="20"/>
        </w:rPr>
      </w:pPr>
      <w:bookmarkStart w:name="_bookmark79" w:id="104"/>
      <w:bookmarkEnd w:id="104"/>
      <w:r>
        <w:rPr/>
      </w:r>
      <w:r>
        <w:rPr>
          <w:rFonts w:ascii="Times New Roman" w:hAnsi="Times New Roman"/>
          <w:position w:val="9"/>
          <w:sz w:val="13"/>
        </w:rPr>
        <w:t>64 </w:t>
      </w:r>
      <w:r>
        <w:rPr>
          <w:rFonts w:ascii="Times New Roman" w:hAnsi="Times New Roman"/>
          <w:sz w:val="20"/>
        </w:rPr>
        <w:t>Martin Knopp, </w:t>
      </w:r>
      <w:r>
        <w:rPr>
          <w:rFonts w:ascii="Times New Roman" w:hAnsi="Times New Roman"/>
          <w:i/>
          <w:sz w:val="20"/>
        </w:rPr>
        <w:t>America’s Drivers Continue to Spend More Time Stuck in Traffic, 2016 Data Shows</w:t>
      </w:r>
      <w:r>
        <w:rPr>
          <w:rFonts w:ascii="Times New Roman" w:hAnsi="Times New Roman"/>
          <w:sz w:val="20"/>
        </w:rPr>
        <w:t>, Connections</w:t>
      </w:r>
    </w:p>
    <w:p>
      <w:pPr>
        <w:pStyle w:val="BodyText"/>
        <w:spacing w:line="229" w:lineRule="exact"/>
        <w:ind w:left="119"/>
        <w:rPr>
          <w:rFonts w:ascii="Times New Roman" w:hAnsi="Times New Roman"/>
        </w:rPr>
      </w:pPr>
      <w:r>
        <w:rPr>
          <w:rFonts w:ascii="Times New Roman" w:hAnsi="Times New Roman"/>
        </w:rPr>
        <w:t>– U.S. Department of Transportation Blog (June 12, 2017), </w:t>
      </w:r>
      <w:hyperlink r:id="rId82">
        <w:r>
          <w:rPr>
            <w:rFonts w:ascii="Times New Roman" w:hAnsi="Times New Roman"/>
            <w:color w:val="0000FF"/>
            <w:u w:val="single" w:color="0000FF"/>
          </w:rPr>
          <w:t>https://www.transportation.gov/connections/america-</w:t>
        </w:r>
      </w:hyperlink>
    </w:p>
    <w:p>
      <w:pPr>
        <w:pStyle w:val="BodyText"/>
        <w:ind w:left="120" w:right="82"/>
        <w:rPr>
          <w:rFonts w:ascii="Times New Roman" w:hAnsi="Times New Roman"/>
        </w:rPr>
      </w:pPr>
      <w:hyperlink r:id="rId82">
        <w:r>
          <w:rPr>
            <w:rFonts w:ascii="Times New Roman" w:hAnsi="Times New Roman"/>
            <w:color w:val="0000FF"/>
            <w:u w:val="single" w:color="0000FF"/>
          </w:rPr>
          <w:t>%E2%80%99s-drivers-continue-spend-more-time-stuck-traffic-2016-data-shows </w:t>
        </w:r>
      </w:hyperlink>
      <w:r>
        <w:rPr>
          <w:rFonts w:ascii="Times New Roman" w:hAnsi="Times New Roman"/>
        </w:rPr>
        <w:t>(“[D]rivers are spending more time stuck in rush-hour traffic than ever.… Congestion got worse [from 2016 to 2017] during peak hours in 2016, as represented by the Travel Time Index which compares peak hour or commuter travel times to free flow travel times. The index increased slightly to 1.35 in 2016 from 1.34 in 2015, meaning that a trip taking 10 minutes in free-flow traffic would now take 13.5 minutes during peak hours.”); U.S. Environmental Protection Agency, </w:t>
      </w:r>
      <w:r>
        <w:rPr>
          <w:rFonts w:ascii="Times New Roman" w:hAnsi="Times New Roman"/>
          <w:i/>
        </w:rPr>
        <w:t>Inventory of U.S. </w:t>
      </w:r>
      <w:r>
        <w:rPr>
          <w:rFonts w:ascii="Times New Roman" w:hAnsi="Times New Roman"/>
          <w:i/>
        </w:rPr>
        <w:t>Greenhouse Gas Emissions and Sinks (1990-2016)</w:t>
      </w:r>
      <w:r>
        <w:rPr>
          <w:rFonts w:ascii="Times New Roman" w:hAnsi="Times New Roman"/>
        </w:rPr>
        <w:t>, at 2-11 (April 12, 2018), </w:t>
      </w:r>
      <w:hyperlink r:id="rId83">
        <w:r>
          <w:rPr>
            <w:rFonts w:ascii="Times New Roman" w:hAnsi="Times New Roman"/>
            <w:color w:val="0000FF"/>
            <w:u w:val="single" w:color="0000FF"/>
          </w:rPr>
          <w:t>https://www.epa.gov/sites/production-</w:t>
        </w:r>
      </w:hyperlink>
    </w:p>
    <w:p>
      <w:pPr>
        <w:pStyle w:val="BodyText"/>
        <w:ind w:left="120" w:right="358"/>
        <w:rPr>
          <w:rFonts w:ascii="Times New Roman" w:hAnsi="Times New Roman"/>
        </w:rPr>
      </w:pPr>
      <w:hyperlink r:id="rId83">
        <w:r>
          <w:rPr>
            <w:rFonts w:ascii="Times New Roman" w:hAnsi="Times New Roman"/>
            <w:color w:val="0000FF"/>
            <w:u w:val="single" w:color="0000FF"/>
          </w:rPr>
          <w:t>/files/2018-01/documents/2018_complete_report.pdf </w:t>
        </w:r>
      </w:hyperlink>
      <w:r>
        <w:rPr>
          <w:rFonts w:ascii="Times New Roman" w:hAnsi="Times New Roman"/>
        </w:rPr>
        <w:t>(“Emissions from petroleum consumption for transportation have increased by 21.7 percent since 1990, which can be primarily attributed to a 48.0 percent increase in vehicle</w:t>
      </w:r>
    </w:p>
    <w:p>
      <w:pPr>
        <w:spacing w:after="0"/>
        <w:rPr>
          <w:rFonts w:ascii="Times New Roman" w:hAnsi="Times New Roman"/>
        </w:rPr>
        <w:sectPr>
          <w:headerReference w:type="default" r:id="rId77"/>
          <w:pgSz w:w="12240" w:h="15840"/>
          <w:pgMar w:header="1402" w:footer="1070" w:top="1700" w:bottom="1260" w:left="1320" w:right="1340"/>
        </w:sectPr>
      </w:pPr>
    </w:p>
    <w:p>
      <w:pPr>
        <w:pStyle w:val="Heading5"/>
        <w:spacing w:line="448" w:lineRule="auto" w:before="72"/>
        <w:ind w:left="120" w:right="662"/>
        <w:rPr>
          <w:sz w:val="16"/>
        </w:rPr>
      </w:pPr>
      <w:r>
        <w:rPr/>
        <w:t>elderly and disabled Americans continue to struggle to find reliable and affordable mobility options.</w:t>
      </w:r>
      <w:hyperlink w:history="true" w:anchor="_bookmark80">
        <w:r>
          <w:rPr>
            <w:position w:val="11"/>
            <w:sz w:val="16"/>
          </w:rPr>
          <w:t>65</w:t>
        </w:r>
      </w:hyperlink>
      <w:r>
        <w:rPr>
          <w:position w:val="11"/>
          <w:sz w:val="16"/>
        </w:rPr>
        <w:t> </w:t>
      </w:r>
      <w:r>
        <w:rPr/>
        <w:t>In the face of these challenges, the DOT and NHTSA continue to stress the importance of deploying ITS technologies that leverage the 5.9 GHz band.</w:t>
      </w:r>
      <w:hyperlink w:history="true" w:anchor="_bookmark81">
        <w:r>
          <w:rPr>
            <w:position w:val="11"/>
            <w:sz w:val="16"/>
          </w:rPr>
          <w:t>66</w:t>
        </w:r>
      </w:hyperlink>
    </w:p>
    <w:p>
      <w:pPr>
        <w:spacing w:line="480" w:lineRule="auto" w:before="11"/>
        <w:ind w:left="119" w:right="134" w:firstLine="720"/>
        <w:jc w:val="left"/>
        <w:rPr>
          <w:rFonts w:ascii="Times New Roman" w:hAnsi="Times New Roman"/>
          <w:sz w:val="24"/>
        </w:rPr>
      </w:pPr>
      <w:r>
        <w:rPr>
          <w:rFonts w:ascii="Times New Roman" w:hAnsi="Times New Roman"/>
          <w:sz w:val="24"/>
        </w:rPr>
        <w:t>Grant of the requested waiver would help to further the vision of ITS in the 5.9 GHz band and respond to the societal needs that Congress, the Commission, the DOT, and NHTSA repeatedly have identified over the better part of the past three decades. Most importantly, the waiver grant is expected to enable important safety benefits. As demonstrated in the 5GAA Test Report, C-V2X peer to-peer mode promises advantages that will help realize the benefits of ITS technology, advantages which are augmented by C-V2X’s V2N mode. Particularly important in non-line-of-sight scenarios (e.g., around corners and around large trucks, etc.), these advantages enable a host of applications that will help to provide drivers and vehicles access to a more complete and accurate picture of the surrounding road environment. These characteristics contributed to an estimate by 5GAA that thousands more lives could be saved and tens of thousands – if not hundreds of thousands – of serious injuries avoided over a 22 year period if C- V2X were to be deployed in Europe.  Grant of the requested waiver will enable the deployment of C-V2X in the United States, allowing for the realization of similar projected safety benefits for American drivers, passengers, pedestrians, and</w:t>
      </w:r>
      <w:r>
        <w:rPr>
          <w:rFonts w:ascii="Times New Roman" w:hAnsi="Times New Roman"/>
          <w:spacing w:val="-13"/>
          <w:sz w:val="24"/>
        </w:rPr>
        <w:t> </w:t>
      </w:r>
      <w:r>
        <w:rPr>
          <w:rFonts w:ascii="Times New Roman" w:hAnsi="Times New Roman"/>
          <w:sz w:val="24"/>
        </w:rPr>
        <w:t>cyclists.</w:t>
      </w:r>
    </w:p>
    <w:p>
      <w:pPr>
        <w:spacing w:line="480" w:lineRule="auto" w:before="10"/>
        <w:ind w:left="120" w:right="328" w:firstLine="720"/>
        <w:jc w:val="left"/>
        <w:rPr>
          <w:rFonts w:ascii="Times New Roman"/>
          <w:sz w:val="24"/>
        </w:rPr>
      </w:pPr>
      <w:r>
        <w:rPr>
          <w:rFonts w:ascii="Times New Roman"/>
          <w:sz w:val="24"/>
        </w:rPr>
        <w:t>The waiver will help to enable other important public interest benefits as well. Because C-V2X was designed to meet all of the V2X applications designed by the ITS community, C-</w:t>
      </w:r>
    </w:p>
    <w:p>
      <w:pPr>
        <w:pStyle w:val="BodyText"/>
        <w:spacing w:before="1"/>
        <w:rPr>
          <w:rFonts w:ascii="Times New Roman"/>
          <w:sz w:val="11"/>
        </w:rPr>
      </w:pPr>
      <w:r>
        <w:rPr/>
        <w:pict>
          <v:line style="position:absolute;mso-position-horizontal-relative:page;mso-position-vertical-relative:paragraph;z-index:1648;mso-wrap-distance-left:0;mso-wrap-distance-right:0" from="72pt,8.651987pt" to="540pt,8.651987pt" stroked="true" strokeweight=".6pt" strokecolor="#000000">
            <v:stroke dashstyle="solid"/>
            <w10:wrap type="topAndBottom"/>
          </v:line>
        </w:pict>
      </w:r>
    </w:p>
    <w:p>
      <w:pPr>
        <w:pStyle w:val="BodyText"/>
        <w:spacing w:before="74"/>
        <w:ind w:left="120" w:right="634"/>
        <w:rPr>
          <w:rFonts w:ascii="Times New Roman" w:hAnsi="Times New Roman"/>
        </w:rPr>
      </w:pPr>
      <w:r>
        <w:rPr>
          <w:rFonts w:ascii="Times New Roman" w:hAnsi="Times New Roman"/>
        </w:rPr>
        <w:t>miles traveled (VMT) over the time series.… Total transportation sector CO2 emissions have increased by 5.2 percent since 2010.”).</w:t>
      </w:r>
    </w:p>
    <w:p>
      <w:pPr>
        <w:pStyle w:val="BodyText"/>
        <w:spacing w:before="95"/>
        <w:ind w:left="120" w:right="198"/>
        <w:rPr>
          <w:rFonts w:ascii="Times New Roman"/>
        </w:rPr>
      </w:pPr>
      <w:bookmarkStart w:name="_bookmark80" w:id="105"/>
      <w:bookmarkEnd w:id="105"/>
      <w:r>
        <w:rPr/>
      </w:r>
      <w:r>
        <w:rPr>
          <w:rFonts w:ascii="Times New Roman"/>
          <w:position w:val="9"/>
          <w:sz w:val="13"/>
        </w:rPr>
        <w:t>65 </w:t>
      </w:r>
      <w:r>
        <w:rPr>
          <w:rFonts w:ascii="Times New Roman"/>
        </w:rPr>
        <w:t>National Aging and Disability Transportation Center, </w:t>
      </w:r>
      <w:r>
        <w:rPr>
          <w:rFonts w:ascii="Times New Roman"/>
          <w:i/>
        </w:rPr>
        <w:t>Travel Patterns of American Adults with Disabilities</w:t>
      </w:r>
      <w:r>
        <w:rPr>
          <w:rFonts w:ascii="Times New Roman"/>
        </w:rPr>
        <w:t>, (Nov. 8, 2018) </w:t>
      </w:r>
      <w:hyperlink r:id="rId85">
        <w:r>
          <w:rPr>
            <w:rFonts w:ascii="Times New Roman"/>
            <w:color w:val="0000FF"/>
            <w:u w:val="single" w:color="0000FF"/>
          </w:rPr>
          <w:t>https://www.nadtc.org/news/blog/travel-patterns-of-american-adults-with-disabilities/ </w:t>
        </w:r>
      </w:hyperlink>
      <w:r>
        <w:rPr>
          <w:rFonts w:ascii="Times New Roman"/>
        </w:rPr>
        <w:t>(showing that there are over 25 million Americans who have self-reported travel-limiting disabilities).</w:t>
      </w:r>
    </w:p>
    <w:p>
      <w:pPr>
        <w:spacing w:before="95"/>
        <w:ind w:left="119" w:right="165" w:firstLine="0"/>
        <w:jc w:val="both"/>
        <w:rPr>
          <w:rFonts w:ascii="Times New Roman"/>
          <w:sz w:val="20"/>
        </w:rPr>
      </w:pPr>
      <w:bookmarkStart w:name="_bookmark81" w:id="106"/>
      <w:bookmarkEnd w:id="106"/>
      <w:r>
        <w:rPr/>
      </w:r>
      <w:r>
        <w:rPr>
          <w:rFonts w:ascii="Times New Roman"/>
          <w:position w:val="9"/>
          <w:sz w:val="13"/>
        </w:rPr>
        <w:t>66 </w:t>
      </w:r>
      <w:r>
        <w:rPr>
          <w:rFonts w:ascii="Times New Roman"/>
          <w:i/>
          <w:sz w:val="20"/>
        </w:rPr>
        <w:t>See, e.g.</w:t>
      </w:r>
      <w:r>
        <w:rPr>
          <w:rFonts w:ascii="Times New Roman"/>
          <w:sz w:val="20"/>
        </w:rPr>
        <w:t>, U.S. Department of Transportation, </w:t>
      </w:r>
      <w:r>
        <w:rPr>
          <w:rFonts w:ascii="Times New Roman"/>
          <w:i/>
          <w:sz w:val="20"/>
        </w:rPr>
        <w:t>Preparing for the Future of Transportation: Automated Vehicles 3.0 </w:t>
      </w:r>
      <w:r>
        <w:rPr>
          <w:rFonts w:ascii="Times New Roman"/>
          <w:i/>
          <w:sz w:val="20"/>
        </w:rPr>
        <w:t>(AV 3.0)</w:t>
      </w:r>
      <w:r>
        <w:rPr>
          <w:rFonts w:ascii="Times New Roman"/>
          <w:sz w:val="20"/>
        </w:rPr>
        <w:t>, at 16 (Oct. 4, 2018), </w:t>
      </w:r>
      <w:hyperlink r:id="rId24">
        <w:r>
          <w:rPr>
            <w:rFonts w:ascii="Times New Roman"/>
            <w:color w:val="0000FF"/>
            <w:sz w:val="20"/>
            <w:u w:val="single" w:color="0000FF"/>
          </w:rPr>
          <w:t>https://www.transportation.gov/sites/dot.gov/files/docs/policy-initiatives/-automated-</w:t>
        </w:r>
      </w:hyperlink>
      <w:r>
        <w:rPr>
          <w:rFonts w:ascii="Times New Roman"/>
          <w:color w:val="0000FF"/>
          <w:sz w:val="20"/>
          <w:u w:val="single" w:color="0000FF"/>
        </w:rPr>
        <w:t> </w:t>
      </w:r>
      <w:hyperlink r:id="rId24">
        <w:r>
          <w:rPr>
            <w:rFonts w:ascii="Times New Roman"/>
            <w:color w:val="0000FF"/>
            <w:sz w:val="20"/>
            <w:u w:val="single" w:color="0000FF"/>
          </w:rPr>
          <w:t>vehicles/320711/preparing-future-transportation-automated-vehicle-30.pdf</w:t>
        </w:r>
        <w:r>
          <w:rPr>
            <w:rFonts w:ascii="Times New Roman"/>
            <w:sz w:val="20"/>
          </w:rPr>
          <w:t>.</w:t>
        </w:r>
      </w:hyperlink>
    </w:p>
    <w:p>
      <w:pPr>
        <w:spacing w:after="0"/>
        <w:jc w:val="both"/>
        <w:rPr>
          <w:rFonts w:ascii="Times New Roman"/>
          <w:sz w:val="20"/>
        </w:rPr>
        <w:sectPr>
          <w:headerReference w:type="default" r:id="rId84"/>
          <w:pgSz w:w="12240" w:h="15840"/>
          <w:pgMar w:header="0" w:footer="1070" w:top="1360" w:bottom="1260" w:left="1320" w:right="1320"/>
        </w:sectPr>
      </w:pPr>
    </w:p>
    <w:p>
      <w:pPr>
        <w:spacing w:line="480" w:lineRule="auto" w:before="72"/>
        <w:ind w:left="120" w:right="82" w:firstLine="0"/>
        <w:jc w:val="left"/>
        <w:rPr>
          <w:rFonts w:ascii="Times New Roman"/>
          <w:sz w:val="24"/>
        </w:rPr>
      </w:pPr>
      <w:r>
        <w:rPr>
          <w:rFonts w:ascii="Times New Roman"/>
          <w:sz w:val="24"/>
        </w:rPr>
        <w:t>V2X can enable ITS applications that will improve traffic efficiency and productivity, facilitate the reduction of air pollution, and help to conserve vital fossil fuels. In addition, as other countries, including China, dedicate spectrum for the deployment of C-V2X, the waiver grant will both ensure that Americans have access to the same modern ITS technologies as are available in other parts of the world and help to facilitate the growth of the ITS industry in America. And, because C-V2X can be economically deployed, a waiver grant likely will enable consumers to benefit from ITS technology at lower societal costs and on an expedited timeframe.</w:t>
      </w:r>
    </w:p>
    <w:p>
      <w:pPr>
        <w:spacing w:line="472" w:lineRule="auto" w:before="10"/>
        <w:ind w:left="120" w:right="123" w:firstLine="720"/>
        <w:jc w:val="left"/>
        <w:rPr>
          <w:rFonts w:ascii="Times New Roman"/>
          <w:sz w:val="24"/>
        </w:rPr>
      </w:pPr>
      <w:r>
        <w:rPr>
          <w:rFonts w:ascii="Times New Roman"/>
          <w:sz w:val="24"/>
        </w:rPr>
        <w:t>Finally, a waiver grant prior to the adoption of final rules modernizing the 5.9 GHz band is supported by both Commission precedent and the instant facts.</w:t>
      </w:r>
      <w:hyperlink w:history="true" w:anchor="_bookmark83">
        <w:r>
          <w:rPr>
            <w:rFonts w:ascii="Times New Roman"/>
            <w:position w:val="11"/>
            <w:sz w:val="16"/>
          </w:rPr>
          <w:t>67</w:t>
        </w:r>
      </w:hyperlink>
      <w:r>
        <w:rPr>
          <w:rFonts w:ascii="Times New Roman"/>
          <w:position w:val="11"/>
          <w:sz w:val="16"/>
        </w:rPr>
        <w:t> </w:t>
      </w:r>
      <w:r>
        <w:rPr>
          <w:rFonts w:ascii="Times New Roman"/>
          <w:sz w:val="24"/>
        </w:rPr>
        <w:t>An expedited waiver will allow for the immediate deployment of new and improved safety and efficiency services enabled by C-V2X. Moreover, while there will be many near-term benefits during the early stage deployment of C-V2X-equipped vehicles, the benefits of V2V ITS technologies will grow as the</w:t>
      </w:r>
    </w:p>
    <w:p>
      <w:pPr>
        <w:spacing w:line="480" w:lineRule="auto" w:before="18"/>
        <w:ind w:left="119" w:right="637" w:firstLine="0"/>
        <w:jc w:val="left"/>
        <w:rPr>
          <w:rFonts w:ascii="Times New Roman" w:hAnsi="Times New Roman"/>
          <w:sz w:val="24"/>
        </w:rPr>
      </w:pPr>
      <w:r>
        <w:rPr>
          <w:rFonts w:ascii="Times New Roman" w:hAnsi="Times New Roman"/>
          <w:sz w:val="24"/>
        </w:rPr>
        <w:t>percentage of vehicles equipped with C-V2X increases. With C-V2X chipsets available commercially beginning in early 2019, a grant of the requested waiver can expedite C-V2X achieving critical mass in the vehicle fleet deployed on America’s roads.</w:t>
      </w:r>
    </w:p>
    <w:p>
      <w:pPr>
        <w:pStyle w:val="ListParagraph"/>
        <w:numPr>
          <w:ilvl w:val="3"/>
          <w:numId w:val="5"/>
        </w:numPr>
        <w:tabs>
          <w:tab w:pos="1560" w:val="left" w:leader="none"/>
        </w:tabs>
        <w:spacing w:line="240" w:lineRule="auto" w:before="10" w:after="0"/>
        <w:ind w:left="1560" w:right="301" w:hanging="360"/>
        <w:jc w:val="left"/>
        <w:rPr>
          <w:rFonts w:ascii="Times New Roman"/>
          <w:i/>
          <w:sz w:val="24"/>
        </w:rPr>
      </w:pPr>
      <w:bookmarkStart w:name="2. The Requested Waiver Would Advance, R" w:id="107"/>
      <w:bookmarkEnd w:id="107"/>
      <w:r>
        <w:rPr/>
      </w:r>
      <w:bookmarkStart w:name="_bookmark82" w:id="108"/>
      <w:bookmarkEnd w:id="108"/>
      <w:r>
        <w:rPr/>
      </w:r>
      <w:bookmarkStart w:name="_bookmark82" w:id="109"/>
      <w:bookmarkEnd w:id="109"/>
      <w:r>
        <w:rPr>
          <w:rFonts w:ascii="Times New Roman"/>
          <w:i/>
          <w:sz w:val="24"/>
        </w:rPr>
        <w:t>T</w:t>
      </w:r>
      <w:r>
        <w:rPr>
          <w:rFonts w:ascii="Times New Roman"/>
          <w:i/>
          <w:sz w:val="24"/>
        </w:rPr>
        <w:t>he Requested Waiver Would Advance, Rather than Undermine, the</w:t>
      </w:r>
      <w:r>
        <w:rPr>
          <w:rFonts w:ascii="Times New Roman"/>
          <w:i/>
          <w:spacing w:val="-16"/>
          <w:sz w:val="24"/>
        </w:rPr>
        <w:t> </w:t>
      </w:r>
      <w:r>
        <w:rPr>
          <w:rFonts w:ascii="Times New Roman"/>
          <w:i/>
          <w:sz w:val="24"/>
        </w:rPr>
        <w:t>Underlying </w:t>
      </w:r>
      <w:r>
        <w:rPr>
          <w:rFonts w:ascii="Times New Roman"/>
          <w:i/>
          <w:sz w:val="24"/>
        </w:rPr>
        <w:t>Policy Which the Rule in Question is Intended to</w:t>
      </w:r>
      <w:r>
        <w:rPr>
          <w:rFonts w:ascii="Times New Roman"/>
          <w:i/>
          <w:spacing w:val="-15"/>
          <w:sz w:val="24"/>
        </w:rPr>
        <w:t> </w:t>
      </w:r>
      <w:r>
        <w:rPr>
          <w:rFonts w:ascii="Times New Roman"/>
          <w:i/>
          <w:sz w:val="24"/>
        </w:rPr>
        <w:t>Serve</w:t>
      </w:r>
    </w:p>
    <w:p>
      <w:pPr>
        <w:pStyle w:val="BodyText"/>
        <w:spacing w:before="9"/>
        <w:rPr>
          <w:rFonts w:ascii="Times New Roman"/>
          <w:i/>
        </w:rPr>
      </w:pPr>
    </w:p>
    <w:p>
      <w:pPr>
        <w:spacing w:line="480" w:lineRule="auto" w:before="0"/>
        <w:ind w:left="120" w:right="240" w:firstLine="720"/>
        <w:jc w:val="left"/>
        <w:rPr>
          <w:rFonts w:ascii="Times New Roman" w:hAnsi="Times New Roman"/>
          <w:sz w:val="24"/>
        </w:rPr>
      </w:pPr>
      <w:r>
        <w:rPr/>
        <w:pict>
          <v:line style="position:absolute;mso-position-horizontal-relative:page;mso-position-vertical-relative:paragraph;z-index:1672;mso-wrap-distance-left:0;mso-wrap-distance-right:0" from="72pt,113.983627pt" to="216pt,113.983627pt" stroked="true" strokeweight=".599pt" strokecolor="#000000">
            <v:stroke dashstyle="solid"/>
            <w10:wrap type="topAndBottom"/>
          </v:line>
        </w:pict>
      </w:r>
      <w:r>
        <w:rPr>
          <w:rFonts w:ascii="Times New Roman" w:hAnsi="Times New Roman"/>
          <w:sz w:val="24"/>
        </w:rPr>
        <w:t>The requested waiver is expected to help further the underlying policy objectives of the ITS rules in the 5.9 GHz band. When the Commission adopted the ITS allocation and then service rules limiting operations in the 5.9 GHz band to the use of DSRC technology – the only short-range vehicular ITS technology available at the time – it did so for the primary purpose of</w:t>
      </w:r>
    </w:p>
    <w:p>
      <w:pPr>
        <w:pStyle w:val="BodyText"/>
        <w:spacing w:before="50"/>
        <w:ind w:left="119" w:right="134"/>
        <w:rPr>
          <w:rFonts w:ascii="Times New Roman" w:hAnsi="Times New Roman"/>
          <w:i/>
        </w:rPr>
      </w:pPr>
      <w:bookmarkStart w:name="_bookmark83" w:id="110"/>
      <w:bookmarkEnd w:id="110"/>
      <w:r>
        <w:rPr/>
      </w:r>
      <w:r>
        <w:rPr>
          <w:rFonts w:ascii="Times New Roman" w:hAnsi="Times New Roman"/>
          <w:position w:val="9"/>
          <w:sz w:val="13"/>
        </w:rPr>
        <w:t>67 </w:t>
      </w:r>
      <w:r>
        <w:rPr>
          <w:rFonts w:ascii="Times New Roman" w:hAnsi="Times New Roman"/>
        </w:rPr>
        <w:t>The Commission has granted waivers to expedite the deployment of new technologies prior to the adoption of final rules in numerous other instances. </w:t>
      </w:r>
      <w:r>
        <w:rPr>
          <w:rFonts w:ascii="Times New Roman" w:hAnsi="Times New Roman"/>
          <w:i/>
        </w:rPr>
        <w:t>See, e.g.</w:t>
      </w:r>
      <w:r>
        <w:rPr>
          <w:rFonts w:ascii="Times New Roman" w:hAnsi="Times New Roman"/>
        </w:rPr>
        <w:t>, </w:t>
      </w:r>
      <w:r>
        <w:rPr>
          <w:rFonts w:ascii="Times New Roman" w:hAnsi="Times New Roman"/>
          <w:i/>
        </w:rPr>
        <w:t>77-81 GHz NPRM</w:t>
      </w:r>
      <w:r>
        <w:rPr>
          <w:rFonts w:ascii="Times New Roman" w:hAnsi="Times New Roman"/>
        </w:rPr>
        <w:t>, 25 FCC Rcd at 610 ¶ 25 (granting a waiver to allow for the utilization of new radar technology during the pendency of a rulemaking in which the Commission proposed rules that would allow the use of such technology); </w:t>
      </w:r>
      <w:r>
        <w:rPr>
          <w:rFonts w:ascii="Times New Roman" w:hAnsi="Times New Roman"/>
          <w:i/>
        </w:rPr>
        <w:t>iRobot Corporation Request for Waiver of Section</w:t>
      </w:r>
    </w:p>
    <w:p>
      <w:pPr>
        <w:pStyle w:val="BodyText"/>
        <w:ind w:left="119" w:right="966"/>
        <w:rPr>
          <w:rFonts w:ascii="Times New Roman" w:hAnsi="Times New Roman"/>
        </w:rPr>
      </w:pPr>
      <w:r>
        <w:rPr>
          <w:rFonts w:ascii="Times New Roman" w:hAnsi="Times New Roman"/>
          <w:i/>
        </w:rPr>
        <w:t>15.250 of the Commission’s Rules</w:t>
      </w:r>
      <w:r>
        <w:rPr>
          <w:rFonts w:ascii="Times New Roman" w:hAnsi="Times New Roman"/>
        </w:rPr>
        <w:t>, Order, 30 FCC Rcd 8377 (OET 2015) (granting a waiver to enable the deployment of new technology with the potential of offering safety and environmental benefits).</w:t>
      </w:r>
    </w:p>
    <w:p>
      <w:pPr>
        <w:spacing w:after="0"/>
        <w:rPr>
          <w:rFonts w:ascii="Times New Roman" w:hAnsi="Times New Roman"/>
        </w:rPr>
        <w:sectPr>
          <w:headerReference w:type="default" r:id="rId86"/>
          <w:footerReference w:type="default" r:id="rId87"/>
          <w:pgSz w:w="12240" w:h="15840"/>
          <w:pgMar w:header="0" w:footer="1070" w:top="1360" w:bottom="1260" w:left="1320" w:right="1360"/>
          <w:pgNumType w:start="26"/>
        </w:sectPr>
      </w:pPr>
    </w:p>
    <w:p>
      <w:pPr>
        <w:spacing w:line="465" w:lineRule="auto" w:before="72"/>
        <w:ind w:left="120" w:right="270" w:firstLine="0"/>
        <w:jc w:val="left"/>
        <w:rPr>
          <w:rFonts w:ascii="Times New Roman"/>
          <w:sz w:val="24"/>
        </w:rPr>
      </w:pPr>
      <w:r>
        <w:rPr>
          <w:rFonts w:ascii="Times New Roman"/>
          <w:sz w:val="24"/>
        </w:rPr>
        <w:t>improving vehicular safety and travel while preventing interference to other authorized users of the band.</w:t>
      </w:r>
      <w:hyperlink w:history="true" w:anchor="_bookmark84">
        <w:r>
          <w:rPr>
            <w:rFonts w:ascii="Times New Roman"/>
            <w:position w:val="11"/>
            <w:sz w:val="16"/>
          </w:rPr>
          <w:t>68</w:t>
        </w:r>
      </w:hyperlink>
      <w:r>
        <w:rPr>
          <w:rFonts w:ascii="Times New Roman"/>
          <w:position w:val="11"/>
          <w:sz w:val="16"/>
        </w:rPr>
        <w:t> </w:t>
      </w:r>
      <w:r>
        <w:rPr>
          <w:rFonts w:ascii="Times New Roman"/>
          <w:sz w:val="24"/>
        </w:rPr>
        <w:t>Grant of the requested waiver will advance, rather than frustrate, these policy objectives.</w:t>
      </w:r>
    </w:p>
    <w:p>
      <w:pPr>
        <w:spacing w:line="465" w:lineRule="auto" w:before="26"/>
        <w:ind w:left="120" w:right="88" w:firstLine="720"/>
        <w:jc w:val="left"/>
        <w:rPr>
          <w:rFonts w:ascii="Times New Roman"/>
          <w:sz w:val="16"/>
        </w:rPr>
      </w:pPr>
      <w:r>
        <w:rPr>
          <w:rFonts w:ascii="Times New Roman"/>
          <w:sz w:val="24"/>
        </w:rPr>
        <w:t>By granting the requested waiver, the Commission will further the objective of improving vehicular safety and travel by enabling the deployment and availability of ITS services. As previously explained, C-V2X technology offers capabilities that can enable new and improved ITS services,</w:t>
      </w:r>
      <w:hyperlink w:history="true" w:anchor="_bookmark85">
        <w:r>
          <w:rPr>
            <w:rFonts w:ascii="Times New Roman"/>
            <w:position w:val="11"/>
            <w:sz w:val="16"/>
          </w:rPr>
          <w:t>69</w:t>
        </w:r>
      </w:hyperlink>
      <w:r>
        <w:rPr>
          <w:rFonts w:ascii="Times New Roman"/>
          <w:position w:val="11"/>
          <w:sz w:val="16"/>
        </w:rPr>
        <w:t> </w:t>
      </w:r>
      <w:r>
        <w:rPr>
          <w:rFonts w:ascii="Times New Roman"/>
          <w:sz w:val="24"/>
        </w:rPr>
        <w:t>featuring a cost efficiency that supports an accelerated timeline for deployment,</w:t>
      </w:r>
      <w:hyperlink w:history="true" w:anchor="_bookmark86">
        <w:r>
          <w:rPr>
            <w:rFonts w:ascii="Times New Roman"/>
            <w:position w:val="11"/>
            <w:sz w:val="16"/>
          </w:rPr>
          <w:t>70</w:t>
        </w:r>
      </w:hyperlink>
      <w:r>
        <w:rPr>
          <w:rFonts w:ascii="Times New Roman"/>
          <w:position w:val="11"/>
          <w:sz w:val="16"/>
        </w:rPr>
        <w:t> </w:t>
      </w:r>
      <w:r>
        <w:rPr>
          <w:rFonts w:ascii="Times New Roman"/>
          <w:sz w:val="24"/>
        </w:rPr>
        <w:t>and presents a path to 5G that will greatly expand and enhance C-V2X services in the future.</w:t>
      </w:r>
      <w:hyperlink w:history="true" w:anchor="_bookmark87">
        <w:r>
          <w:rPr>
            <w:rFonts w:ascii="Times New Roman"/>
            <w:position w:val="11"/>
            <w:sz w:val="16"/>
          </w:rPr>
          <w:t>71</w:t>
        </w:r>
      </w:hyperlink>
    </w:p>
    <w:p>
      <w:pPr>
        <w:spacing w:line="480" w:lineRule="auto" w:before="0"/>
        <w:ind w:left="120" w:right="342" w:firstLine="0"/>
        <w:jc w:val="left"/>
        <w:rPr>
          <w:rFonts w:ascii="Times New Roman"/>
          <w:sz w:val="24"/>
        </w:rPr>
      </w:pPr>
      <w:r>
        <w:rPr>
          <w:rFonts w:ascii="Times New Roman"/>
          <w:sz w:val="24"/>
        </w:rPr>
        <w:t>In short, C-V2X is poised for deployment, which will enable the safety, efficiency, and other societal benefits envisioned by the Commission when it adopted the ITS allocation and service rules for the band.</w:t>
      </w:r>
    </w:p>
    <w:p>
      <w:pPr>
        <w:spacing w:line="472" w:lineRule="auto" w:before="20"/>
        <w:ind w:left="120" w:right="0" w:firstLine="720"/>
        <w:jc w:val="left"/>
        <w:rPr>
          <w:rFonts w:ascii="Times New Roman" w:hAnsi="Times New Roman"/>
          <w:sz w:val="24"/>
        </w:rPr>
      </w:pPr>
      <w:r>
        <w:rPr>
          <w:rFonts w:ascii="Times New Roman" w:hAnsi="Times New Roman"/>
          <w:sz w:val="24"/>
        </w:rPr>
        <w:t>Moreover, a grant of the waiver request will enable robust ITS communications. Industry members from across the ITS ecosystem stand ready to deploy C-V2X technology. </w:t>
      </w:r>
      <w:hyperlink w:history="true" w:anchor="_bookmark88">
        <w:r>
          <w:rPr>
            <w:rFonts w:ascii="Times New Roman" w:hAnsi="Times New Roman"/>
            <w:position w:val="11"/>
            <w:sz w:val="16"/>
          </w:rPr>
          <w:t>72</w:t>
        </w:r>
      </w:hyperlink>
      <w:r>
        <w:rPr>
          <w:rFonts w:ascii="Times New Roman" w:hAnsi="Times New Roman"/>
          <w:position w:val="11"/>
          <w:sz w:val="16"/>
        </w:rPr>
        <w:t> </w:t>
      </w:r>
      <w:r>
        <w:rPr>
          <w:rFonts w:ascii="Times New Roman" w:hAnsi="Times New Roman"/>
          <w:sz w:val="24"/>
        </w:rPr>
        <w:t>The very creation of 5GAA, the exponential growth in membership over a relatively short time, and the investments made by members to date underscore this point. Grant of the instant request will provide the regulatory footing to unleash industry’s pent-up eagerness to deploy this</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15"/>
        </w:rPr>
      </w:pPr>
      <w:r>
        <w:rPr/>
        <w:pict>
          <v:line style="position:absolute;mso-position-horizontal-relative:page;mso-position-vertical-relative:paragraph;z-index:1696;mso-wrap-distance-left:0;mso-wrap-distance-right:0" from="72pt,10.903189pt" to="216pt,10.903189pt" stroked="true" strokeweight=".6pt" strokecolor="#000000">
            <v:stroke dashstyle="solid"/>
            <w10:wrap type="topAndBottom"/>
          </v:line>
        </w:pict>
      </w:r>
    </w:p>
    <w:p>
      <w:pPr>
        <w:spacing w:before="50"/>
        <w:ind w:left="119" w:right="279" w:firstLine="0"/>
        <w:jc w:val="left"/>
        <w:rPr>
          <w:rFonts w:ascii="Times New Roman" w:hAnsi="Times New Roman"/>
          <w:sz w:val="20"/>
        </w:rPr>
      </w:pPr>
      <w:bookmarkStart w:name="_bookmark84" w:id="111"/>
      <w:bookmarkEnd w:id="111"/>
      <w:r>
        <w:rPr/>
      </w:r>
      <w:r>
        <w:rPr>
          <w:rFonts w:ascii="Times New Roman" w:hAnsi="Times New Roman"/>
          <w:position w:val="9"/>
          <w:sz w:val="13"/>
        </w:rPr>
        <w:t>68 </w:t>
      </w:r>
      <w:r>
        <w:rPr>
          <w:rFonts w:ascii="Times New Roman" w:hAnsi="Times New Roman"/>
          <w:i/>
          <w:sz w:val="20"/>
        </w:rPr>
        <w:t>See Allocation Report and Order</w:t>
      </w:r>
      <w:r>
        <w:rPr>
          <w:rFonts w:ascii="Times New Roman" w:hAnsi="Times New Roman"/>
          <w:sz w:val="20"/>
        </w:rPr>
        <w:t>, </w:t>
      </w:r>
      <w:r>
        <w:rPr>
          <w:rFonts w:ascii="Times New Roman" w:hAnsi="Times New Roman"/>
          <w:i/>
          <w:sz w:val="20"/>
        </w:rPr>
        <w:t>supra </w:t>
      </w:r>
      <w:r>
        <w:rPr>
          <w:rFonts w:ascii="Times New Roman" w:hAnsi="Times New Roman"/>
          <w:sz w:val="20"/>
        </w:rPr>
        <w:t>60, at 18221 ¶ 1.l (discussing the expectation that ITS services will “improve traveler safety” and “decrease traffic congestion”); </w:t>
      </w:r>
      <w:r>
        <w:rPr>
          <w:rFonts w:ascii="Times New Roman" w:hAnsi="Times New Roman"/>
          <w:i/>
          <w:sz w:val="20"/>
        </w:rPr>
        <w:t>Amendment of the Commission’s Rules Regarding </w:t>
      </w:r>
      <w:r>
        <w:rPr>
          <w:rFonts w:ascii="Times New Roman" w:hAnsi="Times New Roman"/>
          <w:i/>
          <w:sz w:val="20"/>
        </w:rPr>
        <w:t>Dedicated Short-Range Communication Services in the 5.850-5.925 GHz Band (5.9 GHz) Band et al.</w:t>
      </w:r>
      <w:r>
        <w:rPr>
          <w:rFonts w:ascii="Times New Roman" w:hAnsi="Times New Roman"/>
          <w:sz w:val="20"/>
        </w:rPr>
        <w:t>, Report and Order, 19 FCC Rcd 2458, 2461 ¶ 3 (2004) (discussing the important safety functions of short-range ITS services), </w:t>
      </w:r>
      <w:r>
        <w:rPr>
          <w:rFonts w:ascii="Times New Roman" w:hAnsi="Times New Roman"/>
          <w:i/>
          <w:sz w:val="20"/>
        </w:rPr>
        <w:t>id. </w:t>
      </w:r>
      <w:r>
        <w:rPr>
          <w:rFonts w:ascii="Times New Roman" w:hAnsi="Times New Roman"/>
          <w:sz w:val="20"/>
        </w:rPr>
        <w:t>at 2461-62 ¶ 4 (discussing the potential of short-range ITS services to improve the efficiency of America’s surface transportation system) (2004); </w:t>
      </w:r>
      <w:r>
        <w:rPr>
          <w:rFonts w:ascii="Times New Roman" w:hAnsi="Times New Roman"/>
          <w:i/>
          <w:sz w:val="20"/>
        </w:rPr>
        <w:t>id </w:t>
      </w:r>
      <w:r>
        <w:rPr>
          <w:rFonts w:ascii="Times New Roman" w:hAnsi="Times New Roman"/>
          <w:sz w:val="20"/>
        </w:rPr>
        <w:t>at 2470 ¶ 18 (noting “that the record presents no alternative standard”).</w:t>
      </w:r>
    </w:p>
    <w:p>
      <w:pPr>
        <w:spacing w:line="338" w:lineRule="auto" w:before="95"/>
        <w:ind w:left="120" w:right="7310" w:firstLine="0"/>
        <w:jc w:val="both"/>
        <w:rPr>
          <w:rFonts w:ascii="Times New Roman"/>
          <w:sz w:val="20"/>
        </w:rPr>
      </w:pPr>
      <w:bookmarkStart w:name="_bookmark85" w:id="112"/>
      <w:bookmarkEnd w:id="112"/>
      <w:r>
        <w:rPr/>
      </w:r>
      <w:r>
        <w:rPr>
          <w:rFonts w:ascii="Times New Roman"/>
          <w:position w:val="9"/>
          <w:sz w:val="13"/>
        </w:rPr>
        <w:t>69 </w:t>
      </w:r>
      <w:r>
        <w:rPr>
          <w:rFonts w:ascii="Times New Roman"/>
          <w:i/>
          <w:sz w:val="20"/>
        </w:rPr>
        <w:t>See supra </w:t>
      </w:r>
      <w:r>
        <w:rPr>
          <w:rFonts w:ascii="Times New Roman"/>
          <w:sz w:val="20"/>
        </w:rPr>
        <w:t>Section III.A. </w:t>
      </w:r>
      <w:bookmarkStart w:name="_bookmark86" w:id="113"/>
      <w:bookmarkEnd w:id="113"/>
      <w:r>
        <w:rPr>
          <w:rFonts w:ascii="Times New Roman"/>
          <w:sz w:val="20"/>
        </w:rPr>
      </w:r>
      <w:r>
        <w:rPr>
          <w:rFonts w:ascii="Times New Roman"/>
          <w:position w:val="9"/>
          <w:sz w:val="13"/>
        </w:rPr>
        <w:t>70 </w:t>
      </w:r>
      <w:r>
        <w:rPr>
          <w:rFonts w:ascii="Times New Roman"/>
          <w:i/>
          <w:sz w:val="20"/>
        </w:rPr>
        <w:t>See supra </w:t>
      </w:r>
      <w:r>
        <w:rPr>
          <w:rFonts w:ascii="Times New Roman"/>
          <w:sz w:val="20"/>
        </w:rPr>
        <w:t>Section III.C. </w:t>
      </w:r>
      <w:bookmarkStart w:name="_bookmark87" w:id="114"/>
      <w:bookmarkEnd w:id="114"/>
      <w:r>
        <w:rPr>
          <w:rFonts w:ascii="Times New Roman"/>
          <w:sz w:val="20"/>
        </w:rPr>
      </w:r>
      <w:r>
        <w:rPr>
          <w:rFonts w:ascii="Times New Roman"/>
          <w:position w:val="9"/>
          <w:sz w:val="13"/>
        </w:rPr>
        <w:t>71 </w:t>
      </w:r>
      <w:r>
        <w:rPr>
          <w:rFonts w:ascii="Times New Roman"/>
          <w:i/>
          <w:sz w:val="20"/>
        </w:rPr>
        <w:t>See supra </w:t>
      </w:r>
      <w:r>
        <w:rPr>
          <w:rFonts w:ascii="Times New Roman"/>
          <w:sz w:val="20"/>
        </w:rPr>
        <w:t>Section III. B. </w:t>
      </w:r>
      <w:bookmarkStart w:name="_bookmark88" w:id="115"/>
      <w:bookmarkEnd w:id="115"/>
      <w:r>
        <w:rPr>
          <w:rFonts w:ascii="Times New Roman"/>
          <w:sz w:val="20"/>
        </w:rPr>
      </w:r>
      <w:r>
        <w:rPr>
          <w:rFonts w:ascii="Times New Roman"/>
          <w:position w:val="9"/>
          <w:sz w:val="13"/>
        </w:rPr>
        <w:t>72 </w:t>
      </w:r>
      <w:r>
        <w:rPr>
          <w:rFonts w:ascii="Times New Roman"/>
          <w:i/>
          <w:sz w:val="20"/>
        </w:rPr>
        <w:t>See </w:t>
      </w:r>
      <w:r>
        <w:rPr>
          <w:rFonts w:ascii="Times New Roman"/>
          <w:sz w:val="20"/>
          <w:u w:val="single"/>
        </w:rPr>
        <w:t>Appendix C.</w:t>
      </w:r>
    </w:p>
    <w:p>
      <w:pPr>
        <w:spacing w:after="0" w:line="338" w:lineRule="auto"/>
        <w:jc w:val="both"/>
        <w:rPr>
          <w:rFonts w:ascii="Times New Roman"/>
          <w:sz w:val="20"/>
        </w:rPr>
        <w:sectPr>
          <w:headerReference w:type="default" r:id="rId88"/>
          <w:footerReference w:type="default" r:id="rId89"/>
          <w:pgSz w:w="12240" w:h="15840"/>
          <w:pgMar w:header="0" w:footer="1070" w:top="1360" w:bottom="1260" w:left="1320" w:right="1340"/>
          <w:pgNumType w:start="27"/>
        </w:sectPr>
      </w:pPr>
    </w:p>
    <w:p>
      <w:pPr>
        <w:spacing w:line="470" w:lineRule="auto" w:before="76"/>
        <w:ind w:left="119" w:right="198" w:firstLine="0"/>
        <w:jc w:val="left"/>
        <w:rPr>
          <w:rFonts w:ascii="Times New Roman"/>
          <w:sz w:val="24"/>
        </w:rPr>
      </w:pPr>
      <w:r>
        <w:rPr>
          <w:rFonts w:ascii="Times New Roman"/>
          <w:sz w:val="24"/>
        </w:rPr>
        <w:t>technology.</w:t>
      </w:r>
      <w:hyperlink w:history="true" w:anchor="_bookmark89">
        <w:r>
          <w:rPr>
            <w:rFonts w:ascii="Times New Roman"/>
            <w:position w:val="11"/>
            <w:sz w:val="16"/>
          </w:rPr>
          <w:t>73</w:t>
        </w:r>
      </w:hyperlink>
      <w:r>
        <w:rPr>
          <w:rFonts w:ascii="Times New Roman"/>
          <w:position w:val="11"/>
          <w:sz w:val="16"/>
        </w:rPr>
        <w:t> </w:t>
      </w:r>
      <w:r>
        <w:rPr>
          <w:rFonts w:ascii="Times New Roman"/>
          <w:sz w:val="24"/>
        </w:rPr>
        <w:t>Further, under the proposed waiver conditions, C-V2X operations would occur only in the 5.905-5.925 GHz portion of the 5.9 GHz band.</w:t>
      </w:r>
      <w:hyperlink w:history="true" w:anchor="_bookmark90">
        <w:r>
          <w:rPr>
            <w:rFonts w:ascii="Times New Roman"/>
            <w:position w:val="11"/>
            <w:sz w:val="16"/>
          </w:rPr>
          <w:t>74</w:t>
        </w:r>
      </w:hyperlink>
      <w:r>
        <w:rPr>
          <w:rFonts w:ascii="Times New Roman"/>
          <w:position w:val="11"/>
          <w:sz w:val="16"/>
        </w:rPr>
        <w:t> </w:t>
      </w:r>
      <w:r>
        <w:rPr>
          <w:rFonts w:ascii="Times New Roman"/>
          <w:sz w:val="24"/>
        </w:rPr>
        <w:t>Because C-V2X and DSRC operations will occur on different channels, each technology will be protected from interference from the other.</w:t>
      </w:r>
    </w:p>
    <w:p>
      <w:pPr>
        <w:spacing w:line="480" w:lineRule="auto" w:before="20"/>
        <w:ind w:left="120" w:right="129" w:firstLine="720"/>
        <w:jc w:val="left"/>
        <w:rPr>
          <w:rFonts w:ascii="Times New Roman"/>
          <w:sz w:val="24"/>
        </w:rPr>
      </w:pPr>
      <w:r>
        <w:rPr>
          <w:rFonts w:ascii="Times New Roman"/>
          <w:sz w:val="24"/>
        </w:rPr>
        <w:t>In addition, because C-V2X operations will be subject to nearly identical operating parameters as those required of DSRC under the current rules, other non-ITS authorized users of the 5.9 GHz band will not be affected by a grant of the waiver.  Specifically, in </w:t>
      </w:r>
      <w:r>
        <w:rPr>
          <w:rFonts w:ascii="Times New Roman"/>
          <w:sz w:val="24"/>
          <w:u w:val="single"/>
        </w:rPr>
        <w:t>Appendix D</w:t>
      </w:r>
      <w:r>
        <w:rPr>
          <w:rFonts w:ascii="Times New Roman"/>
          <w:sz w:val="24"/>
        </w:rPr>
        <w:t>,</w:t>
      </w:r>
    </w:p>
    <w:p>
      <w:pPr>
        <w:spacing w:line="480" w:lineRule="auto" w:before="10"/>
        <w:ind w:left="120" w:right="176" w:firstLine="0"/>
        <w:jc w:val="left"/>
        <w:rPr>
          <w:rFonts w:ascii="Times New Roman" w:hAnsi="Times New Roman"/>
          <w:sz w:val="24"/>
        </w:rPr>
      </w:pPr>
      <w:r>
        <w:rPr>
          <w:rFonts w:ascii="Times New Roman" w:hAnsi="Times New Roman"/>
          <w:sz w:val="24"/>
        </w:rPr>
        <w:t>5GAA proposes conditions that would impose substantially similar technical and service requirements on C-V2X operations under the waiver grant as those that are currently codified in the Commission’s rules for DSRC operations. As a result, any deployment of C-V2X under the requested waiver will not increase the potential for interference to these other users in the band. A brief analysis of these conditions follows.</w:t>
      </w:r>
    </w:p>
    <w:p>
      <w:pPr>
        <w:spacing w:before="10"/>
        <w:ind w:left="840" w:right="0" w:firstLine="0"/>
        <w:jc w:val="left"/>
        <w:rPr>
          <w:rFonts w:ascii="Times New Roman"/>
          <w:sz w:val="24"/>
        </w:rPr>
      </w:pPr>
      <w:r>
        <w:rPr>
          <w:rFonts w:ascii="Times New Roman"/>
          <w:i/>
          <w:sz w:val="24"/>
          <w:u w:val="single"/>
        </w:rPr>
        <w:t>Power limits</w:t>
      </w:r>
      <w:r>
        <w:rPr>
          <w:rFonts w:ascii="Times New Roman"/>
          <w:sz w:val="24"/>
        </w:rPr>
        <w:t>.  The proposed transmit power limits for all C-V2X devices permitted under</w:t>
      </w:r>
    </w:p>
    <w:p>
      <w:pPr>
        <w:pStyle w:val="BodyText"/>
        <w:spacing w:before="2"/>
        <w:rPr>
          <w:rFonts w:ascii="Times New Roman"/>
          <w:sz w:val="16"/>
        </w:rPr>
      </w:pPr>
    </w:p>
    <w:p>
      <w:pPr>
        <w:spacing w:line="480" w:lineRule="auto" w:before="89"/>
        <w:ind w:left="119" w:right="123" w:firstLine="0"/>
        <w:jc w:val="left"/>
        <w:rPr>
          <w:rFonts w:ascii="Times New Roman" w:hAnsi="Times New Roman"/>
          <w:sz w:val="24"/>
        </w:rPr>
      </w:pPr>
      <w:r>
        <w:rPr>
          <w:rFonts w:ascii="Times New Roman" w:hAnsi="Times New Roman"/>
          <w:sz w:val="24"/>
        </w:rPr>
        <w:t>the waiver (i.e., Vehicular, Portable, and Roadside units) will be 20 dBm antenna input power as specified in § 8.10.1 of ASTM E2213 - 03. The EIRP for an OBU (vehicular and portable) will be limited to 23 dBm.  The EIRP for an RSU will be limited to 33 dBm.</w:t>
      </w:r>
    </w:p>
    <w:p>
      <w:pPr>
        <w:pStyle w:val="BodyText"/>
        <w:rPr>
          <w:rFonts w:ascii="Times New Roman"/>
        </w:rPr>
      </w:pPr>
    </w:p>
    <w:p>
      <w:pPr>
        <w:pStyle w:val="BodyText"/>
        <w:rPr>
          <w:rFonts w:ascii="Times New Roman"/>
        </w:rPr>
      </w:pPr>
    </w:p>
    <w:p>
      <w:pPr>
        <w:pStyle w:val="BodyText"/>
        <w:spacing w:before="6"/>
        <w:rPr>
          <w:rFonts w:ascii="Times New Roman"/>
          <w:sz w:val="25"/>
        </w:rPr>
      </w:pPr>
      <w:r>
        <w:rPr/>
        <w:pict>
          <v:line style="position:absolute;mso-position-horizontal-relative:page;mso-position-vertical-relative:paragraph;z-index:1720;mso-wrap-distance-left:0;mso-wrap-distance-right:0" from="72pt,16.937925pt" to="216pt,16.937925pt" stroked="true" strokeweight=".6pt" strokecolor="#000000">
            <v:stroke dashstyle="solid"/>
            <w10:wrap type="topAndBottom"/>
          </v:line>
        </w:pict>
      </w:r>
    </w:p>
    <w:p>
      <w:pPr>
        <w:pStyle w:val="BodyText"/>
        <w:spacing w:before="50"/>
        <w:ind w:left="119" w:right="106"/>
        <w:rPr>
          <w:rFonts w:ascii="Times New Roman"/>
        </w:rPr>
      </w:pPr>
      <w:bookmarkStart w:name="_bookmark89" w:id="116"/>
      <w:bookmarkEnd w:id="116"/>
      <w:r>
        <w:rPr/>
      </w:r>
      <w:r>
        <w:rPr>
          <w:rFonts w:ascii="Times New Roman"/>
          <w:position w:val="9"/>
          <w:sz w:val="13"/>
        </w:rPr>
        <w:t>73 </w:t>
      </w:r>
      <w:r>
        <w:rPr>
          <w:rFonts w:ascii="Times New Roman"/>
          <w:i/>
        </w:rPr>
        <w:t>See, e.g.</w:t>
      </w:r>
      <w:r>
        <w:rPr>
          <w:rFonts w:ascii="Times New Roman"/>
        </w:rPr>
        <w:t>, Qualcomm, </w:t>
      </w:r>
      <w:r>
        <w:rPr>
          <w:rFonts w:ascii="Times New Roman"/>
          <w:i/>
        </w:rPr>
        <w:t>2019 will see commercial C-V2X rollouts throughout the world</w:t>
      </w:r>
      <w:r>
        <w:rPr>
          <w:rFonts w:ascii="Times New Roman"/>
        </w:rPr>
        <w:t>, OnQ Blog (Nov. 1, 2018), </w:t>
      </w:r>
      <w:hyperlink r:id="rId92">
        <w:r>
          <w:rPr>
            <w:rFonts w:ascii="Times New Roman"/>
            <w:color w:val="0000FF"/>
            <w:u w:val="single" w:color="0000FF"/>
          </w:rPr>
          <w:t>https://www.qualcomm.com/news/onq/2018/11/01/2019-will-see-commercial-c-v2x-rollouts-throughout-world</w:t>
        </w:r>
      </w:hyperlink>
      <w:r>
        <w:rPr>
          <w:rFonts w:ascii="Times New Roman"/>
          <w:color w:val="0000FF"/>
          <w:u w:val="single" w:color="0000FF"/>
        </w:rPr>
        <w:t> </w:t>
      </w:r>
      <w:r>
        <w:rPr>
          <w:rFonts w:ascii="Times New Roman"/>
        </w:rPr>
        <w:t>(noting the availability and integration of the 9150 C-V2X chipset solution into infrastructure and vehicles; how Qualcomm partnered with Ford, Panasonic, and the Colorado Department of Transportation, to demonstrate the first production-grade C-V2X system in the U.S.; and how leading connected vehicle and V2X technologies companies in the U.S., such as Savari, Kaspch, and Ficose, plan to include C-V2X technology in their RSUs); 5GAA, </w:t>
      </w:r>
      <w:r>
        <w:rPr>
          <w:rFonts w:ascii="Times New Roman"/>
          <w:i/>
        </w:rPr>
        <w:t>Timeline </w:t>
      </w:r>
      <w:r>
        <w:rPr>
          <w:rFonts w:ascii="Times New Roman"/>
          <w:i/>
        </w:rPr>
        <w:t>for deployment of LTE-V2X</w:t>
      </w:r>
      <w:r>
        <w:rPr>
          <w:rFonts w:ascii="Times New Roman"/>
        </w:rPr>
        <w:t>, at 3 (Dec. 18, 2017), </w:t>
      </w:r>
      <w:hyperlink r:id="rId93">
        <w:r>
          <w:rPr>
            <w:rFonts w:ascii="Times New Roman"/>
            <w:color w:val="0000FF"/>
            <w:u w:val="single" w:color="0000FF"/>
          </w:rPr>
          <w:t>http://5gaa.org/wp-content/uploads/2018/02/5GAA_Timeline-for-</w:t>
        </w:r>
      </w:hyperlink>
      <w:r>
        <w:rPr>
          <w:rFonts w:ascii="Times New Roman"/>
          <w:color w:val="0000FF"/>
          <w:u w:val="single" w:color="0000FF"/>
        </w:rPr>
        <w:t> </w:t>
      </w:r>
      <w:hyperlink r:id="rId93">
        <w:r>
          <w:rPr>
            <w:rFonts w:ascii="Times New Roman"/>
            <w:color w:val="0000FF"/>
            <w:u w:val="single" w:color="0000FF"/>
          </w:rPr>
          <w:t>deployment-of-LTE-V2X_FINAL.pdf </w:t>
        </w:r>
      </w:hyperlink>
      <w:r>
        <w:rPr>
          <w:rFonts w:ascii="Times New Roman"/>
        </w:rPr>
        <w:t>(noting that nearly major chipset vendors, such as Intel, Qualcomm, and Samsung are committed to provide C-V2X chipsets).</w:t>
      </w:r>
    </w:p>
    <w:p>
      <w:pPr>
        <w:pStyle w:val="BodyText"/>
        <w:spacing w:before="95"/>
        <w:ind w:left="120" w:right="151" w:hanging="1"/>
        <w:rPr>
          <w:rFonts w:ascii="Times New Roman"/>
        </w:rPr>
      </w:pPr>
      <w:bookmarkStart w:name="_bookmark90" w:id="117"/>
      <w:bookmarkEnd w:id="117"/>
      <w:r>
        <w:rPr/>
      </w:r>
      <w:r>
        <w:rPr>
          <w:rFonts w:ascii="Times New Roman"/>
          <w:position w:val="9"/>
          <w:sz w:val="13"/>
        </w:rPr>
        <w:t>74 </w:t>
      </w:r>
      <w:r>
        <w:rPr>
          <w:rFonts w:ascii="Times New Roman"/>
        </w:rPr>
        <w:t>5GAA is aware of pilots involving DSRC Roadside Units which use all or a portion of the 5.905-5.925 frequencies for support. 5GAA will engage in discussions with the parties involved with these pilots to ensure that any operations using any portion of 5905-5925 MHz can either transition to lower DSRC channels or use C-V2X technology.</w:t>
      </w:r>
    </w:p>
    <w:p>
      <w:pPr>
        <w:spacing w:after="0"/>
        <w:rPr>
          <w:rFonts w:ascii="Times New Roman"/>
        </w:rPr>
        <w:sectPr>
          <w:headerReference w:type="default" r:id="rId90"/>
          <w:footerReference w:type="default" r:id="rId91"/>
          <w:pgSz w:w="12240" w:h="15840"/>
          <w:pgMar w:header="0" w:footer="1070" w:top="1320" w:bottom="1260" w:left="1320" w:right="1380"/>
          <w:pgNumType w:start="28"/>
        </w:sectPr>
      </w:pPr>
    </w:p>
    <w:p>
      <w:pPr>
        <w:spacing w:before="72"/>
        <w:ind w:left="840" w:right="0" w:firstLine="0"/>
        <w:jc w:val="left"/>
        <w:rPr>
          <w:rFonts w:ascii="Times New Roman"/>
          <w:sz w:val="24"/>
        </w:rPr>
      </w:pPr>
      <w:r>
        <w:rPr>
          <w:rFonts w:ascii="Times New Roman"/>
          <w:i/>
          <w:sz w:val="24"/>
          <w:u w:val="single"/>
        </w:rPr>
        <w:t>Emission limits</w:t>
      </w:r>
      <w:r>
        <w:rPr>
          <w:rFonts w:ascii="Times New Roman"/>
          <w:sz w:val="24"/>
        </w:rPr>
        <w:t>.  All C-V2X devices must attenuate out-of-band emissions consistent</w:t>
      </w:r>
    </w:p>
    <w:p>
      <w:pPr>
        <w:pStyle w:val="BodyText"/>
        <w:spacing w:before="2"/>
        <w:rPr>
          <w:rFonts w:ascii="Times New Roman"/>
          <w:sz w:val="16"/>
        </w:rPr>
      </w:pPr>
    </w:p>
    <w:p>
      <w:pPr>
        <w:spacing w:line="480" w:lineRule="auto" w:before="90"/>
        <w:ind w:left="120" w:right="100" w:firstLine="0"/>
        <w:jc w:val="both"/>
        <w:rPr>
          <w:rFonts w:ascii="Times New Roman"/>
          <w:sz w:val="24"/>
        </w:rPr>
      </w:pPr>
      <w:r>
        <w:rPr>
          <w:rFonts w:ascii="Times New Roman"/>
          <w:sz w:val="24"/>
        </w:rPr>
        <w:t>with the limits shown below, which may be measured at the antenna input. These are consistent with the existing FCC rules, but allow for the variable transmit power nature of C-V2X, and the planned 20 MHz bandwidth.</w:t>
      </w:r>
    </w:p>
    <w:p>
      <w:pPr>
        <w:pStyle w:val="BodyText"/>
        <w:spacing w:before="6"/>
        <w:rPr>
          <w:rFonts w:ascii="Times New Roman"/>
          <w:sz w:val="25"/>
        </w:rPr>
      </w:pPr>
    </w:p>
    <w:tbl>
      <w:tblPr>
        <w:tblW w:w="0" w:type="auto"/>
        <w:jc w:val="left"/>
        <w:tblInd w:w="1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49"/>
        <w:gridCol w:w="3062"/>
      </w:tblGrid>
      <w:tr>
        <w:trPr>
          <w:trHeight w:val="286" w:hRule="exact"/>
        </w:trPr>
        <w:tc>
          <w:tcPr>
            <w:tcW w:w="3149" w:type="dxa"/>
          </w:tcPr>
          <w:p>
            <w:pPr>
              <w:pStyle w:val="TableParagraph"/>
              <w:spacing w:line="268" w:lineRule="exact"/>
              <w:ind w:left="424" w:right="428"/>
              <w:jc w:val="center"/>
              <w:rPr>
                <w:rFonts w:ascii="Times New Roman"/>
                <w:sz w:val="24"/>
              </w:rPr>
            </w:pPr>
            <w:r>
              <w:rPr>
                <w:rFonts w:ascii="Times New Roman"/>
                <w:sz w:val="24"/>
              </w:rPr>
              <w:t>Offset from Band Edge</w:t>
            </w:r>
          </w:p>
        </w:tc>
        <w:tc>
          <w:tcPr>
            <w:tcW w:w="3062" w:type="dxa"/>
          </w:tcPr>
          <w:p>
            <w:pPr>
              <w:pStyle w:val="TableParagraph"/>
              <w:spacing w:line="268" w:lineRule="exact"/>
              <w:ind w:left="119" w:right="119"/>
              <w:jc w:val="center"/>
              <w:rPr>
                <w:rFonts w:ascii="Times New Roman"/>
                <w:sz w:val="24"/>
              </w:rPr>
            </w:pPr>
            <w:r>
              <w:rPr>
                <w:rFonts w:ascii="Times New Roman"/>
                <w:sz w:val="24"/>
              </w:rPr>
              <w:t>Out-of-Band Emission Limit</w:t>
            </w:r>
          </w:p>
        </w:tc>
      </w:tr>
      <w:tr>
        <w:trPr>
          <w:trHeight w:val="286" w:hRule="exact"/>
        </w:trPr>
        <w:tc>
          <w:tcPr>
            <w:tcW w:w="3149" w:type="dxa"/>
          </w:tcPr>
          <w:p>
            <w:pPr>
              <w:pStyle w:val="TableParagraph"/>
              <w:spacing w:line="268" w:lineRule="exact"/>
              <w:ind w:left="424" w:right="426"/>
              <w:jc w:val="center"/>
              <w:rPr>
                <w:rFonts w:ascii="Times New Roman" w:hAnsi="Times New Roman"/>
                <w:sz w:val="24"/>
              </w:rPr>
            </w:pPr>
            <w:r>
              <w:rPr>
                <w:rFonts w:ascii="Times New Roman" w:hAnsi="Times New Roman"/>
                <w:sz w:val="24"/>
              </w:rPr>
              <w:t>± 0 MHz</w:t>
            </w:r>
          </w:p>
        </w:tc>
        <w:tc>
          <w:tcPr>
            <w:tcW w:w="3062" w:type="dxa"/>
          </w:tcPr>
          <w:p>
            <w:pPr>
              <w:pStyle w:val="TableParagraph"/>
              <w:spacing w:line="268" w:lineRule="exact"/>
              <w:ind w:left="118" w:right="119"/>
              <w:jc w:val="center"/>
              <w:rPr>
                <w:rFonts w:ascii="Times New Roman"/>
                <w:sz w:val="24"/>
              </w:rPr>
            </w:pPr>
            <w:r>
              <w:rPr>
                <w:rFonts w:ascii="Times New Roman"/>
                <w:sz w:val="24"/>
              </w:rPr>
              <w:t>-29 dBm/100 kHz</w:t>
            </w:r>
          </w:p>
        </w:tc>
      </w:tr>
      <w:tr>
        <w:trPr>
          <w:trHeight w:val="286" w:hRule="exact"/>
        </w:trPr>
        <w:tc>
          <w:tcPr>
            <w:tcW w:w="3149" w:type="dxa"/>
          </w:tcPr>
          <w:p>
            <w:pPr>
              <w:pStyle w:val="TableParagraph"/>
              <w:spacing w:line="268" w:lineRule="exact"/>
              <w:ind w:left="424" w:right="425"/>
              <w:jc w:val="center"/>
              <w:rPr>
                <w:rFonts w:ascii="Times New Roman" w:hAnsi="Times New Roman"/>
                <w:sz w:val="24"/>
              </w:rPr>
            </w:pPr>
            <w:r>
              <w:rPr>
                <w:rFonts w:ascii="Times New Roman" w:hAnsi="Times New Roman"/>
                <w:sz w:val="24"/>
              </w:rPr>
              <w:t>± 1.0 MHz</w:t>
            </w:r>
          </w:p>
        </w:tc>
        <w:tc>
          <w:tcPr>
            <w:tcW w:w="3062" w:type="dxa"/>
          </w:tcPr>
          <w:p>
            <w:pPr>
              <w:pStyle w:val="TableParagraph"/>
              <w:spacing w:line="268" w:lineRule="exact"/>
              <w:ind w:left="118" w:right="119"/>
              <w:jc w:val="center"/>
              <w:rPr>
                <w:rFonts w:ascii="Times New Roman"/>
                <w:sz w:val="24"/>
              </w:rPr>
            </w:pPr>
            <w:r>
              <w:rPr>
                <w:rFonts w:ascii="Times New Roman"/>
                <w:sz w:val="24"/>
              </w:rPr>
              <w:t>-35 dBm/100 kHz</w:t>
            </w:r>
          </w:p>
        </w:tc>
      </w:tr>
      <w:tr>
        <w:trPr>
          <w:trHeight w:val="288" w:hRule="exact"/>
        </w:trPr>
        <w:tc>
          <w:tcPr>
            <w:tcW w:w="3149" w:type="dxa"/>
          </w:tcPr>
          <w:p>
            <w:pPr>
              <w:pStyle w:val="TableParagraph"/>
              <w:spacing w:line="270" w:lineRule="exact"/>
              <w:ind w:left="424" w:right="425"/>
              <w:jc w:val="center"/>
              <w:rPr>
                <w:rFonts w:ascii="Times New Roman" w:hAnsi="Times New Roman"/>
                <w:sz w:val="24"/>
              </w:rPr>
            </w:pPr>
            <w:r>
              <w:rPr>
                <w:rFonts w:ascii="Times New Roman" w:hAnsi="Times New Roman"/>
                <w:sz w:val="24"/>
              </w:rPr>
              <w:t>±10 MHz</w:t>
            </w:r>
          </w:p>
        </w:tc>
        <w:tc>
          <w:tcPr>
            <w:tcW w:w="3062" w:type="dxa"/>
          </w:tcPr>
          <w:p>
            <w:pPr>
              <w:pStyle w:val="TableParagraph"/>
              <w:spacing w:line="270" w:lineRule="exact"/>
              <w:ind w:left="118" w:right="119"/>
              <w:jc w:val="center"/>
              <w:rPr>
                <w:rFonts w:ascii="Times New Roman"/>
                <w:sz w:val="24"/>
              </w:rPr>
            </w:pPr>
            <w:r>
              <w:rPr>
                <w:rFonts w:ascii="Times New Roman"/>
                <w:sz w:val="24"/>
              </w:rPr>
              <w:t>-43 dBm/100 kHz</w:t>
            </w:r>
          </w:p>
        </w:tc>
      </w:tr>
      <w:tr>
        <w:trPr>
          <w:trHeight w:val="286" w:hRule="exact"/>
        </w:trPr>
        <w:tc>
          <w:tcPr>
            <w:tcW w:w="3149" w:type="dxa"/>
          </w:tcPr>
          <w:p>
            <w:pPr>
              <w:pStyle w:val="TableParagraph"/>
              <w:spacing w:line="268" w:lineRule="exact"/>
              <w:ind w:left="424" w:right="425"/>
              <w:jc w:val="center"/>
              <w:rPr>
                <w:rFonts w:ascii="Times New Roman" w:hAnsi="Times New Roman"/>
                <w:sz w:val="24"/>
              </w:rPr>
            </w:pPr>
            <w:r>
              <w:rPr>
                <w:rFonts w:ascii="Times New Roman" w:hAnsi="Times New Roman"/>
                <w:sz w:val="24"/>
              </w:rPr>
              <w:t>±20 MHz</w:t>
            </w:r>
          </w:p>
        </w:tc>
        <w:tc>
          <w:tcPr>
            <w:tcW w:w="3062" w:type="dxa"/>
          </w:tcPr>
          <w:p>
            <w:pPr>
              <w:pStyle w:val="TableParagraph"/>
              <w:spacing w:line="268" w:lineRule="exact"/>
              <w:ind w:left="118" w:right="119"/>
              <w:jc w:val="center"/>
              <w:rPr>
                <w:rFonts w:ascii="Times New Roman"/>
                <w:sz w:val="24"/>
              </w:rPr>
            </w:pPr>
            <w:r>
              <w:rPr>
                <w:rFonts w:ascii="Times New Roman"/>
                <w:sz w:val="24"/>
              </w:rPr>
              <w:t>-53 dBm/100 kHz</w:t>
            </w:r>
          </w:p>
        </w:tc>
      </w:tr>
    </w:tbl>
    <w:p>
      <w:pPr>
        <w:pStyle w:val="BodyText"/>
        <w:rPr>
          <w:rFonts w:ascii="Times New Roman"/>
        </w:rPr>
      </w:pPr>
    </w:p>
    <w:p>
      <w:pPr>
        <w:pStyle w:val="BodyText"/>
        <w:spacing w:before="5"/>
        <w:rPr>
          <w:rFonts w:ascii="Times New Roman"/>
          <w:sz w:val="19"/>
        </w:rPr>
      </w:pPr>
    </w:p>
    <w:p>
      <w:pPr>
        <w:spacing w:before="90"/>
        <w:ind w:left="840" w:right="0" w:firstLine="0"/>
        <w:jc w:val="left"/>
        <w:rPr>
          <w:rFonts w:ascii="Times New Roman"/>
          <w:sz w:val="24"/>
        </w:rPr>
      </w:pPr>
      <w:r>
        <w:rPr>
          <w:rFonts w:ascii="Times New Roman"/>
          <w:sz w:val="24"/>
        </w:rPr>
        <w:t>These limits are consistent with the current OOBE limits from Class C DSRC devices.</w:t>
      </w:r>
    </w:p>
    <w:p>
      <w:pPr>
        <w:pStyle w:val="BodyText"/>
        <w:spacing w:before="11"/>
        <w:rPr>
          <w:rFonts w:ascii="Times New Roman"/>
          <w:sz w:val="23"/>
        </w:rPr>
      </w:pPr>
    </w:p>
    <w:p>
      <w:pPr>
        <w:spacing w:line="480" w:lineRule="auto" w:before="0"/>
        <w:ind w:left="119" w:right="160" w:firstLine="720"/>
        <w:jc w:val="both"/>
        <w:rPr>
          <w:rFonts w:ascii="Times New Roman" w:hAnsi="Times New Roman"/>
          <w:sz w:val="24"/>
        </w:rPr>
      </w:pPr>
      <w:r>
        <w:rPr>
          <w:rFonts w:ascii="Times New Roman" w:hAnsi="Times New Roman"/>
          <w:sz w:val="24"/>
        </w:rPr>
        <w:t>All C-V2X OBUs and RSUs also will limit emissions to -25 dBm/100 kHz EIRP or less outside the channel edges of 5905 MHz and 5925 MHz and below the band edge of 5855 MHz. The -25 dBm/100 kHz EIRP limit comes from § 8.10.2.2 of ASTM E2213 – 03.</w:t>
      </w:r>
    </w:p>
    <w:p>
      <w:pPr>
        <w:spacing w:before="10"/>
        <w:ind w:left="840" w:right="0" w:firstLine="0"/>
        <w:jc w:val="left"/>
        <w:rPr>
          <w:rFonts w:ascii="Times New Roman"/>
          <w:sz w:val="24"/>
        </w:rPr>
      </w:pPr>
      <w:r>
        <w:rPr>
          <w:rFonts w:ascii="Times New Roman"/>
          <w:i/>
          <w:sz w:val="24"/>
          <w:u w:val="single"/>
        </w:rPr>
        <w:t>RF Exposure</w:t>
      </w:r>
      <w:r>
        <w:rPr>
          <w:rFonts w:ascii="Times New Roman"/>
          <w:sz w:val="24"/>
        </w:rPr>
        <w:t>.  5GAA proposes that C-V2X devices will be evaluated for RF Exposure</w:t>
      </w:r>
    </w:p>
    <w:p>
      <w:pPr>
        <w:pStyle w:val="BodyText"/>
        <w:spacing w:before="2"/>
        <w:rPr>
          <w:rFonts w:ascii="Times New Roman"/>
          <w:sz w:val="16"/>
        </w:rPr>
      </w:pPr>
    </w:p>
    <w:p>
      <w:pPr>
        <w:spacing w:line="480" w:lineRule="auto" w:before="90"/>
        <w:ind w:left="120" w:right="96" w:firstLine="0"/>
        <w:jc w:val="left"/>
        <w:rPr>
          <w:rFonts w:ascii="Times New Roman" w:hAnsi="Times New Roman"/>
          <w:sz w:val="24"/>
        </w:rPr>
      </w:pPr>
      <w:r>
        <w:rPr>
          <w:rFonts w:ascii="Times New Roman" w:hAnsi="Times New Roman"/>
          <w:sz w:val="24"/>
        </w:rPr>
        <w:t>consistent with the current rules. Devices that would operate in mobile or portable configurations will be evaluated consistent with the procedures in § 2.1091 and § 2.1093, respectively, of the Commission’s rules. RSUs will be required to indicate compliance with the Maximum Permissible Exposure limits in § 1.1310 of the Commission’s rules.</w:t>
      </w:r>
    </w:p>
    <w:p>
      <w:pPr>
        <w:spacing w:before="10"/>
        <w:ind w:left="840" w:right="0" w:firstLine="0"/>
        <w:jc w:val="left"/>
        <w:rPr>
          <w:rFonts w:ascii="Times New Roman"/>
          <w:sz w:val="24"/>
        </w:rPr>
      </w:pPr>
      <w:r>
        <w:rPr>
          <w:rFonts w:ascii="Times New Roman"/>
          <w:i/>
          <w:sz w:val="24"/>
          <w:u w:val="single"/>
        </w:rPr>
        <w:t>Equipment Certification</w:t>
      </w:r>
      <w:r>
        <w:rPr>
          <w:rFonts w:ascii="Times New Roman"/>
          <w:sz w:val="24"/>
        </w:rPr>
        <w:t>.  5GAA proposes that all equipment subject to the waiver must</w:t>
      </w:r>
    </w:p>
    <w:p>
      <w:pPr>
        <w:pStyle w:val="BodyText"/>
        <w:spacing w:before="1"/>
        <w:rPr>
          <w:rFonts w:ascii="Times New Roman"/>
          <w:sz w:val="16"/>
        </w:rPr>
      </w:pPr>
    </w:p>
    <w:p>
      <w:pPr>
        <w:pStyle w:val="Heading5"/>
        <w:spacing w:before="90"/>
        <w:ind w:left="120"/>
      </w:pPr>
      <w:r>
        <w:rPr/>
        <w:t>be certified in accordance with Subpart J of Part 2 of the Commission’s rules.</w:t>
      </w:r>
    </w:p>
    <w:p>
      <w:pPr>
        <w:pStyle w:val="BodyText"/>
        <w:spacing w:before="10"/>
        <w:rPr>
          <w:rFonts w:ascii="Times New Roman"/>
          <w:sz w:val="23"/>
        </w:rPr>
      </w:pPr>
    </w:p>
    <w:p>
      <w:pPr>
        <w:spacing w:before="1"/>
        <w:ind w:left="840" w:right="0" w:firstLine="0"/>
        <w:jc w:val="left"/>
        <w:rPr>
          <w:rFonts w:ascii="Times New Roman"/>
          <w:sz w:val="24"/>
        </w:rPr>
      </w:pPr>
      <w:r>
        <w:rPr>
          <w:rFonts w:ascii="Times New Roman"/>
          <w:i/>
          <w:sz w:val="24"/>
          <w:u w:val="single"/>
        </w:rPr>
        <w:t>Antenna Height for RSUs</w:t>
      </w:r>
      <w:r>
        <w:rPr>
          <w:rFonts w:ascii="Times New Roman"/>
          <w:sz w:val="24"/>
        </w:rPr>
        <w:t>.  5GAA proposes that an RSU may employ an antenna with a</w:t>
      </w:r>
    </w:p>
    <w:p>
      <w:pPr>
        <w:pStyle w:val="BodyText"/>
        <w:spacing w:before="2"/>
        <w:rPr>
          <w:rFonts w:ascii="Times New Roman"/>
          <w:sz w:val="16"/>
        </w:rPr>
      </w:pPr>
    </w:p>
    <w:p>
      <w:pPr>
        <w:pStyle w:val="Heading5"/>
        <w:spacing w:line="480" w:lineRule="auto" w:before="90"/>
        <w:ind w:left="120" w:right="148"/>
        <w:jc w:val="both"/>
      </w:pPr>
      <w:r>
        <w:rPr/>
        <w:t>height not to exceed 8 meters, with the exception that the antenna height may be between 8 and 15 meters provided the EIRP is reduced by a factor of 20 log(Ht/8) in dB where Ht is the height of the radiation center of the antenna in meters above the roadway bed surface.  The EIRP is</w:t>
      </w:r>
    </w:p>
    <w:p>
      <w:pPr>
        <w:spacing w:after="0" w:line="480" w:lineRule="auto"/>
        <w:jc w:val="both"/>
        <w:sectPr>
          <w:headerReference w:type="default" r:id="rId94"/>
          <w:footerReference w:type="default" r:id="rId95"/>
          <w:pgSz w:w="12240" w:h="15840"/>
          <w:pgMar w:header="0" w:footer="1070" w:top="1360" w:bottom="1260" w:left="1320" w:right="1460"/>
          <w:pgNumType w:start="29"/>
        </w:sectPr>
      </w:pPr>
    </w:p>
    <w:p>
      <w:pPr>
        <w:spacing w:line="480" w:lineRule="auto" w:before="72"/>
        <w:ind w:left="100" w:right="0" w:firstLine="0"/>
        <w:jc w:val="left"/>
        <w:rPr>
          <w:rFonts w:ascii="Times New Roman"/>
          <w:sz w:val="24"/>
        </w:rPr>
      </w:pPr>
      <w:r>
        <w:rPr>
          <w:rFonts w:ascii="Times New Roman"/>
          <w:sz w:val="24"/>
        </w:rPr>
        <w:t>measured as the maximum EIRP toward the horizon or horizontal, whichever is greater, of the gain associated with the main or center of the transmission beam. The RSU antenna height shall not exceed 15 meters above the roadway bed surface.  This proposal is consistent with</w:t>
      </w:r>
    </w:p>
    <w:p>
      <w:pPr>
        <w:spacing w:before="10"/>
        <w:ind w:left="100" w:right="0" w:firstLine="0"/>
        <w:jc w:val="left"/>
        <w:rPr>
          <w:rFonts w:ascii="Times New Roman" w:hAnsi="Times New Roman"/>
          <w:sz w:val="24"/>
        </w:rPr>
      </w:pPr>
      <w:r>
        <w:rPr>
          <w:rFonts w:ascii="Times New Roman" w:hAnsi="Times New Roman"/>
          <w:sz w:val="24"/>
        </w:rPr>
        <w:t>§ 90.377(b) of the rules for DSRC RSUs.</w:t>
      </w:r>
    </w:p>
    <w:p>
      <w:pPr>
        <w:pStyle w:val="BodyText"/>
        <w:spacing w:before="11"/>
        <w:rPr>
          <w:rFonts w:ascii="Times New Roman"/>
          <w:sz w:val="23"/>
        </w:rPr>
      </w:pPr>
    </w:p>
    <w:p>
      <w:pPr>
        <w:spacing w:before="0"/>
        <w:ind w:left="820" w:right="0" w:firstLine="0"/>
        <w:jc w:val="left"/>
        <w:rPr>
          <w:rFonts w:ascii="Times New Roman"/>
          <w:sz w:val="24"/>
        </w:rPr>
      </w:pPr>
      <w:r>
        <w:rPr>
          <w:rFonts w:ascii="Times New Roman"/>
          <w:i/>
          <w:sz w:val="24"/>
          <w:u w:val="single"/>
        </w:rPr>
        <w:t>Permitted Uses</w:t>
      </w:r>
      <w:r>
        <w:rPr>
          <w:rFonts w:ascii="Times New Roman"/>
          <w:sz w:val="24"/>
        </w:rPr>
        <w:t>.  5GAA proposes that communications permitted under this waiver will</w:t>
      </w:r>
    </w:p>
    <w:p>
      <w:pPr>
        <w:pStyle w:val="BodyText"/>
        <w:spacing w:before="2"/>
        <w:rPr>
          <w:rFonts w:ascii="Times New Roman"/>
          <w:sz w:val="16"/>
        </w:rPr>
      </w:pPr>
    </w:p>
    <w:p>
      <w:pPr>
        <w:spacing w:line="480" w:lineRule="auto" w:before="89"/>
        <w:ind w:left="100" w:right="216" w:firstLine="0"/>
        <w:jc w:val="left"/>
        <w:rPr>
          <w:rFonts w:ascii="Times New Roman"/>
          <w:sz w:val="24"/>
        </w:rPr>
      </w:pPr>
      <w:r>
        <w:rPr>
          <w:rFonts w:ascii="Times New Roman"/>
          <w:sz w:val="24"/>
        </w:rPr>
        <w:t>include messages such as the Basic Safety Message, Signal Phase and Timing, Emergency Vehicle Alert, Probe Data Management, Probe Vehicle Data, Signal Request Message, Signal Status Message, Geometric Intersection Description, Traveler Information Message, and others encompassed by the Road Safety Message.</w:t>
      </w:r>
    </w:p>
    <w:p>
      <w:pPr>
        <w:spacing w:before="9"/>
        <w:ind w:left="820" w:right="0" w:firstLine="0"/>
        <w:jc w:val="left"/>
        <w:rPr>
          <w:rFonts w:ascii="Times New Roman"/>
          <w:sz w:val="24"/>
        </w:rPr>
      </w:pPr>
      <w:r>
        <w:rPr>
          <w:rFonts w:ascii="Times New Roman"/>
          <w:i/>
          <w:sz w:val="24"/>
          <w:u w:val="single"/>
        </w:rPr>
        <w:t>Licensing</w:t>
      </w:r>
      <w:r>
        <w:rPr>
          <w:rFonts w:ascii="Times New Roman"/>
          <w:sz w:val="24"/>
        </w:rPr>
        <w:t>.  The proposal that On-Board and Portable Units should be licensed by rule is</w:t>
      </w:r>
    </w:p>
    <w:p>
      <w:pPr>
        <w:pStyle w:val="BodyText"/>
        <w:spacing w:before="1"/>
        <w:rPr>
          <w:rFonts w:ascii="Times New Roman"/>
          <w:sz w:val="16"/>
        </w:rPr>
      </w:pPr>
    </w:p>
    <w:p>
      <w:pPr>
        <w:spacing w:line="480" w:lineRule="auto" w:before="90"/>
        <w:ind w:left="100" w:right="102" w:firstLine="0"/>
        <w:jc w:val="left"/>
        <w:rPr>
          <w:rFonts w:ascii="Times New Roman"/>
          <w:sz w:val="24"/>
        </w:rPr>
      </w:pPr>
      <w:r>
        <w:rPr>
          <w:rFonts w:ascii="Times New Roman"/>
          <w:sz w:val="24"/>
        </w:rPr>
        <w:t>consistent with the approach used for DSRC On-Board Units. Individuals operating On-Board and Portable Units would not require a station license issued by the FCC.</w:t>
      </w:r>
    </w:p>
    <w:p>
      <w:pPr>
        <w:spacing w:line="480" w:lineRule="auto" w:before="9"/>
        <w:ind w:left="100" w:right="461" w:firstLine="720"/>
        <w:jc w:val="left"/>
        <w:rPr>
          <w:rFonts w:ascii="Times New Roman" w:hAnsi="Times New Roman"/>
          <w:sz w:val="24"/>
        </w:rPr>
      </w:pPr>
      <w:r>
        <w:rPr>
          <w:rFonts w:ascii="Times New Roman" w:hAnsi="Times New Roman"/>
          <w:sz w:val="24"/>
        </w:rPr>
        <w:t>5GAA proposes that parties desiring to operate RSUs should apply for non-exclusive nationwide licenses with individual site registration through the FCC’s Universal Licensing System (“ULS”). C-V2X RSU operators will comply with the process used by operators of DSRC RSUs detailed in § 9.375(b).</w:t>
      </w:r>
    </w:p>
    <w:p>
      <w:pPr>
        <w:spacing w:before="9"/>
        <w:ind w:left="820" w:right="0" w:firstLine="0"/>
        <w:jc w:val="left"/>
        <w:rPr>
          <w:rFonts w:ascii="Times New Roman"/>
          <w:sz w:val="24"/>
        </w:rPr>
      </w:pPr>
      <w:r>
        <w:rPr>
          <w:rFonts w:ascii="Times New Roman"/>
          <w:i/>
          <w:sz w:val="24"/>
          <w:u w:val="single"/>
        </w:rPr>
        <w:t>Eligibility to Operate RSUs</w:t>
      </w:r>
      <w:r>
        <w:rPr>
          <w:rFonts w:ascii="Times New Roman"/>
          <w:sz w:val="24"/>
        </w:rPr>
        <w:t>.  5GAA proposes that any territory, possession, state, city,</w:t>
      </w:r>
    </w:p>
    <w:p>
      <w:pPr>
        <w:pStyle w:val="BodyText"/>
        <w:spacing w:before="1"/>
        <w:rPr>
          <w:rFonts w:ascii="Times New Roman"/>
          <w:sz w:val="16"/>
        </w:rPr>
      </w:pPr>
    </w:p>
    <w:p>
      <w:pPr>
        <w:pStyle w:val="Heading5"/>
        <w:spacing w:line="480" w:lineRule="auto" w:before="90"/>
        <w:ind w:left="100" w:right="275"/>
      </w:pPr>
      <w:r>
        <w:rPr/>
        <w:t>county, town or similar governmental entity will be eligible to hold an authorization to operate RSUs. Any entity meeting the eligibility requirements of § 90.33 or § 90.35 would also be eligible to hold an authorization to operate RSUs.</w:t>
      </w:r>
    </w:p>
    <w:p>
      <w:pPr>
        <w:spacing w:before="9"/>
        <w:ind w:left="820" w:right="0" w:firstLine="0"/>
        <w:jc w:val="left"/>
        <w:rPr>
          <w:rFonts w:ascii="Times New Roman"/>
          <w:sz w:val="24"/>
        </w:rPr>
      </w:pPr>
      <w:r>
        <w:rPr>
          <w:rFonts w:ascii="Times New Roman"/>
          <w:i/>
          <w:sz w:val="24"/>
          <w:u w:val="single"/>
        </w:rPr>
        <w:t>Coordination of RSUs</w:t>
      </w:r>
      <w:r>
        <w:rPr>
          <w:rFonts w:ascii="Times New Roman"/>
          <w:sz w:val="24"/>
        </w:rPr>
        <w:t>.  5GAA proposes that all RSUs shall not receive protection from</w:t>
      </w:r>
    </w:p>
    <w:p>
      <w:pPr>
        <w:pStyle w:val="BodyText"/>
        <w:spacing w:before="1"/>
        <w:rPr>
          <w:rFonts w:ascii="Times New Roman"/>
          <w:sz w:val="16"/>
        </w:rPr>
      </w:pPr>
    </w:p>
    <w:p>
      <w:pPr>
        <w:pStyle w:val="Heading5"/>
        <w:spacing w:line="480" w:lineRule="auto" w:before="90"/>
        <w:ind w:left="100" w:right="301"/>
      </w:pPr>
      <w:r>
        <w:rPr/>
        <w:t>Government Radiolocation services in operation prior to the establishment of the RSU station. Operation of C-V2X RSU stations within 75 kilometers of the locations listed in the table in</w:t>
      </w:r>
    </w:p>
    <w:p>
      <w:pPr>
        <w:spacing w:after="0" w:line="480" w:lineRule="auto"/>
        <w:sectPr>
          <w:headerReference w:type="default" r:id="rId96"/>
          <w:footerReference w:type="default" r:id="rId97"/>
          <w:pgSz w:w="12240" w:h="15840"/>
          <w:pgMar w:header="0" w:footer="1070" w:top="1360" w:bottom="1260" w:left="1340" w:right="1420"/>
          <w:pgNumType w:start="30"/>
        </w:sectPr>
      </w:pPr>
    </w:p>
    <w:p>
      <w:pPr>
        <w:spacing w:line="480" w:lineRule="auto" w:before="72"/>
        <w:ind w:left="100" w:right="842" w:firstLine="0"/>
        <w:jc w:val="left"/>
        <w:rPr>
          <w:rFonts w:ascii="Times New Roman" w:hAnsi="Times New Roman"/>
          <w:sz w:val="24"/>
        </w:rPr>
      </w:pPr>
      <w:r>
        <w:rPr>
          <w:rFonts w:ascii="Times New Roman" w:hAnsi="Times New Roman"/>
          <w:sz w:val="24"/>
        </w:rPr>
        <w:t>§ 90.371 must be coordinated through the National Telecommunications and Information Administration.</w:t>
      </w:r>
    </w:p>
    <w:p>
      <w:pPr>
        <w:spacing w:before="10"/>
        <w:ind w:left="820" w:right="0" w:firstLine="0"/>
        <w:jc w:val="left"/>
        <w:rPr>
          <w:rFonts w:ascii="Times New Roman"/>
          <w:sz w:val="24"/>
        </w:rPr>
      </w:pPr>
      <w:r>
        <w:rPr>
          <w:rFonts w:ascii="Times New Roman"/>
          <w:i/>
          <w:sz w:val="24"/>
          <w:u w:val="single"/>
        </w:rPr>
        <w:t>RSUs near the U.S./Canada or U.S./Mexico Border</w:t>
      </w:r>
      <w:r>
        <w:rPr>
          <w:rFonts w:ascii="Times New Roman"/>
          <w:sz w:val="24"/>
        </w:rPr>
        <w:t>.  5GAA proposes that RSUs will be</w:t>
      </w:r>
    </w:p>
    <w:p>
      <w:pPr>
        <w:pStyle w:val="BodyText"/>
        <w:spacing w:before="1"/>
        <w:rPr>
          <w:rFonts w:ascii="Times New Roman"/>
          <w:sz w:val="16"/>
        </w:rPr>
      </w:pPr>
    </w:p>
    <w:p>
      <w:pPr>
        <w:pStyle w:val="Heading5"/>
        <w:spacing w:before="90"/>
        <w:ind w:left="100"/>
      </w:pPr>
      <w:r>
        <w:rPr/>
        <w:t>subject to the international coordination conditions identified in § 90.383 of the FCC Rules.</w:t>
      </w:r>
    </w:p>
    <w:p>
      <w:pPr>
        <w:pStyle w:val="BodyText"/>
        <w:spacing w:before="9"/>
        <w:rPr>
          <w:rFonts w:ascii="Times New Roman"/>
          <w:sz w:val="34"/>
        </w:rPr>
      </w:pPr>
    </w:p>
    <w:p>
      <w:pPr>
        <w:pStyle w:val="ListParagraph"/>
        <w:numPr>
          <w:ilvl w:val="2"/>
          <w:numId w:val="2"/>
        </w:numPr>
        <w:tabs>
          <w:tab w:pos="819" w:val="left" w:leader="none"/>
          <w:tab w:pos="820" w:val="left" w:leader="none"/>
        </w:tabs>
        <w:spacing w:line="240" w:lineRule="auto" w:before="0" w:after="0"/>
        <w:ind w:left="820" w:right="0" w:hanging="720"/>
        <w:jc w:val="left"/>
        <w:rPr>
          <w:rFonts w:ascii="Times New Roman"/>
          <w:b/>
          <w:sz w:val="24"/>
        </w:rPr>
      </w:pPr>
      <w:bookmarkStart w:name="V. Conclusion" w:id="118"/>
      <w:bookmarkEnd w:id="118"/>
      <w:r>
        <w:rPr/>
      </w:r>
      <w:bookmarkStart w:name="_bookmark91" w:id="119"/>
      <w:bookmarkEnd w:id="119"/>
      <w:r>
        <w:rPr/>
      </w:r>
      <w:bookmarkStart w:name="_bookmark91" w:id="120"/>
      <w:bookmarkEnd w:id="120"/>
      <w:r>
        <w:rPr>
          <w:rFonts w:ascii="Times New Roman"/>
          <w:b/>
          <w:sz w:val="24"/>
        </w:rPr>
        <w:t>C</w:t>
      </w:r>
      <w:r>
        <w:rPr>
          <w:rFonts w:ascii="Times New Roman"/>
          <w:b/>
          <w:sz w:val="24"/>
        </w:rPr>
        <w:t>onclusion</w:t>
      </w:r>
    </w:p>
    <w:p>
      <w:pPr>
        <w:pStyle w:val="BodyText"/>
        <w:spacing w:before="5"/>
        <w:rPr>
          <w:rFonts w:ascii="Times New Roman"/>
          <w:b/>
        </w:rPr>
      </w:pPr>
    </w:p>
    <w:p>
      <w:pPr>
        <w:spacing w:line="480" w:lineRule="auto" w:before="0"/>
        <w:ind w:left="100" w:right="95" w:firstLine="720"/>
        <w:jc w:val="left"/>
        <w:rPr>
          <w:rFonts w:ascii="Times New Roman" w:hAnsi="Times New Roman"/>
          <w:sz w:val="24"/>
        </w:rPr>
      </w:pPr>
      <w:r>
        <w:rPr>
          <w:rFonts w:ascii="Times New Roman" w:hAnsi="Times New Roman"/>
          <w:sz w:val="24"/>
        </w:rPr>
        <w:t>Permitting C-V2X operations in the upper 20 MHz portion of the 5.9 GHz band, subject to the conditions detailed herein, would have substantial, long term benefits without causing a material impact on any current DSRC operations or increasing any risk of interference to other authorized users of the band. Rather than undermine the underlying purpose of the rules, the requested waiver will help facilitate the deployment of robust ITS services to Americans and realize the benefits that Congress, the DOT and the FCC have envisioned for decades: improving traveler safety and mobility, decreasing traffic congestion, facilitating the reduction of air pollution, and conserving vital fossil fuels by incorporating technology and advanced electronics into the nation’s transportation infrastructure.</w:t>
      </w:r>
    </w:p>
    <w:p>
      <w:pPr>
        <w:spacing w:after="0" w:line="480" w:lineRule="auto"/>
        <w:jc w:val="left"/>
        <w:rPr>
          <w:rFonts w:ascii="Times New Roman" w:hAnsi="Times New Roman"/>
          <w:sz w:val="24"/>
        </w:rPr>
        <w:sectPr>
          <w:headerReference w:type="default" r:id="rId98"/>
          <w:footerReference w:type="default" r:id="rId99"/>
          <w:pgSz w:w="12240" w:h="15840"/>
          <w:pgMar w:header="0" w:footer="1070" w:top="1360" w:bottom="1260" w:left="1340" w:right="1360"/>
          <w:pgNumType w:start="31"/>
        </w:sectPr>
      </w:pPr>
    </w:p>
    <w:p>
      <w:pPr>
        <w:spacing w:line="465" w:lineRule="auto" w:before="72"/>
        <w:ind w:left="120" w:right="95" w:firstLine="720"/>
        <w:jc w:val="left"/>
        <w:rPr>
          <w:rFonts w:ascii="Times New Roman" w:hAnsi="Times New Roman"/>
          <w:sz w:val="24"/>
        </w:rPr>
      </w:pPr>
      <w:r>
        <w:rPr>
          <w:rFonts w:ascii="Times New Roman" w:hAnsi="Times New Roman"/>
          <w:sz w:val="24"/>
        </w:rPr>
        <w:t>Based upon the foregoing, 5GAA respectfully requests a blanket waiver of footnote NG160 to Section 2.106 of the Commission’s rules,</w:t>
      </w:r>
      <w:hyperlink w:history="true" w:anchor="_bookmark92">
        <w:r>
          <w:rPr>
            <w:rFonts w:ascii="Times New Roman" w:hAnsi="Times New Roman"/>
            <w:position w:val="11"/>
            <w:sz w:val="16"/>
          </w:rPr>
          <w:t>75</w:t>
        </w:r>
      </w:hyperlink>
      <w:r>
        <w:rPr>
          <w:rFonts w:ascii="Times New Roman" w:hAnsi="Times New Roman"/>
          <w:position w:val="11"/>
          <w:sz w:val="16"/>
        </w:rPr>
        <w:t> </w:t>
      </w:r>
      <w:r>
        <w:rPr>
          <w:rFonts w:ascii="Times New Roman" w:hAnsi="Times New Roman"/>
          <w:sz w:val="24"/>
        </w:rPr>
        <w:t>subject to the conditions described in </w:t>
      </w:r>
      <w:r>
        <w:rPr>
          <w:rFonts w:ascii="Times New Roman" w:hAnsi="Times New Roman"/>
          <w:sz w:val="24"/>
          <w:u w:val="single"/>
        </w:rPr>
        <w:t>Appendix D</w:t>
      </w:r>
      <w:r>
        <w:rPr>
          <w:rFonts w:ascii="Times New Roman" w:hAnsi="Times New Roman"/>
          <w:sz w:val="24"/>
        </w:rPr>
        <w:t>, to allow for the deployment of C-V2X technology in the 5.905-5.925 GHz range of</w:t>
      </w:r>
    </w:p>
    <w:p>
      <w:pPr>
        <w:spacing w:line="480" w:lineRule="auto" w:before="26"/>
        <w:ind w:left="119" w:right="503" w:firstLine="0"/>
        <w:jc w:val="left"/>
        <w:rPr>
          <w:rFonts w:ascii="Times New Roman"/>
          <w:sz w:val="24"/>
        </w:rPr>
      </w:pPr>
      <w:r>
        <w:rPr>
          <w:rFonts w:ascii="Times New Roman"/>
          <w:sz w:val="24"/>
        </w:rPr>
        <w:t>the 5.9 GHz band, and to facilitate the wide-spread deployment of C-V2X technology across America.</w:t>
      </w:r>
    </w:p>
    <w:p>
      <w:pPr>
        <w:pStyle w:val="BodyText"/>
        <w:spacing w:before="8"/>
        <w:rPr>
          <w:rFonts w:ascii="Times New Roman"/>
          <w:sz w:val="21"/>
        </w:rPr>
      </w:pPr>
    </w:p>
    <w:p>
      <w:pPr>
        <w:spacing w:before="0"/>
        <w:ind w:left="5160" w:right="0" w:firstLine="0"/>
        <w:jc w:val="left"/>
        <w:rPr>
          <w:rFonts w:ascii="Times New Roman"/>
          <w:sz w:val="24"/>
        </w:rPr>
      </w:pPr>
      <w:r>
        <w:rPr>
          <w:rFonts w:ascii="Times New Roman"/>
          <w:sz w:val="24"/>
        </w:rPr>
        <w:t>Respectfully submitted,</w:t>
      </w:r>
    </w:p>
    <w:p>
      <w:pPr>
        <w:pStyle w:val="BodyText"/>
        <w:spacing w:before="4"/>
        <w:rPr>
          <w:rFonts w:ascii="Times New Roman"/>
          <w:sz w:val="24"/>
        </w:rPr>
      </w:pPr>
    </w:p>
    <w:p>
      <w:pPr>
        <w:spacing w:before="0"/>
        <w:ind w:left="5160" w:right="0" w:firstLine="0"/>
        <w:jc w:val="left"/>
        <w:rPr>
          <w:rFonts w:ascii="Times New Roman"/>
          <w:b/>
          <w:sz w:val="24"/>
        </w:rPr>
      </w:pPr>
      <w:r>
        <w:rPr>
          <w:rFonts w:ascii="Times New Roman"/>
          <w:b/>
          <w:sz w:val="24"/>
        </w:rPr>
        <w:t>5G Automotive Association</w:t>
      </w:r>
    </w:p>
    <w:p>
      <w:pPr>
        <w:pStyle w:val="BodyText"/>
        <w:rPr>
          <w:rFonts w:ascii="Times New Roman"/>
          <w:b/>
          <w:sz w:val="26"/>
        </w:rPr>
      </w:pPr>
    </w:p>
    <w:p>
      <w:pPr>
        <w:pStyle w:val="BodyText"/>
        <w:rPr>
          <w:rFonts w:ascii="Times New Roman"/>
          <w:b/>
          <w:sz w:val="26"/>
        </w:rPr>
      </w:pPr>
    </w:p>
    <w:p>
      <w:pPr>
        <w:tabs>
          <w:tab w:pos="8759" w:val="left" w:leader="none"/>
        </w:tabs>
        <w:spacing w:before="225"/>
        <w:ind w:left="5160" w:right="778" w:firstLine="0"/>
        <w:jc w:val="left"/>
        <w:rPr>
          <w:rFonts w:ascii="Times New Roman"/>
          <w:sz w:val="24"/>
        </w:rPr>
      </w:pPr>
      <w:r>
        <w:rPr>
          <w:rFonts w:ascii="Times New Roman"/>
          <w:sz w:val="24"/>
          <w:u w:val="single"/>
        </w:rPr>
        <w:t>/s/ Sean T.</w:t>
      </w:r>
      <w:r>
        <w:rPr>
          <w:rFonts w:ascii="Times New Roman"/>
          <w:spacing w:val="-7"/>
          <w:sz w:val="24"/>
          <w:u w:val="single"/>
        </w:rPr>
        <w:t> </w:t>
      </w:r>
      <w:r>
        <w:rPr>
          <w:rFonts w:ascii="Times New Roman"/>
          <w:sz w:val="24"/>
          <w:u w:val="single"/>
        </w:rPr>
        <w:t>Conway,</w:t>
      </w:r>
      <w:r>
        <w:rPr>
          <w:rFonts w:ascii="Times New Roman"/>
          <w:spacing w:val="-3"/>
          <w:sz w:val="24"/>
          <w:u w:val="single"/>
        </w:rPr>
        <w:t> </w:t>
      </w:r>
      <w:r>
        <w:rPr>
          <w:rFonts w:ascii="Times New Roman"/>
          <w:sz w:val="24"/>
          <w:u w:val="single"/>
        </w:rPr>
        <w:t>Esq.</w:t>
        <w:tab/>
      </w:r>
      <w:r>
        <w:rPr>
          <w:rFonts w:ascii="Times New Roman"/>
          <w:sz w:val="24"/>
        </w:rPr>
        <w:t> Sean T. Conway,</w:t>
      </w:r>
      <w:r>
        <w:rPr>
          <w:rFonts w:ascii="Times New Roman"/>
          <w:spacing w:val="-8"/>
          <w:sz w:val="24"/>
        </w:rPr>
        <w:t> </w:t>
      </w:r>
      <w:r>
        <w:rPr>
          <w:rFonts w:ascii="Times New Roman"/>
          <w:sz w:val="24"/>
        </w:rPr>
        <w:t>Esq.</w:t>
      </w:r>
    </w:p>
    <w:p>
      <w:pPr>
        <w:spacing w:before="0"/>
        <w:ind w:left="5160" w:right="1573" w:firstLine="0"/>
        <w:jc w:val="left"/>
        <w:rPr>
          <w:rFonts w:ascii="Times New Roman"/>
          <w:sz w:val="24"/>
        </w:rPr>
      </w:pPr>
      <w:r>
        <w:rPr>
          <w:rFonts w:ascii="Times New Roman"/>
          <w:sz w:val="24"/>
        </w:rPr>
        <w:t>Kelly A. Donohue, Esq. Mark A. Settle, P.E.</w:t>
      </w:r>
    </w:p>
    <w:p>
      <w:pPr>
        <w:pStyle w:val="BodyText"/>
        <w:spacing w:before="11"/>
        <w:rPr>
          <w:rFonts w:ascii="Times New Roman"/>
          <w:sz w:val="23"/>
        </w:rPr>
      </w:pPr>
    </w:p>
    <w:p>
      <w:pPr>
        <w:spacing w:before="0"/>
        <w:ind w:left="5160" w:right="1334" w:firstLine="0"/>
        <w:jc w:val="left"/>
        <w:rPr>
          <w:rFonts w:ascii="Times New Roman"/>
          <w:sz w:val="24"/>
        </w:rPr>
      </w:pPr>
      <w:r>
        <w:rPr>
          <w:rFonts w:ascii="Times New Roman"/>
          <w:color w:val="0000FF"/>
          <w:sz w:val="24"/>
          <w:u w:val="single" w:color="0000FF"/>
        </w:rPr>
        <w:t>Wilkinson Barker Knauer, LLP </w:t>
      </w:r>
      <w:r>
        <w:rPr>
          <w:rFonts w:ascii="Times New Roman"/>
          <w:sz w:val="24"/>
        </w:rPr>
        <w:t>1800 M Street, NW</w:t>
      </w:r>
    </w:p>
    <w:p>
      <w:pPr>
        <w:spacing w:before="0"/>
        <w:ind w:left="5160" w:right="2086" w:firstLine="0"/>
        <w:jc w:val="left"/>
        <w:rPr>
          <w:rFonts w:ascii="Times New Roman"/>
          <w:sz w:val="24"/>
        </w:rPr>
      </w:pPr>
      <w:r>
        <w:rPr>
          <w:rFonts w:ascii="Times New Roman"/>
          <w:sz w:val="24"/>
        </w:rPr>
        <w:t>Suite 800N Washington, DC 20036</w:t>
      </w:r>
    </w:p>
    <w:p>
      <w:pPr>
        <w:spacing w:before="0"/>
        <w:ind w:left="5160" w:right="0" w:firstLine="0"/>
        <w:jc w:val="left"/>
        <w:rPr>
          <w:rFonts w:ascii="Times New Roman"/>
          <w:sz w:val="24"/>
        </w:rPr>
      </w:pPr>
      <w:r>
        <w:rPr>
          <w:rFonts w:ascii="Times New Roman"/>
          <w:sz w:val="24"/>
        </w:rPr>
        <w:t>(202) 783-4141</w:t>
      </w:r>
    </w:p>
    <w:p>
      <w:pPr>
        <w:pStyle w:val="BodyText"/>
        <w:spacing w:before="11"/>
        <w:rPr>
          <w:rFonts w:ascii="Times New Roman"/>
          <w:sz w:val="23"/>
        </w:rPr>
      </w:pPr>
    </w:p>
    <w:p>
      <w:pPr>
        <w:spacing w:before="0"/>
        <w:ind w:left="5160" w:right="0" w:firstLine="0"/>
        <w:jc w:val="left"/>
        <w:rPr>
          <w:rFonts w:ascii="Times New Roman"/>
          <w:sz w:val="24"/>
        </w:rPr>
      </w:pPr>
      <w:r>
        <w:rPr>
          <w:rFonts w:ascii="Times New Roman"/>
          <w:sz w:val="24"/>
        </w:rPr>
        <w:t>Its Counsel</w:t>
      </w:r>
    </w:p>
    <w:p>
      <w:pPr>
        <w:pStyle w:val="BodyText"/>
        <w:rPr>
          <w:rFonts w:ascii="Times New Roman"/>
          <w:sz w:val="26"/>
        </w:rPr>
      </w:pPr>
    </w:p>
    <w:p>
      <w:pPr>
        <w:pStyle w:val="BodyText"/>
        <w:rPr>
          <w:rFonts w:ascii="Times New Roman"/>
          <w:sz w:val="26"/>
        </w:rPr>
      </w:pPr>
    </w:p>
    <w:p>
      <w:pPr>
        <w:spacing w:before="230"/>
        <w:ind w:left="120" w:right="0" w:firstLine="0"/>
        <w:jc w:val="left"/>
        <w:rPr>
          <w:rFonts w:ascii="Times New Roman"/>
          <w:sz w:val="24"/>
        </w:rPr>
      </w:pPr>
      <w:r>
        <w:rPr>
          <w:rFonts w:ascii="Times New Roman"/>
          <w:sz w:val="24"/>
        </w:rPr>
        <w:t>November 21, 2018</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3"/>
        <w:rPr>
          <w:rFonts w:ascii="Times New Roman"/>
          <w:sz w:val="14"/>
        </w:rPr>
      </w:pPr>
      <w:r>
        <w:rPr/>
        <w:pict>
          <v:line style="position:absolute;mso-position-horizontal-relative:page;mso-position-vertical-relative:paragraph;z-index:1744;mso-wrap-distance-left:0;mso-wrap-distance-right:0" from="72pt,10.478584pt" to="216pt,10.478584pt" stroked="true" strokeweight=".6pt" strokecolor="#000000">
            <v:stroke dashstyle="solid"/>
            <w10:wrap type="topAndBottom"/>
          </v:line>
        </w:pict>
      </w:r>
    </w:p>
    <w:p>
      <w:pPr>
        <w:pStyle w:val="BodyText"/>
        <w:spacing w:before="50"/>
        <w:ind w:left="120"/>
        <w:rPr>
          <w:rFonts w:ascii="Times New Roman" w:hAnsi="Times New Roman"/>
        </w:rPr>
      </w:pPr>
      <w:bookmarkStart w:name="_bookmark92" w:id="121"/>
      <w:bookmarkEnd w:id="121"/>
      <w:r>
        <w:rPr/>
      </w:r>
      <w:r>
        <w:rPr>
          <w:rFonts w:ascii="Times New Roman" w:hAnsi="Times New Roman"/>
          <w:position w:val="9"/>
          <w:sz w:val="13"/>
        </w:rPr>
        <w:t>75 </w:t>
      </w:r>
      <w:r>
        <w:rPr>
          <w:rFonts w:ascii="Times New Roman" w:hAnsi="Times New Roman"/>
        </w:rPr>
        <w:t>47 C.F.R. § 2.106, NG160.</w:t>
      </w:r>
    </w:p>
    <w:p>
      <w:pPr>
        <w:spacing w:after="0"/>
        <w:rPr>
          <w:rFonts w:ascii="Times New Roman" w:hAnsi="Times New Roman"/>
        </w:rPr>
        <w:sectPr>
          <w:headerReference w:type="default" r:id="rId100"/>
          <w:footerReference w:type="default" r:id="rId101"/>
          <w:pgSz w:w="12240" w:h="15840"/>
          <w:pgMar w:header="0" w:footer="1070" w:top="1360" w:bottom="1260" w:left="1320" w:right="1380"/>
          <w:pgNumType w:start="32"/>
        </w:sectPr>
      </w:pPr>
    </w:p>
    <w:p>
      <w:pPr>
        <w:spacing w:before="76"/>
        <w:ind w:left="2709" w:right="0" w:firstLine="0"/>
        <w:jc w:val="left"/>
        <w:rPr>
          <w:rFonts w:ascii="Times New Roman"/>
          <w:b/>
          <w:sz w:val="24"/>
        </w:rPr>
      </w:pPr>
      <w:bookmarkStart w:name="Appendix A - 5GAA Membership" w:id="122"/>
      <w:bookmarkEnd w:id="122"/>
      <w:r>
        <w:rPr/>
      </w:r>
      <w:bookmarkStart w:name="_bookmark93" w:id="123"/>
      <w:bookmarkEnd w:id="123"/>
      <w:r>
        <w:rPr/>
      </w:r>
      <w:r>
        <w:rPr>
          <w:rFonts w:ascii="Times New Roman"/>
          <w:b/>
          <w:sz w:val="24"/>
        </w:rPr>
        <w:t>Appendix A - 5GAA Membership</w:t>
      </w:r>
    </w:p>
    <w:p>
      <w:pPr>
        <w:pStyle w:val="BodyText"/>
        <w:spacing w:before="1"/>
        <w:rPr>
          <w:rFonts w:ascii="Times New Roman"/>
          <w:b/>
          <w:sz w:val="16"/>
        </w:rPr>
      </w:pPr>
    </w:p>
    <w:p>
      <w:pPr>
        <w:spacing w:before="90"/>
        <w:ind w:left="480" w:right="0" w:firstLine="0"/>
        <w:jc w:val="left"/>
        <w:rPr>
          <w:rFonts w:ascii="Times New Roman"/>
          <w:b/>
          <w:sz w:val="24"/>
        </w:rPr>
      </w:pPr>
      <w:hyperlink r:id="rId104">
        <w:r>
          <w:rPr>
            <w:rFonts w:ascii="Times New Roman"/>
            <w:b/>
            <w:sz w:val="24"/>
          </w:rPr>
          <w:t>Membership list as of October 5, 2018:</w:t>
        </w:r>
      </w:hyperlink>
    </w:p>
    <w:p>
      <w:pPr>
        <w:pStyle w:val="BodyText"/>
        <w:spacing w:before="8"/>
        <w:rPr>
          <w:rFonts w:ascii="Times New Roman"/>
          <w:b/>
          <w:sz w:val="23"/>
        </w:rPr>
      </w:pP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Airgain,</w:t>
      </w:r>
      <w:r>
        <w:rPr>
          <w:rFonts w:ascii="Times New Roman"/>
          <w:spacing w:val="-7"/>
          <w:sz w:val="24"/>
        </w:rPr>
        <w:t> </w:t>
      </w:r>
      <w:r>
        <w:rPr>
          <w:rFonts w:ascii="Times New Roman"/>
          <w:sz w:val="24"/>
        </w:rPr>
        <w:t>Inc.</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Alpine Electronics</w:t>
      </w:r>
      <w:r>
        <w:rPr>
          <w:rFonts w:ascii="Times New Roman"/>
          <w:spacing w:val="-9"/>
          <w:sz w:val="24"/>
        </w:rPr>
        <w:t> </w:t>
      </w:r>
      <w:r>
        <w:rPr>
          <w:rFonts w:ascii="Times New Roman"/>
          <w:sz w:val="24"/>
        </w:rPr>
        <w:t>Inc.</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American Tower</w:t>
      </w:r>
      <w:r>
        <w:rPr>
          <w:rFonts w:ascii="Times New Roman"/>
          <w:spacing w:val="-9"/>
          <w:sz w:val="24"/>
        </w:rPr>
        <w:t> </w:t>
      </w:r>
      <w:r>
        <w:rPr>
          <w:rFonts w:ascii="Times New Roman"/>
          <w:sz w:val="24"/>
        </w:rPr>
        <w:t>Corp</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Analog Devices</w:t>
      </w:r>
      <w:r>
        <w:rPr>
          <w:rFonts w:ascii="Times New Roman"/>
          <w:spacing w:val="-8"/>
          <w:sz w:val="24"/>
        </w:rPr>
        <w:t> </w:t>
      </w:r>
      <w:r>
        <w:rPr>
          <w:rFonts w:ascii="Times New Roman"/>
          <w:sz w:val="24"/>
        </w:rPr>
        <w:t>Inc.</w:t>
      </w:r>
    </w:p>
    <w:p>
      <w:pPr>
        <w:pStyle w:val="ListParagraph"/>
        <w:numPr>
          <w:ilvl w:val="0"/>
          <w:numId w:val="6"/>
        </w:numPr>
        <w:tabs>
          <w:tab w:pos="479" w:val="left" w:leader="none"/>
          <w:tab w:pos="480" w:val="left" w:leader="none"/>
        </w:tabs>
        <w:spacing w:line="293" w:lineRule="exact" w:before="1" w:after="0"/>
        <w:ind w:left="480" w:right="0" w:hanging="360"/>
        <w:jc w:val="left"/>
        <w:rPr>
          <w:rFonts w:ascii="Times New Roman"/>
          <w:sz w:val="24"/>
        </w:rPr>
      </w:pPr>
      <w:r>
        <w:rPr>
          <w:rFonts w:ascii="Times New Roman"/>
          <w:sz w:val="24"/>
        </w:rPr>
        <w:t>Anritzu</w:t>
      </w:r>
      <w:r>
        <w:rPr>
          <w:rFonts w:ascii="Times New Roman"/>
          <w:spacing w:val="-3"/>
          <w:sz w:val="24"/>
        </w:rPr>
        <w:t> </w:t>
      </w:r>
      <w:r>
        <w:rPr>
          <w:rFonts w:ascii="Times New Roman"/>
          <w:sz w:val="24"/>
        </w:rPr>
        <w:t>A/S</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AT&amp;T</w:t>
      </w:r>
      <w:r>
        <w:rPr>
          <w:rFonts w:ascii="Times New Roman"/>
          <w:spacing w:val="-1"/>
          <w:sz w:val="24"/>
        </w:rPr>
        <w:t> </w:t>
      </w:r>
      <w:r>
        <w:rPr>
          <w:rFonts w:ascii="Times New Roman"/>
          <w:sz w:val="24"/>
        </w:rPr>
        <w:t>Foundry</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Audi</w:t>
      </w:r>
      <w:r>
        <w:rPr>
          <w:rFonts w:ascii="Times New Roman"/>
          <w:spacing w:val="-4"/>
          <w:sz w:val="24"/>
        </w:rPr>
        <w:t> </w:t>
      </w:r>
      <w:r>
        <w:rPr>
          <w:rFonts w:ascii="Times New Roman"/>
          <w:sz w:val="24"/>
        </w:rPr>
        <w:t>AG</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BAIC Group (Beijing Automotive Group Co.,</w:t>
      </w:r>
      <w:r>
        <w:rPr>
          <w:rFonts w:ascii="Times New Roman"/>
          <w:spacing w:val="-15"/>
          <w:sz w:val="24"/>
        </w:rPr>
        <w:t> </w:t>
      </w:r>
      <w:r>
        <w:rPr>
          <w:rFonts w:ascii="Times New Roman"/>
          <w:sz w:val="24"/>
        </w:rPr>
        <w:t>Ltd.)</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Baidu</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Beijing University of</w:t>
      </w:r>
      <w:r>
        <w:rPr>
          <w:rFonts w:ascii="Times New Roman"/>
          <w:spacing w:val="-6"/>
          <w:sz w:val="24"/>
        </w:rPr>
        <w:t> </w:t>
      </w:r>
      <w:r>
        <w:rPr>
          <w:rFonts w:ascii="Times New Roman"/>
          <w:sz w:val="24"/>
        </w:rPr>
        <w:t>Technology</w:t>
      </w:r>
    </w:p>
    <w:p>
      <w:pPr>
        <w:pStyle w:val="ListParagraph"/>
        <w:numPr>
          <w:ilvl w:val="0"/>
          <w:numId w:val="6"/>
        </w:numPr>
        <w:tabs>
          <w:tab w:pos="479" w:val="left" w:leader="none"/>
          <w:tab w:pos="480" w:val="left" w:leader="none"/>
        </w:tabs>
        <w:spacing w:line="293" w:lineRule="exact" w:before="1" w:after="0"/>
        <w:ind w:left="480" w:right="0" w:hanging="360"/>
        <w:jc w:val="left"/>
        <w:rPr>
          <w:rFonts w:ascii="Times New Roman"/>
          <w:sz w:val="24"/>
        </w:rPr>
      </w:pPr>
      <w:r>
        <w:rPr>
          <w:rFonts w:ascii="Times New Roman"/>
          <w:sz w:val="24"/>
        </w:rPr>
        <w:t>Bell</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BlackBerry UK</w:t>
      </w:r>
      <w:r>
        <w:rPr>
          <w:rFonts w:ascii="Times New Roman"/>
          <w:spacing w:val="-9"/>
          <w:sz w:val="24"/>
        </w:rPr>
        <w:t> </w:t>
      </w:r>
      <w:r>
        <w:rPr>
          <w:rFonts w:ascii="Times New Roman"/>
          <w:sz w:val="24"/>
        </w:rPr>
        <w:t>Limited</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BMW Group (Bayerische Motoren Werke</w:t>
      </w:r>
      <w:r>
        <w:rPr>
          <w:rFonts w:ascii="Times New Roman"/>
          <w:spacing w:val="-11"/>
          <w:sz w:val="24"/>
        </w:rPr>
        <w:t> </w:t>
      </w:r>
      <w:r>
        <w:rPr>
          <w:rFonts w:ascii="Times New Roman"/>
          <w:sz w:val="24"/>
        </w:rPr>
        <w:t>AG)</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Bosch (Robert Bosch</w:t>
      </w:r>
      <w:r>
        <w:rPr>
          <w:rFonts w:ascii="Times New Roman"/>
          <w:spacing w:val="-6"/>
          <w:sz w:val="24"/>
        </w:rPr>
        <w:t> </w:t>
      </w:r>
      <w:r>
        <w:rPr>
          <w:rFonts w:ascii="Times New Roman"/>
          <w:sz w:val="24"/>
        </w:rPr>
        <w:t>GmbH)</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CATT (China Academy of Telecommunication</w:t>
      </w:r>
      <w:r>
        <w:rPr>
          <w:rFonts w:ascii="Times New Roman"/>
          <w:spacing w:val="-18"/>
          <w:sz w:val="24"/>
        </w:rPr>
        <w:t> </w:t>
      </w:r>
      <w:r>
        <w:rPr>
          <w:rFonts w:ascii="Times New Roman"/>
          <w:sz w:val="24"/>
        </w:rPr>
        <w:t>Technology)</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CETECOM</w:t>
      </w:r>
      <w:r>
        <w:rPr>
          <w:rFonts w:ascii="Times New Roman"/>
          <w:spacing w:val="-6"/>
          <w:sz w:val="24"/>
        </w:rPr>
        <w:t> </w:t>
      </w:r>
      <w:r>
        <w:rPr>
          <w:rFonts w:ascii="Times New Roman"/>
          <w:sz w:val="24"/>
        </w:rPr>
        <w:t>GmbH</w:t>
      </w:r>
    </w:p>
    <w:p>
      <w:pPr>
        <w:pStyle w:val="ListParagraph"/>
        <w:numPr>
          <w:ilvl w:val="0"/>
          <w:numId w:val="6"/>
        </w:numPr>
        <w:tabs>
          <w:tab w:pos="479" w:val="left" w:leader="none"/>
          <w:tab w:pos="480" w:val="left" w:leader="none"/>
        </w:tabs>
        <w:spacing w:line="293" w:lineRule="exact" w:before="2" w:after="0"/>
        <w:ind w:left="480" w:right="0" w:hanging="360"/>
        <w:jc w:val="left"/>
        <w:rPr>
          <w:rFonts w:ascii="Times New Roman"/>
          <w:sz w:val="24"/>
        </w:rPr>
      </w:pPr>
      <w:r>
        <w:rPr>
          <w:rFonts w:ascii="Times New Roman"/>
          <w:sz w:val="24"/>
        </w:rPr>
        <w:t>China</w:t>
      </w:r>
      <w:r>
        <w:rPr>
          <w:rFonts w:ascii="Times New Roman"/>
          <w:spacing w:val="-1"/>
          <w:sz w:val="24"/>
        </w:rPr>
        <w:t> </w:t>
      </w:r>
      <w:r>
        <w:rPr>
          <w:rFonts w:ascii="Times New Roman"/>
          <w:sz w:val="24"/>
        </w:rPr>
        <w:t>Mobile</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China</w:t>
      </w:r>
      <w:r>
        <w:rPr>
          <w:rFonts w:ascii="Times New Roman"/>
          <w:spacing w:val="-5"/>
          <w:sz w:val="24"/>
        </w:rPr>
        <w:t> </w:t>
      </w:r>
      <w:r>
        <w:rPr>
          <w:rFonts w:ascii="Times New Roman"/>
          <w:sz w:val="24"/>
        </w:rPr>
        <w:t>Transinfo</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China Unicom (China United Network Communications Group</w:t>
      </w:r>
      <w:r>
        <w:rPr>
          <w:rFonts w:ascii="Times New Roman"/>
          <w:spacing w:val="-17"/>
          <w:sz w:val="24"/>
        </w:rPr>
        <w:t> </w:t>
      </w:r>
      <w:r>
        <w:rPr>
          <w:rFonts w:ascii="Times New Roman"/>
          <w:sz w:val="24"/>
        </w:rPr>
        <w:t>Co.,Ltd)</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China Mobile Research</w:t>
      </w:r>
      <w:r>
        <w:rPr>
          <w:rFonts w:ascii="Times New Roman"/>
          <w:spacing w:val="-5"/>
          <w:sz w:val="24"/>
        </w:rPr>
        <w:t> </w:t>
      </w:r>
      <w:r>
        <w:rPr>
          <w:rFonts w:ascii="Times New Roman"/>
          <w:sz w:val="24"/>
        </w:rPr>
        <w:t>Institute</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Cohda</w:t>
      </w:r>
      <w:r>
        <w:rPr>
          <w:rFonts w:ascii="Times New Roman"/>
          <w:spacing w:val="-3"/>
          <w:sz w:val="24"/>
        </w:rPr>
        <w:t> </w:t>
      </w:r>
      <w:r>
        <w:rPr>
          <w:rFonts w:ascii="Times New Roman"/>
          <w:sz w:val="24"/>
        </w:rPr>
        <w:t>Wireless</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Commsignia</w:t>
      </w:r>
      <w:r>
        <w:rPr>
          <w:rFonts w:ascii="Times New Roman"/>
          <w:spacing w:val="-8"/>
          <w:sz w:val="24"/>
        </w:rPr>
        <w:t> </w:t>
      </w:r>
      <w:r>
        <w:rPr>
          <w:rFonts w:ascii="Times New Roman"/>
          <w:sz w:val="24"/>
        </w:rPr>
        <w:t>Inc.</w:t>
      </w:r>
    </w:p>
    <w:p>
      <w:pPr>
        <w:pStyle w:val="ListParagraph"/>
        <w:numPr>
          <w:ilvl w:val="0"/>
          <w:numId w:val="6"/>
        </w:numPr>
        <w:tabs>
          <w:tab w:pos="479" w:val="left" w:leader="none"/>
          <w:tab w:pos="480" w:val="left" w:leader="none"/>
        </w:tabs>
        <w:spacing w:line="293" w:lineRule="exact" w:before="1" w:after="0"/>
        <w:ind w:left="480" w:right="0" w:hanging="360"/>
        <w:jc w:val="left"/>
        <w:rPr>
          <w:rFonts w:ascii="Times New Roman"/>
          <w:sz w:val="24"/>
        </w:rPr>
      </w:pPr>
      <w:r>
        <w:rPr>
          <w:rFonts w:ascii="Times New Roman"/>
          <w:sz w:val="24"/>
        </w:rPr>
        <w:t>Continental Teves AG &amp; Co.</w:t>
      </w:r>
      <w:r>
        <w:rPr>
          <w:rFonts w:ascii="Times New Roman"/>
          <w:spacing w:val="-7"/>
          <w:sz w:val="24"/>
        </w:rPr>
        <w:t> </w:t>
      </w:r>
      <w:r>
        <w:rPr>
          <w:rFonts w:ascii="Times New Roman"/>
          <w:sz w:val="24"/>
        </w:rPr>
        <w:t>oHG</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Daimler</w:t>
      </w:r>
      <w:r>
        <w:rPr>
          <w:rFonts w:ascii="Times New Roman"/>
          <w:spacing w:val="-7"/>
          <w:sz w:val="24"/>
        </w:rPr>
        <w:t> </w:t>
      </w:r>
      <w:r>
        <w:rPr>
          <w:rFonts w:ascii="Times New Roman"/>
          <w:sz w:val="24"/>
        </w:rPr>
        <w:t>AG</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Danlaw</w:t>
      </w:r>
      <w:r>
        <w:rPr>
          <w:rFonts w:ascii="Times New Roman"/>
          <w:spacing w:val="-6"/>
          <w:sz w:val="24"/>
        </w:rPr>
        <w:t> </w:t>
      </w:r>
      <w:r>
        <w:rPr>
          <w:rFonts w:ascii="Times New Roman"/>
          <w:sz w:val="24"/>
        </w:rPr>
        <w:t>Inc.</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Dekra</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DENSO AUTOMOTIVE Deutschland</w:t>
      </w:r>
      <w:r>
        <w:rPr>
          <w:rFonts w:ascii="Times New Roman"/>
          <w:spacing w:val="-15"/>
          <w:sz w:val="24"/>
        </w:rPr>
        <w:t> </w:t>
      </w:r>
      <w:r>
        <w:rPr>
          <w:rFonts w:ascii="Times New Roman"/>
          <w:sz w:val="24"/>
        </w:rPr>
        <w:t>GmbH</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Deutsche Telekom</w:t>
      </w:r>
      <w:r>
        <w:rPr>
          <w:rFonts w:ascii="Times New Roman"/>
          <w:spacing w:val="-6"/>
          <w:sz w:val="24"/>
        </w:rPr>
        <w:t> </w:t>
      </w:r>
      <w:r>
        <w:rPr>
          <w:rFonts w:ascii="Times New Roman"/>
          <w:sz w:val="24"/>
        </w:rPr>
        <w:t>AG</w:t>
      </w:r>
    </w:p>
    <w:p>
      <w:pPr>
        <w:pStyle w:val="ListParagraph"/>
        <w:numPr>
          <w:ilvl w:val="0"/>
          <w:numId w:val="6"/>
        </w:numPr>
        <w:tabs>
          <w:tab w:pos="479" w:val="left" w:leader="none"/>
          <w:tab w:pos="480" w:val="left" w:leader="none"/>
        </w:tabs>
        <w:spacing w:line="293" w:lineRule="exact" w:before="1" w:after="0"/>
        <w:ind w:left="480" w:right="0" w:hanging="360"/>
        <w:jc w:val="left"/>
        <w:rPr>
          <w:rFonts w:ascii="Times New Roman"/>
          <w:sz w:val="24"/>
        </w:rPr>
      </w:pPr>
      <w:r>
        <w:rPr>
          <w:rFonts w:ascii="Times New Roman"/>
          <w:sz w:val="24"/>
        </w:rPr>
        <w:t>Dt&amp;C</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Ericsson</w:t>
      </w:r>
      <w:r>
        <w:rPr>
          <w:rFonts w:ascii="Times New Roman"/>
          <w:spacing w:val="-6"/>
          <w:sz w:val="24"/>
        </w:rPr>
        <w:t> </w:t>
      </w:r>
      <w:r>
        <w:rPr>
          <w:rFonts w:ascii="Times New Roman"/>
          <w:sz w:val="24"/>
        </w:rPr>
        <w:t>AB</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Faradai</w:t>
      </w:r>
      <w:r>
        <w:rPr>
          <w:rFonts w:ascii="Times New Roman"/>
          <w:spacing w:val="-6"/>
          <w:sz w:val="24"/>
        </w:rPr>
        <w:t> </w:t>
      </w:r>
      <w:r>
        <w:rPr>
          <w:rFonts w:ascii="Times New Roman"/>
          <w:sz w:val="24"/>
        </w:rPr>
        <w:t>Future</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FarEasTone</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FEV Group</w:t>
      </w:r>
      <w:r>
        <w:rPr>
          <w:rFonts w:ascii="Times New Roman"/>
          <w:spacing w:val="-6"/>
          <w:sz w:val="24"/>
        </w:rPr>
        <w:t> </w:t>
      </w:r>
      <w:r>
        <w:rPr>
          <w:rFonts w:ascii="Times New Roman"/>
          <w:sz w:val="24"/>
        </w:rPr>
        <w:t>GmbH</w:t>
      </w:r>
    </w:p>
    <w:p>
      <w:pPr>
        <w:pStyle w:val="ListParagraph"/>
        <w:numPr>
          <w:ilvl w:val="0"/>
          <w:numId w:val="6"/>
        </w:numPr>
        <w:tabs>
          <w:tab w:pos="479" w:val="left" w:leader="none"/>
          <w:tab w:pos="480" w:val="left" w:leader="none"/>
        </w:tabs>
        <w:spacing w:line="293" w:lineRule="exact" w:before="1" w:after="0"/>
        <w:ind w:left="480" w:right="0" w:hanging="360"/>
        <w:jc w:val="left"/>
        <w:rPr>
          <w:rFonts w:ascii="Times New Roman"/>
          <w:sz w:val="24"/>
        </w:rPr>
      </w:pPr>
      <w:r>
        <w:rPr>
          <w:rFonts w:ascii="Times New Roman"/>
          <w:sz w:val="24"/>
        </w:rPr>
        <w:t>Ford</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Fraunhofer</w:t>
      </w:r>
      <w:r>
        <w:rPr>
          <w:rFonts w:ascii="Times New Roman"/>
          <w:spacing w:val="-5"/>
          <w:sz w:val="24"/>
        </w:rPr>
        <w:t> </w:t>
      </w:r>
      <w:r>
        <w:rPr>
          <w:rFonts w:ascii="Times New Roman"/>
          <w:sz w:val="24"/>
        </w:rPr>
        <w:t>Institute</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Geely</w:t>
      </w:r>
      <w:r>
        <w:rPr>
          <w:rFonts w:ascii="Times New Roman"/>
          <w:spacing w:val="-5"/>
          <w:sz w:val="24"/>
        </w:rPr>
        <w:t> </w:t>
      </w:r>
      <w:r>
        <w:rPr>
          <w:rFonts w:ascii="Times New Roman"/>
          <w:sz w:val="24"/>
        </w:rPr>
        <w:t>Auto</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Gemalto</w:t>
      </w:r>
      <w:r>
        <w:rPr>
          <w:rFonts w:ascii="Times New Roman"/>
          <w:spacing w:val="-4"/>
          <w:sz w:val="24"/>
        </w:rPr>
        <w:t> </w:t>
      </w:r>
      <w:r>
        <w:rPr>
          <w:rFonts w:ascii="Times New Roman"/>
          <w:sz w:val="24"/>
        </w:rPr>
        <w:t>SA</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General</w:t>
      </w:r>
      <w:r>
        <w:rPr>
          <w:rFonts w:ascii="Times New Roman"/>
          <w:spacing w:val="-5"/>
          <w:sz w:val="24"/>
        </w:rPr>
        <w:t> </w:t>
      </w:r>
      <w:r>
        <w:rPr>
          <w:rFonts w:ascii="Times New Roman"/>
          <w:sz w:val="24"/>
        </w:rPr>
        <w:t>Motors</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Hirschmann Car Communication</w:t>
      </w:r>
      <w:r>
        <w:rPr>
          <w:rFonts w:ascii="Times New Roman"/>
          <w:spacing w:val="-10"/>
          <w:sz w:val="24"/>
        </w:rPr>
        <w:t> </w:t>
      </w:r>
      <w:r>
        <w:rPr>
          <w:rFonts w:ascii="Times New Roman"/>
          <w:sz w:val="24"/>
        </w:rPr>
        <w:t>GmbH</w:t>
      </w:r>
    </w:p>
    <w:p>
      <w:pPr>
        <w:pStyle w:val="ListParagraph"/>
        <w:numPr>
          <w:ilvl w:val="0"/>
          <w:numId w:val="6"/>
        </w:numPr>
        <w:tabs>
          <w:tab w:pos="479" w:val="left" w:leader="none"/>
          <w:tab w:pos="480" w:val="left" w:leader="none"/>
        </w:tabs>
        <w:spacing w:line="240" w:lineRule="auto" w:before="1" w:after="0"/>
        <w:ind w:left="480" w:right="0" w:hanging="360"/>
        <w:jc w:val="left"/>
        <w:rPr>
          <w:rFonts w:ascii="Times New Roman"/>
          <w:sz w:val="24"/>
        </w:rPr>
      </w:pPr>
      <w:r>
        <w:rPr>
          <w:rFonts w:ascii="Times New Roman"/>
          <w:sz w:val="24"/>
        </w:rPr>
        <w:t>Hitachi</w:t>
      </w:r>
    </w:p>
    <w:p>
      <w:pPr>
        <w:spacing w:after="0" w:line="240" w:lineRule="auto"/>
        <w:jc w:val="left"/>
        <w:rPr>
          <w:rFonts w:ascii="Times New Roman"/>
          <w:sz w:val="24"/>
        </w:rPr>
        <w:sectPr>
          <w:headerReference w:type="default" r:id="rId102"/>
          <w:footerReference w:type="default" r:id="rId103"/>
          <w:pgSz w:w="12240" w:h="15840"/>
          <w:pgMar w:header="0" w:footer="1070" w:top="1360" w:bottom="1260" w:left="1680" w:right="1720"/>
          <w:pgNumType w:start="1"/>
        </w:sectPr>
      </w:pPr>
    </w:p>
    <w:p>
      <w:pPr>
        <w:pStyle w:val="ListParagraph"/>
        <w:numPr>
          <w:ilvl w:val="0"/>
          <w:numId w:val="6"/>
        </w:numPr>
        <w:tabs>
          <w:tab w:pos="479" w:val="left" w:leader="none"/>
          <w:tab w:pos="480" w:val="left" w:leader="none"/>
        </w:tabs>
        <w:spacing w:line="293" w:lineRule="exact" w:before="74" w:after="0"/>
        <w:ind w:left="480" w:right="0" w:hanging="360"/>
        <w:jc w:val="left"/>
        <w:rPr>
          <w:rFonts w:ascii="Times New Roman"/>
          <w:sz w:val="24"/>
        </w:rPr>
      </w:pPr>
      <w:r>
        <w:rPr>
          <w:rFonts w:ascii="Times New Roman"/>
          <w:sz w:val="24"/>
        </w:rPr>
        <w:t>Honda</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Huawei</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Hyundai America Technical</w:t>
      </w:r>
      <w:r>
        <w:rPr>
          <w:rFonts w:ascii="Times New Roman"/>
          <w:spacing w:val="-13"/>
          <w:sz w:val="24"/>
        </w:rPr>
        <w:t> </w:t>
      </w:r>
      <w:r>
        <w:rPr>
          <w:rFonts w:ascii="Times New Roman"/>
          <w:sz w:val="24"/>
        </w:rPr>
        <w:t>Center</w:t>
      </w:r>
    </w:p>
    <w:p>
      <w:pPr>
        <w:pStyle w:val="ListParagraph"/>
        <w:numPr>
          <w:ilvl w:val="0"/>
          <w:numId w:val="6"/>
        </w:numPr>
        <w:tabs>
          <w:tab w:pos="479" w:val="left" w:leader="none"/>
          <w:tab w:pos="480" w:val="left" w:leader="none"/>
        </w:tabs>
        <w:spacing w:line="293" w:lineRule="exact" w:before="1" w:after="0"/>
        <w:ind w:left="480" w:right="0" w:hanging="360"/>
        <w:jc w:val="left"/>
        <w:rPr>
          <w:rFonts w:ascii="Times New Roman"/>
          <w:sz w:val="24"/>
        </w:rPr>
      </w:pPr>
      <w:r>
        <w:rPr>
          <w:rFonts w:ascii="Times New Roman"/>
          <w:sz w:val="24"/>
        </w:rPr>
        <w:t>Infineon Technologies</w:t>
      </w:r>
      <w:r>
        <w:rPr>
          <w:rFonts w:ascii="Times New Roman"/>
          <w:spacing w:val="-7"/>
          <w:sz w:val="24"/>
        </w:rPr>
        <w:t> </w:t>
      </w:r>
      <w:r>
        <w:rPr>
          <w:rFonts w:ascii="Times New Roman"/>
          <w:sz w:val="24"/>
        </w:rPr>
        <w:t>AG</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Intel</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InterDigital Communications,</w:t>
      </w:r>
      <w:r>
        <w:rPr>
          <w:rFonts w:ascii="Times New Roman"/>
          <w:spacing w:val="-15"/>
          <w:sz w:val="24"/>
        </w:rPr>
        <w:t> </w:t>
      </w:r>
      <w:r>
        <w:rPr>
          <w:rFonts w:ascii="Times New Roman"/>
          <w:sz w:val="24"/>
        </w:rPr>
        <w:t>Inc.</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Jaguar Land Rover</w:t>
      </w:r>
      <w:r>
        <w:rPr>
          <w:rFonts w:ascii="Times New Roman"/>
          <w:spacing w:val="-7"/>
          <w:sz w:val="24"/>
        </w:rPr>
        <w:t> </w:t>
      </w:r>
      <w:r>
        <w:rPr>
          <w:rFonts w:ascii="Times New Roman"/>
          <w:sz w:val="24"/>
        </w:rPr>
        <w:t>Ltd.</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Juniper</w:t>
      </w:r>
      <w:r>
        <w:rPr>
          <w:rFonts w:ascii="Times New Roman"/>
          <w:spacing w:val="-5"/>
          <w:sz w:val="24"/>
        </w:rPr>
        <w:t> </w:t>
      </w:r>
      <w:r>
        <w:rPr>
          <w:rFonts w:ascii="Times New Roman"/>
          <w:sz w:val="24"/>
        </w:rPr>
        <w:t>Networks</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KDDI</w:t>
      </w:r>
    </w:p>
    <w:p>
      <w:pPr>
        <w:pStyle w:val="ListParagraph"/>
        <w:numPr>
          <w:ilvl w:val="0"/>
          <w:numId w:val="6"/>
        </w:numPr>
        <w:tabs>
          <w:tab w:pos="479" w:val="left" w:leader="none"/>
          <w:tab w:pos="480" w:val="left" w:leader="none"/>
        </w:tabs>
        <w:spacing w:line="293" w:lineRule="exact" w:before="1" w:after="0"/>
        <w:ind w:left="480" w:right="0" w:hanging="360"/>
        <w:jc w:val="left"/>
        <w:rPr>
          <w:rFonts w:ascii="Times New Roman"/>
          <w:sz w:val="24"/>
        </w:rPr>
      </w:pPr>
      <w:r>
        <w:rPr>
          <w:rFonts w:ascii="Times New Roman"/>
          <w:sz w:val="24"/>
        </w:rPr>
        <w:t>Keysight Technologies UK</w:t>
      </w:r>
      <w:r>
        <w:rPr>
          <w:rFonts w:ascii="Times New Roman"/>
          <w:spacing w:val="-13"/>
          <w:sz w:val="24"/>
        </w:rPr>
        <w:t> </w:t>
      </w:r>
      <w:r>
        <w:rPr>
          <w:rFonts w:ascii="Times New Roman"/>
          <w:sz w:val="24"/>
        </w:rPr>
        <w:t>Limited</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KT R&amp;D</w:t>
      </w:r>
      <w:r>
        <w:rPr>
          <w:rFonts w:ascii="Times New Roman"/>
          <w:spacing w:val="-6"/>
          <w:sz w:val="24"/>
        </w:rPr>
        <w:t> </w:t>
      </w:r>
      <w:r>
        <w:rPr>
          <w:rFonts w:ascii="Times New Roman"/>
          <w:sz w:val="24"/>
        </w:rPr>
        <w:t>Center</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Laird Bochum</w:t>
      </w:r>
      <w:r>
        <w:rPr>
          <w:rFonts w:ascii="Times New Roman"/>
          <w:spacing w:val="-6"/>
          <w:sz w:val="24"/>
        </w:rPr>
        <w:t> </w:t>
      </w:r>
      <w:r>
        <w:rPr>
          <w:rFonts w:ascii="Times New Roman"/>
          <w:sz w:val="24"/>
        </w:rPr>
        <w:t>GmbH</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Latvijas Mobilais</w:t>
      </w:r>
      <w:r>
        <w:rPr>
          <w:rFonts w:ascii="Times New Roman"/>
          <w:spacing w:val="-7"/>
          <w:sz w:val="24"/>
        </w:rPr>
        <w:t> </w:t>
      </w:r>
      <w:r>
        <w:rPr>
          <w:rFonts w:ascii="Times New Roman"/>
          <w:sz w:val="24"/>
        </w:rPr>
        <w:t>Telefons</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Lear</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LG Electronics</w:t>
      </w:r>
      <w:r>
        <w:rPr>
          <w:rFonts w:ascii="Times New Roman"/>
          <w:spacing w:val="-10"/>
          <w:sz w:val="24"/>
        </w:rPr>
        <w:t> </w:t>
      </w:r>
      <w:r>
        <w:rPr>
          <w:rFonts w:ascii="Times New Roman"/>
          <w:sz w:val="24"/>
        </w:rPr>
        <w:t>Inc.</w:t>
      </w:r>
    </w:p>
    <w:p>
      <w:pPr>
        <w:pStyle w:val="ListParagraph"/>
        <w:numPr>
          <w:ilvl w:val="0"/>
          <w:numId w:val="6"/>
        </w:numPr>
        <w:tabs>
          <w:tab w:pos="479" w:val="left" w:leader="none"/>
          <w:tab w:pos="480" w:val="left" w:leader="none"/>
        </w:tabs>
        <w:spacing w:line="293" w:lineRule="exact" w:before="1" w:after="0"/>
        <w:ind w:left="480" w:right="0" w:hanging="360"/>
        <w:jc w:val="left"/>
        <w:rPr>
          <w:rFonts w:ascii="Times New Roman"/>
          <w:sz w:val="24"/>
        </w:rPr>
      </w:pPr>
      <w:r>
        <w:rPr>
          <w:rFonts w:ascii="Times New Roman"/>
          <w:sz w:val="24"/>
        </w:rPr>
        <w:t>Mitsubishi</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Murata</w:t>
      </w:r>
      <w:r>
        <w:rPr>
          <w:rFonts w:ascii="Times New Roman"/>
          <w:spacing w:val="-5"/>
          <w:sz w:val="24"/>
        </w:rPr>
        <w:t> </w:t>
      </w:r>
      <w:r>
        <w:rPr>
          <w:rFonts w:ascii="Times New Roman"/>
          <w:sz w:val="24"/>
        </w:rPr>
        <w:t>Manufacturing</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NavInfo</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Neusoft</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NIO</w:t>
      </w:r>
      <w:r>
        <w:rPr>
          <w:rFonts w:ascii="Times New Roman"/>
          <w:spacing w:val="-5"/>
          <w:sz w:val="24"/>
        </w:rPr>
        <w:t> </w:t>
      </w:r>
      <w:r>
        <w:rPr>
          <w:rFonts w:ascii="Times New Roman"/>
          <w:sz w:val="24"/>
        </w:rPr>
        <w:t>China</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Nissan</w:t>
      </w:r>
    </w:p>
    <w:p>
      <w:pPr>
        <w:pStyle w:val="ListParagraph"/>
        <w:numPr>
          <w:ilvl w:val="0"/>
          <w:numId w:val="6"/>
        </w:numPr>
        <w:tabs>
          <w:tab w:pos="479" w:val="left" w:leader="none"/>
          <w:tab w:pos="480" w:val="left" w:leader="none"/>
        </w:tabs>
        <w:spacing w:line="293" w:lineRule="exact" w:before="1" w:after="0"/>
        <w:ind w:left="480" w:right="0" w:hanging="360"/>
        <w:jc w:val="left"/>
        <w:rPr>
          <w:rFonts w:ascii="Times New Roman"/>
          <w:sz w:val="24"/>
        </w:rPr>
      </w:pPr>
      <w:r>
        <w:rPr>
          <w:rFonts w:ascii="Times New Roman"/>
          <w:sz w:val="24"/>
        </w:rPr>
        <w:t>Nokia</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Noris Network</w:t>
      </w:r>
      <w:r>
        <w:rPr>
          <w:rFonts w:ascii="Times New Roman"/>
          <w:spacing w:val="-5"/>
          <w:sz w:val="24"/>
        </w:rPr>
        <w:t> </w:t>
      </w:r>
      <w:r>
        <w:rPr>
          <w:rFonts w:ascii="Times New Roman"/>
          <w:sz w:val="24"/>
        </w:rPr>
        <w:t>AG</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NTT-DoCoMo</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OKI</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Orange</w:t>
      </w:r>
      <w:r>
        <w:rPr>
          <w:rFonts w:ascii="Times New Roman"/>
          <w:spacing w:val="-6"/>
          <w:sz w:val="24"/>
        </w:rPr>
        <w:t> </w:t>
      </w:r>
      <w:r>
        <w:rPr>
          <w:rFonts w:ascii="Times New Roman"/>
          <w:sz w:val="24"/>
        </w:rPr>
        <w:t>SA</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P3</w:t>
      </w:r>
      <w:r>
        <w:rPr>
          <w:rFonts w:ascii="Times New Roman"/>
          <w:spacing w:val="-3"/>
          <w:sz w:val="24"/>
        </w:rPr>
        <w:t> </w:t>
      </w:r>
      <w:r>
        <w:rPr>
          <w:rFonts w:ascii="Times New Roman"/>
          <w:sz w:val="24"/>
        </w:rPr>
        <w:t>Group</w:t>
      </w:r>
    </w:p>
    <w:p>
      <w:pPr>
        <w:pStyle w:val="ListParagraph"/>
        <w:numPr>
          <w:ilvl w:val="0"/>
          <w:numId w:val="6"/>
        </w:numPr>
        <w:tabs>
          <w:tab w:pos="479" w:val="left" w:leader="none"/>
          <w:tab w:pos="480" w:val="left" w:leader="none"/>
        </w:tabs>
        <w:spacing w:line="293" w:lineRule="exact" w:before="2" w:after="0"/>
        <w:ind w:left="480" w:right="0" w:hanging="360"/>
        <w:jc w:val="left"/>
        <w:rPr>
          <w:rFonts w:ascii="Times New Roman"/>
          <w:sz w:val="24"/>
        </w:rPr>
      </w:pPr>
      <w:r>
        <w:rPr>
          <w:rFonts w:ascii="Times New Roman"/>
          <w:sz w:val="24"/>
        </w:rPr>
        <w:t>Panasonic</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Proximus</w:t>
      </w:r>
      <w:r>
        <w:rPr>
          <w:rFonts w:ascii="Times New Roman"/>
          <w:spacing w:val="-6"/>
          <w:sz w:val="24"/>
        </w:rPr>
        <w:t> </w:t>
      </w:r>
      <w:r>
        <w:rPr>
          <w:rFonts w:ascii="Times New Roman"/>
          <w:sz w:val="24"/>
        </w:rPr>
        <w:t>B.V.</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PSA</w:t>
      </w:r>
      <w:r>
        <w:rPr>
          <w:rFonts w:ascii="Times New Roman"/>
          <w:spacing w:val="-4"/>
          <w:sz w:val="24"/>
        </w:rPr>
        <w:t> </w:t>
      </w:r>
      <w:r>
        <w:rPr>
          <w:rFonts w:ascii="Times New Roman"/>
          <w:sz w:val="24"/>
        </w:rPr>
        <w:t>Groupe</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Qualcomm</w:t>
      </w:r>
      <w:r>
        <w:rPr>
          <w:rFonts w:ascii="Times New Roman"/>
          <w:spacing w:val="-9"/>
          <w:sz w:val="24"/>
        </w:rPr>
        <w:t> </w:t>
      </w:r>
      <w:r>
        <w:rPr>
          <w:rFonts w:ascii="Times New Roman"/>
          <w:sz w:val="24"/>
        </w:rPr>
        <w:t>Incorporated</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Rohde &amp; Schwarz GmbH &amp; Co.</w:t>
      </w:r>
      <w:r>
        <w:rPr>
          <w:rFonts w:ascii="Times New Roman"/>
          <w:spacing w:val="-11"/>
          <w:sz w:val="24"/>
        </w:rPr>
        <w:t> </w:t>
      </w:r>
      <w:r>
        <w:rPr>
          <w:rFonts w:ascii="Times New Roman"/>
          <w:sz w:val="24"/>
        </w:rPr>
        <w:t>KG</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Rohm</w:t>
      </w:r>
      <w:r>
        <w:rPr>
          <w:rFonts w:ascii="Times New Roman"/>
          <w:spacing w:val="-3"/>
          <w:sz w:val="24"/>
        </w:rPr>
        <w:t> </w:t>
      </w:r>
      <w:r>
        <w:rPr>
          <w:rFonts w:ascii="Times New Roman"/>
          <w:sz w:val="24"/>
        </w:rPr>
        <w:t>Semiconductor</w:t>
      </w:r>
    </w:p>
    <w:p>
      <w:pPr>
        <w:pStyle w:val="ListParagraph"/>
        <w:numPr>
          <w:ilvl w:val="0"/>
          <w:numId w:val="6"/>
        </w:numPr>
        <w:tabs>
          <w:tab w:pos="479" w:val="left" w:leader="none"/>
          <w:tab w:pos="480" w:val="left" w:leader="none"/>
        </w:tabs>
        <w:spacing w:line="293" w:lineRule="exact" w:before="1" w:after="0"/>
        <w:ind w:left="480" w:right="0" w:hanging="360"/>
        <w:jc w:val="left"/>
        <w:rPr>
          <w:rFonts w:ascii="Times New Roman"/>
          <w:sz w:val="24"/>
        </w:rPr>
      </w:pPr>
      <w:r>
        <w:rPr>
          <w:rFonts w:ascii="Times New Roman"/>
          <w:sz w:val="24"/>
        </w:rPr>
        <w:t>SAIC Motor Corporation</w:t>
      </w:r>
      <w:r>
        <w:rPr>
          <w:rFonts w:ascii="Times New Roman"/>
          <w:spacing w:val="-12"/>
          <w:sz w:val="24"/>
        </w:rPr>
        <w:t> </w:t>
      </w:r>
      <w:r>
        <w:rPr>
          <w:rFonts w:ascii="Times New Roman"/>
          <w:sz w:val="24"/>
        </w:rPr>
        <w:t>Limited</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Samsung Electronics Co.,</w:t>
      </w:r>
      <w:r>
        <w:rPr>
          <w:rFonts w:ascii="Times New Roman"/>
          <w:spacing w:val="-11"/>
          <w:sz w:val="24"/>
        </w:rPr>
        <w:t> </w:t>
      </w:r>
      <w:r>
        <w:rPr>
          <w:rFonts w:ascii="Times New Roman"/>
          <w:sz w:val="24"/>
        </w:rPr>
        <w:t>Ltd</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Savari</w:t>
      </w:r>
      <w:r>
        <w:rPr>
          <w:rFonts w:ascii="Times New Roman"/>
          <w:spacing w:val="-6"/>
          <w:sz w:val="24"/>
        </w:rPr>
        <w:t> </w:t>
      </w:r>
      <w:r>
        <w:rPr>
          <w:rFonts w:ascii="Times New Roman"/>
          <w:sz w:val="24"/>
        </w:rPr>
        <w:t>Inc.</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SGS</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Shanghai Gotell Communication Technology Holdings Co.,</w:t>
      </w:r>
      <w:r>
        <w:rPr>
          <w:rFonts w:ascii="Times New Roman"/>
          <w:spacing w:val="-20"/>
          <w:sz w:val="24"/>
        </w:rPr>
        <w:t> </w:t>
      </w:r>
      <w:r>
        <w:rPr>
          <w:rFonts w:ascii="Times New Roman"/>
          <w:sz w:val="24"/>
        </w:rPr>
        <w:t>Ltd.</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SIAC (Shanghai Int. Automobile</w:t>
      </w:r>
      <w:r>
        <w:rPr>
          <w:rFonts w:ascii="Times New Roman"/>
          <w:spacing w:val="-17"/>
          <w:sz w:val="24"/>
        </w:rPr>
        <w:t> </w:t>
      </w:r>
      <w:r>
        <w:rPr>
          <w:rFonts w:ascii="Times New Roman"/>
          <w:sz w:val="24"/>
        </w:rPr>
        <w:t>City)</w:t>
      </w:r>
    </w:p>
    <w:p>
      <w:pPr>
        <w:pStyle w:val="ListParagraph"/>
        <w:numPr>
          <w:ilvl w:val="0"/>
          <w:numId w:val="6"/>
        </w:numPr>
        <w:tabs>
          <w:tab w:pos="479" w:val="left" w:leader="none"/>
          <w:tab w:pos="480" w:val="left" w:leader="none"/>
        </w:tabs>
        <w:spacing w:line="293" w:lineRule="exact" w:before="1" w:after="0"/>
        <w:ind w:left="480" w:right="0" w:hanging="360"/>
        <w:jc w:val="left"/>
        <w:rPr>
          <w:rFonts w:ascii="Times New Roman"/>
          <w:sz w:val="24"/>
        </w:rPr>
      </w:pPr>
      <w:r>
        <w:rPr>
          <w:rFonts w:ascii="Times New Roman"/>
          <w:sz w:val="24"/>
        </w:rPr>
        <w:t>SK</w:t>
      </w:r>
      <w:r>
        <w:rPr>
          <w:rFonts w:ascii="Times New Roman"/>
          <w:spacing w:val="-6"/>
          <w:sz w:val="24"/>
        </w:rPr>
        <w:t> </w:t>
      </w:r>
      <w:r>
        <w:rPr>
          <w:rFonts w:ascii="Times New Roman"/>
          <w:sz w:val="24"/>
        </w:rPr>
        <w:t>Telecom</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Skyworks</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Smart Mobile</w:t>
      </w:r>
      <w:r>
        <w:rPr>
          <w:rFonts w:ascii="Times New Roman"/>
          <w:spacing w:val="-8"/>
          <w:sz w:val="24"/>
        </w:rPr>
        <w:t> </w:t>
      </w:r>
      <w:r>
        <w:rPr>
          <w:rFonts w:ascii="Times New Roman"/>
          <w:sz w:val="24"/>
        </w:rPr>
        <w:t>Labs</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Softbank</w:t>
      </w:r>
      <w:r>
        <w:rPr>
          <w:rFonts w:ascii="Times New Roman"/>
          <w:spacing w:val="-4"/>
          <w:sz w:val="24"/>
        </w:rPr>
        <w:t> </w:t>
      </w:r>
      <w:r>
        <w:rPr>
          <w:rFonts w:ascii="Times New Roman"/>
          <w:sz w:val="24"/>
        </w:rPr>
        <w:t>Corp.</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Sumitomo</w:t>
      </w:r>
      <w:r>
        <w:rPr>
          <w:rFonts w:ascii="Times New Roman"/>
          <w:spacing w:val="-5"/>
          <w:sz w:val="24"/>
        </w:rPr>
        <w:t> </w:t>
      </w:r>
      <w:r>
        <w:rPr>
          <w:rFonts w:ascii="Times New Roman"/>
          <w:sz w:val="24"/>
        </w:rPr>
        <w:t>Electric</w:t>
      </w:r>
    </w:p>
    <w:p>
      <w:pPr>
        <w:spacing w:after="0" w:line="293" w:lineRule="exact"/>
        <w:jc w:val="left"/>
        <w:rPr>
          <w:rFonts w:ascii="Times New Roman"/>
          <w:sz w:val="24"/>
        </w:rPr>
        <w:sectPr>
          <w:headerReference w:type="default" r:id="rId105"/>
          <w:footerReference w:type="default" r:id="rId106"/>
          <w:pgSz w:w="12240" w:h="15840"/>
          <w:pgMar w:header="0" w:footer="1070" w:top="1360" w:bottom="1260" w:left="1680" w:right="1720"/>
          <w:pgNumType w:start="2"/>
        </w:sectPr>
      </w:pPr>
    </w:p>
    <w:p>
      <w:pPr>
        <w:pStyle w:val="ListParagraph"/>
        <w:numPr>
          <w:ilvl w:val="0"/>
          <w:numId w:val="6"/>
        </w:numPr>
        <w:tabs>
          <w:tab w:pos="479" w:val="left" w:leader="none"/>
          <w:tab w:pos="480" w:val="left" w:leader="none"/>
        </w:tabs>
        <w:spacing w:line="293" w:lineRule="exact" w:before="74" w:after="0"/>
        <w:ind w:left="480" w:right="0" w:hanging="360"/>
        <w:jc w:val="left"/>
        <w:rPr>
          <w:rFonts w:ascii="Times New Roman" w:hAnsi="Times New Roman"/>
          <w:sz w:val="24"/>
        </w:rPr>
      </w:pPr>
      <w:r>
        <w:rPr>
          <w:rFonts w:ascii="Times New Roman" w:hAnsi="Times New Roman"/>
          <w:sz w:val="24"/>
        </w:rPr>
        <w:t>TELEFONICA DIGITAL ESPAÑA</w:t>
      </w:r>
      <w:r>
        <w:rPr>
          <w:rFonts w:ascii="Times New Roman" w:hAnsi="Times New Roman"/>
          <w:spacing w:val="-13"/>
          <w:sz w:val="24"/>
        </w:rPr>
        <w:t> </w:t>
      </w:r>
      <w:r>
        <w:rPr>
          <w:rFonts w:ascii="Times New Roman" w:hAnsi="Times New Roman"/>
          <w:sz w:val="24"/>
        </w:rPr>
        <w:t>SL</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Telekom Austria</w:t>
      </w:r>
      <w:r>
        <w:rPr>
          <w:rFonts w:ascii="Times New Roman"/>
          <w:spacing w:val="-12"/>
          <w:sz w:val="24"/>
        </w:rPr>
        <w:t> </w:t>
      </w:r>
      <w:r>
        <w:rPr>
          <w:rFonts w:ascii="Times New Roman"/>
          <w:sz w:val="24"/>
        </w:rPr>
        <w:t>Aktiengesellschaft</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Telstra</w:t>
      </w:r>
    </w:p>
    <w:p>
      <w:pPr>
        <w:pStyle w:val="ListParagraph"/>
        <w:numPr>
          <w:ilvl w:val="0"/>
          <w:numId w:val="6"/>
        </w:numPr>
        <w:tabs>
          <w:tab w:pos="479" w:val="left" w:leader="none"/>
          <w:tab w:pos="480" w:val="left" w:leader="none"/>
        </w:tabs>
        <w:spacing w:line="293" w:lineRule="exact" w:before="1" w:after="0"/>
        <w:ind w:left="480" w:right="0" w:hanging="360"/>
        <w:jc w:val="left"/>
        <w:rPr>
          <w:rFonts w:ascii="Times New Roman"/>
          <w:sz w:val="24"/>
        </w:rPr>
      </w:pPr>
      <w:r>
        <w:rPr>
          <w:rFonts w:ascii="Times New Roman"/>
          <w:sz w:val="24"/>
        </w:rPr>
        <w:t>TELUS</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Terranet,</w:t>
      </w:r>
      <w:r>
        <w:rPr>
          <w:rFonts w:ascii="Times New Roman"/>
          <w:spacing w:val="-4"/>
          <w:sz w:val="24"/>
        </w:rPr>
        <w:t> </w:t>
      </w:r>
      <w:r>
        <w:rPr>
          <w:rFonts w:ascii="Times New Roman"/>
          <w:sz w:val="24"/>
        </w:rPr>
        <w:t>SE</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hAnsi="Times New Roman"/>
          <w:sz w:val="24"/>
        </w:rPr>
      </w:pPr>
      <w:r>
        <w:rPr>
          <w:rFonts w:ascii="Times New Roman" w:hAnsi="Times New Roman"/>
          <w:sz w:val="24"/>
        </w:rPr>
        <w:t>TÜV Rheinland</w:t>
      </w:r>
      <w:r>
        <w:rPr>
          <w:rFonts w:ascii="Times New Roman" w:hAnsi="Times New Roman"/>
          <w:spacing w:val="-7"/>
          <w:sz w:val="24"/>
        </w:rPr>
        <w:t> </w:t>
      </w:r>
      <w:r>
        <w:rPr>
          <w:rFonts w:ascii="Times New Roman" w:hAnsi="Times New Roman"/>
          <w:sz w:val="24"/>
        </w:rPr>
        <w:t>AG</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Valeo (peiker acustic GmbH &amp;</w:t>
      </w:r>
      <w:r>
        <w:rPr>
          <w:rFonts w:ascii="Times New Roman"/>
          <w:spacing w:val="-11"/>
          <w:sz w:val="24"/>
        </w:rPr>
        <w:t> </w:t>
      </w:r>
      <w:r>
        <w:rPr>
          <w:rFonts w:ascii="Times New Roman"/>
          <w:sz w:val="24"/>
        </w:rPr>
        <w:t>Co.KG)</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Veniam</w:t>
      </w:r>
      <w:r>
        <w:rPr>
          <w:rFonts w:ascii="Times New Roman"/>
          <w:spacing w:val="-6"/>
          <w:sz w:val="24"/>
        </w:rPr>
        <w:t> </w:t>
      </w:r>
      <w:r>
        <w:rPr>
          <w:rFonts w:ascii="Times New Roman"/>
          <w:sz w:val="24"/>
        </w:rPr>
        <w:t>Inc.</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Verizon</w:t>
      </w:r>
    </w:p>
    <w:p>
      <w:pPr>
        <w:pStyle w:val="ListParagraph"/>
        <w:numPr>
          <w:ilvl w:val="0"/>
          <w:numId w:val="6"/>
        </w:numPr>
        <w:tabs>
          <w:tab w:pos="479" w:val="left" w:leader="none"/>
          <w:tab w:pos="480" w:val="left" w:leader="none"/>
        </w:tabs>
        <w:spacing w:line="293" w:lineRule="exact" w:before="1" w:after="0"/>
        <w:ind w:left="480" w:right="0" w:hanging="360"/>
        <w:jc w:val="left"/>
        <w:rPr>
          <w:rFonts w:ascii="Times New Roman"/>
          <w:sz w:val="24"/>
        </w:rPr>
      </w:pPr>
      <w:r>
        <w:rPr>
          <w:rFonts w:ascii="Times New Roman"/>
          <w:sz w:val="24"/>
        </w:rPr>
        <w:t>Viavi</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Vodafone Group Services</w:t>
      </w:r>
      <w:r>
        <w:rPr>
          <w:rFonts w:ascii="Times New Roman"/>
          <w:spacing w:val="-8"/>
          <w:sz w:val="24"/>
        </w:rPr>
        <w:t> </w:t>
      </w:r>
      <w:r>
        <w:rPr>
          <w:rFonts w:ascii="Times New Roman"/>
          <w:sz w:val="24"/>
        </w:rPr>
        <w:t>Ltd</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Volkswagen</w:t>
      </w:r>
      <w:r>
        <w:rPr>
          <w:rFonts w:ascii="Times New Roman"/>
          <w:spacing w:val="-8"/>
          <w:sz w:val="24"/>
        </w:rPr>
        <w:t> </w:t>
      </w:r>
      <w:r>
        <w:rPr>
          <w:rFonts w:ascii="Times New Roman"/>
          <w:sz w:val="24"/>
        </w:rPr>
        <w:t>AG</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Volvocars</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VT</w:t>
      </w:r>
      <w:r>
        <w:rPr>
          <w:rFonts w:ascii="Times New Roman"/>
          <w:spacing w:val="-8"/>
          <w:sz w:val="24"/>
        </w:rPr>
        <w:t> </w:t>
      </w:r>
      <w:r>
        <w:rPr>
          <w:rFonts w:ascii="Times New Roman"/>
          <w:sz w:val="24"/>
        </w:rPr>
        <w:t>Direct</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Wistron NeWeb</w:t>
      </w:r>
      <w:r>
        <w:rPr>
          <w:rFonts w:ascii="Times New Roman"/>
          <w:spacing w:val="-4"/>
          <w:sz w:val="24"/>
        </w:rPr>
        <w:t> </w:t>
      </w:r>
      <w:r>
        <w:rPr>
          <w:rFonts w:ascii="Times New Roman"/>
          <w:sz w:val="24"/>
        </w:rPr>
        <w:t>Corp.</w:t>
      </w:r>
    </w:p>
    <w:p>
      <w:pPr>
        <w:pStyle w:val="ListParagraph"/>
        <w:numPr>
          <w:ilvl w:val="0"/>
          <w:numId w:val="6"/>
        </w:numPr>
        <w:tabs>
          <w:tab w:pos="479" w:val="left" w:leader="none"/>
          <w:tab w:pos="480" w:val="left" w:leader="none"/>
        </w:tabs>
        <w:spacing w:line="293" w:lineRule="exact" w:before="1" w:after="0"/>
        <w:ind w:left="480" w:right="0" w:hanging="360"/>
        <w:jc w:val="left"/>
        <w:rPr>
          <w:rFonts w:ascii="Times New Roman"/>
          <w:sz w:val="24"/>
        </w:rPr>
      </w:pPr>
      <w:r>
        <w:rPr>
          <w:rFonts w:ascii="Times New Roman"/>
          <w:sz w:val="24"/>
        </w:rPr>
        <w:t>ZF</w:t>
      </w:r>
    </w:p>
    <w:p>
      <w:pPr>
        <w:pStyle w:val="ListParagraph"/>
        <w:numPr>
          <w:ilvl w:val="0"/>
          <w:numId w:val="6"/>
        </w:numPr>
        <w:tabs>
          <w:tab w:pos="479" w:val="left" w:leader="none"/>
          <w:tab w:pos="480" w:val="left" w:leader="none"/>
        </w:tabs>
        <w:spacing w:line="293" w:lineRule="exact" w:before="0" w:after="0"/>
        <w:ind w:left="480" w:right="0" w:hanging="360"/>
        <w:jc w:val="left"/>
        <w:rPr>
          <w:rFonts w:ascii="Times New Roman"/>
          <w:sz w:val="24"/>
        </w:rPr>
      </w:pPr>
      <w:r>
        <w:rPr>
          <w:rFonts w:ascii="Times New Roman"/>
          <w:sz w:val="24"/>
        </w:rPr>
        <w:t>ZTE</w:t>
      </w:r>
      <w:r>
        <w:rPr>
          <w:rFonts w:ascii="Times New Roman"/>
          <w:spacing w:val="-6"/>
          <w:sz w:val="24"/>
        </w:rPr>
        <w:t> </w:t>
      </w:r>
      <w:r>
        <w:rPr>
          <w:rFonts w:ascii="Times New Roman"/>
          <w:sz w:val="24"/>
        </w:rPr>
        <w:t>Corporation</w:t>
      </w:r>
    </w:p>
    <w:p>
      <w:pPr>
        <w:spacing w:after="0" w:line="293" w:lineRule="exact"/>
        <w:jc w:val="left"/>
        <w:rPr>
          <w:rFonts w:ascii="Times New Roman"/>
          <w:sz w:val="24"/>
        </w:rPr>
        <w:sectPr>
          <w:headerReference w:type="default" r:id="rId107"/>
          <w:footerReference w:type="default" r:id="rId108"/>
          <w:pgSz w:w="12240" w:h="15840"/>
          <w:pgMar w:header="0" w:footer="1070" w:top="1360" w:bottom="1260" w:left="1680" w:right="1720"/>
          <w:pgNumType w:start="3"/>
        </w:sectPr>
      </w:pPr>
    </w:p>
    <w:p>
      <w:pPr>
        <w:spacing w:before="76"/>
        <w:ind w:left="2278" w:right="0" w:firstLine="0"/>
        <w:jc w:val="left"/>
        <w:rPr>
          <w:rFonts w:ascii="Times New Roman"/>
          <w:b/>
          <w:sz w:val="24"/>
        </w:rPr>
      </w:pPr>
      <w:bookmarkStart w:name="Appendix B -  5GAA C-V2X Test Results" w:id="124"/>
      <w:bookmarkEnd w:id="124"/>
      <w:r>
        <w:rPr/>
      </w:r>
      <w:r>
        <w:rPr>
          <w:rFonts w:ascii="Times New Roman"/>
          <w:b/>
          <w:sz w:val="24"/>
        </w:rPr>
        <w:t>Appendix B -  </w:t>
      </w:r>
      <w:bookmarkStart w:name="_bookmark94" w:id="125"/>
      <w:bookmarkEnd w:id="125"/>
      <w:r>
        <w:rPr>
          <w:rFonts w:ascii="Times New Roman"/>
          <w:b/>
          <w:sz w:val="24"/>
        </w:rPr>
        <w:t>5</w:t>
      </w:r>
      <w:r>
        <w:rPr>
          <w:rFonts w:ascii="Times New Roman"/>
          <w:b/>
          <w:sz w:val="24"/>
        </w:rPr>
        <w:t>GAA C-V2X Test Results</w:t>
      </w:r>
    </w:p>
    <w:p>
      <w:pPr>
        <w:spacing w:after="0"/>
        <w:jc w:val="left"/>
        <w:rPr>
          <w:rFonts w:ascii="Times New Roman"/>
          <w:sz w:val="24"/>
        </w:rPr>
        <w:sectPr>
          <w:headerReference w:type="default" r:id="rId109"/>
          <w:footerReference w:type="default" r:id="rId110"/>
          <w:pgSz w:w="12240" w:h="15840"/>
          <w:pgMar w:header="0" w:footer="1070" w:top="1360" w:bottom="1260" w:left="1720" w:right="1720"/>
        </w:sectPr>
      </w:pPr>
    </w:p>
    <w:p>
      <w:pPr>
        <w:pStyle w:val="BodyText"/>
        <w:rPr>
          <w:rFonts w:ascii="Times New Roman"/>
          <w:b/>
        </w:rPr>
      </w:pPr>
      <w:r>
        <w:rPr/>
        <w:pict>
          <v:shape style="position:absolute;margin-left:0pt;margin-top:38.549915pt;width:595.35pt;height:796.5pt;mso-position-horizontal-relative:page;mso-position-vertical-relative:page;z-index:-506272" type="#_x0000_t202" filled="false" stroked="false">
            <v:textbox inset="0,0,0,0">
              <w:txbxContent>
                <w:p>
                  <w:pPr>
                    <w:tabs>
                      <w:tab w:pos="9443" w:val="left" w:leader="none"/>
                    </w:tabs>
                    <w:spacing w:before="75"/>
                    <w:ind w:left="5905" w:right="0" w:firstLine="0"/>
                    <w:jc w:val="left"/>
                    <w:rPr>
                      <w:b/>
                      <w:sz w:val="18"/>
                    </w:rPr>
                  </w:pPr>
                  <w:r>
                    <w:rPr>
                      <w:b/>
                      <w:sz w:val="18"/>
                    </w:rPr>
                    <w:t>1</w:t>
                    <w:tab/>
                    <w:t>5GAA</w:t>
                  </w:r>
                  <w:r>
                    <w:rPr>
                      <w:b/>
                      <w:spacing w:val="-6"/>
                      <w:sz w:val="18"/>
                    </w:rPr>
                    <w:t> </w:t>
                  </w:r>
                  <w:r>
                    <w:rPr>
                      <w:b/>
                      <w:sz w:val="18"/>
                    </w:rPr>
                    <w:t>P-180106</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3"/>
                    </w:rPr>
                  </w:pPr>
                </w:p>
                <w:p>
                  <w:pPr>
                    <w:spacing w:before="0"/>
                    <w:ind w:left="1133" w:right="0" w:firstLine="0"/>
                    <w:jc w:val="left"/>
                    <w:rPr>
                      <w:b/>
                      <w:i/>
                      <w:sz w:val="18"/>
                    </w:rPr>
                  </w:pPr>
                  <w:r>
                    <w:rPr>
                      <w:b/>
                      <w:i/>
                      <w:color w:val="FFFFFF"/>
                      <w:sz w:val="18"/>
                    </w:rPr>
                    <w:t>5GAA</w:t>
                  </w:r>
                </w:p>
              </w:txbxContent>
            </v:textbox>
            <w10:wrap type="none"/>
          </v:shape>
        </w:pict>
      </w:r>
      <w:r>
        <w:rPr/>
        <w:pict>
          <v:group style="position:absolute;margin-left:0pt;margin-top:38.549915pt;width:595.35pt;height:803.5pt;mso-position-horizontal-relative:page;mso-position-vertical-relative:page;z-index:-506248" coordorigin="0,771" coordsize="11907,16070">
            <v:shape style="position:absolute;left:0;top:15602;width:11906;height:1239" type="#_x0000_t75" stroked="false">
              <v:imagedata r:id="rId113" o:title=""/>
            </v:shape>
            <v:shape style="position:absolute;left:0;top:771;width:11906;height:15930" type="#_x0000_t75" stroked="false">
              <v:imagedata r:id="rId114" o:title=""/>
            </v:shape>
            <v:shape style="position:absolute;left:1133;top:2076;width:4546;height:1700" type="#_x0000_t75" stroked="false">
              <v:imagedata r:id="rId115" o:title=""/>
            </v:shape>
            <w10:wrap type="none"/>
          </v:group>
        </w:pict>
      </w: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spacing w:line="261" w:lineRule="auto" w:before="67"/>
        <w:ind w:left="105" w:right="113" w:firstLine="2880"/>
        <w:jc w:val="right"/>
        <w:rPr>
          <w:rFonts w:ascii="Calibri"/>
          <w:sz w:val="80"/>
        </w:rPr>
      </w:pPr>
      <w:r>
        <w:rPr>
          <w:rFonts w:ascii="Calibri"/>
          <w:color w:val="FFFFFF"/>
          <w:sz w:val="80"/>
        </w:rPr>
        <w:t>V2X Functional and</w:t>
      </w:r>
      <w:r>
        <w:rPr>
          <w:rFonts w:ascii="Calibri"/>
          <w:color w:val="FFFFFF"/>
          <w:w w:val="99"/>
          <w:sz w:val="80"/>
        </w:rPr>
        <w:t> </w:t>
      </w:r>
      <w:r>
        <w:rPr>
          <w:rFonts w:ascii="Calibri"/>
          <w:color w:val="FFFFFF"/>
          <w:sz w:val="80"/>
        </w:rPr>
        <w:t>Performance Test Report;</w:t>
      </w:r>
      <w:r>
        <w:rPr>
          <w:rFonts w:ascii="Calibri"/>
          <w:color w:val="FFFFFF"/>
          <w:w w:val="99"/>
          <w:sz w:val="80"/>
        </w:rPr>
        <w:t> </w:t>
      </w:r>
      <w:r>
        <w:rPr>
          <w:rFonts w:ascii="Calibri"/>
          <w:color w:val="FFFFFF"/>
          <w:sz w:val="80"/>
        </w:rPr>
        <w:t>Test Procedures and Results</w:t>
      </w:r>
    </w:p>
    <w:p>
      <w:pPr>
        <w:pStyle w:val="BodyText"/>
        <w:rPr>
          <w:rFonts w:ascii="Calibri"/>
          <w:sz w:val="80"/>
        </w:rPr>
      </w:pPr>
    </w:p>
    <w:p>
      <w:pPr>
        <w:pStyle w:val="BodyText"/>
        <w:rPr>
          <w:rFonts w:ascii="Calibri"/>
          <w:sz w:val="80"/>
        </w:rPr>
      </w:pPr>
    </w:p>
    <w:p>
      <w:pPr>
        <w:pStyle w:val="BodyText"/>
        <w:rPr>
          <w:rFonts w:ascii="Calibri"/>
          <w:sz w:val="80"/>
        </w:rPr>
      </w:pPr>
    </w:p>
    <w:p>
      <w:pPr>
        <w:pStyle w:val="BodyText"/>
        <w:rPr>
          <w:rFonts w:ascii="Calibri"/>
          <w:sz w:val="80"/>
        </w:rPr>
      </w:pPr>
    </w:p>
    <w:p>
      <w:pPr>
        <w:pStyle w:val="BodyText"/>
        <w:rPr>
          <w:rFonts w:ascii="Calibri"/>
          <w:sz w:val="80"/>
        </w:rPr>
      </w:pPr>
    </w:p>
    <w:p>
      <w:pPr>
        <w:pStyle w:val="BodyText"/>
        <w:rPr>
          <w:rFonts w:ascii="Calibri"/>
          <w:sz w:val="80"/>
        </w:rPr>
      </w:pPr>
    </w:p>
    <w:p>
      <w:pPr>
        <w:pStyle w:val="BodyText"/>
        <w:spacing w:before="5"/>
        <w:rPr>
          <w:rFonts w:ascii="Calibri"/>
          <w:sz w:val="119"/>
        </w:rPr>
      </w:pPr>
    </w:p>
    <w:p>
      <w:pPr>
        <w:spacing w:before="0"/>
        <w:ind w:left="4471" w:right="4609" w:firstLine="0"/>
        <w:jc w:val="center"/>
        <w:rPr>
          <w:sz w:val="16"/>
        </w:rPr>
      </w:pPr>
      <w:r>
        <w:rPr>
          <w:sz w:val="16"/>
        </w:rPr>
        <w:t>B-2</w:t>
      </w:r>
    </w:p>
    <w:p>
      <w:pPr>
        <w:spacing w:after="0"/>
        <w:jc w:val="center"/>
        <w:rPr>
          <w:sz w:val="16"/>
        </w:rPr>
        <w:sectPr>
          <w:headerReference w:type="default" r:id="rId111"/>
          <w:footerReference w:type="default" r:id="rId112"/>
          <w:pgSz w:w="11910" w:h="16850"/>
          <w:pgMar w:header="0" w:footer="0" w:top="1600" w:bottom="0" w:left="1340" w:right="1200"/>
        </w:sectPr>
      </w:pPr>
    </w:p>
    <w:p>
      <w:pPr>
        <w:pStyle w:val="BodyText"/>
        <w:spacing w:before="6"/>
        <w:rPr>
          <w:sz w:val="23"/>
        </w:rPr>
      </w:pPr>
    </w:p>
    <w:p>
      <w:pPr>
        <w:pStyle w:val="Heading1"/>
        <w:spacing w:before="88"/>
        <w:ind w:left="1133"/>
      </w:pPr>
      <w:r>
        <w:rPr/>
        <w:t>Contents</w:t>
      </w:r>
    </w:p>
    <w:p>
      <w:pPr>
        <w:spacing w:after="0"/>
        <w:sectPr>
          <w:headerReference w:type="default" r:id="rId116"/>
          <w:footerReference w:type="default" r:id="rId117"/>
          <w:pgSz w:w="11910" w:h="16850"/>
          <w:pgMar w:header="852" w:footer="979" w:top="1040" w:bottom="1361" w:left="0" w:right="0"/>
          <w:pgNumType w:start="3"/>
        </w:sectPr>
      </w:pPr>
    </w:p>
    <w:sdt>
      <w:sdtPr>
        <w:docPartObj>
          <w:docPartGallery w:val="Table of Contents"/>
          <w:docPartUnique/>
        </w:docPartObj>
      </w:sdtPr>
      <w:sdtEndPr/>
      <w:sdtContent>
        <w:p>
          <w:pPr>
            <w:pStyle w:val="TOC1"/>
            <w:tabs>
              <w:tab w:pos="10773" w:val="right" w:leader="dot"/>
            </w:tabs>
            <w:spacing w:line="240" w:lineRule="auto" w:before="153"/>
            <w:ind w:left="1133" w:firstLine="0"/>
          </w:pPr>
          <w:hyperlink w:history="true" w:anchor="_bookmark95">
            <w:r>
              <w:rPr/>
              <w:t>Foreword</w:t>
              <w:tab/>
              <w:t>4</w:t>
            </w:r>
          </w:hyperlink>
        </w:p>
        <w:p>
          <w:pPr>
            <w:pStyle w:val="TOC1"/>
            <w:tabs>
              <w:tab w:pos="10774" w:val="right" w:leader="dot"/>
            </w:tabs>
            <w:spacing w:line="240" w:lineRule="auto" w:before="120"/>
            <w:ind w:left="1133" w:firstLine="0"/>
          </w:pPr>
          <w:hyperlink w:history="true" w:anchor="_bookmark96">
            <w:r>
              <w:rPr/>
              <w:t>Introduction</w:t>
              <w:tab/>
              <w:t>4</w:t>
            </w:r>
          </w:hyperlink>
        </w:p>
        <w:p>
          <w:pPr>
            <w:pStyle w:val="TOC1"/>
            <w:numPr>
              <w:ilvl w:val="3"/>
              <w:numId w:val="2"/>
            </w:numPr>
            <w:tabs>
              <w:tab w:pos="1699" w:val="left" w:leader="none"/>
              <w:tab w:pos="1700" w:val="left" w:leader="none"/>
              <w:tab w:pos="10774" w:val="right" w:leader="dot"/>
            </w:tabs>
            <w:spacing w:line="240" w:lineRule="auto" w:before="118" w:after="0"/>
            <w:ind w:left="1699" w:right="0" w:hanging="566"/>
            <w:jc w:val="left"/>
          </w:pPr>
          <w:hyperlink w:history="true" w:anchor="_bookmark97">
            <w:r>
              <w:rPr/>
              <w:t>Scope</w:t>
              <w:tab/>
              <w:t>4</w:t>
            </w:r>
          </w:hyperlink>
        </w:p>
        <w:p>
          <w:pPr>
            <w:pStyle w:val="TOC1"/>
            <w:numPr>
              <w:ilvl w:val="3"/>
              <w:numId w:val="2"/>
            </w:numPr>
            <w:tabs>
              <w:tab w:pos="1699" w:val="left" w:leader="none"/>
              <w:tab w:pos="1700" w:val="left" w:leader="none"/>
              <w:tab w:pos="10773" w:val="right" w:leader="dot"/>
            </w:tabs>
            <w:spacing w:line="240" w:lineRule="auto" w:before="118" w:after="0"/>
            <w:ind w:left="1699" w:right="0" w:hanging="566"/>
            <w:jc w:val="left"/>
          </w:pPr>
          <w:hyperlink w:history="true" w:anchor="_bookmark98">
            <w:r>
              <w:rPr/>
              <w:t>References</w:t>
              <w:tab/>
              <w:t>5</w:t>
            </w:r>
          </w:hyperlink>
        </w:p>
        <w:p>
          <w:pPr>
            <w:pStyle w:val="TOC1"/>
            <w:numPr>
              <w:ilvl w:val="4"/>
              <w:numId w:val="2"/>
            </w:numPr>
            <w:tabs>
              <w:tab w:pos="1985" w:val="left" w:leader="none"/>
              <w:tab w:pos="1986" w:val="left" w:leader="none"/>
              <w:tab w:pos="10773" w:val="right" w:leader="dot"/>
            </w:tabs>
            <w:spacing w:line="240" w:lineRule="auto" w:before="0" w:after="0"/>
            <w:ind w:left="1985" w:right="0" w:hanging="852"/>
            <w:jc w:val="left"/>
          </w:pPr>
          <w:hyperlink w:history="true" w:anchor="_bookmark99">
            <w:r>
              <w:rPr/>
              <w:t>Standards</w:t>
              <w:tab/>
              <w:t>5</w:t>
            </w:r>
          </w:hyperlink>
        </w:p>
        <w:p>
          <w:pPr>
            <w:pStyle w:val="TOC1"/>
            <w:numPr>
              <w:ilvl w:val="3"/>
              <w:numId w:val="2"/>
            </w:numPr>
            <w:tabs>
              <w:tab w:pos="1699" w:val="left" w:leader="none"/>
              <w:tab w:pos="1700" w:val="left" w:leader="none"/>
              <w:tab w:pos="10774" w:val="right" w:leader="dot"/>
            </w:tabs>
            <w:spacing w:line="240" w:lineRule="auto" w:before="118" w:after="0"/>
            <w:ind w:left="1699" w:right="0" w:hanging="566"/>
            <w:jc w:val="left"/>
          </w:pPr>
          <w:hyperlink w:history="true" w:anchor="_bookmark100">
            <w:r>
              <w:rPr/>
              <w:t>Definitions</w:t>
            </w:r>
            <w:r>
              <w:rPr>
                <w:spacing w:val="-3"/>
              </w:rPr>
              <w:t> </w:t>
            </w:r>
            <w:r>
              <w:rPr/>
              <w:t>and</w:t>
            </w:r>
            <w:r>
              <w:rPr>
                <w:spacing w:val="-1"/>
              </w:rPr>
              <w:t> </w:t>
            </w:r>
            <w:r>
              <w:rPr/>
              <w:t>abbreviations</w:t>
              <w:tab/>
              <w:t>5</w:t>
            </w:r>
          </w:hyperlink>
        </w:p>
        <w:p>
          <w:pPr>
            <w:pStyle w:val="TOC1"/>
            <w:numPr>
              <w:ilvl w:val="4"/>
              <w:numId w:val="2"/>
            </w:numPr>
            <w:tabs>
              <w:tab w:pos="1985" w:val="left" w:leader="none"/>
              <w:tab w:pos="1986" w:val="left" w:leader="none"/>
              <w:tab w:pos="10773" w:val="right" w:leader="dot"/>
            </w:tabs>
            <w:spacing w:line="252" w:lineRule="exact" w:before="1" w:after="0"/>
            <w:ind w:left="1985" w:right="0" w:hanging="852"/>
            <w:jc w:val="left"/>
          </w:pPr>
          <w:hyperlink w:history="true" w:anchor="_bookmark101">
            <w:r>
              <w:rPr/>
              <w:t>Definitions</w:t>
              <w:tab/>
              <w:t>5</w:t>
            </w:r>
          </w:hyperlink>
        </w:p>
        <w:p>
          <w:pPr>
            <w:pStyle w:val="TOC1"/>
            <w:tabs>
              <w:tab w:pos="1985" w:val="left" w:leader="none"/>
              <w:tab w:pos="10773" w:val="right" w:leader="dot"/>
            </w:tabs>
            <w:ind w:left="1133" w:firstLine="0"/>
          </w:pPr>
          <w:hyperlink w:history="true" w:anchor="_bookmark102">
            <w:r>
              <w:rPr/>
              <w:t>3.3</w:t>
              <w:tab/>
              <w:t>Abbreviations</w:t>
              <w:tab/>
              <w:t>6</w:t>
            </w:r>
          </w:hyperlink>
        </w:p>
        <w:p>
          <w:pPr>
            <w:pStyle w:val="TOC1"/>
            <w:numPr>
              <w:ilvl w:val="3"/>
              <w:numId w:val="2"/>
            </w:numPr>
            <w:tabs>
              <w:tab w:pos="1699" w:val="left" w:leader="none"/>
              <w:tab w:pos="1700" w:val="left" w:leader="none"/>
              <w:tab w:pos="10774" w:val="right" w:leader="dot"/>
            </w:tabs>
            <w:spacing w:line="240" w:lineRule="auto" w:before="119" w:after="0"/>
            <w:ind w:left="1699" w:right="0" w:hanging="566"/>
            <w:jc w:val="left"/>
          </w:pPr>
          <w:hyperlink w:history="true" w:anchor="_bookmark103">
            <w:r>
              <w:rPr/>
              <w:t>Executive</w:t>
            </w:r>
            <w:r>
              <w:rPr>
                <w:spacing w:val="-1"/>
              </w:rPr>
              <w:t> </w:t>
            </w:r>
            <w:r>
              <w:rPr/>
              <w:t>Summary</w:t>
              <w:tab/>
              <w:t>7</w:t>
            </w:r>
          </w:hyperlink>
        </w:p>
        <w:p>
          <w:pPr>
            <w:pStyle w:val="TOC1"/>
            <w:numPr>
              <w:ilvl w:val="4"/>
              <w:numId w:val="2"/>
            </w:numPr>
            <w:tabs>
              <w:tab w:pos="1985" w:val="left" w:leader="none"/>
              <w:tab w:pos="1986" w:val="left" w:leader="none"/>
              <w:tab w:pos="10773" w:val="right" w:leader="dot"/>
            </w:tabs>
            <w:spacing w:line="252" w:lineRule="exact" w:before="2" w:after="0"/>
            <w:ind w:left="1985" w:right="0" w:hanging="852"/>
            <w:jc w:val="left"/>
          </w:pPr>
          <w:hyperlink w:history="true" w:anchor="_bookmark104">
            <w:r>
              <w:rPr/>
              <w:t>Introduction</w:t>
              <w:tab/>
              <w:t>7</w:t>
            </w:r>
          </w:hyperlink>
        </w:p>
        <w:p>
          <w:pPr>
            <w:pStyle w:val="TOC1"/>
            <w:numPr>
              <w:ilvl w:val="5"/>
              <w:numId w:val="2"/>
            </w:numPr>
            <w:tabs>
              <w:tab w:pos="2265" w:val="left" w:leader="none"/>
              <w:tab w:pos="2266" w:val="left" w:leader="none"/>
              <w:tab w:pos="10773" w:val="right" w:leader="dot"/>
            </w:tabs>
            <w:spacing w:line="252" w:lineRule="exact" w:before="0" w:after="0"/>
            <w:ind w:left="2266" w:right="0" w:hanging="1133"/>
            <w:jc w:val="left"/>
          </w:pPr>
          <w:hyperlink w:history="true" w:anchor="_bookmark105">
            <w:r>
              <w:rPr/>
              <w:t>Reliability</w:t>
              <w:tab/>
              <w:t>7</w:t>
            </w:r>
          </w:hyperlink>
        </w:p>
        <w:p>
          <w:pPr>
            <w:pStyle w:val="TOC1"/>
            <w:numPr>
              <w:ilvl w:val="5"/>
              <w:numId w:val="2"/>
            </w:numPr>
            <w:tabs>
              <w:tab w:pos="2265" w:val="left" w:leader="none"/>
              <w:tab w:pos="2266" w:val="left" w:leader="none"/>
              <w:tab w:pos="10774" w:val="right" w:leader="dot"/>
            </w:tabs>
            <w:spacing w:line="252" w:lineRule="exact" w:before="1" w:after="0"/>
            <w:ind w:left="2266" w:right="0" w:hanging="1133"/>
            <w:jc w:val="left"/>
          </w:pPr>
          <w:hyperlink w:history="true" w:anchor="_bookmark106">
            <w:r>
              <w:rPr/>
              <w:t>End-to-End</w:t>
            </w:r>
            <w:r>
              <w:rPr>
                <w:spacing w:val="-2"/>
              </w:rPr>
              <w:t> </w:t>
            </w:r>
            <w:r>
              <w:rPr/>
              <w:t>Latency</w:t>
              <w:tab/>
              <w:t>8</w:t>
            </w:r>
          </w:hyperlink>
        </w:p>
        <w:p>
          <w:pPr>
            <w:pStyle w:val="TOC1"/>
            <w:numPr>
              <w:ilvl w:val="5"/>
              <w:numId w:val="2"/>
            </w:numPr>
            <w:tabs>
              <w:tab w:pos="2265" w:val="left" w:leader="none"/>
              <w:tab w:pos="2266" w:val="left" w:leader="none"/>
              <w:tab w:pos="10774" w:val="right" w:leader="dot"/>
            </w:tabs>
            <w:spacing w:line="252" w:lineRule="exact" w:before="0" w:after="0"/>
            <w:ind w:left="2266" w:right="0" w:hanging="1133"/>
            <w:jc w:val="left"/>
          </w:pPr>
          <w:hyperlink w:history="true" w:anchor="_bookmark107">
            <w:r>
              <w:rPr/>
              <w:t>Channel</w:t>
            </w:r>
            <w:r>
              <w:rPr>
                <w:spacing w:val="-2"/>
              </w:rPr>
              <w:t> </w:t>
            </w:r>
            <w:r>
              <w:rPr/>
              <w:t>Congestion</w:t>
              <w:tab/>
              <w:t>8</w:t>
            </w:r>
          </w:hyperlink>
        </w:p>
        <w:p>
          <w:pPr>
            <w:pStyle w:val="TOC1"/>
            <w:numPr>
              <w:ilvl w:val="5"/>
              <w:numId w:val="2"/>
            </w:numPr>
            <w:tabs>
              <w:tab w:pos="2265" w:val="left" w:leader="none"/>
              <w:tab w:pos="2266" w:val="left" w:leader="none"/>
              <w:tab w:pos="10773" w:val="right" w:leader="dot"/>
            </w:tabs>
            <w:spacing w:line="252" w:lineRule="exact" w:before="0" w:after="0"/>
            <w:ind w:left="2266" w:right="0" w:hanging="1133"/>
            <w:jc w:val="left"/>
          </w:pPr>
          <w:hyperlink w:history="true" w:anchor="_bookmark108">
            <w:r>
              <w:rPr/>
              <w:t>Resilience</w:t>
            </w:r>
            <w:r>
              <w:rPr>
                <w:spacing w:val="-1"/>
              </w:rPr>
              <w:t> </w:t>
            </w:r>
            <w:r>
              <w:rPr/>
              <w:t>to</w:t>
            </w:r>
            <w:r>
              <w:rPr>
                <w:spacing w:val="-1"/>
              </w:rPr>
              <w:t> </w:t>
            </w:r>
            <w:r>
              <w:rPr/>
              <w:t>Interference</w:t>
              <w:tab/>
              <w:t>8</w:t>
            </w:r>
          </w:hyperlink>
        </w:p>
        <w:p>
          <w:pPr>
            <w:pStyle w:val="TOC1"/>
            <w:numPr>
              <w:ilvl w:val="5"/>
              <w:numId w:val="2"/>
            </w:numPr>
            <w:tabs>
              <w:tab w:pos="2265" w:val="left" w:leader="none"/>
              <w:tab w:pos="2266" w:val="left" w:leader="none"/>
              <w:tab w:pos="10774" w:val="right" w:leader="dot"/>
            </w:tabs>
            <w:spacing w:line="252" w:lineRule="exact" w:before="1" w:after="0"/>
            <w:ind w:left="2266" w:right="0" w:hanging="1133"/>
            <w:jc w:val="left"/>
          </w:pPr>
          <w:hyperlink w:history="true" w:anchor="_bookmark109">
            <w:r>
              <w:rPr/>
              <w:t>Shadowing</w:t>
            </w:r>
            <w:r>
              <w:rPr>
                <w:spacing w:val="1"/>
              </w:rPr>
              <w:t> </w:t>
            </w:r>
            <w:r>
              <w:rPr/>
              <w:t>Scenarios</w:t>
              <w:tab/>
              <w:t>8</w:t>
            </w:r>
          </w:hyperlink>
        </w:p>
        <w:p>
          <w:pPr>
            <w:pStyle w:val="TOC1"/>
            <w:numPr>
              <w:ilvl w:val="5"/>
              <w:numId w:val="2"/>
            </w:numPr>
            <w:tabs>
              <w:tab w:pos="2265" w:val="left" w:leader="none"/>
              <w:tab w:pos="2266" w:val="left" w:leader="none"/>
              <w:tab w:pos="10774" w:val="right" w:leader="dot"/>
            </w:tabs>
            <w:spacing w:line="252" w:lineRule="exact" w:before="0" w:after="0"/>
            <w:ind w:left="2266" w:right="0" w:hanging="1133"/>
            <w:jc w:val="left"/>
          </w:pPr>
          <w:hyperlink w:history="true" w:anchor="_bookmark110">
            <w:r>
              <w:rPr/>
              <w:t>Near-Far</w:t>
            </w:r>
            <w:r>
              <w:rPr>
                <w:spacing w:val="-1"/>
              </w:rPr>
              <w:t> </w:t>
            </w:r>
            <w:r>
              <w:rPr/>
              <w:t>Effect</w:t>
              <w:tab/>
              <w:t>8</w:t>
            </w:r>
          </w:hyperlink>
        </w:p>
        <w:p>
          <w:pPr>
            <w:pStyle w:val="TOC1"/>
            <w:numPr>
              <w:ilvl w:val="3"/>
              <w:numId w:val="2"/>
            </w:numPr>
            <w:tabs>
              <w:tab w:pos="1699" w:val="left" w:leader="none"/>
              <w:tab w:pos="1700" w:val="left" w:leader="none"/>
              <w:tab w:pos="10774" w:val="right" w:leader="dot"/>
            </w:tabs>
            <w:spacing w:line="252" w:lineRule="exact" w:before="121" w:after="0"/>
            <w:ind w:left="1699" w:right="0" w:hanging="566"/>
            <w:jc w:val="left"/>
          </w:pPr>
          <w:hyperlink w:history="true" w:anchor="_bookmark111">
            <w:r>
              <w:rPr/>
              <w:t>Overview of</w:t>
            </w:r>
            <w:r>
              <w:rPr>
                <w:spacing w:val="-2"/>
              </w:rPr>
              <w:t> </w:t>
            </w:r>
            <w:r>
              <w:rPr/>
              <w:t>the</w:t>
            </w:r>
            <w:r>
              <w:rPr>
                <w:spacing w:val="-5"/>
              </w:rPr>
              <w:t> </w:t>
            </w:r>
            <w:r>
              <w:rPr/>
              <w:t>Test</w:t>
              <w:tab/>
              <w:t>9</w:t>
            </w:r>
          </w:hyperlink>
        </w:p>
        <w:p>
          <w:pPr>
            <w:pStyle w:val="TOC1"/>
            <w:numPr>
              <w:ilvl w:val="4"/>
              <w:numId w:val="2"/>
            </w:numPr>
            <w:tabs>
              <w:tab w:pos="1985" w:val="left" w:leader="none"/>
              <w:tab w:pos="1986" w:val="left" w:leader="none"/>
              <w:tab w:pos="10773" w:val="right" w:leader="dot"/>
            </w:tabs>
            <w:spacing w:line="252" w:lineRule="exact" w:before="0" w:after="0"/>
            <w:ind w:left="1985" w:right="0" w:hanging="852"/>
            <w:jc w:val="left"/>
          </w:pPr>
          <w:hyperlink w:history="true" w:anchor="_bookmark112">
            <w:r>
              <w:rPr/>
              <w:t>KPIs</w:t>
            </w:r>
            <w:r>
              <w:rPr>
                <w:spacing w:val="-2"/>
              </w:rPr>
              <w:t> </w:t>
            </w:r>
            <w:r>
              <w:rPr/>
              <w:t>Overview</w:t>
              <w:tab/>
              <w:t>9</w:t>
            </w:r>
          </w:hyperlink>
        </w:p>
        <w:p>
          <w:pPr>
            <w:pStyle w:val="TOC1"/>
            <w:numPr>
              <w:ilvl w:val="5"/>
              <w:numId w:val="2"/>
            </w:numPr>
            <w:tabs>
              <w:tab w:pos="2265" w:val="left" w:leader="none"/>
              <w:tab w:pos="2266" w:val="left" w:leader="none"/>
              <w:tab w:pos="10773" w:val="right" w:leader="dot"/>
            </w:tabs>
            <w:spacing w:line="252" w:lineRule="exact" w:before="0" w:after="0"/>
            <w:ind w:left="2266" w:right="0" w:hanging="1133"/>
            <w:jc w:val="left"/>
          </w:pPr>
          <w:hyperlink w:history="true" w:anchor="_bookmark113">
            <w:r>
              <w:rPr/>
              <w:t>Packet Error</w:t>
            </w:r>
            <w:r>
              <w:rPr>
                <w:spacing w:val="2"/>
              </w:rPr>
              <w:t> </w:t>
            </w:r>
            <w:r>
              <w:rPr/>
              <w:t>Rate</w:t>
            </w:r>
            <w:r>
              <w:rPr>
                <w:spacing w:val="-3"/>
              </w:rPr>
              <w:t> </w:t>
            </w:r>
            <w:r>
              <w:rPr/>
              <w:t>(PER)</w:t>
              <w:tab/>
              <w:t>9</w:t>
            </w:r>
          </w:hyperlink>
        </w:p>
        <w:p>
          <w:pPr>
            <w:pStyle w:val="TOC1"/>
            <w:numPr>
              <w:ilvl w:val="5"/>
              <w:numId w:val="2"/>
            </w:numPr>
            <w:tabs>
              <w:tab w:pos="2265" w:val="left" w:leader="none"/>
              <w:tab w:pos="2266" w:val="left" w:leader="none"/>
              <w:tab w:pos="10773" w:val="right" w:leader="dot"/>
            </w:tabs>
            <w:spacing w:line="252" w:lineRule="exact" w:before="1" w:after="0"/>
            <w:ind w:left="2266" w:right="0" w:hanging="1133"/>
            <w:jc w:val="left"/>
          </w:pPr>
          <w:hyperlink w:history="true" w:anchor="_bookmark114">
            <w:r>
              <w:rPr/>
              <w:t>Packet Reception</w:t>
            </w:r>
            <w:r>
              <w:rPr>
                <w:spacing w:val="1"/>
              </w:rPr>
              <w:t> </w:t>
            </w:r>
            <w:r>
              <w:rPr/>
              <w:t>Rate</w:t>
            </w:r>
            <w:r>
              <w:rPr>
                <w:spacing w:val="-3"/>
              </w:rPr>
              <w:t> </w:t>
            </w:r>
            <w:r>
              <w:rPr/>
              <w:t>(PRR)</w:t>
              <w:tab/>
              <w:t>10</w:t>
            </w:r>
          </w:hyperlink>
        </w:p>
        <w:p>
          <w:pPr>
            <w:pStyle w:val="TOC1"/>
            <w:numPr>
              <w:ilvl w:val="5"/>
              <w:numId w:val="2"/>
            </w:numPr>
            <w:tabs>
              <w:tab w:pos="2265" w:val="left" w:leader="none"/>
              <w:tab w:pos="2266" w:val="left" w:leader="none"/>
              <w:tab w:pos="10773" w:val="right" w:leader="dot"/>
            </w:tabs>
            <w:spacing w:line="252" w:lineRule="exact" w:before="0" w:after="0"/>
            <w:ind w:left="2266" w:right="0" w:hanging="1133"/>
            <w:jc w:val="left"/>
          </w:pPr>
          <w:hyperlink w:history="true" w:anchor="_bookmark115">
            <w:r>
              <w:rPr/>
              <w:t>Received Signal Strength</w:t>
            </w:r>
            <w:r>
              <w:rPr>
                <w:spacing w:val="-1"/>
              </w:rPr>
              <w:t> </w:t>
            </w:r>
            <w:r>
              <w:rPr/>
              <w:t>Indicator</w:t>
            </w:r>
            <w:r>
              <w:rPr>
                <w:spacing w:val="-2"/>
              </w:rPr>
              <w:t> </w:t>
            </w:r>
            <w:r>
              <w:rPr/>
              <w:t>(RSSI)</w:t>
              <w:tab/>
              <w:t>10</w:t>
            </w:r>
          </w:hyperlink>
        </w:p>
        <w:p>
          <w:pPr>
            <w:pStyle w:val="TOC1"/>
            <w:numPr>
              <w:ilvl w:val="5"/>
              <w:numId w:val="2"/>
            </w:numPr>
            <w:tabs>
              <w:tab w:pos="2265" w:val="left" w:leader="none"/>
              <w:tab w:pos="2266" w:val="left" w:leader="none"/>
              <w:tab w:pos="10773" w:val="right" w:leader="dot"/>
            </w:tabs>
            <w:spacing w:line="253" w:lineRule="exact" w:before="1" w:after="0"/>
            <w:ind w:left="2266" w:right="0" w:hanging="1133"/>
            <w:jc w:val="left"/>
          </w:pPr>
          <w:hyperlink w:history="true" w:anchor="_bookmark116">
            <w:r>
              <w:rPr/>
              <w:t>Inter-Packet Gap (IPG) (Sourced from 5GAA</w:t>
            </w:r>
            <w:r>
              <w:rPr>
                <w:spacing w:val="-9"/>
              </w:rPr>
              <w:t> </w:t>
            </w:r>
            <w:r>
              <w:rPr/>
              <w:t>TR</w:t>
            </w:r>
            <w:r>
              <w:rPr>
                <w:spacing w:val="-6"/>
              </w:rPr>
              <w:t> </w:t>
            </w:r>
            <w:r>
              <w:rPr/>
              <w:t>P-170142)</w:t>
              <w:tab/>
              <w:t>10</w:t>
            </w:r>
          </w:hyperlink>
        </w:p>
        <w:p>
          <w:pPr>
            <w:pStyle w:val="TOC1"/>
            <w:numPr>
              <w:ilvl w:val="5"/>
              <w:numId w:val="2"/>
            </w:numPr>
            <w:tabs>
              <w:tab w:pos="2265" w:val="left" w:leader="none"/>
              <w:tab w:pos="2266" w:val="left" w:leader="none"/>
              <w:tab w:pos="10773" w:val="right" w:leader="dot"/>
            </w:tabs>
            <w:spacing w:line="253" w:lineRule="exact" w:before="0" w:after="0"/>
            <w:ind w:left="2266" w:right="0" w:hanging="1133"/>
            <w:jc w:val="left"/>
          </w:pPr>
          <w:hyperlink w:history="true" w:anchor="_bookmark117">
            <w:r>
              <w:rPr/>
              <w:t>Latency (Sourced from 5GAA</w:t>
            </w:r>
            <w:r>
              <w:rPr>
                <w:spacing w:val="-9"/>
              </w:rPr>
              <w:t> </w:t>
            </w:r>
            <w:r>
              <w:rPr/>
              <w:t>TR</w:t>
            </w:r>
            <w:r>
              <w:rPr>
                <w:spacing w:val="-1"/>
              </w:rPr>
              <w:t> </w:t>
            </w:r>
            <w:r>
              <w:rPr/>
              <w:t>P-170142)</w:t>
              <w:tab/>
              <w:t>11</w:t>
            </w:r>
          </w:hyperlink>
        </w:p>
        <w:p>
          <w:pPr>
            <w:pStyle w:val="TOC1"/>
            <w:numPr>
              <w:ilvl w:val="4"/>
              <w:numId w:val="2"/>
            </w:numPr>
            <w:tabs>
              <w:tab w:pos="1985" w:val="left" w:leader="none"/>
              <w:tab w:pos="1986" w:val="left" w:leader="none"/>
              <w:tab w:pos="10773" w:val="right" w:leader="dot"/>
            </w:tabs>
            <w:spacing w:line="252" w:lineRule="exact" w:before="1" w:after="0"/>
            <w:ind w:left="1985" w:right="0" w:hanging="852"/>
            <w:jc w:val="left"/>
          </w:pPr>
          <w:hyperlink w:history="true" w:anchor="_bookmark118">
            <w:r>
              <w:rPr/>
              <w:t>Data Post-Processing</w:t>
              <w:tab/>
              <w:t>11</w:t>
            </w:r>
          </w:hyperlink>
        </w:p>
        <w:p>
          <w:pPr>
            <w:pStyle w:val="TOC1"/>
            <w:numPr>
              <w:ilvl w:val="5"/>
              <w:numId w:val="2"/>
            </w:numPr>
            <w:tabs>
              <w:tab w:pos="2265" w:val="left" w:leader="none"/>
              <w:tab w:pos="2266" w:val="left" w:leader="none"/>
              <w:tab w:pos="10773" w:val="right" w:leader="dot"/>
            </w:tabs>
            <w:spacing w:line="252" w:lineRule="exact" w:before="0" w:after="0"/>
            <w:ind w:left="2266" w:right="0" w:hanging="1133"/>
            <w:jc w:val="left"/>
          </w:pPr>
          <w:hyperlink w:history="true" w:anchor="_bookmark119">
            <w:r>
              <w:rPr/>
              <w:t>KPI</w:t>
            </w:r>
            <w:r>
              <w:rPr>
                <w:spacing w:val="1"/>
              </w:rPr>
              <w:t> </w:t>
            </w:r>
            <w:r>
              <w:rPr/>
              <w:t>Calculations</w:t>
              <w:tab/>
              <w:t>12</w:t>
            </w:r>
          </w:hyperlink>
        </w:p>
        <w:p>
          <w:pPr>
            <w:pStyle w:val="TOC1"/>
            <w:numPr>
              <w:ilvl w:val="5"/>
              <w:numId w:val="2"/>
            </w:numPr>
            <w:tabs>
              <w:tab w:pos="2265" w:val="left" w:leader="none"/>
              <w:tab w:pos="2266" w:val="left" w:leader="none"/>
              <w:tab w:pos="10773" w:val="right" w:leader="dot"/>
            </w:tabs>
            <w:spacing w:line="252" w:lineRule="exact" w:before="0" w:after="0"/>
            <w:ind w:left="2266" w:right="0" w:hanging="1133"/>
            <w:jc w:val="left"/>
          </w:pPr>
          <w:hyperlink w:history="true" w:anchor="_bookmark120">
            <w:r>
              <w:rPr/>
              <w:t>Distance</w:t>
            </w:r>
            <w:r>
              <w:rPr>
                <w:spacing w:val="-1"/>
              </w:rPr>
              <w:t> </w:t>
            </w:r>
            <w:r>
              <w:rPr/>
              <w:t>Calculations</w:t>
              <w:tab/>
              <w:t>12</w:t>
            </w:r>
          </w:hyperlink>
        </w:p>
        <w:p>
          <w:pPr>
            <w:pStyle w:val="TOC1"/>
            <w:numPr>
              <w:ilvl w:val="5"/>
              <w:numId w:val="2"/>
            </w:numPr>
            <w:tabs>
              <w:tab w:pos="2265" w:val="left" w:leader="none"/>
              <w:tab w:pos="2266" w:val="left" w:leader="none"/>
              <w:tab w:pos="10773" w:val="right" w:leader="dot"/>
            </w:tabs>
            <w:spacing w:line="252" w:lineRule="exact" w:before="0" w:after="0"/>
            <w:ind w:left="2266" w:right="0" w:hanging="1133"/>
            <w:jc w:val="left"/>
          </w:pPr>
          <w:hyperlink w:history="true" w:anchor="_bookmark121">
            <w:r>
              <w:rPr/>
              <w:t>Plotting</w:t>
            </w:r>
            <w:r>
              <w:rPr>
                <w:spacing w:val="-1"/>
              </w:rPr>
              <w:t> </w:t>
            </w:r>
            <w:r>
              <w:rPr/>
              <w:t>vs</w:t>
            </w:r>
            <w:r>
              <w:rPr>
                <w:spacing w:val="-3"/>
              </w:rPr>
              <w:t> </w:t>
            </w:r>
            <w:r>
              <w:rPr/>
              <w:t>Time</w:t>
              <w:tab/>
              <w:t>13</w:t>
            </w:r>
          </w:hyperlink>
        </w:p>
        <w:p>
          <w:pPr>
            <w:pStyle w:val="TOC1"/>
            <w:numPr>
              <w:ilvl w:val="5"/>
              <w:numId w:val="2"/>
            </w:numPr>
            <w:tabs>
              <w:tab w:pos="2265" w:val="left" w:leader="none"/>
              <w:tab w:pos="2266" w:val="left" w:leader="none"/>
              <w:tab w:pos="10773" w:val="right" w:leader="dot"/>
            </w:tabs>
            <w:spacing w:line="252" w:lineRule="exact" w:before="0" w:after="0"/>
            <w:ind w:left="2266" w:right="0" w:hanging="1133"/>
            <w:jc w:val="left"/>
          </w:pPr>
          <w:hyperlink w:history="true" w:anchor="_bookmark122">
            <w:r>
              <w:rPr/>
              <w:t>Plotting</w:t>
            </w:r>
            <w:r>
              <w:rPr>
                <w:spacing w:val="-1"/>
              </w:rPr>
              <w:t> </w:t>
            </w:r>
            <w:r>
              <w:rPr/>
              <w:t>vs Distance</w:t>
              <w:tab/>
              <w:t>13</w:t>
            </w:r>
          </w:hyperlink>
        </w:p>
        <w:p>
          <w:pPr>
            <w:pStyle w:val="TOC1"/>
            <w:tabs>
              <w:tab w:pos="1985" w:val="left" w:leader="none"/>
              <w:tab w:pos="10773" w:val="right" w:leader="dot"/>
            </w:tabs>
            <w:spacing w:line="240" w:lineRule="auto" w:before="2"/>
            <w:ind w:left="1133" w:firstLine="0"/>
          </w:pPr>
          <w:hyperlink w:history="true" w:anchor="_bookmark123">
            <w:r>
              <w:rPr/>
              <w:t>5.3</w:t>
              <w:tab/>
              <w:t>Test</w:t>
            </w:r>
            <w:r>
              <w:rPr>
                <w:spacing w:val="1"/>
              </w:rPr>
              <w:t> </w:t>
            </w:r>
            <w:r>
              <w:rPr/>
              <w:t>Classification</w:t>
              <w:tab/>
              <w:t>13</w:t>
            </w:r>
          </w:hyperlink>
        </w:p>
        <w:p>
          <w:pPr>
            <w:pStyle w:val="TOC1"/>
            <w:numPr>
              <w:ilvl w:val="3"/>
              <w:numId w:val="2"/>
            </w:numPr>
            <w:tabs>
              <w:tab w:pos="1699" w:val="left" w:leader="none"/>
              <w:tab w:pos="1700" w:val="left" w:leader="none"/>
              <w:tab w:pos="10773" w:val="right" w:leader="dot"/>
            </w:tabs>
            <w:spacing w:line="252" w:lineRule="exact" w:before="119" w:after="0"/>
            <w:ind w:left="1699" w:right="0" w:hanging="566"/>
            <w:jc w:val="left"/>
          </w:pPr>
          <w:hyperlink w:history="true" w:anchor="_bookmark124">
            <w:r>
              <w:rPr/>
              <w:t>Test Equipment Description</w:t>
            </w:r>
            <w:r>
              <w:rPr>
                <w:spacing w:val="3"/>
              </w:rPr>
              <w:t> </w:t>
            </w:r>
            <w:r>
              <w:rPr/>
              <w:t>and</w:t>
            </w:r>
            <w:r>
              <w:rPr>
                <w:spacing w:val="-1"/>
              </w:rPr>
              <w:t> </w:t>
            </w:r>
            <w:r>
              <w:rPr/>
              <w:t>Characterization</w:t>
              <w:tab/>
              <w:t>15</w:t>
            </w:r>
          </w:hyperlink>
        </w:p>
        <w:p>
          <w:pPr>
            <w:pStyle w:val="TOC1"/>
            <w:numPr>
              <w:ilvl w:val="4"/>
              <w:numId w:val="2"/>
            </w:numPr>
            <w:tabs>
              <w:tab w:pos="1985" w:val="left" w:leader="none"/>
              <w:tab w:pos="1986" w:val="left" w:leader="none"/>
              <w:tab w:pos="10773" w:val="right" w:leader="dot"/>
            </w:tabs>
            <w:spacing w:line="252" w:lineRule="exact" w:before="0" w:after="0"/>
            <w:ind w:left="1985" w:right="0" w:hanging="852"/>
            <w:jc w:val="left"/>
          </w:pPr>
          <w:hyperlink w:history="true" w:anchor="_bookmark125">
            <w:r>
              <w:rPr/>
              <w:t>OBUs (Savari MW1000 and Qualcomm</w:t>
            </w:r>
            <w:r>
              <w:rPr>
                <w:spacing w:val="-10"/>
              </w:rPr>
              <w:t> </w:t>
            </w:r>
            <w:r>
              <w:rPr/>
              <w:t>Roadrunner platforms)</w:t>
              <w:tab/>
              <w:t>15</w:t>
            </w:r>
          </w:hyperlink>
        </w:p>
        <w:p>
          <w:pPr>
            <w:pStyle w:val="TOC1"/>
            <w:numPr>
              <w:ilvl w:val="4"/>
              <w:numId w:val="2"/>
            </w:numPr>
            <w:tabs>
              <w:tab w:pos="1985" w:val="left" w:leader="none"/>
              <w:tab w:pos="1986" w:val="left" w:leader="none"/>
              <w:tab w:pos="10773" w:val="right" w:leader="dot"/>
            </w:tabs>
            <w:spacing w:line="252" w:lineRule="exact" w:before="1" w:after="0"/>
            <w:ind w:left="1985" w:right="0" w:hanging="852"/>
            <w:jc w:val="left"/>
          </w:pPr>
          <w:hyperlink w:history="true" w:anchor="_bookmark126">
            <w:r>
              <w:rPr/>
              <w:t>In-vehicle</w:t>
            </w:r>
            <w:r>
              <w:rPr>
                <w:spacing w:val="-1"/>
              </w:rPr>
              <w:t> </w:t>
            </w:r>
            <w:r>
              <w:rPr/>
              <w:t>setup</w:t>
              <w:tab/>
              <w:t>16</w:t>
            </w:r>
          </w:hyperlink>
        </w:p>
        <w:p>
          <w:pPr>
            <w:pStyle w:val="TOC1"/>
            <w:numPr>
              <w:ilvl w:val="4"/>
              <w:numId w:val="2"/>
            </w:numPr>
            <w:tabs>
              <w:tab w:pos="1985" w:val="left" w:leader="none"/>
              <w:tab w:pos="1986" w:val="left" w:leader="none"/>
              <w:tab w:pos="10773" w:val="right" w:leader="dot"/>
            </w:tabs>
            <w:spacing w:line="252" w:lineRule="exact" w:before="0" w:after="0"/>
            <w:ind w:left="1985" w:right="0" w:hanging="852"/>
            <w:jc w:val="left"/>
          </w:pPr>
          <w:hyperlink w:history="true" w:anchor="_bookmark127">
            <w:r>
              <w:rPr/>
              <w:t>Lab equipment</w:t>
              <w:tab/>
              <w:t>17</w:t>
            </w:r>
          </w:hyperlink>
        </w:p>
        <w:p>
          <w:pPr>
            <w:pStyle w:val="TOC1"/>
            <w:numPr>
              <w:ilvl w:val="4"/>
              <w:numId w:val="2"/>
            </w:numPr>
            <w:tabs>
              <w:tab w:pos="1985" w:val="left" w:leader="none"/>
              <w:tab w:pos="1986" w:val="left" w:leader="none"/>
              <w:tab w:pos="10773" w:val="right" w:leader="dot"/>
            </w:tabs>
            <w:spacing w:line="240" w:lineRule="auto" w:before="2" w:after="0"/>
            <w:ind w:left="1985" w:right="0" w:hanging="852"/>
            <w:jc w:val="left"/>
          </w:pPr>
          <w:hyperlink w:history="true" w:anchor="_bookmark128">
            <w:r>
              <w:rPr/>
              <w:t>Antenna</w:t>
            </w:r>
            <w:r>
              <w:rPr>
                <w:spacing w:val="-1"/>
              </w:rPr>
              <w:t> </w:t>
            </w:r>
            <w:r>
              <w:rPr/>
              <w:t>characterization</w:t>
              <w:tab/>
              <w:t>18</w:t>
            </w:r>
          </w:hyperlink>
        </w:p>
        <w:p>
          <w:pPr>
            <w:pStyle w:val="TOC1"/>
            <w:numPr>
              <w:ilvl w:val="3"/>
              <w:numId w:val="2"/>
            </w:numPr>
            <w:tabs>
              <w:tab w:pos="1699" w:val="left" w:leader="none"/>
              <w:tab w:pos="1700" w:val="left" w:leader="none"/>
              <w:tab w:pos="10773" w:val="right" w:leader="dot"/>
            </w:tabs>
            <w:spacing w:line="253" w:lineRule="exact" w:before="119" w:after="0"/>
            <w:ind w:left="1699" w:right="0" w:hanging="566"/>
            <w:jc w:val="left"/>
          </w:pPr>
          <w:hyperlink w:history="true" w:anchor="_bookmark129">
            <w:r>
              <w:rPr/>
              <w:t>Lab Test Procedures</w:t>
            </w:r>
            <w:r>
              <w:rPr>
                <w:spacing w:val="-6"/>
              </w:rPr>
              <w:t> </w:t>
            </w:r>
            <w:r>
              <w:rPr/>
              <w:t>and</w:t>
            </w:r>
            <w:r>
              <w:rPr>
                <w:spacing w:val="-1"/>
              </w:rPr>
              <w:t> </w:t>
            </w:r>
            <w:r>
              <w:rPr/>
              <w:t>Results</w:t>
              <w:tab/>
              <w:t>23</w:t>
            </w:r>
          </w:hyperlink>
        </w:p>
        <w:p>
          <w:pPr>
            <w:pStyle w:val="TOC1"/>
            <w:numPr>
              <w:ilvl w:val="4"/>
              <w:numId w:val="2"/>
            </w:numPr>
            <w:tabs>
              <w:tab w:pos="1985" w:val="left" w:leader="none"/>
              <w:tab w:pos="1986" w:val="left" w:leader="none"/>
              <w:tab w:pos="10773" w:val="right" w:leader="dot"/>
            </w:tabs>
            <w:spacing w:line="240" w:lineRule="auto" w:before="0" w:after="0"/>
            <w:ind w:left="1985" w:right="0" w:hanging="852"/>
            <w:jc w:val="left"/>
          </w:pPr>
          <w:hyperlink w:history="true" w:anchor="_bookmark130">
            <w:r>
              <w:rPr/>
              <w:t>Introduction</w:t>
              <w:tab/>
              <w:t>23</w:t>
            </w:r>
          </w:hyperlink>
        </w:p>
        <w:p>
          <w:pPr>
            <w:pStyle w:val="TOC1"/>
            <w:numPr>
              <w:ilvl w:val="5"/>
              <w:numId w:val="2"/>
            </w:numPr>
            <w:tabs>
              <w:tab w:pos="2265" w:val="left" w:leader="none"/>
              <w:tab w:pos="2266" w:val="left" w:leader="none"/>
              <w:tab w:pos="10773" w:val="right" w:leader="dot"/>
            </w:tabs>
            <w:spacing w:line="252" w:lineRule="exact" w:before="2" w:after="0"/>
            <w:ind w:left="2266" w:right="0" w:hanging="1133"/>
            <w:jc w:val="left"/>
          </w:pPr>
          <w:hyperlink w:history="true" w:anchor="_bookmark131">
            <w:r>
              <w:rPr/>
              <w:t>Common Parameters</w:t>
            </w:r>
            <w:r>
              <w:rPr>
                <w:spacing w:val="-2"/>
              </w:rPr>
              <w:t> </w:t>
            </w:r>
            <w:r>
              <w:rPr/>
              <w:t>and</w:t>
            </w:r>
            <w:r>
              <w:rPr>
                <w:spacing w:val="-1"/>
              </w:rPr>
              <w:t> </w:t>
            </w:r>
            <w:r>
              <w:rPr/>
              <w:t>Setup</w:t>
              <w:tab/>
              <w:t>23</w:t>
            </w:r>
          </w:hyperlink>
        </w:p>
        <w:p>
          <w:pPr>
            <w:pStyle w:val="TOC1"/>
            <w:numPr>
              <w:ilvl w:val="5"/>
              <w:numId w:val="2"/>
            </w:numPr>
            <w:tabs>
              <w:tab w:pos="2265" w:val="left" w:leader="none"/>
              <w:tab w:pos="2266" w:val="left" w:leader="none"/>
              <w:tab w:pos="10773" w:val="right" w:leader="dot"/>
            </w:tabs>
            <w:spacing w:line="252" w:lineRule="exact" w:before="0" w:after="0"/>
            <w:ind w:left="2266" w:right="0" w:hanging="1133"/>
            <w:jc w:val="left"/>
          </w:pPr>
          <w:hyperlink w:history="true" w:anchor="_bookmark132">
            <w:r>
              <w:rPr/>
              <w:t>General guidance on C-V2X and DSRC device RF</w:t>
            </w:r>
            <w:r>
              <w:rPr>
                <w:spacing w:val="-8"/>
              </w:rPr>
              <w:t> </w:t>
            </w:r>
            <w:r>
              <w:rPr/>
              <w:t>power management</w:t>
              <w:tab/>
              <w:t>24</w:t>
            </w:r>
          </w:hyperlink>
        </w:p>
        <w:p>
          <w:pPr>
            <w:pStyle w:val="TOC1"/>
            <w:numPr>
              <w:ilvl w:val="1"/>
              <w:numId w:val="7"/>
            </w:numPr>
            <w:tabs>
              <w:tab w:pos="1985" w:val="left" w:leader="none"/>
              <w:tab w:pos="1986" w:val="left" w:leader="none"/>
              <w:tab w:pos="10773" w:val="right" w:leader="dot"/>
            </w:tabs>
            <w:spacing w:line="252" w:lineRule="exact" w:before="1" w:after="0"/>
            <w:ind w:left="1985" w:right="0" w:hanging="852"/>
            <w:jc w:val="left"/>
          </w:pPr>
          <w:hyperlink w:history="true" w:anchor="_bookmark133">
            <w:r>
              <w:rPr/>
              <w:t>AWGN Lab</w:t>
            </w:r>
            <w:r>
              <w:rPr>
                <w:spacing w:val="-4"/>
              </w:rPr>
              <w:t> </w:t>
            </w:r>
            <w:r>
              <w:rPr/>
              <w:t>Tests</w:t>
              <w:tab/>
              <w:t>25</w:t>
            </w:r>
          </w:hyperlink>
        </w:p>
        <w:p>
          <w:pPr>
            <w:pStyle w:val="TOC1"/>
            <w:numPr>
              <w:ilvl w:val="2"/>
              <w:numId w:val="7"/>
            </w:numPr>
            <w:tabs>
              <w:tab w:pos="2265" w:val="left" w:leader="none"/>
              <w:tab w:pos="2266" w:val="left" w:leader="none"/>
              <w:tab w:pos="10773" w:val="right" w:leader="dot"/>
            </w:tabs>
            <w:spacing w:line="252" w:lineRule="exact" w:before="0" w:after="0"/>
            <w:ind w:left="2266" w:right="0" w:hanging="1133"/>
            <w:jc w:val="left"/>
          </w:pPr>
          <w:hyperlink w:history="true" w:anchor="_bookmark134">
            <w:r>
              <w:rPr/>
              <w:t>Cabled transmission and reception test with varying</w:t>
            </w:r>
            <w:r>
              <w:rPr>
                <w:spacing w:val="-8"/>
              </w:rPr>
              <w:t> </w:t>
            </w:r>
            <w:r>
              <w:rPr/>
              <w:t>payload</w:t>
            </w:r>
            <w:r>
              <w:rPr>
                <w:spacing w:val="-1"/>
              </w:rPr>
              <w:t> </w:t>
            </w:r>
            <w:r>
              <w:rPr/>
              <w:t>sizes</w:t>
              <w:tab/>
              <w:t>25</w:t>
            </w:r>
          </w:hyperlink>
        </w:p>
        <w:p>
          <w:pPr>
            <w:pStyle w:val="TOC1"/>
            <w:numPr>
              <w:ilvl w:val="2"/>
              <w:numId w:val="7"/>
            </w:numPr>
            <w:tabs>
              <w:tab w:pos="2265" w:val="left" w:leader="none"/>
              <w:tab w:pos="2266" w:val="left" w:leader="none"/>
              <w:tab w:pos="10773" w:val="right" w:leader="dot"/>
            </w:tabs>
            <w:spacing w:line="252" w:lineRule="exact" w:before="0" w:after="0"/>
            <w:ind w:left="2266" w:right="0" w:hanging="1133"/>
            <w:jc w:val="left"/>
          </w:pPr>
          <w:hyperlink w:history="true" w:anchor="_bookmark135">
            <w:r>
              <w:rPr/>
              <w:t>Clean channel cabled transmission and reception test across</w:t>
            </w:r>
            <w:r>
              <w:rPr>
                <w:spacing w:val="-10"/>
              </w:rPr>
              <w:t> </w:t>
            </w:r>
            <w:r>
              <w:rPr/>
              <w:t>power levels</w:t>
              <w:tab/>
              <w:t>28</w:t>
            </w:r>
          </w:hyperlink>
        </w:p>
        <w:p>
          <w:pPr>
            <w:pStyle w:val="TOC1"/>
            <w:numPr>
              <w:ilvl w:val="2"/>
              <w:numId w:val="7"/>
            </w:numPr>
            <w:tabs>
              <w:tab w:pos="2265" w:val="left" w:leader="none"/>
              <w:tab w:pos="2266" w:val="left" w:leader="none"/>
              <w:tab w:pos="10773" w:val="right" w:leader="dot"/>
            </w:tabs>
            <w:spacing w:line="252" w:lineRule="exact" w:before="1" w:after="0"/>
            <w:ind w:left="2266" w:right="0" w:hanging="1133"/>
            <w:jc w:val="left"/>
          </w:pPr>
          <w:hyperlink w:history="true" w:anchor="_bookmark136">
            <w:r>
              <w:rPr/>
              <w:t>Cabled Transmission and Reception Test with added</w:t>
            </w:r>
            <w:r>
              <w:rPr>
                <w:spacing w:val="-8"/>
              </w:rPr>
              <w:t> </w:t>
            </w:r>
            <w:r>
              <w:rPr/>
              <w:t>Channel</w:t>
            </w:r>
            <w:r>
              <w:rPr>
                <w:spacing w:val="-1"/>
              </w:rPr>
              <w:t> </w:t>
            </w:r>
            <w:r>
              <w:rPr/>
              <w:t>Impairment</w:t>
              <w:tab/>
              <w:t>35</w:t>
            </w:r>
          </w:hyperlink>
        </w:p>
        <w:p>
          <w:pPr>
            <w:pStyle w:val="TOC1"/>
            <w:numPr>
              <w:ilvl w:val="1"/>
              <w:numId w:val="8"/>
            </w:numPr>
            <w:tabs>
              <w:tab w:pos="1985" w:val="left" w:leader="none"/>
              <w:tab w:pos="1986" w:val="left" w:leader="none"/>
              <w:tab w:pos="10773" w:val="right" w:leader="dot"/>
            </w:tabs>
            <w:spacing w:line="252" w:lineRule="exact" w:before="0" w:after="0"/>
            <w:ind w:left="1985" w:right="0" w:hanging="852"/>
            <w:jc w:val="left"/>
          </w:pPr>
          <w:hyperlink w:history="true" w:anchor="_bookmark137">
            <w:r>
              <w:rPr/>
              <w:t>Interference Lab</w:t>
            </w:r>
            <w:r>
              <w:rPr>
                <w:spacing w:val="-4"/>
              </w:rPr>
              <w:t> </w:t>
            </w:r>
            <w:r>
              <w:rPr/>
              <w:t>Tests</w:t>
              <w:tab/>
              <w:t>43</w:t>
            </w:r>
          </w:hyperlink>
        </w:p>
        <w:p>
          <w:pPr>
            <w:pStyle w:val="TOC1"/>
            <w:numPr>
              <w:ilvl w:val="2"/>
              <w:numId w:val="8"/>
            </w:numPr>
            <w:tabs>
              <w:tab w:pos="2265" w:val="left" w:leader="none"/>
              <w:tab w:pos="2266" w:val="left" w:leader="none"/>
              <w:tab w:pos="10773" w:val="right" w:leader="dot"/>
            </w:tabs>
            <w:spacing w:line="252" w:lineRule="exact" w:before="1" w:after="0"/>
            <w:ind w:left="2266" w:right="0" w:hanging="1133"/>
            <w:jc w:val="left"/>
          </w:pPr>
          <w:hyperlink w:history="true" w:anchor="_bookmark138">
            <w:r>
              <w:rPr/>
              <w:t>Hidden</w:t>
            </w:r>
            <w:r>
              <w:rPr>
                <w:spacing w:val="-1"/>
              </w:rPr>
              <w:t> </w:t>
            </w:r>
            <w:r>
              <w:rPr/>
              <w:t>Node</w:t>
            </w:r>
            <w:r>
              <w:rPr>
                <w:spacing w:val="-1"/>
              </w:rPr>
              <w:t> </w:t>
            </w:r>
            <w:r>
              <w:rPr/>
              <w:t>Scenario</w:t>
              <w:tab/>
              <w:t>43</w:t>
            </w:r>
          </w:hyperlink>
        </w:p>
        <w:p>
          <w:pPr>
            <w:pStyle w:val="TOC1"/>
            <w:numPr>
              <w:ilvl w:val="2"/>
              <w:numId w:val="8"/>
            </w:numPr>
            <w:tabs>
              <w:tab w:pos="2265" w:val="left" w:leader="none"/>
              <w:tab w:pos="2266" w:val="left" w:leader="none"/>
              <w:tab w:pos="10773" w:val="right" w:leader="dot"/>
            </w:tabs>
            <w:spacing w:line="252" w:lineRule="exact" w:before="0" w:after="0"/>
            <w:ind w:left="2266" w:right="0" w:hanging="1133"/>
            <w:jc w:val="left"/>
          </w:pPr>
          <w:hyperlink w:history="true" w:anchor="_bookmark139">
            <w:r>
              <w:rPr/>
              <w:t>Near-Far</w:t>
            </w:r>
            <w:r>
              <w:rPr>
                <w:spacing w:val="-2"/>
              </w:rPr>
              <w:t> </w:t>
            </w:r>
            <w:r>
              <w:rPr/>
              <w:t>Effect</w:t>
              <w:tab/>
              <w:t>51</w:t>
            </w:r>
          </w:hyperlink>
        </w:p>
        <w:p>
          <w:pPr>
            <w:pStyle w:val="TOC1"/>
            <w:tabs>
              <w:tab w:pos="1985" w:val="left" w:leader="none"/>
              <w:tab w:pos="10773" w:val="right" w:leader="dot"/>
            </w:tabs>
            <w:ind w:left="1133" w:firstLine="0"/>
          </w:pPr>
          <w:hyperlink w:history="true" w:anchor="_bookmark140">
            <w:r>
              <w:rPr/>
              <w:t>7.4</w:t>
              <w:tab/>
              <w:t>Congestion</w:t>
            </w:r>
            <w:r>
              <w:rPr>
                <w:spacing w:val="-3"/>
              </w:rPr>
              <w:t> </w:t>
            </w:r>
            <w:r>
              <w:rPr/>
              <w:t>Tests</w:t>
              <w:tab/>
              <w:t>55</w:t>
            </w:r>
          </w:hyperlink>
        </w:p>
        <w:p>
          <w:pPr>
            <w:pStyle w:val="TOC1"/>
            <w:tabs>
              <w:tab w:pos="2265" w:val="left" w:leader="none"/>
              <w:tab w:pos="10773" w:val="right" w:leader="dot"/>
            </w:tabs>
            <w:spacing w:line="240" w:lineRule="auto" w:before="1"/>
            <w:ind w:left="1133" w:firstLine="0"/>
          </w:pPr>
          <w:hyperlink w:history="true" w:anchor="_bookmark141">
            <w:r>
              <w:rPr/>
              <w:t>7.4.1</w:t>
              <w:tab/>
              <w:t>Congestion Control</w:t>
            </w:r>
            <w:r>
              <w:rPr>
                <w:spacing w:val="-2"/>
              </w:rPr>
              <w:t> </w:t>
            </w:r>
            <w:r>
              <w:rPr/>
              <w:t>Lab</w:t>
            </w:r>
            <w:r>
              <w:rPr>
                <w:spacing w:val="-3"/>
              </w:rPr>
              <w:t> </w:t>
            </w:r>
            <w:r>
              <w:rPr/>
              <w:t>Test</w:t>
              <w:tab/>
              <w:t>55</w:t>
            </w:r>
          </w:hyperlink>
        </w:p>
        <w:p>
          <w:pPr>
            <w:pStyle w:val="TOC1"/>
            <w:numPr>
              <w:ilvl w:val="0"/>
              <w:numId w:val="8"/>
            </w:numPr>
            <w:tabs>
              <w:tab w:pos="1699" w:val="left" w:leader="none"/>
              <w:tab w:pos="1700" w:val="left" w:leader="none"/>
              <w:tab w:pos="10773" w:val="right" w:leader="dot"/>
            </w:tabs>
            <w:spacing w:line="240" w:lineRule="auto" w:before="119" w:after="0"/>
            <w:ind w:left="1699" w:right="0" w:hanging="566"/>
            <w:jc w:val="left"/>
          </w:pPr>
          <w:hyperlink w:history="true" w:anchor="_bookmark142">
            <w:r>
              <w:rPr/>
              <w:t>Field Test Procedures</w:t>
            </w:r>
            <w:r>
              <w:rPr>
                <w:spacing w:val="-1"/>
              </w:rPr>
              <w:t> </w:t>
            </w:r>
            <w:r>
              <w:rPr/>
              <w:t>and</w:t>
            </w:r>
            <w:r>
              <w:rPr>
                <w:spacing w:val="-1"/>
              </w:rPr>
              <w:t> </w:t>
            </w:r>
            <w:r>
              <w:rPr/>
              <w:t>Results</w:t>
              <w:tab/>
              <w:t>68</w:t>
            </w:r>
          </w:hyperlink>
        </w:p>
        <w:p>
          <w:pPr>
            <w:pStyle w:val="TOC1"/>
            <w:numPr>
              <w:ilvl w:val="1"/>
              <w:numId w:val="9"/>
            </w:numPr>
            <w:tabs>
              <w:tab w:pos="1985" w:val="left" w:leader="none"/>
              <w:tab w:pos="1986" w:val="left" w:leader="none"/>
              <w:tab w:pos="10773" w:val="right" w:leader="dot"/>
            </w:tabs>
            <w:spacing w:line="240" w:lineRule="auto" w:before="1" w:after="0"/>
            <w:ind w:left="1985" w:right="0" w:hanging="852"/>
            <w:jc w:val="left"/>
          </w:pPr>
          <w:hyperlink w:history="true" w:anchor="_bookmark143">
            <w:r>
              <w:rPr/>
              <w:t>Introduction</w:t>
              <w:tab/>
              <w:t>68</w:t>
            </w:r>
          </w:hyperlink>
        </w:p>
        <w:p>
          <w:pPr>
            <w:pStyle w:val="TOC1"/>
            <w:numPr>
              <w:ilvl w:val="1"/>
              <w:numId w:val="9"/>
            </w:numPr>
            <w:tabs>
              <w:tab w:pos="1985" w:val="left" w:leader="none"/>
              <w:tab w:pos="1986" w:val="left" w:leader="none"/>
              <w:tab w:pos="10773" w:val="right" w:leader="dot"/>
            </w:tabs>
            <w:spacing w:line="253" w:lineRule="exact" w:before="360" w:after="0"/>
            <w:ind w:left="1985" w:right="0" w:hanging="852"/>
            <w:jc w:val="left"/>
          </w:pPr>
          <w:hyperlink w:history="true" w:anchor="_bookmark144">
            <w:r>
              <w:rPr/>
              <w:t>Hardware Setup</w:t>
              <w:tab/>
              <w:t>69</w:t>
            </w:r>
          </w:hyperlink>
        </w:p>
        <w:p>
          <w:pPr>
            <w:pStyle w:val="TOC1"/>
            <w:numPr>
              <w:ilvl w:val="1"/>
              <w:numId w:val="9"/>
            </w:numPr>
            <w:tabs>
              <w:tab w:pos="1985" w:val="left" w:leader="none"/>
              <w:tab w:pos="1986" w:val="left" w:leader="none"/>
              <w:tab w:pos="10773" w:val="right" w:leader="dot"/>
            </w:tabs>
            <w:spacing w:line="253" w:lineRule="exact" w:before="0" w:after="0"/>
            <w:ind w:left="1985" w:right="0" w:hanging="852"/>
            <w:jc w:val="left"/>
          </w:pPr>
          <w:hyperlink w:history="true" w:anchor="_bookmark145">
            <w:r>
              <w:rPr/>
              <w:t>Field</w:t>
            </w:r>
            <w:r>
              <w:rPr>
                <w:spacing w:val="-1"/>
              </w:rPr>
              <w:t> </w:t>
            </w:r>
            <w:r>
              <w:rPr/>
              <w:t>Test</w:t>
            </w:r>
            <w:r>
              <w:rPr>
                <w:spacing w:val="1"/>
              </w:rPr>
              <w:t> </w:t>
            </w:r>
            <w:r>
              <w:rPr/>
              <w:t>Parameters</w:t>
              <w:tab/>
              <w:t>71</w:t>
            </w:r>
          </w:hyperlink>
        </w:p>
        <w:p>
          <w:pPr>
            <w:pStyle w:val="TOC1"/>
            <w:numPr>
              <w:ilvl w:val="1"/>
              <w:numId w:val="9"/>
            </w:numPr>
            <w:tabs>
              <w:tab w:pos="1985" w:val="left" w:leader="none"/>
              <w:tab w:pos="1986" w:val="left" w:leader="none"/>
              <w:tab w:pos="10773" w:val="right" w:leader="dot"/>
            </w:tabs>
            <w:spacing w:line="252" w:lineRule="exact" w:before="1" w:after="0"/>
            <w:ind w:left="1985" w:right="0" w:hanging="852"/>
            <w:jc w:val="left"/>
          </w:pPr>
          <w:hyperlink w:history="true" w:anchor="_bookmark146">
            <w:r>
              <w:rPr/>
              <w:t>Presentation</w:t>
            </w:r>
            <w:r>
              <w:rPr>
                <w:spacing w:val="-1"/>
              </w:rPr>
              <w:t> </w:t>
            </w:r>
            <w:r>
              <w:rPr/>
              <w:t>of</w:t>
            </w:r>
            <w:r>
              <w:rPr>
                <w:spacing w:val="1"/>
              </w:rPr>
              <w:t> </w:t>
            </w:r>
            <w:r>
              <w:rPr/>
              <w:t>Results</w:t>
              <w:tab/>
              <w:t>71</w:t>
            </w:r>
          </w:hyperlink>
        </w:p>
        <w:p>
          <w:pPr>
            <w:pStyle w:val="TOC1"/>
            <w:numPr>
              <w:ilvl w:val="1"/>
              <w:numId w:val="9"/>
            </w:numPr>
            <w:tabs>
              <w:tab w:pos="1985" w:val="left" w:leader="none"/>
              <w:tab w:pos="1986" w:val="left" w:leader="none"/>
              <w:tab w:pos="10773" w:val="right" w:leader="dot"/>
            </w:tabs>
            <w:spacing w:line="252" w:lineRule="exact" w:before="0" w:after="0"/>
            <w:ind w:left="1985" w:right="0" w:hanging="852"/>
            <w:jc w:val="left"/>
          </w:pPr>
          <w:hyperlink w:history="true" w:anchor="_bookmark147">
            <w:r>
              <w:rPr/>
              <w:t>Range</w:t>
            </w:r>
            <w:r>
              <w:rPr>
                <w:spacing w:val="-2"/>
              </w:rPr>
              <w:t> </w:t>
            </w:r>
            <w:r>
              <w:rPr/>
              <w:t>tests</w:t>
              <w:tab/>
              <w:t>72</w:t>
            </w:r>
          </w:hyperlink>
        </w:p>
        <w:p>
          <w:pPr>
            <w:pStyle w:val="TOC1"/>
            <w:numPr>
              <w:ilvl w:val="2"/>
              <w:numId w:val="9"/>
            </w:numPr>
            <w:tabs>
              <w:tab w:pos="2265" w:val="left" w:leader="none"/>
              <w:tab w:pos="2266" w:val="left" w:leader="none"/>
              <w:tab w:pos="10773" w:val="right" w:leader="dot"/>
            </w:tabs>
            <w:spacing w:line="252" w:lineRule="exact" w:before="2" w:after="0"/>
            <w:ind w:left="2266" w:right="0" w:hanging="1133"/>
            <w:jc w:val="left"/>
          </w:pPr>
          <w:hyperlink w:history="true" w:anchor="_bookmark148">
            <w:r>
              <w:rPr/>
              <w:t>Line-of-Sight</w:t>
            </w:r>
            <w:r>
              <w:rPr>
                <w:spacing w:val="-2"/>
              </w:rPr>
              <w:t> </w:t>
            </w:r>
            <w:r>
              <w:rPr/>
              <w:t>(LOS)</w:t>
            </w:r>
            <w:r>
              <w:rPr>
                <w:spacing w:val="-4"/>
              </w:rPr>
              <w:t> </w:t>
            </w:r>
            <w:r>
              <w:rPr/>
              <w:t>Tests</w:t>
              <w:tab/>
              <w:t>72</w:t>
            </w:r>
          </w:hyperlink>
        </w:p>
        <w:p>
          <w:pPr>
            <w:pStyle w:val="TOC1"/>
            <w:numPr>
              <w:ilvl w:val="2"/>
              <w:numId w:val="9"/>
            </w:numPr>
            <w:tabs>
              <w:tab w:pos="2265" w:val="left" w:leader="none"/>
              <w:tab w:pos="2266" w:val="left" w:leader="none"/>
              <w:tab w:pos="10773" w:val="right" w:leader="dot"/>
            </w:tabs>
            <w:spacing w:line="252" w:lineRule="exact" w:before="0" w:after="0"/>
            <w:ind w:left="2266" w:right="0" w:hanging="1133"/>
            <w:jc w:val="left"/>
          </w:pPr>
          <w:hyperlink w:history="true" w:anchor="_bookmark149">
            <w:r>
              <w:rPr/>
              <w:t>Non-Line-of-Sight (NLOS)</w:t>
            </w:r>
            <w:r>
              <w:rPr>
                <w:spacing w:val="-1"/>
              </w:rPr>
              <w:t> </w:t>
            </w:r>
            <w:r>
              <w:rPr/>
              <w:t>Range</w:t>
            </w:r>
            <w:r>
              <w:rPr>
                <w:spacing w:val="-3"/>
              </w:rPr>
              <w:t> </w:t>
            </w:r>
            <w:r>
              <w:rPr/>
              <w:t>Tests</w:t>
              <w:tab/>
              <w:t>79</w:t>
            </w:r>
          </w:hyperlink>
        </w:p>
        <w:p>
          <w:pPr>
            <w:pStyle w:val="TOC1"/>
            <w:numPr>
              <w:ilvl w:val="1"/>
              <w:numId w:val="10"/>
            </w:numPr>
            <w:tabs>
              <w:tab w:pos="1985" w:val="left" w:leader="none"/>
              <w:tab w:pos="1986" w:val="left" w:leader="none"/>
              <w:tab w:pos="10773" w:val="right" w:leader="dot"/>
            </w:tabs>
            <w:spacing w:line="252" w:lineRule="exact" w:before="0" w:after="0"/>
            <w:ind w:left="1985" w:right="0" w:hanging="852"/>
            <w:jc w:val="left"/>
          </w:pPr>
          <w:hyperlink w:history="true" w:anchor="_bookmark150">
            <w:r>
              <w:rPr/>
              <w:t>Interference</w:t>
            </w:r>
            <w:r>
              <w:rPr>
                <w:spacing w:val="-3"/>
              </w:rPr>
              <w:t> </w:t>
            </w:r>
            <w:r>
              <w:rPr/>
              <w:t>tests</w:t>
              <w:tab/>
              <w:t>87</w:t>
            </w:r>
          </w:hyperlink>
        </w:p>
        <w:p>
          <w:pPr>
            <w:pStyle w:val="TOC1"/>
            <w:numPr>
              <w:ilvl w:val="2"/>
              <w:numId w:val="10"/>
            </w:numPr>
            <w:tabs>
              <w:tab w:pos="2265" w:val="left" w:leader="none"/>
              <w:tab w:pos="2266" w:val="left" w:leader="none"/>
              <w:tab w:pos="10773" w:val="right" w:leader="dot"/>
            </w:tabs>
            <w:spacing w:line="252" w:lineRule="exact" w:before="1" w:after="0"/>
            <w:ind w:left="2266" w:right="0" w:hanging="1133"/>
            <w:jc w:val="left"/>
          </w:pPr>
          <w:hyperlink w:history="true" w:anchor="_bookmark151">
            <w:r>
              <w:rPr/>
              <w:t>U-NII-3 802.11ac Interference Test</w:t>
            </w:r>
            <w:r>
              <w:rPr>
                <w:spacing w:val="-6"/>
              </w:rPr>
              <w:t> </w:t>
            </w:r>
            <w:r>
              <w:rPr/>
              <w:t>and</w:t>
            </w:r>
            <w:r>
              <w:rPr>
                <w:spacing w:val="-3"/>
              </w:rPr>
              <w:t> </w:t>
            </w:r>
            <w:r>
              <w:rPr/>
              <w:t>Results</w:t>
              <w:tab/>
              <w:t>87</w:t>
            </w:r>
          </w:hyperlink>
        </w:p>
        <w:p>
          <w:pPr>
            <w:pStyle w:val="TOC1"/>
            <w:numPr>
              <w:ilvl w:val="2"/>
              <w:numId w:val="10"/>
            </w:numPr>
            <w:tabs>
              <w:tab w:pos="2265" w:val="left" w:leader="none"/>
              <w:tab w:pos="2266" w:val="left" w:leader="none"/>
              <w:tab w:pos="10773" w:val="right" w:leader="dot"/>
            </w:tabs>
            <w:spacing w:line="252" w:lineRule="exact" w:before="0" w:after="0"/>
            <w:ind w:left="2266" w:right="0" w:hanging="1133"/>
            <w:jc w:val="left"/>
          </w:pPr>
          <w:hyperlink w:history="true" w:anchor="_bookmark152">
            <w:r>
              <w:rPr/>
              <w:t>Adjacent Channel Interference Test</w:t>
            </w:r>
            <w:r>
              <w:rPr>
                <w:spacing w:val="-3"/>
              </w:rPr>
              <w:t> </w:t>
            </w:r>
            <w:r>
              <w:rPr/>
              <w:t>and</w:t>
            </w:r>
            <w:r>
              <w:rPr>
                <w:spacing w:val="-3"/>
              </w:rPr>
              <w:t> </w:t>
            </w:r>
            <w:r>
              <w:rPr/>
              <w:t>Results</w:t>
              <w:tab/>
              <w:t>93</w:t>
            </w:r>
          </w:hyperlink>
        </w:p>
        <w:p>
          <w:pPr>
            <w:pStyle w:val="TOC1"/>
            <w:tabs>
              <w:tab w:pos="1985" w:val="left" w:leader="none"/>
              <w:tab w:pos="10773" w:val="right" w:leader="dot"/>
            </w:tabs>
            <w:spacing w:line="240" w:lineRule="auto" w:before="1"/>
            <w:ind w:left="1133" w:firstLine="0"/>
          </w:pPr>
          <w:hyperlink w:history="true" w:anchor="_bookmark153">
            <w:r>
              <w:rPr/>
              <w:t>8.7</w:t>
              <w:tab/>
              <w:t>Key</w:t>
            </w:r>
            <w:r>
              <w:rPr>
                <w:spacing w:val="-3"/>
              </w:rPr>
              <w:t> </w:t>
            </w:r>
            <w:r>
              <w:rPr/>
              <w:t>Takeaways</w:t>
              <w:tab/>
              <w:t>98</w:t>
            </w:r>
          </w:hyperlink>
        </w:p>
        <w:p>
          <w:pPr>
            <w:pStyle w:val="TOC1"/>
            <w:numPr>
              <w:ilvl w:val="0"/>
              <w:numId w:val="10"/>
            </w:numPr>
            <w:tabs>
              <w:tab w:pos="1699" w:val="left" w:leader="none"/>
              <w:tab w:pos="1700" w:val="left" w:leader="none"/>
              <w:tab w:pos="10773" w:val="right" w:leader="dot"/>
            </w:tabs>
            <w:spacing w:line="240" w:lineRule="auto" w:before="118" w:after="0"/>
            <w:ind w:left="1699" w:right="0" w:hanging="566"/>
            <w:jc w:val="left"/>
          </w:pPr>
          <w:hyperlink w:history="true" w:anchor="_bookmark154">
            <w:r>
              <w:rPr/>
              <w:t>Conclusion and</w:t>
            </w:r>
            <w:r>
              <w:rPr>
                <w:spacing w:val="-1"/>
              </w:rPr>
              <w:t> </w:t>
            </w:r>
            <w:r>
              <w:rPr/>
              <w:t>Next</w:t>
            </w:r>
            <w:r>
              <w:rPr>
                <w:spacing w:val="1"/>
              </w:rPr>
              <w:t> </w:t>
            </w:r>
            <w:r>
              <w:rPr/>
              <w:t>Steps</w:t>
              <w:tab/>
              <w:t>100</w:t>
            </w:r>
          </w:hyperlink>
        </w:p>
        <w:p>
          <w:pPr>
            <w:pStyle w:val="TOC1"/>
            <w:tabs>
              <w:tab w:pos="10773" w:val="right" w:leader="dot"/>
            </w:tabs>
            <w:spacing w:line="240" w:lineRule="auto" w:before="118"/>
            <w:ind w:left="1133" w:firstLine="0"/>
          </w:pPr>
          <w:hyperlink w:history="true" w:anchor="_bookmark155">
            <w:r>
              <w:rPr/>
              <w:t>Annex A: Supplemental Lab</w:t>
            </w:r>
            <w:r>
              <w:rPr>
                <w:spacing w:val="-4"/>
              </w:rPr>
              <w:t> </w:t>
            </w:r>
            <w:r>
              <w:rPr/>
              <w:t>Interference</w:t>
            </w:r>
            <w:r>
              <w:rPr>
                <w:spacing w:val="-5"/>
              </w:rPr>
              <w:t> </w:t>
            </w:r>
            <w:r>
              <w:rPr/>
              <w:t>Tests</w:t>
              <w:tab/>
              <w:t>101</w:t>
            </w:r>
          </w:hyperlink>
        </w:p>
        <w:p>
          <w:pPr>
            <w:pStyle w:val="TOC1"/>
            <w:numPr>
              <w:ilvl w:val="1"/>
              <w:numId w:val="11"/>
            </w:numPr>
            <w:tabs>
              <w:tab w:pos="1985" w:val="left" w:leader="none"/>
              <w:tab w:pos="1986" w:val="left" w:leader="none"/>
              <w:tab w:pos="10773" w:val="right" w:leader="dot"/>
            </w:tabs>
            <w:spacing w:line="253" w:lineRule="exact" w:before="0" w:after="0"/>
            <w:ind w:left="1985" w:right="0" w:hanging="852"/>
            <w:jc w:val="left"/>
          </w:pPr>
          <w:hyperlink w:history="true" w:anchor="_bookmark156">
            <w:r>
              <w:rPr/>
              <w:t>Interference</w:t>
            </w:r>
            <w:r>
              <w:rPr>
                <w:spacing w:val="-1"/>
              </w:rPr>
              <w:t> </w:t>
            </w:r>
            <w:r>
              <w:rPr/>
              <w:t>Lab</w:t>
            </w:r>
            <w:r>
              <w:rPr>
                <w:spacing w:val="-4"/>
              </w:rPr>
              <w:t> </w:t>
            </w:r>
            <w:r>
              <w:rPr/>
              <w:t>Test</w:t>
              <w:tab/>
              <w:t>101</w:t>
            </w:r>
          </w:hyperlink>
        </w:p>
        <w:p>
          <w:pPr>
            <w:pStyle w:val="TOC1"/>
            <w:numPr>
              <w:ilvl w:val="2"/>
              <w:numId w:val="11"/>
            </w:numPr>
            <w:tabs>
              <w:tab w:pos="2265" w:val="left" w:leader="none"/>
              <w:tab w:pos="2266" w:val="left" w:leader="none"/>
            </w:tabs>
            <w:spacing w:line="240" w:lineRule="auto" w:before="0" w:after="0"/>
            <w:ind w:left="2266" w:right="1130" w:hanging="1133"/>
            <w:jc w:val="left"/>
          </w:pPr>
          <w:hyperlink w:history="true" w:anchor="_bookmark157">
            <w:r>
              <w:rPr/>
              <w:t>Cabled Transmission and Reception Test with Simulated External Interference: flat</w:t>
            </w:r>
          </w:hyperlink>
          <w:r>
            <w:rPr/>
            <w:t> </w:t>
          </w:r>
          <w:hyperlink w:history="true" w:anchor="_bookmark157">
            <w:r>
              <w:rPr/>
              <w:t>characteristics,</w:t>
            </w:r>
            <w:r>
              <w:rPr>
                <w:spacing w:val="-1"/>
              </w:rPr>
              <w:t> </w:t>
            </w:r>
            <w:r>
              <w:rPr/>
              <w:t>constant</w:t>
            </w:r>
            <w:r>
              <w:rPr>
                <w:spacing w:val="-4"/>
              </w:rPr>
              <w:t> </w:t>
            </w:r>
            <w:r>
              <w:rPr/>
              <w:t>in</w:t>
            </w:r>
            <w:r>
              <w:rPr>
                <w:spacing w:val="-3"/>
              </w:rPr>
              <w:t> </w:t>
            </w:r>
            <w:r>
              <w:rPr/>
              <w:t>time,</w:t>
            </w:r>
            <w:r>
              <w:rPr>
                <w:spacing w:val="-1"/>
              </w:rPr>
              <w:t> </w:t>
            </w:r>
            <w:r>
              <w:rPr/>
              <w:t>occupying</w:t>
            </w:r>
            <w:r>
              <w:rPr>
                <w:spacing w:val="-3"/>
              </w:rPr>
              <w:t> </w:t>
            </w:r>
            <w:r>
              <w:rPr/>
              <w:t>part</w:t>
            </w:r>
            <w:r>
              <w:rPr>
                <w:spacing w:val="-1"/>
              </w:rPr>
              <w:t> </w:t>
            </w:r>
            <w:r>
              <w:rPr/>
              <w:t>of</w:t>
            </w:r>
            <w:r>
              <w:rPr>
                <w:spacing w:val="-4"/>
              </w:rPr>
              <w:t> </w:t>
            </w:r>
            <w:r>
              <w:rPr/>
              <w:t>ITS</w:t>
            </w:r>
            <w:r>
              <w:rPr>
                <w:spacing w:val="-5"/>
              </w:rPr>
              <w:t> </w:t>
            </w:r>
            <w:r>
              <w:rPr/>
              <w:t>channel</w:t>
            </w:r>
            <w:r>
              <w:rPr>
                <w:spacing w:val="-4"/>
              </w:rPr>
              <w:t> </w:t>
            </w:r>
            <w:r>
              <w:rPr/>
              <w:t>(e.g.,</w:t>
            </w:r>
            <w:r>
              <w:rPr>
                <w:spacing w:val="-4"/>
              </w:rPr>
              <w:t> </w:t>
            </w:r>
            <w:r>
              <w:rPr/>
              <w:t>channel</w:t>
            </w:r>
            <w:r>
              <w:rPr>
                <w:spacing w:val="-3"/>
              </w:rPr>
              <w:t> </w:t>
            </w:r>
            <w:r>
              <w:rPr/>
              <w:t>172)</w:t>
            </w:r>
            <w:r>
              <w:rPr>
                <w:spacing w:val="-27"/>
              </w:rPr>
              <w:t> </w:t>
            </w:r>
            <w:r>
              <w:rPr/>
              <w:t>.</w:t>
            </w:r>
            <w:r>
              <w:rPr>
                <w:spacing w:val="-17"/>
              </w:rPr>
              <w:t> </w:t>
            </w:r>
            <w:r>
              <w:rPr/>
              <w:t>101</w:t>
            </w:r>
          </w:hyperlink>
        </w:p>
        <w:p>
          <w:pPr>
            <w:pStyle w:val="TOC1"/>
            <w:numPr>
              <w:ilvl w:val="2"/>
              <w:numId w:val="11"/>
            </w:numPr>
            <w:tabs>
              <w:tab w:pos="2265" w:val="left" w:leader="none"/>
              <w:tab w:pos="2266" w:val="left" w:leader="none"/>
            </w:tabs>
            <w:spacing w:line="240" w:lineRule="auto" w:before="0" w:after="0"/>
            <w:ind w:left="2266" w:right="1554" w:hanging="1133"/>
            <w:jc w:val="left"/>
          </w:pPr>
          <w:hyperlink w:history="true" w:anchor="_bookmark158">
            <w:r>
              <w:rPr/>
              <w:t>Cabled Transmission and Reception Test with Simulated External Interference: flat</w:t>
            </w:r>
          </w:hyperlink>
          <w:r>
            <w:rPr/>
            <w:t> </w:t>
          </w:r>
          <w:hyperlink w:history="true" w:anchor="_bookmark158">
            <w:r>
              <w:rPr/>
              <w:t>characteristics, constant in time, starting from guard band occupying part of  </w:t>
            </w:r>
            <w:r>
              <w:rPr>
                <w:spacing w:val="16"/>
              </w:rPr>
              <w:t> </w:t>
            </w:r>
            <w:r>
              <w:rPr/>
              <w:t>given</w:t>
            </w:r>
          </w:hyperlink>
        </w:p>
        <w:p>
          <w:pPr>
            <w:pStyle w:val="TOC2"/>
            <w:tabs>
              <w:tab w:pos="10773" w:val="right" w:leader="dot"/>
            </w:tabs>
          </w:pPr>
          <w:hyperlink w:history="true" w:anchor="_bookmark158">
            <w:r>
              <w:rPr/>
              <w:t>ITS channel (e.g.,</w:t>
            </w:r>
            <w:r>
              <w:rPr>
                <w:spacing w:val="-4"/>
              </w:rPr>
              <w:t> </w:t>
            </w:r>
            <w:r>
              <w:rPr/>
              <w:t>channel</w:t>
            </w:r>
            <w:r>
              <w:rPr>
                <w:spacing w:val="-2"/>
              </w:rPr>
              <w:t> </w:t>
            </w:r>
            <w:r>
              <w:rPr/>
              <w:t>172)</w:t>
              <w:tab/>
              <w:t>110</w:t>
            </w:r>
          </w:hyperlink>
        </w:p>
        <w:p>
          <w:pPr>
            <w:pStyle w:val="TOC1"/>
            <w:tabs>
              <w:tab w:pos="10773" w:val="right" w:leader="dot"/>
            </w:tabs>
            <w:spacing w:line="240" w:lineRule="auto" w:before="119"/>
            <w:ind w:left="1133" w:firstLine="0"/>
          </w:pPr>
          <w:hyperlink w:history="true" w:anchor="_bookmark159">
            <w:r>
              <w:rPr/>
              <w:t>Annex B:  Supplemental Non-Line-of-Sight</w:t>
            </w:r>
            <w:r>
              <w:rPr>
                <w:spacing w:val="-1"/>
              </w:rPr>
              <w:t> </w:t>
            </w:r>
            <w:r>
              <w:rPr/>
              <w:t>Field</w:t>
            </w:r>
            <w:r>
              <w:rPr>
                <w:spacing w:val="-3"/>
              </w:rPr>
              <w:t> </w:t>
            </w:r>
            <w:r>
              <w:rPr/>
              <w:t>Tests</w:t>
              <w:tab/>
              <w:t>117</w:t>
            </w:r>
          </w:hyperlink>
        </w:p>
        <w:p>
          <w:pPr>
            <w:pStyle w:val="TOC1"/>
            <w:numPr>
              <w:ilvl w:val="1"/>
              <w:numId w:val="12"/>
            </w:numPr>
            <w:tabs>
              <w:tab w:pos="1527" w:val="left" w:leader="none"/>
              <w:tab w:pos="10773" w:val="right" w:leader="dot"/>
            </w:tabs>
            <w:spacing w:line="240" w:lineRule="auto" w:before="1" w:after="0"/>
            <w:ind w:left="1526" w:right="0" w:hanging="393"/>
            <w:jc w:val="left"/>
          </w:pPr>
          <w:hyperlink w:history="true" w:anchor="_bookmark160">
            <w:r>
              <w:rPr/>
              <w:t>CAMP</w:t>
            </w:r>
            <w:r>
              <w:rPr>
                <w:spacing w:val="-1"/>
              </w:rPr>
              <w:t> </w:t>
            </w:r>
            <w:r>
              <w:rPr/>
              <w:t>Shadowing</w:t>
            </w:r>
            <w:r>
              <w:rPr>
                <w:spacing w:val="-1"/>
              </w:rPr>
              <w:t> </w:t>
            </w:r>
            <w:r>
              <w:rPr/>
              <w:t>Test</w:t>
              <w:tab/>
              <w:t>117</w:t>
            </w:r>
          </w:hyperlink>
        </w:p>
        <w:p>
          <w:pPr>
            <w:pStyle w:val="TOC1"/>
            <w:tabs>
              <w:tab w:pos="10773" w:val="right" w:leader="dot"/>
            </w:tabs>
            <w:spacing w:line="240" w:lineRule="auto" w:before="118"/>
            <w:ind w:left="1133" w:firstLine="0"/>
          </w:pPr>
          <w:hyperlink w:history="true" w:anchor="_bookmark161">
            <w:r>
              <w:rPr/>
              <w:t>Annex C: Latency and IPG</w:t>
            </w:r>
            <w:r>
              <w:rPr>
                <w:spacing w:val="-3"/>
              </w:rPr>
              <w:t> </w:t>
            </w:r>
            <w:r>
              <w:rPr/>
              <w:t>Summary</w:t>
            </w:r>
            <w:r>
              <w:rPr>
                <w:spacing w:val="-5"/>
              </w:rPr>
              <w:t> </w:t>
            </w:r>
            <w:r>
              <w:rPr/>
              <w:t>Tables</w:t>
              <w:tab/>
              <w:t>119</w:t>
            </w:r>
          </w:hyperlink>
        </w:p>
        <w:p>
          <w:pPr>
            <w:pStyle w:val="TOC1"/>
            <w:tabs>
              <w:tab w:pos="10773" w:val="right" w:leader="dot"/>
            </w:tabs>
            <w:spacing w:line="240" w:lineRule="auto" w:before="121"/>
            <w:ind w:left="1133" w:firstLine="0"/>
          </w:pPr>
          <w:hyperlink w:history="true" w:anchor="_bookmark162">
            <w:r>
              <w:rPr/>
              <w:t>Annex D: 5GAA V2X</w:t>
            </w:r>
            <w:r>
              <w:rPr>
                <w:spacing w:val="-3"/>
              </w:rPr>
              <w:t> </w:t>
            </w:r>
            <w:r>
              <w:rPr/>
              <w:t>Test</w:t>
            </w:r>
            <w:r>
              <w:rPr>
                <w:spacing w:val="1"/>
              </w:rPr>
              <w:t> </w:t>
            </w:r>
            <w:r>
              <w:rPr/>
              <w:t>Procedures</w:t>
              <w:tab/>
              <w:t>120</w:t>
            </w:r>
          </w:hyperlink>
        </w:p>
        <w:p>
          <w:pPr>
            <w:pStyle w:val="TOC1"/>
            <w:tabs>
              <w:tab w:pos="10773" w:val="right" w:leader="dot"/>
            </w:tabs>
            <w:spacing w:line="240" w:lineRule="auto" w:before="119"/>
            <w:ind w:left="1133" w:firstLine="0"/>
          </w:pPr>
          <w:hyperlink w:history="true" w:anchor="_bookmark163">
            <w:r>
              <w:rPr/>
              <w:t>Annex E:</w:t>
            </w:r>
            <w:r>
              <w:rPr>
                <w:spacing w:val="-1"/>
              </w:rPr>
              <w:t> </w:t>
            </w:r>
            <w:r>
              <w:rPr/>
              <w:t>Change</w:t>
            </w:r>
            <w:r>
              <w:rPr>
                <w:spacing w:val="-3"/>
              </w:rPr>
              <w:t> </w:t>
            </w:r>
            <w:r>
              <w:rPr/>
              <w:t>history</w:t>
              <w:tab/>
              <w:t>121</w:t>
            </w:r>
          </w:hyperlink>
        </w:p>
      </w:sdtContent>
    </w:sdt>
    <w:p>
      <w:pPr>
        <w:spacing w:after="0" w:line="240" w:lineRule="auto"/>
        <w:sectPr>
          <w:type w:val="continuous"/>
          <w:pgSz w:w="11910" w:h="16850"/>
          <w:pgMar w:top="1062" w:bottom="1361" w:left="0" w:right="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rPr>
          <w:sz w:val="31"/>
        </w:rPr>
      </w:pPr>
    </w:p>
    <w:p>
      <w:pPr>
        <w:spacing w:before="0" w:after="21"/>
        <w:ind w:left="1171" w:right="0" w:firstLine="0"/>
        <w:jc w:val="left"/>
        <w:rPr>
          <w:b/>
          <w:i/>
          <w:sz w:val="20"/>
        </w:rPr>
      </w:pPr>
      <w:r>
        <w:rPr>
          <w:b/>
          <w:i/>
          <w:sz w:val="20"/>
        </w:rPr>
        <w:t>Copyright Notification</w:t>
      </w:r>
    </w:p>
    <w:p>
      <w:pPr>
        <w:pStyle w:val="BodyText"/>
        <w:spacing w:line="20" w:lineRule="exact"/>
        <w:ind w:left="1164"/>
        <w:rPr>
          <w:sz w:val="2"/>
        </w:rPr>
      </w:pPr>
      <w:r>
        <w:rPr>
          <w:sz w:val="2"/>
        </w:rPr>
        <w:pict>
          <v:group style="width:482.9pt;height:.75pt;mso-position-horizontal-relative:char;mso-position-vertical-relative:line" coordorigin="0,0" coordsize="9658,15">
            <v:line style="position:absolute" from="8,7" to="9650,7" stroked="true" strokeweight=".72pt" strokecolor="#000000">
              <v:stroke dashstyle="solid"/>
            </v:line>
          </v:group>
        </w:pict>
      </w:r>
      <w:r>
        <w:rPr>
          <w:sz w:val="2"/>
        </w:rPr>
      </w:r>
    </w:p>
    <w:p>
      <w:pPr>
        <w:pStyle w:val="BodyText"/>
        <w:spacing w:before="1"/>
        <w:rPr>
          <w:b/>
          <w:i/>
          <w:sz w:val="12"/>
        </w:rPr>
      </w:pPr>
    </w:p>
    <w:p>
      <w:pPr>
        <w:pStyle w:val="BodyText"/>
        <w:spacing w:line="226" w:lineRule="exact" w:before="99"/>
        <w:ind w:left="1171" w:right="1136"/>
      </w:pPr>
      <w:r>
        <w:rPr/>
        <w:t>No part may be reproduced except as authorized by written permission. The copyright and the foregoing restriction extend to reproduction in all media.</w:t>
      </w:r>
    </w:p>
    <w:p>
      <w:pPr>
        <w:spacing w:after="0" w:line="226" w:lineRule="exact"/>
        <w:sectPr>
          <w:type w:val="continuous"/>
          <w:pgSz w:w="11910" w:h="16850"/>
          <w:pgMar w:top="1040" w:bottom="1160" w:left="0" w:right="0"/>
        </w:sectPr>
      </w:pPr>
    </w:p>
    <w:p>
      <w:pPr>
        <w:pStyle w:val="BodyText"/>
      </w:pPr>
    </w:p>
    <w:p>
      <w:pPr>
        <w:pStyle w:val="BodyText"/>
        <w:spacing w:before="6"/>
        <w:rPr>
          <w:sz w:val="11"/>
        </w:rPr>
      </w:pPr>
    </w:p>
    <w:p>
      <w:pPr>
        <w:pStyle w:val="BodyText"/>
        <w:spacing w:line="29" w:lineRule="exact"/>
        <w:ind w:left="1089"/>
        <w:rPr>
          <w:sz w:val="2"/>
        </w:rPr>
      </w:pPr>
      <w:r>
        <w:rPr>
          <w:position w:val="0"/>
          <w:sz w:val="2"/>
        </w:rPr>
        <w:pict>
          <v:group style="width:486.5pt;height:1.45pt;mso-position-horizontal-relative:char;mso-position-vertical-relative:line" coordorigin="0,0" coordsize="9730,29">
            <v:line style="position:absolute" from="15,15" to="9715,15" stroked="true" strokeweight="1.44pt" strokecolor="#000000">
              <v:stroke dashstyle="solid"/>
            </v:line>
          </v:group>
        </w:pict>
      </w:r>
      <w:r>
        <w:rPr>
          <w:position w:val="0"/>
          <w:sz w:val="2"/>
        </w:rPr>
      </w:r>
    </w:p>
    <w:p>
      <w:pPr>
        <w:pStyle w:val="Heading1"/>
        <w:ind w:left="1133"/>
        <w:jc w:val="both"/>
      </w:pPr>
      <w:bookmarkStart w:name="_bookmark95" w:id="126"/>
      <w:bookmarkEnd w:id="126"/>
      <w:r>
        <w:rPr/>
      </w:r>
      <w:r>
        <w:rPr/>
        <w:t>Foreword</w:t>
      </w:r>
    </w:p>
    <w:p>
      <w:pPr>
        <w:pStyle w:val="BodyText"/>
        <w:spacing w:before="182"/>
        <w:ind w:left="1133"/>
        <w:jc w:val="both"/>
      </w:pPr>
      <w:r>
        <w:rPr/>
        <w:t>This Technical Report has been produced by 5GAA.</w:t>
      </w:r>
    </w:p>
    <w:p>
      <w:pPr>
        <w:pStyle w:val="BodyText"/>
        <w:spacing w:before="180"/>
        <w:ind w:left="1133" w:right="1132"/>
        <w:jc w:val="both"/>
      </w:pPr>
      <w:r>
        <w:rPr/>
        <w:t>The contents of the present document are subject to continuing work within the Working Groups (WG) and may change following formal WG approval. Should the WG modify the contents of the present document, it will be re-released by the WG with an identifying change of the consistent numbering that all WG meeting documents and files should follow (according to 5GAA Rules of Procedure):</w:t>
      </w:r>
    </w:p>
    <w:p>
      <w:pPr>
        <w:pStyle w:val="BodyText"/>
        <w:spacing w:before="180"/>
        <w:ind w:left="1699"/>
      </w:pPr>
      <w:r>
        <w:rPr/>
        <w:t>x-nnzzzz</w:t>
      </w:r>
    </w:p>
    <w:p>
      <w:pPr>
        <w:pStyle w:val="ListParagraph"/>
        <w:numPr>
          <w:ilvl w:val="2"/>
          <w:numId w:val="12"/>
        </w:numPr>
        <w:tabs>
          <w:tab w:pos="1854" w:val="left" w:leader="none"/>
        </w:tabs>
        <w:spacing w:line="240" w:lineRule="auto" w:before="180" w:after="0"/>
        <w:ind w:left="1853" w:right="0" w:hanging="360"/>
        <w:jc w:val="left"/>
        <w:rPr>
          <w:sz w:val="20"/>
        </w:rPr>
      </w:pPr>
      <w:r>
        <w:rPr>
          <w:sz w:val="20"/>
        </w:rPr>
        <w:t>This numbering system has six logical</w:t>
      </w:r>
      <w:r>
        <w:rPr>
          <w:spacing w:val="-13"/>
          <w:sz w:val="20"/>
        </w:rPr>
        <w:t> </w:t>
      </w:r>
      <w:r>
        <w:rPr>
          <w:sz w:val="20"/>
        </w:rPr>
        <w:t>elements:</w:t>
      </w:r>
    </w:p>
    <w:p>
      <w:pPr>
        <w:pStyle w:val="ListParagraph"/>
        <w:numPr>
          <w:ilvl w:val="3"/>
          <w:numId w:val="12"/>
        </w:numPr>
        <w:tabs>
          <w:tab w:pos="2227" w:val="left" w:leader="none"/>
          <w:tab w:pos="2228" w:val="left" w:leader="none"/>
          <w:tab w:pos="3120" w:val="left" w:leader="none"/>
        </w:tabs>
        <w:spacing w:line="427" w:lineRule="auto" w:before="180" w:after="0"/>
        <w:ind w:left="3284" w:right="4352" w:hanging="1582"/>
        <w:jc w:val="left"/>
        <w:rPr>
          <w:sz w:val="20"/>
        </w:rPr>
      </w:pPr>
      <w:r>
        <w:rPr>
          <w:sz w:val="20"/>
        </w:rPr>
        <w:t>x:</w:t>
        <w:tab/>
        <w:t>a single letter corresponding to the</w:t>
      </w:r>
      <w:r>
        <w:rPr>
          <w:spacing w:val="-13"/>
          <w:sz w:val="20"/>
        </w:rPr>
        <w:t> </w:t>
      </w:r>
      <w:r>
        <w:rPr>
          <w:sz w:val="20"/>
        </w:rPr>
        <w:t>working</w:t>
      </w:r>
      <w:r>
        <w:rPr>
          <w:spacing w:val="-3"/>
          <w:sz w:val="20"/>
        </w:rPr>
        <w:t> </w:t>
      </w:r>
      <w:r>
        <w:rPr>
          <w:sz w:val="20"/>
        </w:rPr>
        <w:t>group:</w:t>
      </w:r>
      <w:r>
        <w:rPr>
          <w:w w:val="99"/>
          <w:sz w:val="20"/>
        </w:rPr>
        <w:t> </w:t>
      </w:r>
      <w:r>
        <w:rPr>
          <w:sz w:val="20"/>
        </w:rPr>
        <w:t>where x</w:t>
      </w:r>
      <w:r>
        <w:rPr>
          <w:spacing w:val="-2"/>
          <w:sz w:val="20"/>
        </w:rPr>
        <w:t> </w:t>
      </w:r>
      <w:r>
        <w:rPr>
          <w:sz w:val="20"/>
        </w:rPr>
        <w:t>=</w:t>
      </w:r>
    </w:p>
    <w:p>
      <w:pPr>
        <w:pStyle w:val="BodyText"/>
        <w:spacing w:before="4"/>
        <w:ind w:left="3120"/>
      </w:pPr>
      <w:r>
        <w:rPr/>
        <w:t>T (Use cases and Technical Requirements)</w:t>
      </w:r>
    </w:p>
    <w:p>
      <w:pPr>
        <w:pStyle w:val="BodyText"/>
        <w:spacing w:line="427" w:lineRule="auto" w:before="180"/>
        <w:ind w:left="3120" w:right="4256"/>
      </w:pPr>
      <w:r>
        <w:rPr/>
        <w:t>A (System Architecture and Solution Development) P (Evaluation, Testbed and Pilots)</w:t>
      </w:r>
    </w:p>
    <w:p>
      <w:pPr>
        <w:pStyle w:val="BodyText"/>
        <w:spacing w:before="5"/>
        <w:ind w:left="3120"/>
      </w:pPr>
      <w:r>
        <w:rPr/>
        <w:t>S (Standards and Spectrum)</w:t>
      </w:r>
    </w:p>
    <w:p>
      <w:pPr>
        <w:pStyle w:val="BodyText"/>
        <w:spacing w:before="179"/>
        <w:ind w:left="3120"/>
      </w:pPr>
      <w:r>
        <w:rPr/>
        <w:t>B (Business Models and Go-To-Market Strategies)</w:t>
      </w:r>
    </w:p>
    <w:p>
      <w:pPr>
        <w:pStyle w:val="ListParagraph"/>
        <w:numPr>
          <w:ilvl w:val="3"/>
          <w:numId w:val="12"/>
        </w:numPr>
        <w:tabs>
          <w:tab w:pos="2227" w:val="left" w:leader="none"/>
          <w:tab w:pos="2228" w:val="left" w:leader="none"/>
          <w:tab w:pos="3282" w:val="left" w:leader="none"/>
        </w:tabs>
        <w:spacing w:line="240" w:lineRule="auto" w:before="179" w:after="0"/>
        <w:ind w:left="2227" w:right="0" w:hanging="525"/>
        <w:jc w:val="left"/>
        <w:rPr>
          <w:sz w:val="20"/>
        </w:rPr>
      </w:pPr>
      <w:r>
        <w:rPr>
          <w:sz w:val="20"/>
        </w:rPr>
        <w:t>nn:</w:t>
        <w:tab/>
        <w:t>two digits to indicate the year. i.e. 16,17,18,</w:t>
      </w:r>
      <w:r>
        <w:rPr>
          <w:spacing w:val="-21"/>
          <w:sz w:val="20"/>
        </w:rPr>
        <w:t> </w:t>
      </w:r>
      <w:r>
        <w:rPr>
          <w:sz w:val="20"/>
        </w:rPr>
        <w:t>etc</w:t>
      </w:r>
    </w:p>
    <w:p>
      <w:pPr>
        <w:pStyle w:val="ListParagraph"/>
        <w:numPr>
          <w:ilvl w:val="3"/>
          <w:numId w:val="12"/>
        </w:numPr>
        <w:tabs>
          <w:tab w:pos="2229" w:val="left" w:leader="none"/>
          <w:tab w:pos="2230" w:val="left" w:leader="none"/>
          <w:tab w:pos="3292" w:val="left" w:leader="none"/>
        </w:tabs>
        <w:spacing w:line="240" w:lineRule="auto" w:before="177" w:after="0"/>
        <w:ind w:left="2230" w:right="0" w:hanging="528"/>
        <w:jc w:val="left"/>
        <w:rPr>
          <w:sz w:val="20"/>
        </w:rPr>
      </w:pPr>
      <w:r>
        <w:rPr>
          <w:sz w:val="20"/>
        </w:rPr>
        <w:t>zzzz:</w:t>
        <w:tab/>
        <w:t>unique number of the</w:t>
      </w:r>
      <w:r>
        <w:rPr>
          <w:spacing w:val="-2"/>
          <w:sz w:val="20"/>
        </w:rPr>
        <w:t> </w:t>
      </w:r>
      <w:r>
        <w:rPr>
          <w:sz w:val="20"/>
        </w:rPr>
        <w:t>document</w:t>
      </w:r>
    </w:p>
    <w:p>
      <w:pPr>
        <w:pStyle w:val="BodyText"/>
        <w:rPr>
          <w:sz w:val="22"/>
        </w:rPr>
      </w:pPr>
    </w:p>
    <w:p>
      <w:pPr>
        <w:pStyle w:val="BodyText"/>
        <w:spacing w:before="4"/>
        <w:rPr>
          <w:sz w:val="29"/>
        </w:rPr>
      </w:pPr>
    </w:p>
    <w:p>
      <w:pPr>
        <w:pStyle w:val="ListParagraph"/>
        <w:numPr>
          <w:ilvl w:val="2"/>
          <w:numId w:val="12"/>
        </w:numPr>
        <w:tabs>
          <w:tab w:pos="1854" w:val="left" w:leader="none"/>
        </w:tabs>
        <w:spacing w:line="240" w:lineRule="auto" w:before="0" w:after="0"/>
        <w:ind w:left="1853" w:right="1141" w:hanging="360"/>
        <w:jc w:val="left"/>
        <w:rPr>
          <w:sz w:val="20"/>
        </w:rPr>
      </w:pPr>
      <w:r>
        <w:rPr>
          <w:sz w:val="20"/>
        </w:rPr>
        <w:t>No provision is made for the use of revision numbers. Documents which are a revision of a previous version should indicate the document number of that previous</w:t>
      </w:r>
      <w:r>
        <w:rPr>
          <w:spacing w:val="-25"/>
          <w:sz w:val="20"/>
        </w:rPr>
        <w:t> </w:t>
      </w:r>
      <w:r>
        <w:rPr>
          <w:sz w:val="20"/>
        </w:rPr>
        <w:t>version</w:t>
      </w:r>
    </w:p>
    <w:p>
      <w:pPr>
        <w:pStyle w:val="ListParagraph"/>
        <w:numPr>
          <w:ilvl w:val="2"/>
          <w:numId w:val="12"/>
        </w:numPr>
        <w:tabs>
          <w:tab w:pos="1854" w:val="left" w:leader="none"/>
        </w:tabs>
        <w:spacing w:line="240" w:lineRule="auto" w:before="180" w:after="0"/>
        <w:ind w:left="1853" w:right="1128" w:hanging="360"/>
        <w:jc w:val="left"/>
        <w:rPr>
          <w:sz w:val="20"/>
        </w:rPr>
      </w:pPr>
      <w:r>
        <w:rPr>
          <w:sz w:val="20"/>
        </w:rPr>
        <w:t>The</w:t>
      </w:r>
      <w:r>
        <w:rPr>
          <w:spacing w:val="-6"/>
          <w:sz w:val="20"/>
        </w:rPr>
        <w:t> </w:t>
      </w:r>
      <w:r>
        <w:rPr>
          <w:sz w:val="20"/>
        </w:rPr>
        <w:t>file</w:t>
      </w:r>
      <w:r>
        <w:rPr>
          <w:spacing w:val="-6"/>
          <w:sz w:val="20"/>
        </w:rPr>
        <w:t> </w:t>
      </w:r>
      <w:r>
        <w:rPr>
          <w:sz w:val="20"/>
        </w:rPr>
        <w:t>name</w:t>
      </w:r>
      <w:r>
        <w:rPr>
          <w:spacing w:val="-6"/>
          <w:sz w:val="20"/>
        </w:rPr>
        <w:t> </w:t>
      </w:r>
      <w:r>
        <w:rPr>
          <w:sz w:val="20"/>
        </w:rPr>
        <w:t>of</w:t>
      </w:r>
      <w:r>
        <w:rPr>
          <w:spacing w:val="-4"/>
          <w:sz w:val="20"/>
        </w:rPr>
        <w:t> </w:t>
      </w:r>
      <w:r>
        <w:rPr>
          <w:sz w:val="20"/>
        </w:rPr>
        <w:t>documents</w:t>
      </w:r>
      <w:r>
        <w:rPr>
          <w:spacing w:val="-4"/>
          <w:sz w:val="20"/>
        </w:rPr>
        <w:t> </w:t>
      </w:r>
      <w:r>
        <w:rPr>
          <w:sz w:val="20"/>
        </w:rPr>
        <w:t>shall</w:t>
      </w:r>
      <w:r>
        <w:rPr>
          <w:spacing w:val="-4"/>
          <w:sz w:val="20"/>
        </w:rPr>
        <w:t> </w:t>
      </w:r>
      <w:r>
        <w:rPr>
          <w:sz w:val="20"/>
        </w:rPr>
        <w:t>be</w:t>
      </w:r>
      <w:r>
        <w:rPr>
          <w:spacing w:val="-6"/>
          <w:sz w:val="20"/>
        </w:rPr>
        <w:t> </w:t>
      </w:r>
      <w:r>
        <w:rPr>
          <w:sz w:val="20"/>
        </w:rPr>
        <w:t>the</w:t>
      </w:r>
      <w:r>
        <w:rPr>
          <w:spacing w:val="-6"/>
          <w:sz w:val="20"/>
        </w:rPr>
        <w:t> </w:t>
      </w:r>
      <w:r>
        <w:rPr>
          <w:sz w:val="20"/>
        </w:rPr>
        <w:t>document</w:t>
      </w:r>
      <w:r>
        <w:rPr>
          <w:spacing w:val="-5"/>
          <w:sz w:val="20"/>
        </w:rPr>
        <w:t> </w:t>
      </w:r>
      <w:r>
        <w:rPr>
          <w:sz w:val="20"/>
        </w:rPr>
        <w:t>number.</w:t>
      </w:r>
      <w:r>
        <w:rPr>
          <w:spacing w:val="-5"/>
          <w:sz w:val="20"/>
        </w:rPr>
        <w:t> </w:t>
      </w:r>
      <w:r>
        <w:rPr>
          <w:sz w:val="20"/>
        </w:rPr>
        <w:t>For</w:t>
      </w:r>
      <w:r>
        <w:rPr>
          <w:spacing w:val="-5"/>
          <w:sz w:val="20"/>
        </w:rPr>
        <w:t> </w:t>
      </w:r>
      <w:r>
        <w:rPr>
          <w:sz w:val="20"/>
        </w:rPr>
        <w:t>example,</w:t>
      </w:r>
      <w:r>
        <w:rPr>
          <w:spacing w:val="-6"/>
          <w:sz w:val="20"/>
        </w:rPr>
        <w:t> </w:t>
      </w:r>
      <w:r>
        <w:rPr>
          <w:sz w:val="20"/>
        </w:rPr>
        <w:t>document</w:t>
      </w:r>
      <w:r>
        <w:rPr>
          <w:spacing w:val="4"/>
          <w:sz w:val="20"/>
        </w:rPr>
        <w:t> </w:t>
      </w:r>
      <w:r>
        <w:rPr>
          <w:sz w:val="20"/>
        </w:rPr>
        <w:t>S-160357</w:t>
      </w:r>
      <w:r>
        <w:rPr>
          <w:spacing w:val="-3"/>
          <w:sz w:val="20"/>
        </w:rPr>
        <w:t> </w:t>
      </w:r>
      <w:r>
        <w:rPr>
          <w:sz w:val="20"/>
        </w:rPr>
        <w:t>will</w:t>
      </w:r>
      <w:r>
        <w:rPr>
          <w:spacing w:val="-4"/>
          <w:sz w:val="20"/>
        </w:rPr>
        <w:t> </w:t>
      </w:r>
      <w:r>
        <w:rPr>
          <w:sz w:val="20"/>
        </w:rPr>
        <w:t>be contained in file</w:t>
      </w:r>
      <w:r>
        <w:rPr>
          <w:spacing w:val="-10"/>
          <w:sz w:val="20"/>
        </w:rPr>
        <w:t> </w:t>
      </w:r>
      <w:r>
        <w:rPr>
          <w:sz w:val="20"/>
        </w:rPr>
        <w:t>S-160357.doc</w:t>
      </w:r>
    </w:p>
    <w:p>
      <w:pPr>
        <w:pStyle w:val="BodyText"/>
      </w:pPr>
    </w:p>
    <w:p>
      <w:pPr>
        <w:pStyle w:val="BodyText"/>
        <w:spacing w:before="4"/>
        <w:rPr>
          <w:sz w:val="13"/>
        </w:rPr>
      </w:pPr>
      <w:r>
        <w:rPr/>
        <w:pict>
          <v:line style="position:absolute;mso-position-horizontal-relative:page;mso-position-vertical-relative:paragraph;z-index:1864;mso-wrap-distance-left:0;mso-wrap-distance-right:0" from="55.223999pt,10.38677pt" to="540.243999pt,10.38677pt" stroked="true" strokeweight="1.44pt" strokecolor="#000000">
            <v:stroke dashstyle="solid"/>
            <w10:wrap type="topAndBottom"/>
          </v:line>
        </w:pict>
      </w:r>
    </w:p>
    <w:p>
      <w:pPr>
        <w:pStyle w:val="Heading1"/>
        <w:spacing w:before="27"/>
        <w:ind w:left="1133"/>
        <w:jc w:val="both"/>
      </w:pPr>
      <w:bookmarkStart w:name="_bookmark96" w:id="127"/>
      <w:bookmarkEnd w:id="127"/>
      <w:r>
        <w:rPr/>
      </w:r>
      <w:r>
        <w:rPr/>
        <w:t>Introduction</w:t>
      </w:r>
    </w:p>
    <w:p>
      <w:pPr>
        <w:pStyle w:val="BodyText"/>
        <w:spacing w:before="182"/>
        <w:ind w:left="1133" w:right="1130"/>
        <w:jc w:val="both"/>
      </w:pPr>
      <w:r>
        <w:rPr/>
        <w:t>Ford and other automotive OEMs are interested in introducing V2V 5.9-GHz radio technology for safety and non-safety applications. Defining radio testing procedures is a prerequisite to comparing the candidate</w:t>
      </w:r>
      <w:r>
        <w:rPr>
          <w:spacing w:val="-32"/>
        </w:rPr>
        <w:t> </w:t>
      </w:r>
      <w:r>
        <w:rPr/>
        <w:t>DSRC and C-V2X (PC5) radio technologies and performing validation. This document describes the test procedures and corresponding lab and field tests that were carried out from March through August</w:t>
      </w:r>
      <w:r>
        <w:rPr>
          <w:spacing w:val="-31"/>
        </w:rPr>
        <w:t> </w:t>
      </w:r>
      <w:r>
        <w:rPr/>
        <w:t>2018.</w:t>
      </w:r>
    </w:p>
    <w:p>
      <w:pPr>
        <w:pStyle w:val="BodyText"/>
      </w:pPr>
    </w:p>
    <w:p>
      <w:pPr>
        <w:pStyle w:val="BodyText"/>
        <w:spacing w:before="4"/>
        <w:rPr>
          <w:sz w:val="13"/>
        </w:rPr>
      </w:pPr>
      <w:r>
        <w:rPr/>
        <w:pict>
          <v:line style="position:absolute;mso-position-horizontal-relative:page;mso-position-vertical-relative:paragraph;z-index:1888;mso-wrap-distance-left:0;mso-wrap-distance-right:0" from="55.223999pt,10.377371pt" to="540.243999pt,10.377371pt" stroked="true" strokeweight="1.44pt" strokecolor="#000000">
            <v:stroke dashstyle="solid"/>
            <w10:wrap type="topAndBottom"/>
          </v:line>
        </w:pict>
      </w:r>
    </w:p>
    <w:p>
      <w:pPr>
        <w:pStyle w:val="Heading1"/>
        <w:numPr>
          <w:ilvl w:val="0"/>
          <w:numId w:val="13"/>
        </w:numPr>
        <w:tabs>
          <w:tab w:pos="1417" w:val="left" w:leader="none"/>
        </w:tabs>
        <w:spacing w:line="240" w:lineRule="auto" w:before="27" w:after="0"/>
        <w:ind w:left="1416" w:right="0" w:hanging="283"/>
        <w:jc w:val="both"/>
      </w:pPr>
      <w:bookmarkStart w:name="_bookmark97" w:id="128"/>
      <w:bookmarkEnd w:id="128"/>
      <w:r>
        <w:rPr/>
      </w:r>
      <w:bookmarkStart w:name="_bookmark97" w:id="129"/>
      <w:bookmarkEnd w:id="129"/>
      <w:r>
        <w:rPr/>
        <w:t>Sc</w:t>
      </w:r>
      <w:r>
        <w:rPr/>
        <w:t>ope</w:t>
      </w:r>
    </w:p>
    <w:p>
      <w:pPr>
        <w:pStyle w:val="BodyText"/>
        <w:spacing w:before="182"/>
        <w:ind w:left="1133" w:right="1133"/>
        <w:jc w:val="both"/>
      </w:pPr>
      <w:r>
        <w:rPr/>
        <w:t>The</w:t>
      </w:r>
      <w:r>
        <w:rPr>
          <w:spacing w:val="-6"/>
        </w:rPr>
        <w:t> </w:t>
      </w:r>
      <w:r>
        <w:rPr/>
        <w:t>present</w:t>
      </w:r>
      <w:r>
        <w:rPr>
          <w:spacing w:val="-3"/>
        </w:rPr>
        <w:t> </w:t>
      </w:r>
      <w:r>
        <w:rPr/>
        <w:t>document</w:t>
      </w:r>
      <w:r>
        <w:rPr>
          <w:spacing w:val="-3"/>
        </w:rPr>
        <w:t> </w:t>
      </w:r>
      <w:r>
        <w:rPr/>
        <w:t>describes</w:t>
      </w:r>
      <w:r>
        <w:rPr>
          <w:spacing w:val="-5"/>
        </w:rPr>
        <w:t> </w:t>
      </w:r>
      <w:r>
        <w:rPr/>
        <w:t>tests</w:t>
      </w:r>
      <w:r>
        <w:rPr>
          <w:spacing w:val="-2"/>
        </w:rPr>
        <w:t> </w:t>
      </w:r>
      <w:r>
        <w:rPr/>
        <w:t>and</w:t>
      </w:r>
      <w:r>
        <w:rPr>
          <w:spacing w:val="-6"/>
        </w:rPr>
        <w:t> </w:t>
      </w:r>
      <w:r>
        <w:rPr/>
        <w:t>results</w:t>
      </w:r>
      <w:r>
        <w:rPr>
          <w:spacing w:val="-4"/>
        </w:rPr>
        <w:t> </w:t>
      </w:r>
      <w:r>
        <w:rPr/>
        <w:t>comparing</w:t>
      </w:r>
      <w:r>
        <w:rPr>
          <w:spacing w:val="-6"/>
        </w:rPr>
        <w:t> </w:t>
      </w:r>
      <w:r>
        <w:rPr/>
        <w:t>the</w:t>
      </w:r>
      <w:r>
        <w:rPr>
          <w:spacing w:val="-6"/>
        </w:rPr>
        <w:t> </w:t>
      </w:r>
      <w:r>
        <w:rPr/>
        <w:t>two</w:t>
      </w:r>
      <w:r>
        <w:rPr>
          <w:spacing w:val="-3"/>
        </w:rPr>
        <w:t> </w:t>
      </w:r>
      <w:r>
        <w:rPr/>
        <w:t>V2X</w:t>
      </w:r>
      <w:r>
        <w:rPr>
          <w:spacing w:val="-2"/>
        </w:rPr>
        <w:t> </w:t>
      </w:r>
      <w:r>
        <w:rPr/>
        <w:t>radio</w:t>
      </w:r>
      <w:r>
        <w:rPr>
          <w:spacing w:val="-3"/>
        </w:rPr>
        <w:t> </w:t>
      </w:r>
      <w:r>
        <w:rPr/>
        <w:t>technologies</w:t>
      </w:r>
      <w:r>
        <w:rPr>
          <w:spacing w:val="-2"/>
        </w:rPr>
        <w:t> </w:t>
      </w:r>
      <w:r>
        <w:rPr/>
        <w:t>operating</w:t>
      </w:r>
      <w:r>
        <w:rPr>
          <w:spacing w:val="-4"/>
        </w:rPr>
        <w:t> </w:t>
      </w:r>
      <w:r>
        <w:rPr/>
        <w:t>in</w:t>
      </w:r>
      <w:r>
        <w:rPr>
          <w:spacing w:val="-6"/>
        </w:rPr>
        <w:t> </w:t>
      </w:r>
      <w:r>
        <w:rPr/>
        <w:t>the ITS</w:t>
      </w:r>
      <w:r>
        <w:rPr>
          <w:spacing w:val="-11"/>
        </w:rPr>
        <w:t> </w:t>
      </w:r>
      <w:r>
        <w:rPr/>
        <w:t>band</w:t>
      </w:r>
      <w:r>
        <w:rPr>
          <w:spacing w:val="-9"/>
        </w:rPr>
        <w:t> </w:t>
      </w:r>
      <w:r>
        <w:rPr/>
        <w:t>(5.850</w:t>
      </w:r>
      <w:r>
        <w:rPr>
          <w:spacing w:val="-11"/>
        </w:rPr>
        <w:t> </w:t>
      </w:r>
      <w:r>
        <w:rPr/>
        <w:t>GHz</w:t>
      </w:r>
      <w:r>
        <w:rPr>
          <w:spacing w:val="-11"/>
        </w:rPr>
        <w:t> </w:t>
      </w:r>
      <w:r>
        <w:rPr/>
        <w:t>to</w:t>
      </w:r>
      <w:r>
        <w:rPr>
          <w:spacing w:val="-10"/>
        </w:rPr>
        <w:t> </w:t>
      </w:r>
      <w:r>
        <w:rPr/>
        <w:t>5.925</w:t>
      </w:r>
      <w:r>
        <w:rPr>
          <w:spacing w:val="-11"/>
        </w:rPr>
        <w:t> </w:t>
      </w:r>
      <w:r>
        <w:rPr/>
        <w:t>GHz)</w:t>
      </w:r>
      <w:r>
        <w:rPr>
          <w:spacing w:val="-7"/>
        </w:rPr>
        <w:t> </w:t>
      </w:r>
      <w:r>
        <w:rPr/>
        <w:t>from</w:t>
      </w:r>
      <w:r>
        <w:rPr>
          <w:spacing w:val="-6"/>
        </w:rPr>
        <w:t> </w:t>
      </w:r>
      <w:r>
        <w:rPr/>
        <w:t>the</w:t>
      </w:r>
      <w:r>
        <w:rPr>
          <w:spacing w:val="-11"/>
        </w:rPr>
        <w:t> </w:t>
      </w:r>
      <w:r>
        <w:rPr/>
        <w:t>perspective</w:t>
      </w:r>
      <w:r>
        <w:rPr>
          <w:spacing w:val="-8"/>
        </w:rPr>
        <w:t> </w:t>
      </w:r>
      <w:r>
        <w:rPr/>
        <w:t>of</w:t>
      </w:r>
      <w:r>
        <w:rPr>
          <w:spacing w:val="-8"/>
        </w:rPr>
        <w:t> </w:t>
      </w:r>
      <w:r>
        <w:rPr/>
        <w:t>basic</w:t>
      </w:r>
      <w:r>
        <w:rPr>
          <w:spacing w:val="-9"/>
        </w:rPr>
        <w:t> </w:t>
      </w:r>
      <w:r>
        <w:rPr/>
        <w:t>radio</w:t>
      </w:r>
      <w:r>
        <w:rPr>
          <w:spacing w:val="-8"/>
        </w:rPr>
        <w:t> </w:t>
      </w:r>
      <w:r>
        <w:rPr/>
        <w:t>KPIs</w:t>
      </w:r>
      <w:r>
        <w:rPr>
          <w:spacing w:val="-9"/>
        </w:rPr>
        <w:t> </w:t>
      </w:r>
      <w:r>
        <w:rPr/>
        <w:t>such</w:t>
      </w:r>
      <w:r>
        <w:rPr>
          <w:spacing w:val="-8"/>
        </w:rPr>
        <w:t> </w:t>
      </w:r>
      <w:r>
        <w:rPr/>
        <w:t>as</w:t>
      </w:r>
      <w:r>
        <w:rPr>
          <w:spacing w:val="-9"/>
        </w:rPr>
        <w:t> </w:t>
      </w:r>
      <w:r>
        <w:rPr/>
        <w:t>Packet</w:t>
      </w:r>
      <w:r>
        <w:rPr>
          <w:spacing w:val="-11"/>
        </w:rPr>
        <w:t> </w:t>
      </w:r>
      <w:r>
        <w:rPr/>
        <w:t>Error</w:t>
      </w:r>
      <w:r>
        <w:rPr>
          <w:spacing w:val="-9"/>
        </w:rPr>
        <w:t> </w:t>
      </w:r>
      <w:r>
        <w:rPr/>
        <w:t>Rate</w:t>
      </w:r>
      <w:r>
        <w:rPr>
          <w:spacing w:val="-11"/>
        </w:rPr>
        <w:t> </w:t>
      </w:r>
      <w:r>
        <w:rPr/>
        <w:t>(PER) or</w:t>
      </w:r>
      <w:r>
        <w:rPr>
          <w:spacing w:val="-14"/>
        </w:rPr>
        <w:t> </w:t>
      </w:r>
      <w:r>
        <w:rPr/>
        <w:t>Packet</w:t>
      </w:r>
      <w:r>
        <w:rPr>
          <w:spacing w:val="-15"/>
        </w:rPr>
        <w:t> </w:t>
      </w:r>
      <w:r>
        <w:rPr/>
        <w:t>Reception</w:t>
      </w:r>
      <w:r>
        <w:rPr>
          <w:spacing w:val="-16"/>
        </w:rPr>
        <w:t> </w:t>
      </w:r>
      <w:r>
        <w:rPr/>
        <w:t>Rate</w:t>
      </w:r>
      <w:r>
        <w:rPr>
          <w:spacing w:val="-16"/>
        </w:rPr>
        <w:t> </w:t>
      </w:r>
      <w:r>
        <w:rPr/>
        <w:t>(PRR),</w:t>
      </w:r>
      <w:r>
        <w:rPr>
          <w:spacing w:val="-15"/>
        </w:rPr>
        <w:t> </w:t>
      </w:r>
      <w:r>
        <w:rPr/>
        <w:t>latency</w:t>
      </w:r>
      <w:r>
        <w:rPr>
          <w:spacing w:val="-18"/>
        </w:rPr>
        <w:t> </w:t>
      </w:r>
      <w:r>
        <w:rPr/>
        <w:t>or</w:t>
      </w:r>
      <w:r>
        <w:rPr>
          <w:spacing w:val="-14"/>
        </w:rPr>
        <w:t> </w:t>
      </w:r>
      <w:r>
        <w:rPr/>
        <w:t>application</w:t>
      </w:r>
      <w:r>
        <w:rPr>
          <w:spacing w:val="-13"/>
        </w:rPr>
        <w:t> </w:t>
      </w:r>
      <w:r>
        <w:rPr/>
        <w:t>end-to-end</w:t>
      </w:r>
      <w:r>
        <w:rPr>
          <w:spacing w:val="-16"/>
        </w:rPr>
        <w:t> </w:t>
      </w:r>
      <w:r>
        <w:rPr/>
        <w:t>delay,</w:t>
      </w:r>
      <w:r>
        <w:rPr>
          <w:spacing w:val="-15"/>
        </w:rPr>
        <w:t> </w:t>
      </w:r>
      <w:r>
        <w:rPr/>
        <w:t>Inter-Packet</w:t>
      </w:r>
      <w:r>
        <w:rPr>
          <w:spacing w:val="-15"/>
        </w:rPr>
        <w:t> </w:t>
      </w:r>
      <w:r>
        <w:rPr/>
        <w:t>Gap</w:t>
      </w:r>
      <w:r>
        <w:rPr>
          <w:spacing w:val="-16"/>
        </w:rPr>
        <w:t> </w:t>
      </w:r>
      <w:r>
        <w:rPr/>
        <w:t>(IPG),</w:t>
      </w:r>
      <w:r>
        <w:rPr>
          <w:spacing w:val="-15"/>
        </w:rPr>
        <w:t> </w:t>
      </w:r>
      <w:r>
        <w:rPr/>
        <w:t>and</w:t>
      </w:r>
      <w:r>
        <w:rPr>
          <w:spacing w:val="-15"/>
        </w:rPr>
        <w:t> </w:t>
      </w:r>
      <w:r>
        <w:rPr/>
        <w:t>Receive Signal Strength Indicator (RSSI). These tests are described in 5GAA test procedure documentation, but this document describes the test procedures specifically as they were executed in the lab and field</w:t>
      </w:r>
      <w:r>
        <w:rPr>
          <w:spacing w:val="-31"/>
        </w:rPr>
        <w:t> </w:t>
      </w:r>
      <w:r>
        <w:rPr/>
        <w:t>environments.</w:t>
      </w:r>
    </w:p>
    <w:p>
      <w:pPr>
        <w:spacing w:after="0"/>
        <w:jc w:val="both"/>
        <w:sectPr>
          <w:headerReference w:type="default" r:id="rId118"/>
          <w:pgSz w:w="11910" w:h="16850"/>
          <w:pgMar w:header="852" w:footer="979" w:top="1040" w:bottom="1160" w:left="0" w:right="0"/>
        </w:sectPr>
      </w:pPr>
    </w:p>
    <w:p>
      <w:pPr>
        <w:pStyle w:val="BodyText"/>
      </w:pPr>
    </w:p>
    <w:p>
      <w:pPr>
        <w:pStyle w:val="BodyText"/>
        <w:spacing w:before="6"/>
        <w:rPr>
          <w:sz w:val="11"/>
        </w:rPr>
      </w:pPr>
    </w:p>
    <w:p>
      <w:pPr>
        <w:pStyle w:val="BodyText"/>
        <w:spacing w:line="29" w:lineRule="exact"/>
        <w:ind w:left="1089"/>
        <w:rPr>
          <w:sz w:val="2"/>
        </w:rPr>
      </w:pPr>
      <w:r>
        <w:rPr>
          <w:position w:val="0"/>
          <w:sz w:val="2"/>
        </w:rPr>
        <w:pict>
          <v:group style="width:486.5pt;height:1.45pt;mso-position-horizontal-relative:char;mso-position-vertical-relative:line" coordorigin="0,0" coordsize="9730,29">
            <v:line style="position:absolute" from="15,15" to="9715,15" stroked="true" strokeweight="1.44pt" strokecolor="#000000">
              <v:stroke dashstyle="solid"/>
            </v:line>
          </v:group>
        </w:pict>
      </w:r>
      <w:r>
        <w:rPr>
          <w:position w:val="0"/>
          <w:sz w:val="2"/>
        </w:rPr>
      </w:r>
    </w:p>
    <w:p>
      <w:pPr>
        <w:pStyle w:val="Heading1"/>
        <w:numPr>
          <w:ilvl w:val="0"/>
          <w:numId w:val="13"/>
        </w:numPr>
        <w:tabs>
          <w:tab w:pos="2265" w:val="left" w:leader="none"/>
          <w:tab w:pos="2266" w:val="left" w:leader="none"/>
        </w:tabs>
        <w:spacing w:line="240" w:lineRule="auto" w:before="56" w:after="0"/>
        <w:ind w:left="2265" w:right="0" w:hanging="1132"/>
        <w:jc w:val="left"/>
      </w:pPr>
      <w:bookmarkStart w:name="_bookmark98" w:id="130"/>
      <w:bookmarkEnd w:id="130"/>
      <w:r>
        <w:rPr/>
      </w:r>
      <w:bookmarkStart w:name="_bookmark98" w:id="131"/>
      <w:bookmarkEnd w:id="131"/>
      <w:r>
        <w:rPr/>
        <w:t>R</w:t>
      </w:r>
      <w:r>
        <w:rPr/>
        <w:t>eferences</w:t>
      </w:r>
    </w:p>
    <w:p>
      <w:pPr>
        <w:pStyle w:val="BodyText"/>
        <w:spacing w:before="182"/>
        <w:ind w:left="1133" w:right="1136"/>
      </w:pPr>
      <w:r>
        <w:rPr/>
        <w:t>The following documents contain provisions which, through reference in this text, constitute provisions of the present document.</w:t>
      </w:r>
    </w:p>
    <w:p>
      <w:pPr>
        <w:pStyle w:val="ListParagraph"/>
        <w:numPr>
          <w:ilvl w:val="1"/>
          <w:numId w:val="13"/>
        </w:numPr>
        <w:tabs>
          <w:tab w:pos="1703" w:val="left" w:leader="none"/>
        </w:tabs>
        <w:spacing w:line="240" w:lineRule="auto" w:before="178" w:after="0"/>
        <w:ind w:left="1702" w:right="1128" w:hanging="286"/>
        <w:jc w:val="both"/>
        <w:rPr>
          <w:sz w:val="20"/>
        </w:rPr>
      </w:pPr>
      <w:r>
        <w:rPr>
          <w:b/>
          <w:sz w:val="22"/>
        </w:rPr>
        <w:t>(5GAA, March 2018) </w:t>
      </w:r>
      <w:r>
        <w:rPr>
          <w:sz w:val="20"/>
        </w:rPr>
        <w:t>5GAA TR P-180092, “5G Automotive Association; Working Group Evaluation, test beds and pilots; V2X Functional and Performance Test Procedures – Selected Assessment of Device to Device Communication Aspects”, March</w:t>
      </w:r>
      <w:r>
        <w:rPr>
          <w:spacing w:val="-17"/>
          <w:sz w:val="20"/>
        </w:rPr>
        <w:t> </w:t>
      </w:r>
      <w:r>
        <w:rPr>
          <w:sz w:val="20"/>
        </w:rPr>
        <w:t>2018.</w:t>
      </w:r>
    </w:p>
    <w:p>
      <w:pPr>
        <w:pStyle w:val="ListParagraph"/>
        <w:numPr>
          <w:ilvl w:val="1"/>
          <w:numId w:val="13"/>
        </w:numPr>
        <w:tabs>
          <w:tab w:pos="1765" w:val="left" w:leader="none"/>
        </w:tabs>
        <w:spacing w:line="240" w:lineRule="auto" w:before="178" w:after="0"/>
        <w:ind w:left="1702" w:right="1128" w:hanging="286"/>
        <w:jc w:val="both"/>
        <w:rPr>
          <w:sz w:val="20"/>
        </w:rPr>
      </w:pPr>
      <w:r>
        <w:rPr>
          <w:b/>
          <w:sz w:val="22"/>
        </w:rPr>
        <w:t>(Parsons, 1994)</w:t>
      </w:r>
      <w:r>
        <w:rPr>
          <w:sz w:val="20"/>
        </w:rPr>
        <w:t>, The Mobile Radio Propagation Channel, Halsted Press: a division of John WILEY and SONS, New York-Toronto,</w:t>
      </w:r>
      <w:r>
        <w:rPr>
          <w:spacing w:val="-9"/>
          <w:sz w:val="20"/>
        </w:rPr>
        <w:t> </w:t>
      </w:r>
      <w:r>
        <w:rPr>
          <w:sz w:val="20"/>
        </w:rPr>
        <w:t>1994.</w:t>
      </w:r>
    </w:p>
    <w:p>
      <w:pPr>
        <w:pStyle w:val="ListParagraph"/>
        <w:numPr>
          <w:ilvl w:val="1"/>
          <w:numId w:val="13"/>
        </w:numPr>
        <w:tabs>
          <w:tab w:pos="1703" w:val="left" w:leader="none"/>
        </w:tabs>
        <w:spacing w:line="240" w:lineRule="auto" w:before="178" w:after="0"/>
        <w:ind w:left="1702" w:right="1129" w:hanging="286"/>
        <w:jc w:val="both"/>
        <w:rPr>
          <w:sz w:val="20"/>
        </w:rPr>
      </w:pPr>
      <w:r>
        <w:rPr>
          <w:b/>
          <w:sz w:val="22"/>
        </w:rPr>
        <w:t>(USDOT</w:t>
      </w:r>
      <w:r>
        <w:rPr>
          <w:b/>
          <w:spacing w:val="-7"/>
          <w:sz w:val="22"/>
        </w:rPr>
        <w:t> </w:t>
      </w:r>
      <w:r>
        <w:rPr>
          <w:b/>
          <w:sz w:val="22"/>
        </w:rPr>
        <w:t>NHTSA,</w:t>
      </w:r>
      <w:r>
        <w:rPr>
          <w:b/>
          <w:spacing w:val="-4"/>
          <w:sz w:val="22"/>
        </w:rPr>
        <w:t> </w:t>
      </w:r>
      <w:r>
        <w:rPr>
          <w:b/>
          <w:sz w:val="22"/>
        </w:rPr>
        <w:t>CAMP,</w:t>
      </w:r>
      <w:r>
        <w:rPr>
          <w:b/>
          <w:spacing w:val="-4"/>
          <w:sz w:val="22"/>
        </w:rPr>
        <w:t> </w:t>
      </w:r>
      <w:r>
        <w:rPr>
          <w:b/>
          <w:sz w:val="22"/>
        </w:rPr>
        <w:t>September</w:t>
      </w:r>
      <w:r>
        <w:rPr>
          <w:b/>
          <w:spacing w:val="-7"/>
          <w:sz w:val="22"/>
        </w:rPr>
        <w:t> </w:t>
      </w:r>
      <w:r>
        <w:rPr>
          <w:b/>
          <w:sz w:val="22"/>
        </w:rPr>
        <w:t>2011)</w:t>
      </w:r>
      <w:r>
        <w:rPr>
          <w:b/>
          <w:spacing w:val="-9"/>
          <w:sz w:val="22"/>
        </w:rPr>
        <w:t> </w:t>
      </w:r>
      <w:r>
        <w:rPr>
          <w:sz w:val="20"/>
        </w:rPr>
        <w:t>Vehicle</w:t>
      </w:r>
      <w:r>
        <w:rPr>
          <w:spacing w:val="-4"/>
          <w:sz w:val="20"/>
        </w:rPr>
        <w:t> </w:t>
      </w:r>
      <w:r>
        <w:rPr>
          <w:sz w:val="20"/>
        </w:rPr>
        <w:t>Safety</w:t>
      </w:r>
      <w:r>
        <w:rPr>
          <w:spacing w:val="-7"/>
          <w:sz w:val="20"/>
        </w:rPr>
        <w:t> </w:t>
      </w:r>
      <w:r>
        <w:rPr>
          <w:sz w:val="20"/>
        </w:rPr>
        <w:t>Communications</w:t>
      </w:r>
      <w:r>
        <w:rPr>
          <w:spacing w:val="-1"/>
          <w:sz w:val="20"/>
        </w:rPr>
        <w:t> </w:t>
      </w:r>
      <w:r>
        <w:rPr>
          <w:sz w:val="20"/>
        </w:rPr>
        <w:t>–</w:t>
      </w:r>
      <w:r>
        <w:rPr>
          <w:spacing w:val="-7"/>
          <w:sz w:val="20"/>
        </w:rPr>
        <w:t> </w:t>
      </w:r>
      <w:r>
        <w:rPr>
          <w:sz w:val="20"/>
        </w:rPr>
        <w:t>Applications</w:t>
      </w:r>
      <w:r>
        <w:rPr>
          <w:spacing w:val="-5"/>
          <w:sz w:val="20"/>
        </w:rPr>
        <w:t> </w:t>
      </w:r>
      <w:r>
        <w:rPr>
          <w:sz w:val="20"/>
        </w:rPr>
        <w:t>(VSC- A):</w:t>
      </w:r>
      <w:r>
        <w:rPr>
          <w:spacing w:val="-10"/>
          <w:sz w:val="20"/>
        </w:rPr>
        <w:t> </w:t>
      </w:r>
      <w:r>
        <w:rPr>
          <w:sz w:val="20"/>
        </w:rPr>
        <w:t>Final</w:t>
      </w:r>
      <w:r>
        <w:rPr>
          <w:spacing w:val="-11"/>
          <w:sz w:val="20"/>
        </w:rPr>
        <w:t> </w:t>
      </w:r>
      <w:r>
        <w:rPr>
          <w:sz w:val="20"/>
        </w:rPr>
        <w:t>Report:</w:t>
      </w:r>
      <w:r>
        <w:rPr>
          <w:spacing w:val="-8"/>
          <w:sz w:val="20"/>
        </w:rPr>
        <w:t> </w:t>
      </w:r>
      <w:r>
        <w:rPr>
          <w:sz w:val="20"/>
        </w:rPr>
        <w:t>Appendix</w:t>
      </w:r>
      <w:r>
        <w:rPr>
          <w:spacing w:val="-7"/>
          <w:sz w:val="20"/>
        </w:rPr>
        <w:t> </w:t>
      </w:r>
      <w:r>
        <w:rPr>
          <w:sz w:val="20"/>
        </w:rPr>
        <w:t>Volume</w:t>
      </w:r>
      <w:r>
        <w:rPr>
          <w:spacing w:val="-10"/>
          <w:sz w:val="20"/>
        </w:rPr>
        <w:t> </w:t>
      </w:r>
      <w:r>
        <w:rPr>
          <w:sz w:val="20"/>
        </w:rPr>
        <w:t>2</w:t>
      </w:r>
      <w:r>
        <w:rPr>
          <w:spacing w:val="-7"/>
          <w:sz w:val="20"/>
        </w:rPr>
        <w:t> </w:t>
      </w:r>
      <w:r>
        <w:rPr>
          <w:sz w:val="20"/>
        </w:rPr>
        <w:t>-</w:t>
      </w:r>
      <w:r>
        <w:rPr>
          <w:spacing w:val="-9"/>
          <w:sz w:val="20"/>
        </w:rPr>
        <w:t> </w:t>
      </w:r>
      <w:r>
        <w:rPr>
          <w:sz w:val="20"/>
        </w:rPr>
        <w:t>Communications</w:t>
      </w:r>
      <w:r>
        <w:rPr>
          <w:spacing w:val="-9"/>
          <w:sz w:val="20"/>
        </w:rPr>
        <w:t> </w:t>
      </w:r>
      <w:r>
        <w:rPr>
          <w:sz w:val="20"/>
        </w:rPr>
        <w:t>and</w:t>
      </w:r>
      <w:r>
        <w:rPr>
          <w:spacing w:val="-10"/>
          <w:sz w:val="20"/>
        </w:rPr>
        <w:t> </w:t>
      </w:r>
      <w:r>
        <w:rPr>
          <w:sz w:val="20"/>
        </w:rPr>
        <w:t>Positioning,</w:t>
      </w:r>
      <w:r>
        <w:rPr>
          <w:spacing w:val="-8"/>
          <w:sz w:val="20"/>
        </w:rPr>
        <w:t> </w:t>
      </w:r>
      <w:r>
        <w:rPr>
          <w:sz w:val="20"/>
        </w:rPr>
        <w:t>September</w:t>
      </w:r>
      <w:r>
        <w:rPr>
          <w:spacing w:val="-9"/>
          <w:sz w:val="20"/>
        </w:rPr>
        <w:t> </w:t>
      </w:r>
      <w:r>
        <w:rPr>
          <w:sz w:val="20"/>
        </w:rPr>
        <w:t>2011,</w:t>
      </w:r>
      <w:r>
        <w:rPr>
          <w:spacing w:val="-10"/>
          <w:sz w:val="20"/>
        </w:rPr>
        <w:t> </w:t>
      </w:r>
      <w:r>
        <w:rPr>
          <w:sz w:val="20"/>
        </w:rPr>
        <w:t>DOT</w:t>
      </w:r>
      <w:r>
        <w:rPr>
          <w:spacing w:val="-7"/>
          <w:sz w:val="20"/>
        </w:rPr>
        <w:t> </w:t>
      </w:r>
      <w:r>
        <w:rPr>
          <w:sz w:val="20"/>
        </w:rPr>
        <w:t>HS</w:t>
      </w:r>
      <w:r>
        <w:rPr>
          <w:spacing w:val="-11"/>
          <w:sz w:val="20"/>
        </w:rPr>
        <w:t> </w:t>
      </w:r>
      <w:r>
        <w:rPr>
          <w:sz w:val="20"/>
        </w:rPr>
        <w:t>811 492C.</w:t>
      </w:r>
    </w:p>
    <w:p>
      <w:pPr>
        <w:pStyle w:val="ListParagraph"/>
        <w:numPr>
          <w:ilvl w:val="1"/>
          <w:numId w:val="13"/>
        </w:numPr>
        <w:tabs>
          <w:tab w:pos="1702" w:val="left" w:leader="none"/>
          <w:tab w:pos="1703" w:val="left" w:leader="none"/>
          <w:tab w:pos="3054" w:val="left" w:leader="none"/>
          <w:tab w:pos="3906" w:val="left" w:leader="none"/>
          <w:tab w:pos="4858" w:val="left" w:leader="none"/>
          <w:tab w:pos="6106" w:val="left" w:leader="none"/>
          <w:tab w:pos="6862" w:val="left" w:leader="none"/>
          <w:tab w:pos="7673" w:val="left" w:leader="none"/>
          <w:tab w:pos="8613" w:val="left" w:leader="none"/>
          <w:tab w:pos="9863" w:val="left" w:leader="none"/>
        </w:tabs>
        <w:spacing w:line="240" w:lineRule="auto" w:before="179" w:after="0"/>
        <w:ind w:left="1702" w:right="0" w:hanging="286"/>
        <w:jc w:val="left"/>
        <w:rPr>
          <w:sz w:val="20"/>
        </w:rPr>
      </w:pPr>
      <w:r>
        <w:rPr>
          <w:b/>
          <w:sz w:val="22"/>
        </w:rPr>
        <w:t>(USDOT</w:t>
        <w:tab/>
        <w:t>ITS</w:t>
        <w:tab/>
        <w:t>JPO</w:t>
        <w:tab/>
        <w:t>DNPW)</w:t>
        <w:tab/>
      </w:r>
      <w:r>
        <w:rPr>
          <w:sz w:val="20"/>
        </w:rPr>
        <w:t>Do</w:t>
        <w:tab/>
        <w:t>Not</w:t>
        <w:tab/>
        <w:t>Pass</w:t>
        <w:tab/>
        <w:t>Warning</w:t>
        <w:tab/>
        <w:t>Illustration</w:t>
      </w:r>
    </w:p>
    <w:p>
      <w:pPr>
        <w:pStyle w:val="Heading6"/>
        <w:spacing w:before="1"/>
        <w:ind w:left="1702" w:firstLine="0"/>
        <w:jc w:val="left"/>
      </w:pPr>
      <w:r>
        <w:rPr/>
        <w:t>(</w:t>
      </w:r>
      <w:hyperlink r:id="rId120">
        <w:r>
          <w:rPr>
            <w:color w:val="0000FF"/>
            <w:u w:val="single" w:color="0000FF"/>
          </w:rPr>
          <w:t>https://www.its.dot.gov/infographs/DoNotPass.htm</w:t>
        </w:r>
      </w:hyperlink>
      <w:r>
        <w:rPr/>
        <w:t>).</w:t>
      </w:r>
    </w:p>
    <w:p>
      <w:pPr>
        <w:pStyle w:val="ListParagraph"/>
        <w:numPr>
          <w:ilvl w:val="1"/>
          <w:numId w:val="13"/>
        </w:numPr>
        <w:tabs>
          <w:tab w:pos="1703" w:val="left" w:leader="none"/>
        </w:tabs>
        <w:spacing w:line="240" w:lineRule="auto" w:before="178" w:after="0"/>
        <w:ind w:left="1702" w:right="1129" w:hanging="286"/>
        <w:jc w:val="both"/>
        <w:rPr>
          <w:sz w:val="22"/>
        </w:rPr>
      </w:pPr>
      <w:r>
        <w:rPr>
          <w:b/>
          <w:sz w:val="22"/>
        </w:rPr>
        <w:t>(USDOT ITS JPO IMA) </w:t>
      </w:r>
      <w:r>
        <w:rPr>
          <w:sz w:val="22"/>
        </w:rPr>
        <w:t>I Intersection Movement Assist Illustration (</w:t>
      </w:r>
      <w:hyperlink r:id="rId121">
        <w:r>
          <w:rPr>
            <w:color w:val="0000FF"/>
            <w:sz w:val="22"/>
            <w:u w:val="single" w:color="0000FF"/>
          </w:rPr>
          <w:t>https://www.its.dot.gov/infographs/intersection_movement.htm</w:t>
        </w:r>
      </w:hyperlink>
      <w:r>
        <w:rPr>
          <w:sz w:val="22"/>
        </w:rPr>
        <w:t>).</w:t>
      </w:r>
    </w:p>
    <w:p>
      <w:pPr>
        <w:pStyle w:val="ListParagraph"/>
        <w:numPr>
          <w:ilvl w:val="1"/>
          <w:numId w:val="13"/>
        </w:numPr>
        <w:tabs>
          <w:tab w:pos="1703" w:val="left" w:leader="none"/>
        </w:tabs>
        <w:spacing w:line="240" w:lineRule="auto" w:before="178" w:after="0"/>
        <w:ind w:left="1702" w:right="1130" w:hanging="286"/>
        <w:jc w:val="both"/>
        <w:rPr>
          <w:sz w:val="22"/>
        </w:rPr>
      </w:pPr>
      <w:r>
        <w:rPr>
          <w:b/>
          <w:sz w:val="22"/>
        </w:rPr>
        <w:t>(SAE</w:t>
      </w:r>
      <w:r>
        <w:rPr>
          <w:b/>
          <w:spacing w:val="-18"/>
          <w:sz w:val="22"/>
        </w:rPr>
        <w:t> </w:t>
      </w:r>
      <w:r>
        <w:rPr>
          <w:b/>
          <w:sz w:val="22"/>
        </w:rPr>
        <w:t>J2945)</w:t>
      </w:r>
      <w:r>
        <w:rPr>
          <w:b/>
          <w:spacing w:val="-18"/>
          <w:sz w:val="22"/>
        </w:rPr>
        <w:t> </w:t>
      </w:r>
      <w:r>
        <w:rPr>
          <w:sz w:val="22"/>
        </w:rPr>
        <w:t>On-board</w:t>
      </w:r>
      <w:r>
        <w:rPr>
          <w:spacing w:val="-19"/>
          <w:sz w:val="22"/>
        </w:rPr>
        <w:t> </w:t>
      </w:r>
      <w:r>
        <w:rPr>
          <w:sz w:val="22"/>
        </w:rPr>
        <w:t>Minimum</w:t>
      </w:r>
      <w:r>
        <w:rPr>
          <w:spacing w:val="-16"/>
          <w:sz w:val="22"/>
        </w:rPr>
        <w:t> </w:t>
      </w:r>
      <w:r>
        <w:rPr>
          <w:sz w:val="22"/>
        </w:rPr>
        <w:t>Performance</w:t>
      </w:r>
      <w:r>
        <w:rPr>
          <w:spacing w:val="-20"/>
          <w:sz w:val="22"/>
        </w:rPr>
        <w:t> </w:t>
      </w:r>
      <w:r>
        <w:rPr>
          <w:sz w:val="22"/>
        </w:rPr>
        <w:t>Requirements</w:t>
      </w:r>
      <w:r>
        <w:rPr>
          <w:spacing w:val="-19"/>
          <w:sz w:val="22"/>
        </w:rPr>
        <w:t> </w:t>
      </w:r>
      <w:r>
        <w:rPr>
          <w:sz w:val="22"/>
        </w:rPr>
        <w:t>for</w:t>
      </w:r>
      <w:r>
        <w:rPr>
          <w:spacing w:val="-19"/>
          <w:sz w:val="22"/>
        </w:rPr>
        <w:t> </w:t>
      </w:r>
      <w:r>
        <w:rPr>
          <w:sz w:val="22"/>
        </w:rPr>
        <w:t>V2V</w:t>
      </w:r>
      <w:r>
        <w:rPr>
          <w:spacing w:val="-18"/>
          <w:sz w:val="22"/>
        </w:rPr>
        <w:t> </w:t>
      </w:r>
      <w:r>
        <w:rPr>
          <w:sz w:val="22"/>
        </w:rPr>
        <w:t>Safety</w:t>
      </w:r>
      <w:r>
        <w:rPr>
          <w:spacing w:val="-18"/>
          <w:sz w:val="22"/>
        </w:rPr>
        <w:t> </w:t>
      </w:r>
      <w:r>
        <w:rPr>
          <w:sz w:val="22"/>
        </w:rPr>
        <w:t>Communications, Version 1, March 2016.</w:t>
      </w:r>
    </w:p>
    <w:p>
      <w:pPr>
        <w:pStyle w:val="BodyText"/>
        <w:spacing w:before="10"/>
        <w:rPr>
          <w:sz w:val="30"/>
        </w:rPr>
      </w:pPr>
    </w:p>
    <w:p>
      <w:pPr>
        <w:tabs>
          <w:tab w:pos="2266" w:val="left" w:leader="none"/>
        </w:tabs>
        <w:spacing w:before="1"/>
        <w:ind w:left="1133" w:right="0" w:firstLine="0"/>
        <w:jc w:val="left"/>
        <w:rPr>
          <w:sz w:val="32"/>
        </w:rPr>
      </w:pPr>
      <w:bookmarkStart w:name="_bookmark99" w:id="132"/>
      <w:bookmarkEnd w:id="132"/>
      <w:r>
        <w:rPr/>
      </w:r>
      <w:r>
        <w:rPr>
          <w:sz w:val="32"/>
        </w:rPr>
        <w:t>2.1</w:t>
        <w:tab/>
        <w:t>Standards</w:t>
      </w:r>
    </w:p>
    <w:p>
      <w:pPr>
        <w:pStyle w:val="BodyText"/>
        <w:spacing w:before="7"/>
        <w:rPr>
          <w:sz w:val="16"/>
        </w:rPr>
      </w:pPr>
    </w:p>
    <w:tbl>
      <w:tblPr>
        <w:tblW w:w="0" w:type="auto"/>
        <w:jc w:val="left"/>
        <w:tblInd w:w="216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98"/>
        <w:gridCol w:w="5180"/>
      </w:tblGrid>
      <w:tr>
        <w:trPr>
          <w:trHeight w:val="410" w:hRule="exact"/>
        </w:trPr>
        <w:tc>
          <w:tcPr>
            <w:tcW w:w="2398" w:type="dxa"/>
          </w:tcPr>
          <w:p>
            <w:pPr>
              <w:pStyle w:val="TableParagraph"/>
              <w:spacing w:line="201" w:lineRule="exact"/>
              <w:ind w:left="181" w:right="244"/>
              <w:jc w:val="center"/>
              <w:rPr>
                <w:sz w:val="18"/>
              </w:rPr>
            </w:pPr>
            <w:r>
              <w:rPr>
                <w:sz w:val="18"/>
              </w:rPr>
              <w:t>3GPP TS 36.213 Rel 14</w:t>
            </w:r>
          </w:p>
        </w:tc>
        <w:tc>
          <w:tcPr>
            <w:tcW w:w="5180" w:type="dxa"/>
          </w:tcPr>
          <w:p>
            <w:pPr>
              <w:pStyle w:val="TableParagraph"/>
              <w:spacing w:line="240" w:lineRule="auto"/>
              <w:ind w:left="265" w:right="193"/>
              <w:rPr>
                <w:sz w:val="18"/>
              </w:rPr>
            </w:pPr>
            <w:r>
              <w:rPr>
                <w:sz w:val="18"/>
              </w:rPr>
              <w:t>Evolved Universal Terrestrial Radio Access (E-UTRA); Physical layer procedures</w:t>
            </w:r>
          </w:p>
        </w:tc>
      </w:tr>
      <w:tr>
        <w:trPr>
          <w:trHeight w:val="414" w:hRule="exact"/>
        </w:trPr>
        <w:tc>
          <w:tcPr>
            <w:tcW w:w="2398" w:type="dxa"/>
          </w:tcPr>
          <w:p>
            <w:pPr>
              <w:pStyle w:val="TableParagraph"/>
              <w:spacing w:line="204" w:lineRule="exact"/>
              <w:ind w:left="181" w:right="244"/>
              <w:jc w:val="center"/>
              <w:rPr>
                <w:sz w:val="18"/>
              </w:rPr>
            </w:pPr>
            <w:r>
              <w:rPr>
                <w:sz w:val="18"/>
              </w:rPr>
              <w:t>3GPP TS 36.331 Rel 14</w:t>
            </w:r>
          </w:p>
        </w:tc>
        <w:tc>
          <w:tcPr>
            <w:tcW w:w="5180" w:type="dxa"/>
          </w:tcPr>
          <w:p>
            <w:pPr>
              <w:pStyle w:val="TableParagraph"/>
              <w:spacing w:before="1"/>
              <w:ind w:left="265" w:right="193"/>
              <w:rPr>
                <w:sz w:val="18"/>
              </w:rPr>
            </w:pPr>
            <w:r>
              <w:rPr>
                <w:sz w:val="18"/>
              </w:rPr>
              <w:t>Evolved Universal Terrestrial Radio Access (E-UTRA); radio Resource Control (RRC); protocol specification</w:t>
            </w:r>
          </w:p>
        </w:tc>
      </w:tr>
      <w:tr>
        <w:trPr>
          <w:trHeight w:val="411" w:hRule="exact"/>
        </w:trPr>
        <w:tc>
          <w:tcPr>
            <w:tcW w:w="2398" w:type="dxa"/>
          </w:tcPr>
          <w:p>
            <w:pPr>
              <w:pStyle w:val="TableParagraph"/>
              <w:spacing w:line="205" w:lineRule="exact"/>
              <w:ind w:left="181" w:right="244"/>
              <w:jc w:val="center"/>
              <w:rPr>
                <w:sz w:val="18"/>
              </w:rPr>
            </w:pPr>
            <w:r>
              <w:rPr>
                <w:sz w:val="18"/>
              </w:rPr>
              <w:t>3GPP TS 36.301 Rel 14</w:t>
            </w:r>
          </w:p>
        </w:tc>
        <w:tc>
          <w:tcPr>
            <w:tcW w:w="5180" w:type="dxa"/>
          </w:tcPr>
          <w:p>
            <w:pPr>
              <w:pStyle w:val="TableParagraph"/>
              <w:spacing w:before="2"/>
              <w:ind w:left="265" w:right="123"/>
              <w:rPr>
                <w:sz w:val="18"/>
              </w:rPr>
            </w:pPr>
            <w:r>
              <w:rPr>
                <w:sz w:val="18"/>
              </w:rPr>
              <w:t>Evolved Universal Terrestrial Radio Access (E-UTRA); User Equipment (UE) radio transmission and reception</w:t>
            </w:r>
          </w:p>
        </w:tc>
      </w:tr>
    </w:tbl>
    <w:p>
      <w:pPr>
        <w:pStyle w:val="BodyText"/>
      </w:pPr>
    </w:p>
    <w:p>
      <w:pPr>
        <w:pStyle w:val="BodyText"/>
      </w:pPr>
    </w:p>
    <w:p>
      <w:pPr>
        <w:pStyle w:val="BodyText"/>
        <w:spacing w:before="2"/>
        <w:rPr>
          <w:sz w:val="13"/>
        </w:rPr>
      </w:pPr>
      <w:r>
        <w:rPr/>
        <w:pict>
          <v:line style="position:absolute;mso-position-horizontal-relative:page;mso-position-vertical-relative:paragraph;z-index:1936;mso-wrap-distance-left:0;mso-wrap-distance-right:0" from="55.223999pt,10.254726pt" to="540.243999pt,10.254726pt" stroked="true" strokeweight="1.44pt" strokecolor="#000000">
            <v:stroke dashstyle="solid"/>
            <w10:wrap type="topAndBottom"/>
          </v:line>
        </w:pict>
      </w:r>
    </w:p>
    <w:p>
      <w:pPr>
        <w:pStyle w:val="Heading1"/>
        <w:numPr>
          <w:ilvl w:val="0"/>
          <w:numId w:val="13"/>
        </w:numPr>
        <w:tabs>
          <w:tab w:pos="2265" w:val="left" w:leader="none"/>
          <w:tab w:pos="2266" w:val="left" w:leader="none"/>
        </w:tabs>
        <w:spacing w:line="240" w:lineRule="auto" w:before="27" w:after="0"/>
        <w:ind w:left="2265" w:right="0" w:hanging="1132"/>
        <w:jc w:val="left"/>
      </w:pPr>
      <w:bookmarkStart w:name="_bookmark100" w:id="133"/>
      <w:bookmarkEnd w:id="133"/>
      <w:r>
        <w:rPr/>
      </w:r>
      <w:bookmarkStart w:name="_bookmark100" w:id="134"/>
      <w:bookmarkEnd w:id="134"/>
      <w:r>
        <w:rPr/>
        <w:t>D</w:t>
      </w:r>
      <w:r>
        <w:rPr/>
        <w:t>efinitions and</w:t>
      </w:r>
      <w:r>
        <w:rPr>
          <w:spacing w:val="-8"/>
        </w:rPr>
        <w:t> </w:t>
      </w:r>
      <w:r>
        <w:rPr/>
        <w:t>abbreviations</w:t>
      </w:r>
    </w:p>
    <w:p>
      <w:pPr>
        <w:pStyle w:val="BodyText"/>
        <w:spacing w:before="7"/>
        <w:rPr>
          <w:sz w:val="23"/>
        </w:rPr>
      </w:pPr>
    </w:p>
    <w:p>
      <w:pPr>
        <w:tabs>
          <w:tab w:pos="2266" w:val="left" w:leader="none"/>
        </w:tabs>
        <w:spacing w:before="89"/>
        <w:ind w:left="1133" w:right="0" w:firstLine="0"/>
        <w:jc w:val="left"/>
        <w:rPr>
          <w:sz w:val="32"/>
        </w:rPr>
      </w:pPr>
      <w:bookmarkStart w:name="_bookmark101" w:id="135"/>
      <w:bookmarkEnd w:id="135"/>
      <w:r>
        <w:rPr/>
      </w:r>
      <w:r>
        <w:rPr>
          <w:sz w:val="32"/>
        </w:rPr>
        <w:t>3.1</w:t>
        <w:tab/>
        <w:t>Definitions</w:t>
      </w:r>
    </w:p>
    <w:p>
      <w:pPr>
        <w:pStyle w:val="BodyText"/>
        <w:spacing w:before="181"/>
        <w:ind w:left="1133"/>
      </w:pPr>
      <w:r>
        <w:rPr/>
        <w:t>For the purposes of the present document, the following definitions apply:</w:t>
      </w:r>
    </w:p>
    <w:p>
      <w:pPr>
        <w:pStyle w:val="BodyText"/>
        <w:tabs>
          <w:tab w:pos="3564" w:val="left" w:leader="none"/>
        </w:tabs>
        <w:spacing w:line="242" w:lineRule="auto" w:before="178"/>
        <w:ind w:left="3565" w:right="1129" w:hanging="2432"/>
      </w:pPr>
      <w:r>
        <w:rPr>
          <w:b/>
        </w:rPr>
        <w:t>Approaching:</w:t>
        <w:tab/>
      </w:r>
      <w:r>
        <w:rPr/>
        <w:t>Direction of movement of  Moving Vehicle (MV) towards the    </w:t>
      </w:r>
      <w:r>
        <w:rPr>
          <w:spacing w:val="8"/>
        </w:rPr>
        <w:t> </w:t>
      </w:r>
      <w:r>
        <w:rPr/>
        <w:t>Stationary</w:t>
      </w:r>
      <w:r>
        <w:rPr>
          <w:spacing w:val="26"/>
        </w:rPr>
        <w:t> </w:t>
      </w:r>
      <w:r>
        <w:rPr/>
        <w:t>Vehicle</w:t>
      </w:r>
      <w:r>
        <w:rPr>
          <w:w w:val="99"/>
        </w:rPr>
        <w:t> </w:t>
      </w:r>
      <w:r>
        <w:rPr/>
        <w:t>(SV).</w:t>
      </w:r>
    </w:p>
    <w:p>
      <w:pPr>
        <w:pStyle w:val="BodyText"/>
        <w:tabs>
          <w:tab w:pos="3564" w:val="left" w:leader="none"/>
        </w:tabs>
        <w:spacing w:line="242" w:lineRule="auto" w:before="175"/>
        <w:ind w:left="3565" w:right="1134" w:hanging="2432"/>
      </w:pPr>
      <w:r>
        <w:rPr>
          <w:b/>
        </w:rPr>
        <w:t>MV:</w:t>
        <w:tab/>
      </w:r>
      <w:r>
        <w:rPr/>
        <w:t>Moving Vehicle communicates with the Stationary Vehicle and performs</w:t>
      </w:r>
      <w:r>
        <w:rPr>
          <w:spacing w:val="28"/>
        </w:rPr>
        <w:t> </w:t>
      </w:r>
      <w:r>
        <w:rPr/>
        <w:t>loops</w:t>
      </w:r>
      <w:r>
        <w:rPr>
          <w:spacing w:val="2"/>
        </w:rPr>
        <w:t> </w:t>
      </w:r>
      <w:r>
        <w:rPr/>
        <w:t>on</w:t>
      </w:r>
      <w:r>
        <w:rPr>
          <w:w w:val="99"/>
        </w:rPr>
        <w:t> </w:t>
      </w:r>
      <w:r>
        <w:rPr/>
        <w:t>a typically straight stretch of road where the Stationary Vehicle is</w:t>
      </w:r>
      <w:r>
        <w:rPr>
          <w:spacing w:val="-23"/>
        </w:rPr>
        <w:t> </w:t>
      </w:r>
      <w:r>
        <w:rPr/>
        <w:t>located.</w:t>
      </w:r>
    </w:p>
    <w:p>
      <w:pPr>
        <w:pStyle w:val="BodyText"/>
        <w:tabs>
          <w:tab w:pos="3564" w:val="left" w:leader="none"/>
        </w:tabs>
        <w:spacing w:before="173"/>
        <w:ind w:left="1133"/>
      </w:pPr>
      <w:r>
        <w:rPr>
          <w:b/>
        </w:rPr>
        <w:t>Receding:</w:t>
        <w:tab/>
      </w:r>
      <w:r>
        <w:rPr/>
        <w:t>Direction of movement of Moving Vehicle away from the Stationary</w:t>
      </w:r>
      <w:r>
        <w:rPr>
          <w:spacing w:val="-19"/>
        </w:rPr>
        <w:t> </w:t>
      </w:r>
      <w:r>
        <w:rPr/>
        <w:t>Vehicle.</w:t>
      </w:r>
    </w:p>
    <w:p>
      <w:pPr>
        <w:pStyle w:val="BodyText"/>
        <w:tabs>
          <w:tab w:pos="3972" w:val="left" w:leader="none"/>
        </w:tabs>
        <w:spacing w:line="242" w:lineRule="auto" w:before="180"/>
        <w:ind w:left="3564" w:right="1129" w:hanging="2432"/>
      </w:pPr>
      <w:r>
        <w:rPr>
          <w:b/>
        </w:rPr>
        <w:t>Sensitivity level of</w:t>
      </w:r>
      <w:r>
        <w:rPr>
          <w:b/>
          <w:spacing w:val="-5"/>
        </w:rPr>
        <w:t> </w:t>
      </w:r>
      <w:r>
        <w:rPr>
          <w:b/>
        </w:rPr>
        <w:t>a</w:t>
      </w:r>
      <w:r>
        <w:rPr>
          <w:b/>
          <w:spacing w:val="-2"/>
        </w:rPr>
        <w:t> </w:t>
      </w:r>
      <w:r>
        <w:rPr>
          <w:b/>
        </w:rPr>
        <w:t>signal:</w:t>
        <w:tab/>
      </w:r>
      <w:r>
        <w:rPr/>
        <w:t>The lowest receive signal level that allows almost error-free</w:t>
      </w:r>
      <w:r>
        <w:rPr>
          <w:spacing w:val="-3"/>
        </w:rPr>
        <w:t> </w:t>
      </w:r>
      <w:r>
        <w:rPr/>
        <w:t>reception.</w:t>
      </w:r>
      <w:r>
        <w:rPr>
          <w:spacing w:val="2"/>
        </w:rPr>
        <w:t> </w:t>
      </w:r>
      <w:r>
        <w:rPr/>
        <w:t>Below</w:t>
      </w:r>
      <w:r>
        <w:rPr>
          <w:w w:val="99"/>
        </w:rPr>
        <w:t> </w:t>
      </w:r>
      <w:r>
        <w:rPr/>
        <w:t>this level, the packet reception starts to</w:t>
      </w:r>
      <w:r>
        <w:rPr>
          <w:spacing w:val="-13"/>
        </w:rPr>
        <w:t> </w:t>
      </w:r>
      <w:r>
        <w:rPr/>
        <w:t>deteriorate.</w:t>
      </w:r>
    </w:p>
    <w:p>
      <w:pPr>
        <w:pStyle w:val="BodyText"/>
        <w:tabs>
          <w:tab w:pos="3564" w:val="left" w:leader="none"/>
        </w:tabs>
        <w:spacing w:line="242" w:lineRule="auto" w:before="175"/>
        <w:ind w:left="3565" w:right="1136" w:hanging="2432"/>
      </w:pPr>
      <w:r>
        <w:rPr>
          <w:b/>
        </w:rPr>
        <w:t>SV:</w:t>
        <w:tab/>
      </w:r>
      <w:r>
        <w:rPr/>
        <w:t>Stationary</w:t>
      </w:r>
      <w:r>
        <w:rPr>
          <w:spacing w:val="18"/>
        </w:rPr>
        <w:t> </w:t>
      </w:r>
      <w:r>
        <w:rPr/>
        <w:t>vehicle</w:t>
      </w:r>
      <w:r>
        <w:rPr>
          <w:spacing w:val="18"/>
        </w:rPr>
        <w:t> </w:t>
      </w:r>
      <w:r>
        <w:rPr/>
        <w:t>is</w:t>
      </w:r>
      <w:r>
        <w:rPr>
          <w:spacing w:val="20"/>
        </w:rPr>
        <w:t> </w:t>
      </w:r>
      <w:r>
        <w:rPr/>
        <w:t>positioned</w:t>
      </w:r>
      <w:r>
        <w:rPr>
          <w:spacing w:val="20"/>
        </w:rPr>
        <w:t> </w:t>
      </w:r>
      <w:r>
        <w:rPr/>
        <w:t>on</w:t>
      </w:r>
      <w:r>
        <w:rPr>
          <w:spacing w:val="18"/>
        </w:rPr>
        <w:t> </w:t>
      </w:r>
      <w:r>
        <w:rPr/>
        <w:t>one</w:t>
      </w:r>
      <w:r>
        <w:rPr>
          <w:spacing w:val="18"/>
        </w:rPr>
        <w:t> </w:t>
      </w:r>
      <w:r>
        <w:rPr/>
        <w:t>end</w:t>
      </w:r>
      <w:r>
        <w:rPr>
          <w:spacing w:val="18"/>
        </w:rPr>
        <w:t> </w:t>
      </w:r>
      <w:r>
        <w:rPr/>
        <w:t>of</w:t>
      </w:r>
      <w:r>
        <w:rPr>
          <w:spacing w:val="20"/>
        </w:rPr>
        <w:t> </w:t>
      </w:r>
      <w:r>
        <w:rPr/>
        <w:t>the</w:t>
      </w:r>
      <w:r>
        <w:rPr>
          <w:spacing w:val="18"/>
        </w:rPr>
        <w:t> </w:t>
      </w:r>
      <w:r>
        <w:rPr/>
        <w:t>test</w:t>
      </w:r>
      <w:r>
        <w:rPr>
          <w:spacing w:val="18"/>
        </w:rPr>
        <w:t> </w:t>
      </w:r>
      <w:r>
        <w:rPr/>
        <w:t>track</w:t>
      </w:r>
      <w:r>
        <w:rPr>
          <w:spacing w:val="22"/>
        </w:rPr>
        <w:t> </w:t>
      </w:r>
      <w:r>
        <w:rPr/>
        <w:t>and</w:t>
      </w:r>
      <w:r>
        <w:rPr>
          <w:spacing w:val="18"/>
        </w:rPr>
        <w:t> </w:t>
      </w:r>
      <w:r>
        <w:rPr/>
        <w:t>communicates</w:t>
      </w:r>
      <w:r>
        <w:rPr>
          <w:w w:val="99"/>
        </w:rPr>
        <w:t> </w:t>
      </w:r>
      <w:r>
        <w:rPr/>
        <w:t>with the Moving</w:t>
      </w:r>
      <w:r>
        <w:rPr>
          <w:spacing w:val="-6"/>
        </w:rPr>
        <w:t> </w:t>
      </w:r>
      <w:r>
        <w:rPr/>
        <w:t>Vehicle.</w:t>
      </w:r>
    </w:p>
    <w:p>
      <w:pPr>
        <w:spacing w:after="0" w:line="242" w:lineRule="auto"/>
        <w:sectPr>
          <w:headerReference w:type="default" r:id="rId119"/>
          <w:pgSz w:w="11910" w:h="16850"/>
          <w:pgMar w:header="852" w:footer="979" w:top="1040" w:bottom="1160" w:left="0" w:right="0"/>
        </w:sectPr>
      </w:pPr>
    </w:p>
    <w:p>
      <w:pPr>
        <w:pStyle w:val="BodyText"/>
      </w:pPr>
    </w:p>
    <w:p>
      <w:pPr>
        <w:pStyle w:val="BodyText"/>
      </w:pPr>
    </w:p>
    <w:p>
      <w:pPr>
        <w:pStyle w:val="BodyText"/>
        <w:spacing w:before="1"/>
        <w:rPr>
          <w:sz w:val="19"/>
        </w:rPr>
      </w:pPr>
    </w:p>
    <w:p>
      <w:pPr>
        <w:tabs>
          <w:tab w:pos="2266" w:val="left" w:leader="none"/>
        </w:tabs>
        <w:spacing w:before="89"/>
        <w:ind w:left="1133" w:right="0" w:firstLine="0"/>
        <w:jc w:val="left"/>
        <w:rPr>
          <w:sz w:val="32"/>
        </w:rPr>
      </w:pPr>
      <w:bookmarkStart w:name="_bookmark102" w:id="136"/>
      <w:bookmarkEnd w:id="136"/>
      <w:r>
        <w:rPr/>
      </w:r>
      <w:r>
        <w:rPr>
          <w:sz w:val="32"/>
        </w:rPr>
        <w:t>3.3</w:t>
        <w:tab/>
        <w:t>Abbreviations</w:t>
      </w:r>
    </w:p>
    <w:p>
      <w:pPr>
        <w:pStyle w:val="BodyText"/>
        <w:spacing w:before="181"/>
        <w:ind w:left="1133"/>
      </w:pPr>
      <w:r>
        <w:rPr/>
        <w:t>For the purposes of the present document, the following symbols apply:</w:t>
      </w:r>
    </w:p>
    <w:p>
      <w:pPr>
        <w:pStyle w:val="BodyText"/>
        <w:tabs>
          <w:tab w:pos="2834" w:val="left" w:leader="none"/>
        </w:tabs>
        <w:spacing w:before="180"/>
        <w:ind w:left="1416" w:right="4250"/>
      </w:pPr>
      <w:r>
        <w:rPr/>
        <w:t>3GPP</w:t>
        <w:tab/>
        <w:t>3G Partnership Project (cellular</w:t>
      </w:r>
      <w:r>
        <w:rPr>
          <w:spacing w:val="-19"/>
        </w:rPr>
        <w:t> </w:t>
      </w:r>
      <w:r>
        <w:rPr/>
        <w:t>standard</w:t>
      </w:r>
      <w:r>
        <w:rPr>
          <w:spacing w:val="-2"/>
        </w:rPr>
        <w:t> </w:t>
      </w:r>
      <w:r>
        <w:rPr/>
        <w:t>organization)</w:t>
      </w:r>
      <w:r>
        <w:rPr>
          <w:w w:val="99"/>
        </w:rPr>
        <w:t> </w:t>
      </w:r>
      <w:r>
        <w:rPr/>
        <w:t>AWGN</w:t>
        <w:tab/>
        <w:t>Additive White Gaussian</w:t>
      </w:r>
      <w:r>
        <w:rPr>
          <w:spacing w:val="-10"/>
        </w:rPr>
        <w:t> </w:t>
      </w:r>
      <w:r>
        <w:rPr/>
        <w:t>Noise</w:t>
      </w:r>
    </w:p>
    <w:p>
      <w:pPr>
        <w:pStyle w:val="BodyText"/>
        <w:tabs>
          <w:tab w:pos="2834" w:val="left" w:leader="none"/>
        </w:tabs>
        <w:spacing w:line="229" w:lineRule="exact"/>
        <w:ind w:left="1416"/>
      </w:pPr>
      <w:r>
        <w:rPr/>
        <w:t>BLER</w:t>
        <w:tab/>
        <w:t>Block Error</w:t>
      </w:r>
      <w:r>
        <w:rPr>
          <w:spacing w:val="-7"/>
        </w:rPr>
        <w:t> </w:t>
      </w:r>
      <w:r>
        <w:rPr/>
        <w:t>Rate</w:t>
      </w:r>
    </w:p>
    <w:p>
      <w:pPr>
        <w:pStyle w:val="BodyText"/>
        <w:tabs>
          <w:tab w:pos="2834" w:val="left" w:leader="none"/>
        </w:tabs>
        <w:spacing w:line="229" w:lineRule="exact"/>
        <w:ind w:left="1416"/>
      </w:pPr>
      <w:r>
        <w:rPr/>
        <w:t>BSM</w:t>
        <w:tab/>
        <w:t>Basic Safety</w:t>
      </w:r>
      <w:r>
        <w:rPr>
          <w:spacing w:val="-7"/>
        </w:rPr>
        <w:t> </w:t>
      </w:r>
      <w:r>
        <w:rPr/>
        <w:t>Message</w:t>
      </w:r>
    </w:p>
    <w:p>
      <w:pPr>
        <w:pStyle w:val="BodyText"/>
        <w:tabs>
          <w:tab w:pos="2834" w:val="left" w:leader="none"/>
        </w:tabs>
        <w:ind w:left="1416" w:right="5872"/>
      </w:pPr>
      <w:r>
        <w:rPr/>
        <w:t>CAMP</w:t>
        <w:tab/>
        <w:t>Crash Avoidance</w:t>
      </w:r>
      <w:r>
        <w:rPr>
          <w:spacing w:val="-11"/>
        </w:rPr>
        <w:t> </w:t>
      </w:r>
      <w:r>
        <w:rPr/>
        <w:t>Metric</w:t>
      </w:r>
      <w:r>
        <w:rPr>
          <w:spacing w:val="-5"/>
        </w:rPr>
        <w:t> </w:t>
      </w:r>
      <w:r>
        <w:rPr/>
        <w:t>Partnership</w:t>
      </w:r>
      <w:r>
        <w:rPr>
          <w:w w:val="99"/>
        </w:rPr>
        <w:t> </w:t>
      </w:r>
      <w:r>
        <w:rPr/>
        <w:t>CBP</w:t>
        <w:tab/>
        <w:t>Channel Busy</w:t>
      </w:r>
      <w:r>
        <w:rPr>
          <w:spacing w:val="-5"/>
        </w:rPr>
        <w:t> </w:t>
      </w:r>
      <w:r>
        <w:rPr/>
        <w:t>Period</w:t>
      </w:r>
    </w:p>
    <w:p>
      <w:pPr>
        <w:pStyle w:val="BodyText"/>
        <w:tabs>
          <w:tab w:pos="2834" w:val="left" w:leader="none"/>
        </w:tabs>
        <w:ind w:left="1416"/>
      </w:pPr>
      <w:r>
        <w:rPr/>
        <w:t>CBR</w:t>
        <w:tab/>
        <w:t>Channel Busy</w:t>
      </w:r>
      <w:r>
        <w:rPr>
          <w:spacing w:val="-4"/>
        </w:rPr>
        <w:t> </w:t>
      </w:r>
      <w:r>
        <w:rPr/>
        <w:t>Ratio</w:t>
      </w:r>
    </w:p>
    <w:p>
      <w:pPr>
        <w:pStyle w:val="BodyText"/>
        <w:tabs>
          <w:tab w:pos="2834" w:val="left" w:leader="none"/>
        </w:tabs>
        <w:ind w:left="1416"/>
      </w:pPr>
      <w:r>
        <w:rPr/>
        <w:t>CDF</w:t>
        <w:tab/>
        <w:t>Cumulative Distribution</w:t>
      </w:r>
      <w:r>
        <w:rPr>
          <w:spacing w:val="-12"/>
        </w:rPr>
        <w:t> </w:t>
      </w:r>
      <w:r>
        <w:rPr/>
        <w:t>Function</w:t>
      </w:r>
    </w:p>
    <w:p>
      <w:pPr>
        <w:pStyle w:val="BodyText"/>
        <w:tabs>
          <w:tab w:pos="2834" w:val="left" w:leader="none"/>
        </w:tabs>
        <w:spacing w:line="229" w:lineRule="exact"/>
        <w:ind w:left="1416"/>
      </w:pPr>
      <w:r>
        <w:rPr/>
        <w:t>C-V2X</w:t>
        <w:tab/>
        <w:t>Cellular</w:t>
      </w:r>
      <w:r>
        <w:rPr>
          <w:spacing w:val="-9"/>
        </w:rPr>
        <w:t> </w:t>
      </w:r>
      <w:r>
        <w:rPr/>
        <w:t>Vehicle-to-Everything</w:t>
      </w:r>
    </w:p>
    <w:p>
      <w:pPr>
        <w:pStyle w:val="BodyText"/>
        <w:tabs>
          <w:tab w:pos="2834" w:val="left" w:leader="none"/>
        </w:tabs>
        <w:spacing w:line="229" w:lineRule="exact"/>
        <w:ind w:left="1416"/>
      </w:pPr>
      <w:r>
        <w:rPr/>
        <w:t>DNPW</w:t>
        <w:tab/>
        <w:t>Do Not Pass</w:t>
      </w:r>
      <w:r>
        <w:rPr>
          <w:spacing w:val="-4"/>
        </w:rPr>
        <w:t> </w:t>
      </w:r>
      <w:r>
        <w:rPr/>
        <w:t>Warning</w:t>
      </w:r>
    </w:p>
    <w:p>
      <w:pPr>
        <w:pStyle w:val="BodyText"/>
        <w:tabs>
          <w:tab w:pos="2834" w:val="left" w:leader="none"/>
        </w:tabs>
        <w:ind w:left="1416" w:right="4011"/>
      </w:pPr>
      <w:r>
        <w:rPr/>
        <w:t>DSRC</w:t>
        <w:tab/>
        <w:t>Dedicated Short-Range Communications</w:t>
      </w:r>
      <w:r>
        <w:rPr>
          <w:spacing w:val="-7"/>
        </w:rPr>
        <w:t> </w:t>
      </w:r>
      <w:r>
        <w:rPr/>
        <w:t>(IEEE</w:t>
      </w:r>
      <w:r>
        <w:rPr>
          <w:spacing w:val="-5"/>
        </w:rPr>
        <w:t> </w:t>
      </w:r>
      <w:r>
        <w:rPr/>
        <w:t>802.11p)</w:t>
      </w:r>
      <w:r>
        <w:rPr>
          <w:w w:val="99"/>
        </w:rPr>
        <w:t> </w:t>
      </w:r>
      <w:r>
        <w:rPr/>
        <w:t>DUT</w:t>
        <w:tab/>
        <w:t>Device Under</w:t>
      </w:r>
      <w:r>
        <w:rPr>
          <w:spacing w:val="-6"/>
        </w:rPr>
        <w:t> </w:t>
      </w:r>
      <w:r>
        <w:rPr/>
        <w:t>Test</w:t>
      </w:r>
    </w:p>
    <w:p>
      <w:pPr>
        <w:pStyle w:val="BodyText"/>
        <w:tabs>
          <w:tab w:pos="2834" w:val="left" w:leader="none"/>
        </w:tabs>
        <w:ind w:left="1416" w:right="6050"/>
      </w:pPr>
      <w:r>
        <w:rPr/>
        <w:t>FPG</w:t>
        <w:tab/>
        <w:t>Fowlerville</w:t>
      </w:r>
      <w:r>
        <w:rPr>
          <w:spacing w:val="-8"/>
        </w:rPr>
        <w:t> </w:t>
      </w:r>
      <w:r>
        <w:rPr/>
        <w:t>Proving</w:t>
      </w:r>
      <w:r>
        <w:rPr>
          <w:spacing w:val="-6"/>
        </w:rPr>
        <w:t> </w:t>
      </w:r>
      <w:r>
        <w:rPr/>
        <w:t>Ground</w:t>
      </w:r>
      <w:r>
        <w:rPr>
          <w:w w:val="99"/>
        </w:rPr>
        <w:t> </w:t>
      </w:r>
      <w:r>
        <w:rPr>
          <w:w w:val="99"/>
        </w:rPr>
        <w:t> </w:t>
      </w:r>
      <w:r>
        <w:rPr/>
        <w:t>HARQ</w:t>
        <w:tab/>
        <w:t>Hybrid Automatic</w:t>
      </w:r>
      <w:r>
        <w:rPr>
          <w:spacing w:val="-7"/>
        </w:rPr>
        <w:t> </w:t>
      </w:r>
      <w:r>
        <w:rPr/>
        <w:t>Repeat</w:t>
      </w:r>
      <w:r>
        <w:rPr>
          <w:spacing w:val="-3"/>
        </w:rPr>
        <w:t> </w:t>
      </w:r>
      <w:r>
        <w:rPr/>
        <w:t>Request</w:t>
      </w:r>
      <w:r>
        <w:rPr>
          <w:w w:val="99"/>
        </w:rPr>
        <w:t> </w:t>
      </w:r>
      <w:r>
        <w:rPr/>
        <w:t>HV</w:t>
        <w:tab/>
        <w:t>Home</w:t>
      </w:r>
      <w:r>
        <w:rPr>
          <w:spacing w:val="-4"/>
        </w:rPr>
        <w:t> </w:t>
      </w:r>
      <w:r>
        <w:rPr/>
        <w:t>Vehicle</w:t>
      </w:r>
    </w:p>
    <w:p>
      <w:pPr>
        <w:pStyle w:val="BodyText"/>
        <w:tabs>
          <w:tab w:pos="2834" w:val="left" w:leader="none"/>
        </w:tabs>
        <w:ind w:left="1416" w:right="4907"/>
      </w:pPr>
      <w:r>
        <w:rPr/>
        <w:t>IEEE</w:t>
        <w:tab/>
        <w:t>Institute of Electrical and</w:t>
      </w:r>
      <w:r>
        <w:rPr>
          <w:spacing w:val="-14"/>
        </w:rPr>
        <w:t> </w:t>
      </w:r>
      <w:r>
        <w:rPr/>
        <w:t>Electronics</w:t>
      </w:r>
      <w:r>
        <w:rPr>
          <w:spacing w:val="-4"/>
        </w:rPr>
        <w:t> </w:t>
      </w:r>
      <w:r>
        <w:rPr/>
        <w:t>Engineers</w:t>
      </w:r>
      <w:r>
        <w:rPr>
          <w:w w:val="99"/>
        </w:rPr>
        <w:t> </w:t>
      </w:r>
      <w:r>
        <w:rPr/>
        <w:t>IPG</w:t>
        <w:tab/>
        <w:t>Inter-Packet Gap</w:t>
      </w:r>
      <w:r>
        <w:rPr>
          <w:spacing w:val="-9"/>
        </w:rPr>
        <w:t> </w:t>
      </w:r>
      <w:r>
        <w:rPr/>
        <w:t>(s)</w:t>
      </w:r>
    </w:p>
    <w:p>
      <w:pPr>
        <w:pStyle w:val="BodyText"/>
        <w:tabs>
          <w:tab w:pos="2834" w:val="left" w:leader="none"/>
        </w:tabs>
        <w:spacing w:before="2"/>
        <w:ind w:left="1416"/>
      </w:pPr>
      <w:r>
        <w:rPr/>
        <w:t>ITS</w:t>
        <w:tab/>
        <w:t>Intelligent Transportation</w:t>
      </w:r>
      <w:r>
        <w:rPr>
          <w:spacing w:val="-6"/>
        </w:rPr>
        <w:t> </w:t>
      </w:r>
      <w:r>
        <w:rPr/>
        <w:t>Systems</w:t>
      </w:r>
    </w:p>
    <w:p>
      <w:pPr>
        <w:pStyle w:val="BodyText"/>
        <w:tabs>
          <w:tab w:pos="2834" w:val="left" w:leader="none"/>
        </w:tabs>
        <w:ind w:left="1416" w:right="2879"/>
      </w:pPr>
      <w:r>
        <w:rPr/>
        <w:t>ITS</w:t>
      </w:r>
      <w:r>
        <w:rPr>
          <w:spacing w:val="-2"/>
        </w:rPr>
        <w:t> </w:t>
      </w:r>
      <w:r>
        <w:rPr/>
        <w:t>Band</w:t>
        <w:tab/>
        <w:t>Frequency band for ITS communications (5.850-5.925 GHz in</w:t>
      </w:r>
      <w:r>
        <w:rPr>
          <w:spacing w:val="-16"/>
        </w:rPr>
        <w:t> </w:t>
      </w:r>
      <w:r>
        <w:rPr/>
        <w:t>the</w:t>
      </w:r>
      <w:r>
        <w:rPr>
          <w:spacing w:val="-2"/>
        </w:rPr>
        <w:t> </w:t>
      </w:r>
      <w:r>
        <w:rPr/>
        <w:t>US)</w:t>
      </w:r>
      <w:r>
        <w:rPr>
          <w:w w:val="99"/>
        </w:rPr>
        <w:t> </w:t>
      </w:r>
      <w:r>
        <w:rPr/>
        <w:t>ITT</w:t>
        <w:tab/>
        <w:t>Inter Transmission</w:t>
      </w:r>
      <w:r>
        <w:rPr>
          <w:spacing w:val="-6"/>
        </w:rPr>
        <w:t> </w:t>
      </w:r>
      <w:r>
        <w:rPr/>
        <w:t>Time</w:t>
      </w:r>
    </w:p>
    <w:p>
      <w:pPr>
        <w:pStyle w:val="BodyText"/>
        <w:tabs>
          <w:tab w:pos="2834" w:val="left" w:leader="none"/>
        </w:tabs>
        <w:spacing w:line="228" w:lineRule="exact"/>
        <w:ind w:left="1416"/>
      </w:pPr>
      <w:r>
        <w:rPr/>
        <w:t>KPI</w:t>
        <w:tab/>
        <w:t>Key Performance</w:t>
      </w:r>
      <w:r>
        <w:rPr>
          <w:spacing w:val="-8"/>
        </w:rPr>
        <w:t> </w:t>
      </w:r>
      <w:r>
        <w:rPr/>
        <w:t>Indicator</w:t>
      </w:r>
    </w:p>
    <w:p>
      <w:pPr>
        <w:pStyle w:val="BodyText"/>
        <w:tabs>
          <w:tab w:pos="2834" w:val="left" w:leader="none"/>
        </w:tabs>
        <w:ind w:left="1416"/>
      </w:pPr>
      <w:r>
        <w:rPr/>
        <w:t>LOS</w:t>
        <w:tab/>
        <w:t>Line of</w:t>
      </w:r>
      <w:r>
        <w:rPr>
          <w:spacing w:val="-7"/>
        </w:rPr>
        <w:t> </w:t>
      </w:r>
      <w:r>
        <w:rPr/>
        <w:t>Sight</w:t>
      </w:r>
    </w:p>
    <w:p>
      <w:pPr>
        <w:pStyle w:val="BodyText"/>
        <w:tabs>
          <w:tab w:pos="2834" w:val="left" w:leader="none"/>
        </w:tabs>
        <w:ind w:left="1416" w:right="4427"/>
      </w:pPr>
      <w:r>
        <w:rPr/>
        <w:t>LTE</w:t>
        <w:tab/>
        <w:t>Long Term Evolution (cellular</w:t>
      </w:r>
      <w:r>
        <w:rPr>
          <w:spacing w:val="-14"/>
        </w:rPr>
        <w:t> </w:t>
      </w:r>
      <w:r>
        <w:rPr/>
        <w:t>standard</w:t>
      </w:r>
      <w:r>
        <w:rPr>
          <w:spacing w:val="-5"/>
        </w:rPr>
        <w:t> </w:t>
      </w:r>
      <w:r>
        <w:rPr/>
        <w:t>organization)</w:t>
      </w:r>
      <w:r>
        <w:rPr>
          <w:w w:val="99"/>
        </w:rPr>
        <w:t> </w:t>
      </w:r>
      <w:r>
        <w:rPr/>
        <w:t>MCS</w:t>
        <w:tab/>
        <w:t>Modulation Coding</w:t>
      </w:r>
      <w:r>
        <w:rPr>
          <w:spacing w:val="-9"/>
        </w:rPr>
        <w:t> </w:t>
      </w:r>
      <w:r>
        <w:rPr/>
        <w:t>Scheme</w:t>
      </w:r>
    </w:p>
    <w:p>
      <w:pPr>
        <w:pStyle w:val="BodyText"/>
        <w:tabs>
          <w:tab w:pos="2834" w:val="left" w:leader="none"/>
        </w:tabs>
        <w:spacing w:before="1"/>
        <w:ind w:left="1416"/>
      </w:pPr>
      <w:r>
        <w:rPr/>
        <w:t>MIMO</w:t>
        <w:tab/>
        <w:t>Multiple Input Multiple</w:t>
      </w:r>
      <w:r>
        <w:rPr>
          <w:spacing w:val="-10"/>
        </w:rPr>
        <w:t> </w:t>
      </w:r>
      <w:r>
        <w:rPr/>
        <w:t>Output</w:t>
      </w:r>
    </w:p>
    <w:p>
      <w:pPr>
        <w:pStyle w:val="BodyText"/>
        <w:tabs>
          <w:tab w:pos="2834" w:val="left" w:leader="none"/>
        </w:tabs>
        <w:spacing w:line="229" w:lineRule="exact"/>
        <w:ind w:left="1416"/>
      </w:pPr>
      <w:r>
        <w:rPr/>
        <w:t>MV</w:t>
        <w:tab/>
        <w:t>Moving</w:t>
      </w:r>
      <w:r>
        <w:rPr>
          <w:spacing w:val="-7"/>
        </w:rPr>
        <w:t> </w:t>
      </w:r>
      <w:r>
        <w:rPr/>
        <w:t>Vehicle</w:t>
      </w:r>
    </w:p>
    <w:p>
      <w:pPr>
        <w:pStyle w:val="BodyText"/>
        <w:tabs>
          <w:tab w:pos="2834" w:val="left" w:leader="none"/>
        </w:tabs>
        <w:spacing w:line="229" w:lineRule="exact"/>
        <w:ind w:left="1416"/>
      </w:pPr>
      <w:r>
        <w:rPr/>
        <w:t>NLOS</w:t>
        <w:tab/>
        <w:t>No Line of</w:t>
      </w:r>
      <w:r>
        <w:rPr>
          <w:spacing w:val="-6"/>
        </w:rPr>
        <w:t> </w:t>
      </w:r>
      <w:r>
        <w:rPr/>
        <w:t>Sight</w:t>
      </w:r>
    </w:p>
    <w:p>
      <w:pPr>
        <w:pStyle w:val="BodyText"/>
        <w:tabs>
          <w:tab w:pos="2834" w:val="left" w:leader="none"/>
        </w:tabs>
        <w:ind w:left="1416"/>
      </w:pPr>
      <w:r>
        <w:rPr/>
        <w:t>OBE</w:t>
        <w:tab/>
        <w:t>On-Board</w:t>
      </w:r>
      <w:r>
        <w:rPr>
          <w:spacing w:val="-6"/>
        </w:rPr>
        <w:t> </w:t>
      </w:r>
      <w:r>
        <w:rPr/>
        <w:t>Equipment</w:t>
      </w:r>
    </w:p>
    <w:p>
      <w:pPr>
        <w:pStyle w:val="BodyText"/>
        <w:tabs>
          <w:tab w:pos="2834" w:val="left" w:leader="none"/>
        </w:tabs>
        <w:ind w:left="1416"/>
      </w:pPr>
      <w:r>
        <w:rPr/>
        <w:t>OBU</w:t>
        <w:tab/>
        <w:t>On-Board</w:t>
      </w:r>
      <w:r>
        <w:rPr>
          <w:spacing w:val="-6"/>
        </w:rPr>
        <w:t> </w:t>
      </w:r>
      <w:r>
        <w:rPr/>
        <w:t>Unit</w:t>
      </w:r>
    </w:p>
    <w:p>
      <w:pPr>
        <w:pStyle w:val="BodyText"/>
        <w:tabs>
          <w:tab w:pos="2834" w:val="left" w:leader="none"/>
        </w:tabs>
        <w:ind w:left="1416"/>
      </w:pPr>
      <w:r>
        <w:rPr/>
        <w:t>OS</w:t>
        <w:tab/>
        <w:t>Operating</w:t>
      </w:r>
      <w:r>
        <w:rPr>
          <w:spacing w:val="-7"/>
        </w:rPr>
        <w:t> </w:t>
      </w:r>
      <w:r>
        <w:rPr/>
        <w:t>System</w:t>
      </w:r>
    </w:p>
    <w:p>
      <w:pPr>
        <w:pStyle w:val="BodyText"/>
        <w:tabs>
          <w:tab w:pos="2834" w:val="left" w:leader="none"/>
        </w:tabs>
        <w:ind w:left="1416" w:right="3978"/>
      </w:pPr>
      <w:r>
        <w:rPr/>
        <w:t>PCS</w:t>
        <w:tab/>
        <w:t>Radio interface between two UEs, also known</w:t>
      </w:r>
      <w:r>
        <w:rPr>
          <w:spacing w:val="-15"/>
        </w:rPr>
        <w:t> </w:t>
      </w:r>
      <w:r>
        <w:rPr/>
        <w:t>as</w:t>
      </w:r>
      <w:r>
        <w:rPr>
          <w:spacing w:val="-2"/>
        </w:rPr>
        <w:t> </w:t>
      </w:r>
      <w:r>
        <w:rPr/>
        <w:t>Sidelink</w:t>
      </w:r>
      <w:r>
        <w:rPr>
          <w:w w:val="99"/>
        </w:rPr>
        <w:t> </w:t>
      </w:r>
      <w:r>
        <w:rPr/>
        <w:t>PER</w:t>
        <w:tab/>
        <w:t>Packet Error Rate</w:t>
      </w:r>
      <w:r>
        <w:rPr>
          <w:spacing w:val="-10"/>
        </w:rPr>
        <w:t> </w:t>
      </w:r>
      <w:r>
        <w:rPr/>
        <w:t>(%)</w:t>
      </w:r>
    </w:p>
    <w:p>
      <w:pPr>
        <w:pStyle w:val="BodyText"/>
        <w:tabs>
          <w:tab w:pos="2834" w:val="left" w:leader="none"/>
        </w:tabs>
        <w:spacing w:line="228" w:lineRule="exact"/>
        <w:ind w:left="1416"/>
      </w:pPr>
      <w:r>
        <w:rPr/>
        <w:t>PRB</w:t>
        <w:tab/>
        <w:t>Physical Resource</w:t>
      </w:r>
      <w:r>
        <w:rPr>
          <w:spacing w:val="-8"/>
        </w:rPr>
        <w:t> </w:t>
      </w:r>
      <w:r>
        <w:rPr/>
        <w:t>Block</w:t>
      </w:r>
    </w:p>
    <w:p>
      <w:pPr>
        <w:pStyle w:val="BodyText"/>
        <w:tabs>
          <w:tab w:pos="2834" w:val="left" w:leader="none"/>
        </w:tabs>
        <w:ind w:left="1416"/>
      </w:pPr>
      <w:r>
        <w:rPr/>
        <w:t>PRR</w:t>
        <w:tab/>
        <w:t>Packet Reception</w:t>
      </w:r>
      <w:r>
        <w:rPr>
          <w:spacing w:val="-7"/>
        </w:rPr>
        <w:t> </w:t>
      </w:r>
      <w:r>
        <w:rPr/>
        <w:t>Ratio</w:t>
      </w:r>
    </w:p>
    <w:p>
      <w:pPr>
        <w:pStyle w:val="BodyText"/>
        <w:tabs>
          <w:tab w:pos="2834" w:val="left" w:leader="none"/>
        </w:tabs>
        <w:ind w:left="1416" w:right="4871"/>
      </w:pPr>
      <w:r>
        <w:rPr/>
        <w:t>PSCCH</w:t>
        <w:tab/>
        <w:t>Physical Sidelink Control Channel (part</w:t>
      </w:r>
      <w:r>
        <w:rPr>
          <w:spacing w:val="-12"/>
        </w:rPr>
        <w:t> </w:t>
      </w:r>
      <w:r>
        <w:rPr/>
        <w:t>of</w:t>
      </w:r>
      <w:r>
        <w:rPr>
          <w:spacing w:val="-2"/>
        </w:rPr>
        <w:t> </w:t>
      </w:r>
      <w:r>
        <w:rPr/>
        <w:t>PC5)</w:t>
      </w:r>
      <w:r>
        <w:rPr>
          <w:w w:val="99"/>
        </w:rPr>
        <w:t> </w:t>
      </w:r>
      <w:r>
        <w:rPr/>
        <w:t>REF</w:t>
        <w:tab/>
        <w:t>Reference</w:t>
      </w:r>
      <w:r>
        <w:rPr>
          <w:spacing w:val="-8"/>
        </w:rPr>
        <w:t> </w:t>
      </w:r>
      <w:r>
        <w:rPr/>
        <w:t>Device</w:t>
      </w:r>
    </w:p>
    <w:p>
      <w:pPr>
        <w:pStyle w:val="BodyText"/>
        <w:tabs>
          <w:tab w:pos="2834" w:val="left" w:leader="none"/>
        </w:tabs>
        <w:ind w:left="1416"/>
      </w:pPr>
      <w:r>
        <w:rPr/>
        <w:t>RBs</w:t>
        <w:tab/>
        <w:t>Resource</w:t>
      </w:r>
      <w:r>
        <w:rPr>
          <w:spacing w:val="-3"/>
        </w:rPr>
        <w:t> </w:t>
      </w:r>
      <w:r>
        <w:rPr/>
        <w:t>Blocks</w:t>
      </w:r>
    </w:p>
    <w:p>
      <w:pPr>
        <w:pStyle w:val="BodyText"/>
        <w:tabs>
          <w:tab w:pos="2834" w:val="left" w:leader="none"/>
        </w:tabs>
        <w:ind w:left="1416" w:right="6106"/>
      </w:pPr>
      <w:r>
        <w:rPr/>
        <w:t>RSS/RSSI</w:t>
        <w:tab/>
        <w:t>Receive Signal</w:t>
      </w:r>
      <w:r>
        <w:rPr>
          <w:spacing w:val="-9"/>
        </w:rPr>
        <w:t> </w:t>
      </w:r>
      <w:r>
        <w:rPr/>
        <w:t>Strength</w:t>
      </w:r>
      <w:r>
        <w:rPr>
          <w:spacing w:val="-6"/>
        </w:rPr>
        <w:t> </w:t>
      </w:r>
      <w:r>
        <w:rPr/>
        <w:t>Indicator</w:t>
      </w:r>
      <w:r>
        <w:rPr>
          <w:w w:val="99"/>
        </w:rPr>
        <w:t> </w:t>
      </w:r>
      <w:r>
        <w:rPr/>
        <w:t>Rx</w:t>
        <w:tab/>
        <w:t>Receiver</w:t>
      </w:r>
    </w:p>
    <w:p>
      <w:pPr>
        <w:pStyle w:val="BodyText"/>
        <w:tabs>
          <w:tab w:pos="2834" w:val="left" w:leader="none"/>
        </w:tabs>
        <w:ind w:left="1416"/>
      </w:pPr>
      <w:r>
        <w:rPr/>
        <w:t>SA</w:t>
        <w:tab/>
        <w:t>Spectrum</w:t>
      </w:r>
      <w:r>
        <w:rPr>
          <w:spacing w:val="-8"/>
        </w:rPr>
        <w:t> </w:t>
      </w:r>
      <w:r>
        <w:rPr/>
        <w:t>Analyzer</w:t>
      </w:r>
    </w:p>
    <w:p>
      <w:pPr>
        <w:pStyle w:val="BodyText"/>
        <w:tabs>
          <w:tab w:pos="2834" w:val="left" w:leader="none"/>
        </w:tabs>
        <w:ind w:left="1416"/>
      </w:pPr>
      <w:r>
        <w:rPr/>
        <w:t>SAE</w:t>
        <w:tab/>
        <w:t>Society of Automotive</w:t>
      </w:r>
      <w:r>
        <w:rPr>
          <w:spacing w:val="-11"/>
        </w:rPr>
        <w:t> </w:t>
      </w:r>
      <w:r>
        <w:rPr/>
        <w:t>Engineers</w:t>
      </w:r>
    </w:p>
    <w:p>
      <w:pPr>
        <w:pStyle w:val="BodyText"/>
        <w:tabs>
          <w:tab w:pos="2834" w:val="left" w:leader="none"/>
        </w:tabs>
        <w:ind w:left="1416"/>
      </w:pPr>
      <w:r>
        <w:rPr/>
        <w:t>SG</w:t>
        <w:tab/>
        <w:t>Signal</w:t>
      </w:r>
      <w:r>
        <w:rPr>
          <w:spacing w:val="-8"/>
        </w:rPr>
        <w:t> </w:t>
      </w:r>
      <w:r>
        <w:rPr/>
        <w:t>Generator</w:t>
      </w:r>
    </w:p>
    <w:p>
      <w:pPr>
        <w:pStyle w:val="BodyText"/>
        <w:tabs>
          <w:tab w:pos="2834" w:val="left" w:leader="none"/>
        </w:tabs>
        <w:spacing w:line="229" w:lineRule="exact"/>
        <w:ind w:left="1416"/>
      </w:pPr>
      <w:r>
        <w:rPr/>
        <w:t>SNR</w:t>
        <w:tab/>
        <w:t>Signal-to-Noise</w:t>
      </w:r>
      <w:r>
        <w:rPr>
          <w:spacing w:val="-10"/>
        </w:rPr>
        <w:t> </w:t>
      </w:r>
      <w:r>
        <w:rPr/>
        <w:t>Ratio</w:t>
      </w:r>
    </w:p>
    <w:p>
      <w:pPr>
        <w:pStyle w:val="BodyText"/>
        <w:tabs>
          <w:tab w:pos="2834" w:val="left" w:leader="none"/>
        </w:tabs>
        <w:spacing w:line="229" w:lineRule="exact"/>
        <w:ind w:left="1416"/>
      </w:pPr>
      <w:r>
        <w:rPr/>
        <w:t>S-RSSI</w:t>
        <w:tab/>
        <w:t>Sidelink</w:t>
      </w:r>
      <w:r>
        <w:rPr>
          <w:spacing w:val="-5"/>
        </w:rPr>
        <w:t> </w:t>
      </w:r>
      <w:r>
        <w:rPr/>
        <w:t>RSSI</w:t>
      </w:r>
    </w:p>
    <w:p>
      <w:pPr>
        <w:pStyle w:val="BodyText"/>
        <w:tabs>
          <w:tab w:pos="2834" w:val="left" w:leader="none"/>
        </w:tabs>
        <w:ind w:left="1416"/>
      </w:pPr>
      <w:r>
        <w:rPr/>
        <w:t>SPS</w:t>
        <w:tab/>
        <w:t>Semi-Persistent</w:t>
      </w:r>
      <w:r>
        <w:rPr>
          <w:spacing w:val="-7"/>
        </w:rPr>
        <w:t> </w:t>
      </w:r>
      <w:r>
        <w:rPr/>
        <w:t>Scheduling</w:t>
      </w:r>
    </w:p>
    <w:p>
      <w:pPr>
        <w:pStyle w:val="BodyText"/>
        <w:tabs>
          <w:tab w:pos="2834" w:val="left" w:leader="none"/>
        </w:tabs>
        <w:ind w:left="1416"/>
      </w:pPr>
      <w:r>
        <w:rPr/>
        <w:t>SV</w:t>
        <w:tab/>
        <w:t>Stationary</w:t>
      </w:r>
      <w:r>
        <w:rPr>
          <w:spacing w:val="-7"/>
        </w:rPr>
        <w:t> </w:t>
      </w:r>
      <w:r>
        <w:rPr/>
        <w:t>Vehicle</w:t>
      </w:r>
    </w:p>
    <w:p>
      <w:pPr>
        <w:pStyle w:val="BodyText"/>
        <w:tabs>
          <w:tab w:pos="2834" w:val="left" w:leader="none"/>
        </w:tabs>
        <w:ind w:left="1416"/>
      </w:pPr>
      <w:r>
        <w:rPr/>
        <w:t>TTI</w:t>
        <w:tab/>
        <w:t>Transmission Time Interval in</w:t>
      </w:r>
      <w:r>
        <w:rPr>
          <w:spacing w:val="-14"/>
        </w:rPr>
        <w:t> </w:t>
      </w:r>
      <w:r>
        <w:rPr/>
        <w:t>3GPP</w:t>
      </w:r>
    </w:p>
    <w:p>
      <w:pPr>
        <w:pStyle w:val="BodyText"/>
        <w:tabs>
          <w:tab w:pos="2834" w:val="left" w:leader="none"/>
        </w:tabs>
        <w:ind w:left="1416"/>
      </w:pPr>
      <w:r>
        <w:rPr/>
        <w:t>Tx</w:t>
        <w:tab/>
        <w:t>Transmitter</w:t>
      </w:r>
    </w:p>
    <w:p>
      <w:pPr>
        <w:pStyle w:val="BodyText"/>
        <w:tabs>
          <w:tab w:pos="2834" w:val="left" w:leader="none"/>
        </w:tabs>
        <w:spacing w:line="229" w:lineRule="exact"/>
        <w:ind w:left="1416"/>
      </w:pPr>
      <w:r>
        <w:rPr/>
        <w:t>UE</w:t>
        <w:tab/>
        <w:t>User Equipment (device in 3GPP</w:t>
      </w:r>
      <w:r>
        <w:rPr>
          <w:spacing w:val="-8"/>
        </w:rPr>
        <w:t> </w:t>
      </w:r>
      <w:r>
        <w:rPr/>
        <w:t>system)</w:t>
      </w:r>
    </w:p>
    <w:p>
      <w:pPr>
        <w:pStyle w:val="BodyText"/>
        <w:tabs>
          <w:tab w:pos="2834" w:val="left" w:leader="none"/>
        </w:tabs>
        <w:ind w:left="1416" w:right="4994"/>
      </w:pPr>
      <w:r>
        <w:rPr/>
        <w:t>U-NII</w:t>
        <w:tab/>
        <w:t>Unlicensed-National</w:t>
      </w:r>
      <w:r>
        <w:rPr>
          <w:spacing w:val="-8"/>
        </w:rPr>
        <w:t> </w:t>
      </w:r>
      <w:r>
        <w:rPr/>
        <w:t>Information</w:t>
      </w:r>
      <w:r>
        <w:rPr>
          <w:spacing w:val="-7"/>
        </w:rPr>
        <w:t> </w:t>
      </w:r>
      <w:r>
        <w:rPr/>
        <w:t>Infrastructure</w:t>
      </w:r>
      <w:r>
        <w:rPr>
          <w:w w:val="99"/>
        </w:rPr>
        <w:t> </w:t>
      </w:r>
      <w:r>
        <w:rPr/>
        <w:t>V2I</w:t>
        <w:tab/>
        <w:t>Vehicle-to-Infrastructure</w:t>
      </w:r>
    </w:p>
    <w:p>
      <w:pPr>
        <w:pStyle w:val="BodyText"/>
        <w:tabs>
          <w:tab w:pos="2834" w:val="left" w:leader="none"/>
        </w:tabs>
        <w:spacing w:before="1"/>
        <w:ind w:left="1416"/>
      </w:pPr>
      <w:r>
        <w:rPr/>
        <w:t>V2N</w:t>
        <w:tab/>
        <w:t>Vehicle-to-Network</w:t>
      </w:r>
    </w:p>
    <w:p>
      <w:pPr>
        <w:pStyle w:val="BodyText"/>
        <w:tabs>
          <w:tab w:pos="2834" w:val="left" w:leader="none"/>
        </w:tabs>
        <w:ind w:left="1416"/>
      </w:pPr>
      <w:r>
        <w:rPr/>
        <w:t>V2V</w:t>
        <w:tab/>
        <w:t>Vehicle-to-Vehicle</w:t>
      </w:r>
    </w:p>
    <w:p>
      <w:pPr>
        <w:pStyle w:val="BodyText"/>
        <w:tabs>
          <w:tab w:pos="2834" w:val="left" w:leader="none"/>
        </w:tabs>
        <w:spacing w:before="1"/>
        <w:ind w:left="1416"/>
      </w:pPr>
      <w:r>
        <w:rPr/>
        <w:t>V2X</w:t>
        <w:tab/>
        <w:t>Vehicle-to-Everything</w:t>
      </w:r>
    </w:p>
    <w:p>
      <w:pPr>
        <w:spacing w:after="0"/>
        <w:sectPr>
          <w:headerReference w:type="default" r:id="rId122"/>
          <w:pgSz w:w="11910" w:h="16850"/>
          <w:pgMar w:header="852" w:footer="979" w:top="1040" w:bottom="1160" w:left="0" w:right="0"/>
        </w:sectPr>
      </w:pPr>
    </w:p>
    <w:p>
      <w:pPr>
        <w:pStyle w:val="BodyText"/>
      </w:pPr>
    </w:p>
    <w:p>
      <w:pPr>
        <w:pStyle w:val="BodyText"/>
        <w:spacing w:before="6"/>
        <w:rPr>
          <w:sz w:val="11"/>
        </w:rPr>
      </w:pPr>
    </w:p>
    <w:p>
      <w:pPr>
        <w:pStyle w:val="BodyText"/>
        <w:spacing w:line="29" w:lineRule="exact"/>
        <w:ind w:left="1089"/>
        <w:rPr>
          <w:sz w:val="2"/>
        </w:rPr>
      </w:pPr>
      <w:r>
        <w:rPr>
          <w:position w:val="0"/>
          <w:sz w:val="2"/>
        </w:rPr>
        <w:pict>
          <v:group style="width:486.5pt;height:1.45pt;mso-position-horizontal-relative:char;mso-position-vertical-relative:line" coordorigin="0,0" coordsize="9730,29">
            <v:line style="position:absolute" from="15,15" to="9715,15" stroked="true" strokeweight="1.44pt" strokecolor="#000000">
              <v:stroke dashstyle="solid"/>
            </v:line>
          </v:group>
        </w:pict>
      </w:r>
      <w:r>
        <w:rPr>
          <w:position w:val="0"/>
          <w:sz w:val="2"/>
        </w:rPr>
      </w:r>
    </w:p>
    <w:p>
      <w:pPr>
        <w:pStyle w:val="Heading1"/>
        <w:numPr>
          <w:ilvl w:val="0"/>
          <w:numId w:val="13"/>
        </w:numPr>
        <w:tabs>
          <w:tab w:pos="2265" w:val="left" w:leader="none"/>
          <w:tab w:pos="2266" w:val="left" w:leader="none"/>
        </w:tabs>
        <w:spacing w:line="240" w:lineRule="auto" w:before="56" w:after="0"/>
        <w:ind w:left="2265" w:right="0" w:hanging="1132"/>
        <w:jc w:val="left"/>
      </w:pPr>
      <w:bookmarkStart w:name="_bookmark103" w:id="137"/>
      <w:bookmarkEnd w:id="137"/>
      <w:r>
        <w:rPr/>
      </w:r>
      <w:bookmarkStart w:name="_bookmark103" w:id="138"/>
      <w:bookmarkEnd w:id="138"/>
      <w:r>
        <w:rPr/>
        <w:t>E</w:t>
      </w:r>
      <w:r>
        <w:rPr/>
        <w:t>xecutive</w:t>
      </w:r>
      <w:r>
        <w:rPr>
          <w:spacing w:val="-3"/>
        </w:rPr>
        <w:t> </w:t>
      </w:r>
      <w:r>
        <w:rPr/>
        <w:t>Summary</w:t>
      </w:r>
    </w:p>
    <w:p>
      <w:pPr>
        <w:pStyle w:val="BodyText"/>
        <w:spacing w:before="6"/>
        <w:rPr>
          <w:sz w:val="23"/>
        </w:rPr>
      </w:pPr>
    </w:p>
    <w:p>
      <w:pPr>
        <w:pStyle w:val="Heading2"/>
        <w:numPr>
          <w:ilvl w:val="1"/>
          <w:numId w:val="14"/>
        </w:numPr>
        <w:tabs>
          <w:tab w:pos="2267" w:val="left" w:leader="none"/>
        </w:tabs>
        <w:spacing w:line="240" w:lineRule="auto" w:before="89" w:after="0"/>
        <w:ind w:left="2266" w:right="0" w:hanging="1133"/>
        <w:jc w:val="both"/>
      </w:pPr>
      <w:bookmarkStart w:name="_bookmark104" w:id="139"/>
      <w:bookmarkEnd w:id="139"/>
      <w:r>
        <w:rPr/>
      </w:r>
      <w:bookmarkStart w:name="_bookmark104" w:id="140"/>
      <w:bookmarkEnd w:id="140"/>
      <w:r>
        <w:rPr/>
        <w:t>Introducti</w:t>
      </w:r>
      <w:r>
        <w:rPr/>
        <w:t>on</w:t>
      </w:r>
    </w:p>
    <w:p>
      <w:pPr>
        <w:pStyle w:val="BodyText"/>
        <w:spacing w:before="180"/>
        <w:ind w:left="1133" w:right="1127"/>
        <w:jc w:val="both"/>
      </w:pPr>
      <w:r>
        <w:rPr/>
        <w:t>This</w:t>
      </w:r>
      <w:r>
        <w:rPr>
          <w:spacing w:val="-7"/>
        </w:rPr>
        <w:t> </w:t>
      </w:r>
      <w:r>
        <w:rPr/>
        <w:t>report</w:t>
      </w:r>
      <w:r>
        <w:rPr>
          <w:spacing w:val="-7"/>
        </w:rPr>
        <w:t> </w:t>
      </w:r>
      <w:r>
        <w:rPr/>
        <w:t>describes</w:t>
      </w:r>
      <w:r>
        <w:rPr>
          <w:spacing w:val="-7"/>
        </w:rPr>
        <w:t> </w:t>
      </w:r>
      <w:r>
        <w:rPr/>
        <w:t>the</w:t>
      </w:r>
      <w:r>
        <w:rPr>
          <w:spacing w:val="-6"/>
        </w:rPr>
        <w:t> </w:t>
      </w:r>
      <w:r>
        <w:rPr/>
        <w:t>results</w:t>
      </w:r>
      <w:r>
        <w:rPr>
          <w:spacing w:val="-7"/>
        </w:rPr>
        <w:t> </w:t>
      </w:r>
      <w:r>
        <w:rPr/>
        <w:t>of</w:t>
      </w:r>
      <w:r>
        <w:rPr>
          <w:spacing w:val="-6"/>
        </w:rPr>
        <w:t> </w:t>
      </w:r>
      <w:r>
        <w:rPr/>
        <w:t>tests</w:t>
      </w:r>
      <w:r>
        <w:rPr>
          <w:spacing w:val="-4"/>
        </w:rPr>
        <w:t> </w:t>
      </w:r>
      <w:r>
        <w:rPr/>
        <w:t>designed</w:t>
      </w:r>
      <w:r>
        <w:rPr>
          <w:spacing w:val="-8"/>
        </w:rPr>
        <w:t> </w:t>
      </w:r>
      <w:r>
        <w:rPr/>
        <w:t>to</w:t>
      </w:r>
      <w:r>
        <w:rPr>
          <w:spacing w:val="-8"/>
        </w:rPr>
        <w:t> </w:t>
      </w:r>
      <w:r>
        <w:rPr/>
        <w:t>objectively</w:t>
      </w:r>
      <w:r>
        <w:rPr>
          <w:spacing w:val="-9"/>
        </w:rPr>
        <w:t> </w:t>
      </w:r>
      <w:r>
        <w:rPr/>
        <w:t>assess</w:t>
      </w:r>
      <w:r>
        <w:rPr>
          <w:spacing w:val="-7"/>
        </w:rPr>
        <w:t> </w:t>
      </w:r>
      <w:r>
        <w:rPr/>
        <w:t>and</w:t>
      </w:r>
      <w:r>
        <w:rPr>
          <w:spacing w:val="-6"/>
        </w:rPr>
        <w:t> </w:t>
      </w:r>
      <w:r>
        <w:rPr/>
        <w:t>compare</w:t>
      </w:r>
      <w:r>
        <w:rPr>
          <w:spacing w:val="-7"/>
        </w:rPr>
        <w:t> </w:t>
      </w:r>
      <w:r>
        <w:rPr/>
        <w:t>DSRC</w:t>
      </w:r>
      <w:r>
        <w:rPr>
          <w:spacing w:val="-5"/>
        </w:rPr>
        <w:t> </w:t>
      </w:r>
      <w:r>
        <w:rPr/>
        <w:t>and</w:t>
      </w:r>
      <w:r>
        <w:rPr>
          <w:spacing w:val="-8"/>
        </w:rPr>
        <w:t> </w:t>
      </w:r>
      <w:r>
        <w:rPr/>
        <w:t>Cellular</w:t>
      </w:r>
      <w:r>
        <w:rPr>
          <w:spacing w:val="-5"/>
        </w:rPr>
        <w:t> </w:t>
      </w:r>
      <w:r>
        <w:rPr/>
        <w:t>V2X (C-V2X) radio technologies for their suitability to deliver broadcast V2V safety messages. Many of the test results described in this report are traceable to the comprehensive test plan developed within 5GAA </w:t>
      </w:r>
      <w:r>
        <w:rPr>
          <w:sz w:val="22"/>
        </w:rPr>
        <w:t>(5GAA, March 2018)</w:t>
      </w:r>
      <w:r>
        <w:rPr/>
        <w:t>. Furthermore, several other tests were derived from that test plan to examine the effects of congestion control and interfering devices. In all instances, the test methodologies are either from the 5GAA test plan or are documented in this report. Therefore, between this document and the 5GAA test plan, the methodology is available to allow other parties to examine the procedures, understand their suitability, and to be able to reproduce and corroborate the</w:t>
      </w:r>
      <w:r>
        <w:rPr>
          <w:spacing w:val="-15"/>
        </w:rPr>
        <w:t> </w:t>
      </w:r>
      <w:r>
        <w:rPr/>
        <w:t>results.</w:t>
      </w:r>
    </w:p>
    <w:p>
      <w:pPr>
        <w:pStyle w:val="BodyText"/>
        <w:spacing w:before="180"/>
        <w:ind w:left="1133" w:right="1128"/>
        <w:jc w:val="both"/>
      </w:pPr>
      <w:r>
        <w:rPr/>
        <w:t>Reliable and timely radio performance is a crucial requirement that the transportation safety stakeholder community, including vehicle manufacturers, road infrastructure owner-operators, standardization bodies and regulators depend on to deliver critical safety applications. The test results reported here are intended to provide</w:t>
      </w:r>
      <w:r>
        <w:rPr>
          <w:spacing w:val="-8"/>
        </w:rPr>
        <w:t> </w:t>
      </w:r>
      <w:r>
        <w:rPr/>
        <w:t>this</w:t>
      </w:r>
      <w:r>
        <w:rPr>
          <w:spacing w:val="-8"/>
        </w:rPr>
        <w:t> </w:t>
      </w:r>
      <w:r>
        <w:rPr/>
        <w:t>community</w:t>
      </w:r>
      <w:r>
        <w:rPr>
          <w:spacing w:val="-10"/>
        </w:rPr>
        <w:t> </w:t>
      </w:r>
      <w:r>
        <w:rPr/>
        <w:t>with</w:t>
      </w:r>
      <w:r>
        <w:rPr>
          <w:spacing w:val="-7"/>
        </w:rPr>
        <w:t> </w:t>
      </w:r>
      <w:r>
        <w:rPr/>
        <w:t>an</w:t>
      </w:r>
      <w:r>
        <w:rPr>
          <w:spacing w:val="-7"/>
        </w:rPr>
        <w:t> </w:t>
      </w:r>
      <w:r>
        <w:rPr/>
        <w:t>informed</w:t>
      </w:r>
      <w:r>
        <w:rPr>
          <w:spacing w:val="-10"/>
        </w:rPr>
        <w:t> </w:t>
      </w:r>
      <w:r>
        <w:rPr/>
        <w:t>basis</w:t>
      </w:r>
      <w:r>
        <w:rPr>
          <w:spacing w:val="-8"/>
        </w:rPr>
        <w:t> </w:t>
      </w:r>
      <w:r>
        <w:rPr/>
        <w:t>for</w:t>
      </w:r>
      <w:r>
        <w:rPr>
          <w:spacing w:val="-11"/>
        </w:rPr>
        <w:t> </w:t>
      </w:r>
      <w:r>
        <w:rPr/>
        <w:t>making</w:t>
      </w:r>
      <w:r>
        <w:rPr>
          <w:spacing w:val="-10"/>
        </w:rPr>
        <w:t> </w:t>
      </w:r>
      <w:r>
        <w:rPr/>
        <w:t>important</w:t>
      </w:r>
      <w:r>
        <w:rPr>
          <w:spacing w:val="-7"/>
        </w:rPr>
        <w:t> </w:t>
      </w:r>
      <w:r>
        <w:rPr/>
        <w:t>decisions</w:t>
      </w:r>
      <w:r>
        <w:rPr>
          <w:spacing w:val="-6"/>
        </w:rPr>
        <w:t> </w:t>
      </w:r>
      <w:r>
        <w:rPr/>
        <w:t>on</w:t>
      </w:r>
      <w:r>
        <w:rPr>
          <w:spacing w:val="-10"/>
        </w:rPr>
        <w:t> </w:t>
      </w:r>
      <w:r>
        <w:rPr/>
        <w:t>the</w:t>
      </w:r>
      <w:r>
        <w:rPr>
          <w:spacing w:val="-10"/>
        </w:rPr>
        <w:t> </w:t>
      </w:r>
      <w:r>
        <w:rPr/>
        <w:t>choice</w:t>
      </w:r>
      <w:r>
        <w:rPr>
          <w:spacing w:val="-9"/>
        </w:rPr>
        <w:t> </w:t>
      </w:r>
      <w:r>
        <w:rPr/>
        <w:t>of the</w:t>
      </w:r>
      <w:r>
        <w:rPr>
          <w:spacing w:val="-9"/>
        </w:rPr>
        <w:t> </w:t>
      </w:r>
      <w:r>
        <w:rPr/>
        <w:t>air</w:t>
      </w:r>
      <w:r>
        <w:rPr>
          <w:spacing w:val="-8"/>
        </w:rPr>
        <w:t> </w:t>
      </w:r>
      <w:r>
        <w:rPr/>
        <w:t>interface to deliver standardized messages (e.g., Basic Safety Message or BSM). Therefore, great care was taken in the</w:t>
      </w:r>
      <w:r>
        <w:rPr>
          <w:spacing w:val="-6"/>
        </w:rPr>
        <w:t> </w:t>
      </w:r>
      <w:r>
        <w:rPr/>
        <w:t>design,</w:t>
      </w:r>
      <w:r>
        <w:rPr>
          <w:spacing w:val="-6"/>
        </w:rPr>
        <w:t> </w:t>
      </w:r>
      <w:r>
        <w:rPr/>
        <w:t>setup</w:t>
      </w:r>
      <w:r>
        <w:rPr>
          <w:spacing w:val="-3"/>
        </w:rPr>
        <w:t> </w:t>
      </w:r>
      <w:r>
        <w:rPr/>
        <w:t>and</w:t>
      </w:r>
      <w:r>
        <w:rPr>
          <w:spacing w:val="-3"/>
        </w:rPr>
        <w:t> </w:t>
      </w:r>
      <w:r>
        <w:rPr/>
        <w:t>execution</w:t>
      </w:r>
      <w:r>
        <w:rPr>
          <w:spacing w:val="-6"/>
        </w:rPr>
        <w:t> </w:t>
      </w:r>
      <w:r>
        <w:rPr/>
        <w:t>of</w:t>
      </w:r>
      <w:r>
        <w:rPr>
          <w:spacing w:val="-4"/>
        </w:rPr>
        <w:t> </w:t>
      </w:r>
      <w:r>
        <w:rPr/>
        <w:t>each</w:t>
      </w:r>
      <w:r>
        <w:rPr>
          <w:spacing w:val="-6"/>
        </w:rPr>
        <w:t> </w:t>
      </w:r>
      <w:r>
        <w:rPr/>
        <w:t>experiment</w:t>
      </w:r>
      <w:r>
        <w:rPr>
          <w:spacing w:val="-5"/>
        </w:rPr>
        <w:t> </w:t>
      </w:r>
      <w:r>
        <w:rPr/>
        <w:t>to</w:t>
      </w:r>
      <w:r>
        <w:rPr>
          <w:spacing w:val="-4"/>
        </w:rPr>
        <w:t> </w:t>
      </w:r>
      <w:r>
        <w:rPr/>
        <w:t>ensure</w:t>
      </w:r>
      <w:r>
        <w:rPr>
          <w:spacing w:val="-3"/>
        </w:rPr>
        <w:t> </w:t>
      </w:r>
      <w:r>
        <w:rPr/>
        <w:t>that</w:t>
      </w:r>
      <w:r>
        <w:rPr>
          <w:spacing w:val="-3"/>
        </w:rPr>
        <w:t> </w:t>
      </w:r>
      <w:r>
        <w:rPr/>
        <w:t>environmental</w:t>
      </w:r>
      <w:r>
        <w:rPr>
          <w:spacing w:val="-4"/>
        </w:rPr>
        <w:t> </w:t>
      </w:r>
      <w:r>
        <w:rPr/>
        <w:t>conditions</w:t>
      </w:r>
      <w:r>
        <w:rPr>
          <w:spacing w:val="-5"/>
        </w:rPr>
        <w:t> </w:t>
      </w:r>
      <w:r>
        <w:rPr/>
        <w:t>(weather,</w:t>
      </w:r>
      <w:r>
        <w:rPr>
          <w:spacing w:val="-5"/>
        </w:rPr>
        <w:t> </w:t>
      </w:r>
      <w:r>
        <w:rPr/>
        <w:t>time</w:t>
      </w:r>
      <w:r>
        <w:rPr>
          <w:spacing w:val="-6"/>
        </w:rPr>
        <w:t> </w:t>
      </w:r>
      <w:r>
        <w:rPr/>
        <w:t>of day, temperature), RF parameters (antennas, power, cables), system integration details, and physical setup (track, obstructions, antenna placement) were consistent when comparing DSRC and</w:t>
      </w:r>
      <w:r>
        <w:rPr>
          <w:spacing w:val="-20"/>
        </w:rPr>
        <w:t> </w:t>
      </w:r>
      <w:r>
        <w:rPr/>
        <w:t>C-V2X.</w:t>
      </w:r>
    </w:p>
    <w:p>
      <w:pPr>
        <w:pStyle w:val="BodyText"/>
        <w:spacing w:before="180"/>
        <w:ind w:left="1133" w:right="1131"/>
        <w:jc w:val="both"/>
      </w:pPr>
      <w:r>
        <w:rPr/>
        <w:t>The V2V radio performance tests were conducted over a period spanning six months from March through September 2018. The tests included both laboratory and field components. During initial field testing on two automotive test tracks, significant interference was discovered in the ITS band (CH172) coming from devices transmitting in the U-NII-3 band (5.725-5.850 MHz). These tests were redone using the upper portion of the ITS band (CH184). The comparative results from CH184 were consistent with the initial CH172 tests.</w:t>
      </w:r>
    </w:p>
    <w:p>
      <w:pPr>
        <w:pStyle w:val="Heading3"/>
        <w:spacing w:before="180"/>
        <w:ind w:left="1133" w:firstLine="0"/>
      </w:pPr>
      <w:r>
        <w:rPr/>
        <w:t>Key Takeaways</w:t>
      </w:r>
    </w:p>
    <w:p>
      <w:pPr>
        <w:pStyle w:val="BodyText"/>
        <w:spacing w:before="180"/>
        <w:ind w:left="1133"/>
        <w:jc w:val="both"/>
      </w:pPr>
      <w:r>
        <w:rPr/>
        <w:t>We make the following observations based on the laboratory and field test results contained in this report.</w:t>
      </w:r>
    </w:p>
    <w:p>
      <w:pPr>
        <w:pStyle w:val="BodyText"/>
        <w:rPr>
          <w:sz w:val="22"/>
        </w:rPr>
      </w:pPr>
    </w:p>
    <w:p>
      <w:pPr>
        <w:pStyle w:val="BodyText"/>
        <w:rPr>
          <w:sz w:val="22"/>
        </w:rPr>
      </w:pPr>
    </w:p>
    <w:p>
      <w:pPr>
        <w:pStyle w:val="BodyText"/>
        <w:spacing w:before="8"/>
        <w:rPr>
          <w:sz w:val="17"/>
        </w:rPr>
      </w:pPr>
    </w:p>
    <w:p>
      <w:pPr>
        <w:pStyle w:val="Heading3"/>
        <w:numPr>
          <w:ilvl w:val="2"/>
          <w:numId w:val="14"/>
        </w:numPr>
        <w:tabs>
          <w:tab w:pos="2267" w:val="left" w:leader="none"/>
        </w:tabs>
        <w:spacing w:line="240" w:lineRule="auto" w:before="0" w:after="0"/>
        <w:ind w:left="2266" w:right="0" w:hanging="1133"/>
        <w:jc w:val="both"/>
      </w:pPr>
      <w:bookmarkStart w:name="_bookmark105" w:id="141"/>
      <w:bookmarkEnd w:id="141"/>
      <w:r>
        <w:rPr/>
      </w:r>
      <w:bookmarkStart w:name="_bookmark105" w:id="142"/>
      <w:bookmarkEnd w:id="142"/>
      <w:r>
        <w:rPr/>
        <w:t>R</w:t>
      </w:r>
      <w:r>
        <w:rPr/>
        <w:t>eliability</w:t>
      </w:r>
    </w:p>
    <w:p>
      <w:pPr>
        <w:pStyle w:val="BodyText"/>
        <w:spacing w:before="179"/>
        <w:ind w:left="1133" w:right="1127"/>
        <w:jc w:val="both"/>
      </w:pPr>
      <w:r>
        <w:rPr/>
        <w:t>While test results confirm that in ideal conditions, i.e., line of sight RF propagation with no interference and strong received signal level, both V2X technologies reliably deliver BSM payload sizes of 193 bytes with the low end-to-end latencies necessary for vehicular safety applications, test results also reveal a significant reliability performance advantage of C-V2X over DSRC. The observed performance advantage is even more significant in non-ideal scenarios. Non-ideal scenarios that were systematically tested included non-line-of- sight (NLOS) conditions involving fixed and moving obstructions, adjacent and near adjacent channel interference and congestion. These non-ideal scenarios represent real-world vehicular traffic scenarios that must</w:t>
      </w:r>
      <w:r>
        <w:rPr>
          <w:spacing w:val="-5"/>
        </w:rPr>
        <w:t> </w:t>
      </w:r>
      <w:r>
        <w:rPr/>
        <w:t>be</w:t>
      </w:r>
      <w:r>
        <w:rPr>
          <w:spacing w:val="-5"/>
        </w:rPr>
        <w:t> </w:t>
      </w:r>
      <w:r>
        <w:rPr/>
        <w:t>included</w:t>
      </w:r>
      <w:r>
        <w:rPr>
          <w:spacing w:val="-6"/>
        </w:rPr>
        <w:t> </w:t>
      </w:r>
      <w:r>
        <w:rPr/>
        <w:t>in</w:t>
      </w:r>
      <w:r>
        <w:rPr>
          <w:spacing w:val="-6"/>
        </w:rPr>
        <w:t> </w:t>
      </w:r>
      <w:r>
        <w:rPr/>
        <w:t>the</w:t>
      </w:r>
      <w:r>
        <w:rPr>
          <w:spacing w:val="-6"/>
        </w:rPr>
        <w:t> </w:t>
      </w:r>
      <w:r>
        <w:rPr/>
        <w:t>analysis</w:t>
      </w:r>
      <w:r>
        <w:rPr>
          <w:spacing w:val="-4"/>
        </w:rPr>
        <w:t> </w:t>
      </w:r>
      <w:r>
        <w:rPr/>
        <w:t>to</w:t>
      </w:r>
      <w:r>
        <w:rPr>
          <w:spacing w:val="-6"/>
        </w:rPr>
        <w:t> </w:t>
      </w:r>
      <w:r>
        <w:rPr/>
        <w:t>facilitate</w:t>
      </w:r>
      <w:r>
        <w:rPr>
          <w:spacing w:val="-6"/>
        </w:rPr>
        <w:t> </w:t>
      </w:r>
      <w:r>
        <w:rPr/>
        <w:t>informed</w:t>
      </w:r>
      <w:r>
        <w:rPr>
          <w:spacing w:val="-6"/>
        </w:rPr>
        <w:t> </w:t>
      </w:r>
      <w:r>
        <w:rPr/>
        <w:t>decision</w:t>
      </w:r>
      <w:r>
        <w:rPr>
          <w:spacing w:val="-6"/>
        </w:rPr>
        <w:t> </w:t>
      </w:r>
      <w:r>
        <w:rPr/>
        <w:t>making.</w:t>
      </w:r>
      <w:r>
        <w:rPr>
          <w:spacing w:val="-5"/>
        </w:rPr>
        <w:t> </w:t>
      </w:r>
      <w:r>
        <w:rPr/>
        <w:t>In</w:t>
      </w:r>
      <w:r>
        <w:rPr>
          <w:spacing w:val="-6"/>
        </w:rPr>
        <w:t> </w:t>
      </w:r>
      <w:r>
        <w:rPr/>
        <w:t>short,</w:t>
      </w:r>
      <w:r>
        <w:rPr>
          <w:spacing w:val="-6"/>
        </w:rPr>
        <w:t> </w:t>
      </w:r>
      <w:r>
        <w:rPr/>
        <w:t>test</w:t>
      </w:r>
      <w:r>
        <w:rPr>
          <w:spacing w:val="-5"/>
        </w:rPr>
        <w:t> </w:t>
      </w:r>
      <w:r>
        <w:rPr/>
        <w:t>results</w:t>
      </w:r>
      <w:r>
        <w:rPr>
          <w:spacing w:val="-4"/>
        </w:rPr>
        <w:t> </w:t>
      </w:r>
      <w:r>
        <w:rPr/>
        <w:t>indicate</w:t>
      </w:r>
      <w:r>
        <w:rPr>
          <w:spacing w:val="-6"/>
        </w:rPr>
        <w:t> </w:t>
      </w:r>
      <w:r>
        <w:rPr/>
        <w:t>that</w:t>
      </w:r>
      <w:r>
        <w:rPr>
          <w:spacing w:val="-5"/>
        </w:rPr>
        <w:t> </w:t>
      </w:r>
      <w:r>
        <w:rPr/>
        <w:t>in</w:t>
      </w:r>
      <w:r>
        <w:rPr>
          <w:spacing w:val="-6"/>
        </w:rPr>
        <w:t> </w:t>
      </w:r>
      <w:r>
        <w:rPr/>
        <w:t>the presence</w:t>
      </w:r>
      <w:r>
        <w:rPr>
          <w:spacing w:val="-8"/>
        </w:rPr>
        <w:t> </w:t>
      </w:r>
      <w:r>
        <w:rPr/>
        <w:t>of</w:t>
      </w:r>
      <w:r>
        <w:rPr>
          <w:spacing w:val="-6"/>
        </w:rPr>
        <w:t> </w:t>
      </w:r>
      <w:r>
        <w:rPr/>
        <w:t>signal</w:t>
      </w:r>
      <w:r>
        <w:rPr>
          <w:spacing w:val="-7"/>
        </w:rPr>
        <w:t> </w:t>
      </w:r>
      <w:r>
        <w:rPr/>
        <w:t>attenuation</w:t>
      </w:r>
      <w:r>
        <w:rPr>
          <w:spacing w:val="-7"/>
        </w:rPr>
        <w:t> </w:t>
      </w:r>
      <w:r>
        <w:rPr/>
        <w:t>from</w:t>
      </w:r>
      <w:r>
        <w:rPr>
          <w:spacing w:val="-4"/>
        </w:rPr>
        <w:t> </w:t>
      </w:r>
      <w:r>
        <w:rPr/>
        <w:t>real-world</w:t>
      </w:r>
      <w:r>
        <w:rPr>
          <w:spacing w:val="-8"/>
        </w:rPr>
        <w:t> </w:t>
      </w:r>
      <w:r>
        <w:rPr/>
        <w:t>obstructions</w:t>
      </w:r>
      <w:r>
        <w:rPr>
          <w:spacing w:val="-7"/>
        </w:rPr>
        <w:t> </w:t>
      </w:r>
      <w:r>
        <w:rPr/>
        <w:t>such</w:t>
      </w:r>
      <w:r>
        <w:rPr>
          <w:spacing w:val="-8"/>
        </w:rPr>
        <w:t> </w:t>
      </w:r>
      <w:r>
        <w:rPr/>
        <w:t>as</w:t>
      </w:r>
      <w:r>
        <w:rPr>
          <w:spacing w:val="-5"/>
        </w:rPr>
        <w:t> </w:t>
      </w:r>
      <w:r>
        <w:rPr/>
        <w:t>buildings,</w:t>
      </w:r>
      <w:r>
        <w:rPr>
          <w:spacing w:val="-6"/>
        </w:rPr>
        <w:t> </w:t>
      </w:r>
      <w:r>
        <w:rPr/>
        <w:t>other</w:t>
      </w:r>
      <w:r>
        <w:rPr>
          <w:spacing w:val="-7"/>
        </w:rPr>
        <w:t> </w:t>
      </w:r>
      <w:r>
        <w:rPr/>
        <w:t>vehicles</w:t>
      </w:r>
      <w:r>
        <w:rPr>
          <w:spacing w:val="-5"/>
        </w:rPr>
        <w:t> </w:t>
      </w:r>
      <w:r>
        <w:rPr/>
        <w:t>or</w:t>
      </w:r>
      <w:r>
        <w:rPr>
          <w:spacing w:val="-7"/>
        </w:rPr>
        <w:t> </w:t>
      </w:r>
      <w:r>
        <w:rPr/>
        <w:t>foliage,</w:t>
      </w:r>
      <w:r>
        <w:rPr>
          <w:spacing w:val="-6"/>
        </w:rPr>
        <w:t> </w:t>
      </w:r>
      <w:r>
        <w:rPr/>
        <w:t>C-V2X is more reliable than DSRC in terms of vehicle-to-vehicle</w:t>
      </w:r>
      <w:r>
        <w:rPr>
          <w:spacing w:val="-20"/>
        </w:rPr>
        <w:t> </w:t>
      </w:r>
      <w:r>
        <w:rPr/>
        <w:t>communication.</w:t>
      </w:r>
    </w:p>
    <w:p>
      <w:pPr>
        <w:pStyle w:val="BodyText"/>
        <w:spacing w:before="179"/>
        <w:ind w:left="1133" w:right="1128"/>
        <w:jc w:val="both"/>
      </w:pPr>
      <w:r>
        <w:rPr/>
        <w:t>Specifically, in Section 7.2.2 the controlled lab test shows a significant reliability advantage for C-V2X over DSRC in the presence of signal attenuation. In Sections 8.5.1 and 8.5.2, carefully executed field tests show that such advantage translates to 1.7 to 3.4x range advantage in the field. These demonstrated advantages mean enhanced safety for drivers and pedestrians by providing reliable and early alerts even when there are coverage dead spots created by obstructions such as buildings, vehicles, and foliage.</w:t>
      </w:r>
    </w:p>
    <w:p>
      <w:pPr>
        <w:spacing w:after="0"/>
        <w:jc w:val="both"/>
        <w:sectPr>
          <w:headerReference w:type="default" r:id="rId123"/>
          <w:pgSz w:w="11910" w:h="16850"/>
          <w:pgMar w:header="852" w:footer="979" w:top="1040" w:bottom="1160" w:left="0" w:right="0"/>
        </w:sectPr>
      </w:pPr>
    </w:p>
    <w:p>
      <w:pPr>
        <w:pStyle w:val="BodyText"/>
        <w:spacing w:before="3"/>
        <w:rPr>
          <w:sz w:val="23"/>
        </w:rPr>
      </w:pPr>
    </w:p>
    <w:p>
      <w:pPr>
        <w:pStyle w:val="Heading3"/>
        <w:numPr>
          <w:ilvl w:val="2"/>
          <w:numId w:val="14"/>
        </w:numPr>
        <w:tabs>
          <w:tab w:pos="2266" w:val="left" w:leader="none"/>
        </w:tabs>
        <w:spacing w:line="240" w:lineRule="auto" w:before="91" w:after="0"/>
        <w:ind w:left="2266" w:right="0" w:hanging="1133"/>
        <w:jc w:val="both"/>
      </w:pPr>
      <w:bookmarkStart w:name="_bookmark106" w:id="143"/>
      <w:bookmarkEnd w:id="143"/>
      <w:r>
        <w:rPr/>
      </w:r>
      <w:bookmarkStart w:name="_bookmark106" w:id="144"/>
      <w:bookmarkEnd w:id="144"/>
      <w:r>
        <w:rPr/>
        <w:t>End</w:t>
      </w:r>
      <w:r>
        <w:rPr/>
        <w:t>-to-End</w:t>
      </w:r>
      <w:r>
        <w:rPr>
          <w:spacing w:val="-7"/>
        </w:rPr>
        <w:t> </w:t>
      </w:r>
      <w:r>
        <w:rPr/>
        <w:t>Latency</w:t>
      </w:r>
    </w:p>
    <w:p>
      <w:pPr>
        <w:pStyle w:val="BodyText"/>
        <w:spacing w:before="180"/>
        <w:ind w:left="1133" w:right="1132"/>
        <w:jc w:val="both"/>
      </w:pPr>
      <w:r>
        <w:rPr/>
        <w:t>Both C-V2X and DSRC exhibited similar end-to-end application layer latencies under non-congested conditions,</w:t>
      </w:r>
      <w:r>
        <w:rPr>
          <w:spacing w:val="-9"/>
        </w:rPr>
        <w:t> </w:t>
      </w:r>
      <w:r>
        <w:rPr/>
        <w:t>and</w:t>
      </w:r>
      <w:r>
        <w:rPr>
          <w:spacing w:val="-7"/>
        </w:rPr>
        <w:t> </w:t>
      </w:r>
      <w:r>
        <w:rPr/>
        <w:t>both</w:t>
      </w:r>
      <w:r>
        <w:rPr>
          <w:spacing w:val="-9"/>
        </w:rPr>
        <w:t> </w:t>
      </w:r>
      <w:r>
        <w:rPr/>
        <w:t>technologies</w:t>
      </w:r>
      <w:r>
        <w:rPr>
          <w:spacing w:val="-8"/>
        </w:rPr>
        <w:t> </w:t>
      </w:r>
      <w:r>
        <w:rPr/>
        <w:t>met</w:t>
      </w:r>
      <w:r>
        <w:rPr>
          <w:spacing w:val="-10"/>
        </w:rPr>
        <w:t> </w:t>
      </w:r>
      <w:r>
        <w:rPr/>
        <w:t>the</w:t>
      </w:r>
      <w:r>
        <w:rPr>
          <w:spacing w:val="-8"/>
        </w:rPr>
        <w:t> </w:t>
      </w:r>
      <w:r>
        <w:rPr/>
        <w:t>latency</w:t>
      </w:r>
      <w:r>
        <w:rPr>
          <w:spacing w:val="-13"/>
        </w:rPr>
        <w:t> </w:t>
      </w:r>
      <w:r>
        <w:rPr/>
        <w:t>requirements</w:t>
      </w:r>
      <w:r>
        <w:rPr>
          <w:spacing w:val="-8"/>
        </w:rPr>
        <w:t> </w:t>
      </w:r>
      <w:r>
        <w:rPr/>
        <w:t>for</w:t>
      </w:r>
      <w:r>
        <w:rPr>
          <w:spacing w:val="-8"/>
        </w:rPr>
        <w:t> </w:t>
      </w:r>
      <w:r>
        <w:rPr/>
        <w:t>the</w:t>
      </w:r>
      <w:r>
        <w:rPr>
          <w:spacing w:val="-10"/>
        </w:rPr>
        <w:t> </w:t>
      </w:r>
      <w:r>
        <w:rPr/>
        <w:t>V2V</w:t>
      </w:r>
      <w:r>
        <w:rPr>
          <w:spacing w:val="-10"/>
        </w:rPr>
        <w:t> </w:t>
      </w:r>
      <w:r>
        <w:rPr/>
        <w:t>safety</w:t>
      </w:r>
      <w:r>
        <w:rPr>
          <w:spacing w:val="-10"/>
        </w:rPr>
        <w:t> </w:t>
      </w:r>
      <w:r>
        <w:rPr/>
        <w:t>applications</w:t>
      </w:r>
      <w:r>
        <w:rPr>
          <w:spacing w:val="-6"/>
        </w:rPr>
        <w:t> </w:t>
      </w:r>
      <w:r>
        <w:rPr/>
        <w:t>defined</w:t>
      </w:r>
      <w:r>
        <w:rPr>
          <w:spacing w:val="-7"/>
        </w:rPr>
        <w:t> </w:t>
      </w:r>
      <w:r>
        <w:rPr/>
        <w:t>in</w:t>
      </w:r>
      <w:r>
        <w:rPr>
          <w:spacing w:val="-7"/>
        </w:rPr>
        <w:t> </w:t>
      </w:r>
      <w:r>
        <w:rPr/>
        <w:t>SAE J2945/1. Inter-packet gap performance was within 10 ms for both V2X technologies, typically increasing very quickly when the devices went out of</w:t>
      </w:r>
      <w:r>
        <w:rPr>
          <w:spacing w:val="-14"/>
        </w:rPr>
        <w:t> </w:t>
      </w:r>
      <w:r>
        <w:rPr/>
        <w:t>range.</w:t>
      </w:r>
    </w:p>
    <w:p>
      <w:pPr>
        <w:pStyle w:val="BodyText"/>
        <w:spacing w:before="178"/>
        <w:ind w:left="1133" w:right="1130"/>
        <w:jc w:val="both"/>
      </w:pPr>
      <w:r>
        <w:rPr/>
        <w:t>Only C-V2X technology was tested for a highly congested scenario in a laboratory setting. Even in the congested scenario, C-V2X latency remained bounded by the 100 ms latency budget configured for that scenario.</w:t>
      </w:r>
    </w:p>
    <w:p>
      <w:pPr>
        <w:pStyle w:val="BodyText"/>
        <w:rPr>
          <w:sz w:val="26"/>
        </w:rPr>
      </w:pPr>
    </w:p>
    <w:p>
      <w:pPr>
        <w:pStyle w:val="Heading3"/>
        <w:numPr>
          <w:ilvl w:val="2"/>
          <w:numId w:val="14"/>
        </w:numPr>
        <w:tabs>
          <w:tab w:pos="2267" w:val="left" w:leader="none"/>
        </w:tabs>
        <w:spacing w:line="240" w:lineRule="auto" w:before="0" w:after="0"/>
        <w:ind w:left="2266" w:right="0" w:hanging="1133"/>
        <w:jc w:val="both"/>
      </w:pPr>
      <w:bookmarkStart w:name="_bookmark107" w:id="145"/>
      <w:bookmarkEnd w:id="145"/>
      <w:r>
        <w:rPr/>
      </w:r>
      <w:bookmarkStart w:name="_bookmark107" w:id="146"/>
      <w:bookmarkEnd w:id="146"/>
      <w:r>
        <w:rPr/>
        <w:t>C</w:t>
      </w:r>
      <w:r>
        <w:rPr/>
        <w:t>hannel</w:t>
      </w:r>
      <w:r>
        <w:rPr>
          <w:spacing w:val="-6"/>
        </w:rPr>
        <w:t> </w:t>
      </w:r>
      <w:r>
        <w:rPr/>
        <w:t>Congestion</w:t>
      </w:r>
    </w:p>
    <w:p>
      <w:pPr>
        <w:pStyle w:val="BodyText"/>
        <w:spacing w:before="179"/>
        <w:ind w:left="1133" w:right="1129"/>
        <w:jc w:val="both"/>
      </w:pPr>
      <w:r>
        <w:rPr/>
        <w:t>Robust operation of V2X in dense deployments is a key requirement of the technology. A laboratory test was conducted based on the high-density CAMP scenario [NHTSA-2015-0060] where 576 congesting devices were emulated with a total traffic load of about twice of what could fit into the channel.</w:t>
      </w:r>
    </w:p>
    <w:p>
      <w:pPr>
        <w:pStyle w:val="BodyText"/>
        <w:spacing w:before="180"/>
        <w:ind w:left="1133" w:right="1129"/>
        <w:jc w:val="both"/>
      </w:pPr>
      <w:r>
        <w:rPr/>
        <w:t>The test data in Section 7.4 show that the SAE J2945/1-based congestion control algorithm works well for C- V2X technology. Congesting devices reduce their rate of transmission according to the SAE algorithm, while the devices under test continue to maintain the high packet reception rate.</w:t>
      </w:r>
    </w:p>
    <w:p>
      <w:pPr>
        <w:pStyle w:val="BodyText"/>
        <w:rPr>
          <w:sz w:val="22"/>
        </w:rPr>
      </w:pPr>
    </w:p>
    <w:p>
      <w:pPr>
        <w:pStyle w:val="BodyText"/>
        <w:spacing w:before="158"/>
        <w:ind w:left="1133" w:right="1127"/>
        <w:jc w:val="both"/>
      </w:pPr>
      <w:r>
        <w:rPr/>
        <w:t>The data showed that the PER performance of high-priority BSM is noticeably better than lower-priority messages when high attenuations are used, or reception signals are weak.</w:t>
      </w:r>
    </w:p>
    <w:p>
      <w:pPr>
        <w:pStyle w:val="BodyText"/>
        <w:spacing w:before="180"/>
        <w:ind w:left="1133" w:right="1131"/>
        <w:jc w:val="both"/>
      </w:pPr>
      <w:r>
        <w:rPr/>
        <w:t>The reason is that high-priority safety messages can be protected more efficiently for channel-congested and collision scenarios by the C-V2X resource selection algorithm. For actual highly congested deployment scenarios, we expect this packet reception improvement of high-priority BSM to translate to noticeable and meaningful reliability improvement of critical safety messages.</w:t>
      </w:r>
    </w:p>
    <w:p>
      <w:pPr>
        <w:pStyle w:val="BodyText"/>
        <w:rPr>
          <w:sz w:val="26"/>
        </w:rPr>
      </w:pPr>
    </w:p>
    <w:p>
      <w:pPr>
        <w:pStyle w:val="Heading3"/>
        <w:numPr>
          <w:ilvl w:val="2"/>
          <w:numId w:val="14"/>
        </w:numPr>
        <w:tabs>
          <w:tab w:pos="2267" w:val="left" w:leader="none"/>
        </w:tabs>
        <w:spacing w:line="240" w:lineRule="auto" w:before="0" w:after="0"/>
        <w:ind w:left="2266" w:right="0" w:hanging="1133"/>
        <w:jc w:val="both"/>
      </w:pPr>
      <w:bookmarkStart w:name="_bookmark108" w:id="147"/>
      <w:bookmarkEnd w:id="147"/>
      <w:r>
        <w:rPr/>
      </w:r>
      <w:bookmarkStart w:name="_bookmark108" w:id="148"/>
      <w:bookmarkEnd w:id="148"/>
      <w:r>
        <w:rPr/>
        <w:t>R</w:t>
      </w:r>
      <w:r>
        <w:rPr/>
        <w:t>esilience to</w:t>
      </w:r>
      <w:r>
        <w:rPr>
          <w:spacing w:val="-7"/>
        </w:rPr>
        <w:t> </w:t>
      </w:r>
      <w:r>
        <w:rPr/>
        <w:t>Interference</w:t>
      </w:r>
    </w:p>
    <w:p>
      <w:pPr>
        <w:pStyle w:val="BodyText"/>
        <w:spacing w:before="179"/>
        <w:ind w:left="1133" w:right="1128"/>
        <w:jc w:val="both"/>
      </w:pPr>
      <w:r>
        <w:rPr/>
        <w:t>Interference</w:t>
      </w:r>
      <w:r>
        <w:rPr>
          <w:spacing w:val="-15"/>
        </w:rPr>
        <w:t> </w:t>
      </w:r>
      <w:r>
        <w:rPr/>
        <w:t>is</w:t>
      </w:r>
      <w:r>
        <w:rPr>
          <w:spacing w:val="-16"/>
        </w:rPr>
        <w:t> </w:t>
      </w:r>
      <w:r>
        <w:rPr/>
        <w:t>another</w:t>
      </w:r>
      <w:r>
        <w:rPr>
          <w:spacing w:val="-17"/>
        </w:rPr>
        <w:t> </w:t>
      </w:r>
      <w:r>
        <w:rPr/>
        <w:t>major</w:t>
      </w:r>
      <w:r>
        <w:rPr>
          <w:spacing w:val="-17"/>
        </w:rPr>
        <w:t> </w:t>
      </w:r>
      <w:r>
        <w:rPr/>
        <w:t>impairment</w:t>
      </w:r>
      <w:r>
        <w:rPr>
          <w:spacing w:val="-17"/>
        </w:rPr>
        <w:t> </w:t>
      </w:r>
      <w:r>
        <w:rPr/>
        <w:t>for</w:t>
      </w:r>
      <w:r>
        <w:rPr>
          <w:spacing w:val="-17"/>
        </w:rPr>
        <w:t> </w:t>
      </w:r>
      <w:r>
        <w:rPr/>
        <w:t>V2X</w:t>
      </w:r>
      <w:r>
        <w:rPr>
          <w:spacing w:val="-16"/>
        </w:rPr>
        <w:t> </w:t>
      </w:r>
      <w:r>
        <w:rPr/>
        <w:t>communications.</w:t>
      </w:r>
      <w:r>
        <w:rPr>
          <w:spacing w:val="-17"/>
        </w:rPr>
        <w:t> </w:t>
      </w:r>
      <w:r>
        <w:rPr/>
        <w:t>It</w:t>
      </w:r>
      <w:r>
        <w:rPr>
          <w:spacing w:val="-15"/>
        </w:rPr>
        <w:t> </w:t>
      </w:r>
      <w:r>
        <w:rPr/>
        <w:t>arises</w:t>
      </w:r>
      <w:r>
        <w:rPr>
          <w:spacing w:val="-14"/>
        </w:rPr>
        <w:t> </w:t>
      </w:r>
      <w:r>
        <w:rPr/>
        <w:t>as</w:t>
      </w:r>
      <w:r>
        <w:rPr>
          <w:spacing w:val="-17"/>
        </w:rPr>
        <w:t> </w:t>
      </w:r>
      <w:r>
        <w:rPr/>
        <w:t>other</w:t>
      </w:r>
      <w:r>
        <w:rPr>
          <w:spacing w:val="-14"/>
        </w:rPr>
        <w:t> </w:t>
      </w:r>
      <w:r>
        <w:rPr/>
        <w:t>devices</w:t>
      </w:r>
      <w:r>
        <w:rPr>
          <w:spacing w:val="-14"/>
        </w:rPr>
        <w:t> </w:t>
      </w:r>
      <w:r>
        <w:rPr/>
        <w:t>in</w:t>
      </w:r>
      <w:r>
        <w:rPr>
          <w:spacing w:val="-15"/>
        </w:rPr>
        <w:t> </w:t>
      </w:r>
      <w:r>
        <w:rPr/>
        <w:t>the</w:t>
      </w:r>
      <w:r>
        <w:rPr>
          <w:spacing w:val="-16"/>
        </w:rPr>
        <w:t> </w:t>
      </w:r>
      <w:r>
        <w:rPr/>
        <w:t>environment emit RF energy into the V2X channel. These devices can be </w:t>
      </w:r>
      <w:r>
        <w:rPr>
          <w:spacing w:val="2"/>
        </w:rPr>
        <w:t>WiFi </w:t>
      </w:r>
      <w:r>
        <w:rPr/>
        <w:t>devices operating in the UNII-3 band.</w:t>
      </w:r>
      <w:r>
        <w:rPr>
          <w:spacing w:val="-30"/>
        </w:rPr>
        <w:t> </w:t>
      </w:r>
      <w:r>
        <w:rPr/>
        <w:t>They can also be V2X devices in the neighbouring channels. The net effect is elevated channel noise level at the V2X receiver. With the interference in close proximity, the improvement in range with U-NII-3 interferer was 2.1x while the improvement with the adjacent DSRC interferer was</w:t>
      </w:r>
      <w:r>
        <w:rPr>
          <w:spacing w:val="-23"/>
        </w:rPr>
        <w:t> </w:t>
      </w:r>
      <w:r>
        <w:rPr/>
        <w:t>3x.</w:t>
      </w:r>
    </w:p>
    <w:p>
      <w:pPr>
        <w:pStyle w:val="BodyText"/>
        <w:rPr>
          <w:sz w:val="26"/>
        </w:rPr>
      </w:pPr>
    </w:p>
    <w:p>
      <w:pPr>
        <w:pStyle w:val="Heading3"/>
        <w:numPr>
          <w:ilvl w:val="2"/>
          <w:numId w:val="14"/>
        </w:numPr>
        <w:tabs>
          <w:tab w:pos="2267" w:val="left" w:leader="none"/>
        </w:tabs>
        <w:spacing w:line="240" w:lineRule="auto" w:before="0" w:after="0"/>
        <w:ind w:left="2266" w:right="0" w:hanging="1133"/>
        <w:jc w:val="both"/>
      </w:pPr>
      <w:bookmarkStart w:name="_bookmark109" w:id="149"/>
      <w:bookmarkEnd w:id="149"/>
      <w:r>
        <w:rPr/>
      </w:r>
      <w:bookmarkStart w:name="_bookmark109" w:id="150"/>
      <w:bookmarkEnd w:id="150"/>
      <w:r>
        <w:rPr/>
        <w:t>Shado</w:t>
      </w:r>
      <w:r>
        <w:rPr/>
        <w:t>wing</w:t>
      </w:r>
      <w:r>
        <w:rPr>
          <w:spacing w:val="-4"/>
        </w:rPr>
        <w:t> </w:t>
      </w:r>
      <w:r>
        <w:rPr/>
        <w:t>Scenarios</w:t>
      </w:r>
    </w:p>
    <w:p>
      <w:pPr>
        <w:pStyle w:val="BodyText"/>
        <w:spacing w:before="180"/>
        <w:ind w:left="1133" w:right="1129"/>
        <w:jc w:val="both"/>
      </w:pPr>
      <w:r>
        <w:rPr/>
        <w:t>A comparison test between DSRC and C-V2X for the shadowing scenarios was repeated for both C-V2X and DSRC. Although the same test was conducted and reported by CAMP in 2011 for DSRC, the test was reproduced for both radios to ensure that results are compared under similar parameters, environmental conditions, and physical setup. It was shown that the shadowing test specified by 5GAA is more demanding than that conducted by CAMP. More importantly, test results under similar conditions showed an approximately 3x range advantage of C-V2X over DSRC.</w:t>
      </w:r>
    </w:p>
    <w:p>
      <w:pPr>
        <w:pStyle w:val="BodyText"/>
        <w:rPr>
          <w:sz w:val="26"/>
        </w:rPr>
      </w:pPr>
    </w:p>
    <w:p>
      <w:pPr>
        <w:pStyle w:val="Heading3"/>
        <w:numPr>
          <w:ilvl w:val="2"/>
          <w:numId w:val="14"/>
        </w:numPr>
        <w:tabs>
          <w:tab w:pos="2267" w:val="left" w:leader="none"/>
        </w:tabs>
        <w:spacing w:line="240" w:lineRule="auto" w:before="1" w:after="0"/>
        <w:ind w:left="2266" w:right="0" w:hanging="1133"/>
        <w:jc w:val="both"/>
      </w:pPr>
      <w:bookmarkStart w:name="_bookmark110" w:id="151"/>
      <w:bookmarkEnd w:id="151"/>
      <w:r>
        <w:rPr/>
      </w:r>
      <w:bookmarkStart w:name="_bookmark110" w:id="152"/>
      <w:bookmarkEnd w:id="152"/>
      <w:r>
        <w:rPr/>
        <w:t>N</w:t>
      </w:r>
      <w:r>
        <w:rPr/>
        <w:t>ear-Far</w:t>
      </w:r>
      <w:r>
        <w:rPr>
          <w:spacing w:val="-7"/>
        </w:rPr>
        <w:t> </w:t>
      </w:r>
      <w:r>
        <w:rPr/>
        <w:t>Effect</w:t>
      </w:r>
    </w:p>
    <w:p>
      <w:pPr>
        <w:pStyle w:val="BodyText"/>
        <w:spacing w:before="180"/>
        <w:ind w:left="1133" w:right="1126"/>
        <w:jc w:val="both"/>
      </w:pPr>
      <w:r>
        <w:rPr/>
        <w:t>One</w:t>
      </w:r>
      <w:r>
        <w:rPr>
          <w:spacing w:val="-6"/>
        </w:rPr>
        <w:t> </w:t>
      </w:r>
      <w:r>
        <w:rPr/>
        <w:t>of</w:t>
      </w:r>
      <w:r>
        <w:rPr>
          <w:spacing w:val="-4"/>
        </w:rPr>
        <w:t> </w:t>
      </w:r>
      <w:r>
        <w:rPr/>
        <w:t>the</w:t>
      </w:r>
      <w:r>
        <w:rPr>
          <w:spacing w:val="-6"/>
        </w:rPr>
        <w:t> </w:t>
      </w:r>
      <w:r>
        <w:rPr/>
        <w:t>key</w:t>
      </w:r>
      <w:r>
        <w:rPr>
          <w:spacing w:val="-9"/>
        </w:rPr>
        <w:t> </w:t>
      </w:r>
      <w:r>
        <w:rPr/>
        <w:t>features</w:t>
      </w:r>
      <w:r>
        <w:rPr>
          <w:spacing w:val="-2"/>
        </w:rPr>
        <w:t> </w:t>
      </w:r>
      <w:r>
        <w:rPr/>
        <w:t>of</w:t>
      </w:r>
      <w:r>
        <w:rPr>
          <w:spacing w:val="-4"/>
        </w:rPr>
        <w:t> </w:t>
      </w:r>
      <w:r>
        <w:rPr/>
        <w:t>C-V2X</w:t>
      </w:r>
      <w:r>
        <w:rPr>
          <w:spacing w:val="-4"/>
        </w:rPr>
        <w:t> </w:t>
      </w:r>
      <w:r>
        <w:rPr/>
        <w:t>is</w:t>
      </w:r>
      <w:r>
        <w:rPr>
          <w:spacing w:val="-4"/>
        </w:rPr>
        <w:t> </w:t>
      </w:r>
      <w:r>
        <w:rPr/>
        <w:t>frequency</w:t>
      </w:r>
      <w:r>
        <w:rPr>
          <w:spacing w:val="-6"/>
        </w:rPr>
        <w:t> </w:t>
      </w:r>
      <w:r>
        <w:rPr/>
        <w:t>division</w:t>
      </w:r>
      <w:r>
        <w:rPr>
          <w:spacing w:val="-3"/>
        </w:rPr>
        <w:t> </w:t>
      </w:r>
      <w:r>
        <w:rPr/>
        <w:t>multiplexing</w:t>
      </w:r>
      <w:r>
        <w:rPr>
          <w:spacing w:val="-4"/>
        </w:rPr>
        <w:t> </w:t>
      </w:r>
      <w:r>
        <w:rPr/>
        <w:t>(FDM).</w:t>
      </w:r>
      <w:r>
        <w:rPr>
          <w:spacing w:val="-3"/>
        </w:rPr>
        <w:t> </w:t>
      </w:r>
      <w:r>
        <w:rPr/>
        <w:t>However,</w:t>
      </w:r>
      <w:r>
        <w:rPr>
          <w:spacing w:val="-5"/>
        </w:rPr>
        <w:t> </w:t>
      </w:r>
      <w:r>
        <w:rPr/>
        <w:t>because</w:t>
      </w:r>
      <w:r>
        <w:rPr>
          <w:spacing w:val="-6"/>
        </w:rPr>
        <w:t> </w:t>
      </w:r>
      <w:r>
        <w:rPr/>
        <w:t>of</w:t>
      </w:r>
      <w:r>
        <w:rPr>
          <w:spacing w:val="-4"/>
        </w:rPr>
        <w:t> </w:t>
      </w:r>
      <w:r>
        <w:rPr/>
        <w:t>the</w:t>
      </w:r>
      <w:r>
        <w:rPr>
          <w:spacing w:val="-3"/>
        </w:rPr>
        <w:t> </w:t>
      </w:r>
      <w:r>
        <w:rPr/>
        <w:t>potential for transmissions on adjacent subchannels, FDM can lead to the near-far effect. The impact of the near-far effect though is limited by the minimum in-band emissions requirements defined in 3GPP specifications. The data from the near-far test showed that the average leakage of the device under test ~ -35 dB meets the minimum requirements specified in 3GPP Rel 14 TS 36.101 Section</w:t>
      </w:r>
      <w:r>
        <w:rPr>
          <w:spacing w:val="-19"/>
        </w:rPr>
        <w:t> </w:t>
      </w:r>
      <w:r>
        <w:rPr/>
        <w:t>6.5.2G.3.</w:t>
      </w:r>
    </w:p>
    <w:p>
      <w:pPr>
        <w:spacing w:after="0"/>
        <w:jc w:val="both"/>
        <w:sectPr>
          <w:headerReference w:type="default" r:id="rId124"/>
          <w:pgSz w:w="11910" w:h="16850"/>
          <w:pgMar w:header="852" w:footer="979" w:top="1040" w:bottom="1160" w:left="0" w:right="0"/>
        </w:sectPr>
      </w:pPr>
    </w:p>
    <w:p>
      <w:pPr>
        <w:pStyle w:val="BodyText"/>
      </w:pPr>
    </w:p>
    <w:p>
      <w:pPr>
        <w:pStyle w:val="BodyText"/>
      </w:pPr>
    </w:p>
    <w:p>
      <w:pPr>
        <w:pStyle w:val="BodyText"/>
        <w:rPr>
          <w:sz w:val="19"/>
        </w:rPr>
      </w:pPr>
    </w:p>
    <w:p>
      <w:pPr>
        <w:spacing w:before="91"/>
        <w:ind w:left="1133" w:right="0" w:firstLine="0"/>
        <w:jc w:val="both"/>
        <w:rPr>
          <w:b/>
          <w:sz w:val="28"/>
        </w:rPr>
      </w:pPr>
      <w:r>
        <w:rPr>
          <w:b/>
          <w:sz w:val="28"/>
        </w:rPr>
        <w:t>Summary</w:t>
      </w:r>
    </w:p>
    <w:p>
      <w:pPr>
        <w:pStyle w:val="BodyText"/>
        <w:spacing w:before="179"/>
        <w:ind w:left="1133" w:right="1136"/>
        <w:jc w:val="both"/>
      </w:pPr>
      <w:r>
        <w:rPr/>
        <w:t>Table</w:t>
      </w:r>
      <w:r>
        <w:rPr>
          <w:spacing w:val="-5"/>
        </w:rPr>
        <w:t> </w:t>
      </w:r>
      <w:r>
        <w:rPr/>
        <w:t>1</w:t>
      </w:r>
      <w:r>
        <w:rPr>
          <w:spacing w:val="-6"/>
        </w:rPr>
        <w:t> </w:t>
      </w:r>
      <w:r>
        <w:rPr/>
        <w:t>summarizes</w:t>
      </w:r>
      <w:r>
        <w:rPr>
          <w:spacing w:val="-5"/>
        </w:rPr>
        <w:t> </w:t>
      </w:r>
      <w:r>
        <w:rPr/>
        <w:t>the</w:t>
      </w:r>
      <w:r>
        <w:rPr>
          <w:spacing w:val="-6"/>
        </w:rPr>
        <w:t> </w:t>
      </w:r>
      <w:r>
        <w:rPr/>
        <w:t>relative</w:t>
      </w:r>
      <w:r>
        <w:rPr>
          <w:spacing w:val="-6"/>
        </w:rPr>
        <w:t> </w:t>
      </w:r>
      <w:r>
        <w:rPr/>
        <w:t>performance</w:t>
      </w:r>
      <w:r>
        <w:rPr>
          <w:spacing w:val="-6"/>
        </w:rPr>
        <w:t> </w:t>
      </w:r>
      <w:r>
        <w:rPr/>
        <w:t>of</w:t>
      </w:r>
      <w:r>
        <w:rPr>
          <w:spacing w:val="-4"/>
        </w:rPr>
        <w:t> </w:t>
      </w:r>
      <w:r>
        <w:rPr/>
        <w:t>the</w:t>
      </w:r>
      <w:r>
        <w:rPr>
          <w:spacing w:val="-6"/>
        </w:rPr>
        <w:t> </w:t>
      </w:r>
      <w:r>
        <w:rPr/>
        <w:t>two</w:t>
      </w:r>
      <w:r>
        <w:rPr>
          <w:spacing w:val="-5"/>
        </w:rPr>
        <w:t> </w:t>
      </w:r>
      <w:r>
        <w:rPr/>
        <w:t>technologies</w:t>
      </w:r>
      <w:r>
        <w:rPr>
          <w:spacing w:val="-5"/>
        </w:rPr>
        <w:t> </w:t>
      </w:r>
      <w:r>
        <w:rPr/>
        <w:t>for</w:t>
      </w:r>
      <w:r>
        <w:rPr>
          <w:spacing w:val="-5"/>
        </w:rPr>
        <w:t> </w:t>
      </w:r>
      <w:r>
        <w:rPr/>
        <w:t>the</w:t>
      </w:r>
      <w:r>
        <w:rPr>
          <w:spacing w:val="-6"/>
        </w:rPr>
        <w:t> </w:t>
      </w:r>
      <w:r>
        <w:rPr/>
        <w:t>laboratory</w:t>
      </w:r>
      <w:r>
        <w:rPr>
          <w:spacing w:val="-6"/>
        </w:rPr>
        <w:t> </w:t>
      </w:r>
      <w:r>
        <w:rPr/>
        <w:t>and</w:t>
      </w:r>
      <w:r>
        <w:rPr>
          <w:spacing w:val="-6"/>
        </w:rPr>
        <w:t> </w:t>
      </w:r>
      <w:r>
        <w:rPr/>
        <w:t>field</w:t>
      </w:r>
      <w:r>
        <w:rPr>
          <w:spacing w:val="-3"/>
        </w:rPr>
        <w:t> </w:t>
      </w:r>
      <w:r>
        <w:rPr/>
        <w:t>tests</w:t>
      </w:r>
      <w:r>
        <w:rPr>
          <w:spacing w:val="-4"/>
        </w:rPr>
        <w:t> </w:t>
      </w:r>
      <w:r>
        <w:rPr/>
        <w:t>defined in the 5GAA test</w:t>
      </w:r>
      <w:r>
        <w:rPr>
          <w:spacing w:val="-8"/>
        </w:rPr>
        <w:t> </w:t>
      </w:r>
      <w:r>
        <w:rPr/>
        <w:t>plan.</w:t>
      </w:r>
    </w:p>
    <w:p>
      <w:pPr>
        <w:pStyle w:val="BodyText"/>
        <w:spacing w:before="7"/>
      </w:pPr>
    </w:p>
    <w:p>
      <w:pPr>
        <w:pStyle w:val="Heading7"/>
        <w:jc w:val="both"/>
      </w:pPr>
      <w:r>
        <w:rPr/>
        <w:t>Table 1: Relative performance of C-V2X and DSRC</w:t>
      </w:r>
    </w:p>
    <w:p>
      <w:pPr>
        <w:pStyle w:val="BodyText"/>
        <w:spacing w:before="10"/>
        <w:rPr>
          <w:b/>
          <w:sz w:val="15"/>
        </w:rPr>
      </w:pPr>
    </w:p>
    <w:tbl>
      <w:tblPr>
        <w:tblW w:w="0" w:type="auto"/>
        <w:jc w:val="left"/>
        <w:tblInd w:w="2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7"/>
        <w:gridCol w:w="3870"/>
        <w:gridCol w:w="1637"/>
      </w:tblGrid>
      <w:tr>
        <w:trPr>
          <w:trHeight w:val="218" w:hRule="exact"/>
        </w:trPr>
        <w:tc>
          <w:tcPr>
            <w:tcW w:w="1887" w:type="dxa"/>
            <w:vMerge w:val="restart"/>
          </w:tcPr>
          <w:p>
            <w:pPr>
              <w:pStyle w:val="TableParagraph"/>
              <w:spacing w:line="240" w:lineRule="auto" w:before="10"/>
              <w:ind w:left="0"/>
              <w:rPr>
                <w:b/>
                <w:sz w:val="18"/>
              </w:rPr>
            </w:pPr>
          </w:p>
          <w:p>
            <w:pPr>
              <w:pStyle w:val="TableParagraph"/>
              <w:spacing w:line="240" w:lineRule="auto"/>
              <w:rPr>
                <w:sz w:val="18"/>
              </w:rPr>
            </w:pPr>
            <w:r>
              <w:rPr>
                <w:sz w:val="18"/>
              </w:rPr>
              <w:t>Reliability</w:t>
            </w:r>
          </w:p>
        </w:tc>
        <w:tc>
          <w:tcPr>
            <w:tcW w:w="3870" w:type="dxa"/>
          </w:tcPr>
          <w:p>
            <w:pPr>
              <w:pStyle w:val="TableParagraph"/>
              <w:spacing w:line="204" w:lineRule="exact"/>
              <w:ind w:left="100"/>
              <w:rPr>
                <w:sz w:val="18"/>
              </w:rPr>
            </w:pPr>
            <w:r>
              <w:rPr>
                <w:b/>
                <w:sz w:val="18"/>
              </w:rPr>
              <w:t>Lab </w:t>
            </w:r>
            <w:r>
              <w:rPr>
                <w:sz w:val="18"/>
              </w:rPr>
              <w:t>Cabled Tx and Rx Tests</w:t>
            </w:r>
          </w:p>
        </w:tc>
        <w:tc>
          <w:tcPr>
            <w:tcW w:w="1637" w:type="dxa"/>
          </w:tcPr>
          <w:p>
            <w:pPr>
              <w:pStyle w:val="TableParagraph"/>
              <w:spacing w:line="240" w:lineRule="auto" w:before="1"/>
              <w:rPr>
                <w:sz w:val="18"/>
              </w:rPr>
            </w:pPr>
            <w:r>
              <w:rPr>
                <w:sz w:val="18"/>
              </w:rPr>
              <w:t>C-V2X better</w:t>
            </w:r>
          </w:p>
        </w:tc>
      </w:tr>
      <w:tr>
        <w:trPr>
          <w:trHeight w:val="216" w:hRule="exact"/>
        </w:trPr>
        <w:tc>
          <w:tcPr>
            <w:tcW w:w="1887" w:type="dxa"/>
            <w:vMerge/>
          </w:tcPr>
          <w:p>
            <w:pPr/>
          </w:p>
        </w:tc>
        <w:tc>
          <w:tcPr>
            <w:tcW w:w="3870" w:type="dxa"/>
          </w:tcPr>
          <w:p>
            <w:pPr>
              <w:pStyle w:val="TableParagraph"/>
              <w:spacing w:line="201" w:lineRule="exact"/>
              <w:ind w:left="100"/>
              <w:rPr>
                <w:sz w:val="18"/>
              </w:rPr>
            </w:pPr>
            <w:r>
              <w:rPr>
                <w:b/>
                <w:sz w:val="18"/>
              </w:rPr>
              <w:t>Field </w:t>
            </w:r>
            <w:r>
              <w:rPr>
                <w:sz w:val="18"/>
              </w:rPr>
              <w:t>Line-of-Sight (LOS) Range Tests</w:t>
            </w:r>
          </w:p>
        </w:tc>
        <w:tc>
          <w:tcPr>
            <w:tcW w:w="1637" w:type="dxa"/>
          </w:tcPr>
          <w:p>
            <w:pPr>
              <w:pStyle w:val="TableParagraph"/>
              <w:rPr>
                <w:sz w:val="18"/>
              </w:rPr>
            </w:pPr>
            <w:r>
              <w:rPr>
                <w:sz w:val="18"/>
              </w:rPr>
              <w:t>C-V2X better</w:t>
            </w:r>
          </w:p>
        </w:tc>
      </w:tr>
      <w:tr>
        <w:trPr>
          <w:trHeight w:val="218" w:hRule="exact"/>
        </w:trPr>
        <w:tc>
          <w:tcPr>
            <w:tcW w:w="1887" w:type="dxa"/>
            <w:vMerge/>
          </w:tcPr>
          <w:p>
            <w:pPr/>
          </w:p>
        </w:tc>
        <w:tc>
          <w:tcPr>
            <w:tcW w:w="3870" w:type="dxa"/>
          </w:tcPr>
          <w:p>
            <w:pPr>
              <w:pStyle w:val="TableParagraph"/>
              <w:spacing w:line="201" w:lineRule="exact"/>
              <w:ind w:left="100"/>
              <w:rPr>
                <w:sz w:val="18"/>
              </w:rPr>
            </w:pPr>
            <w:r>
              <w:rPr>
                <w:b/>
                <w:sz w:val="18"/>
              </w:rPr>
              <w:t>Field </w:t>
            </w:r>
            <w:r>
              <w:rPr>
                <w:sz w:val="18"/>
              </w:rPr>
              <w:t>Non</w:t>
            </w:r>
            <w:r>
              <w:rPr>
                <w:b/>
                <w:sz w:val="18"/>
              </w:rPr>
              <w:t>-</w:t>
            </w:r>
            <w:r>
              <w:rPr>
                <w:sz w:val="18"/>
              </w:rPr>
              <w:t>Line-of-Sight (LOS) Range Tests</w:t>
            </w:r>
          </w:p>
        </w:tc>
        <w:tc>
          <w:tcPr>
            <w:tcW w:w="1637" w:type="dxa"/>
          </w:tcPr>
          <w:p>
            <w:pPr>
              <w:pStyle w:val="TableParagraph"/>
              <w:rPr>
                <w:sz w:val="18"/>
              </w:rPr>
            </w:pPr>
            <w:r>
              <w:rPr>
                <w:sz w:val="18"/>
              </w:rPr>
              <w:t>C-V2X better</w:t>
            </w:r>
          </w:p>
        </w:tc>
      </w:tr>
      <w:tr>
        <w:trPr>
          <w:trHeight w:val="422" w:hRule="exact"/>
        </w:trPr>
        <w:tc>
          <w:tcPr>
            <w:tcW w:w="1887" w:type="dxa"/>
            <w:vMerge w:val="restart"/>
          </w:tcPr>
          <w:p>
            <w:pPr>
              <w:pStyle w:val="TableParagraph"/>
              <w:spacing w:line="240" w:lineRule="auto"/>
              <w:ind w:left="0"/>
              <w:rPr>
                <w:b/>
                <w:sz w:val="20"/>
              </w:rPr>
            </w:pPr>
          </w:p>
          <w:p>
            <w:pPr>
              <w:pStyle w:val="TableParagraph"/>
              <w:spacing w:line="240" w:lineRule="auto"/>
              <w:ind w:left="0"/>
              <w:rPr>
                <w:b/>
                <w:sz w:val="20"/>
              </w:rPr>
            </w:pPr>
          </w:p>
          <w:p>
            <w:pPr>
              <w:pStyle w:val="TableParagraph"/>
              <w:spacing w:line="240" w:lineRule="auto" w:before="175"/>
              <w:rPr>
                <w:sz w:val="18"/>
              </w:rPr>
            </w:pPr>
            <w:r>
              <w:rPr>
                <w:sz w:val="18"/>
              </w:rPr>
              <w:t>Interference</w:t>
            </w:r>
          </w:p>
        </w:tc>
        <w:tc>
          <w:tcPr>
            <w:tcW w:w="3870" w:type="dxa"/>
          </w:tcPr>
          <w:p>
            <w:pPr>
              <w:pStyle w:val="TableParagraph"/>
              <w:spacing w:line="244" w:lineRule="auto"/>
              <w:ind w:left="100"/>
              <w:rPr>
                <w:sz w:val="18"/>
              </w:rPr>
            </w:pPr>
            <w:r>
              <w:rPr>
                <w:b/>
                <w:sz w:val="18"/>
              </w:rPr>
              <w:t>Lab </w:t>
            </w:r>
            <w:r>
              <w:rPr>
                <w:sz w:val="18"/>
              </w:rPr>
              <w:t>Cabled Test with Simulated Co-Channel Interference</w:t>
            </w:r>
          </w:p>
        </w:tc>
        <w:tc>
          <w:tcPr>
            <w:tcW w:w="1637" w:type="dxa"/>
          </w:tcPr>
          <w:p>
            <w:pPr>
              <w:pStyle w:val="TableParagraph"/>
              <w:rPr>
                <w:sz w:val="18"/>
              </w:rPr>
            </w:pPr>
            <w:r>
              <w:rPr>
                <w:sz w:val="18"/>
              </w:rPr>
              <w:t>C-V2X better</w:t>
            </w:r>
          </w:p>
        </w:tc>
      </w:tr>
      <w:tr>
        <w:trPr>
          <w:trHeight w:val="218" w:hRule="exact"/>
        </w:trPr>
        <w:tc>
          <w:tcPr>
            <w:tcW w:w="1887" w:type="dxa"/>
            <w:vMerge/>
          </w:tcPr>
          <w:p>
            <w:pPr/>
          </w:p>
        </w:tc>
        <w:tc>
          <w:tcPr>
            <w:tcW w:w="3870" w:type="dxa"/>
          </w:tcPr>
          <w:p>
            <w:pPr>
              <w:pStyle w:val="TableParagraph"/>
              <w:spacing w:line="204" w:lineRule="exact"/>
              <w:ind w:left="100"/>
              <w:rPr>
                <w:sz w:val="18"/>
              </w:rPr>
            </w:pPr>
            <w:r>
              <w:rPr>
                <w:b/>
                <w:sz w:val="18"/>
              </w:rPr>
              <w:t>Lab </w:t>
            </w:r>
            <w:r>
              <w:rPr>
                <w:sz w:val="18"/>
              </w:rPr>
              <w:t>Cabled Near-Far Test</w:t>
            </w:r>
          </w:p>
        </w:tc>
        <w:tc>
          <w:tcPr>
            <w:tcW w:w="1637" w:type="dxa"/>
          </w:tcPr>
          <w:p>
            <w:pPr>
              <w:pStyle w:val="TableParagraph"/>
              <w:spacing w:line="240" w:lineRule="auto" w:before="1"/>
              <w:rPr>
                <w:sz w:val="18"/>
              </w:rPr>
            </w:pPr>
            <w:r>
              <w:rPr>
                <w:sz w:val="18"/>
              </w:rPr>
              <w:t>Pass</w:t>
            </w:r>
          </w:p>
        </w:tc>
      </w:tr>
      <w:tr>
        <w:trPr>
          <w:trHeight w:val="423" w:hRule="exact"/>
        </w:trPr>
        <w:tc>
          <w:tcPr>
            <w:tcW w:w="1887" w:type="dxa"/>
            <w:vMerge/>
          </w:tcPr>
          <w:p>
            <w:pPr/>
          </w:p>
        </w:tc>
        <w:tc>
          <w:tcPr>
            <w:tcW w:w="3870" w:type="dxa"/>
          </w:tcPr>
          <w:p>
            <w:pPr>
              <w:pStyle w:val="TableParagraph"/>
              <w:spacing w:line="240" w:lineRule="auto"/>
              <w:ind w:left="100"/>
              <w:rPr>
                <w:sz w:val="18"/>
              </w:rPr>
            </w:pPr>
            <w:r>
              <w:rPr>
                <w:sz w:val="18"/>
              </w:rPr>
              <w:t>Field Co-existence with Wi-Fi 80 MHz Bandwidth in UNII-3</w:t>
            </w:r>
          </w:p>
        </w:tc>
        <w:tc>
          <w:tcPr>
            <w:tcW w:w="1637" w:type="dxa"/>
          </w:tcPr>
          <w:p>
            <w:pPr>
              <w:pStyle w:val="TableParagraph"/>
              <w:rPr>
                <w:sz w:val="18"/>
              </w:rPr>
            </w:pPr>
            <w:r>
              <w:rPr>
                <w:sz w:val="18"/>
              </w:rPr>
              <w:t>C-V2X better</w:t>
            </w:r>
          </w:p>
        </w:tc>
      </w:tr>
      <w:tr>
        <w:trPr>
          <w:trHeight w:val="425" w:hRule="exact"/>
        </w:trPr>
        <w:tc>
          <w:tcPr>
            <w:tcW w:w="1887" w:type="dxa"/>
            <w:vMerge/>
          </w:tcPr>
          <w:p>
            <w:pPr/>
          </w:p>
        </w:tc>
        <w:tc>
          <w:tcPr>
            <w:tcW w:w="3870" w:type="dxa"/>
          </w:tcPr>
          <w:p>
            <w:pPr>
              <w:pStyle w:val="TableParagraph"/>
              <w:spacing w:line="244" w:lineRule="auto"/>
              <w:ind w:left="100" w:right="98"/>
              <w:rPr>
                <w:sz w:val="18"/>
              </w:rPr>
            </w:pPr>
            <w:r>
              <w:rPr>
                <w:b/>
                <w:sz w:val="18"/>
              </w:rPr>
              <w:t>Field </w:t>
            </w:r>
            <w:r>
              <w:rPr>
                <w:sz w:val="18"/>
              </w:rPr>
              <w:t>Co-existing of V2X with Adjacent DSRC Carrier</w:t>
            </w:r>
          </w:p>
        </w:tc>
        <w:tc>
          <w:tcPr>
            <w:tcW w:w="1637" w:type="dxa"/>
          </w:tcPr>
          <w:p>
            <w:pPr>
              <w:pStyle w:val="TableParagraph"/>
              <w:spacing w:line="240" w:lineRule="auto" w:before="1"/>
              <w:rPr>
                <w:sz w:val="18"/>
              </w:rPr>
            </w:pPr>
            <w:r>
              <w:rPr>
                <w:sz w:val="18"/>
              </w:rPr>
              <w:t>Pass</w:t>
            </w:r>
          </w:p>
        </w:tc>
      </w:tr>
      <w:tr>
        <w:trPr>
          <w:trHeight w:val="218" w:hRule="exact"/>
        </w:trPr>
        <w:tc>
          <w:tcPr>
            <w:tcW w:w="1887" w:type="dxa"/>
          </w:tcPr>
          <w:p>
            <w:pPr>
              <w:pStyle w:val="TableParagraph"/>
              <w:rPr>
                <w:sz w:val="18"/>
              </w:rPr>
            </w:pPr>
            <w:r>
              <w:rPr>
                <w:sz w:val="18"/>
              </w:rPr>
              <w:t>Congestion</w:t>
            </w:r>
          </w:p>
        </w:tc>
        <w:tc>
          <w:tcPr>
            <w:tcW w:w="3870" w:type="dxa"/>
          </w:tcPr>
          <w:p>
            <w:pPr>
              <w:pStyle w:val="TableParagraph"/>
              <w:spacing w:line="201" w:lineRule="exact"/>
              <w:ind w:left="100"/>
              <w:rPr>
                <w:sz w:val="18"/>
              </w:rPr>
            </w:pPr>
            <w:r>
              <w:rPr>
                <w:b/>
                <w:sz w:val="18"/>
              </w:rPr>
              <w:t>Lab </w:t>
            </w:r>
            <w:r>
              <w:rPr>
                <w:sz w:val="18"/>
              </w:rPr>
              <w:t>Cabled Congestion Control</w:t>
            </w:r>
          </w:p>
        </w:tc>
        <w:tc>
          <w:tcPr>
            <w:tcW w:w="1637" w:type="dxa"/>
          </w:tcPr>
          <w:p>
            <w:pPr>
              <w:pStyle w:val="TableParagraph"/>
              <w:rPr>
                <w:sz w:val="18"/>
              </w:rPr>
            </w:pPr>
            <w:r>
              <w:rPr>
                <w:sz w:val="18"/>
              </w:rPr>
              <w:t>Pass</w:t>
            </w:r>
          </w:p>
        </w:tc>
      </w:tr>
    </w:tbl>
    <w:p>
      <w:pPr>
        <w:pStyle w:val="BodyText"/>
        <w:rPr>
          <w:b/>
          <w:sz w:val="22"/>
        </w:rPr>
      </w:pPr>
    </w:p>
    <w:p>
      <w:pPr>
        <w:pStyle w:val="BodyText"/>
        <w:spacing w:before="152"/>
        <w:ind w:left="1133" w:right="1131"/>
        <w:jc w:val="both"/>
      </w:pPr>
      <w:r>
        <w:rPr/>
        <w:t>In</w:t>
      </w:r>
      <w:r>
        <w:rPr>
          <w:spacing w:val="-8"/>
        </w:rPr>
        <w:t> </w:t>
      </w:r>
      <w:r>
        <w:rPr/>
        <w:t>summary,</w:t>
      </w:r>
      <w:r>
        <w:rPr>
          <w:spacing w:val="-8"/>
        </w:rPr>
        <w:t> </w:t>
      </w:r>
      <w:r>
        <w:rPr/>
        <w:t>the</w:t>
      </w:r>
      <w:r>
        <w:rPr>
          <w:spacing w:val="-8"/>
        </w:rPr>
        <w:t> </w:t>
      </w:r>
      <w:r>
        <w:rPr/>
        <w:t>tests</w:t>
      </w:r>
      <w:r>
        <w:rPr>
          <w:spacing w:val="-7"/>
        </w:rPr>
        <w:t> </w:t>
      </w:r>
      <w:r>
        <w:rPr/>
        <w:t>confirmed</w:t>
      </w:r>
      <w:r>
        <w:rPr>
          <w:spacing w:val="-8"/>
        </w:rPr>
        <w:t> </w:t>
      </w:r>
      <w:r>
        <w:rPr/>
        <w:t>the</w:t>
      </w:r>
      <w:r>
        <w:rPr>
          <w:spacing w:val="-8"/>
        </w:rPr>
        <w:t> </w:t>
      </w:r>
      <w:r>
        <w:rPr/>
        <w:t>suitability</w:t>
      </w:r>
      <w:r>
        <w:rPr>
          <w:spacing w:val="-10"/>
        </w:rPr>
        <w:t> </w:t>
      </w:r>
      <w:r>
        <w:rPr/>
        <w:t>of</w:t>
      </w:r>
      <w:r>
        <w:rPr>
          <w:spacing w:val="-6"/>
        </w:rPr>
        <w:t> </w:t>
      </w:r>
      <w:r>
        <w:rPr/>
        <w:t>C-V2X</w:t>
      </w:r>
      <w:r>
        <w:rPr>
          <w:spacing w:val="-4"/>
        </w:rPr>
        <w:t> </w:t>
      </w:r>
      <w:r>
        <w:rPr/>
        <w:t>to</w:t>
      </w:r>
      <w:r>
        <w:rPr>
          <w:spacing w:val="-8"/>
        </w:rPr>
        <w:t> </w:t>
      </w:r>
      <w:r>
        <w:rPr/>
        <w:t>deliver</w:t>
      </w:r>
      <w:r>
        <w:rPr>
          <w:spacing w:val="-7"/>
        </w:rPr>
        <w:t> </w:t>
      </w:r>
      <w:r>
        <w:rPr/>
        <w:t>broadcast</w:t>
      </w:r>
      <w:r>
        <w:rPr>
          <w:spacing w:val="-8"/>
        </w:rPr>
        <w:t> </w:t>
      </w:r>
      <w:r>
        <w:rPr/>
        <w:t>V2X</w:t>
      </w:r>
      <w:r>
        <w:rPr>
          <w:spacing w:val="-7"/>
        </w:rPr>
        <w:t> </w:t>
      </w:r>
      <w:r>
        <w:rPr/>
        <w:t>safety</w:t>
      </w:r>
      <w:r>
        <w:rPr>
          <w:spacing w:val="-13"/>
        </w:rPr>
        <w:t> </w:t>
      </w:r>
      <w:r>
        <w:rPr/>
        <w:t>messages</w:t>
      </w:r>
      <w:r>
        <w:rPr>
          <w:spacing w:val="-7"/>
        </w:rPr>
        <w:t> </w:t>
      </w:r>
      <w:r>
        <w:rPr/>
        <w:t>in</w:t>
      </w:r>
      <w:r>
        <w:rPr>
          <w:spacing w:val="-8"/>
        </w:rPr>
        <w:t> </w:t>
      </w:r>
      <w:r>
        <w:rPr/>
        <w:t>a</w:t>
      </w:r>
      <w:r>
        <w:rPr>
          <w:spacing w:val="-6"/>
        </w:rPr>
        <w:t> </w:t>
      </w:r>
      <w:r>
        <w:rPr/>
        <w:t>variety of environments, both ideal and adversarial. The tests also showed that C-V2X significantly outperformed DSRC in range and reliability, especially</w:t>
      </w:r>
      <w:r>
        <w:rPr>
          <w:spacing w:val="-39"/>
        </w:rPr>
        <w:t> </w:t>
      </w:r>
      <w:r>
        <w:rPr/>
        <w:t>in adversarial scenarios while satisfying the requirements for latency and</w:t>
      </w:r>
      <w:r>
        <w:rPr>
          <w:spacing w:val="-5"/>
        </w:rPr>
        <w:t> </w:t>
      </w:r>
      <w:r>
        <w:rPr/>
        <w:t>IPG.</w:t>
      </w:r>
    </w:p>
    <w:p>
      <w:pPr>
        <w:pStyle w:val="BodyText"/>
      </w:pPr>
    </w:p>
    <w:p>
      <w:pPr>
        <w:pStyle w:val="BodyText"/>
        <w:spacing w:before="4"/>
        <w:rPr>
          <w:sz w:val="13"/>
        </w:rPr>
      </w:pPr>
      <w:r>
        <w:rPr/>
        <w:pict>
          <v:line style="position:absolute;mso-position-horizontal-relative:page;mso-position-vertical-relative:paragraph;z-index:1984;mso-wrap-distance-left:0;mso-wrap-distance-right:0" from="55.223999pt,10.370662pt" to="540.243999pt,10.370662pt" stroked="true" strokeweight="1.44pt" strokecolor="#000000">
            <v:stroke dashstyle="solid"/>
            <w10:wrap type="topAndBottom"/>
          </v:line>
        </w:pict>
      </w:r>
    </w:p>
    <w:p>
      <w:pPr>
        <w:pStyle w:val="Heading1"/>
        <w:numPr>
          <w:ilvl w:val="0"/>
          <w:numId w:val="14"/>
        </w:numPr>
        <w:tabs>
          <w:tab w:pos="2266" w:val="left" w:leader="none"/>
        </w:tabs>
        <w:spacing w:line="240" w:lineRule="auto" w:before="27" w:after="0"/>
        <w:ind w:left="2265" w:right="0" w:hanging="1132"/>
        <w:jc w:val="both"/>
      </w:pPr>
      <w:bookmarkStart w:name="_bookmark111" w:id="153"/>
      <w:bookmarkEnd w:id="153"/>
      <w:r>
        <w:rPr/>
      </w:r>
      <w:bookmarkStart w:name="_bookmark111" w:id="154"/>
      <w:bookmarkEnd w:id="154"/>
      <w:r>
        <w:rPr/>
        <w:t>Overvi</w:t>
      </w:r>
      <w:r>
        <w:rPr/>
        <w:t>ew of the</w:t>
      </w:r>
      <w:r>
        <w:rPr>
          <w:spacing w:val="-2"/>
        </w:rPr>
        <w:t> </w:t>
      </w:r>
      <w:r>
        <w:rPr/>
        <w:t>Test</w:t>
      </w:r>
    </w:p>
    <w:p>
      <w:pPr>
        <w:pStyle w:val="BodyText"/>
        <w:spacing w:before="183"/>
        <w:ind w:left="1133"/>
        <w:jc w:val="both"/>
      </w:pPr>
      <w:r>
        <w:rPr/>
        <w:t>This chapter is an overview of the comparative tests and KPIs used in the test.</w:t>
      </w:r>
    </w:p>
    <w:p>
      <w:pPr>
        <w:pStyle w:val="BodyText"/>
        <w:spacing w:before="1"/>
        <w:rPr>
          <w:sz w:val="31"/>
        </w:rPr>
      </w:pPr>
    </w:p>
    <w:p>
      <w:pPr>
        <w:pStyle w:val="Heading2"/>
        <w:numPr>
          <w:ilvl w:val="1"/>
          <w:numId w:val="14"/>
        </w:numPr>
        <w:tabs>
          <w:tab w:pos="2267" w:val="left" w:leader="none"/>
        </w:tabs>
        <w:spacing w:line="240" w:lineRule="auto" w:before="0" w:after="0"/>
        <w:ind w:left="2266" w:right="0" w:hanging="1133"/>
        <w:jc w:val="both"/>
      </w:pPr>
      <w:bookmarkStart w:name="_bookmark112" w:id="155"/>
      <w:bookmarkEnd w:id="155"/>
      <w:r>
        <w:rPr/>
      </w:r>
      <w:bookmarkStart w:name="_bookmark112" w:id="156"/>
      <w:bookmarkEnd w:id="156"/>
      <w:r>
        <w:rPr/>
        <w:t>KP</w:t>
      </w:r>
      <w:r>
        <w:rPr/>
        <w:t>Is</w:t>
      </w:r>
      <w:r>
        <w:rPr>
          <w:spacing w:val="-6"/>
        </w:rPr>
        <w:t> </w:t>
      </w:r>
      <w:r>
        <w:rPr/>
        <w:t>Overview</w:t>
      </w:r>
    </w:p>
    <w:p>
      <w:pPr>
        <w:pStyle w:val="BodyText"/>
        <w:spacing w:before="180"/>
        <w:ind w:left="1133" w:right="1134"/>
        <w:jc w:val="both"/>
      </w:pPr>
      <w:r>
        <w:rPr/>
        <w:t>The KPIs used in testing included the Packet Error Rate (PER), Packet Reception Rate (PRR), Received Signal Strength Indicator (RSSI), Inter-Packet Gap (IPG), and Latency. This section defines these KPIs and clarifies the methods for post-processing collected data.</w:t>
      </w:r>
    </w:p>
    <w:p>
      <w:pPr>
        <w:pStyle w:val="BodyText"/>
        <w:rPr>
          <w:sz w:val="22"/>
        </w:rPr>
      </w:pPr>
    </w:p>
    <w:p>
      <w:pPr>
        <w:pStyle w:val="BodyText"/>
        <w:rPr>
          <w:sz w:val="22"/>
        </w:rPr>
      </w:pPr>
    </w:p>
    <w:p>
      <w:pPr>
        <w:pStyle w:val="BodyText"/>
        <w:spacing w:before="5"/>
        <w:rPr>
          <w:sz w:val="17"/>
        </w:rPr>
      </w:pPr>
    </w:p>
    <w:p>
      <w:pPr>
        <w:pStyle w:val="Heading3"/>
        <w:numPr>
          <w:ilvl w:val="2"/>
          <w:numId w:val="14"/>
        </w:numPr>
        <w:tabs>
          <w:tab w:pos="2267" w:val="left" w:leader="none"/>
        </w:tabs>
        <w:spacing w:line="240" w:lineRule="auto" w:before="0" w:after="0"/>
        <w:ind w:left="2266" w:right="0" w:hanging="1133"/>
        <w:jc w:val="both"/>
      </w:pPr>
      <w:bookmarkStart w:name="_bookmark113" w:id="157"/>
      <w:bookmarkEnd w:id="157"/>
      <w:r>
        <w:rPr/>
      </w:r>
      <w:bookmarkStart w:name="_bookmark113" w:id="158"/>
      <w:bookmarkEnd w:id="158"/>
      <w:r>
        <w:rPr/>
        <w:t>Pa</w:t>
      </w:r>
      <w:r>
        <w:rPr/>
        <w:t>cket Error Rate</w:t>
      </w:r>
      <w:r>
        <w:rPr>
          <w:spacing w:val="-5"/>
        </w:rPr>
        <w:t> </w:t>
      </w:r>
      <w:r>
        <w:rPr/>
        <w:t>(PER)</w:t>
      </w:r>
    </w:p>
    <w:p>
      <w:pPr>
        <w:pStyle w:val="BodyText"/>
        <w:spacing w:before="179"/>
        <w:ind w:left="1133" w:right="1140"/>
        <w:jc w:val="both"/>
      </w:pPr>
      <w:r>
        <w:rPr/>
        <w:t>The PER is the ratio, expressed as a percentage, of the number of missed packets at a receiver from a particular transmitter and the total number of packets queued at that transmitter.</w:t>
      </w:r>
    </w:p>
    <w:p>
      <w:pPr>
        <w:pStyle w:val="BodyText"/>
        <w:spacing w:before="180"/>
        <w:ind w:left="1133" w:right="1131"/>
        <w:jc w:val="both"/>
      </w:pPr>
      <w:r>
        <w:rPr/>
        <w:t>A</w:t>
      </w:r>
      <w:r>
        <w:rPr>
          <w:spacing w:val="-16"/>
        </w:rPr>
        <w:t> </w:t>
      </w:r>
      <w:r>
        <w:rPr/>
        <w:t>sliding</w:t>
      </w:r>
      <w:r>
        <w:rPr>
          <w:spacing w:val="-13"/>
        </w:rPr>
        <w:t> </w:t>
      </w:r>
      <w:r>
        <w:rPr/>
        <w:t>window</w:t>
      </w:r>
      <w:r>
        <w:rPr>
          <w:spacing w:val="-15"/>
        </w:rPr>
        <w:t> </w:t>
      </w:r>
      <w:r>
        <w:rPr/>
        <w:t>PER</w:t>
      </w:r>
      <w:r>
        <w:rPr>
          <w:spacing w:val="-15"/>
        </w:rPr>
        <w:t> </w:t>
      </w:r>
      <w:r>
        <w:rPr/>
        <w:t>is</w:t>
      </w:r>
      <w:r>
        <w:rPr>
          <w:spacing w:val="-14"/>
        </w:rPr>
        <w:t> </w:t>
      </w:r>
      <w:r>
        <w:rPr/>
        <w:t>used</w:t>
      </w:r>
      <w:r>
        <w:rPr>
          <w:spacing w:val="-16"/>
        </w:rPr>
        <w:t> </w:t>
      </w:r>
      <w:r>
        <w:rPr/>
        <w:t>to</w:t>
      </w:r>
      <w:r>
        <w:rPr>
          <w:spacing w:val="-15"/>
        </w:rPr>
        <w:t> </w:t>
      </w:r>
      <w:r>
        <w:rPr/>
        <w:t>smooth</w:t>
      </w:r>
      <w:r>
        <w:rPr>
          <w:spacing w:val="-15"/>
        </w:rPr>
        <w:t> </w:t>
      </w:r>
      <w:r>
        <w:rPr/>
        <w:t>the</w:t>
      </w:r>
      <w:r>
        <w:rPr>
          <w:spacing w:val="-16"/>
        </w:rPr>
        <w:t> </w:t>
      </w:r>
      <w:r>
        <w:rPr/>
        <w:t>sudden</w:t>
      </w:r>
      <w:r>
        <w:rPr>
          <w:spacing w:val="-16"/>
        </w:rPr>
        <w:t> </w:t>
      </w:r>
      <w:r>
        <w:rPr/>
        <w:t>fluctuations</w:t>
      </w:r>
      <w:r>
        <w:rPr>
          <w:spacing w:val="-14"/>
        </w:rPr>
        <w:t> </w:t>
      </w:r>
      <w:r>
        <w:rPr/>
        <w:t>and</w:t>
      </w:r>
      <w:r>
        <w:rPr>
          <w:spacing w:val="-13"/>
        </w:rPr>
        <w:t> </w:t>
      </w:r>
      <w:r>
        <w:rPr/>
        <w:t>obtain</w:t>
      </w:r>
      <w:r>
        <w:rPr>
          <w:spacing w:val="-15"/>
        </w:rPr>
        <w:t> </w:t>
      </w:r>
      <w:r>
        <w:rPr/>
        <w:t>an</w:t>
      </w:r>
      <w:r>
        <w:rPr>
          <w:spacing w:val="-15"/>
        </w:rPr>
        <w:t> </w:t>
      </w:r>
      <w:r>
        <w:rPr/>
        <w:t>average</w:t>
      </w:r>
      <w:r>
        <w:rPr>
          <w:spacing w:val="-15"/>
        </w:rPr>
        <w:t> </w:t>
      </w:r>
      <w:r>
        <w:rPr/>
        <w:t>PER.</w:t>
      </w:r>
      <w:r>
        <w:rPr>
          <w:spacing w:val="-15"/>
        </w:rPr>
        <w:t> </w:t>
      </w:r>
      <w:r>
        <w:rPr/>
        <w:t>PER</w:t>
      </w:r>
      <w:r>
        <w:rPr>
          <w:spacing w:val="-12"/>
        </w:rPr>
        <w:t> </w:t>
      </w:r>
      <w:r>
        <w:rPr/>
        <w:t>is</w:t>
      </w:r>
      <w:r>
        <w:rPr>
          <w:spacing w:val="-14"/>
        </w:rPr>
        <w:t> </w:t>
      </w:r>
      <w:r>
        <w:rPr/>
        <w:t>calculated using the sequence number contained in each message between a receiving Host Vehicle (HV) and a transmitting Remote Vehicle(s) (RV). The PER is calculated and plotted versus</w:t>
      </w:r>
      <w:r>
        <w:rPr>
          <w:spacing w:val="-24"/>
        </w:rPr>
        <w:t> </w:t>
      </w:r>
      <w:r>
        <w:rPr/>
        <w:t>time.</w:t>
      </w:r>
    </w:p>
    <w:p>
      <w:pPr>
        <w:pStyle w:val="BodyText"/>
        <w:spacing w:before="180"/>
        <w:ind w:left="1133" w:right="1125"/>
        <w:jc w:val="both"/>
      </w:pPr>
      <w:r>
        <w:rPr/>
        <w:t>Let </w:t>
      </w:r>
      <w:r>
        <w:rPr>
          <w:rFonts w:ascii="Symbol" w:hAnsi="Symbol"/>
          <w:sz w:val="22"/>
        </w:rPr>
        <w:t></w:t>
      </w:r>
      <w:r>
        <w:rPr>
          <w:rFonts w:ascii="Times New Roman" w:hAnsi="Times New Roman"/>
          <w:sz w:val="22"/>
        </w:rPr>
        <w:t> </w:t>
      </w:r>
      <w:r>
        <w:rPr/>
        <w:t>be the PER interval that is divided into sub-windows </w:t>
      </w:r>
      <w:r>
        <w:rPr>
          <w:rFonts w:ascii="Symbol" w:hAnsi="Symbol"/>
          <w:sz w:val="22"/>
        </w:rPr>
        <w:t></w:t>
      </w:r>
      <w:r>
        <w:rPr>
          <w:rFonts w:ascii="Times New Roman" w:hAnsi="Times New Roman"/>
          <w:sz w:val="22"/>
        </w:rPr>
        <w:t> </w:t>
      </w:r>
      <w:r>
        <w:rPr/>
        <w:t>as shown in Figure 1. The width of </w:t>
      </w:r>
      <w:r>
        <w:rPr>
          <w:rFonts w:ascii="Symbol" w:hAnsi="Symbol"/>
          <w:sz w:val="22"/>
        </w:rPr>
        <w:t></w:t>
      </w:r>
      <w:r>
        <w:rPr>
          <w:rFonts w:ascii="Times New Roman" w:hAnsi="Times New Roman"/>
          <w:sz w:val="22"/>
        </w:rPr>
        <w:t> </w:t>
      </w:r>
      <w:r>
        <w:rPr/>
        <w:t>is normally set to 100 ms, which is one BSM sample time. We are currently using 100 ms as this will provide a better resolution of the data results. In Figure 1, </w:t>
      </w:r>
      <w:r>
        <w:rPr>
          <w:rFonts w:ascii="Symbol" w:hAnsi="Symbol"/>
          <w:sz w:val="22"/>
        </w:rPr>
        <w:t></w:t>
      </w:r>
      <w:r>
        <w:rPr>
          <w:sz w:val="22"/>
        </w:rPr>
        <w:t>=</w:t>
      </w:r>
      <w:r>
        <w:rPr>
          <w:i/>
          <w:sz w:val="22"/>
        </w:rPr>
        <w:t>n</w:t>
      </w:r>
      <w:r>
        <w:rPr>
          <w:sz w:val="22"/>
        </w:rPr>
        <w:t>*</w:t>
      </w:r>
      <w:r>
        <w:rPr>
          <w:rFonts w:ascii="Symbol" w:hAnsi="Symbol"/>
          <w:sz w:val="22"/>
        </w:rPr>
        <w:t></w:t>
      </w:r>
      <w:r>
        <w:rPr/>
        <w:t>, where n is normally set to a value such that PER interval is 5 seconds (i.e., </w:t>
      </w:r>
      <w:r>
        <w:rPr>
          <w:i/>
        </w:rPr>
        <w:t>n </w:t>
      </w:r>
      <w:r>
        <w:rPr/>
        <w:t>is 50). Assume that j is the index of the PER interval occurring at the center of this interval, the number of missed packets and the number of transmitted packets is calculated for that new PER  interval</w:t>
      </w:r>
    </w:p>
    <w:p>
      <w:pPr>
        <w:spacing w:before="3"/>
        <w:ind w:left="1133" w:right="0" w:firstLine="0"/>
        <w:jc w:val="both"/>
        <w:rPr>
          <w:sz w:val="20"/>
        </w:rPr>
      </w:pPr>
      <w:r>
        <w:rPr>
          <w:rFonts w:ascii="Symbol" w:hAnsi="Symbol"/>
          <w:sz w:val="22"/>
        </w:rPr>
        <w:t></w:t>
      </w:r>
      <w:r>
        <w:rPr>
          <w:position w:val="-1"/>
          <w:sz w:val="14"/>
        </w:rPr>
        <w:t>j</w:t>
      </w:r>
      <w:r>
        <w:rPr>
          <w:sz w:val="20"/>
        </w:rPr>
        <w:t>.</w:t>
      </w:r>
    </w:p>
    <w:p>
      <w:pPr>
        <w:spacing w:after="0"/>
        <w:jc w:val="both"/>
        <w:rPr>
          <w:sz w:val="20"/>
        </w:rPr>
        <w:sectPr>
          <w:headerReference w:type="default" r:id="rId125"/>
          <w:footerReference w:type="default" r:id="rId126"/>
          <w:pgSz w:w="11910" w:h="16850"/>
          <w:pgMar w:header="852" w:footer="979" w:top="1040" w:bottom="1160" w:left="0" w:right="0"/>
        </w:sectPr>
      </w:pPr>
    </w:p>
    <w:p>
      <w:pPr>
        <w:pStyle w:val="BodyText"/>
      </w:pPr>
    </w:p>
    <w:p>
      <w:pPr>
        <w:pStyle w:val="BodyText"/>
      </w:pPr>
    </w:p>
    <w:p>
      <w:pPr>
        <w:pStyle w:val="BodyText"/>
        <w:spacing w:before="5"/>
        <w:rPr>
          <w:sz w:val="18"/>
        </w:rPr>
      </w:pPr>
    </w:p>
    <w:p>
      <w:pPr>
        <w:pStyle w:val="BodyText"/>
        <w:spacing w:line="237" w:lineRule="auto" w:before="102"/>
        <w:ind w:left="1133" w:right="1136"/>
      </w:pPr>
      <w:r>
        <w:rPr>
          <w:position w:val="2"/>
        </w:rPr>
        <w:t>The PER is then calculated for that index j at the center of each </w:t>
      </w:r>
      <w:r>
        <w:rPr>
          <w:rFonts w:ascii="Symbol" w:hAnsi="Symbol"/>
          <w:position w:val="2"/>
          <w:sz w:val="22"/>
        </w:rPr>
        <w:t></w:t>
      </w:r>
      <w:r>
        <w:rPr>
          <w:sz w:val="14"/>
        </w:rPr>
        <w:t>j</w:t>
      </w:r>
      <w:r>
        <w:rPr>
          <w:position w:val="2"/>
        </w:rPr>
        <w:t>, using the surrounding n sub-windows as </w:t>
      </w:r>
      <w:r>
        <w:rPr/>
        <w:t>follows,</w:t>
      </w:r>
    </w:p>
    <w:p>
      <w:pPr>
        <w:pStyle w:val="BodyText"/>
      </w:pPr>
    </w:p>
    <w:p>
      <w:pPr>
        <w:pStyle w:val="BodyText"/>
      </w:pPr>
    </w:p>
    <w:p>
      <w:pPr>
        <w:pStyle w:val="BodyText"/>
        <w:spacing w:before="8"/>
        <w:rPr>
          <w:sz w:val="12"/>
        </w:rPr>
      </w:pPr>
    </w:p>
    <w:tbl>
      <w:tblPr>
        <w:tblW w:w="0" w:type="auto"/>
        <w:jc w:val="left"/>
        <w:tblInd w:w="272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48"/>
        <w:gridCol w:w="620"/>
      </w:tblGrid>
      <w:tr>
        <w:trPr>
          <w:trHeight w:val="719" w:hRule="exact"/>
        </w:trPr>
        <w:tc>
          <w:tcPr>
            <w:tcW w:w="6548" w:type="dxa"/>
          </w:tcPr>
          <w:p>
            <w:pPr>
              <w:pStyle w:val="TableParagraph"/>
              <w:spacing w:line="185" w:lineRule="exact"/>
              <w:ind w:left="1136"/>
              <w:rPr>
                <w:rFonts w:ascii="Cambria Math" w:hAnsi="Cambria Math" w:eastAsia="Cambria Math"/>
                <w:sz w:val="20"/>
              </w:rPr>
            </w:pPr>
            <w:r>
              <w:rPr>
                <w:rFonts w:ascii="Cambria Math" w:hAnsi="Cambria Math" w:eastAsia="Cambria Math"/>
                <w:w w:val="105"/>
                <w:sz w:val="20"/>
              </w:rPr>
              <w:t>𝑚𝑖𝑠𝑠𝑒𝑑 # 𝑜𝑓 𝐵𝑆𝑀𝑠 𝑓𝑟𝑜𝑚 𝑣𝑒ℎ𝑖𝑐𝑙𝑒 𝑖 𝑑𝑢𝑟𝑖𝑛𝑔 [𝜔</w:t>
            </w:r>
            <w:r>
              <w:rPr>
                <w:rFonts w:ascii="Cambria Math" w:hAnsi="Cambria Math" w:eastAsia="Cambria Math"/>
                <w:w w:val="105"/>
                <w:position w:val="-7"/>
                <w:sz w:val="14"/>
              </w:rPr>
              <w:t>(𝑗  </w:t>
            </w:r>
            <w:r>
              <w:rPr>
                <w:rFonts w:ascii="Cambria Math" w:hAnsi="Cambria Math" w:eastAsia="Cambria Math"/>
                <w:w w:val="105"/>
                <w:sz w:val="14"/>
              </w:rPr>
              <w:t>𝑛</w:t>
            </w:r>
            <w:r>
              <w:rPr>
                <w:rFonts w:ascii="Cambria Math" w:hAnsi="Cambria Math" w:eastAsia="Cambria Math"/>
                <w:w w:val="105"/>
                <w:position w:val="-7"/>
                <w:sz w:val="14"/>
              </w:rPr>
              <w:t>)+1 </w:t>
            </w:r>
            <w:r>
              <w:rPr>
                <w:rFonts w:ascii="Cambria Math" w:hAnsi="Cambria Math" w:eastAsia="Cambria Math"/>
                <w:w w:val="105"/>
                <w:sz w:val="20"/>
              </w:rPr>
              <w:t>, 𝜔</w:t>
            </w:r>
            <w:r>
              <w:rPr>
                <w:rFonts w:ascii="Cambria Math" w:hAnsi="Cambria Math" w:eastAsia="Cambria Math"/>
                <w:w w:val="105"/>
                <w:position w:val="-7"/>
                <w:sz w:val="14"/>
              </w:rPr>
              <w:t>(𝑗 </w:t>
            </w:r>
            <w:r>
              <w:rPr>
                <w:rFonts w:ascii="Cambria Math" w:hAnsi="Cambria Math" w:eastAsia="Cambria Math"/>
                <w:w w:val="105"/>
                <w:sz w:val="14"/>
              </w:rPr>
              <w:t>𝑛</w:t>
            </w:r>
            <w:r>
              <w:rPr>
                <w:rFonts w:ascii="Cambria Math" w:hAnsi="Cambria Math" w:eastAsia="Cambria Math"/>
                <w:w w:val="105"/>
                <w:position w:val="-7"/>
                <w:sz w:val="14"/>
              </w:rPr>
              <w:t>)</w:t>
            </w:r>
            <w:r>
              <w:rPr>
                <w:rFonts w:ascii="Cambria Math" w:hAnsi="Cambria Math" w:eastAsia="Cambria Math"/>
                <w:w w:val="105"/>
                <w:sz w:val="20"/>
              </w:rPr>
              <w:t>]</w:t>
            </w:r>
          </w:p>
          <w:p>
            <w:pPr>
              <w:pStyle w:val="TableParagraph"/>
              <w:tabs>
                <w:tab w:pos="875" w:val="left" w:leader="none"/>
              </w:tabs>
              <w:spacing w:line="37" w:lineRule="exact"/>
              <w:ind w:left="0" w:right="413"/>
              <w:jc w:val="right"/>
              <w:rPr>
                <w:rFonts w:ascii="Cambria Math" w:hAnsi="Cambria Math"/>
                <w:sz w:val="14"/>
              </w:rPr>
            </w:pPr>
            <w:r>
              <w:rPr>
                <w:rFonts w:ascii="Cambria Math" w:hAnsi="Cambria Math"/>
                <w:sz w:val="14"/>
              </w:rPr>
              <w:t>−</w:t>
              <w:tab/>
            </w:r>
            <w:r>
              <w:rPr>
                <w:rFonts w:ascii="Cambria Math" w:hAnsi="Cambria Math"/>
                <w:w w:val="95"/>
                <w:sz w:val="14"/>
              </w:rPr>
              <w:t>+</w:t>
            </w:r>
          </w:p>
          <w:p>
            <w:pPr>
              <w:pStyle w:val="TableParagraph"/>
              <w:tabs>
                <w:tab w:pos="5060" w:val="left" w:leader="none"/>
                <w:tab w:pos="5936" w:val="left" w:leader="none"/>
              </w:tabs>
              <w:spacing w:line="185" w:lineRule="exact"/>
              <w:ind w:left="0" w:right="329"/>
              <w:jc w:val="right"/>
              <w:rPr>
                <w:rFonts w:ascii="Cambria Math" w:eastAsia="Cambria Math"/>
                <w:sz w:val="14"/>
              </w:rPr>
            </w:pPr>
            <w:r>
              <w:rPr>
                <w:rFonts w:ascii="Cambria Math" w:eastAsia="Cambria Math"/>
                <w:sz w:val="20"/>
              </w:rPr>
              <w:t>𝑃𝐸𝑅</w:t>
            </w:r>
            <w:r>
              <w:rPr>
                <w:rFonts w:ascii="Cambria Math" w:eastAsia="Cambria Math"/>
                <w:position w:val="-3"/>
                <w:sz w:val="14"/>
              </w:rPr>
              <w:t>𝑖</w:t>
            </w:r>
            <w:r>
              <w:rPr>
                <w:rFonts w:ascii="Cambria Math" w:eastAsia="Cambria Math"/>
                <w:sz w:val="20"/>
              </w:rPr>
              <w:t>(𝑗)</w:t>
            </w:r>
            <w:r>
              <w:rPr>
                <w:rFonts w:ascii="Cambria Math" w:eastAsia="Cambria Math"/>
                <w:spacing w:val="15"/>
                <w:sz w:val="20"/>
              </w:rPr>
              <w:t> </w:t>
            </w:r>
            <w:r>
              <w:rPr>
                <w:rFonts w:ascii="Cambria Math" w:eastAsia="Cambria Math"/>
                <w:sz w:val="20"/>
              </w:rPr>
              <w:t>=</w:t>
              <w:tab/>
            </w:r>
            <w:r>
              <w:rPr>
                <w:rFonts w:ascii="Cambria Math" w:eastAsia="Cambria Math"/>
                <w:position w:val="9"/>
                <w:sz w:val="14"/>
              </w:rPr>
              <w:t>2</w:t>
              <w:tab/>
            </w:r>
            <w:r>
              <w:rPr>
                <w:rFonts w:ascii="Cambria Math" w:eastAsia="Cambria Math"/>
                <w:spacing w:val="-1"/>
                <w:position w:val="9"/>
                <w:sz w:val="14"/>
              </w:rPr>
              <w:t>2</w:t>
            </w:r>
          </w:p>
          <w:p>
            <w:pPr>
              <w:pStyle w:val="TableParagraph"/>
              <w:spacing w:line="157" w:lineRule="exact"/>
              <w:ind w:left="1232"/>
              <w:rPr>
                <w:rFonts w:ascii="Cambria Math" w:hAnsi="Cambria Math" w:eastAsia="Cambria Math"/>
                <w:sz w:val="20"/>
              </w:rPr>
            </w:pPr>
            <w:r>
              <w:rPr>
                <w:rFonts w:ascii="Cambria Math" w:hAnsi="Cambria Math" w:eastAsia="Cambria Math"/>
                <w:w w:val="105"/>
                <w:sz w:val="20"/>
              </w:rPr>
              <w:t>𝑡𝑜𝑡𝑎𝑙 # 𝑜𝑓 𝐵𝑆𝑀𝑠 𝑓𝑟𝑜𝑚 𝑣𝑒ℎ𝑖𝑐𝑙𝑒 𝑖 𝑑𝑢𝑟𝑖𝑛𝑔 [𝜔</w:t>
            </w:r>
            <w:r>
              <w:rPr>
                <w:rFonts w:ascii="Cambria Math" w:hAnsi="Cambria Math" w:eastAsia="Cambria Math"/>
                <w:w w:val="105"/>
                <w:position w:val="-7"/>
                <w:sz w:val="14"/>
              </w:rPr>
              <w:t>(𝑗  </w:t>
            </w:r>
            <w:r>
              <w:rPr>
                <w:rFonts w:ascii="Cambria Math" w:hAnsi="Cambria Math" w:eastAsia="Cambria Math"/>
                <w:w w:val="105"/>
                <w:sz w:val="14"/>
                <w:u w:val="single"/>
              </w:rPr>
              <w:t>𝑛</w:t>
            </w:r>
            <w:r>
              <w:rPr>
                <w:rFonts w:ascii="Cambria Math" w:hAnsi="Cambria Math" w:eastAsia="Cambria Math"/>
                <w:w w:val="105"/>
                <w:position w:val="-7"/>
                <w:sz w:val="14"/>
              </w:rPr>
              <w:t>)+1  </w:t>
            </w:r>
            <w:r>
              <w:rPr>
                <w:rFonts w:ascii="Cambria Math" w:hAnsi="Cambria Math" w:eastAsia="Cambria Math"/>
                <w:w w:val="105"/>
                <w:sz w:val="20"/>
              </w:rPr>
              <w:t>, 𝜔</w:t>
            </w:r>
            <w:r>
              <w:rPr>
                <w:rFonts w:ascii="Cambria Math" w:hAnsi="Cambria Math" w:eastAsia="Cambria Math"/>
                <w:w w:val="105"/>
                <w:position w:val="-7"/>
                <w:sz w:val="14"/>
              </w:rPr>
              <w:t>(𝑗 </w:t>
            </w:r>
            <w:r>
              <w:rPr>
                <w:rFonts w:ascii="Cambria Math" w:hAnsi="Cambria Math" w:eastAsia="Cambria Math"/>
                <w:w w:val="105"/>
                <w:sz w:val="14"/>
                <w:u w:val="single"/>
              </w:rPr>
              <w:t>𝑛</w:t>
            </w:r>
            <w:r>
              <w:rPr>
                <w:rFonts w:ascii="Cambria Math" w:hAnsi="Cambria Math" w:eastAsia="Cambria Math"/>
                <w:w w:val="105"/>
                <w:position w:val="-7"/>
                <w:sz w:val="14"/>
              </w:rPr>
              <w:t>)</w:t>
            </w:r>
            <w:r>
              <w:rPr>
                <w:rFonts w:ascii="Cambria Math" w:hAnsi="Cambria Math" w:eastAsia="Cambria Math"/>
                <w:w w:val="105"/>
                <w:sz w:val="20"/>
              </w:rPr>
              <w:t>]</w:t>
            </w:r>
          </w:p>
          <w:p>
            <w:pPr>
              <w:pStyle w:val="TableParagraph"/>
              <w:tabs>
                <w:tab w:pos="875" w:val="left" w:leader="none"/>
              </w:tabs>
              <w:spacing w:line="153" w:lineRule="exact"/>
              <w:ind w:left="0" w:right="425"/>
              <w:jc w:val="right"/>
              <w:rPr>
                <w:rFonts w:ascii="Cambria Math" w:hAnsi="Cambria Math"/>
                <w:sz w:val="14"/>
              </w:rPr>
            </w:pPr>
            <w:r>
              <w:rPr>
                <w:rFonts w:ascii="Cambria Math" w:hAnsi="Cambria Math"/>
                <w:sz w:val="14"/>
              </w:rPr>
              <w:t>−</w:t>
            </w:r>
            <w:r>
              <w:rPr>
                <w:rFonts w:ascii="Cambria Math" w:hAnsi="Cambria Math"/>
                <w:position w:val="-6"/>
                <w:sz w:val="14"/>
              </w:rPr>
              <w:t>2</w:t>
              <w:tab/>
            </w:r>
            <w:r>
              <w:rPr>
                <w:rFonts w:ascii="Cambria Math" w:hAnsi="Cambria Math"/>
                <w:sz w:val="14"/>
              </w:rPr>
              <w:t>+</w:t>
            </w:r>
            <w:r>
              <w:rPr>
                <w:rFonts w:ascii="Cambria Math" w:hAnsi="Cambria Math"/>
                <w:position w:val="-6"/>
                <w:sz w:val="14"/>
              </w:rPr>
              <w:t>2</w:t>
            </w:r>
          </w:p>
        </w:tc>
        <w:tc>
          <w:tcPr>
            <w:tcW w:w="620" w:type="dxa"/>
          </w:tcPr>
          <w:p>
            <w:pPr>
              <w:pStyle w:val="TableParagraph"/>
              <w:spacing w:line="240" w:lineRule="auto" w:before="3"/>
              <w:ind w:left="0"/>
              <w:rPr>
                <w:sz w:val="19"/>
              </w:rPr>
            </w:pPr>
          </w:p>
          <w:p>
            <w:pPr>
              <w:pStyle w:val="TableParagraph"/>
              <w:spacing w:line="240" w:lineRule="auto"/>
              <w:ind w:left="176"/>
              <w:rPr>
                <w:sz w:val="20"/>
              </w:rPr>
            </w:pPr>
            <w:r>
              <w:rPr>
                <w:sz w:val="20"/>
              </w:rPr>
              <w:t>(1)</w:t>
            </w:r>
          </w:p>
        </w:tc>
      </w:tr>
    </w:tbl>
    <w:p>
      <w:pPr>
        <w:pStyle w:val="BodyText"/>
        <w:spacing w:before="151"/>
        <w:ind w:left="1133"/>
        <w:jc w:val="both"/>
      </w:pPr>
      <w:r>
        <w:rPr/>
        <w:pict>
          <v:line style="position:absolute;mso-position-horizontal-relative:page;mso-position-vertical-relative:paragraph;z-index:-506008" from="399.100006pt,-26.150105pt" to="403.780006pt,-26.150105pt" stroked="true" strokeweight=".48pt" strokecolor="#000000">
            <v:stroke dashstyle="solid"/>
            <w10:wrap type="none"/>
          </v:line>
        </w:pict>
      </w:r>
      <w:r>
        <w:rPr/>
        <w:pict>
          <v:line style="position:absolute;mso-position-horizontal-relative:page;mso-position-vertical-relative:paragraph;z-index:-505984" from="442.899994pt,-26.150105pt" to="447.579994pt,-26.150105pt" stroked="true" strokeweight=".48pt" strokecolor="#000000">
            <v:stroke dashstyle="solid"/>
            <w10:wrap type="none"/>
          </v:line>
        </w:pict>
      </w:r>
      <w:r>
        <w:rPr/>
        <w:pict>
          <v:line style="position:absolute;mso-position-horizontal-relative:page;mso-position-vertical-relative:paragraph;z-index:-505960" from="193.130005pt,-18.770105pt" to="454.900005pt,-18.770105pt" stroked="true" strokeweight=".6pt" strokecolor="#000000">
            <v:stroke dashstyle="solid"/>
            <w10:wrap type="none"/>
          </v:line>
        </w:pict>
      </w:r>
      <w:r>
        <w:rPr/>
        <w:t>Where j ≥ n.</w:t>
      </w:r>
    </w:p>
    <w:p>
      <w:pPr>
        <w:pStyle w:val="BodyText"/>
        <w:spacing w:before="8"/>
        <w:rPr>
          <w:sz w:val="17"/>
        </w:rPr>
      </w:pPr>
      <w:r>
        <w:rPr/>
        <w:drawing>
          <wp:anchor distT="0" distB="0" distL="0" distR="0" allowOverlap="1" layoutInCell="1" locked="0" behindDoc="0" simplePos="0" relativeHeight="2008">
            <wp:simplePos x="0" y="0"/>
            <wp:positionH relativeFrom="page">
              <wp:posOffset>719455</wp:posOffset>
            </wp:positionH>
            <wp:positionV relativeFrom="paragraph">
              <wp:posOffset>154394</wp:posOffset>
            </wp:positionV>
            <wp:extent cx="3941800" cy="1248155"/>
            <wp:effectExtent l="0" t="0" r="0" b="0"/>
            <wp:wrapTopAndBottom/>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29" cstate="print"/>
                    <a:stretch>
                      <a:fillRect/>
                    </a:stretch>
                  </pic:blipFill>
                  <pic:spPr>
                    <a:xfrm>
                      <a:off x="0" y="0"/>
                      <a:ext cx="3941800" cy="1248155"/>
                    </a:xfrm>
                    <a:prstGeom prst="rect">
                      <a:avLst/>
                    </a:prstGeom>
                  </pic:spPr>
                </pic:pic>
              </a:graphicData>
            </a:graphic>
          </wp:anchor>
        </w:drawing>
      </w:r>
    </w:p>
    <w:p>
      <w:pPr>
        <w:pStyle w:val="BodyText"/>
        <w:spacing w:before="7"/>
        <w:rPr>
          <w:sz w:val="22"/>
        </w:rPr>
      </w:pPr>
    </w:p>
    <w:p>
      <w:pPr>
        <w:pStyle w:val="Heading4"/>
        <w:jc w:val="both"/>
      </w:pPr>
      <w:r>
        <w:rPr/>
        <w:t>Figure 1: Sliding Window (SAE J2945)</w:t>
      </w:r>
    </w:p>
    <w:p>
      <w:pPr>
        <w:pStyle w:val="BodyText"/>
        <w:rPr>
          <w:b/>
          <w:sz w:val="26"/>
        </w:rPr>
      </w:pPr>
    </w:p>
    <w:p>
      <w:pPr>
        <w:pStyle w:val="BodyText"/>
        <w:spacing w:before="182"/>
        <w:ind w:left="1133" w:right="1136"/>
        <w:jc w:val="both"/>
      </w:pPr>
      <w:r>
        <w:rPr/>
        <w:t>Sliding window PER values are plotted against the duration of the test. In addition, all sliding window PER values are averaged and plotted on the same figure. Note that the PER metric in this case includes:</w:t>
      </w:r>
    </w:p>
    <w:p>
      <w:pPr>
        <w:pStyle w:val="ListParagraph"/>
        <w:numPr>
          <w:ilvl w:val="0"/>
          <w:numId w:val="15"/>
        </w:numPr>
        <w:tabs>
          <w:tab w:pos="1702" w:val="left" w:leader="none"/>
        </w:tabs>
        <w:spacing w:line="240" w:lineRule="auto" w:before="180" w:after="0"/>
        <w:ind w:left="1702" w:right="1138" w:hanging="286"/>
        <w:jc w:val="both"/>
        <w:rPr>
          <w:sz w:val="20"/>
        </w:rPr>
      </w:pPr>
      <w:r>
        <w:rPr>
          <w:sz w:val="20"/>
        </w:rPr>
        <w:t>Packet loss due to packets that were dropped from the transmit queue because a newer BSM arrived in the queue before the previous BSM could be transmitted due to the medium being busy (the DSRC radio’s</w:t>
      </w:r>
      <w:r>
        <w:rPr>
          <w:spacing w:val="-8"/>
          <w:sz w:val="20"/>
        </w:rPr>
        <w:t> </w:t>
      </w:r>
      <w:r>
        <w:rPr>
          <w:sz w:val="20"/>
        </w:rPr>
        <w:t>clear</w:t>
      </w:r>
      <w:r>
        <w:rPr>
          <w:spacing w:val="-8"/>
          <w:sz w:val="20"/>
        </w:rPr>
        <w:t> </w:t>
      </w:r>
      <w:r>
        <w:rPr>
          <w:sz w:val="20"/>
        </w:rPr>
        <w:t>channel</w:t>
      </w:r>
      <w:r>
        <w:rPr>
          <w:spacing w:val="-8"/>
          <w:sz w:val="20"/>
        </w:rPr>
        <w:t> </w:t>
      </w:r>
      <w:r>
        <w:rPr>
          <w:sz w:val="20"/>
        </w:rPr>
        <w:t>assessment</w:t>
      </w:r>
      <w:r>
        <w:rPr>
          <w:spacing w:val="-9"/>
          <w:sz w:val="20"/>
        </w:rPr>
        <w:t> </w:t>
      </w:r>
      <w:r>
        <w:rPr>
          <w:sz w:val="20"/>
        </w:rPr>
        <w:t>could</w:t>
      </w:r>
      <w:r>
        <w:rPr>
          <w:spacing w:val="-7"/>
          <w:sz w:val="20"/>
        </w:rPr>
        <w:t> </w:t>
      </w:r>
      <w:r>
        <w:rPr>
          <w:sz w:val="20"/>
        </w:rPr>
        <w:t>not</w:t>
      </w:r>
      <w:r>
        <w:rPr>
          <w:spacing w:val="-6"/>
          <w:sz w:val="20"/>
        </w:rPr>
        <w:t> </w:t>
      </w:r>
      <w:r>
        <w:rPr>
          <w:sz w:val="20"/>
        </w:rPr>
        <w:t>detect</w:t>
      </w:r>
      <w:r>
        <w:rPr>
          <w:spacing w:val="-9"/>
          <w:sz w:val="20"/>
        </w:rPr>
        <w:t> </w:t>
      </w:r>
      <w:r>
        <w:rPr>
          <w:sz w:val="20"/>
        </w:rPr>
        <w:t>that</w:t>
      </w:r>
      <w:r>
        <w:rPr>
          <w:spacing w:val="-6"/>
          <w:sz w:val="20"/>
        </w:rPr>
        <w:t> </w:t>
      </w:r>
      <w:r>
        <w:rPr>
          <w:sz w:val="20"/>
        </w:rPr>
        <w:t>the</w:t>
      </w:r>
      <w:r>
        <w:rPr>
          <w:spacing w:val="-9"/>
          <w:sz w:val="20"/>
        </w:rPr>
        <w:t> </w:t>
      </w:r>
      <w:r>
        <w:rPr>
          <w:sz w:val="20"/>
        </w:rPr>
        <w:t>medium</w:t>
      </w:r>
      <w:r>
        <w:rPr>
          <w:spacing w:val="-5"/>
          <w:sz w:val="20"/>
        </w:rPr>
        <w:t> </w:t>
      </w:r>
      <w:r>
        <w:rPr>
          <w:sz w:val="20"/>
        </w:rPr>
        <w:t>was</w:t>
      </w:r>
      <w:r>
        <w:rPr>
          <w:spacing w:val="-8"/>
          <w:sz w:val="20"/>
        </w:rPr>
        <w:t> </w:t>
      </w:r>
      <w:r>
        <w:rPr>
          <w:sz w:val="20"/>
        </w:rPr>
        <w:t>clear</w:t>
      </w:r>
      <w:r>
        <w:rPr>
          <w:spacing w:val="-8"/>
          <w:sz w:val="20"/>
        </w:rPr>
        <w:t> </w:t>
      </w:r>
      <w:r>
        <w:rPr>
          <w:sz w:val="20"/>
        </w:rPr>
        <w:t>for</w:t>
      </w:r>
      <w:r>
        <w:rPr>
          <w:spacing w:val="-8"/>
          <w:sz w:val="20"/>
        </w:rPr>
        <w:t> </w:t>
      </w:r>
      <w:r>
        <w:rPr>
          <w:sz w:val="20"/>
        </w:rPr>
        <w:t>transmitting</w:t>
      </w:r>
      <w:r>
        <w:rPr>
          <w:spacing w:val="-9"/>
          <w:sz w:val="20"/>
        </w:rPr>
        <w:t> </w:t>
      </w:r>
      <w:r>
        <w:rPr>
          <w:sz w:val="20"/>
        </w:rPr>
        <w:t>before</w:t>
      </w:r>
      <w:r>
        <w:rPr>
          <w:spacing w:val="-8"/>
          <w:sz w:val="20"/>
        </w:rPr>
        <w:t> </w:t>
      </w:r>
      <w:r>
        <w:rPr>
          <w:sz w:val="20"/>
        </w:rPr>
        <w:t>the next packet</w:t>
      </w:r>
      <w:r>
        <w:rPr>
          <w:spacing w:val="-7"/>
          <w:sz w:val="20"/>
        </w:rPr>
        <w:t> </w:t>
      </w:r>
      <w:r>
        <w:rPr>
          <w:sz w:val="20"/>
        </w:rPr>
        <w:t>arrived)</w:t>
      </w:r>
    </w:p>
    <w:p>
      <w:pPr>
        <w:pStyle w:val="ListParagraph"/>
        <w:numPr>
          <w:ilvl w:val="0"/>
          <w:numId w:val="15"/>
        </w:numPr>
        <w:tabs>
          <w:tab w:pos="1701" w:val="left" w:leader="none"/>
          <w:tab w:pos="1702" w:val="left" w:leader="none"/>
        </w:tabs>
        <w:spacing w:line="240" w:lineRule="auto" w:before="180" w:after="0"/>
        <w:ind w:left="1701" w:right="0" w:hanging="285"/>
        <w:jc w:val="left"/>
        <w:rPr>
          <w:sz w:val="20"/>
        </w:rPr>
      </w:pPr>
      <w:r>
        <w:rPr>
          <w:sz w:val="20"/>
        </w:rPr>
        <w:t>Packets lost over the air due to collisions or insufficient signal</w:t>
      </w:r>
      <w:r>
        <w:rPr>
          <w:spacing w:val="-24"/>
          <w:sz w:val="20"/>
        </w:rPr>
        <w:t> </w:t>
      </w:r>
      <w:r>
        <w:rPr>
          <w:sz w:val="20"/>
        </w:rPr>
        <w:t>strength</w:t>
      </w:r>
    </w:p>
    <w:p>
      <w:pPr>
        <w:pStyle w:val="BodyText"/>
        <w:spacing w:before="9"/>
        <w:rPr>
          <w:sz w:val="25"/>
        </w:rPr>
      </w:pPr>
    </w:p>
    <w:p>
      <w:pPr>
        <w:pStyle w:val="Heading3"/>
        <w:numPr>
          <w:ilvl w:val="2"/>
          <w:numId w:val="14"/>
        </w:numPr>
        <w:tabs>
          <w:tab w:pos="2267" w:val="left" w:leader="none"/>
        </w:tabs>
        <w:spacing w:line="240" w:lineRule="auto" w:before="0" w:after="0"/>
        <w:ind w:left="2266" w:right="0" w:hanging="1133"/>
        <w:jc w:val="both"/>
      </w:pPr>
      <w:bookmarkStart w:name="_bookmark114" w:id="159"/>
      <w:bookmarkEnd w:id="159"/>
      <w:r>
        <w:rPr/>
      </w:r>
      <w:bookmarkStart w:name="_bookmark114" w:id="160"/>
      <w:bookmarkEnd w:id="160"/>
      <w:r>
        <w:rPr/>
        <w:t>Pa</w:t>
      </w:r>
      <w:r>
        <w:rPr/>
        <w:t>cket Reception Rate</w:t>
      </w:r>
      <w:r>
        <w:rPr>
          <w:spacing w:val="-8"/>
        </w:rPr>
        <w:t> </w:t>
      </w:r>
      <w:r>
        <w:rPr/>
        <w:t>(PRR)</w:t>
      </w:r>
    </w:p>
    <w:p>
      <w:pPr>
        <w:pStyle w:val="BodyText"/>
        <w:spacing w:before="182"/>
        <w:ind w:left="1133" w:right="1129"/>
        <w:jc w:val="both"/>
      </w:pPr>
      <w:r>
        <w:rPr/>
        <w:t>The PRR is the ratio, expressed as a percentage, of the number of packets received from a particular transmitter</w:t>
      </w:r>
      <w:r>
        <w:rPr>
          <w:spacing w:val="-4"/>
        </w:rPr>
        <w:t> </w:t>
      </w:r>
      <w:r>
        <w:rPr/>
        <w:t>and</w:t>
      </w:r>
      <w:r>
        <w:rPr>
          <w:spacing w:val="-2"/>
        </w:rPr>
        <w:t> </w:t>
      </w:r>
      <w:r>
        <w:rPr/>
        <w:t>the</w:t>
      </w:r>
      <w:r>
        <w:rPr>
          <w:spacing w:val="-2"/>
        </w:rPr>
        <w:t> </w:t>
      </w:r>
      <w:r>
        <w:rPr/>
        <w:t>total</w:t>
      </w:r>
      <w:r>
        <w:rPr>
          <w:spacing w:val="-3"/>
        </w:rPr>
        <w:t> </w:t>
      </w:r>
      <w:r>
        <w:rPr/>
        <w:t>number</w:t>
      </w:r>
      <w:r>
        <w:rPr>
          <w:spacing w:val="-4"/>
        </w:rPr>
        <w:t> </w:t>
      </w:r>
      <w:r>
        <w:rPr/>
        <w:t>of</w:t>
      </w:r>
      <w:r>
        <w:rPr>
          <w:spacing w:val="-3"/>
        </w:rPr>
        <w:t> </w:t>
      </w:r>
      <w:r>
        <w:rPr/>
        <w:t>packets</w:t>
      </w:r>
      <w:r>
        <w:rPr>
          <w:spacing w:val="-4"/>
        </w:rPr>
        <w:t> </w:t>
      </w:r>
      <w:r>
        <w:rPr/>
        <w:t>queued</w:t>
      </w:r>
      <w:r>
        <w:rPr>
          <w:spacing w:val="-2"/>
        </w:rPr>
        <w:t> </w:t>
      </w:r>
      <w:r>
        <w:rPr/>
        <w:t>at</w:t>
      </w:r>
      <w:r>
        <w:rPr>
          <w:spacing w:val="-2"/>
        </w:rPr>
        <w:t> </w:t>
      </w:r>
      <w:r>
        <w:rPr/>
        <w:t>the</w:t>
      </w:r>
      <w:r>
        <w:rPr>
          <w:spacing w:val="-2"/>
        </w:rPr>
        <w:t> </w:t>
      </w:r>
      <w:r>
        <w:rPr/>
        <w:t>transmitter.</w:t>
      </w:r>
      <w:r>
        <w:rPr>
          <w:spacing w:val="-4"/>
        </w:rPr>
        <w:t> </w:t>
      </w:r>
      <w:r>
        <w:rPr/>
        <w:t>The</w:t>
      </w:r>
      <w:r>
        <w:rPr>
          <w:spacing w:val="-2"/>
        </w:rPr>
        <w:t> </w:t>
      </w:r>
      <w:r>
        <w:rPr/>
        <w:t>PRR</w:t>
      </w:r>
      <w:r>
        <w:rPr>
          <w:spacing w:val="-2"/>
        </w:rPr>
        <w:t> </w:t>
      </w:r>
      <w:r>
        <w:rPr>
          <w:spacing w:val="3"/>
        </w:rPr>
        <w:t>is,</w:t>
      </w:r>
      <w:r>
        <w:rPr>
          <w:spacing w:val="-4"/>
        </w:rPr>
        <w:t> </w:t>
      </w:r>
      <w:r>
        <w:rPr/>
        <w:t>therefore,</w:t>
      </w:r>
      <w:r>
        <w:rPr>
          <w:spacing w:val="-4"/>
        </w:rPr>
        <w:t> </w:t>
      </w:r>
      <w:r>
        <w:rPr/>
        <w:t>the</w:t>
      </w:r>
      <w:r>
        <w:rPr>
          <w:spacing w:val="-3"/>
        </w:rPr>
        <w:t> </w:t>
      </w:r>
      <w:r>
        <w:rPr/>
        <w:t>complement of the PER defined in section 5.1.1 and is defined as PRR = 1 –</w:t>
      </w:r>
      <w:r>
        <w:rPr>
          <w:spacing w:val="-16"/>
        </w:rPr>
        <w:t> </w:t>
      </w:r>
      <w:r>
        <w:rPr/>
        <w:t>PER.</w:t>
      </w:r>
    </w:p>
    <w:p>
      <w:pPr>
        <w:pStyle w:val="BodyText"/>
        <w:rPr>
          <w:sz w:val="26"/>
        </w:rPr>
      </w:pPr>
    </w:p>
    <w:p>
      <w:pPr>
        <w:pStyle w:val="Heading3"/>
        <w:numPr>
          <w:ilvl w:val="2"/>
          <w:numId w:val="14"/>
        </w:numPr>
        <w:tabs>
          <w:tab w:pos="2267" w:val="left" w:leader="none"/>
        </w:tabs>
        <w:spacing w:line="240" w:lineRule="auto" w:before="0" w:after="0"/>
        <w:ind w:left="2266" w:right="0" w:hanging="1133"/>
        <w:jc w:val="both"/>
      </w:pPr>
      <w:bookmarkStart w:name="_bookmark115" w:id="161"/>
      <w:bookmarkEnd w:id="161"/>
      <w:r>
        <w:rPr/>
      </w:r>
      <w:bookmarkStart w:name="_bookmark115" w:id="162"/>
      <w:bookmarkEnd w:id="162"/>
      <w:r>
        <w:rPr/>
        <w:t>R</w:t>
      </w:r>
      <w:r>
        <w:rPr/>
        <w:t>eceived Signal Strength Indicator</w:t>
      </w:r>
      <w:r>
        <w:rPr>
          <w:spacing w:val="-11"/>
        </w:rPr>
        <w:t> </w:t>
      </w:r>
      <w:r>
        <w:rPr/>
        <w:t>(RSSI)</w:t>
      </w:r>
    </w:p>
    <w:p>
      <w:pPr>
        <w:pStyle w:val="BodyText"/>
        <w:spacing w:before="179"/>
        <w:ind w:left="1133" w:right="1136"/>
        <w:jc w:val="both"/>
      </w:pPr>
      <w:r>
        <w:rPr/>
        <w:t>For DSRC, RSSI is the Received Signal Strength Indicator. For Cellular, RSSI is the Reference Signal Received Power.</w:t>
      </w:r>
    </w:p>
    <w:p>
      <w:pPr>
        <w:pStyle w:val="BodyText"/>
        <w:spacing w:before="179"/>
        <w:ind w:left="1133" w:right="1131"/>
        <w:jc w:val="both"/>
      </w:pPr>
      <w:r>
        <w:rPr/>
        <w:t>Note</w:t>
      </w:r>
      <w:r>
        <w:rPr>
          <w:spacing w:val="-10"/>
        </w:rPr>
        <w:t> </w:t>
      </w:r>
      <w:r>
        <w:rPr/>
        <w:t>that</w:t>
      </w:r>
      <w:r>
        <w:rPr>
          <w:spacing w:val="-9"/>
        </w:rPr>
        <w:t> </w:t>
      </w:r>
      <w:r>
        <w:rPr/>
        <w:t>the</w:t>
      </w:r>
      <w:r>
        <w:rPr>
          <w:spacing w:val="-10"/>
        </w:rPr>
        <w:t> </w:t>
      </w:r>
      <w:r>
        <w:rPr/>
        <w:t>RSSI</w:t>
      </w:r>
      <w:r>
        <w:rPr>
          <w:spacing w:val="-9"/>
        </w:rPr>
        <w:t> </w:t>
      </w:r>
      <w:r>
        <w:rPr/>
        <w:t>is</w:t>
      </w:r>
      <w:r>
        <w:rPr>
          <w:spacing w:val="-9"/>
        </w:rPr>
        <w:t> </w:t>
      </w:r>
      <w:r>
        <w:rPr/>
        <w:t>a</w:t>
      </w:r>
      <w:r>
        <w:rPr>
          <w:spacing w:val="-8"/>
        </w:rPr>
        <w:t> </w:t>
      </w:r>
      <w:r>
        <w:rPr/>
        <w:t>device</w:t>
      </w:r>
      <w:r>
        <w:rPr>
          <w:spacing w:val="-9"/>
        </w:rPr>
        <w:t> </w:t>
      </w:r>
      <w:r>
        <w:rPr/>
        <w:t>self-reported</w:t>
      </w:r>
      <w:r>
        <w:rPr>
          <w:spacing w:val="-9"/>
        </w:rPr>
        <w:t> </w:t>
      </w:r>
      <w:r>
        <w:rPr/>
        <w:t>quantity</w:t>
      </w:r>
      <w:r>
        <w:rPr>
          <w:spacing w:val="-13"/>
        </w:rPr>
        <w:t> </w:t>
      </w:r>
      <w:r>
        <w:rPr/>
        <w:t>that</w:t>
      </w:r>
      <w:r>
        <w:rPr>
          <w:spacing w:val="-10"/>
        </w:rPr>
        <w:t> </w:t>
      </w:r>
      <w:r>
        <w:rPr/>
        <w:t>is</w:t>
      </w:r>
      <w:r>
        <w:rPr>
          <w:spacing w:val="-9"/>
        </w:rPr>
        <w:t> </w:t>
      </w:r>
      <w:r>
        <w:rPr/>
        <w:t>both</w:t>
      </w:r>
      <w:r>
        <w:rPr>
          <w:spacing w:val="-10"/>
        </w:rPr>
        <w:t> </w:t>
      </w:r>
      <w:r>
        <w:rPr/>
        <w:t>noisy</w:t>
      </w:r>
      <w:r>
        <w:rPr>
          <w:spacing w:val="-13"/>
        </w:rPr>
        <w:t> </w:t>
      </w:r>
      <w:r>
        <w:rPr/>
        <w:t>and</w:t>
      </w:r>
      <w:r>
        <w:rPr>
          <w:spacing w:val="-9"/>
        </w:rPr>
        <w:t> </w:t>
      </w:r>
      <w:r>
        <w:rPr/>
        <w:t>biased.</w:t>
      </w:r>
      <w:r>
        <w:rPr>
          <w:spacing w:val="-8"/>
        </w:rPr>
        <w:t> </w:t>
      </w:r>
      <w:r>
        <w:rPr/>
        <w:t>AGC</w:t>
      </w:r>
      <w:r>
        <w:rPr>
          <w:spacing w:val="-9"/>
        </w:rPr>
        <w:t> </w:t>
      </w:r>
      <w:r>
        <w:rPr/>
        <w:t>outputs</w:t>
      </w:r>
      <w:r>
        <w:rPr>
          <w:spacing w:val="-9"/>
        </w:rPr>
        <w:t> </w:t>
      </w:r>
      <w:r>
        <w:rPr/>
        <w:t>can</w:t>
      </w:r>
      <w:r>
        <w:rPr>
          <w:spacing w:val="-8"/>
        </w:rPr>
        <w:t> </w:t>
      </w:r>
      <w:r>
        <w:rPr/>
        <w:t>differ</w:t>
      </w:r>
      <w:r>
        <w:rPr>
          <w:spacing w:val="-9"/>
        </w:rPr>
        <w:t> </w:t>
      </w:r>
      <w:r>
        <w:rPr/>
        <w:t>from one</w:t>
      </w:r>
      <w:r>
        <w:rPr>
          <w:spacing w:val="-13"/>
        </w:rPr>
        <w:t> </w:t>
      </w:r>
      <w:r>
        <w:rPr/>
        <w:t>type</w:t>
      </w:r>
      <w:r>
        <w:rPr>
          <w:spacing w:val="-11"/>
        </w:rPr>
        <w:t> </w:t>
      </w:r>
      <w:r>
        <w:rPr/>
        <w:t>of</w:t>
      </w:r>
      <w:r>
        <w:rPr>
          <w:spacing w:val="-11"/>
        </w:rPr>
        <w:t> </w:t>
      </w:r>
      <w:r>
        <w:rPr/>
        <w:t>radio</w:t>
      </w:r>
      <w:r>
        <w:rPr>
          <w:spacing w:val="-13"/>
        </w:rPr>
        <w:t> </w:t>
      </w:r>
      <w:r>
        <w:rPr/>
        <w:t>to</w:t>
      </w:r>
      <w:r>
        <w:rPr>
          <w:spacing w:val="-13"/>
        </w:rPr>
        <w:t> </w:t>
      </w:r>
      <w:r>
        <w:rPr/>
        <w:t>another</w:t>
      </w:r>
      <w:r>
        <w:rPr>
          <w:spacing w:val="-12"/>
        </w:rPr>
        <w:t> </w:t>
      </w:r>
      <w:r>
        <w:rPr/>
        <w:t>due</w:t>
      </w:r>
      <w:r>
        <w:rPr>
          <w:spacing w:val="-13"/>
        </w:rPr>
        <w:t> </w:t>
      </w:r>
      <w:r>
        <w:rPr/>
        <w:t>to</w:t>
      </w:r>
      <w:r>
        <w:rPr>
          <w:spacing w:val="-13"/>
        </w:rPr>
        <w:t> </w:t>
      </w:r>
      <w:r>
        <w:rPr/>
        <w:t>(1)</w:t>
      </w:r>
      <w:r>
        <w:rPr>
          <w:spacing w:val="-12"/>
        </w:rPr>
        <w:t> </w:t>
      </w:r>
      <w:r>
        <w:rPr/>
        <w:t>RF</w:t>
      </w:r>
      <w:r>
        <w:rPr>
          <w:spacing w:val="-12"/>
        </w:rPr>
        <w:t> </w:t>
      </w:r>
      <w:r>
        <w:rPr/>
        <w:t>calibration</w:t>
      </w:r>
      <w:r>
        <w:rPr>
          <w:spacing w:val="-13"/>
        </w:rPr>
        <w:t> </w:t>
      </w:r>
      <w:r>
        <w:rPr/>
        <w:t>per</w:t>
      </w:r>
      <w:r>
        <w:rPr>
          <w:spacing w:val="-9"/>
        </w:rPr>
        <w:t> </w:t>
      </w:r>
      <w:r>
        <w:rPr/>
        <w:t>unit</w:t>
      </w:r>
      <w:r>
        <w:rPr>
          <w:spacing w:val="-13"/>
        </w:rPr>
        <w:t> </w:t>
      </w:r>
      <w:r>
        <w:rPr/>
        <w:t>(2)</w:t>
      </w:r>
      <w:r>
        <w:rPr>
          <w:spacing w:val="-12"/>
        </w:rPr>
        <w:t> </w:t>
      </w:r>
      <w:r>
        <w:rPr/>
        <w:t>amplifier</w:t>
      </w:r>
      <w:r>
        <w:rPr>
          <w:spacing w:val="-12"/>
        </w:rPr>
        <w:t> </w:t>
      </w:r>
      <w:r>
        <w:rPr/>
        <w:t>noise</w:t>
      </w:r>
      <w:r>
        <w:rPr>
          <w:spacing w:val="-13"/>
        </w:rPr>
        <w:t> </w:t>
      </w:r>
      <w:r>
        <w:rPr/>
        <w:t>floor.</w:t>
      </w:r>
      <w:r>
        <w:rPr>
          <w:spacing w:val="-13"/>
        </w:rPr>
        <w:t> </w:t>
      </w:r>
      <w:r>
        <w:rPr/>
        <w:t>ADC</w:t>
      </w:r>
      <w:r>
        <w:rPr>
          <w:spacing w:val="-10"/>
        </w:rPr>
        <w:t> </w:t>
      </w:r>
      <w:r>
        <w:rPr/>
        <w:t>will</w:t>
      </w:r>
      <w:r>
        <w:rPr>
          <w:spacing w:val="-11"/>
        </w:rPr>
        <w:t> </w:t>
      </w:r>
      <w:r>
        <w:rPr/>
        <w:t>add</w:t>
      </w:r>
      <w:r>
        <w:rPr>
          <w:spacing w:val="-13"/>
        </w:rPr>
        <w:t> </w:t>
      </w:r>
      <w:r>
        <w:rPr/>
        <w:t>quantization errors.</w:t>
      </w:r>
      <w:r>
        <w:rPr>
          <w:spacing w:val="-14"/>
        </w:rPr>
        <w:t> </w:t>
      </w:r>
      <w:r>
        <w:rPr/>
        <w:t>At</w:t>
      </w:r>
      <w:r>
        <w:rPr>
          <w:spacing w:val="-14"/>
        </w:rPr>
        <w:t> </w:t>
      </w:r>
      <w:r>
        <w:rPr/>
        <w:t>low</w:t>
      </w:r>
      <w:r>
        <w:rPr>
          <w:spacing w:val="-16"/>
        </w:rPr>
        <w:t> </w:t>
      </w:r>
      <w:r>
        <w:rPr/>
        <w:t>received</w:t>
      </w:r>
      <w:r>
        <w:rPr>
          <w:spacing w:val="-15"/>
        </w:rPr>
        <w:t> </w:t>
      </w:r>
      <w:r>
        <w:rPr/>
        <w:t>signal</w:t>
      </w:r>
      <w:r>
        <w:rPr>
          <w:spacing w:val="-15"/>
        </w:rPr>
        <w:t> </w:t>
      </w:r>
      <w:r>
        <w:rPr/>
        <w:t>levels,</w:t>
      </w:r>
      <w:r>
        <w:rPr>
          <w:spacing w:val="-14"/>
        </w:rPr>
        <w:t> </w:t>
      </w:r>
      <w:r>
        <w:rPr/>
        <w:t>thermal</w:t>
      </w:r>
      <w:r>
        <w:rPr>
          <w:spacing w:val="-15"/>
        </w:rPr>
        <w:t> </w:t>
      </w:r>
      <w:r>
        <w:rPr/>
        <w:t>noise</w:t>
      </w:r>
      <w:r>
        <w:rPr>
          <w:spacing w:val="-14"/>
        </w:rPr>
        <w:t> </w:t>
      </w:r>
      <w:r>
        <w:rPr/>
        <w:t>and</w:t>
      </w:r>
      <w:r>
        <w:rPr>
          <w:spacing w:val="-14"/>
        </w:rPr>
        <w:t> </w:t>
      </w:r>
      <w:r>
        <w:rPr/>
        <w:t>other</w:t>
      </w:r>
      <w:r>
        <w:rPr>
          <w:spacing w:val="-14"/>
        </w:rPr>
        <w:t> </w:t>
      </w:r>
      <w:r>
        <w:rPr/>
        <w:t>device</w:t>
      </w:r>
      <w:r>
        <w:rPr>
          <w:spacing w:val="-14"/>
        </w:rPr>
        <w:t> </w:t>
      </w:r>
      <w:r>
        <w:rPr/>
        <w:t>noise</w:t>
      </w:r>
      <w:r>
        <w:rPr>
          <w:spacing w:val="-14"/>
        </w:rPr>
        <w:t> </w:t>
      </w:r>
      <w:r>
        <w:rPr/>
        <w:t>floor</w:t>
      </w:r>
      <w:r>
        <w:rPr>
          <w:spacing w:val="-14"/>
        </w:rPr>
        <w:t> </w:t>
      </w:r>
      <w:r>
        <w:rPr/>
        <w:t>start</w:t>
      </w:r>
      <w:r>
        <w:rPr>
          <w:spacing w:val="-14"/>
        </w:rPr>
        <w:t> </w:t>
      </w:r>
      <w:r>
        <w:rPr/>
        <w:t>to</w:t>
      </w:r>
      <w:r>
        <w:rPr>
          <w:spacing w:val="-14"/>
        </w:rPr>
        <w:t> </w:t>
      </w:r>
      <w:r>
        <w:rPr/>
        <w:t>color</w:t>
      </w:r>
      <w:r>
        <w:rPr>
          <w:spacing w:val="-14"/>
        </w:rPr>
        <w:t> </w:t>
      </w:r>
      <w:r>
        <w:rPr/>
        <w:t>and</w:t>
      </w:r>
      <w:r>
        <w:rPr>
          <w:spacing w:val="-14"/>
        </w:rPr>
        <w:t> </w:t>
      </w:r>
      <w:r>
        <w:rPr/>
        <w:t>even</w:t>
      </w:r>
      <w:r>
        <w:rPr>
          <w:spacing w:val="-15"/>
        </w:rPr>
        <w:t> </w:t>
      </w:r>
      <w:r>
        <w:rPr/>
        <w:t>dominate the reported RSSI values. </w:t>
      </w:r>
      <w:r>
        <w:rPr>
          <w:spacing w:val="3"/>
        </w:rPr>
        <w:t>We </w:t>
      </w:r>
      <w:r>
        <w:rPr/>
        <w:t>have, therefore, observed RSSI reports to be a few dBs off expected signal levels. For these reasons, we view RSSI as a crude metric that is useful for making qualitative observations, but it is not accurate enough for quantitative</w:t>
      </w:r>
      <w:r>
        <w:rPr>
          <w:spacing w:val="-21"/>
        </w:rPr>
        <w:t> </w:t>
      </w:r>
      <w:r>
        <w:rPr/>
        <w:t>conclusions.</w:t>
      </w:r>
    </w:p>
    <w:p>
      <w:pPr>
        <w:pStyle w:val="BodyText"/>
        <w:rPr>
          <w:sz w:val="22"/>
        </w:rPr>
      </w:pPr>
    </w:p>
    <w:p>
      <w:pPr>
        <w:pStyle w:val="BodyText"/>
        <w:rPr>
          <w:sz w:val="22"/>
        </w:rPr>
      </w:pPr>
    </w:p>
    <w:p>
      <w:pPr>
        <w:pStyle w:val="BodyText"/>
        <w:rPr>
          <w:sz w:val="22"/>
        </w:rPr>
      </w:pPr>
    </w:p>
    <w:p>
      <w:pPr>
        <w:pStyle w:val="BodyText"/>
        <w:spacing w:before="1"/>
        <w:rPr>
          <w:sz w:val="31"/>
        </w:rPr>
      </w:pPr>
    </w:p>
    <w:p>
      <w:pPr>
        <w:pStyle w:val="Heading3"/>
        <w:numPr>
          <w:ilvl w:val="2"/>
          <w:numId w:val="14"/>
        </w:numPr>
        <w:tabs>
          <w:tab w:pos="2267" w:val="left" w:leader="none"/>
        </w:tabs>
        <w:spacing w:line="240" w:lineRule="auto" w:before="1" w:after="0"/>
        <w:ind w:left="2266" w:right="0" w:hanging="1133"/>
        <w:jc w:val="both"/>
      </w:pPr>
      <w:bookmarkStart w:name="_bookmark116" w:id="163"/>
      <w:bookmarkEnd w:id="163"/>
      <w:r>
        <w:rPr/>
      </w:r>
      <w:bookmarkStart w:name="_bookmark116" w:id="164"/>
      <w:bookmarkEnd w:id="164"/>
      <w:r>
        <w:rPr/>
        <w:t>I</w:t>
      </w:r>
      <w:r>
        <w:rPr/>
        <w:t>nter-Packet Gap (IPG) (Sourced from 5GAA TR</w:t>
      </w:r>
      <w:r>
        <w:rPr>
          <w:spacing w:val="-10"/>
        </w:rPr>
        <w:t> </w:t>
      </w:r>
      <w:r>
        <w:rPr/>
        <w:t>P-170142)</w:t>
      </w:r>
    </w:p>
    <w:p>
      <w:pPr>
        <w:pStyle w:val="BodyText"/>
        <w:spacing w:before="183"/>
        <w:ind w:left="1133" w:right="1130"/>
        <w:jc w:val="both"/>
      </w:pPr>
      <w:r>
        <w:rPr/>
        <w:t>The</w:t>
      </w:r>
      <w:r>
        <w:rPr>
          <w:spacing w:val="-6"/>
        </w:rPr>
        <w:t> </w:t>
      </w:r>
      <w:r>
        <w:rPr/>
        <w:t>IPG</w:t>
      </w:r>
      <w:r>
        <w:rPr>
          <w:spacing w:val="-2"/>
        </w:rPr>
        <w:t> </w:t>
      </w:r>
      <w:r>
        <w:rPr/>
        <w:t>is</w:t>
      </w:r>
      <w:r>
        <w:rPr>
          <w:spacing w:val="-4"/>
        </w:rPr>
        <w:t> </w:t>
      </w:r>
      <w:r>
        <w:rPr/>
        <w:t>the</w:t>
      </w:r>
      <w:r>
        <w:rPr>
          <w:spacing w:val="-4"/>
        </w:rPr>
        <w:t> </w:t>
      </w:r>
      <w:r>
        <w:rPr/>
        <w:t>time,</w:t>
      </w:r>
      <w:r>
        <w:rPr>
          <w:spacing w:val="-6"/>
        </w:rPr>
        <w:t> </w:t>
      </w:r>
      <w:r>
        <w:rPr/>
        <w:t>calculated</w:t>
      </w:r>
      <w:r>
        <w:rPr>
          <w:spacing w:val="-3"/>
        </w:rPr>
        <w:t> </w:t>
      </w:r>
      <w:r>
        <w:rPr/>
        <w:t>at</w:t>
      </w:r>
      <w:r>
        <w:rPr>
          <w:spacing w:val="-4"/>
        </w:rPr>
        <w:t> </w:t>
      </w:r>
      <w:r>
        <w:rPr/>
        <w:t>the</w:t>
      </w:r>
      <w:r>
        <w:rPr>
          <w:spacing w:val="-4"/>
        </w:rPr>
        <w:t> </w:t>
      </w:r>
      <w:r>
        <w:rPr/>
        <w:t>receiver</w:t>
      </w:r>
      <w:r>
        <w:rPr>
          <w:spacing w:val="-5"/>
        </w:rPr>
        <w:t> </w:t>
      </w:r>
      <w:r>
        <w:rPr/>
        <w:t>and</w:t>
      </w:r>
      <w:r>
        <w:rPr>
          <w:spacing w:val="1"/>
        </w:rPr>
        <w:t> </w:t>
      </w:r>
      <w:r>
        <w:rPr/>
        <w:t>expressed</w:t>
      </w:r>
      <w:r>
        <w:rPr>
          <w:spacing w:val="-3"/>
        </w:rPr>
        <w:t> </w:t>
      </w:r>
      <w:r>
        <w:rPr/>
        <w:t>in</w:t>
      </w:r>
      <w:r>
        <w:rPr>
          <w:spacing w:val="-6"/>
        </w:rPr>
        <w:t> </w:t>
      </w:r>
      <w:r>
        <w:rPr/>
        <w:t>milliseconds,</w:t>
      </w:r>
      <w:r>
        <w:rPr>
          <w:spacing w:val="-3"/>
        </w:rPr>
        <w:t> </w:t>
      </w:r>
      <w:r>
        <w:rPr/>
        <w:t>between successive</w:t>
      </w:r>
      <w:r>
        <w:rPr>
          <w:spacing w:val="-3"/>
        </w:rPr>
        <w:t> </w:t>
      </w:r>
      <w:r>
        <w:rPr/>
        <w:t>successful packet</w:t>
      </w:r>
      <w:r>
        <w:rPr>
          <w:spacing w:val="-13"/>
        </w:rPr>
        <w:t> </w:t>
      </w:r>
      <w:r>
        <w:rPr/>
        <w:t>receptions</w:t>
      </w:r>
      <w:r>
        <w:rPr>
          <w:spacing w:val="-12"/>
        </w:rPr>
        <w:t> </w:t>
      </w:r>
      <w:r>
        <w:rPr/>
        <w:t>from</w:t>
      </w:r>
      <w:r>
        <w:rPr>
          <w:spacing w:val="-8"/>
        </w:rPr>
        <w:t> </w:t>
      </w:r>
      <w:r>
        <w:rPr/>
        <w:t>a</w:t>
      </w:r>
      <w:r>
        <w:rPr>
          <w:spacing w:val="-13"/>
        </w:rPr>
        <w:t> </w:t>
      </w:r>
      <w:r>
        <w:rPr/>
        <w:t>particular</w:t>
      </w:r>
      <w:r>
        <w:rPr>
          <w:spacing w:val="-12"/>
        </w:rPr>
        <w:t> </w:t>
      </w:r>
      <w:r>
        <w:rPr/>
        <w:t>transmitter.</w:t>
      </w:r>
      <w:r>
        <w:rPr>
          <w:spacing w:val="-13"/>
        </w:rPr>
        <w:t> </w:t>
      </w:r>
      <w:r>
        <w:rPr/>
        <w:t>IPG</w:t>
      </w:r>
      <w:r>
        <w:rPr>
          <w:spacing w:val="-9"/>
        </w:rPr>
        <w:t> </w:t>
      </w:r>
      <w:r>
        <w:rPr/>
        <w:t>is</w:t>
      </w:r>
      <w:r>
        <w:rPr>
          <w:spacing w:val="-11"/>
        </w:rPr>
        <w:t> </w:t>
      </w:r>
      <w:r>
        <w:rPr/>
        <w:t>calculated</w:t>
      </w:r>
      <w:r>
        <w:rPr>
          <w:spacing w:val="-13"/>
        </w:rPr>
        <w:t> </w:t>
      </w:r>
      <w:r>
        <w:rPr/>
        <w:t>at</w:t>
      </w:r>
      <w:r>
        <w:rPr>
          <w:spacing w:val="-11"/>
        </w:rPr>
        <w:t> </w:t>
      </w:r>
      <w:r>
        <w:rPr/>
        <w:t>the</w:t>
      </w:r>
      <w:r>
        <w:rPr>
          <w:spacing w:val="-11"/>
        </w:rPr>
        <w:t> </w:t>
      </w:r>
      <w:r>
        <w:rPr/>
        <w:t>receiver</w:t>
      </w:r>
      <w:r>
        <w:rPr>
          <w:spacing w:val="-9"/>
        </w:rPr>
        <w:t> </w:t>
      </w:r>
      <w:r>
        <w:rPr/>
        <w:t>and</w:t>
      </w:r>
      <w:r>
        <w:rPr>
          <w:spacing w:val="-9"/>
        </w:rPr>
        <w:t> </w:t>
      </w:r>
      <w:r>
        <w:rPr/>
        <w:t>expressed</w:t>
      </w:r>
      <w:r>
        <w:rPr>
          <w:spacing w:val="-11"/>
        </w:rPr>
        <w:t> </w:t>
      </w:r>
      <w:r>
        <w:rPr/>
        <w:t>in</w:t>
      </w:r>
      <w:r>
        <w:rPr>
          <w:spacing w:val="-13"/>
        </w:rPr>
        <w:t> </w:t>
      </w:r>
      <w:r>
        <w:rPr/>
        <w:t>milliseconds.</w:t>
      </w:r>
    </w:p>
    <w:p>
      <w:pPr>
        <w:spacing w:after="0"/>
        <w:jc w:val="both"/>
        <w:sectPr>
          <w:headerReference w:type="default" r:id="rId127"/>
          <w:footerReference w:type="default" r:id="rId128"/>
          <w:pgSz w:w="11910" w:h="16850"/>
          <w:pgMar w:header="852" w:footer="931" w:top="1040" w:bottom="1120" w:left="0" w:right="0"/>
          <w:pgNumType w:start="11"/>
        </w:sectPr>
      </w:pPr>
    </w:p>
    <w:p>
      <w:pPr>
        <w:pStyle w:val="BodyText"/>
        <w:spacing w:before="2"/>
        <w:rPr>
          <w:sz w:val="23"/>
        </w:rPr>
      </w:pPr>
    </w:p>
    <w:p>
      <w:pPr>
        <w:pStyle w:val="BodyText"/>
        <w:spacing w:before="93"/>
        <w:ind w:left="1133" w:right="1138"/>
        <w:jc w:val="both"/>
      </w:pPr>
      <w:r>
        <w:rPr/>
        <w:t>Like the PER, the IPG is calculated between a receiving Host Vehicle (HV) and a transmitting Remote Vehicle(s) (RV) and represents the IPG seen over the entire test run.</w:t>
      </w:r>
    </w:p>
    <w:p>
      <w:pPr>
        <w:pStyle w:val="BodyText"/>
        <w:spacing w:line="237" w:lineRule="auto" w:before="181"/>
        <w:ind w:left="1133" w:right="1131"/>
        <w:jc w:val="both"/>
      </w:pPr>
      <w:r>
        <w:rPr>
          <w:position w:val="2"/>
        </w:rPr>
        <w:t>Let </w:t>
      </w:r>
      <w:r>
        <w:rPr>
          <w:rFonts w:ascii="Cambria Math" w:eastAsia="Cambria Math"/>
          <w:position w:val="2"/>
        </w:rPr>
        <w:t>𝑟</w:t>
      </w:r>
      <w:r>
        <w:rPr>
          <w:i/>
          <w:sz w:val="13"/>
        </w:rPr>
        <w:t>1 </w:t>
      </w:r>
      <w:r>
        <w:rPr>
          <w:position w:val="2"/>
        </w:rPr>
        <w:t>denote the Coordinated Universal Time (UTC time) at which the i</w:t>
      </w:r>
      <w:r>
        <w:rPr>
          <w:position w:val="8"/>
          <w:sz w:val="13"/>
        </w:rPr>
        <w:t>th </w:t>
      </w:r>
      <w:r>
        <w:rPr>
          <w:position w:val="2"/>
        </w:rPr>
        <w:t>message from an RV is received by </w:t>
      </w:r>
      <w:r>
        <w:rPr>
          <w:position w:val="1"/>
        </w:rPr>
        <w:t>the HV, and r</w:t>
      </w:r>
      <w:r>
        <w:rPr>
          <w:sz w:val="13"/>
        </w:rPr>
        <w:t>-1 </w:t>
      </w:r>
      <w:r>
        <w:rPr>
          <w:position w:val="1"/>
        </w:rPr>
        <w:t>denote the UTC time at which the (i-1)</w:t>
      </w:r>
      <w:r>
        <w:rPr>
          <w:position w:val="7"/>
          <w:sz w:val="13"/>
        </w:rPr>
        <w:t>th </w:t>
      </w:r>
      <w:r>
        <w:rPr>
          <w:position w:val="1"/>
        </w:rPr>
        <w:t>message from the RV was received by the HV. Then the </w:t>
      </w:r>
      <w:r>
        <w:rPr>
          <w:i/>
          <w:position w:val="1"/>
        </w:rPr>
        <w:t>IPG</w:t>
      </w:r>
      <w:r>
        <w:rPr>
          <w:sz w:val="13"/>
        </w:rPr>
        <w:t>i     </w:t>
      </w:r>
      <w:r>
        <w:rPr>
          <w:position w:val="1"/>
        </w:rPr>
        <w:t>between the (i-1)</w:t>
      </w:r>
      <w:r>
        <w:rPr>
          <w:position w:val="7"/>
          <w:sz w:val="13"/>
        </w:rPr>
        <w:t>th </w:t>
      </w:r>
      <w:r>
        <w:rPr>
          <w:position w:val="1"/>
        </w:rPr>
        <w:t>message and the i</w:t>
      </w:r>
      <w:r>
        <w:rPr>
          <w:position w:val="7"/>
          <w:sz w:val="13"/>
        </w:rPr>
        <w:t>th  </w:t>
      </w:r>
      <w:r>
        <w:rPr>
          <w:position w:val="1"/>
        </w:rPr>
        <w:t>message is:</w:t>
      </w:r>
    </w:p>
    <w:p>
      <w:pPr>
        <w:pStyle w:val="BodyText"/>
        <w:spacing w:before="9"/>
        <w:rPr>
          <w:sz w:val="16"/>
        </w:rPr>
      </w:pPr>
    </w:p>
    <w:tbl>
      <w:tblPr>
        <w:tblW w:w="0" w:type="auto"/>
        <w:jc w:val="left"/>
        <w:tblInd w:w="29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77"/>
        <w:gridCol w:w="3194"/>
      </w:tblGrid>
      <w:tr>
        <w:trPr>
          <w:trHeight w:val="252" w:hRule="exact"/>
        </w:trPr>
        <w:tc>
          <w:tcPr>
            <w:tcW w:w="4277" w:type="dxa"/>
          </w:tcPr>
          <w:p>
            <w:pPr>
              <w:pStyle w:val="TableParagraph"/>
              <w:spacing w:line="251" w:lineRule="exact"/>
              <w:ind w:left="200"/>
              <w:rPr>
                <w:rFonts w:ascii="Cambria Math" w:hAnsi="Cambria Math" w:eastAsia="Cambria Math"/>
                <w:sz w:val="14"/>
              </w:rPr>
            </w:pPr>
            <w:r>
              <w:rPr>
                <w:rFonts w:ascii="Cambria Math" w:hAnsi="Cambria Math" w:eastAsia="Cambria Math"/>
                <w:sz w:val="20"/>
              </w:rPr>
              <w:t>𝐼𝑃𝐺</w:t>
            </w:r>
            <w:r>
              <w:rPr>
                <w:rFonts w:ascii="Cambria Math" w:hAnsi="Cambria Math" w:eastAsia="Cambria Math"/>
                <w:position w:val="-3"/>
                <w:sz w:val="14"/>
              </w:rPr>
              <w:t>𝑖  </w:t>
            </w:r>
            <w:r>
              <w:rPr>
                <w:rFonts w:ascii="Cambria Math" w:hAnsi="Cambria Math" w:eastAsia="Cambria Math"/>
                <w:sz w:val="20"/>
              </w:rPr>
              <w:t>= 𝑟</w:t>
            </w:r>
            <w:r>
              <w:rPr>
                <w:rFonts w:ascii="Cambria Math" w:hAnsi="Cambria Math" w:eastAsia="Cambria Math"/>
                <w:position w:val="-3"/>
                <w:sz w:val="14"/>
              </w:rPr>
              <w:t>𝑖   </w:t>
            </w:r>
            <w:r>
              <w:rPr>
                <w:rFonts w:ascii="Cambria Math" w:hAnsi="Cambria Math" w:eastAsia="Cambria Math"/>
                <w:sz w:val="20"/>
              </w:rPr>
              <w:t>− 𝑟</w:t>
            </w:r>
            <w:r>
              <w:rPr>
                <w:rFonts w:ascii="Cambria Math" w:hAnsi="Cambria Math" w:eastAsia="Cambria Math"/>
                <w:position w:val="-3"/>
                <w:sz w:val="14"/>
              </w:rPr>
              <w:t>𝑖−1</w:t>
            </w:r>
          </w:p>
        </w:tc>
        <w:tc>
          <w:tcPr>
            <w:tcW w:w="3194" w:type="dxa"/>
          </w:tcPr>
          <w:p>
            <w:pPr>
              <w:pStyle w:val="TableParagraph"/>
              <w:spacing w:line="223" w:lineRule="exact"/>
              <w:ind w:left="0" w:right="198"/>
              <w:jc w:val="right"/>
              <w:rPr>
                <w:sz w:val="20"/>
              </w:rPr>
            </w:pPr>
            <w:r>
              <w:rPr>
                <w:sz w:val="20"/>
              </w:rPr>
              <w:t>(2)</w:t>
            </w:r>
          </w:p>
        </w:tc>
      </w:tr>
    </w:tbl>
    <w:p>
      <w:pPr>
        <w:pStyle w:val="BodyText"/>
        <w:spacing w:before="1"/>
        <w:rPr>
          <w:sz w:val="19"/>
        </w:rPr>
      </w:pPr>
    </w:p>
    <w:p>
      <w:pPr>
        <w:pStyle w:val="Heading3"/>
        <w:numPr>
          <w:ilvl w:val="2"/>
          <w:numId w:val="14"/>
        </w:numPr>
        <w:tabs>
          <w:tab w:pos="2267" w:val="left" w:leader="none"/>
        </w:tabs>
        <w:spacing w:line="240" w:lineRule="auto" w:before="0" w:after="0"/>
        <w:ind w:left="2266" w:right="0" w:hanging="1133"/>
        <w:jc w:val="both"/>
      </w:pPr>
      <w:bookmarkStart w:name="_bookmark117" w:id="165"/>
      <w:bookmarkEnd w:id="165"/>
      <w:r>
        <w:rPr/>
      </w:r>
      <w:bookmarkStart w:name="_bookmark117" w:id="166"/>
      <w:bookmarkEnd w:id="166"/>
      <w:r>
        <w:rPr/>
        <w:t>Lat</w:t>
      </w:r>
      <w:r>
        <w:rPr/>
        <w:t>ency (Sourced from 5GAA TR</w:t>
      </w:r>
      <w:r>
        <w:rPr>
          <w:spacing w:val="-4"/>
        </w:rPr>
        <w:t> </w:t>
      </w:r>
      <w:r>
        <w:rPr/>
        <w:t>P-170142)</w:t>
      </w:r>
    </w:p>
    <w:p>
      <w:pPr>
        <w:pStyle w:val="BodyText"/>
        <w:spacing w:before="179"/>
        <w:ind w:left="1133" w:right="1130"/>
        <w:jc w:val="both"/>
      </w:pPr>
      <w:r>
        <w:rPr/>
        <w:t>Latency</w:t>
      </w:r>
      <w:r>
        <w:rPr>
          <w:spacing w:val="-10"/>
        </w:rPr>
        <w:t> </w:t>
      </w:r>
      <w:r>
        <w:rPr/>
        <w:t>represents</w:t>
      </w:r>
      <w:r>
        <w:rPr>
          <w:spacing w:val="-6"/>
        </w:rPr>
        <w:t> </w:t>
      </w:r>
      <w:r>
        <w:rPr/>
        <w:t>the</w:t>
      </w:r>
      <w:r>
        <w:rPr>
          <w:spacing w:val="-7"/>
        </w:rPr>
        <w:t> </w:t>
      </w:r>
      <w:r>
        <w:rPr/>
        <w:t>time</w:t>
      </w:r>
      <w:r>
        <w:rPr>
          <w:spacing w:val="-7"/>
        </w:rPr>
        <w:t> </w:t>
      </w:r>
      <w:r>
        <w:rPr/>
        <w:t>interval,</w:t>
      </w:r>
      <w:r>
        <w:rPr>
          <w:spacing w:val="-4"/>
        </w:rPr>
        <w:t> </w:t>
      </w:r>
      <w:r>
        <w:rPr/>
        <w:t>expressed</w:t>
      </w:r>
      <w:r>
        <w:rPr>
          <w:spacing w:val="-5"/>
        </w:rPr>
        <w:t> </w:t>
      </w:r>
      <w:r>
        <w:rPr/>
        <w:t>in</w:t>
      </w:r>
      <w:r>
        <w:rPr>
          <w:spacing w:val="-7"/>
        </w:rPr>
        <w:t> </w:t>
      </w:r>
      <w:r>
        <w:rPr/>
        <w:t>milliseconds,</w:t>
      </w:r>
      <w:r>
        <w:rPr>
          <w:spacing w:val="-7"/>
        </w:rPr>
        <w:t> </w:t>
      </w:r>
      <w:r>
        <w:rPr/>
        <w:t>between</w:t>
      </w:r>
      <w:r>
        <w:rPr>
          <w:spacing w:val="-5"/>
        </w:rPr>
        <w:t> </w:t>
      </w:r>
      <w:r>
        <w:rPr/>
        <w:t>the</w:t>
      </w:r>
      <w:r>
        <w:rPr>
          <w:spacing w:val="-5"/>
        </w:rPr>
        <w:t> </w:t>
      </w:r>
      <w:r>
        <w:rPr/>
        <w:t>time</w:t>
      </w:r>
      <w:r>
        <w:rPr>
          <w:spacing w:val="-7"/>
        </w:rPr>
        <w:t> </w:t>
      </w:r>
      <w:r>
        <w:rPr/>
        <w:t>instant</w:t>
      </w:r>
      <w:r>
        <w:rPr>
          <w:spacing w:val="-4"/>
        </w:rPr>
        <w:t> </w:t>
      </w:r>
      <w:r>
        <w:rPr/>
        <w:t>when</w:t>
      </w:r>
      <w:r>
        <w:rPr>
          <w:spacing w:val="-7"/>
        </w:rPr>
        <w:t> </w:t>
      </w:r>
      <w:r>
        <w:rPr/>
        <w:t>the</w:t>
      </w:r>
      <w:r>
        <w:rPr>
          <w:spacing w:val="-3"/>
        </w:rPr>
        <w:t> </w:t>
      </w:r>
      <w:r>
        <w:rPr/>
        <w:t>transmitter application</w:t>
      </w:r>
      <w:r>
        <w:rPr>
          <w:spacing w:val="-2"/>
        </w:rPr>
        <w:t> </w:t>
      </w:r>
      <w:r>
        <w:rPr/>
        <w:t>delivers</w:t>
      </w:r>
      <w:r>
        <w:rPr>
          <w:spacing w:val="-2"/>
        </w:rPr>
        <w:t> </w:t>
      </w:r>
      <w:r>
        <w:rPr/>
        <w:t>the</w:t>
      </w:r>
      <w:r>
        <w:rPr>
          <w:spacing w:val="-2"/>
        </w:rPr>
        <w:t> </w:t>
      </w:r>
      <w:r>
        <w:rPr/>
        <w:t>application</w:t>
      </w:r>
      <w:r>
        <w:rPr>
          <w:spacing w:val="-2"/>
        </w:rPr>
        <w:t> </w:t>
      </w:r>
      <w:r>
        <w:rPr/>
        <w:t>layer</w:t>
      </w:r>
      <w:r>
        <w:rPr>
          <w:spacing w:val="-4"/>
        </w:rPr>
        <w:t> </w:t>
      </w:r>
      <w:r>
        <w:rPr/>
        <w:t>packet</w:t>
      </w:r>
      <w:r>
        <w:rPr>
          <w:spacing w:val="-4"/>
        </w:rPr>
        <w:t> </w:t>
      </w:r>
      <w:r>
        <w:rPr/>
        <w:t>(e.g.,</w:t>
      </w:r>
      <w:r>
        <w:rPr>
          <w:spacing w:val="-4"/>
        </w:rPr>
        <w:t> </w:t>
      </w:r>
      <w:r>
        <w:rPr/>
        <w:t>BSM)</w:t>
      </w:r>
      <w:r>
        <w:rPr>
          <w:spacing w:val="-4"/>
        </w:rPr>
        <w:t> </w:t>
      </w:r>
      <w:r>
        <w:rPr/>
        <w:t>to</w:t>
      </w:r>
      <w:r>
        <w:rPr>
          <w:spacing w:val="-4"/>
        </w:rPr>
        <w:t> </w:t>
      </w:r>
      <w:r>
        <w:rPr/>
        <w:t>the</w:t>
      </w:r>
      <w:r>
        <w:rPr>
          <w:spacing w:val="-4"/>
        </w:rPr>
        <w:t> </w:t>
      </w:r>
      <w:r>
        <w:rPr/>
        <w:t>lower</w:t>
      </w:r>
      <w:r>
        <w:rPr>
          <w:spacing w:val="-1"/>
        </w:rPr>
        <w:t> </w:t>
      </w:r>
      <w:r>
        <w:rPr/>
        <w:t>layers,</w:t>
      </w:r>
      <w:r>
        <w:rPr>
          <w:spacing w:val="-4"/>
        </w:rPr>
        <w:t> </w:t>
      </w:r>
      <w:r>
        <w:rPr/>
        <w:t>and</w:t>
      </w:r>
      <w:r>
        <w:rPr>
          <w:spacing w:val="-4"/>
        </w:rPr>
        <w:t> </w:t>
      </w:r>
      <w:r>
        <w:rPr/>
        <w:t>the</w:t>
      </w:r>
      <w:r>
        <w:rPr>
          <w:spacing w:val="-4"/>
        </w:rPr>
        <w:t> </w:t>
      </w:r>
      <w:r>
        <w:rPr/>
        <w:t>time</w:t>
      </w:r>
      <w:r>
        <w:rPr>
          <w:spacing w:val="-4"/>
        </w:rPr>
        <w:t> </w:t>
      </w:r>
      <w:r>
        <w:rPr/>
        <w:t>instant</w:t>
      </w:r>
      <w:r>
        <w:rPr>
          <w:spacing w:val="-2"/>
        </w:rPr>
        <w:t> </w:t>
      </w:r>
      <w:r>
        <w:rPr/>
        <w:t>when</w:t>
      </w:r>
      <w:r>
        <w:rPr>
          <w:spacing w:val="-4"/>
        </w:rPr>
        <w:t> </w:t>
      </w:r>
      <w:r>
        <w:rPr/>
        <w:t>the application layer packet is received by the application layer at the</w:t>
      </w:r>
      <w:r>
        <w:rPr>
          <w:spacing w:val="-23"/>
        </w:rPr>
        <w:t> </w:t>
      </w:r>
      <w:r>
        <w:rPr/>
        <w:t>receiver.</w:t>
      </w:r>
    </w:p>
    <w:p>
      <w:pPr>
        <w:pStyle w:val="BodyText"/>
        <w:spacing w:before="179"/>
        <w:ind w:left="1133" w:right="1131"/>
        <w:jc w:val="both"/>
      </w:pPr>
      <w:r>
        <w:rPr/>
        <w:t>Latency</w:t>
      </w:r>
      <w:r>
        <w:rPr>
          <w:spacing w:val="-6"/>
        </w:rPr>
        <w:t> </w:t>
      </w:r>
      <w:r>
        <w:rPr/>
        <w:t>is</w:t>
      </w:r>
      <w:r>
        <w:rPr>
          <w:spacing w:val="-2"/>
        </w:rPr>
        <w:t> </w:t>
      </w:r>
      <w:r>
        <w:rPr/>
        <w:t>an</w:t>
      </w:r>
      <w:r>
        <w:rPr>
          <w:spacing w:val="-3"/>
        </w:rPr>
        <w:t> </w:t>
      </w:r>
      <w:r>
        <w:rPr/>
        <w:t>important</w:t>
      </w:r>
      <w:r>
        <w:rPr>
          <w:spacing w:val="-3"/>
        </w:rPr>
        <w:t> </w:t>
      </w:r>
      <w:r>
        <w:rPr/>
        <w:t>KPI</w:t>
      </w:r>
      <w:r>
        <w:rPr>
          <w:spacing w:val="-1"/>
        </w:rPr>
        <w:t> </w:t>
      </w:r>
      <w:r>
        <w:rPr/>
        <w:t>for</w:t>
      </w:r>
      <w:r>
        <w:rPr>
          <w:spacing w:val="-3"/>
        </w:rPr>
        <w:t> </w:t>
      </w:r>
      <w:r>
        <w:rPr/>
        <w:t>safety</w:t>
      </w:r>
      <w:r>
        <w:rPr>
          <w:spacing w:val="-7"/>
        </w:rPr>
        <w:t> </w:t>
      </w:r>
      <w:r>
        <w:rPr/>
        <w:t>applications.</w:t>
      </w:r>
      <w:r>
        <w:rPr>
          <w:spacing w:val="-3"/>
        </w:rPr>
        <w:t> </w:t>
      </w:r>
      <w:r>
        <w:rPr/>
        <w:t>C-V2X</w:t>
      </w:r>
      <w:r>
        <w:rPr>
          <w:spacing w:val="-2"/>
        </w:rPr>
        <w:t> </w:t>
      </w:r>
      <w:r>
        <w:rPr/>
        <w:t>is</w:t>
      </w:r>
      <w:r>
        <w:rPr>
          <w:spacing w:val="-2"/>
        </w:rPr>
        <w:t> </w:t>
      </w:r>
      <w:r>
        <w:rPr/>
        <w:t>designed</w:t>
      </w:r>
      <w:r>
        <w:rPr>
          <w:spacing w:val="-3"/>
        </w:rPr>
        <w:t> </w:t>
      </w:r>
      <w:r>
        <w:rPr/>
        <w:t>for</w:t>
      </w:r>
      <w:r>
        <w:rPr>
          <w:spacing w:val="-3"/>
        </w:rPr>
        <w:t> </w:t>
      </w:r>
      <w:r>
        <w:rPr/>
        <w:t>low-latency</w:t>
      </w:r>
      <w:r>
        <w:rPr>
          <w:spacing w:val="-7"/>
        </w:rPr>
        <w:t> </w:t>
      </w:r>
      <w:r>
        <w:rPr/>
        <w:t>direct</w:t>
      </w:r>
      <w:r>
        <w:rPr>
          <w:spacing w:val="-3"/>
        </w:rPr>
        <w:t> </w:t>
      </w:r>
      <w:r>
        <w:rPr/>
        <w:t>communications. The latency requirements, however, vary from application to application. For example, for today’s ITS applications such as EEBL/FCW/LTA/IMA/DNPW, an end-to-end application layer latency of 100 to 150 ms may be sufficient. For other future applications such as close-following platooning, an end-to-end application layer latency of about 40 ms or less may be</w:t>
      </w:r>
      <w:r>
        <w:rPr>
          <w:spacing w:val="-18"/>
        </w:rPr>
        <w:t> </w:t>
      </w:r>
      <w:r>
        <w:rPr/>
        <w:t>needed.</w:t>
      </w:r>
    </w:p>
    <w:p>
      <w:pPr>
        <w:pStyle w:val="BodyText"/>
        <w:spacing w:before="177"/>
        <w:ind w:left="1133" w:right="1126"/>
        <w:jc w:val="both"/>
      </w:pPr>
      <w:r>
        <w:rPr/>
        <w:t>Research is ongoing for latencies needed for platooning, and the latency configuration for C-V2X can be tailored to assure that future latency requirements are met. For the safety applications to be effective, the application-specific latency requirements need to be predictably met in ALL real-world scenarios (including highly congested scenarios). This is feasible with C-V2X, but not with DSRC. As the system load increases, C-V2X continues to meet the latency required by a particular safety application in a predictable manner, whereas with DSRC, the end-to-end latency can be unpredictable.</w:t>
      </w:r>
    </w:p>
    <w:p>
      <w:pPr>
        <w:pStyle w:val="Heading7"/>
        <w:spacing w:before="177"/>
        <w:jc w:val="both"/>
      </w:pPr>
      <w:r>
        <w:rPr/>
        <w:t>Differences between C-V2X and DSRC regarding latency</w:t>
      </w:r>
    </w:p>
    <w:p>
      <w:pPr>
        <w:pStyle w:val="BodyText"/>
        <w:spacing w:before="182"/>
        <w:ind w:left="1133" w:right="1126"/>
        <w:jc w:val="both"/>
      </w:pPr>
      <w:r>
        <w:rPr/>
        <w:t>C-V2X is a synchronous system that relies on a distributed scheduling mechanism for packet transmission. This mechanism enables very efficient allocation of resources to C-V2X devices. The “Packet Delay Budget,” or PDB, is the window of time over which packets from an SPS flow are assigned resources when they are scheduled for the first time. PDB determines the latency experienced by packets from a specific Semi- Persistent</w:t>
      </w:r>
      <w:r>
        <w:rPr>
          <w:spacing w:val="-5"/>
        </w:rPr>
        <w:t> </w:t>
      </w:r>
      <w:r>
        <w:rPr/>
        <w:t>Scheduling</w:t>
      </w:r>
      <w:r>
        <w:rPr>
          <w:spacing w:val="-6"/>
        </w:rPr>
        <w:t> </w:t>
      </w:r>
      <w:r>
        <w:rPr/>
        <w:t>(SPS)</w:t>
      </w:r>
      <w:r>
        <w:rPr>
          <w:spacing w:val="-4"/>
        </w:rPr>
        <w:t> </w:t>
      </w:r>
      <w:r>
        <w:rPr/>
        <w:t>flow.</w:t>
      </w:r>
      <w:r>
        <w:rPr>
          <w:spacing w:val="-5"/>
        </w:rPr>
        <w:t> </w:t>
      </w:r>
      <w:r>
        <w:rPr/>
        <w:t>All</w:t>
      </w:r>
      <w:r>
        <w:rPr>
          <w:spacing w:val="-6"/>
        </w:rPr>
        <w:t> </w:t>
      </w:r>
      <w:r>
        <w:rPr/>
        <w:t>subsequent</w:t>
      </w:r>
      <w:r>
        <w:rPr>
          <w:spacing w:val="-6"/>
        </w:rPr>
        <w:t> </w:t>
      </w:r>
      <w:r>
        <w:rPr/>
        <w:t>messages</w:t>
      </w:r>
      <w:r>
        <w:rPr>
          <w:spacing w:val="-5"/>
        </w:rPr>
        <w:t> </w:t>
      </w:r>
      <w:r>
        <w:rPr/>
        <w:t>from</w:t>
      </w:r>
      <w:r>
        <w:rPr>
          <w:spacing w:val="-1"/>
        </w:rPr>
        <w:t> </w:t>
      </w:r>
      <w:r>
        <w:rPr/>
        <w:t>the</w:t>
      </w:r>
      <w:r>
        <w:rPr>
          <w:spacing w:val="-6"/>
        </w:rPr>
        <w:t> </w:t>
      </w:r>
      <w:r>
        <w:rPr/>
        <w:t>same</w:t>
      </w:r>
      <w:r>
        <w:rPr>
          <w:spacing w:val="-8"/>
        </w:rPr>
        <w:t> </w:t>
      </w:r>
      <w:r>
        <w:rPr/>
        <w:t>flow</w:t>
      </w:r>
      <w:r>
        <w:rPr>
          <w:spacing w:val="-8"/>
        </w:rPr>
        <w:t> </w:t>
      </w:r>
      <w:r>
        <w:rPr/>
        <w:t>are</w:t>
      </w:r>
      <w:r>
        <w:rPr>
          <w:spacing w:val="-6"/>
        </w:rPr>
        <w:t> </w:t>
      </w:r>
      <w:r>
        <w:rPr/>
        <w:t>transmitted</w:t>
      </w:r>
      <w:r>
        <w:rPr>
          <w:spacing w:val="-6"/>
        </w:rPr>
        <w:t> </w:t>
      </w:r>
      <w:r>
        <w:rPr/>
        <w:t>exactly</w:t>
      </w:r>
      <w:r>
        <w:rPr>
          <w:spacing w:val="-9"/>
        </w:rPr>
        <w:t> </w:t>
      </w:r>
      <w:r>
        <w:rPr/>
        <w:t>at</w:t>
      </w:r>
      <w:r>
        <w:rPr>
          <w:spacing w:val="-5"/>
        </w:rPr>
        <w:t> </w:t>
      </w:r>
      <w:r>
        <w:rPr/>
        <w:t>the message periodicity interval (e.g., 100 ms gap between messages). The PDB for an SPS flow can be set based</w:t>
      </w:r>
      <w:r>
        <w:rPr>
          <w:spacing w:val="-12"/>
        </w:rPr>
        <w:t> </w:t>
      </w:r>
      <w:r>
        <w:rPr/>
        <w:t>on</w:t>
      </w:r>
      <w:r>
        <w:rPr>
          <w:spacing w:val="-15"/>
        </w:rPr>
        <w:t> </w:t>
      </w:r>
      <w:r>
        <w:rPr/>
        <w:t>the</w:t>
      </w:r>
      <w:r>
        <w:rPr>
          <w:spacing w:val="-12"/>
        </w:rPr>
        <w:t> </w:t>
      </w:r>
      <w:r>
        <w:rPr/>
        <w:t>application</w:t>
      </w:r>
      <w:r>
        <w:rPr>
          <w:spacing w:val="-15"/>
        </w:rPr>
        <w:t> </w:t>
      </w:r>
      <w:r>
        <w:rPr/>
        <w:t>requirement</w:t>
      </w:r>
      <w:r>
        <w:rPr>
          <w:spacing w:val="-14"/>
        </w:rPr>
        <w:t> </w:t>
      </w:r>
      <w:r>
        <w:rPr/>
        <w:t>for</w:t>
      </w:r>
      <w:r>
        <w:rPr>
          <w:spacing w:val="-11"/>
        </w:rPr>
        <w:t> </w:t>
      </w:r>
      <w:r>
        <w:rPr/>
        <w:t>latency,</w:t>
      </w:r>
      <w:r>
        <w:rPr>
          <w:spacing w:val="-12"/>
        </w:rPr>
        <w:t> </w:t>
      </w:r>
      <w:r>
        <w:rPr/>
        <w:t>thereby</w:t>
      </w:r>
      <w:r>
        <w:rPr>
          <w:spacing w:val="-15"/>
        </w:rPr>
        <w:t> </w:t>
      </w:r>
      <w:r>
        <w:rPr/>
        <w:t>allowing</w:t>
      </w:r>
      <w:r>
        <w:rPr>
          <w:spacing w:val="-12"/>
        </w:rPr>
        <w:t> </w:t>
      </w:r>
      <w:r>
        <w:rPr/>
        <w:t>the</w:t>
      </w:r>
      <w:r>
        <w:rPr>
          <w:spacing w:val="-14"/>
        </w:rPr>
        <w:t> </w:t>
      </w:r>
      <w:r>
        <w:rPr/>
        <w:t>device</w:t>
      </w:r>
      <w:r>
        <w:rPr>
          <w:spacing w:val="-14"/>
        </w:rPr>
        <w:t> </w:t>
      </w:r>
      <w:r>
        <w:rPr/>
        <w:t>to</w:t>
      </w:r>
      <w:r>
        <w:rPr>
          <w:spacing w:val="-14"/>
        </w:rPr>
        <w:t> </w:t>
      </w:r>
      <w:r>
        <w:rPr/>
        <w:t>stay</w:t>
      </w:r>
      <w:r>
        <w:rPr>
          <w:spacing w:val="-15"/>
        </w:rPr>
        <w:t> </w:t>
      </w:r>
      <w:r>
        <w:rPr/>
        <w:t>below</w:t>
      </w:r>
      <w:r>
        <w:rPr>
          <w:spacing w:val="-16"/>
        </w:rPr>
        <w:t> </w:t>
      </w:r>
      <w:r>
        <w:rPr/>
        <w:t>the</w:t>
      </w:r>
      <w:r>
        <w:rPr>
          <w:spacing w:val="-14"/>
        </w:rPr>
        <w:t> </w:t>
      </w:r>
      <w:r>
        <w:rPr/>
        <w:t>required</w:t>
      </w:r>
      <w:r>
        <w:rPr>
          <w:spacing w:val="-12"/>
        </w:rPr>
        <w:t> </w:t>
      </w:r>
      <w:r>
        <w:rPr/>
        <w:t>latency limit yet use an efficient scheduling mechanism. For example, EEBL/FCW/LTA/IMA/DNPW applications can use a PDB of 100 </w:t>
      </w:r>
      <w:r>
        <w:rPr>
          <w:spacing w:val="2"/>
        </w:rPr>
        <w:t>ms, </w:t>
      </w:r>
      <w:r>
        <w:rPr/>
        <w:t>while platooning could use a PDB of 40 ms. Average and maximum latency remains the same even as the system loading increases. The standard guarantees that the latency requirement is always</w:t>
      </w:r>
      <w:r>
        <w:rPr>
          <w:spacing w:val="-10"/>
        </w:rPr>
        <w:t> </w:t>
      </w:r>
      <w:r>
        <w:rPr/>
        <w:t>met</w:t>
      </w:r>
      <w:r>
        <w:rPr>
          <w:spacing w:val="-12"/>
        </w:rPr>
        <w:t> </w:t>
      </w:r>
      <w:r>
        <w:rPr/>
        <w:t>by</w:t>
      </w:r>
      <w:r>
        <w:rPr>
          <w:spacing w:val="-13"/>
        </w:rPr>
        <w:t> </w:t>
      </w:r>
      <w:r>
        <w:rPr/>
        <w:t>allowing</w:t>
      </w:r>
      <w:r>
        <w:rPr>
          <w:spacing w:val="-12"/>
        </w:rPr>
        <w:t> </w:t>
      </w:r>
      <w:r>
        <w:rPr/>
        <w:t>the</w:t>
      </w:r>
      <w:r>
        <w:rPr>
          <w:spacing w:val="-10"/>
        </w:rPr>
        <w:t> </w:t>
      </w:r>
      <w:r>
        <w:rPr/>
        <w:t>devices</w:t>
      </w:r>
      <w:r>
        <w:rPr>
          <w:spacing w:val="-11"/>
        </w:rPr>
        <w:t> </w:t>
      </w:r>
      <w:r>
        <w:rPr/>
        <w:t>to</w:t>
      </w:r>
      <w:r>
        <w:rPr>
          <w:spacing w:val="-10"/>
        </w:rPr>
        <w:t> </w:t>
      </w:r>
      <w:r>
        <w:rPr/>
        <w:t>reselect</w:t>
      </w:r>
      <w:r>
        <w:rPr>
          <w:spacing w:val="-9"/>
        </w:rPr>
        <w:t> </w:t>
      </w:r>
      <w:r>
        <w:rPr/>
        <w:t>SPS</w:t>
      </w:r>
      <w:r>
        <w:rPr>
          <w:spacing w:val="-12"/>
        </w:rPr>
        <w:t> </w:t>
      </w:r>
      <w:r>
        <w:rPr/>
        <w:t>resources</w:t>
      </w:r>
      <w:r>
        <w:rPr>
          <w:spacing w:val="-11"/>
        </w:rPr>
        <w:t> </w:t>
      </w:r>
      <w:r>
        <w:rPr/>
        <w:t>to</w:t>
      </w:r>
      <w:r>
        <w:rPr>
          <w:spacing w:val="-12"/>
        </w:rPr>
        <w:t> </w:t>
      </w:r>
      <w:r>
        <w:rPr/>
        <w:t>meet</w:t>
      </w:r>
      <w:r>
        <w:rPr>
          <w:spacing w:val="-12"/>
        </w:rPr>
        <w:t> </w:t>
      </w:r>
      <w:r>
        <w:rPr/>
        <w:t>the</w:t>
      </w:r>
      <w:r>
        <w:rPr>
          <w:spacing w:val="-10"/>
        </w:rPr>
        <w:t> </w:t>
      </w:r>
      <w:r>
        <w:rPr/>
        <w:t>PDB.</w:t>
      </w:r>
      <w:r>
        <w:rPr>
          <w:spacing w:val="-12"/>
        </w:rPr>
        <w:t> </w:t>
      </w:r>
      <w:r>
        <w:rPr/>
        <w:t>This</w:t>
      </w:r>
      <w:r>
        <w:rPr>
          <w:spacing w:val="-10"/>
        </w:rPr>
        <w:t> </w:t>
      </w:r>
      <w:r>
        <w:rPr/>
        <w:t>can</w:t>
      </w:r>
      <w:r>
        <w:rPr>
          <w:spacing w:val="-10"/>
        </w:rPr>
        <w:t> </w:t>
      </w:r>
      <w:r>
        <w:rPr/>
        <w:t>happen,</w:t>
      </w:r>
      <w:r>
        <w:rPr>
          <w:spacing w:val="-12"/>
        </w:rPr>
        <w:t> </w:t>
      </w:r>
      <w:r>
        <w:rPr/>
        <w:t>for</w:t>
      </w:r>
      <w:r>
        <w:rPr>
          <w:spacing w:val="-11"/>
        </w:rPr>
        <w:t> </w:t>
      </w:r>
      <w:r>
        <w:rPr/>
        <w:t>example, when there is variability in arrival at the application layer and an SPS opportunity is</w:t>
      </w:r>
      <w:r>
        <w:rPr>
          <w:spacing w:val="-23"/>
        </w:rPr>
        <w:t> </w:t>
      </w:r>
      <w:r>
        <w:rPr/>
        <w:t>missed.</w:t>
      </w:r>
    </w:p>
    <w:p>
      <w:pPr>
        <w:pStyle w:val="BodyText"/>
        <w:spacing w:before="180"/>
        <w:ind w:left="1133" w:right="1129"/>
        <w:jc w:val="both"/>
      </w:pPr>
      <w:r>
        <w:rPr/>
        <w:t>DSRC</w:t>
      </w:r>
      <w:r>
        <w:rPr>
          <w:spacing w:val="-5"/>
        </w:rPr>
        <w:t> </w:t>
      </w:r>
      <w:r>
        <w:rPr/>
        <w:t>relies</w:t>
      </w:r>
      <w:r>
        <w:rPr>
          <w:spacing w:val="-5"/>
        </w:rPr>
        <w:t> </w:t>
      </w:r>
      <w:r>
        <w:rPr/>
        <w:t>on</w:t>
      </w:r>
      <w:r>
        <w:rPr>
          <w:spacing w:val="-6"/>
        </w:rPr>
        <w:t> </w:t>
      </w:r>
      <w:r>
        <w:rPr/>
        <w:t>CSMA/CA</w:t>
      </w:r>
      <w:r>
        <w:rPr>
          <w:spacing w:val="-6"/>
        </w:rPr>
        <w:t> </w:t>
      </w:r>
      <w:r>
        <w:rPr/>
        <w:t>for</w:t>
      </w:r>
      <w:r>
        <w:rPr>
          <w:spacing w:val="-5"/>
        </w:rPr>
        <w:t> </w:t>
      </w:r>
      <w:r>
        <w:rPr/>
        <w:t>channel</w:t>
      </w:r>
      <w:r>
        <w:rPr>
          <w:spacing w:val="-4"/>
        </w:rPr>
        <w:t> </w:t>
      </w:r>
      <w:r>
        <w:rPr/>
        <w:t>access.</w:t>
      </w:r>
      <w:r>
        <w:rPr>
          <w:spacing w:val="-5"/>
        </w:rPr>
        <w:t> </w:t>
      </w:r>
      <w:r>
        <w:rPr/>
        <w:t>There</w:t>
      </w:r>
      <w:r>
        <w:rPr>
          <w:spacing w:val="-6"/>
        </w:rPr>
        <w:t> </w:t>
      </w:r>
      <w:r>
        <w:rPr/>
        <w:t>is</w:t>
      </w:r>
      <w:r>
        <w:rPr>
          <w:spacing w:val="-4"/>
        </w:rPr>
        <w:t> </w:t>
      </w:r>
      <w:r>
        <w:rPr/>
        <w:t>no</w:t>
      </w:r>
      <w:r>
        <w:rPr>
          <w:spacing w:val="-6"/>
        </w:rPr>
        <w:t> </w:t>
      </w:r>
      <w:r>
        <w:rPr/>
        <w:t>scheduling</w:t>
      </w:r>
      <w:r>
        <w:rPr>
          <w:spacing w:val="-3"/>
        </w:rPr>
        <w:t> </w:t>
      </w:r>
      <w:r>
        <w:rPr/>
        <w:t>involved,</w:t>
      </w:r>
      <w:r>
        <w:rPr>
          <w:spacing w:val="-3"/>
        </w:rPr>
        <w:t> </w:t>
      </w:r>
      <w:r>
        <w:rPr/>
        <w:t>and</w:t>
      </w:r>
      <w:r>
        <w:rPr>
          <w:spacing w:val="-6"/>
        </w:rPr>
        <w:t> </w:t>
      </w:r>
      <w:r>
        <w:rPr/>
        <w:t>transmission</w:t>
      </w:r>
      <w:r>
        <w:rPr>
          <w:spacing w:val="-6"/>
        </w:rPr>
        <w:t> </w:t>
      </w:r>
      <w:r>
        <w:rPr/>
        <w:t>is</w:t>
      </w:r>
      <w:r>
        <w:rPr>
          <w:spacing w:val="-4"/>
        </w:rPr>
        <w:t> </w:t>
      </w:r>
      <w:r>
        <w:rPr/>
        <w:t>based</w:t>
      </w:r>
      <w:r>
        <w:rPr>
          <w:spacing w:val="-6"/>
        </w:rPr>
        <w:t> </w:t>
      </w:r>
      <w:r>
        <w:rPr/>
        <w:t>on energy sensing on the channel. When the system is lightly loaded, messages can be transmitted with low latency.</w:t>
      </w:r>
      <w:r>
        <w:rPr>
          <w:spacing w:val="-8"/>
        </w:rPr>
        <w:t> </w:t>
      </w:r>
      <w:r>
        <w:rPr/>
        <w:t>However,</w:t>
      </w:r>
      <w:r>
        <w:rPr>
          <w:spacing w:val="-7"/>
        </w:rPr>
        <w:t> </w:t>
      </w:r>
      <w:r>
        <w:rPr/>
        <w:t>as</w:t>
      </w:r>
      <w:r>
        <w:rPr>
          <w:spacing w:val="-9"/>
        </w:rPr>
        <w:t> </w:t>
      </w:r>
      <w:r>
        <w:rPr/>
        <w:t>the</w:t>
      </w:r>
      <w:r>
        <w:rPr>
          <w:spacing w:val="-11"/>
        </w:rPr>
        <w:t> </w:t>
      </w:r>
      <w:r>
        <w:rPr/>
        <w:t>system</w:t>
      </w:r>
      <w:r>
        <w:rPr>
          <w:spacing w:val="-6"/>
        </w:rPr>
        <w:t> </w:t>
      </w:r>
      <w:r>
        <w:rPr/>
        <w:t>becomes</w:t>
      </w:r>
      <w:r>
        <w:rPr>
          <w:spacing w:val="-9"/>
        </w:rPr>
        <w:t> </w:t>
      </w:r>
      <w:r>
        <w:rPr/>
        <w:t>heavily</w:t>
      </w:r>
      <w:r>
        <w:rPr>
          <w:spacing w:val="-11"/>
        </w:rPr>
        <w:t> </w:t>
      </w:r>
      <w:r>
        <w:rPr/>
        <w:t>loaded,</w:t>
      </w:r>
      <w:r>
        <w:rPr>
          <w:spacing w:val="-8"/>
        </w:rPr>
        <w:t> </w:t>
      </w:r>
      <w:r>
        <w:rPr/>
        <w:t>latency</w:t>
      </w:r>
      <w:r>
        <w:rPr>
          <w:spacing w:val="-14"/>
        </w:rPr>
        <w:t> </w:t>
      </w:r>
      <w:r>
        <w:rPr/>
        <w:t>experienced</w:t>
      </w:r>
      <w:r>
        <w:rPr>
          <w:spacing w:val="-9"/>
        </w:rPr>
        <w:t> </w:t>
      </w:r>
      <w:r>
        <w:rPr/>
        <w:t>by</w:t>
      </w:r>
      <w:r>
        <w:rPr>
          <w:spacing w:val="-11"/>
        </w:rPr>
        <w:t> </w:t>
      </w:r>
      <w:r>
        <w:rPr/>
        <w:t>messages</w:t>
      </w:r>
      <w:r>
        <w:rPr>
          <w:spacing w:val="-7"/>
        </w:rPr>
        <w:t> </w:t>
      </w:r>
      <w:r>
        <w:rPr/>
        <w:t>will</w:t>
      </w:r>
      <w:r>
        <w:rPr>
          <w:spacing w:val="-9"/>
        </w:rPr>
        <w:t> </w:t>
      </w:r>
      <w:r>
        <w:rPr/>
        <w:t>grow</w:t>
      </w:r>
      <w:r>
        <w:rPr>
          <w:spacing w:val="-10"/>
        </w:rPr>
        <w:t> </w:t>
      </w:r>
      <w:r>
        <w:rPr/>
        <w:t>rapidly. This</w:t>
      </w:r>
      <w:r>
        <w:rPr>
          <w:spacing w:val="-7"/>
        </w:rPr>
        <w:t> </w:t>
      </w:r>
      <w:r>
        <w:rPr/>
        <w:t>has</w:t>
      </w:r>
      <w:r>
        <w:rPr>
          <w:spacing w:val="-7"/>
        </w:rPr>
        <w:t> </w:t>
      </w:r>
      <w:r>
        <w:rPr/>
        <w:t>been</w:t>
      </w:r>
      <w:r>
        <w:rPr>
          <w:spacing w:val="-8"/>
        </w:rPr>
        <w:t> </w:t>
      </w:r>
      <w:r>
        <w:rPr/>
        <w:t>observed/confirmed</w:t>
      </w:r>
      <w:r>
        <w:rPr>
          <w:spacing w:val="-8"/>
        </w:rPr>
        <w:t> </w:t>
      </w:r>
      <w:r>
        <w:rPr/>
        <w:t>and</w:t>
      </w:r>
      <w:r>
        <w:rPr>
          <w:spacing w:val="-8"/>
        </w:rPr>
        <w:t> </w:t>
      </w:r>
      <w:r>
        <w:rPr/>
        <w:t>documented</w:t>
      </w:r>
      <w:r>
        <w:rPr>
          <w:spacing w:val="-6"/>
        </w:rPr>
        <w:t> </w:t>
      </w:r>
      <w:r>
        <w:rPr/>
        <w:t>by</w:t>
      </w:r>
      <w:r>
        <w:rPr>
          <w:spacing w:val="-11"/>
        </w:rPr>
        <w:t> </w:t>
      </w:r>
      <w:r>
        <w:rPr/>
        <w:t>several</w:t>
      </w:r>
      <w:r>
        <w:rPr>
          <w:spacing w:val="-8"/>
        </w:rPr>
        <w:t> </w:t>
      </w:r>
      <w:r>
        <w:rPr/>
        <w:t>third</w:t>
      </w:r>
      <w:r>
        <w:rPr>
          <w:spacing w:val="-6"/>
        </w:rPr>
        <w:t> </w:t>
      </w:r>
      <w:r>
        <w:rPr/>
        <w:t>parties.</w:t>
      </w:r>
      <w:r>
        <w:rPr>
          <w:spacing w:val="-13"/>
        </w:rPr>
        <w:t> </w:t>
      </w:r>
      <w:r>
        <w:rPr>
          <w:spacing w:val="2"/>
        </w:rPr>
        <w:t>With</w:t>
      </w:r>
      <w:r>
        <w:rPr>
          <w:spacing w:val="-11"/>
        </w:rPr>
        <w:t> </w:t>
      </w:r>
      <w:r>
        <w:rPr/>
        <w:t>high</w:t>
      </w:r>
      <w:r>
        <w:rPr>
          <w:spacing w:val="-8"/>
        </w:rPr>
        <w:t> </w:t>
      </w:r>
      <w:r>
        <w:rPr/>
        <w:t>congestion,</w:t>
      </w:r>
      <w:r>
        <w:rPr>
          <w:spacing w:val="-8"/>
        </w:rPr>
        <w:t> </w:t>
      </w:r>
      <w:r>
        <w:rPr/>
        <w:t>latency,</w:t>
      </w:r>
      <w:r>
        <w:rPr>
          <w:spacing w:val="-8"/>
        </w:rPr>
        <w:t> </w:t>
      </w:r>
      <w:r>
        <w:rPr/>
        <w:t>as well as the interval between subsequent messages, increases significantly. Message reception reliability thus becomes unsuitable for safety</w:t>
      </w:r>
      <w:r>
        <w:rPr>
          <w:spacing w:val="-14"/>
        </w:rPr>
        <w:t> </w:t>
      </w:r>
      <w:r>
        <w:rPr/>
        <w:t>applications.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Heading2"/>
        <w:numPr>
          <w:ilvl w:val="1"/>
          <w:numId w:val="14"/>
        </w:numPr>
        <w:tabs>
          <w:tab w:pos="2267" w:val="left" w:leader="none"/>
        </w:tabs>
        <w:spacing w:line="240" w:lineRule="auto" w:before="130" w:after="0"/>
        <w:ind w:left="2266" w:right="0" w:hanging="1133"/>
        <w:jc w:val="both"/>
      </w:pPr>
      <w:bookmarkStart w:name="_bookmark118" w:id="167"/>
      <w:bookmarkEnd w:id="167"/>
      <w:r>
        <w:rPr/>
      </w:r>
      <w:bookmarkStart w:name="_bookmark118" w:id="168"/>
      <w:bookmarkEnd w:id="168"/>
      <w:r>
        <w:rPr/>
        <w:t>Data</w:t>
      </w:r>
      <w:r>
        <w:rPr>
          <w:spacing w:val="-7"/>
        </w:rPr>
        <w:t> </w:t>
      </w:r>
      <w:r>
        <w:rPr/>
        <w:t>Post-Processing</w:t>
      </w:r>
    </w:p>
    <w:p>
      <w:pPr>
        <w:pStyle w:val="BodyText"/>
        <w:spacing w:before="181"/>
        <w:ind w:left="1133"/>
        <w:jc w:val="both"/>
      </w:pPr>
      <w:r>
        <w:rPr/>
        <w:t>The data collected during tests was post-processed using methods that will be outlined in this section.</w:t>
      </w:r>
    </w:p>
    <w:p>
      <w:pPr>
        <w:spacing w:after="0"/>
        <w:jc w:val="both"/>
        <w:sectPr>
          <w:headerReference w:type="default" r:id="rId130"/>
          <w:pgSz w:w="11910" w:h="16850"/>
          <w:pgMar w:header="852" w:footer="931" w:top="1040" w:bottom="1160" w:left="0" w:right="0"/>
        </w:sectPr>
      </w:pPr>
    </w:p>
    <w:p>
      <w:pPr>
        <w:pStyle w:val="BodyText"/>
        <w:spacing w:before="3"/>
        <w:rPr>
          <w:sz w:val="23"/>
        </w:rPr>
      </w:pPr>
    </w:p>
    <w:p>
      <w:pPr>
        <w:pStyle w:val="Heading3"/>
        <w:numPr>
          <w:ilvl w:val="2"/>
          <w:numId w:val="14"/>
        </w:numPr>
        <w:tabs>
          <w:tab w:pos="2267" w:val="left" w:leader="none"/>
        </w:tabs>
        <w:spacing w:line="240" w:lineRule="auto" w:before="91" w:after="0"/>
        <w:ind w:left="2266" w:right="0" w:hanging="1133"/>
        <w:jc w:val="both"/>
      </w:pPr>
      <w:bookmarkStart w:name="_bookmark119" w:id="169"/>
      <w:bookmarkEnd w:id="169"/>
      <w:r>
        <w:rPr/>
      </w:r>
      <w:bookmarkStart w:name="_bookmark119" w:id="170"/>
      <w:bookmarkEnd w:id="170"/>
      <w:r>
        <w:rPr/>
        <w:t>KPI</w:t>
      </w:r>
      <w:r>
        <w:rPr>
          <w:spacing w:val="-4"/>
        </w:rPr>
        <w:t> </w:t>
      </w:r>
      <w:r>
        <w:rPr/>
        <w:t>Calculations</w:t>
      </w:r>
    </w:p>
    <w:p>
      <w:pPr>
        <w:pStyle w:val="BodyText"/>
        <w:spacing w:before="180"/>
        <w:ind w:left="1133" w:right="1139"/>
        <w:jc w:val="both"/>
      </w:pPr>
      <w:r>
        <w:rPr/>
        <w:t>Figure 2 shows the high-level process flow for data processing and KPI generation. The details of each step follow the diagram.</w:t>
      </w:r>
    </w:p>
    <w:p>
      <w:pPr>
        <w:pStyle w:val="BodyText"/>
        <w:spacing w:before="8"/>
        <w:rPr>
          <w:sz w:val="17"/>
        </w:rPr>
      </w:pPr>
      <w:r>
        <w:rPr/>
        <w:drawing>
          <wp:anchor distT="0" distB="0" distL="0" distR="0" allowOverlap="1" layoutInCell="1" locked="0" behindDoc="0" simplePos="0" relativeHeight="2104">
            <wp:simplePos x="0" y="0"/>
            <wp:positionH relativeFrom="page">
              <wp:posOffset>719455</wp:posOffset>
            </wp:positionH>
            <wp:positionV relativeFrom="paragraph">
              <wp:posOffset>153982</wp:posOffset>
            </wp:positionV>
            <wp:extent cx="5551864" cy="1341120"/>
            <wp:effectExtent l="0" t="0" r="0" b="0"/>
            <wp:wrapTopAndBottom/>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132" cstate="print"/>
                    <a:stretch>
                      <a:fillRect/>
                    </a:stretch>
                  </pic:blipFill>
                  <pic:spPr>
                    <a:xfrm>
                      <a:off x="0" y="0"/>
                      <a:ext cx="5551864" cy="1341120"/>
                    </a:xfrm>
                    <a:prstGeom prst="rect">
                      <a:avLst/>
                    </a:prstGeom>
                  </pic:spPr>
                </pic:pic>
              </a:graphicData>
            </a:graphic>
          </wp:anchor>
        </w:drawing>
      </w:r>
    </w:p>
    <w:p>
      <w:pPr>
        <w:pStyle w:val="BodyText"/>
        <w:spacing w:before="3"/>
        <w:rPr>
          <w:sz w:val="22"/>
        </w:rPr>
      </w:pPr>
    </w:p>
    <w:p>
      <w:pPr>
        <w:pStyle w:val="Heading4"/>
        <w:jc w:val="both"/>
      </w:pPr>
      <w:r>
        <w:rPr/>
        <w:t>Figure 2: Data Processing Overview</w:t>
      </w:r>
    </w:p>
    <w:p>
      <w:pPr>
        <w:pStyle w:val="BodyText"/>
        <w:rPr>
          <w:b/>
          <w:sz w:val="26"/>
        </w:rPr>
      </w:pPr>
    </w:p>
    <w:p>
      <w:pPr>
        <w:pStyle w:val="BodyText"/>
        <w:spacing w:before="182"/>
        <w:ind w:left="1133" w:right="1129"/>
        <w:jc w:val="both"/>
      </w:pPr>
      <w:r>
        <w:rPr/>
        <w:t>The</w:t>
      </w:r>
      <w:r>
        <w:rPr>
          <w:spacing w:val="-7"/>
        </w:rPr>
        <w:t> </w:t>
      </w:r>
      <w:r>
        <w:rPr/>
        <w:t>data</w:t>
      </w:r>
      <w:r>
        <w:rPr>
          <w:spacing w:val="-7"/>
        </w:rPr>
        <w:t> </w:t>
      </w:r>
      <w:r>
        <w:rPr/>
        <w:t>files</w:t>
      </w:r>
      <w:r>
        <w:rPr>
          <w:spacing w:val="-6"/>
        </w:rPr>
        <w:t> </w:t>
      </w:r>
      <w:r>
        <w:rPr/>
        <w:t>collected</w:t>
      </w:r>
      <w:r>
        <w:rPr>
          <w:spacing w:val="-7"/>
        </w:rPr>
        <w:t> </w:t>
      </w:r>
      <w:r>
        <w:rPr/>
        <w:t>during</w:t>
      </w:r>
      <w:r>
        <w:rPr>
          <w:spacing w:val="-7"/>
        </w:rPr>
        <w:t> </w:t>
      </w:r>
      <w:r>
        <w:rPr/>
        <w:t>tests</w:t>
      </w:r>
      <w:r>
        <w:rPr>
          <w:spacing w:val="-3"/>
        </w:rPr>
        <w:t> </w:t>
      </w:r>
      <w:r>
        <w:rPr/>
        <w:t>were</w:t>
      </w:r>
      <w:r>
        <w:rPr>
          <w:spacing w:val="-6"/>
        </w:rPr>
        <w:t> </w:t>
      </w:r>
      <w:r>
        <w:rPr/>
        <w:t>stored</w:t>
      </w:r>
      <w:r>
        <w:rPr>
          <w:spacing w:val="-7"/>
        </w:rPr>
        <w:t> </w:t>
      </w:r>
      <w:r>
        <w:rPr/>
        <w:t>as</w:t>
      </w:r>
      <w:r>
        <w:rPr>
          <w:spacing w:val="-6"/>
        </w:rPr>
        <w:t> </w:t>
      </w:r>
      <w:r>
        <w:rPr/>
        <w:t>comma</w:t>
      </w:r>
      <w:r>
        <w:rPr>
          <w:spacing w:val="-7"/>
        </w:rPr>
        <w:t> </w:t>
      </w:r>
      <w:r>
        <w:rPr/>
        <w:t>separated</w:t>
      </w:r>
      <w:r>
        <w:rPr>
          <w:spacing w:val="-5"/>
        </w:rPr>
        <w:t> </w:t>
      </w:r>
      <w:r>
        <w:rPr/>
        <w:t>value</w:t>
      </w:r>
      <w:r>
        <w:rPr>
          <w:spacing w:val="-7"/>
        </w:rPr>
        <w:t> </w:t>
      </w:r>
      <w:r>
        <w:rPr/>
        <w:t>files.</w:t>
      </w:r>
      <w:r>
        <w:rPr>
          <w:spacing w:val="44"/>
        </w:rPr>
        <w:t> </w:t>
      </w:r>
      <w:r>
        <w:rPr/>
        <w:t>The</w:t>
      </w:r>
      <w:r>
        <w:rPr>
          <w:spacing w:val="-7"/>
        </w:rPr>
        <w:t> </w:t>
      </w:r>
      <w:r>
        <w:rPr/>
        <w:t>content</w:t>
      </w:r>
      <w:r>
        <w:rPr>
          <w:spacing w:val="-7"/>
        </w:rPr>
        <w:t> </w:t>
      </w:r>
      <w:r>
        <w:rPr/>
        <w:t>of</w:t>
      </w:r>
      <w:r>
        <w:rPr>
          <w:spacing w:val="-5"/>
        </w:rPr>
        <w:t> </w:t>
      </w:r>
      <w:r>
        <w:rPr/>
        <w:t>the</w:t>
      </w:r>
      <w:r>
        <w:rPr>
          <w:spacing w:val="-5"/>
        </w:rPr>
        <w:t> </w:t>
      </w:r>
      <w:r>
        <w:rPr/>
        <w:t>data</w:t>
      </w:r>
      <w:r>
        <w:rPr>
          <w:spacing w:val="-7"/>
        </w:rPr>
        <w:t> </w:t>
      </w:r>
      <w:r>
        <w:rPr/>
        <w:t>files includes</w:t>
      </w:r>
      <w:r>
        <w:rPr>
          <w:spacing w:val="-3"/>
        </w:rPr>
        <w:t> </w:t>
      </w:r>
      <w:r>
        <w:rPr/>
        <w:t>timestamp</w:t>
      </w:r>
      <w:r>
        <w:rPr>
          <w:spacing w:val="-4"/>
        </w:rPr>
        <w:t> </w:t>
      </w:r>
      <w:r>
        <w:rPr/>
        <w:t>information,</w:t>
      </w:r>
      <w:r>
        <w:rPr>
          <w:spacing w:val="-4"/>
        </w:rPr>
        <w:t> </w:t>
      </w:r>
      <w:r>
        <w:rPr/>
        <w:t>vehicle</w:t>
      </w:r>
      <w:r>
        <w:rPr>
          <w:spacing w:val="-4"/>
        </w:rPr>
        <w:t> </w:t>
      </w:r>
      <w:r>
        <w:rPr/>
        <w:t>telemetry</w:t>
      </w:r>
      <w:r>
        <w:rPr>
          <w:spacing w:val="-8"/>
        </w:rPr>
        <w:t> </w:t>
      </w:r>
      <w:r>
        <w:rPr/>
        <w:t>data,</w:t>
      </w:r>
      <w:r>
        <w:rPr>
          <w:spacing w:val="-2"/>
        </w:rPr>
        <w:t> </w:t>
      </w:r>
      <w:r>
        <w:rPr/>
        <w:t>and</w:t>
      </w:r>
      <w:r>
        <w:rPr>
          <w:spacing w:val="-4"/>
        </w:rPr>
        <w:t> </w:t>
      </w:r>
      <w:r>
        <w:rPr/>
        <w:t>the</w:t>
      </w:r>
      <w:r>
        <w:rPr>
          <w:spacing w:val="-4"/>
        </w:rPr>
        <w:t> </w:t>
      </w:r>
      <w:r>
        <w:rPr/>
        <w:t>content</w:t>
      </w:r>
      <w:r>
        <w:rPr>
          <w:spacing w:val="-4"/>
        </w:rPr>
        <w:t> </w:t>
      </w:r>
      <w:r>
        <w:rPr/>
        <w:t>of</w:t>
      </w:r>
      <w:r>
        <w:rPr>
          <w:spacing w:val="-2"/>
        </w:rPr>
        <w:t> </w:t>
      </w:r>
      <w:r>
        <w:rPr/>
        <w:t>the</w:t>
      </w:r>
      <w:r>
        <w:rPr>
          <w:spacing w:val="-4"/>
        </w:rPr>
        <w:t> </w:t>
      </w:r>
      <w:r>
        <w:rPr/>
        <w:t>transmitted</w:t>
      </w:r>
      <w:r>
        <w:rPr>
          <w:spacing w:val="-4"/>
        </w:rPr>
        <w:t> </w:t>
      </w:r>
      <w:r>
        <w:rPr/>
        <w:t>and</w:t>
      </w:r>
      <w:r>
        <w:rPr>
          <w:spacing w:val="-4"/>
        </w:rPr>
        <w:t> </w:t>
      </w:r>
      <w:r>
        <w:rPr/>
        <w:t>received</w:t>
      </w:r>
      <w:r>
        <w:rPr>
          <w:spacing w:val="-2"/>
        </w:rPr>
        <w:t> </w:t>
      </w:r>
      <w:r>
        <w:rPr/>
        <w:t>BSM. These</w:t>
      </w:r>
      <w:r>
        <w:rPr>
          <w:spacing w:val="-8"/>
        </w:rPr>
        <w:t> </w:t>
      </w:r>
      <w:r>
        <w:rPr/>
        <w:t>log</w:t>
      </w:r>
      <w:r>
        <w:rPr>
          <w:spacing w:val="-8"/>
        </w:rPr>
        <w:t> </w:t>
      </w:r>
      <w:r>
        <w:rPr/>
        <w:t>files</w:t>
      </w:r>
      <w:r>
        <w:rPr>
          <w:spacing w:val="-5"/>
        </w:rPr>
        <w:t> </w:t>
      </w:r>
      <w:r>
        <w:rPr/>
        <w:t>were</w:t>
      </w:r>
      <w:r>
        <w:rPr>
          <w:spacing w:val="-5"/>
        </w:rPr>
        <w:t> </w:t>
      </w:r>
      <w:r>
        <w:rPr/>
        <w:t>read</w:t>
      </w:r>
      <w:r>
        <w:rPr>
          <w:spacing w:val="-6"/>
        </w:rPr>
        <w:t> </w:t>
      </w:r>
      <w:r>
        <w:rPr/>
        <w:t>in</w:t>
      </w:r>
      <w:r>
        <w:rPr>
          <w:spacing w:val="-6"/>
        </w:rPr>
        <w:t> </w:t>
      </w:r>
      <w:r>
        <w:rPr/>
        <w:t>and</w:t>
      </w:r>
      <w:r>
        <w:rPr>
          <w:spacing w:val="-6"/>
        </w:rPr>
        <w:t> </w:t>
      </w:r>
      <w:r>
        <w:rPr/>
        <w:t>the</w:t>
      </w:r>
      <w:r>
        <w:rPr>
          <w:spacing w:val="-6"/>
        </w:rPr>
        <w:t> </w:t>
      </w:r>
      <w:r>
        <w:rPr/>
        <w:t>data</w:t>
      </w:r>
      <w:r>
        <w:rPr>
          <w:spacing w:val="-6"/>
        </w:rPr>
        <w:t> </w:t>
      </w:r>
      <w:r>
        <w:rPr/>
        <w:t>was</w:t>
      </w:r>
      <w:r>
        <w:rPr>
          <w:spacing w:val="-7"/>
        </w:rPr>
        <w:t> </w:t>
      </w:r>
      <w:r>
        <w:rPr/>
        <w:t>labeled</w:t>
      </w:r>
      <w:r>
        <w:rPr>
          <w:spacing w:val="-6"/>
        </w:rPr>
        <w:t> </w:t>
      </w:r>
      <w:r>
        <w:rPr/>
        <w:t>with</w:t>
      </w:r>
      <w:r>
        <w:rPr>
          <w:spacing w:val="-8"/>
        </w:rPr>
        <w:t> </w:t>
      </w:r>
      <w:r>
        <w:rPr/>
        <w:t>the</w:t>
      </w:r>
      <w:r>
        <w:rPr>
          <w:spacing w:val="-6"/>
        </w:rPr>
        <w:t> </w:t>
      </w:r>
      <w:r>
        <w:rPr/>
        <w:t>Vehicle</w:t>
      </w:r>
      <w:r>
        <w:rPr>
          <w:spacing w:val="-8"/>
        </w:rPr>
        <w:t> </w:t>
      </w:r>
      <w:r>
        <w:rPr/>
        <w:t>from</w:t>
      </w:r>
      <w:r>
        <w:rPr>
          <w:spacing w:val="-4"/>
        </w:rPr>
        <w:t> </w:t>
      </w:r>
      <w:r>
        <w:rPr/>
        <w:t>which</w:t>
      </w:r>
      <w:r>
        <w:rPr>
          <w:spacing w:val="-6"/>
        </w:rPr>
        <w:t> </w:t>
      </w:r>
      <w:r>
        <w:rPr/>
        <w:t>it</w:t>
      </w:r>
      <w:r>
        <w:rPr>
          <w:spacing w:val="-6"/>
        </w:rPr>
        <w:t> </w:t>
      </w:r>
      <w:r>
        <w:rPr>
          <w:spacing w:val="2"/>
        </w:rPr>
        <w:t>came,</w:t>
      </w:r>
      <w:r>
        <w:rPr>
          <w:spacing w:val="-8"/>
        </w:rPr>
        <w:t> </w:t>
      </w:r>
      <w:r>
        <w:rPr/>
        <w:t>either</w:t>
      </w:r>
      <w:r>
        <w:rPr>
          <w:spacing w:val="-7"/>
        </w:rPr>
        <w:t> </w:t>
      </w:r>
      <w:r>
        <w:rPr/>
        <w:t>“HV”</w:t>
      </w:r>
      <w:r>
        <w:rPr>
          <w:spacing w:val="-7"/>
        </w:rPr>
        <w:t> </w:t>
      </w:r>
      <w:r>
        <w:rPr/>
        <w:t>or</w:t>
      </w:r>
      <w:r>
        <w:rPr>
          <w:spacing w:val="-7"/>
        </w:rPr>
        <w:t> </w:t>
      </w:r>
      <w:r>
        <w:rPr/>
        <w:t>“RV”. The data from these files were concatenated, with HV followed by RV. In the case of multiple RVs, the data frame from each RV was separately merged with the HV data</w:t>
      </w:r>
      <w:r>
        <w:rPr>
          <w:spacing w:val="-13"/>
        </w:rPr>
        <w:t> </w:t>
      </w:r>
      <w:r>
        <w:rPr/>
        <w:t>frame.</w:t>
      </w:r>
    </w:p>
    <w:p>
      <w:pPr>
        <w:pStyle w:val="BodyText"/>
        <w:spacing w:before="180"/>
        <w:ind w:left="1133" w:right="1130"/>
        <w:jc w:val="both"/>
      </w:pPr>
      <w:r>
        <w:rPr/>
        <w:t>Next, the data was pre-processed. This involved filtering out blank RSSI values, and incorrect GNSS data. The data frames were then prepared using the following columns in the log files: </w:t>
      </w:r>
      <w:r>
        <w:rPr>
          <w:i/>
        </w:rPr>
        <w:t>Vehicle</w:t>
      </w:r>
      <w:r>
        <w:rPr/>
        <w:t>, </w:t>
      </w:r>
      <w:r>
        <w:rPr>
          <w:i/>
        </w:rPr>
        <w:t>LogRecType</w:t>
      </w:r>
      <w:r>
        <w:rPr/>
        <w:t>, </w:t>
      </w:r>
      <w:r>
        <w:rPr>
          <w:i/>
        </w:rPr>
        <w:t>TimeStamp</w:t>
      </w:r>
      <w:r>
        <w:rPr/>
        <w:t>, </w:t>
      </w:r>
      <w:r>
        <w:rPr>
          <w:i/>
        </w:rPr>
        <w:t>TimeStamp_ms</w:t>
      </w:r>
      <w:r>
        <w:rPr/>
        <w:t>, </w:t>
      </w:r>
      <w:r>
        <w:rPr>
          <w:i/>
        </w:rPr>
        <w:t>secMark</w:t>
      </w:r>
      <w:r>
        <w:rPr/>
        <w:t>, </w:t>
      </w:r>
      <w:r>
        <w:rPr>
          <w:i/>
        </w:rPr>
        <w:t>msgCnt</w:t>
      </w:r>
      <w:r>
        <w:rPr/>
        <w:t>, </w:t>
      </w:r>
      <w:r>
        <w:rPr>
          <w:i/>
        </w:rPr>
        <w:t>lat</w:t>
      </w:r>
      <w:r>
        <w:rPr/>
        <w:t>, </w:t>
      </w:r>
      <w:r>
        <w:rPr>
          <w:i/>
        </w:rPr>
        <w:t>long</w:t>
      </w:r>
      <w:r>
        <w:rPr/>
        <w:t>, and </w:t>
      </w:r>
      <w:r>
        <w:rPr>
          <w:i/>
        </w:rPr>
        <w:t>RSS</w:t>
      </w:r>
      <w:r>
        <w:rPr/>
        <w:t>. The KPI’s were calculated for two cases/perspectives:</w:t>
      </w:r>
    </w:p>
    <w:p>
      <w:pPr>
        <w:pStyle w:val="ListParagraph"/>
        <w:numPr>
          <w:ilvl w:val="3"/>
          <w:numId w:val="14"/>
        </w:numPr>
        <w:tabs>
          <w:tab w:pos="1854" w:val="left" w:leader="none"/>
        </w:tabs>
        <w:spacing w:line="240" w:lineRule="auto" w:before="180" w:after="0"/>
        <w:ind w:left="1853" w:right="0" w:hanging="360"/>
        <w:jc w:val="left"/>
        <w:rPr>
          <w:sz w:val="20"/>
        </w:rPr>
      </w:pPr>
      <w:r>
        <w:rPr>
          <w:sz w:val="20"/>
        </w:rPr>
        <w:t>RV is transmitting (Tx), HV is receiving</w:t>
      </w:r>
      <w:r>
        <w:rPr>
          <w:spacing w:val="-14"/>
          <w:sz w:val="20"/>
        </w:rPr>
        <w:t> </w:t>
      </w:r>
      <w:r>
        <w:rPr>
          <w:sz w:val="20"/>
        </w:rPr>
        <w:t>(Rx).</w:t>
      </w:r>
    </w:p>
    <w:p>
      <w:pPr>
        <w:pStyle w:val="ListParagraph"/>
        <w:numPr>
          <w:ilvl w:val="3"/>
          <w:numId w:val="14"/>
        </w:numPr>
        <w:tabs>
          <w:tab w:pos="1854" w:val="left" w:leader="none"/>
        </w:tabs>
        <w:spacing w:line="240" w:lineRule="auto" w:before="0" w:after="0"/>
        <w:ind w:left="1853" w:right="0" w:hanging="360"/>
        <w:jc w:val="left"/>
        <w:rPr>
          <w:sz w:val="20"/>
        </w:rPr>
      </w:pPr>
      <w:r>
        <w:rPr>
          <w:sz w:val="20"/>
        </w:rPr>
        <w:t>HV is transmitting (Tx), RV is receiving</w:t>
      </w:r>
      <w:r>
        <w:rPr>
          <w:spacing w:val="-14"/>
          <w:sz w:val="20"/>
        </w:rPr>
        <w:t> </w:t>
      </w:r>
      <w:r>
        <w:rPr>
          <w:sz w:val="20"/>
        </w:rPr>
        <w:t>(Rx).</w:t>
      </w:r>
    </w:p>
    <w:p>
      <w:pPr>
        <w:pStyle w:val="BodyText"/>
        <w:spacing w:before="180"/>
        <w:ind w:left="1133" w:right="1130"/>
        <w:jc w:val="both"/>
      </w:pPr>
      <w:r>
        <w:rPr/>
        <w:t>For each of the two cases, the subset of Tx and Rx data was separated from the concatenated data, then matched together by the </w:t>
      </w:r>
      <w:r>
        <w:rPr>
          <w:i/>
        </w:rPr>
        <w:t>secMark </w:t>
      </w:r>
      <w:r>
        <w:rPr/>
        <w:t>and </w:t>
      </w:r>
      <w:r>
        <w:rPr>
          <w:i/>
        </w:rPr>
        <w:t>MsgCnt </w:t>
      </w:r>
      <w:r>
        <w:rPr/>
        <w:t>columns. Only the Tx-Rx matches per </w:t>
      </w:r>
      <w:r>
        <w:rPr>
          <w:i/>
        </w:rPr>
        <w:t>secMark </w:t>
      </w:r>
      <w:r>
        <w:rPr/>
        <w:t>and </w:t>
      </w:r>
      <w:r>
        <w:rPr>
          <w:i/>
        </w:rPr>
        <w:t>MsgCnt </w:t>
      </w:r>
      <w:r>
        <w:rPr/>
        <w:t>that have absolute minimum value of difference between the Tx and Rx timestamps were extracted. Any duplicate timestamps from the </w:t>
      </w:r>
      <w:r>
        <w:rPr>
          <w:i/>
        </w:rPr>
        <w:t>TimeStamp_ms </w:t>
      </w:r>
      <w:r>
        <w:rPr/>
        <w:t>field for the Tx data were removed. Due to the possibility of multiple matches per </w:t>
      </w:r>
      <w:r>
        <w:rPr>
          <w:i/>
        </w:rPr>
        <w:t>secMark </w:t>
      </w:r>
      <w:r>
        <w:rPr/>
        <w:t>and </w:t>
      </w:r>
      <w:r>
        <w:rPr>
          <w:i/>
        </w:rPr>
        <w:t>MsgCnt </w:t>
      </w:r>
      <w:r>
        <w:rPr/>
        <w:t>pairs, only matches with a timestamp difference or latency of less than 5000 ms were considered a match.</w:t>
      </w:r>
    </w:p>
    <w:p>
      <w:pPr>
        <w:pStyle w:val="BodyText"/>
        <w:spacing w:before="178"/>
        <w:ind w:left="1133" w:right="1129"/>
        <w:jc w:val="both"/>
      </w:pPr>
      <w:r>
        <w:rPr/>
        <w:t>Data</w:t>
      </w:r>
      <w:r>
        <w:rPr>
          <w:spacing w:val="-8"/>
        </w:rPr>
        <w:t> </w:t>
      </w:r>
      <w:r>
        <w:rPr/>
        <w:t>is</w:t>
      </w:r>
      <w:r>
        <w:rPr>
          <w:spacing w:val="-9"/>
        </w:rPr>
        <w:t> </w:t>
      </w:r>
      <w:r>
        <w:rPr/>
        <w:t>then</w:t>
      </w:r>
      <w:r>
        <w:rPr>
          <w:spacing w:val="-11"/>
        </w:rPr>
        <w:t> </w:t>
      </w:r>
      <w:r>
        <w:rPr/>
        <w:t>sorted</w:t>
      </w:r>
      <w:r>
        <w:rPr>
          <w:spacing w:val="-8"/>
        </w:rPr>
        <w:t> </w:t>
      </w:r>
      <w:r>
        <w:rPr/>
        <w:t>by</w:t>
      </w:r>
      <w:r>
        <w:rPr>
          <w:spacing w:val="-10"/>
        </w:rPr>
        <w:t> </w:t>
      </w:r>
      <w:r>
        <w:rPr/>
        <w:t>Rx</w:t>
      </w:r>
      <w:r>
        <w:rPr>
          <w:spacing w:val="-8"/>
        </w:rPr>
        <w:t> </w:t>
      </w:r>
      <w:r>
        <w:rPr>
          <w:i/>
        </w:rPr>
        <w:t>TimeStamp_ms</w:t>
      </w:r>
      <w:r>
        <w:rPr/>
        <w:t>,</w:t>
      </w:r>
      <w:r>
        <w:rPr>
          <w:spacing w:val="-6"/>
        </w:rPr>
        <w:t> </w:t>
      </w:r>
      <w:r>
        <w:rPr/>
        <w:t>which</w:t>
      </w:r>
      <w:r>
        <w:rPr>
          <w:spacing w:val="-10"/>
        </w:rPr>
        <w:t> </w:t>
      </w:r>
      <w:r>
        <w:rPr/>
        <w:t>is</w:t>
      </w:r>
      <w:r>
        <w:rPr>
          <w:spacing w:val="-7"/>
        </w:rPr>
        <w:t> </w:t>
      </w:r>
      <w:r>
        <w:rPr/>
        <w:t>used</w:t>
      </w:r>
      <w:r>
        <w:rPr>
          <w:spacing w:val="-10"/>
        </w:rPr>
        <w:t> </w:t>
      </w:r>
      <w:r>
        <w:rPr/>
        <w:t>to</w:t>
      </w:r>
      <w:r>
        <w:rPr>
          <w:spacing w:val="-8"/>
        </w:rPr>
        <w:t> </w:t>
      </w:r>
      <w:r>
        <w:rPr/>
        <w:t>determine</w:t>
      </w:r>
      <w:r>
        <w:rPr>
          <w:spacing w:val="-11"/>
        </w:rPr>
        <w:t> </w:t>
      </w:r>
      <w:r>
        <w:rPr/>
        <w:t>the</w:t>
      </w:r>
      <w:r>
        <w:rPr>
          <w:spacing w:val="-9"/>
        </w:rPr>
        <w:t> </w:t>
      </w:r>
      <w:r>
        <w:rPr/>
        <w:t>latency,</w:t>
      </w:r>
      <w:r>
        <w:rPr>
          <w:spacing w:val="-10"/>
        </w:rPr>
        <w:t> </w:t>
      </w:r>
      <w:r>
        <w:rPr/>
        <w:t>IPG,</w:t>
      </w:r>
      <w:r>
        <w:rPr>
          <w:spacing w:val="-10"/>
        </w:rPr>
        <w:t> </w:t>
      </w:r>
      <w:r>
        <w:rPr/>
        <w:t>and</w:t>
      </w:r>
      <w:r>
        <w:rPr>
          <w:spacing w:val="-11"/>
        </w:rPr>
        <w:t> </w:t>
      </w:r>
      <w:r>
        <w:rPr/>
        <w:t>RSSI</w:t>
      </w:r>
      <w:r>
        <w:rPr>
          <w:spacing w:val="-8"/>
        </w:rPr>
        <w:t> </w:t>
      </w:r>
      <w:r>
        <w:rPr/>
        <w:t>values.</w:t>
      </w:r>
      <w:r>
        <w:rPr>
          <w:spacing w:val="40"/>
        </w:rPr>
        <w:t> </w:t>
      </w:r>
      <w:r>
        <w:rPr/>
        <w:t>The calculation</w:t>
      </w:r>
      <w:r>
        <w:rPr>
          <w:spacing w:val="-15"/>
        </w:rPr>
        <w:t> </w:t>
      </w:r>
      <w:r>
        <w:rPr/>
        <w:t>for</w:t>
      </w:r>
      <w:r>
        <w:rPr>
          <w:spacing w:val="-12"/>
        </w:rPr>
        <w:t> </w:t>
      </w:r>
      <w:r>
        <w:rPr/>
        <w:t>each</w:t>
      </w:r>
      <w:r>
        <w:rPr>
          <w:spacing w:val="-13"/>
        </w:rPr>
        <w:t> </w:t>
      </w:r>
      <w:r>
        <w:rPr/>
        <w:t>of</w:t>
      </w:r>
      <w:r>
        <w:rPr>
          <w:spacing w:val="-13"/>
        </w:rPr>
        <w:t> </w:t>
      </w:r>
      <w:r>
        <w:rPr/>
        <w:t>the</w:t>
      </w:r>
      <w:r>
        <w:rPr>
          <w:spacing w:val="-11"/>
        </w:rPr>
        <w:t> </w:t>
      </w:r>
      <w:r>
        <w:rPr/>
        <w:t>KPIs</w:t>
      </w:r>
      <w:r>
        <w:rPr>
          <w:spacing w:val="-14"/>
        </w:rPr>
        <w:t> </w:t>
      </w:r>
      <w:r>
        <w:rPr/>
        <w:t>is</w:t>
      </w:r>
      <w:r>
        <w:rPr>
          <w:spacing w:val="-11"/>
        </w:rPr>
        <w:t> </w:t>
      </w:r>
      <w:r>
        <w:rPr/>
        <w:t>done</w:t>
      </w:r>
      <w:r>
        <w:rPr>
          <w:spacing w:val="-13"/>
        </w:rPr>
        <w:t> </w:t>
      </w:r>
      <w:r>
        <w:rPr/>
        <w:t>per</w:t>
      </w:r>
      <w:r>
        <w:rPr>
          <w:spacing w:val="-12"/>
        </w:rPr>
        <w:t> </w:t>
      </w:r>
      <w:r>
        <w:rPr/>
        <w:t>the</w:t>
      </w:r>
      <w:r>
        <w:rPr>
          <w:spacing w:val="-15"/>
        </w:rPr>
        <w:t> </w:t>
      </w:r>
      <w:r>
        <w:rPr/>
        <w:t>5GAA</w:t>
      </w:r>
      <w:r>
        <w:rPr>
          <w:spacing w:val="-13"/>
        </w:rPr>
        <w:t> </w:t>
      </w:r>
      <w:r>
        <w:rPr/>
        <w:t>definition</w:t>
      </w:r>
      <w:r>
        <w:rPr>
          <w:spacing w:val="-13"/>
        </w:rPr>
        <w:t> </w:t>
      </w:r>
      <w:r>
        <w:rPr/>
        <w:t>as</w:t>
      </w:r>
      <w:r>
        <w:rPr>
          <w:spacing w:val="-14"/>
        </w:rPr>
        <w:t> </w:t>
      </w:r>
      <w:r>
        <w:rPr/>
        <w:t>mentioned</w:t>
      </w:r>
      <w:r>
        <w:rPr>
          <w:spacing w:val="-13"/>
        </w:rPr>
        <w:t> </w:t>
      </w:r>
      <w:r>
        <w:rPr/>
        <w:t>in</w:t>
      </w:r>
      <w:r>
        <w:rPr>
          <w:spacing w:val="-13"/>
        </w:rPr>
        <w:t> </w:t>
      </w:r>
      <w:r>
        <w:rPr/>
        <w:t>the</w:t>
      </w:r>
      <w:r>
        <w:rPr>
          <w:spacing w:val="-13"/>
        </w:rPr>
        <w:t> </w:t>
      </w:r>
      <w:r>
        <w:rPr/>
        <w:t>previous</w:t>
      </w:r>
      <w:r>
        <w:rPr>
          <w:spacing w:val="-14"/>
        </w:rPr>
        <w:t> </w:t>
      </w:r>
      <w:r>
        <w:rPr/>
        <w:t>sections.</w:t>
      </w:r>
      <w:r>
        <w:rPr>
          <w:spacing w:val="30"/>
        </w:rPr>
        <w:t> </w:t>
      </w:r>
      <w:r>
        <w:rPr/>
        <w:t>Latency values were the previously calculated absolute time difference between the extracted </w:t>
      </w:r>
      <w:r>
        <w:rPr>
          <w:spacing w:val="2"/>
        </w:rPr>
        <w:t>Tx-Rx </w:t>
      </w:r>
      <w:r>
        <w:rPr/>
        <w:t>matches. The inter-packet gap, IPG, was determined by calculating the iterated differences over </w:t>
      </w:r>
      <w:r>
        <w:rPr>
          <w:i/>
        </w:rPr>
        <w:t>TimeStamp_ms </w:t>
      </w:r>
      <w:r>
        <w:rPr/>
        <w:t>for Rx. RSSI values are given from the source data via the Rx side respectively, ignoring any invalid</w:t>
      </w:r>
      <w:r>
        <w:rPr>
          <w:spacing w:val="-35"/>
        </w:rPr>
        <w:t> </w:t>
      </w:r>
      <w:r>
        <w:rPr/>
        <w:t>values.</w:t>
      </w:r>
    </w:p>
    <w:p>
      <w:pPr>
        <w:pStyle w:val="BodyText"/>
        <w:spacing w:before="181"/>
        <w:ind w:left="1133" w:right="1129"/>
        <w:jc w:val="both"/>
      </w:pPr>
      <w:r>
        <w:rPr/>
        <w:t>On generating packet-error and packet-reception rates (PER, PRR): the resulting data of Tx-Rx data was</w:t>
      </w:r>
      <w:r>
        <w:rPr>
          <w:spacing w:val="-35"/>
        </w:rPr>
        <w:t> </w:t>
      </w:r>
      <w:r>
        <w:rPr/>
        <w:t>first sequenced</w:t>
      </w:r>
      <w:r>
        <w:rPr>
          <w:spacing w:val="-10"/>
        </w:rPr>
        <w:t> </w:t>
      </w:r>
      <w:r>
        <w:rPr/>
        <w:t>by</w:t>
      </w:r>
      <w:r>
        <w:rPr>
          <w:spacing w:val="-14"/>
        </w:rPr>
        <w:t> </w:t>
      </w:r>
      <w:r>
        <w:rPr/>
        <w:t>seconds</w:t>
      </w:r>
      <w:r>
        <w:rPr>
          <w:spacing w:val="-7"/>
        </w:rPr>
        <w:t> </w:t>
      </w:r>
      <w:r>
        <w:rPr/>
        <w:t>-</w:t>
      </w:r>
      <w:r>
        <w:rPr>
          <w:spacing w:val="-6"/>
        </w:rPr>
        <w:t> </w:t>
      </w:r>
      <w:r>
        <w:rPr/>
        <w:t>with</w:t>
      </w:r>
      <w:r>
        <w:rPr>
          <w:spacing w:val="-10"/>
        </w:rPr>
        <w:t> </w:t>
      </w:r>
      <w:r>
        <w:rPr/>
        <w:t>all</w:t>
      </w:r>
      <w:r>
        <w:rPr>
          <w:spacing w:val="-11"/>
        </w:rPr>
        <w:t> </w:t>
      </w:r>
      <w:r>
        <w:rPr/>
        <w:t>records</w:t>
      </w:r>
      <w:r>
        <w:rPr>
          <w:spacing w:val="-9"/>
        </w:rPr>
        <w:t> </w:t>
      </w:r>
      <w:r>
        <w:rPr/>
        <w:t>outside</w:t>
      </w:r>
      <w:r>
        <w:rPr>
          <w:spacing w:val="-10"/>
        </w:rPr>
        <w:t> </w:t>
      </w:r>
      <w:r>
        <w:rPr/>
        <w:t>of</w:t>
      </w:r>
      <w:r>
        <w:rPr>
          <w:spacing w:val="-8"/>
        </w:rPr>
        <w:t> </w:t>
      </w:r>
      <w:r>
        <w:rPr/>
        <w:t>the</w:t>
      </w:r>
      <w:r>
        <w:rPr>
          <w:spacing w:val="-8"/>
        </w:rPr>
        <w:t> </w:t>
      </w:r>
      <w:r>
        <w:rPr/>
        <w:t>lap</w:t>
      </w:r>
      <w:r>
        <w:rPr>
          <w:spacing w:val="-11"/>
        </w:rPr>
        <w:t> </w:t>
      </w:r>
      <w:r>
        <w:rPr/>
        <w:t>timeframe</w:t>
      </w:r>
      <w:r>
        <w:rPr>
          <w:spacing w:val="-10"/>
        </w:rPr>
        <w:t> </w:t>
      </w:r>
      <w:r>
        <w:rPr/>
        <w:t>removed</w:t>
      </w:r>
      <w:r>
        <w:rPr>
          <w:spacing w:val="-6"/>
        </w:rPr>
        <w:t> </w:t>
      </w:r>
      <w:r>
        <w:rPr/>
        <w:t>-</w:t>
      </w:r>
      <w:r>
        <w:rPr>
          <w:spacing w:val="-9"/>
        </w:rPr>
        <w:t> </w:t>
      </w:r>
      <w:r>
        <w:rPr/>
        <w:t>before</w:t>
      </w:r>
      <w:r>
        <w:rPr>
          <w:spacing w:val="-10"/>
        </w:rPr>
        <w:t> </w:t>
      </w:r>
      <w:r>
        <w:rPr/>
        <w:t>beginning</w:t>
      </w:r>
      <w:r>
        <w:rPr>
          <w:spacing w:val="-11"/>
        </w:rPr>
        <w:t> </w:t>
      </w:r>
      <w:r>
        <w:rPr/>
        <w:t>the</w:t>
      </w:r>
      <w:r>
        <w:rPr>
          <w:spacing w:val="-8"/>
        </w:rPr>
        <w:t> </w:t>
      </w:r>
      <w:r>
        <w:rPr/>
        <w:t>PER</w:t>
      </w:r>
      <w:r>
        <w:rPr>
          <w:spacing w:val="-8"/>
        </w:rPr>
        <w:t> </w:t>
      </w:r>
      <w:r>
        <w:rPr/>
        <w:t>and PRR calculations. The PRR was calculated as described in section 5.1.1, and the PER was calculated by simply subtracting each calculated PRR value from</w:t>
      </w:r>
      <w:r>
        <w:rPr>
          <w:spacing w:val="-15"/>
        </w:rPr>
        <w:t> </w:t>
      </w:r>
      <w:r>
        <w:rPr/>
        <w:t>100.</w:t>
      </w:r>
    </w:p>
    <w:p>
      <w:pPr>
        <w:pStyle w:val="BodyText"/>
        <w:spacing w:before="180"/>
        <w:ind w:left="1133" w:right="1134"/>
        <w:jc w:val="both"/>
      </w:pPr>
      <w:r>
        <w:rPr/>
        <w:t>The tables of calculated values for PER, PRR, latency, IPG and RSSI are then fully joined pairwise by their timestamp.</w:t>
      </w:r>
    </w:p>
    <w:p>
      <w:pPr>
        <w:pStyle w:val="BodyText"/>
        <w:rPr>
          <w:sz w:val="22"/>
        </w:rPr>
      </w:pPr>
    </w:p>
    <w:p>
      <w:pPr>
        <w:pStyle w:val="BodyText"/>
        <w:rPr>
          <w:sz w:val="22"/>
        </w:rPr>
      </w:pPr>
    </w:p>
    <w:p>
      <w:pPr>
        <w:pStyle w:val="BodyText"/>
        <w:rPr>
          <w:sz w:val="22"/>
        </w:rPr>
      </w:pPr>
    </w:p>
    <w:p>
      <w:pPr>
        <w:pStyle w:val="BodyText"/>
        <w:spacing w:before="4"/>
        <w:rPr>
          <w:sz w:val="31"/>
        </w:rPr>
      </w:pPr>
    </w:p>
    <w:p>
      <w:pPr>
        <w:pStyle w:val="Heading3"/>
        <w:numPr>
          <w:ilvl w:val="2"/>
          <w:numId w:val="14"/>
        </w:numPr>
        <w:tabs>
          <w:tab w:pos="2267" w:val="left" w:leader="none"/>
        </w:tabs>
        <w:spacing w:line="240" w:lineRule="auto" w:before="1" w:after="0"/>
        <w:ind w:left="2266" w:right="0" w:hanging="1133"/>
        <w:jc w:val="both"/>
      </w:pPr>
      <w:bookmarkStart w:name="_bookmark120" w:id="171"/>
      <w:bookmarkEnd w:id="171"/>
      <w:r>
        <w:rPr/>
      </w:r>
      <w:bookmarkStart w:name="_bookmark120" w:id="172"/>
      <w:bookmarkEnd w:id="172"/>
      <w:r>
        <w:rPr/>
        <w:t>D</w:t>
      </w:r>
      <w:r>
        <w:rPr/>
        <w:t>istance</w:t>
      </w:r>
      <w:r>
        <w:rPr>
          <w:spacing w:val="-8"/>
        </w:rPr>
        <w:t> </w:t>
      </w:r>
      <w:r>
        <w:rPr/>
        <w:t>Calculations</w:t>
      </w:r>
    </w:p>
    <w:p>
      <w:pPr>
        <w:pStyle w:val="BodyText"/>
        <w:spacing w:before="180"/>
        <w:ind w:left="1133" w:right="1133"/>
        <w:jc w:val="both"/>
      </w:pPr>
      <w:r>
        <w:rPr/>
        <w:t>To analyze the individual KPIs arranged by timestamp, the distance is calculated using the latitude and longitude recorded within the logfile and finding the closest matching timestamps for the Rx and Tx vehicles and the associated coordinates. For example, while targeting the RV Tx record with which an HV Rx is</w:t>
      </w:r>
    </w:p>
    <w:p>
      <w:pPr>
        <w:spacing w:after="0"/>
        <w:jc w:val="both"/>
        <w:sectPr>
          <w:headerReference w:type="default" r:id="rId131"/>
          <w:pgSz w:w="11910" w:h="16850"/>
          <w:pgMar w:header="852" w:footer="931" w:top="1040" w:bottom="1160" w:left="0" w:right="0"/>
        </w:sectPr>
      </w:pPr>
    </w:p>
    <w:p>
      <w:pPr>
        <w:pStyle w:val="BodyText"/>
        <w:spacing w:before="2"/>
        <w:rPr>
          <w:sz w:val="23"/>
        </w:rPr>
      </w:pPr>
    </w:p>
    <w:p>
      <w:pPr>
        <w:pStyle w:val="BodyText"/>
        <w:spacing w:before="93"/>
        <w:ind w:left="1133" w:right="1136"/>
        <w:jc w:val="both"/>
      </w:pPr>
      <w:r>
        <w:rPr/>
        <w:t>matched, we look for the opposite HV Tx data to find the Tx record that occurred prior to the target RV Tx record to locate the starting coordinates. With the starting and final coordinates of the messages, these two sets</w:t>
      </w:r>
      <w:r>
        <w:rPr>
          <w:spacing w:val="-7"/>
        </w:rPr>
        <w:t> </w:t>
      </w:r>
      <w:r>
        <w:rPr/>
        <w:t>of</w:t>
      </w:r>
      <w:r>
        <w:rPr>
          <w:spacing w:val="-6"/>
        </w:rPr>
        <w:t> </w:t>
      </w:r>
      <w:r>
        <w:rPr/>
        <w:t>coordinates</w:t>
      </w:r>
      <w:r>
        <w:rPr>
          <w:spacing w:val="-4"/>
        </w:rPr>
        <w:t> </w:t>
      </w:r>
      <w:r>
        <w:rPr/>
        <w:t>are</w:t>
      </w:r>
      <w:r>
        <w:rPr>
          <w:spacing w:val="-7"/>
        </w:rPr>
        <w:t> </w:t>
      </w:r>
      <w:r>
        <w:rPr/>
        <w:t>calculated</w:t>
      </w:r>
      <w:r>
        <w:rPr>
          <w:spacing w:val="-6"/>
        </w:rPr>
        <w:t> </w:t>
      </w:r>
      <w:r>
        <w:rPr/>
        <w:t>to</w:t>
      </w:r>
      <w:r>
        <w:rPr>
          <w:spacing w:val="-6"/>
        </w:rPr>
        <w:t> </w:t>
      </w:r>
      <w:r>
        <w:rPr/>
        <w:t>distance</w:t>
      </w:r>
      <w:r>
        <w:rPr>
          <w:spacing w:val="-8"/>
        </w:rPr>
        <w:t> </w:t>
      </w:r>
      <w:r>
        <w:rPr/>
        <w:t>using</w:t>
      </w:r>
      <w:r>
        <w:rPr>
          <w:spacing w:val="-6"/>
        </w:rPr>
        <w:t> </w:t>
      </w:r>
      <w:r>
        <w:rPr/>
        <w:t>the</w:t>
      </w:r>
      <w:r>
        <w:rPr>
          <w:spacing w:val="-6"/>
        </w:rPr>
        <w:t> </w:t>
      </w:r>
      <w:r>
        <w:rPr/>
        <w:t>haversine</w:t>
      </w:r>
      <w:r>
        <w:rPr>
          <w:spacing w:val="-8"/>
        </w:rPr>
        <w:t> </w:t>
      </w:r>
      <w:r>
        <w:rPr/>
        <w:t>distance</w:t>
      </w:r>
      <w:r>
        <w:rPr>
          <w:spacing w:val="-6"/>
        </w:rPr>
        <w:t> </w:t>
      </w:r>
      <w:r>
        <w:rPr/>
        <w:t>function,</w:t>
      </w:r>
      <w:r>
        <w:rPr>
          <w:spacing w:val="-8"/>
        </w:rPr>
        <w:t> </w:t>
      </w:r>
      <w:r>
        <w:rPr/>
        <w:t>assuming</w:t>
      </w:r>
      <w:r>
        <w:rPr>
          <w:spacing w:val="-8"/>
        </w:rPr>
        <w:t> </w:t>
      </w:r>
      <w:r>
        <w:rPr/>
        <w:t>an</w:t>
      </w:r>
      <w:r>
        <w:rPr>
          <w:spacing w:val="-8"/>
        </w:rPr>
        <w:t> </w:t>
      </w:r>
      <w:r>
        <w:rPr/>
        <w:t>earth</w:t>
      </w:r>
      <w:r>
        <w:rPr>
          <w:spacing w:val="-8"/>
        </w:rPr>
        <w:t> </w:t>
      </w:r>
      <w:r>
        <w:rPr/>
        <w:t>radius of 6,378,137</w:t>
      </w:r>
      <w:r>
        <w:rPr>
          <w:spacing w:val="-2"/>
        </w:rPr>
        <w:t> </w:t>
      </w:r>
      <w:r>
        <w:rPr/>
        <w:t>m.</w:t>
      </w:r>
    </w:p>
    <w:p>
      <w:pPr>
        <w:pStyle w:val="BodyText"/>
        <w:spacing w:before="180"/>
        <w:ind w:left="1133" w:right="1131"/>
        <w:jc w:val="both"/>
      </w:pPr>
      <w:r>
        <w:rPr/>
        <w:t>For</w:t>
      </w:r>
      <w:r>
        <w:rPr>
          <w:spacing w:val="-5"/>
        </w:rPr>
        <w:t> </w:t>
      </w:r>
      <w:r>
        <w:rPr/>
        <w:t>graphs</w:t>
      </w:r>
      <w:r>
        <w:rPr>
          <w:spacing w:val="-5"/>
        </w:rPr>
        <w:t> </w:t>
      </w:r>
      <w:r>
        <w:rPr/>
        <w:t>using</w:t>
      </w:r>
      <w:r>
        <w:rPr>
          <w:spacing w:val="-3"/>
        </w:rPr>
        <w:t> </w:t>
      </w:r>
      <w:r>
        <w:rPr/>
        <w:t>individual</w:t>
      </w:r>
      <w:r>
        <w:rPr>
          <w:spacing w:val="-4"/>
        </w:rPr>
        <w:t> </w:t>
      </w:r>
      <w:r>
        <w:rPr/>
        <w:t>lines</w:t>
      </w:r>
      <w:r>
        <w:rPr>
          <w:spacing w:val="-5"/>
        </w:rPr>
        <w:t> </w:t>
      </w:r>
      <w:r>
        <w:rPr/>
        <w:t>for</w:t>
      </w:r>
      <w:r>
        <w:rPr>
          <w:spacing w:val="-5"/>
        </w:rPr>
        <w:t> </w:t>
      </w:r>
      <w:r>
        <w:rPr/>
        <w:t>approaching</w:t>
      </w:r>
      <w:r>
        <w:rPr>
          <w:spacing w:val="-6"/>
        </w:rPr>
        <w:t> </w:t>
      </w:r>
      <w:r>
        <w:rPr/>
        <w:t>and</w:t>
      </w:r>
      <w:r>
        <w:rPr>
          <w:spacing w:val="-6"/>
        </w:rPr>
        <w:t> </w:t>
      </w:r>
      <w:r>
        <w:rPr/>
        <w:t>receding</w:t>
      </w:r>
      <w:r>
        <w:rPr>
          <w:spacing w:val="-6"/>
        </w:rPr>
        <w:t> </w:t>
      </w:r>
      <w:r>
        <w:rPr/>
        <w:t>runs,</w:t>
      </w:r>
      <w:r>
        <w:rPr>
          <w:spacing w:val="-5"/>
        </w:rPr>
        <w:t> </w:t>
      </w:r>
      <w:r>
        <w:rPr/>
        <w:t>the</w:t>
      </w:r>
      <w:r>
        <w:rPr>
          <w:spacing w:val="-3"/>
        </w:rPr>
        <w:t> </w:t>
      </w:r>
      <w:r>
        <w:rPr/>
        <w:t>local</w:t>
      </w:r>
      <w:r>
        <w:rPr>
          <w:spacing w:val="-6"/>
        </w:rPr>
        <w:t> </w:t>
      </w:r>
      <w:r>
        <w:rPr/>
        <w:t>minima</w:t>
      </w:r>
      <w:r>
        <w:rPr>
          <w:spacing w:val="-6"/>
        </w:rPr>
        <w:t> </w:t>
      </w:r>
      <w:r>
        <w:rPr/>
        <w:t>and</w:t>
      </w:r>
      <w:r>
        <w:rPr>
          <w:spacing w:val="-8"/>
        </w:rPr>
        <w:t> </w:t>
      </w:r>
      <w:r>
        <w:rPr/>
        <w:t>maxima</w:t>
      </w:r>
      <w:r>
        <w:rPr>
          <w:spacing w:val="-6"/>
        </w:rPr>
        <w:t> </w:t>
      </w:r>
      <w:r>
        <w:rPr/>
        <w:t>of</w:t>
      </w:r>
      <w:r>
        <w:rPr>
          <w:spacing w:val="-4"/>
        </w:rPr>
        <w:t> </w:t>
      </w:r>
      <w:r>
        <w:rPr/>
        <w:t>distance are found within the data, before iterating through the data and marking individual entries as approaching or receding based on their position relative to the last extreme</w:t>
      </w:r>
      <w:r>
        <w:rPr>
          <w:spacing w:val="-24"/>
        </w:rPr>
        <w:t> </w:t>
      </w:r>
      <w:r>
        <w:rPr/>
        <w:t>point.</w:t>
      </w:r>
    </w:p>
    <w:p>
      <w:pPr>
        <w:pStyle w:val="BodyText"/>
        <w:rPr>
          <w:sz w:val="22"/>
        </w:rPr>
      </w:pPr>
    </w:p>
    <w:p>
      <w:pPr>
        <w:pStyle w:val="BodyText"/>
        <w:rPr>
          <w:sz w:val="22"/>
        </w:rPr>
      </w:pPr>
    </w:p>
    <w:p>
      <w:pPr>
        <w:pStyle w:val="BodyText"/>
        <w:spacing w:before="8"/>
        <w:rPr>
          <w:sz w:val="17"/>
        </w:rPr>
      </w:pPr>
    </w:p>
    <w:p>
      <w:pPr>
        <w:pStyle w:val="Heading3"/>
        <w:numPr>
          <w:ilvl w:val="2"/>
          <w:numId w:val="14"/>
        </w:numPr>
        <w:tabs>
          <w:tab w:pos="2267" w:val="left" w:leader="none"/>
        </w:tabs>
        <w:spacing w:line="240" w:lineRule="auto" w:before="0" w:after="0"/>
        <w:ind w:left="2266" w:right="0" w:hanging="1133"/>
        <w:jc w:val="both"/>
      </w:pPr>
      <w:bookmarkStart w:name="_bookmark121" w:id="173"/>
      <w:bookmarkEnd w:id="173"/>
      <w:r>
        <w:rPr/>
      </w:r>
      <w:bookmarkStart w:name="_bookmark121" w:id="174"/>
      <w:bookmarkEnd w:id="174"/>
      <w:r>
        <w:rPr/>
        <w:t>Plo</w:t>
      </w:r>
      <w:r>
        <w:rPr/>
        <w:t>tting vs</w:t>
      </w:r>
      <w:r>
        <w:rPr>
          <w:spacing w:val="-4"/>
        </w:rPr>
        <w:t> </w:t>
      </w:r>
      <w:r>
        <w:rPr/>
        <w:t>Time</w:t>
      </w:r>
    </w:p>
    <w:p>
      <w:pPr>
        <w:pStyle w:val="BodyText"/>
        <w:spacing w:before="179"/>
        <w:ind w:left="1133" w:right="1132"/>
        <w:jc w:val="both"/>
      </w:pPr>
      <w:r>
        <w:rPr/>
        <w:t>The KPIs described in the previous sections are all time-based so it is easy to plot those KPIs directly with respect to their associated time. For example, plotting each RSSI sample point directly with respect to the associated timestamp guarantees a reference in time to whether any BSM packet was received on the other end. Since the PER is a time window calculation, each value is plotted against the center or middle Tx timestamp value of that window.</w:t>
      </w:r>
    </w:p>
    <w:p>
      <w:pPr>
        <w:pStyle w:val="BodyText"/>
        <w:rPr>
          <w:sz w:val="22"/>
        </w:rPr>
      </w:pPr>
    </w:p>
    <w:p>
      <w:pPr>
        <w:pStyle w:val="BodyText"/>
        <w:rPr>
          <w:sz w:val="22"/>
        </w:rPr>
      </w:pPr>
    </w:p>
    <w:p>
      <w:pPr>
        <w:pStyle w:val="BodyText"/>
        <w:spacing w:before="8"/>
        <w:rPr>
          <w:sz w:val="17"/>
        </w:rPr>
      </w:pPr>
    </w:p>
    <w:p>
      <w:pPr>
        <w:pStyle w:val="Heading3"/>
        <w:numPr>
          <w:ilvl w:val="2"/>
          <w:numId w:val="14"/>
        </w:numPr>
        <w:tabs>
          <w:tab w:pos="2267" w:val="left" w:leader="none"/>
        </w:tabs>
        <w:spacing w:line="240" w:lineRule="auto" w:before="0" w:after="0"/>
        <w:ind w:left="2266" w:right="0" w:hanging="1133"/>
        <w:jc w:val="both"/>
      </w:pPr>
      <w:bookmarkStart w:name="_bookmark122" w:id="175"/>
      <w:bookmarkEnd w:id="175"/>
      <w:r>
        <w:rPr/>
      </w:r>
      <w:bookmarkStart w:name="_bookmark122" w:id="176"/>
      <w:bookmarkEnd w:id="176"/>
      <w:r>
        <w:rPr/>
        <w:t>Plo</w:t>
      </w:r>
      <w:r>
        <w:rPr/>
        <w:t>tting vs</w:t>
      </w:r>
      <w:r>
        <w:rPr>
          <w:spacing w:val="-8"/>
        </w:rPr>
        <w:t> </w:t>
      </w:r>
      <w:r>
        <w:rPr/>
        <w:t>Distance</w:t>
      </w:r>
    </w:p>
    <w:p>
      <w:pPr>
        <w:pStyle w:val="BodyText"/>
        <w:spacing w:before="180"/>
        <w:ind w:left="1133" w:right="1130"/>
        <w:jc w:val="both"/>
      </w:pPr>
      <w:r>
        <w:rPr/>
        <w:t>The distance between the two vehicles is calculated as described in section 5.1.2. As we always use the transmitter for reference, we now have an associated distance value for each sample BSM value regardless of whether this BSM was received. Once we have this data, the KPIs are plotted as scatter plots. Each RSSI value is plotted against the associated distance for that sample. In addition, each PER value associated with a time window is plotted against the distance of the vehicle at the center of that window. Since the vehicle is moving at constant speed, the timestamps and distance values are linear; therefore, picking the center of the PER window for time and distance has the same effect as picking the linear average value of either distance and time. This is equivalent to results for PER vs distance if raw values were binned by distance first before doing the analysis.</w:t>
      </w:r>
    </w:p>
    <w:p>
      <w:pPr>
        <w:pStyle w:val="BodyText"/>
        <w:spacing w:before="180"/>
        <w:ind w:left="1133" w:right="1129"/>
        <w:jc w:val="both"/>
      </w:pPr>
      <w:r>
        <w:rPr/>
        <w:t>For most tests, the vehicles were run in multiple loops to provide redundant and more robust data to perform KPI vs distance calculations. Clean, one-line average PER or RSSI vs distance values are provided by a procedure that averages results of the many loops by sorting the data with respect to distance first, then running a centered moving average on the data.</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rPr>
          <w:sz w:val="21"/>
        </w:rPr>
      </w:pPr>
    </w:p>
    <w:p>
      <w:pPr>
        <w:pStyle w:val="Heading2"/>
        <w:numPr>
          <w:ilvl w:val="1"/>
          <w:numId w:val="14"/>
        </w:numPr>
        <w:tabs>
          <w:tab w:pos="2267" w:val="left" w:leader="none"/>
        </w:tabs>
        <w:spacing w:line="240" w:lineRule="auto" w:before="0" w:after="0"/>
        <w:ind w:left="2266" w:right="0" w:hanging="1133"/>
        <w:jc w:val="both"/>
      </w:pPr>
      <w:bookmarkStart w:name="_bookmark123" w:id="177"/>
      <w:bookmarkEnd w:id="177"/>
      <w:r>
        <w:rPr/>
      </w:r>
      <w:bookmarkStart w:name="_bookmark123" w:id="178"/>
      <w:bookmarkEnd w:id="178"/>
      <w:r>
        <w:rPr/>
        <w:t>Test</w:t>
      </w:r>
      <w:r>
        <w:rPr>
          <w:spacing w:val="-10"/>
        </w:rPr>
        <w:t> </w:t>
      </w:r>
      <w:r>
        <w:rPr/>
        <w:t>Classification</w:t>
      </w:r>
    </w:p>
    <w:p>
      <w:pPr>
        <w:pStyle w:val="BodyText"/>
        <w:spacing w:before="181"/>
        <w:ind w:left="1133"/>
        <w:jc w:val="both"/>
      </w:pPr>
      <w:r>
        <w:rPr/>
        <w:t>Planned tests are:</w:t>
      </w:r>
    </w:p>
    <w:p>
      <w:pPr>
        <w:pStyle w:val="ListParagraph"/>
        <w:numPr>
          <w:ilvl w:val="0"/>
          <w:numId w:val="16"/>
        </w:numPr>
        <w:tabs>
          <w:tab w:pos="285" w:val="left" w:leader="none"/>
          <w:tab w:pos="1702" w:val="left" w:leader="none"/>
        </w:tabs>
        <w:spacing w:line="240" w:lineRule="auto" w:before="180" w:after="0"/>
        <w:ind w:left="1701" w:right="7976" w:hanging="285"/>
        <w:jc w:val="left"/>
        <w:rPr>
          <w:sz w:val="20"/>
        </w:rPr>
      </w:pPr>
      <w:r>
        <w:rPr>
          <w:sz w:val="20"/>
        </w:rPr>
        <w:t>Lab</w:t>
      </w:r>
      <w:r>
        <w:rPr>
          <w:spacing w:val="-5"/>
          <w:sz w:val="20"/>
        </w:rPr>
        <w:t> </w:t>
      </w:r>
      <w:r>
        <w:rPr>
          <w:sz w:val="20"/>
        </w:rPr>
        <w:t>tests</w:t>
      </w:r>
    </w:p>
    <w:p>
      <w:pPr>
        <w:pStyle w:val="ListParagraph"/>
        <w:numPr>
          <w:ilvl w:val="0"/>
          <w:numId w:val="16"/>
        </w:numPr>
        <w:tabs>
          <w:tab w:pos="285" w:val="left" w:leader="none"/>
          <w:tab w:pos="1702" w:val="left" w:leader="none"/>
        </w:tabs>
        <w:spacing w:line="240" w:lineRule="auto" w:before="180" w:after="0"/>
        <w:ind w:left="1701" w:right="7878" w:hanging="285"/>
        <w:jc w:val="left"/>
        <w:rPr>
          <w:sz w:val="20"/>
        </w:rPr>
      </w:pPr>
      <w:r>
        <w:rPr>
          <w:sz w:val="20"/>
        </w:rPr>
        <w:t>Field</w:t>
      </w:r>
      <w:r>
        <w:rPr>
          <w:spacing w:val="-7"/>
          <w:sz w:val="20"/>
        </w:rPr>
        <w:t> </w:t>
      </w:r>
      <w:r>
        <w:rPr>
          <w:sz w:val="20"/>
        </w:rPr>
        <w:t>tests</w:t>
      </w:r>
    </w:p>
    <w:p>
      <w:pPr>
        <w:spacing w:after="0" w:line="240" w:lineRule="auto"/>
        <w:jc w:val="left"/>
        <w:rPr>
          <w:sz w:val="20"/>
        </w:rPr>
        <w:sectPr>
          <w:headerReference w:type="default" r:id="rId133"/>
          <w:pgSz w:w="11910" w:h="16850"/>
          <w:pgMar w:header="852" w:footer="931" w:top="1040" w:bottom="1160" w:left="0" w:right="0"/>
        </w:sectPr>
      </w:pPr>
    </w:p>
    <w:p>
      <w:pPr>
        <w:pStyle w:val="BodyText"/>
        <w:spacing w:before="2"/>
        <w:rPr>
          <w:sz w:val="23"/>
        </w:rPr>
      </w:pPr>
    </w:p>
    <w:p>
      <w:pPr>
        <w:pStyle w:val="BodyText"/>
        <w:spacing w:before="93"/>
        <w:ind w:left="1133"/>
      </w:pPr>
      <w:r>
        <w:rPr/>
        <w:t>Within the lab test category, we define these test areas:</w:t>
      </w:r>
    </w:p>
    <w:p>
      <w:pPr>
        <w:pStyle w:val="ListParagraph"/>
        <w:numPr>
          <w:ilvl w:val="0"/>
          <w:numId w:val="16"/>
        </w:numPr>
        <w:tabs>
          <w:tab w:pos="1701" w:val="left" w:leader="none"/>
          <w:tab w:pos="1702" w:val="left" w:leader="none"/>
        </w:tabs>
        <w:spacing w:line="240" w:lineRule="auto" w:before="180" w:after="0"/>
        <w:ind w:left="1701" w:right="0" w:hanging="285"/>
        <w:jc w:val="left"/>
        <w:rPr>
          <w:sz w:val="20"/>
        </w:rPr>
      </w:pPr>
      <w:r>
        <w:rPr>
          <w:sz w:val="20"/>
        </w:rPr>
        <w:t>Clean (strong) signal reception</w:t>
      </w:r>
      <w:r>
        <w:rPr>
          <w:spacing w:val="-14"/>
          <w:sz w:val="20"/>
        </w:rPr>
        <w:t> </w:t>
      </w:r>
      <w:r>
        <w:rPr>
          <w:sz w:val="20"/>
        </w:rPr>
        <w:t>tests</w:t>
      </w:r>
    </w:p>
    <w:p>
      <w:pPr>
        <w:pStyle w:val="ListParagraph"/>
        <w:numPr>
          <w:ilvl w:val="0"/>
          <w:numId w:val="16"/>
        </w:numPr>
        <w:tabs>
          <w:tab w:pos="1701" w:val="left" w:leader="none"/>
          <w:tab w:pos="1702" w:val="left" w:leader="none"/>
        </w:tabs>
        <w:spacing w:line="240" w:lineRule="auto" w:before="180" w:after="0"/>
        <w:ind w:left="1701" w:right="0" w:hanging="285"/>
        <w:jc w:val="left"/>
        <w:rPr>
          <w:sz w:val="20"/>
        </w:rPr>
      </w:pPr>
      <w:r>
        <w:rPr>
          <w:sz w:val="20"/>
        </w:rPr>
        <w:t>Attenuation</w:t>
      </w:r>
      <w:r>
        <w:rPr>
          <w:spacing w:val="-6"/>
          <w:sz w:val="20"/>
        </w:rPr>
        <w:t> </w:t>
      </w:r>
      <w:r>
        <w:rPr>
          <w:sz w:val="20"/>
        </w:rPr>
        <w:t>tests</w:t>
      </w:r>
    </w:p>
    <w:p>
      <w:pPr>
        <w:pStyle w:val="ListParagraph"/>
        <w:numPr>
          <w:ilvl w:val="0"/>
          <w:numId w:val="16"/>
        </w:numPr>
        <w:tabs>
          <w:tab w:pos="1701" w:val="left" w:leader="none"/>
          <w:tab w:pos="1702" w:val="left" w:leader="none"/>
        </w:tabs>
        <w:spacing w:line="240" w:lineRule="auto" w:before="178" w:after="0"/>
        <w:ind w:left="1701" w:right="0" w:hanging="285"/>
        <w:jc w:val="left"/>
        <w:rPr>
          <w:sz w:val="20"/>
        </w:rPr>
      </w:pPr>
      <w:r>
        <w:rPr>
          <w:sz w:val="20"/>
        </w:rPr>
        <w:t>Strong signal reception tests in the presence of White-Gaussian</w:t>
      </w:r>
      <w:r>
        <w:rPr>
          <w:spacing w:val="-20"/>
          <w:sz w:val="20"/>
        </w:rPr>
        <w:t> </w:t>
      </w:r>
      <w:r>
        <w:rPr>
          <w:sz w:val="20"/>
        </w:rPr>
        <w:t>noise</w:t>
      </w:r>
    </w:p>
    <w:p>
      <w:pPr>
        <w:pStyle w:val="ListParagraph"/>
        <w:numPr>
          <w:ilvl w:val="0"/>
          <w:numId w:val="16"/>
        </w:numPr>
        <w:tabs>
          <w:tab w:pos="1701" w:val="left" w:leader="none"/>
          <w:tab w:pos="1702" w:val="left" w:leader="none"/>
        </w:tabs>
        <w:spacing w:line="240" w:lineRule="auto" w:before="180" w:after="0"/>
        <w:ind w:left="1701" w:right="0" w:hanging="285"/>
        <w:jc w:val="left"/>
        <w:rPr>
          <w:sz w:val="20"/>
        </w:rPr>
      </w:pPr>
      <w:r>
        <w:rPr>
          <w:sz w:val="20"/>
        </w:rPr>
        <w:t>Interference tests (resilience of the signal to</w:t>
      </w:r>
      <w:r>
        <w:rPr>
          <w:spacing w:val="-21"/>
          <w:sz w:val="20"/>
        </w:rPr>
        <w:t> </w:t>
      </w:r>
      <w:r>
        <w:rPr>
          <w:sz w:val="20"/>
        </w:rPr>
        <w:t>jamming)</w:t>
      </w:r>
    </w:p>
    <w:p>
      <w:pPr>
        <w:pStyle w:val="ListParagraph"/>
        <w:numPr>
          <w:ilvl w:val="0"/>
          <w:numId w:val="16"/>
        </w:numPr>
        <w:tabs>
          <w:tab w:pos="1701" w:val="left" w:leader="none"/>
          <w:tab w:pos="1702" w:val="left" w:leader="none"/>
        </w:tabs>
        <w:spacing w:line="240" w:lineRule="auto" w:before="180" w:after="0"/>
        <w:ind w:left="1701" w:right="0" w:hanging="285"/>
        <w:jc w:val="left"/>
        <w:rPr>
          <w:sz w:val="20"/>
        </w:rPr>
      </w:pPr>
      <w:r>
        <w:rPr>
          <w:sz w:val="20"/>
        </w:rPr>
        <w:t>Hidden-node</w:t>
      </w:r>
      <w:r>
        <w:rPr>
          <w:spacing w:val="-7"/>
          <w:sz w:val="20"/>
        </w:rPr>
        <w:t> </w:t>
      </w:r>
      <w:r>
        <w:rPr>
          <w:sz w:val="20"/>
        </w:rPr>
        <w:t>tests</w:t>
      </w:r>
    </w:p>
    <w:p>
      <w:pPr>
        <w:pStyle w:val="ListParagraph"/>
        <w:numPr>
          <w:ilvl w:val="0"/>
          <w:numId w:val="16"/>
        </w:numPr>
        <w:tabs>
          <w:tab w:pos="1701" w:val="left" w:leader="none"/>
          <w:tab w:pos="1702" w:val="left" w:leader="none"/>
        </w:tabs>
        <w:spacing w:line="240" w:lineRule="auto" w:before="180" w:after="0"/>
        <w:ind w:left="1701" w:right="0" w:hanging="285"/>
        <w:jc w:val="left"/>
        <w:rPr>
          <w:sz w:val="20"/>
        </w:rPr>
      </w:pPr>
      <w:r>
        <w:rPr>
          <w:sz w:val="20"/>
        </w:rPr>
        <w:t>Near-Far</w:t>
      </w:r>
      <w:r>
        <w:rPr>
          <w:spacing w:val="-6"/>
          <w:sz w:val="20"/>
        </w:rPr>
        <w:t> </w:t>
      </w:r>
      <w:r>
        <w:rPr>
          <w:sz w:val="20"/>
        </w:rPr>
        <w:t>tests</w:t>
      </w:r>
    </w:p>
    <w:p>
      <w:pPr>
        <w:pStyle w:val="BodyText"/>
        <w:spacing w:before="180"/>
        <w:ind w:right="4628"/>
        <w:jc w:val="center"/>
      </w:pPr>
      <w:r>
        <w:rPr/>
        <w:t>Within the field test category, we define these test areas:</w:t>
      </w:r>
    </w:p>
    <w:p>
      <w:pPr>
        <w:pStyle w:val="ListParagraph"/>
        <w:numPr>
          <w:ilvl w:val="0"/>
          <w:numId w:val="16"/>
        </w:numPr>
        <w:tabs>
          <w:tab w:pos="1701" w:val="left" w:leader="none"/>
          <w:tab w:pos="1702" w:val="left" w:leader="none"/>
        </w:tabs>
        <w:spacing w:line="240" w:lineRule="auto" w:before="180" w:after="0"/>
        <w:ind w:left="1701" w:right="0" w:hanging="285"/>
        <w:jc w:val="left"/>
        <w:rPr>
          <w:sz w:val="20"/>
        </w:rPr>
      </w:pPr>
      <w:r>
        <w:rPr>
          <w:sz w:val="20"/>
        </w:rPr>
        <w:t>Range</w:t>
      </w:r>
      <w:r>
        <w:rPr>
          <w:spacing w:val="-6"/>
          <w:sz w:val="20"/>
        </w:rPr>
        <w:t> </w:t>
      </w:r>
      <w:r>
        <w:rPr>
          <w:sz w:val="20"/>
        </w:rPr>
        <w:t>tests</w:t>
      </w:r>
    </w:p>
    <w:p>
      <w:pPr>
        <w:pStyle w:val="ListParagraph"/>
        <w:numPr>
          <w:ilvl w:val="1"/>
          <w:numId w:val="16"/>
        </w:numPr>
        <w:tabs>
          <w:tab w:pos="1985" w:val="left" w:leader="none"/>
          <w:tab w:pos="1986" w:val="left" w:leader="none"/>
        </w:tabs>
        <w:spacing w:line="240" w:lineRule="auto" w:before="178" w:after="0"/>
        <w:ind w:left="1985" w:right="0" w:hanging="286"/>
        <w:jc w:val="left"/>
        <w:rPr>
          <w:sz w:val="20"/>
        </w:rPr>
      </w:pPr>
      <w:r>
        <w:rPr>
          <w:sz w:val="20"/>
        </w:rPr>
        <w:t>Line-of-Sight (LOS) tests with two</w:t>
      </w:r>
      <w:r>
        <w:rPr>
          <w:spacing w:val="-17"/>
          <w:sz w:val="20"/>
        </w:rPr>
        <w:t> </w:t>
      </w:r>
      <w:r>
        <w:rPr>
          <w:sz w:val="20"/>
        </w:rPr>
        <w:t>vehicles</w:t>
      </w:r>
    </w:p>
    <w:p>
      <w:pPr>
        <w:pStyle w:val="ListParagraph"/>
        <w:numPr>
          <w:ilvl w:val="1"/>
          <w:numId w:val="16"/>
        </w:numPr>
        <w:tabs>
          <w:tab w:pos="1985" w:val="left" w:leader="none"/>
          <w:tab w:pos="1986" w:val="left" w:leader="none"/>
        </w:tabs>
        <w:spacing w:line="240" w:lineRule="auto" w:before="180" w:after="0"/>
        <w:ind w:left="1985" w:right="0" w:hanging="286"/>
        <w:jc w:val="left"/>
        <w:rPr>
          <w:sz w:val="20"/>
        </w:rPr>
      </w:pPr>
      <w:r>
        <w:rPr>
          <w:sz w:val="20"/>
        </w:rPr>
        <w:t>Non-Line-of-Sight (NLOS) tests with two vehicles and an</w:t>
      </w:r>
      <w:r>
        <w:rPr>
          <w:spacing w:val="-23"/>
          <w:sz w:val="20"/>
        </w:rPr>
        <w:t> </w:t>
      </w:r>
      <w:r>
        <w:rPr>
          <w:sz w:val="20"/>
        </w:rPr>
        <w:t>obstruction</w:t>
      </w:r>
    </w:p>
    <w:p>
      <w:pPr>
        <w:pStyle w:val="BodyText"/>
        <w:tabs>
          <w:tab w:pos="282" w:val="left" w:leader="none"/>
        </w:tabs>
        <w:spacing w:before="180"/>
        <w:ind w:right="4120"/>
        <w:jc w:val="center"/>
      </w:pPr>
      <w:r>
        <w:rPr/>
        <w:t>-</w:t>
        <w:tab/>
        <w:t>Obstruction can be stationary or</w:t>
      </w:r>
      <w:r>
        <w:rPr>
          <w:spacing w:val="-16"/>
        </w:rPr>
        <w:t> </w:t>
      </w:r>
      <w:r>
        <w:rPr/>
        <w:t>moving</w:t>
      </w:r>
    </w:p>
    <w:p>
      <w:pPr>
        <w:pStyle w:val="ListParagraph"/>
        <w:numPr>
          <w:ilvl w:val="1"/>
          <w:numId w:val="16"/>
        </w:numPr>
        <w:tabs>
          <w:tab w:pos="1985" w:val="left" w:leader="none"/>
          <w:tab w:pos="1986" w:val="left" w:leader="none"/>
        </w:tabs>
        <w:spacing w:line="240" w:lineRule="auto" w:before="180" w:after="0"/>
        <w:ind w:left="1985" w:right="0" w:hanging="286"/>
        <w:jc w:val="left"/>
        <w:rPr>
          <w:sz w:val="20"/>
        </w:rPr>
      </w:pPr>
      <w:r>
        <w:rPr>
          <w:sz w:val="20"/>
        </w:rPr>
        <w:t>Non-Line-of-Sight (NLOS) intersection tests with two vehicles and two</w:t>
      </w:r>
      <w:r>
        <w:rPr>
          <w:spacing w:val="-26"/>
          <w:sz w:val="20"/>
        </w:rPr>
        <w:t> </w:t>
      </w:r>
      <w:r>
        <w:rPr>
          <w:sz w:val="20"/>
        </w:rPr>
        <w:t>obstructions</w:t>
      </w:r>
    </w:p>
    <w:p>
      <w:pPr>
        <w:pStyle w:val="ListParagraph"/>
        <w:numPr>
          <w:ilvl w:val="0"/>
          <w:numId w:val="16"/>
        </w:numPr>
        <w:tabs>
          <w:tab w:pos="1701" w:val="left" w:leader="none"/>
          <w:tab w:pos="1702" w:val="left" w:leader="none"/>
        </w:tabs>
        <w:spacing w:line="240" w:lineRule="auto" w:before="180" w:after="0"/>
        <w:ind w:left="1701" w:right="0" w:hanging="285"/>
        <w:jc w:val="left"/>
        <w:rPr>
          <w:sz w:val="20"/>
        </w:rPr>
      </w:pPr>
      <w:r>
        <w:rPr>
          <w:sz w:val="20"/>
        </w:rPr>
        <w:t>Interference</w:t>
      </w:r>
      <w:r>
        <w:rPr>
          <w:spacing w:val="-7"/>
          <w:sz w:val="20"/>
        </w:rPr>
        <w:t> </w:t>
      </w:r>
      <w:r>
        <w:rPr>
          <w:sz w:val="20"/>
        </w:rPr>
        <w:t>tests</w:t>
      </w:r>
    </w:p>
    <w:p>
      <w:pPr>
        <w:pStyle w:val="ListParagraph"/>
        <w:numPr>
          <w:ilvl w:val="1"/>
          <w:numId w:val="16"/>
        </w:numPr>
        <w:tabs>
          <w:tab w:pos="1985" w:val="left" w:leader="none"/>
          <w:tab w:pos="1986" w:val="left" w:leader="none"/>
        </w:tabs>
        <w:spacing w:line="240" w:lineRule="auto" w:before="180" w:after="0"/>
        <w:ind w:left="1985" w:right="0" w:hanging="286"/>
        <w:jc w:val="left"/>
        <w:rPr>
          <w:sz w:val="20"/>
        </w:rPr>
      </w:pPr>
      <w:r>
        <w:rPr>
          <w:sz w:val="20"/>
        </w:rPr>
        <w:t>Impact of UNII-3 802.11ac</w:t>
      </w:r>
      <w:r>
        <w:rPr>
          <w:spacing w:val="-10"/>
          <w:sz w:val="20"/>
        </w:rPr>
        <w:t> </w:t>
      </w:r>
      <w:r>
        <w:rPr>
          <w:sz w:val="20"/>
        </w:rPr>
        <w:t>interferer</w:t>
      </w:r>
    </w:p>
    <w:p>
      <w:pPr>
        <w:pStyle w:val="ListParagraph"/>
        <w:numPr>
          <w:ilvl w:val="1"/>
          <w:numId w:val="16"/>
        </w:numPr>
        <w:tabs>
          <w:tab w:pos="1985" w:val="left" w:leader="none"/>
          <w:tab w:pos="1986" w:val="left" w:leader="none"/>
        </w:tabs>
        <w:spacing w:line="240" w:lineRule="auto" w:before="178" w:after="0"/>
        <w:ind w:left="1985" w:right="0" w:hanging="286"/>
        <w:jc w:val="left"/>
        <w:rPr>
          <w:sz w:val="20"/>
        </w:rPr>
      </w:pPr>
      <w:r>
        <w:rPr>
          <w:sz w:val="20"/>
        </w:rPr>
        <w:t>Impact of DSRC interferer in the adjacent</w:t>
      </w:r>
      <w:r>
        <w:rPr>
          <w:spacing w:val="-16"/>
          <w:sz w:val="20"/>
        </w:rPr>
        <w:t> </w:t>
      </w:r>
      <w:r>
        <w:rPr>
          <w:sz w:val="20"/>
        </w:rPr>
        <w:t>channel</w:t>
      </w:r>
    </w:p>
    <w:p>
      <w:pPr>
        <w:spacing w:after="0" w:line="240" w:lineRule="auto"/>
        <w:jc w:val="left"/>
        <w:rPr>
          <w:sz w:val="20"/>
        </w:rPr>
        <w:sectPr>
          <w:headerReference w:type="default" r:id="rId134"/>
          <w:pgSz w:w="11910" w:h="16850"/>
          <w:pgMar w:header="852" w:footer="931" w:top="1040" w:bottom="1160" w:left="0" w:right="0"/>
        </w:sectPr>
      </w:pPr>
    </w:p>
    <w:p>
      <w:pPr>
        <w:pStyle w:val="BodyText"/>
      </w:pPr>
    </w:p>
    <w:p>
      <w:pPr>
        <w:pStyle w:val="BodyText"/>
        <w:spacing w:before="6"/>
        <w:rPr>
          <w:sz w:val="11"/>
        </w:rPr>
      </w:pPr>
    </w:p>
    <w:p>
      <w:pPr>
        <w:pStyle w:val="BodyText"/>
        <w:spacing w:line="29" w:lineRule="exact"/>
        <w:ind w:left="1089"/>
        <w:rPr>
          <w:sz w:val="2"/>
        </w:rPr>
      </w:pPr>
      <w:r>
        <w:rPr>
          <w:position w:val="0"/>
          <w:sz w:val="2"/>
        </w:rPr>
        <w:pict>
          <v:group style="width:486.5pt;height:1.45pt;mso-position-horizontal-relative:char;mso-position-vertical-relative:line" coordorigin="0,0" coordsize="9730,29">
            <v:line style="position:absolute" from="15,15" to="9715,15" stroked="true" strokeweight="1.44pt" strokecolor="#000000">
              <v:stroke dashstyle="solid"/>
            </v:line>
          </v:group>
        </w:pict>
      </w:r>
      <w:r>
        <w:rPr>
          <w:position w:val="0"/>
          <w:sz w:val="2"/>
        </w:rPr>
      </w:r>
    </w:p>
    <w:p>
      <w:pPr>
        <w:pStyle w:val="Heading1"/>
        <w:numPr>
          <w:ilvl w:val="0"/>
          <w:numId w:val="14"/>
        </w:numPr>
        <w:tabs>
          <w:tab w:pos="2265" w:val="left" w:leader="none"/>
          <w:tab w:pos="2266" w:val="left" w:leader="none"/>
        </w:tabs>
        <w:spacing w:line="240" w:lineRule="auto" w:before="56" w:after="0"/>
        <w:ind w:left="2265" w:right="0" w:hanging="1132"/>
        <w:jc w:val="left"/>
      </w:pPr>
      <w:bookmarkStart w:name="_bookmark124" w:id="179"/>
      <w:bookmarkEnd w:id="179"/>
      <w:r>
        <w:rPr/>
      </w:r>
      <w:bookmarkStart w:name="_bookmark124" w:id="180"/>
      <w:bookmarkEnd w:id="180"/>
      <w:r>
        <w:rPr/>
        <w:t>T</w:t>
      </w:r>
      <w:r>
        <w:rPr/>
        <w:t>est Equipment Description and</w:t>
      </w:r>
      <w:r>
        <w:rPr>
          <w:spacing w:val="-10"/>
        </w:rPr>
        <w:t> </w:t>
      </w:r>
      <w:r>
        <w:rPr/>
        <w:t>Characterization</w:t>
      </w:r>
    </w:p>
    <w:p>
      <w:pPr>
        <w:pStyle w:val="BodyText"/>
        <w:spacing w:before="182"/>
        <w:ind w:left="1133"/>
      </w:pPr>
      <w:r>
        <w:rPr/>
        <w:t>This chapter describes the test equipment and how it is characterized.</w:t>
      </w:r>
    </w:p>
    <w:p>
      <w:pPr>
        <w:pStyle w:val="BodyText"/>
        <w:spacing w:before="1"/>
        <w:rPr>
          <w:sz w:val="31"/>
        </w:rPr>
      </w:pPr>
    </w:p>
    <w:p>
      <w:pPr>
        <w:pStyle w:val="Heading2"/>
        <w:numPr>
          <w:ilvl w:val="1"/>
          <w:numId w:val="14"/>
        </w:numPr>
        <w:tabs>
          <w:tab w:pos="2266" w:val="left" w:leader="none"/>
          <w:tab w:pos="2267" w:val="left" w:leader="none"/>
          <w:tab w:pos="3434" w:val="left" w:leader="none"/>
          <w:tab w:pos="4767" w:val="left" w:leader="none"/>
          <w:tab w:pos="6365" w:val="left" w:leader="none"/>
          <w:tab w:pos="7218" w:val="left" w:leader="none"/>
          <w:tab w:pos="9083" w:val="left" w:leader="none"/>
        </w:tabs>
        <w:spacing w:line="240" w:lineRule="auto" w:before="0" w:after="0"/>
        <w:ind w:left="2266" w:right="1130" w:hanging="1133"/>
        <w:jc w:val="left"/>
      </w:pPr>
      <w:bookmarkStart w:name="_bookmark125" w:id="181"/>
      <w:bookmarkEnd w:id="181"/>
      <w:r>
        <w:rPr/>
      </w:r>
      <w:bookmarkStart w:name="_bookmark125" w:id="182"/>
      <w:bookmarkEnd w:id="182"/>
      <w:r>
        <w:rPr/>
        <w:t>O</w:t>
      </w:r>
      <w:r>
        <w:rPr/>
        <w:t>BUs</w:t>
        <w:tab/>
        <w:t>(Savari</w:t>
        <w:tab/>
        <w:t>MW1000</w:t>
        <w:tab/>
        <w:t>and</w:t>
        <w:tab/>
        <w:t>Qualcomm</w:t>
        <w:tab/>
        <w:t>Roadrunner platforms)</w:t>
      </w:r>
    </w:p>
    <w:p>
      <w:pPr>
        <w:pStyle w:val="Heading7"/>
        <w:spacing w:before="238"/>
      </w:pPr>
      <w:r>
        <w:rPr/>
        <w:t>Savari MW1000 (DSRC)</w:t>
      </w:r>
    </w:p>
    <w:p>
      <w:pPr>
        <w:pStyle w:val="BodyText"/>
        <w:spacing w:before="1"/>
        <w:rPr>
          <w:b/>
          <w:sz w:val="16"/>
        </w:rPr>
      </w:pPr>
    </w:p>
    <w:tbl>
      <w:tblPr>
        <w:tblW w:w="0" w:type="auto"/>
        <w:jc w:val="left"/>
        <w:tblInd w:w="2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5"/>
        <w:gridCol w:w="3923"/>
      </w:tblGrid>
      <w:tr>
        <w:trPr>
          <w:trHeight w:val="218" w:hRule="exact"/>
        </w:trPr>
        <w:tc>
          <w:tcPr>
            <w:tcW w:w="2465" w:type="dxa"/>
            <w:shd w:val="clear" w:color="auto" w:fill="D9D9D9"/>
          </w:tcPr>
          <w:p>
            <w:pPr>
              <w:pStyle w:val="TableParagraph"/>
              <w:spacing w:line="201" w:lineRule="exact"/>
              <w:rPr>
                <w:b/>
                <w:sz w:val="18"/>
              </w:rPr>
            </w:pPr>
            <w:r>
              <w:rPr>
                <w:b/>
                <w:sz w:val="18"/>
              </w:rPr>
              <w:t>Component</w:t>
            </w:r>
          </w:p>
        </w:tc>
        <w:tc>
          <w:tcPr>
            <w:tcW w:w="3923" w:type="dxa"/>
            <w:shd w:val="clear" w:color="auto" w:fill="D9D9D9"/>
          </w:tcPr>
          <w:p>
            <w:pPr>
              <w:pStyle w:val="TableParagraph"/>
              <w:spacing w:line="201" w:lineRule="exact"/>
              <w:rPr>
                <w:b/>
                <w:sz w:val="18"/>
              </w:rPr>
            </w:pPr>
            <w:r>
              <w:rPr>
                <w:b/>
                <w:sz w:val="18"/>
              </w:rPr>
              <w:t>Description</w:t>
            </w:r>
          </w:p>
        </w:tc>
      </w:tr>
      <w:tr>
        <w:trPr>
          <w:trHeight w:val="216" w:hRule="exact"/>
        </w:trPr>
        <w:tc>
          <w:tcPr>
            <w:tcW w:w="2465" w:type="dxa"/>
          </w:tcPr>
          <w:p>
            <w:pPr>
              <w:pStyle w:val="TableParagraph"/>
              <w:rPr>
                <w:sz w:val="18"/>
              </w:rPr>
            </w:pPr>
            <w:r>
              <w:rPr>
                <w:sz w:val="18"/>
              </w:rPr>
              <w:t>Processor</w:t>
            </w:r>
          </w:p>
        </w:tc>
        <w:tc>
          <w:tcPr>
            <w:tcW w:w="3923" w:type="dxa"/>
          </w:tcPr>
          <w:p>
            <w:pPr>
              <w:pStyle w:val="TableParagraph"/>
              <w:rPr>
                <w:sz w:val="18"/>
              </w:rPr>
            </w:pPr>
            <w:r>
              <w:rPr>
                <w:sz w:val="18"/>
              </w:rPr>
              <w:t>1 GHZ iMX6 Dual Core</w:t>
            </w:r>
          </w:p>
        </w:tc>
      </w:tr>
      <w:tr>
        <w:trPr>
          <w:trHeight w:val="218" w:hRule="exact"/>
        </w:trPr>
        <w:tc>
          <w:tcPr>
            <w:tcW w:w="2465" w:type="dxa"/>
          </w:tcPr>
          <w:p>
            <w:pPr>
              <w:pStyle w:val="TableParagraph"/>
              <w:rPr>
                <w:sz w:val="18"/>
              </w:rPr>
            </w:pPr>
            <w:r>
              <w:rPr>
                <w:sz w:val="18"/>
              </w:rPr>
              <w:t>Memory</w:t>
            </w:r>
          </w:p>
        </w:tc>
        <w:tc>
          <w:tcPr>
            <w:tcW w:w="3923" w:type="dxa"/>
          </w:tcPr>
          <w:p>
            <w:pPr>
              <w:pStyle w:val="TableParagraph"/>
              <w:rPr>
                <w:sz w:val="18"/>
              </w:rPr>
            </w:pPr>
            <w:r>
              <w:rPr>
                <w:sz w:val="18"/>
              </w:rPr>
              <w:t>1 GB DDR3 DRAM</w:t>
            </w:r>
          </w:p>
        </w:tc>
      </w:tr>
      <w:tr>
        <w:trPr>
          <w:trHeight w:val="216" w:hRule="exact"/>
        </w:trPr>
        <w:tc>
          <w:tcPr>
            <w:tcW w:w="2465" w:type="dxa"/>
          </w:tcPr>
          <w:p>
            <w:pPr>
              <w:pStyle w:val="TableParagraph"/>
              <w:rPr>
                <w:sz w:val="18"/>
              </w:rPr>
            </w:pPr>
            <w:r>
              <w:rPr>
                <w:sz w:val="18"/>
              </w:rPr>
              <w:t>Storage</w:t>
            </w:r>
          </w:p>
        </w:tc>
        <w:tc>
          <w:tcPr>
            <w:tcW w:w="3923" w:type="dxa"/>
          </w:tcPr>
          <w:p>
            <w:pPr>
              <w:pStyle w:val="TableParagraph"/>
              <w:rPr>
                <w:sz w:val="18"/>
              </w:rPr>
            </w:pPr>
            <w:r>
              <w:rPr>
                <w:sz w:val="18"/>
              </w:rPr>
              <w:t>Up to 16 GB Flash</w:t>
            </w:r>
          </w:p>
        </w:tc>
      </w:tr>
      <w:tr>
        <w:trPr>
          <w:trHeight w:val="217" w:hRule="exact"/>
        </w:trPr>
        <w:tc>
          <w:tcPr>
            <w:tcW w:w="2465" w:type="dxa"/>
          </w:tcPr>
          <w:p>
            <w:pPr>
              <w:pStyle w:val="TableParagraph"/>
              <w:spacing w:line="207" w:lineRule="exact"/>
              <w:rPr>
                <w:sz w:val="18"/>
              </w:rPr>
            </w:pPr>
            <w:r>
              <w:rPr>
                <w:sz w:val="18"/>
              </w:rPr>
              <w:t>Radio</w:t>
            </w:r>
          </w:p>
        </w:tc>
        <w:tc>
          <w:tcPr>
            <w:tcW w:w="3923" w:type="dxa"/>
          </w:tcPr>
          <w:p>
            <w:pPr>
              <w:pStyle w:val="TableParagraph"/>
              <w:spacing w:line="207" w:lineRule="exact"/>
              <w:rPr>
                <w:sz w:val="18"/>
              </w:rPr>
            </w:pPr>
            <w:r>
              <w:rPr>
                <w:sz w:val="18"/>
              </w:rPr>
              <w:t>Dual DSRC</w:t>
            </w:r>
          </w:p>
        </w:tc>
      </w:tr>
      <w:tr>
        <w:trPr>
          <w:trHeight w:val="218" w:hRule="exact"/>
        </w:trPr>
        <w:tc>
          <w:tcPr>
            <w:tcW w:w="2465" w:type="dxa"/>
          </w:tcPr>
          <w:p>
            <w:pPr>
              <w:pStyle w:val="TableParagraph"/>
              <w:rPr>
                <w:sz w:val="18"/>
              </w:rPr>
            </w:pPr>
            <w:r>
              <w:rPr>
                <w:sz w:val="18"/>
              </w:rPr>
              <w:t>GPS</w:t>
            </w:r>
          </w:p>
        </w:tc>
        <w:tc>
          <w:tcPr>
            <w:tcW w:w="3923" w:type="dxa"/>
          </w:tcPr>
          <w:p>
            <w:pPr>
              <w:pStyle w:val="TableParagraph"/>
              <w:rPr>
                <w:sz w:val="18"/>
              </w:rPr>
            </w:pPr>
            <w:r>
              <w:rPr>
                <w:sz w:val="18"/>
              </w:rPr>
              <w:t>U-Blox. Tracking Sensitivity: -160 dBm</w:t>
            </w:r>
          </w:p>
        </w:tc>
      </w:tr>
      <w:tr>
        <w:trPr>
          <w:trHeight w:val="216" w:hRule="exact"/>
        </w:trPr>
        <w:tc>
          <w:tcPr>
            <w:tcW w:w="2465" w:type="dxa"/>
          </w:tcPr>
          <w:p>
            <w:pPr>
              <w:pStyle w:val="TableParagraph"/>
              <w:rPr>
                <w:sz w:val="18"/>
              </w:rPr>
            </w:pPr>
            <w:r>
              <w:rPr>
                <w:sz w:val="18"/>
              </w:rPr>
              <w:t>Secure Flash / HSM</w:t>
            </w:r>
          </w:p>
        </w:tc>
        <w:tc>
          <w:tcPr>
            <w:tcW w:w="3923" w:type="dxa"/>
          </w:tcPr>
          <w:p>
            <w:pPr>
              <w:pStyle w:val="TableParagraph"/>
              <w:rPr>
                <w:sz w:val="18"/>
              </w:rPr>
            </w:pPr>
            <w:r>
              <w:rPr>
                <w:sz w:val="18"/>
              </w:rPr>
              <w:t>Infineon HSM SLE97</w:t>
            </w:r>
          </w:p>
        </w:tc>
      </w:tr>
      <w:tr>
        <w:trPr>
          <w:trHeight w:val="218" w:hRule="exact"/>
        </w:trPr>
        <w:tc>
          <w:tcPr>
            <w:tcW w:w="2465" w:type="dxa"/>
          </w:tcPr>
          <w:p>
            <w:pPr>
              <w:pStyle w:val="TableParagraph"/>
              <w:rPr>
                <w:sz w:val="18"/>
              </w:rPr>
            </w:pPr>
            <w:r>
              <w:rPr>
                <w:sz w:val="18"/>
              </w:rPr>
              <w:t>Operational Temperature</w:t>
            </w:r>
          </w:p>
        </w:tc>
        <w:tc>
          <w:tcPr>
            <w:tcW w:w="3923" w:type="dxa"/>
          </w:tcPr>
          <w:p>
            <w:pPr>
              <w:pStyle w:val="TableParagraph"/>
              <w:rPr>
                <w:sz w:val="18"/>
              </w:rPr>
            </w:pPr>
            <w:r>
              <w:rPr>
                <w:sz w:val="18"/>
              </w:rPr>
              <w:t>-40C to +85C</w:t>
            </w:r>
          </w:p>
        </w:tc>
      </w:tr>
      <w:tr>
        <w:trPr>
          <w:trHeight w:val="422" w:hRule="exact"/>
        </w:trPr>
        <w:tc>
          <w:tcPr>
            <w:tcW w:w="2465" w:type="dxa"/>
          </w:tcPr>
          <w:p>
            <w:pPr>
              <w:pStyle w:val="TableParagraph"/>
              <w:tabs>
                <w:tab w:pos="1348" w:val="left" w:leader="none"/>
                <w:tab w:pos="1971" w:val="left" w:leader="none"/>
              </w:tabs>
              <w:spacing w:line="240" w:lineRule="auto"/>
              <w:ind w:right="102"/>
              <w:rPr>
                <w:sz w:val="18"/>
              </w:rPr>
            </w:pPr>
            <w:r>
              <w:rPr>
                <w:sz w:val="18"/>
              </w:rPr>
              <w:t>Antenna</w:t>
              <w:tab/>
              <w:t>/</w:t>
              <w:tab/>
              <w:t>GPS Connectors</w:t>
            </w:r>
          </w:p>
        </w:tc>
        <w:tc>
          <w:tcPr>
            <w:tcW w:w="3923" w:type="dxa"/>
          </w:tcPr>
          <w:p>
            <w:pPr>
              <w:pStyle w:val="TableParagraph"/>
              <w:rPr>
                <w:sz w:val="18"/>
              </w:rPr>
            </w:pPr>
            <w:r>
              <w:rPr>
                <w:sz w:val="18"/>
              </w:rPr>
              <w:t>Fakra type Z/C</w:t>
            </w:r>
          </w:p>
        </w:tc>
      </w:tr>
      <w:tr>
        <w:trPr>
          <w:trHeight w:val="218" w:hRule="exact"/>
        </w:trPr>
        <w:tc>
          <w:tcPr>
            <w:tcW w:w="2465" w:type="dxa"/>
          </w:tcPr>
          <w:p>
            <w:pPr>
              <w:pStyle w:val="TableParagraph"/>
              <w:rPr>
                <w:sz w:val="18"/>
              </w:rPr>
            </w:pPr>
            <w:r>
              <w:rPr>
                <w:sz w:val="18"/>
              </w:rPr>
              <w:t>Other Interfaces</w:t>
            </w:r>
          </w:p>
        </w:tc>
        <w:tc>
          <w:tcPr>
            <w:tcW w:w="3923" w:type="dxa"/>
          </w:tcPr>
          <w:p>
            <w:pPr>
              <w:pStyle w:val="TableParagraph"/>
              <w:rPr>
                <w:sz w:val="18"/>
              </w:rPr>
            </w:pPr>
            <w:r>
              <w:rPr>
                <w:sz w:val="18"/>
              </w:rPr>
              <w:t>CAN, 2 USB, MicroSD, Serial, Ethernet</w:t>
            </w:r>
          </w:p>
        </w:tc>
      </w:tr>
      <w:tr>
        <w:trPr>
          <w:trHeight w:val="216" w:hRule="exact"/>
        </w:trPr>
        <w:tc>
          <w:tcPr>
            <w:tcW w:w="2465" w:type="dxa"/>
          </w:tcPr>
          <w:p>
            <w:pPr>
              <w:pStyle w:val="TableParagraph"/>
              <w:rPr>
                <w:sz w:val="18"/>
              </w:rPr>
            </w:pPr>
            <w:r>
              <w:rPr>
                <w:sz w:val="18"/>
              </w:rPr>
              <w:t>Display</w:t>
            </w:r>
          </w:p>
        </w:tc>
        <w:tc>
          <w:tcPr>
            <w:tcW w:w="3923" w:type="dxa"/>
          </w:tcPr>
          <w:p>
            <w:pPr>
              <w:pStyle w:val="TableParagraph"/>
              <w:rPr>
                <w:sz w:val="18"/>
              </w:rPr>
            </w:pPr>
            <w:r>
              <w:rPr>
                <w:sz w:val="18"/>
              </w:rPr>
              <w:t>16 x 2 LCD</w:t>
            </w:r>
          </w:p>
        </w:tc>
      </w:tr>
      <w:tr>
        <w:trPr>
          <w:trHeight w:val="425" w:hRule="exact"/>
        </w:trPr>
        <w:tc>
          <w:tcPr>
            <w:tcW w:w="2465" w:type="dxa"/>
          </w:tcPr>
          <w:p>
            <w:pPr>
              <w:pStyle w:val="TableParagraph"/>
              <w:rPr>
                <w:sz w:val="18"/>
              </w:rPr>
            </w:pPr>
            <w:r>
              <w:rPr>
                <w:sz w:val="18"/>
              </w:rPr>
              <w:t>Standards Compliance</w:t>
            </w:r>
          </w:p>
        </w:tc>
        <w:tc>
          <w:tcPr>
            <w:tcW w:w="3923" w:type="dxa"/>
          </w:tcPr>
          <w:p>
            <w:pPr>
              <w:pStyle w:val="TableParagraph"/>
              <w:spacing w:line="240" w:lineRule="auto"/>
              <w:rPr>
                <w:sz w:val="18"/>
              </w:rPr>
            </w:pPr>
            <w:r>
              <w:rPr>
                <w:sz w:val="18"/>
              </w:rPr>
              <w:t>802.11p, IEEE 1609.x and SAE J2735 (2015), J2945</w:t>
            </w:r>
          </w:p>
        </w:tc>
      </w:tr>
      <w:tr>
        <w:trPr>
          <w:trHeight w:val="216" w:hRule="exact"/>
        </w:trPr>
        <w:tc>
          <w:tcPr>
            <w:tcW w:w="2465" w:type="dxa"/>
          </w:tcPr>
          <w:p>
            <w:pPr>
              <w:pStyle w:val="TableParagraph"/>
              <w:rPr>
                <w:sz w:val="18"/>
              </w:rPr>
            </w:pPr>
            <w:r>
              <w:rPr>
                <w:sz w:val="18"/>
              </w:rPr>
              <w:t>Security</w:t>
            </w:r>
          </w:p>
        </w:tc>
        <w:tc>
          <w:tcPr>
            <w:tcW w:w="3923" w:type="dxa"/>
          </w:tcPr>
          <w:p>
            <w:pPr>
              <w:pStyle w:val="TableParagraph"/>
              <w:rPr>
                <w:sz w:val="18"/>
              </w:rPr>
            </w:pPr>
            <w:r>
              <w:rPr>
                <w:sz w:val="18"/>
              </w:rPr>
              <w:t>1609.2, IPSec &amp; SSL</w:t>
            </w:r>
          </w:p>
        </w:tc>
      </w:tr>
      <w:tr>
        <w:trPr>
          <w:trHeight w:val="218" w:hRule="exact"/>
        </w:trPr>
        <w:tc>
          <w:tcPr>
            <w:tcW w:w="2465" w:type="dxa"/>
          </w:tcPr>
          <w:p>
            <w:pPr>
              <w:pStyle w:val="TableParagraph"/>
              <w:rPr>
                <w:sz w:val="18"/>
              </w:rPr>
            </w:pPr>
            <w:r>
              <w:rPr>
                <w:sz w:val="18"/>
              </w:rPr>
              <w:t>Enclosure</w:t>
            </w:r>
          </w:p>
        </w:tc>
        <w:tc>
          <w:tcPr>
            <w:tcW w:w="3923" w:type="dxa"/>
          </w:tcPr>
          <w:p>
            <w:pPr>
              <w:pStyle w:val="TableParagraph"/>
              <w:rPr>
                <w:sz w:val="18"/>
              </w:rPr>
            </w:pPr>
            <w:r>
              <w:rPr>
                <w:sz w:val="18"/>
              </w:rPr>
              <w:t>140 x 133 x 42 (L x W x H)</w:t>
            </w:r>
          </w:p>
        </w:tc>
      </w:tr>
    </w:tbl>
    <w:p>
      <w:pPr>
        <w:pStyle w:val="BodyText"/>
        <w:rPr>
          <w:b/>
          <w:sz w:val="22"/>
        </w:rPr>
      </w:pPr>
    </w:p>
    <w:p>
      <w:pPr>
        <w:pStyle w:val="BodyText"/>
        <w:spacing w:before="5"/>
        <w:rPr>
          <w:b/>
          <w:sz w:val="23"/>
        </w:rPr>
      </w:pPr>
    </w:p>
    <w:p>
      <w:pPr>
        <w:spacing w:before="0"/>
        <w:ind w:left="1133" w:right="0" w:firstLine="0"/>
        <w:jc w:val="left"/>
        <w:rPr>
          <w:b/>
          <w:sz w:val="20"/>
        </w:rPr>
      </w:pPr>
      <w:r>
        <w:rPr>
          <w:b/>
          <w:sz w:val="20"/>
        </w:rPr>
        <w:t>Qualcomm Roadrunner (C-V2X)</w:t>
      </w:r>
    </w:p>
    <w:p>
      <w:pPr>
        <w:pStyle w:val="BodyText"/>
        <w:spacing w:before="1"/>
        <w:rPr>
          <w:b/>
          <w:sz w:val="16"/>
        </w:rPr>
      </w:pPr>
    </w:p>
    <w:tbl>
      <w:tblPr>
        <w:tblW w:w="0" w:type="auto"/>
        <w:jc w:val="left"/>
        <w:tblInd w:w="2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5"/>
        <w:gridCol w:w="3923"/>
      </w:tblGrid>
      <w:tr>
        <w:trPr>
          <w:trHeight w:val="218" w:hRule="exact"/>
        </w:trPr>
        <w:tc>
          <w:tcPr>
            <w:tcW w:w="2465" w:type="dxa"/>
            <w:shd w:val="clear" w:color="auto" w:fill="D9D9D9"/>
          </w:tcPr>
          <w:p>
            <w:pPr>
              <w:pStyle w:val="TableParagraph"/>
              <w:spacing w:line="201" w:lineRule="exact"/>
              <w:rPr>
                <w:b/>
                <w:sz w:val="18"/>
              </w:rPr>
            </w:pPr>
            <w:r>
              <w:rPr>
                <w:b/>
                <w:sz w:val="18"/>
              </w:rPr>
              <w:t>Component</w:t>
            </w:r>
          </w:p>
        </w:tc>
        <w:tc>
          <w:tcPr>
            <w:tcW w:w="3923" w:type="dxa"/>
            <w:shd w:val="clear" w:color="auto" w:fill="D9D9D9"/>
          </w:tcPr>
          <w:p>
            <w:pPr>
              <w:pStyle w:val="TableParagraph"/>
              <w:spacing w:line="201" w:lineRule="exact"/>
              <w:rPr>
                <w:b/>
                <w:sz w:val="18"/>
              </w:rPr>
            </w:pPr>
            <w:r>
              <w:rPr>
                <w:b/>
                <w:sz w:val="18"/>
              </w:rPr>
              <w:t>Description</w:t>
            </w:r>
          </w:p>
        </w:tc>
      </w:tr>
      <w:tr>
        <w:trPr>
          <w:trHeight w:val="422" w:hRule="exact"/>
        </w:trPr>
        <w:tc>
          <w:tcPr>
            <w:tcW w:w="2465" w:type="dxa"/>
          </w:tcPr>
          <w:p>
            <w:pPr>
              <w:pStyle w:val="TableParagraph"/>
              <w:rPr>
                <w:sz w:val="18"/>
              </w:rPr>
            </w:pPr>
            <w:r>
              <w:rPr>
                <w:sz w:val="18"/>
              </w:rPr>
              <w:t>Processor</w:t>
            </w:r>
          </w:p>
        </w:tc>
        <w:tc>
          <w:tcPr>
            <w:tcW w:w="3923" w:type="dxa"/>
          </w:tcPr>
          <w:p>
            <w:pPr>
              <w:pStyle w:val="TableParagraph"/>
              <w:spacing w:line="240" w:lineRule="auto"/>
              <w:rPr>
                <w:sz w:val="18"/>
              </w:rPr>
            </w:pPr>
            <w:r>
              <w:rPr>
                <w:sz w:val="18"/>
              </w:rPr>
              <w:t>Automotive Snapdragon820 (APQ8996) 1200 MHz ARM A7 (in MDM9150)+B2</w:t>
            </w:r>
          </w:p>
        </w:tc>
      </w:tr>
      <w:tr>
        <w:trPr>
          <w:trHeight w:val="218" w:hRule="exact"/>
        </w:trPr>
        <w:tc>
          <w:tcPr>
            <w:tcW w:w="2465" w:type="dxa"/>
          </w:tcPr>
          <w:p>
            <w:pPr>
              <w:pStyle w:val="TableParagraph"/>
              <w:spacing w:line="240" w:lineRule="auto" w:before="1"/>
              <w:rPr>
                <w:sz w:val="18"/>
              </w:rPr>
            </w:pPr>
            <w:r>
              <w:rPr>
                <w:sz w:val="18"/>
              </w:rPr>
              <w:t>Memory</w:t>
            </w:r>
          </w:p>
        </w:tc>
        <w:tc>
          <w:tcPr>
            <w:tcW w:w="3923" w:type="dxa"/>
          </w:tcPr>
          <w:p>
            <w:pPr>
              <w:pStyle w:val="TableParagraph"/>
              <w:spacing w:line="240" w:lineRule="auto" w:before="1"/>
              <w:rPr>
                <w:sz w:val="18"/>
              </w:rPr>
            </w:pPr>
            <w:r>
              <w:rPr>
                <w:sz w:val="18"/>
              </w:rPr>
              <w:t>2 GB (APQ)</w:t>
            </w:r>
          </w:p>
        </w:tc>
      </w:tr>
      <w:tr>
        <w:trPr>
          <w:trHeight w:val="216" w:hRule="exact"/>
        </w:trPr>
        <w:tc>
          <w:tcPr>
            <w:tcW w:w="2465" w:type="dxa"/>
          </w:tcPr>
          <w:p>
            <w:pPr>
              <w:pStyle w:val="TableParagraph"/>
              <w:rPr>
                <w:sz w:val="18"/>
              </w:rPr>
            </w:pPr>
            <w:r>
              <w:rPr>
                <w:sz w:val="18"/>
              </w:rPr>
              <w:t>Storage</w:t>
            </w:r>
          </w:p>
        </w:tc>
        <w:tc>
          <w:tcPr>
            <w:tcW w:w="3923" w:type="dxa"/>
          </w:tcPr>
          <w:p>
            <w:pPr>
              <w:pStyle w:val="TableParagraph"/>
              <w:rPr>
                <w:sz w:val="18"/>
              </w:rPr>
            </w:pPr>
            <w:r>
              <w:rPr>
                <w:sz w:val="18"/>
              </w:rPr>
              <w:t>64 GB + 2 GB, microSD slot</w:t>
            </w:r>
          </w:p>
        </w:tc>
      </w:tr>
      <w:tr>
        <w:trPr>
          <w:trHeight w:val="218" w:hRule="exact"/>
        </w:trPr>
        <w:tc>
          <w:tcPr>
            <w:tcW w:w="2465" w:type="dxa"/>
          </w:tcPr>
          <w:p>
            <w:pPr>
              <w:pStyle w:val="TableParagraph"/>
              <w:rPr>
                <w:sz w:val="18"/>
              </w:rPr>
            </w:pPr>
            <w:r>
              <w:rPr>
                <w:sz w:val="18"/>
              </w:rPr>
              <w:t>Radio</w:t>
            </w:r>
          </w:p>
        </w:tc>
        <w:tc>
          <w:tcPr>
            <w:tcW w:w="3923" w:type="dxa"/>
          </w:tcPr>
          <w:p>
            <w:pPr>
              <w:pStyle w:val="TableParagraph"/>
              <w:rPr>
                <w:sz w:val="18"/>
              </w:rPr>
            </w:pPr>
            <w:r>
              <w:rPr>
                <w:sz w:val="18"/>
              </w:rPr>
              <w:t>PC5 Mode 4</w:t>
            </w:r>
          </w:p>
        </w:tc>
      </w:tr>
      <w:tr>
        <w:trPr>
          <w:trHeight w:val="629" w:hRule="exact"/>
        </w:trPr>
        <w:tc>
          <w:tcPr>
            <w:tcW w:w="2465" w:type="dxa"/>
          </w:tcPr>
          <w:p>
            <w:pPr>
              <w:pStyle w:val="TableParagraph"/>
              <w:rPr>
                <w:sz w:val="18"/>
              </w:rPr>
            </w:pPr>
            <w:r>
              <w:rPr>
                <w:sz w:val="18"/>
              </w:rPr>
              <w:t>GNSS</w:t>
            </w:r>
          </w:p>
        </w:tc>
        <w:tc>
          <w:tcPr>
            <w:tcW w:w="3923" w:type="dxa"/>
          </w:tcPr>
          <w:p>
            <w:pPr>
              <w:pStyle w:val="TableParagraph"/>
              <w:rPr>
                <w:sz w:val="18"/>
              </w:rPr>
            </w:pPr>
            <w:r>
              <w:rPr>
                <w:sz w:val="18"/>
              </w:rPr>
              <w:t>Multi-constellation</w:t>
            </w:r>
          </w:p>
          <w:p>
            <w:pPr>
              <w:pStyle w:val="TableParagraph"/>
              <w:tabs>
                <w:tab w:pos="1327" w:val="left" w:leader="none"/>
                <w:tab w:pos="2178" w:val="left" w:leader="none"/>
                <w:tab w:pos="2958" w:val="left" w:leader="none"/>
              </w:tabs>
              <w:spacing w:line="240" w:lineRule="auto"/>
              <w:ind w:right="101"/>
              <w:rPr>
                <w:sz w:val="18"/>
              </w:rPr>
            </w:pPr>
            <w:r>
              <w:rPr>
                <w:sz w:val="18"/>
              </w:rPr>
              <w:t>Qualcomm</w:t>
              <w:tab/>
              <w:t>QDR3</w:t>
              <w:tab/>
              <w:t>Dead</w:t>
              <w:tab/>
              <w:t>Reckoning XTRA + Time</w:t>
            </w:r>
            <w:r>
              <w:rPr>
                <w:spacing w:val="-5"/>
                <w:sz w:val="18"/>
              </w:rPr>
              <w:t> </w:t>
            </w:r>
            <w:r>
              <w:rPr>
                <w:sz w:val="18"/>
              </w:rPr>
              <w:t>injection</w:t>
            </w:r>
          </w:p>
        </w:tc>
      </w:tr>
      <w:tr>
        <w:trPr>
          <w:trHeight w:val="218" w:hRule="exact"/>
        </w:trPr>
        <w:tc>
          <w:tcPr>
            <w:tcW w:w="2465" w:type="dxa"/>
          </w:tcPr>
          <w:p>
            <w:pPr>
              <w:pStyle w:val="TableParagraph"/>
              <w:spacing w:line="240" w:lineRule="auto" w:before="1"/>
              <w:rPr>
                <w:sz w:val="18"/>
              </w:rPr>
            </w:pPr>
            <w:r>
              <w:rPr>
                <w:sz w:val="18"/>
              </w:rPr>
              <w:t>Secure Flash / HSM</w:t>
            </w:r>
          </w:p>
        </w:tc>
        <w:tc>
          <w:tcPr>
            <w:tcW w:w="3923" w:type="dxa"/>
          </w:tcPr>
          <w:p>
            <w:pPr>
              <w:pStyle w:val="TableParagraph"/>
              <w:spacing w:line="240" w:lineRule="auto" w:before="1"/>
              <w:rPr>
                <w:sz w:val="18"/>
              </w:rPr>
            </w:pPr>
            <w:r>
              <w:rPr>
                <w:sz w:val="18"/>
              </w:rPr>
              <w:t>Infineon HSM SLI97</w:t>
            </w:r>
          </w:p>
        </w:tc>
      </w:tr>
      <w:tr>
        <w:trPr>
          <w:trHeight w:val="216" w:hRule="exact"/>
        </w:trPr>
        <w:tc>
          <w:tcPr>
            <w:tcW w:w="2465" w:type="dxa"/>
          </w:tcPr>
          <w:p>
            <w:pPr>
              <w:pStyle w:val="TableParagraph"/>
              <w:rPr>
                <w:sz w:val="18"/>
              </w:rPr>
            </w:pPr>
            <w:r>
              <w:rPr>
                <w:sz w:val="18"/>
              </w:rPr>
              <w:t>Operational Temperature</w:t>
            </w:r>
          </w:p>
        </w:tc>
        <w:tc>
          <w:tcPr>
            <w:tcW w:w="3923" w:type="dxa"/>
          </w:tcPr>
          <w:p>
            <w:pPr>
              <w:pStyle w:val="TableParagraph"/>
              <w:rPr>
                <w:sz w:val="18"/>
              </w:rPr>
            </w:pPr>
            <w:r>
              <w:rPr>
                <w:sz w:val="18"/>
              </w:rPr>
              <w:t>-40C to +85C</w:t>
            </w:r>
          </w:p>
        </w:tc>
      </w:tr>
      <w:tr>
        <w:trPr>
          <w:trHeight w:val="218" w:hRule="exact"/>
        </w:trPr>
        <w:tc>
          <w:tcPr>
            <w:tcW w:w="2465" w:type="dxa"/>
          </w:tcPr>
          <w:p>
            <w:pPr>
              <w:pStyle w:val="TableParagraph"/>
              <w:rPr>
                <w:sz w:val="18"/>
              </w:rPr>
            </w:pPr>
            <w:r>
              <w:rPr>
                <w:sz w:val="18"/>
              </w:rPr>
              <w:t>Antenna / GPS Connectors</w:t>
            </w:r>
          </w:p>
        </w:tc>
        <w:tc>
          <w:tcPr>
            <w:tcW w:w="3923" w:type="dxa"/>
          </w:tcPr>
          <w:p>
            <w:pPr>
              <w:pStyle w:val="TableParagraph"/>
              <w:rPr>
                <w:sz w:val="18"/>
              </w:rPr>
            </w:pPr>
            <w:r>
              <w:rPr>
                <w:sz w:val="18"/>
              </w:rPr>
              <w:t>Quad Fakra</w:t>
            </w:r>
          </w:p>
        </w:tc>
      </w:tr>
      <w:tr>
        <w:trPr>
          <w:trHeight w:val="422" w:hRule="exact"/>
        </w:trPr>
        <w:tc>
          <w:tcPr>
            <w:tcW w:w="2465" w:type="dxa"/>
          </w:tcPr>
          <w:p>
            <w:pPr>
              <w:pStyle w:val="TableParagraph"/>
              <w:rPr>
                <w:sz w:val="18"/>
              </w:rPr>
            </w:pPr>
            <w:r>
              <w:rPr>
                <w:sz w:val="18"/>
              </w:rPr>
              <w:t>Other Interfaces</w:t>
            </w:r>
          </w:p>
        </w:tc>
        <w:tc>
          <w:tcPr>
            <w:tcW w:w="3923" w:type="dxa"/>
          </w:tcPr>
          <w:p>
            <w:pPr>
              <w:pStyle w:val="TableParagraph"/>
              <w:rPr>
                <w:sz w:val="18"/>
              </w:rPr>
            </w:pPr>
            <w:r>
              <w:rPr>
                <w:sz w:val="18"/>
              </w:rPr>
              <w:t>USB 3.0  OTG,  USB  Host,  3x 1  Mbps CAN,</w:t>
            </w:r>
          </w:p>
          <w:p>
            <w:pPr>
              <w:pStyle w:val="TableParagraph"/>
              <w:spacing w:line="207" w:lineRule="exact"/>
              <w:rPr>
                <w:sz w:val="18"/>
              </w:rPr>
            </w:pPr>
            <w:r>
              <w:rPr>
                <w:sz w:val="18"/>
              </w:rPr>
              <w:t>1000BT Ethernet, RS232</w:t>
            </w:r>
          </w:p>
        </w:tc>
      </w:tr>
      <w:tr>
        <w:trPr>
          <w:trHeight w:val="632" w:hRule="exact"/>
        </w:trPr>
        <w:tc>
          <w:tcPr>
            <w:tcW w:w="2465" w:type="dxa"/>
          </w:tcPr>
          <w:p>
            <w:pPr>
              <w:pStyle w:val="TableParagraph"/>
              <w:spacing w:line="240" w:lineRule="auto" w:before="1"/>
              <w:rPr>
                <w:sz w:val="18"/>
              </w:rPr>
            </w:pPr>
            <w:r>
              <w:rPr>
                <w:sz w:val="18"/>
              </w:rPr>
              <w:t>Standards</w:t>
            </w:r>
          </w:p>
        </w:tc>
        <w:tc>
          <w:tcPr>
            <w:tcW w:w="3923" w:type="dxa"/>
          </w:tcPr>
          <w:p>
            <w:pPr>
              <w:pStyle w:val="TableParagraph"/>
              <w:spacing w:line="240" w:lineRule="auto" w:before="1"/>
              <w:ind w:right="28"/>
              <w:rPr>
                <w:sz w:val="18"/>
              </w:rPr>
            </w:pPr>
            <w:r>
              <w:rPr>
                <w:sz w:val="18"/>
              </w:rPr>
              <w:t>3GPP Rel 14, IEEE 1609.3 (not used), ETSI ITS G5 (not used), SAE J2735, SAE J3161</w:t>
            </w:r>
          </w:p>
          <w:p>
            <w:pPr>
              <w:pStyle w:val="TableParagraph"/>
              <w:rPr>
                <w:sz w:val="18"/>
              </w:rPr>
            </w:pPr>
            <w:r>
              <w:rPr>
                <w:sz w:val="18"/>
              </w:rPr>
              <w:t>(draft)</w:t>
            </w:r>
          </w:p>
        </w:tc>
      </w:tr>
      <w:tr>
        <w:trPr>
          <w:trHeight w:val="218" w:hRule="exact"/>
        </w:trPr>
        <w:tc>
          <w:tcPr>
            <w:tcW w:w="2465" w:type="dxa"/>
          </w:tcPr>
          <w:p>
            <w:pPr>
              <w:pStyle w:val="TableParagraph"/>
              <w:rPr>
                <w:sz w:val="18"/>
              </w:rPr>
            </w:pPr>
            <w:r>
              <w:rPr>
                <w:sz w:val="18"/>
              </w:rPr>
              <w:t>Security</w:t>
            </w:r>
          </w:p>
        </w:tc>
        <w:tc>
          <w:tcPr>
            <w:tcW w:w="3923" w:type="dxa"/>
          </w:tcPr>
          <w:p>
            <w:pPr>
              <w:pStyle w:val="TableParagraph"/>
              <w:rPr>
                <w:sz w:val="18"/>
              </w:rPr>
            </w:pPr>
            <w:r>
              <w:rPr>
                <w:sz w:val="18"/>
              </w:rPr>
              <w:t>IEEE 1609.2 (Via Savari &amp; On Board Security)</w:t>
            </w:r>
          </w:p>
        </w:tc>
      </w:tr>
      <w:tr>
        <w:trPr>
          <w:trHeight w:val="631" w:hRule="exact"/>
        </w:trPr>
        <w:tc>
          <w:tcPr>
            <w:tcW w:w="2465" w:type="dxa"/>
          </w:tcPr>
          <w:p>
            <w:pPr>
              <w:pStyle w:val="TableParagraph"/>
              <w:rPr>
                <w:sz w:val="18"/>
              </w:rPr>
            </w:pPr>
            <w:r>
              <w:rPr>
                <w:sz w:val="18"/>
              </w:rPr>
              <w:t>Other Radios</w:t>
            </w:r>
          </w:p>
        </w:tc>
        <w:tc>
          <w:tcPr>
            <w:tcW w:w="3923" w:type="dxa"/>
          </w:tcPr>
          <w:p>
            <w:pPr>
              <w:pStyle w:val="TableParagraph"/>
              <w:rPr>
                <w:sz w:val="18"/>
              </w:rPr>
            </w:pPr>
            <w:r>
              <w:rPr>
                <w:sz w:val="18"/>
              </w:rPr>
              <w:t>Automotive QCA6574AU</w:t>
            </w:r>
          </w:p>
          <w:p>
            <w:pPr>
              <w:pStyle w:val="TableParagraph"/>
              <w:rPr>
                <w:sz w:val="18"/>
              </w:rPr>
            </w:pPr>
            <w:r>
              <w:rPr>
                <w:sz w:val="18"/>
              </w:rPr>
              <w:t>- Wi-Fi: 2.4 GHz, 802.11n, 2 x 2</w:t>
            </w:r>
          </w:p>
          <w:p>
            <w:pPr>
              <w:pStyle w:val="TableParagraph"/>
              <w:spacing w:line="207" w:lineRule="exact"/>
              <w:rPr>
                <w:sz w:val="18"/>
              </w:rPr>
            </w:pPr>
            <w:r>
              <w:rPr>
                <w:sz w:val="18"/>
              </w:rPr>
              <w:t>- Bluetooth 4.2 + BLE</w:t>
            </w:r>
          </w:p>
        </w:tc>
      </w:tr>
    </w:tbl>
    <w:p>
      <w:pPr>
        <w:spacing w:after="0" w:line="207" w:lineRule="exact"/>
        <w:rPr>
          <w:sz w:val="18"/>
        </w:rPr>
        <w:sectPr>
          <w:headerReference w:type="default" r:id="rId135"/>
          <w:pgSz w:w="11910" w:h="16850"/>
          <w:pgMar w:header="852" w:footer="931" w:top="1040" w:bottom="1160" w:left="0" w:right="0"/>
        </w:sectPr>
      </w:pPr>
    </w:p>
    <w:p>
      <w:pPr>
        <w:pStyle w:val="BodyText"/>
        <w:spacing w:before="4"/>
        <w:rPr>
          <w:b/>
          <w:sz w:val="23"/>
        </w:rPr>
      </w:pPr>
    </w:p>
    <w:p>
      <w:pPr>
        <w:pStyle w:val="Heading2"/>
        <w:numPr>
          <w:ilvl w:val="1"/>
          <w:numId w:val="14"/>
        </w:numPr>
        <w:tabs>
          <w:tab w:pos="2265" w:val="left" w:leader="none"/>
          <w:tab w:pos="2266" w:val="left" w:leader="none"/>
        </w:tabs>
        <w:spacing w:line="240" w:lineRule="auto" w:before="89" w:after="0"/>
        <w:ind w:left="2266" w:right="0" w:hanging="1133"/>
        <w:jc w:val="left"/>
      </w:pPr>
      <w:bookmarkStart w:name="_bookmark126" w:id="183"/>
      <w:bookmarkEnd w:id="183"/>
      <w:r>
        <w:rPr/>
      </w:r>
      <w:bookmarkStart w:name="_bookmark126" w:id="184"/>
      <w:bookmarkEnd w:id="184"/>
      <w:r>
        <w:rPr/>
        <w:t>In</w:t>
      </w:r>
      <w:r>
        <w:rPr/>
        <w:t>-vehicle</w:t>
      </w:r>
      <w:r>
        <w:rPr>
          <w:spacing w:val="-8"/>
        </w:rPr>
        <w:t> </w:t>
      </w:r>
      <w:r>
        <w:rPr/>
        <w:t>setup</w:t>
      </w:r>
    </w:p>
    <w:p>
      <w:pPr>
        <w:pStyle w:val="BodyText"/>
        <w:spacing w:before="180"/>
        <w:ind w:left="1133" w:right="1136"/>
      </w:pPr>
      <w:r>
        <w:rPr/>
        <w:t>This section outlines the devices within the retrofit trunk enclosures of each test vehicle. Figure 3 shows the layout of the system components in the test vehicle trunks.</w:t>
      </w:r>
    </w:p>
    <w:p>
      <w:pPr>
        <w:pStyle w:val="BodyText"/>
      </w:pPr>
    </w:p>
    <w:p>
      <w:pPr>
        <w:pStyle w:val="BodyText"/>
      </w:pPr>
    </w:p>
    <w:p>
      <w:pPr>
        <w:pStyle w:val="BodyText"/>
      </w:pPr>
    </w:p>
    <w:p>
      <w:pPr>
        <w:pStyle w:val="BodyText"/>
      </w:pPr>
    </w:p>
    <w:p>
      <w:pPr>
        <w:spacing w:after="0"/>
        <w:sectPr>
          <w:headerReference w:type="default" r:id="rId136"/>
          <w:pgSz w:w="11910" w:h="16850"/>
          <w:pgMar w:header="852" w:footer="931" w:top="1040" w:bottom="1160" w:left="0" w:right="0"/>
        </w:sectPr>
      </w:pPr>
    </w:p>
    <w:p>
      <w:pPr>
        <w:pStyle w:val="BodyText"/>
        <w:rPr>
          <w:sz w:val="12"/>
        </w:rPr>
      </w:pPr>
    </w:p>
    <w:p>
      <w:pPr>
        <w:spacing w:before="92"/>
        <w:ind w:left="0" w:right="280" w:firstLine="0"/>
        <w:jc w:val="right"/>
        <w:rPr>
          <w:rFonts w:ascii="Calibri"/>
          <w:sz w:val="11"/>
        </w:rPr>
      </w:pPr>
      <w:r>
        <w:rPr/>
        <w:pict>
          <v:group style="position:absolute;margin-left:75.722862pt;margin-top:5.494085pt;width:409.8pt;height:264.4pt;mso-position-horizontal-relative:page;mso-position-vertical-relative:paragraph;z-index:-505696" coordorigin="1514,110" coordsize="8196,5288">
            <v:rect style="position:absolute;left:1516;top:3806;width:701;height:1589" filled="true" fillcolor="#fdffff" stroked="false">
              <v:fill type="solid"/>
            </v:rect>
            <v:rect style="position:absolute;left:1516;top:3806;width:701;height:1589" filled="false" stroked="true" strokeweight=".149698pt" strokecolor="#000000">
              <v:stroke dashstyle="solid"/>
            </v:rect>
            <v:rect style="position:absolute;left:2217;top:5266;width:216;height:129" filled="true" fillcolor="#00af50" stroked="false">
              <v:fill type="solid"/>
            </v:rect>
            <v:shape style="position:absolute;left:1810;top:12623;width:12510;height:720" coordorigin="1810,12623" coordsize="12510,720" path="m2217,5395l2432,5395,2432,5266,2217,5266,2217,5395xm8199,5395l9708,5395,9708,4965,8199,4965,8199,5395xe" filled="false" stroked="true" strokeweight=".149675pt" strokecolor="#000000">
              <v:path arrowok="t"/>
              <v:stroke dashstyle="solid"/>
            </v:shape>
            <v:rect style="position:absolute;left:7983;top:5115;width:216;height:129" filled="true" fillcolor="#00af50" stroked="false">
              <v:fill type="solid"/>
            </v:rect>
            <v:rect style="position:absolute;left:7983;top:5115;width:216;height:129" filled="false" stroked="true" strokeweight=".149659pt" strokecolor="#000000">
              <v:stroke dashstyle="solid"/>
            </v:rect>
            <v:shape style="position:absolute;left:2432;top:5180;width:5552;height:151" coordorigin="2432,5180" coordsize="5552,151" path="m2432,5331l7768,5331,7768,5180,7983,5180e" filled="false" stroked="true" strokeweight=".598561pt" strokecolor="#00af50">
              <v:path arrowok="t"/>
              <v:stroke dashstyle="solid"/>
            </v:shape>
            <v:rect style="position:absolute;left:7983;top:4119;width:216;height:129" filled="true" fillcolor="#00af50" stroked="false">
              <v:fill type="solid"/>
            </v:rect>
            <v:shape style="position:absolute;left:11439;top:10958;width:2880;height:720" coordorigin="11439,10958" coordsize="2880,720" path="m7983,4248l8199,4248,8199,4119,7983,4119,7983,4248xm8199,4399l9708,4399,9708,3968,8199,3968,8199,4399xe" filled="false" stroked="true" strokeweight=".149675pt" strokecolor="#000000">
              <v:path arrowok="t"/>
              <v:stroke dashstyle="solid"/>
            </v:shape>
            <v:shape style="position:absolute;left:2432;top:4183;width:5552;height:939" coordorigin="2432,4183" coordsize="5552,939" path="m2432,5122l7768,5122,7768,4183,7983,4183e" filled="false" stroked="true" strokeweight=".598568pt" strokecolor="#00af50">
              <v:path arrowok="t"/>
              <v:stroke dashstyle="solid"/>
            </v:shape>
            <v:rect style="position:absolute;left:2217;top:3806;width:216;height:129" filled="true" fillcolor="#00af50" stroked="false">
              <v:fill type="solid"/>
            </v:rect>
            <v:rect style="position:absolute;left:2217;top:3806;width:216;height:129" filled="false" stroked="true" strokeweight=".149659pt" strokecolor="#000000">
              <v:stroke dashstyle="solid"/>
            </v:rect>
            <v:rect style="position:absolute;left:2217;top:4432;width:216;height:129" filled="true" fillcolor="#00af50" stroked="false">
              <v:fill type="solid"/>
            </v:rect>
            <v:rect style="position:absolute;left:2217;top:4432;width:216;height:129" filled="false" stroked="true" strokeweight=".149659pt" strokecolor="#000000">
              <v:stroke dashstyle="solid"/>
            </v:rect>
            <v:rect style="position:absolute;left:2217;top:4849;width:216;height:129" filled="true" fillcolor="#00af50" stroked="false">
              <v:fill type="solid"/>
            </v:rect>
            <v:rect style="position:absolute;left:2217;top:4849;width:216;height:129" filled="false" stroked="true" strokeweight=".149659pt" strokecolor="#000000">
              <v:stroke dashstyle="solid"/>
            </v:rect>
            <v:rect style="position:absolute;left:2217;top:5058;width:216;height:129" filled="true" fillcolor="#00af50" stroked="false">
              <v:fill type="solid"/>
            </v:rect>
            <v:rect style="position:absolute;left:2217;top:5058;width:216;height:129" filled="false" stroked="true" strokeweight=".149659pt" strokecolor="#000000">
              <v:stroke dashstyle="solid"/>
            </v:rect>
            <v:rect style="position:absolute;left:2217;top:4015;width:216;height:129" filled="true" fillcolor="#00af50" stroked="false">
              <v:fill type="solid"/>
            </v:rect>
            <v:rect style="position:absolute;left:2217;top:4015;width:216;height:129" filled="false" stroked="true" strokeweight=".149659pt" strokecolor="#000000">
              <v:stroke dashstyle="solid"/>
            </v:rect>
            <v:rect style="position:absolute;left:2217;top:4223;width:216;height:129" filled="true" fillcolor="#00af50" stroked="false">
              <v:fill type="solid"/>
            </v:rect>
            <v:rect style="position:absolute;left:2217;top:4223;width:216;height:129" filled="false" stroked="true" strokeweight=".149659pt" strokecolor="#000000">
              <v:stroke dashstyle="solid"/>
            </v:rect>
            <v:rect style="position:absolute;left:2217;top:4641;width:216;height:129" filled="true" fillcolor="#00af50" stroked="false">
              <v:fill type="solid"/>
            </v:rect>
            <v:rect style="position:absolute;left:2217;top:4641;width:216;height:129" filled="false" stroked="true" strokeweight=".149659pt" strokecolor="#000000">
              <v:stroke dashstyle="solid"/>
            </v:rect>
            <v:rect style="position:absolute;left:7983;top:2697;width:1725;height:1034" filled="true" fillcolor="#fdffff" stroked="false">
              <v:fill type="solid"/>
            </v:rect>
            <v:rect style="position:absolute;left:7983;top:2697;width:1725;height:1034" filled="false" stroked="true" strokeweight=".149659pt" strokecolor="#000000">
              <v:stroke dashstyle="solid"/>
            </v:rect>
            <v:rect style="position:absolute;left:8199;top:3327;width:1293;height:259" filled="true" fillcolor="#fdffff" stroked="false">
              <v:fill type="solid"/>
            </v:rect>
            <v:rect style="position:absolute;left:8199;top:3327;width:1293;height:259" filled="false" stroked="true" strokeweight=".149643pt" strokecolor="#000000">
              <v:stroke dashstyle="solid"/>
            </v:rect>
            <v:rect style="position:absolute;left:7768;top:3257;width:216;height:129" filled="true" fillcolor="#41709c" stroked="false">
              <v:fill type="solid"/>
            </v:rect>
            <v:rect style="position:absolute;left:7768;top:3257;width:216;height:129" filled="false" stroked="true" strokeweight=".149659pt" strokecolor="#000000">
              <v:stroke dashstyle="solid"/>
            </v:rect>
            <v:rect style="position:absolute;left:7768;top:3041;width:216;height:129" filled="true" fillcolor="#41709c" stroked="false">
              <v:fill type="solid"/>
            </v:rect>
            <v:rect style="position:absolute;left:7768;top:3041;width:216;height:129" filled="false" stroked="true" strokeweight=".149659pt" strokecolor="#000000">
              <v:stroke dashstyle="solid"/>
            </v:rect>
            <v:rect style="position:absolute;left:5720;top:2697;width:1509;height:646" filled="true" fillcolor="#fdffff" stroked="false">
              <v:fill type="solid"/>
            </v:rect>
            <v:rect style="position:absolute;left:5720;top:2697;width:1509;height:646" filled="false" stroked="true" strokeweight=".149651pt" strokecolor="#000000">
              <v:stroke dashstyle="solid"/>
            </v:rect>
            <v:rect style="position:absolute;left:6733;top:3343;width:129;height:215" filled="true" fillcolor="#41709c" stroked="false">
              <v:fill type="solid"/>
            </v:rect>
            <v:rect style="position:absolute;left:6733;top:3343;width:129;height:215" filled="false" stroked="true" strokeweight=".149691pt" strokecolor="#000000">
              <v:stroke dashstyle="solid"/>
            </v:rect>
            <v:rect style="position:absolute;left:6164;top:3343;width:129;height:215" filled="true" fillcolor="#00af50" stroked="false">
              <v:fill type="solid"/>
            </v:rect>
            <v:rect style="position:absolute;left:6164;top:3343;width:129;height:215" filled="false" stroked="true" strokeweight=".149691pt" strokecolor="#000000">
              <v:stroke dashstyle="solid"/>
            </v:rect>
            <v:rect style="position:absolute;left:3780;top:2697;width:1509;height:646" filled="true" fillcolor="#fdffff" stroked="false">
              <v:fill type="solid"/>
            </v:rect>
            <v:rect style="position:absolute;left:3780;top:2697;width:1509;height:646" filled="false" stroked="true" strokeweight=".149651pt" strokecolor="#000000">
              <v:stroke dashstyle="solid"/>
            </v:rect>
            <v:rect style="position:absolute;left:3780;top:1942;width:1509;height:431" filled="true" fillcolor="#fdffff" stroked="false">
              <v:fill type="solid"/>
            </v:rect>
            <v:rect style="position:absolute;left:3780;top:1942;width:1509;height:431" filled="false" stroked="true" strokeweight=".149645pt" strokecolor="#000000">
              <v:stroke dashstyle="solid"/>
            </v:rect>
            <v:rect style="position:absolute;left:3866;top:2373;width:129;height:323" filled="true" fillcolor="#41709c" stroked="false">
              <v:fill type="solid"/>
            </v:rect>
            <v:rect style="position:absolute;left:3866;top:2373;width:129;height:323" filled="false" stroked="true" strokeweight=".1497pt" strokecolor="#000000">
              <v:stroke dashstyle="solid"/>
            </v:rect>
            <v:rect style="position:absolute;left:4268;top:2373;width:129;height:323" filled="true" fillcolor="#41709c" stroked="false">
              <v:fill type="solid"/>
            </v:rect>
            <v:rect style="position:absolute;left:4268;top:2373;width:129;height:323" filled="false" stroked="true" strokeweight=".1497pt" strokecolor="#000000">
              <v:stroke dashstyle="solid"/>
            </v:rect>
            <v:rect style="position:absolute;left:4671;top:2373;width:129;height:323" filled="true" fillcolor="#41709c" stroked="false">
              <v:fill type="solid"/>
            </v:rect>
            <v:rect style="position:absolute;left:4671;top:2373;width:129;height:323" filled="false" stroked="true" strokeweight=".1497pt" strokecolor="#000000">
              <v:stroke dashstyle="solid"/>
            </v:rect>
            <v:rect style="position:absolute;left:5073;top:2373;width:129;height:323" filled="true" fillcolor="#41709c" stroked="false">
              <v:fill type="solid"/>
            </v:rect>
            <v:rect style="position:absolute;left:5073;top:2373;width:129;height:323" filled="false" stroked="true" strokeweight=".1497pt" strokecolor="#000000">
              <v:stroke dashstyle="solid"/>
            </v:rect>
            <v:rect style="position:absolute;left:3866;top:1619;width:129;height:323" filled="true" fillcolor="#41709c" stroked="false">
              <v:fill type="solid"/>
            </v:rect>
            <v:rect style="position:absolute;left:3866;top:1619;width:129;height:323" filled="false" stroked="true" strokeweight=".1497pt" strokecolor="#000000">
              <v:stroke dashstyle="solid"/>
            </v:rect>
            <v:rect style="position:absolute;left:4268;top:1619;width:129;height:323" filled="true" fillcolor="#41709c" stroked="false">
              <v:fill type="solid"/>
            </v:rect>
            <v:rect style="position:absolute;left:4268;top:1619;width:129;height:323" filled="false" stroked="true" strokeweight=".1497pt" strokecolor="#000000">
              <v:stroke dashstyle="solid"/>
            </v:rect>
            <v:rect style="position:absolute;left:4671;top:1619;width:129;height:323" filled="true" fillcolor="#41709c" stroked="false">
              <v:fill type="solid"/>
            </v:rect>
            <v:rect style="position:absolute;left:4671;top:1619;width:129;height:323" filled="false" stroked="true" strokeweight=".1497pt" strokecolor="#000000">
              <v:stroke dashstyle="solid"/>
            </v:rect>
            <v:rect style="position:absolute;left:5073;top:1619;width:129;height:323" filled="true" fillcolor="#41709c" stroked="false">
              <v:fill type="solid"/>
            </v:rect>
            <v:rect style="position:absolute;left:5073;top:1619;width:129;height:323" filled="false" stroked="true" strokeweight=".1497pt" strokecolor="#000000">
              <v:stroke dashstyle="solid"/>
            </v:rect>
            <v:rect style="position:absolute;left:4469;top:3343;width:129;height:215" filled="true" fillcolor="#41709c" stroked="false">
              <v:fill type="solid"/>
            </v:rect>
            <v:rect style="position:absolute;left:4469;top:3343;width:129;height:215" filled="false" stroked="true" strokeweight=".149691pt" strokecolor="#000000">
              <v:stroke dashstyle="solid"/>
            </v:rect>
            <v:shape style="position:absolute;left:4534;top:3106;width:3234;height:609" coordorigin="4534,3106" coordsize="3234,609" path="m4534,3558l4534,3709,6193,3709,6196,3695,6204,3684,6215,3676,6229,3673,6243,3676,6255,3684,6262,3695,6265,3709,6798,3709,6798,3558,6798,3714,7393,3714,7393,3106,7768,3106e" filled="false" stroked="true" strokeweight=".598570pt" strokecolor="#41709c">
              <v:path arrowok="t"/>
              <v:stroke dashstyle="solid"/>
            </v:shape>
            <v:shape style="position:absolute;left:6798;top:3321;width:971;height:393" coordorigin="6798,3321" coordsize="971,393" path="m6798,3558l6798,3714,7393,3714,7393,3321,7768,3321e" filled="false" stroked="true" strokeweight=".5986pt" strokecolor="#41709c">
              <v:path arrowok="t"/>
              <v:stroke dashstyle="solid"/>
            </v:shape>
            <v:shape style="position:absolute;left:5718;top:2264;width:132;height:434" type="#_x0000_t75" stroked="false">
              <v:imagedata r:id="rId137" o:title=""/>
            </v:shape>
            <v:shape style="position:absolute;left:7098;top:2264;width:132;height:434" type="#_x0000_t75" stroked="false">
              <v:imagedata r:id="rId138" o:title=""/>
            </v:shape>
            <v:shape style="position:absolute;left:6408;top:2264;width:132;height:434" type="#_x0000_t75" stroked="false">
              <v:imagedata r:id="rId137" o:title=""/>
            </v:shape>
            <v:shape style="position:absolute;left:7982;top:2264;width:132;height:434" type="#_x0000_t75" stroked="false">
              <v:imagedata r:id="rId137" o:title=""/>
            </v:shape>
            <v:rect style="position:absolute;left:8515;top:2481;width:129;height:215" filled="true" fillcolor="#bcd6ed" stroked="false">
              <v:fill type="solid"/>
            </v:rect>
            <v:rect style="position:absolute;left:8515;top:2481;width:129;height:215" filled="false" stroked="true" strokeweight=".149691pt" strokecolor="#000000">
              <v:stroke dashstyle="solid"/>
            </v:rect>
            <v:rect style="position:absolute;left:5720;top:1635;width:129;height:215" filled="true" fillcolor="#f4b083" stroked="false">
              <v:fill type="solid"/>
            </v:rect>
            <v:rect style="position:absolute;left:5720;top:1635;width:129;height:215" filled="false" stroked="true" strokeweight=".149691pt" strokecolor="#000000">
              <v:stroke dashstyle="solid"/>
            </v:rect>
            <v:line style="position:absolute" from="5785,2266" to="5785,1851" stroked="true" strokeweight=".598839pt" strokecolor="#000000">
              <v:stroke dashstyle="solid"/>
            </v:line>
            <v:rect style="position:absolute;left:6410;top:1635;width:129;height:215" filled="true" fillcolor="#f4b083" stroked="false">
              <v:fill type="solid"/>
            </v:rect>
            <v:rect style="position:absolute;left:6410;top:1635;width:129;height:215" filled="false" stroked="true" strokeweight=".149691pt" strokecolor="#000000">
              <v:stroke dashstyle="solid"/>
            </v:rect>
            <v:line style="position:absolute" from="6474,2266" to="6474,1851" stroked="true" strokeweight=".598839pt" strokecolor="#000000">
              <v:stroke dashstyle="solid"/>
            </v:line>
            <v:rect style="position:absolute;left:7881;top:1786;width:129;height:215" filled="true" fillcolor="#f4b083" stroked="false">
              <v:fill type="solid"/>
            </v:rect>
            <v:rect style="position:absolute;left:7881;top:1786;width:129;height:215" filled="false" stroked="true" strokeweight=".149691pt" strokecolor="#000000">
              <v:stroke dashstyle="solid"/>
            </v:rect>
            <v:rect style="position:absolute;left:8064;top:1786;width:129;height:215" filled="true" fillcolor="#f4b083" stroked="false">
              <v:fill type="solid"/>
            </v:rect>
            <v:rect style="position:absolute;left:8064;top:1786;width:129;height:215" filled="false" stroked="true" strokeweight=".149691pt" strokecolor="#000000">
              <v:stroke dashstyle="solid"/>
            </v:rect>
            <v:rect style="position:absolute;left:7768;top:3602;width:216;height:129" filled="true" fillcolor="#00af50" stroked="false">
              <v:fill type="solid"/>
            </v:rect>
            <v:rect style="position:absolute;left:7768;top:3602;width:216;height:129" filled="false" stroked="true" strokeweight=".149659pt" strokecolor="#000000">
              <v:stroke dashstyle="solid"/>
            </v:rect>
            <v:rect style="position:absolute;left:8199;top:3041;width:1293;height:259" filled="true" fillcolor="#fdffff" stroked="false">
              <v:fill type="solid"/>
            </v:rect>
            <v:rect style="position:absolute;left:8199;top:3041;width:1293;height:259" filled="false" stroked="true" strokeweight=".149643pt" strokecolor="#000000">
              <v:stroke dashstyle="solid"/>
            </v:rect>
            <v:shape style="position:absolute;left:2432;top:3666;width:5336;height:1248" coordorigin="2432,3666" coordsize="5336,1248" path="m2432,4914l7606,4914,7606,3666,7768,3666e" filled="false" stroked="true" strokeweight=".598575pt" strokecolor="#00af50">
              <v:path arrowok="t"/>
              <v:stroke dashstyle="solid"/>
            </v:shape>
            <v:shape style="position:absolute;left:6608;top:10836;width:1412;height:1309" coordorigin="6608,10836" coordsize="1412,1309" path="m5090,4257l5935,4257,5935,3895,5090,3895,5090,4257xm5090,4678l5935,4678,5935,4316,5090,4316,5090,4678xe" filled="false" stroked="true" strokeweight=".149675pt" strokecolor="#000000">
              <v:path arrowok="t"/>
              <v:stroke dashstyle="solid"/>
            </v:shape>
            <v:shape style="position:absolute;left:2432;top:3558;width:3797;height:1147" coordorigin="2432,3558" coordsize="3797,1147" path="m2432,4705l6229,4705,6229,3558e" filled="false" stroked="true" strokeweight=".598584pt" strokecolor="#00af50">
              <v:path arrowok="t"/>
              <v:stroke dashstyle="solid"/>
            </v:shape>
            <v:line style="position:absolute" from="2432,4497" to="5090,4497" stroked="true" strokeweight=".59856pt" strokecolor="#00af50">
              <v:stroke dashstyle="solid"/>
            </v:line>
            <v:shape style="position:absolute;left:2432;top:4076;width:2659;height:213" coordorigin="2432,4076" coordsize="2659,213" path="m2432,4288l4534,4288,4534,4076,5090,4076e" filled="false" stroked="true" strokeweight=".598562pt" strokecolor="#00af50">
              <v:path arrowok="t"/>
              <v:stroke dashstyle="solid"/>
            </v:shape>
            <v:line style="position:absolute" from="2432,4079" to="3118,4079" stroked="true" strokeweight=".59856pt" strokecolor="#00af50">
              <v:stroke dashstyle="solid"/>
            </v:line>
            <v:shape style="position:absolute;left:9038;top:2269;width:132;height:434" type="#_x0000_t75" stroked="false">
              <v:imagedata r:id="rId138" o:title=""/>
            </v:shape>
            <v:shape style="position:absolute;left:-171;top:12920;width:307;height:441" coordorigin="-171,12920" coordsize="307,441" path="m8048,2266l8048,2124,7946,2124,7946,2002m8048,2266l8048,2127,8129,2127,8129,2002e" filled="false" stroked="true" strokeweight=".598699pt" strokecolor="#000000">
              <v:path arrowok="t"/>
              <v:stroke dashstyle="solid"/>
            </v:shape>
            <v:shape style="position:absolute;left:-135;top:13361;width:270;height:540" coordorigin="-135,13361" coordsize="270,540" path="m7148,111l7148,435m7148,273l7067,111m7229,111l7148,273e" filled="false" stroked="true" strokeweight=".149675pt" strokecolor="#000000">
              <v:path arrowok="t"/>
              <v:stroke dashstyle="solid"/>
            </v:shape>
            <v:shape style="position:absolute;left:5784;top:435;width:1364;height:1201" coordorigin="5784,435" coordsize="1364,1201" path="m7148,435l7148,694,5784,694,5784,1635e" filled="false" stroked="true" strokeweight=".598682pt" strokecolor="#000000">
              <v:path arrowok="t"/>
              <v:stroke dashstyle="solid"/>
            </v:shape>
            <v:shape style="position:absolute;left:-135;top:13361;width:270;height:540" coordorigin="-135,13361" coordsize="270,540" path="m7633,111l7633,435m7633,273l7552,111m7714,111l7633,273e" filled="false" stroked="true" strokeweight=".149675pt" strokecolor="#000000">
              <v:path arrowok="t"/>
              <v:stroke dashstyle="solid"/>
            </v:shape>
            <v:shape style="position:absolute;left:6474;top:435;width:1159;height:1201" coordorigin="6474,435" coordsize="1159,1201" path="m7633,435l7633,843,6474,843,6474,1635e" filled="false" stroked="true" strokeweight=".598704pt" strokecolor="#000000">
              <v:path arrowok="t"/>
              <v:stroke dashstyle="solid"/>
            </v:shape>
            <v:shape style="position:absolute;left:-135;top:13361;width:270;height:540" coordorigin="-135,13361" coordsize="270,540" path="m8980,111l8980,435m8980,273l8900,111m9061,111l8980,273e" filled="false" stroked="true" strokeweight=".149675pt" strokecolor="#000000">
              <v:path arrowok="t"/>
              <v:stroke dashstyle="solid"/>
            </v:shape>
            <v:shape style="position:absolute;left:7164;top:435;width:1817;height:1831" coordorigin="7164,435" coordsize="1817,1831" path="m8980,435l8980,1086,7164,1086,7164,2266e" filled="false" stroked="true" strokeweight=".598701pt" strokecolor="#000000">
              <v:path arrowok="t"/>
              <v:stroke dashstyle="solid"/>
            </v:shape>
            <v:shape style="position:absolute;left:3780;top:1942;width:1510;height:431" type="#_x0000_t202" filled="false" stroked="false">
              <v:textbox inset="0,0,0,0">
                <w:txbxContent>
                  <w:p>
                    <w:pPr>
                      <w:spacing w:line="240" w:lineRule="auto" w:before="3"/>
                      <w:rPr>
                        <w:sz w:val="11"/>
                      </w:rPr>
                    </w:pPr>
                  </w:p>
                  <w:p>
                    <w:pPr>
                      <w:spacing w:before="0"/>
                      <w:ind w:left="173" w:right="0" w:firstLine="0"/>
                      <w:jc w:val="left"/>
                      <w:rPr>
                        <w:rFonts w:ascii="Calibri"/>
                        <w:sz w:val="14"/>
                      </w:rPr>
                    </w:pPr>
                    <w:r>
                      <w:rPr>
                        <w:rFonts w:ascii="Calibri"/>
                        <w:w w:val="105"/>
                        <w:sz w:val="14"/>
                      </w:rPr>
                      <w:t>CAN Interface Panel</w:t>
                    </w:r>
                  </w:p>
                </w:txbxContent>
              </v:textbox>
              <w10:wrap type="none"/>
            </v:shape>
            <v:shape style="position:absolute;left:3780;top:2697;width:1510;height:625" type="#_x0000_t202" filled="false" stroked="false">
              <v:textbox inset="0,0,0,0">
                <w:txbxContent>
                  <w:p>
                    <w:pPr>
                      <w:spacing w:line="240" w:lineRule="auto" w:before="8"/>
                      <w:rPr>
                        <w:sz w:val="20"/>
                      </w:rPr>
                    </w:pPr>
                  </w:p>
                  <w:p>
                    <w:pPr>
                      <w:spacing w:before="0"/>
                      <w:ind w:left="509" w:right="501" w:firstLine="0"/>
                      <w:jc w:val="center"/>
                      <w:rPr>
                        <w:rFonts w:ascii="Calibri"/>
                        <w:sz w:val="14"/>
                      </w:rPr>
                    </w:pPr>
                    <w:r>
                      <w:rPr>
                        <w:rFonts w:ascii="Calibri"/>
                        <w:w w:val="105"/>
                        <w:sz w:val="14"/>
                      </w:rPr>
                      <w:t>Netway</w:t>
                    </w:r>
                  </w:p>
                </w:txbxContent>
              </v:textbox>
              <w10:wrap type="none"/>
            </v:shape>
            <v:shape style="position:absolute;left:1516;top:3872;width:701;height:1524" type="#_x0000_t202" filled="false" stroked="false">
              <v:textbox inset="0,0,0,0">
                <w:txbxContent>
                  <w:p>
                    <w:pPr>
                      <w:spacing w:line="240" w:lineRule="auto" w:before="0"/>
                      <w:rPr>
                        <w:sz w:val="14"/>
                      </w:rPr>
                    </w:pPr>
                  </w:p>
                  <w:p>
                    <w:pPr>
                      <w:spacing w:line="240" w:lineRule="auto" w:before="0"/>
                      <w:rPr>
                        <w:sz w:val="14"/>
                      </w:rPr>
                    </w:pPr>
                  </w:p>
                  <w:p>
                    <w:pPr>
                      <w:spacing w:line="240" w:lineRule="auto" w:before="2"/>
                      <w:rPr>
                        <w:sz w:val="13"/>
                      </w:rPr>
                    </w:pPr>
                  </w:p>
                  <w:p>
                    <w:pPr>
                      <w:spacing w:before="1"/>
                      <w:ind w:left="97" w:right="95" w:hanging="3"/>
                      <w:jc w:val="both"/>
                      <w:rPr>
                        <w:rFonts w:ascii="Calibri"/>
                        <w:sz w:val="14"/>
                      </w:rPr>
                    </w:pPr>
                    <w:r>
                      <w:rPr>
                        <w:rFonts w:ascii="Calibri"/>
                        <w:sz w:val="14"/>
                      </w:rPr>
                      <w:t>Ethernet Network </w:t>
                    </w:r>
                    <w:r>
                      <w:rPr>
                        <w:rFonts w:ascii="Calibri"/>
                        <w:w w:val="105"/>
                        <w:sz w:val="14"/>
                      </w:rPr>
                      <w:t>Switch</w:t>
                    </w:r>
                  </w:p>
                </w:txbxContent>
              </v:textbox>
              <w10:wrap type="none"/>
            </v:shape>
            <w10:wrap type="none"/>
          </v:group>
        </w:pict>
      </w:r>
      <w:r>
        <w:rPr/>
        <w:pict>
          <v:shape style="position:absolute;margin-left:57.398579pt;margin-top:-40.056213pt;width:177.75pt;height:98.5pt;mso-position-horizontal-relative:page;mso-position-vertical-relative:paragraph;z-index:2608" type="#_x0000_t202" filled="false" stroked="false">
            <v:textbox inset="0,0,0,0">
              <w:txbxContent>
                <w:tbl>
                  <w:tblPr>
                    <w:tblW w:w="0" w:type="auto"/>
                    <w:jc w:val="left"/>
                    <w:tblBorders>
                      <w:top w:val="single" w:sz="1" w:space="0" w:color="C7C7C7"/>
                      <w:left w:val="single" w:sz="1" w:space="0" w:color="C7C7C7"/>
                      <w:bottom w:val="single" w:sz="1" w:space="0" w:color="C7C7C7"/>
                      <w:right w:val="single" w:sz="1" w:space="0" w:color="C7C7C7"/>
                      <w:insideH w:val="single" w:sz="1" w:space="0" w:color="C7C7C7"/>
                      <w:insideV w:val="single" w:sz="1" w:space="0" w:color="C7C7C7"/>
                    </w:tblBorders>
                    <w:tblLayout w:type="fixed"/>
                    <w:tblCellMar>
                      <w:top w:w="0" w:type="dxa"/>
                      <w:left w:w="0" w:type="dxa"/>
                      <w:bottom w:w="0" w:type="dxa"/>
                      <w:right w:w="0" w:type="dxa"/>
                    </w:tblCellMar>
                    <w:tblLook w:val="01E0"/>
                  </w:tblPr>
                  <w:tblGrid>
                    <w:gridCol w:w="884"/>
                    <w:gridCol w:w="913"/>
                    <w:gridCol w:w="1753"/>
                  </w:tblGrid>
                  <w:tr>
                    <w:trPr>
                      <w:trHeight w:val="272" w:hRule="exact"/>
                    </w:trPr>
                    <w:tc>
                      <w:tcPr>
                        <w:tcW w:w="1796" w:type="dxa"/>
                        <w:gridSpan w:val="2"/>
                        <w:tcBorders>
                          <w:bottom w:val="double" w:sz="4" w:space="0" w:color="C7C7C7"/>
                        </w:tcBorders>
                      </w:tcPr>
                      <w:p>
                        <w:pPr>
                          <w:pStyle w:val="TableParagraph"/>
                          <w:spacing w:line="240" w:lineRule="auto" w:before="59"/>
                          <w:ind w:left="46"/>
                          <w:rPr>
                            <w:rFonts w:ascii="Calibri"/>
                            <w:sz w:val="11"/>
                          </w:rPr>
                        </w:pPr>
                        <w:r>
                          <w:rPr>
                            <w:rFonts w:ascii="Calibri"/>
                            <w:w w:val="105"/>
                            <w:sz w:val="11"/>
                          </w:rPr>
                          <w:t>Network Map per  Vehicle</w:t>
                        </w:r>
                      </w:p>
                    </w:tc>
                    <w:tc>
                      <w:tcPr>
                        <w:tcW w:w="1753" w:type="dxa"/>
                        <w:tcBorders>
                          <w:top w:val="nil"/>
                          <w:right w:val="nil"/>
                        </w:tcBorders>
                      </w:tcPr>
                      <w:p>
                        <w:pPr/>
                      </w:p>
                    </w:tc>
                  </w:tr>
                  <w:tr>
                    <w:trPr>
                      <w:trHeight w:val="285" w:hRule="exact"/>
                    </w:trPr>
                    <w:tc>
                      <w:tcPr>
                        <w:tcW w:w="884" w:type="dxa"/>
                        <w:tcBorders>
                          <w:top w:val="double" w:sz="4" w:space="0" w:color="C7C7C7"/>
                          <w:bottom w:val="double" w:sz="4" w:space="0" w:color="C7C7C7"/>
                          <w:right w:val="double" w:sz="6" w:space="0" w:color="C7C7C7"/>
                        </w:tcBorders>
                      </w:tcPr>
                      <w:p>
                        <w:pPr>
                          <w:pStyle w:val="TableParagraph"/>
                          <w:spacing w:line="240" w:lineRule="auto" w:before="59"/>
                          <w:ind w:left="46"/>
                          <w:rPr>
                            <w:rFonts w:ascii="Calibri"/>
                            <w:sz w:val="11"/>
                          </w:rPr>
                        </w:pPr>
                        <w:r>
                          <w:rPr>
                            <w:rFonts w:ascii="Calibri"/>
                            <w:w w:val="105"/>
                            <w:sz w:val="11"/>
                          </w:rPr>
                          <w:t>DSRC OBE</w:t>
                        </w:r>
                      </w:p>
                    </w:tc>
                    <w:tc>
                      <w:tcPr>
                        <w:tcW w:w="913" w:type="dxa"/>
                        <w:tcBorders>
                          <w:top w:val="double" w:sz="4" w:space="0" w:color="C7C7C7"/>
                          <w:left w:val="double" w:sz="6" w:space="0" w:color="C7C7C7"/>
                          <w:bottom w:val="double" w:sz="4" w:space="0" w:color="C7C7C7"/>
                          <w:right w:val="double" w:sz="8" w:space="0" w:color="C7C7C7"/>
                        </w:tcBorders>
                      </w:tcPr>
                      <w:p>
                        <w:pPr>
                          <w:pStyle w:val="TableParagraph"/>
                          <w:spacing w:line="240" w:lineRule="auto" w:before="59"/>
                          <w:ind w:left="47"/>
                          <w:rPr>
                            <w:rFonts w:ascii="Calibri"/>
                            <w:sz w:val="11"/>
                          </w:rPr>
                        </w:pPr>
                        <w:r>
                          <w:rPr>
                            <w:rFonts w:ascii="Calibri"/>
                            <w:w w:val="105"/>
                            <w:sz w:val="11"/>
                          </w:rPr>
                          <w:t>192.168.0.X</w:t>
                        </w:r>
                      </w:p>
                    </w:tc>
                    <w:tc>
                      <w:tcPr>
                        <w:tcW w:w="1753" w:type="dxa"/>
                        <w:vMerge w:val="restart"/>
                        <w:tcBorders>
                          <w:left w:val="double" w:sz="8" w:space="0" w:color="C7C7C7"/>
                        </w:tcBorders>
                      </w:tcPr>
                      <w:p>
                        <w:pPr>
                          <w:pStyle w:val="TableParagraph"/>
                          <w:numPr>
                            <w:ilvl w:val="0"/>
                            <w:numId w:val="17"/>
                          </w:numPr>
                          <w:tabs>
                            <w:tab w:pos="173" w:val="left" w:leader="none"/>
                          </w:tabs>
                          <w:spacing w:line="256" w:lineRule="auto" w:before="63" w:after="0"/>
                          <w:ind w:left="48" w:right="53" w:firstLine="0"/>
                          <w:jc w:val="left"/>
                          <w:rPr>
                            <w:rFonts w:ascii="Calibri" w:hAnsi="Calibri"/>
                            <w:sz w:val="11"/>
                          </w:rPr>
                        </w:pPr>
                        <w:r>
                          <w:rPr>
                            <w:rFonts w:ascii="Calibri" w:hAnsi="Calibri"/>
                            <w:w w:val="105"/>
                            <w:sz w:val="11"/>
                          </w:rPr>
                          <w:t>Where X is the vehicle number the unit is installed in (i.e. 1 – </w:t>
                        </w:r>
                        <w:r>
                          <w:rPr>
                            <w:rFonts w:ascii="Calibri" w:hAnsi="Calibri"/>
                            <w:spacing w:val="19"/>
                            <w:w w:val="105"/>
                            <w:sz w:val="11"/>
                          </w:rPr>
                          <w:t> </w:t>
                        </w:r>
                        <w:r>
                          <w:rPr>
                            <w:rFonts w:ascii="Calibri" w:hAnsi="Calibri"/>
                            <w:w w:val="105"/>
                            <w:sz w:val="11"/>
                          </w:rPr>
                          <w:t>6)</w:t>
                        </w:r>
                      </w:p>
                      <w:p>
                        <w:pPr>
                          <w:pStyle w:val="TableParagraph"/>
                          <w:numPr>
                            <w:ilvl w:val="0"/>
                            <w:numId w:val="17"/>
                          </w:numPr>
                          <w:tabs>
                            <w:tab w:pos="173" w:val="left" w:leader="none"/>
                          </w:tabs>
                          <w:spacing w:line="256" w:lineRule="auto" w:before="0" w:after="0"/>
                          <w:ind w:left="48" w:right="199" w:firstLine="0"/>
                          <w:jc w:val="left"/>
                          <w:rPr>
                            <w:rFonts w:ascii="Calibri"/>
                            <w:sz w:val="11"/>
                          </w:rPr>
                        </w:pPr>
                        <w:r>
                          <w:rPr>
                            <w:rFonts w:ascii="Calibri"/>
                            <w:spacing w:val="2"/>
                            <w:w w:val="105"/>
                            <w:sz w:val="11"/>
                          </w:rPr>
                          <w:t>The </w:t>
                        </w:r>
                        <w:r>
                          <w:rPr>
                            <w:rFonts w:ascii="Calibri"/>
                            <w:w w:val="105"/>
                            <w:sz w:val="11"/>
                          </w:rPr>
                          <w:t>DNS and the Gateway address of the QC </w:t>
                        </w:r>
                        <w:r>
                          <w:rPr>
                            <w:rFonts w:ascii="Calibri"/>
                            <w:spacing w:val="4"/>
                            <w:w w:val="105"/>
                            <w:sz w:val="11"/>
                          </w:rPr>
                          <w:t>DP </w:t>
                        </w:r>
                        <w:r>
                          <w:rPr>
                            <w:rFonts w:ascii="Calibri"/>
                            <w:w w:val="105"/>
                            <w:sz w:val="11"/>
                          </w:rPr>
                          <w:t>and the Dragon Board needs </w:t>
                        </w:r>
                        <w:r>
                          <w:rPr>
                            <w:rFonts w:ascii="Calibri"/>
                            <w:spacing w:val="2"/>
                            <w:w w:val="105"/>
                            <w:sz w:val="11"/>
                          </w:rPr>
                          <w:t>to </w:t>
                        </w:r>
                        <w:r>
                          <w:rPr>
                            <w:rFonts w:ascii="Calibri"/>
                            <w:w w:val="105"/>
                            <w:sz w:val="11"/>
                          </w:rPr>
                          <w:t>be the same as  the C-Card </w:t>
                        </w:r>
                        <w:r>
                          <w:rPr>
                            <w:rFonts w:ascii="Calibri"/>
                            <w:spacing w:val="3"/>
                            <w:w w:val="105"/>
                            <w:sz w:val="11"/>
                          </w:rPr>
                          <w:t>IP</w:t>
                        </w:r>
                        <w:r>
                          <w:rPr>
                            <w:rFonts w:ascii="Calibri"/>
                            <w:spacing w:val="12"/>
                            <w:w w:val="105"/>
                            <w:sz w:val="11"/>
                          </w:rPr>
                          <w:t> </w:t>
                        </w:r>
                        <w:r>
                          <w:rPr>
                            <w:rFonts w:ascii="Calibri"/>
                            <w:w w:val="105"/>
                            <w:sz w:val="11"/>
                          </w:rPr>
                          <w:t>Address</w:t>
                        </w:r>
                      </w:p>
                    </w:tc>
                  </w:tr>
                  <w:tr>
                    <w:trPr>
                      <w:trHeight w:val="284" w:hRule="exact"/>
                    </w:trPr>
                    <w:tc>
                      <w:tcPr>
                        <w:tcW w:w="884" w:type="dxa"/>
                        <w:tcBorders>
                          <w:top w:val="double" w:sz="4" w:space="0" w:color="C7C7C7"/>
                          <w:bottom w:val="double" w:sz="4" w:space="0" w:color="C7C7C7"/>
                          <w:right w:val="double" w:sz="6" w:space="0" w:color="C7C7C7"/>
                        </w:tcBorders>
                      </w:tcPr>
                      <w:p>
                        <w:pPr>
                          <w:pStyle w:val="TableParagraph"/>
                          <w:spacing w:line="240" w:lineRule="auto" w:before="60"/>
                          <w:ind w:left="46"/>
                          <w:rPr>
                            <w:rFonts w:ascii="Calibri"/>
                            <w:sz w:val="11"/>
                          </w:rPr>
                        </w:pPr>
                        <w:r>
                          <w:rPr>
                            <w:rFonts w:ascii="Calibri"/>
                            <w:w w:val="105"/>
                            <w:sz w:val="11"/>
                          </w:rPr>
                          <w:t>QC DP</w:t>
                        </w:r>
                      </w:p>
                    </w:tc>
                    <w:tc>
                      <w:tcPr>
                        <w:tcW w:w="913" w:type="dxa"/>
                        <w:tcBorders>
                          <w:top w:val="double" w:sz="4" w:space="0" w:color="C7C7C7"/>
                          <w:left w:val="double" w:sz="6" w:space="0" w:color="C7C7C7"/>
                          <w:bottom w:val="double" w:sz="4" w:space="0" w:color="C7C7C7"/>
                          <w:right w:val="double" w:sz="8" w:space="0" w:color="C7C7C7"/>
                        </w:tcBorders>
                      </w:tcPr>
                      <w:p>
                        <w:pPr>
                          <w:pStyle w:val="TableParagraph"/>
                          <w:spacing w:line="240" w:lineRule="auto" w:before="60"/>
                          <w:ind w:left="47"/>
                          <w:rPr>
                            <w:rFonts w:ascii="Calibri"/>
                            <w:sz w:val="11"/>
                          </w:rPr>
                        </w:pPr>
                        <w:r>
                          <w:rPr>
                            <w:rFonts w:ascii="Calibri"/>
                            <w:w w:val="105"/>
                            <w:sz w:val="11"/>
                          </w:rPr>
                          <w:t>192.168.0.1X</w:t>
                        </w:r>
                      </w:p>
                    </w:tc>
                    <w:tc>
                      <w:tcPr>
                        <w:tcW w:w="1753" w:type="dxa"/>
                        <w:vMerge/>
                        <w:tcBorders>
                          <w:left w:val="double" w:sz="8" w:space="0" w:color="C7C7C7"/>
                        </w:tcBorders>
                      </w:tcPr>
                      <w:p>
                        <w:pPr/>
                      </w:p>
                    </w:tc>
                  </w:tr>
                  <w:tr>
                    <w:trPr>
                      <w:trHeight w:val="284" w:hRule="exact"/>
                    </w:trPr>
                    <w:tc>
                      <w:tcPr>
                        <w:tcW w:w="884" w:type="dxa"/>
                        <w:tcBorders>
                          <w:top w:val="double" w:sz="4" w:space="0" w:color="C7C7C7"/>
                          <w:bottom w:val="double" w:sz="4" w:space="0" w:color="C7C7C7"/>
                          <w:right w:val="double" w:sz="6" w:space="0" w:color="C7C7C7"/>
                        </w:tcBorders>
                      </w:tcPr>
                      <w:p>
                        <w:pPr>
                          <w:pStyle w:val="TableParagraph"/>
                          <w:spacing w:line="240" w:lineRule="auto" w:before="60"/>
                          <w:ind w:left="46"/>
                          <w:rPr>
                            <w:rFonts w:ascii="Calibri"/>
                            <w:sz w:val="11"/>
                          </w:rPr>
                        </w:pPr>
                        <w:r>
                          <w:rPr>
                            <w:rFonts w:ascii="Calibri"/>
                            <w:w w:val="105"/>
                            <w:sz w:val="11"/>
                          </w:rPr>
                          <w:t>C-Card</w:t>
                        </w:r>
                      </w:p>
                    </w:tc>
                    <w:tc>
                      <w:tcPr>
                        <w:tcW w:w="913" w:type="dxa"/>
                        <w:tcBorders>
                          <w:top w:val="double" w:sz="4" w:space="0" w:color="C7C7C7"/>
                          <w:left w:val="double" w:sz="6" w:space="0" w:color="C7C7C7"/>
                          <w:bottom w:val="double" w:sz="4" w:space="0" w:color="C7C7C7"/>
                          <w:right w:val="double" w:sz="8" w:space="0" w:color="C7C7C7"/>
                        </w:tcBorders>
                      </w:tcPr>
                      <w:p>
                        <w:pPr>
                          <w:pStyle w:val="TableParagraph"/>
                          <w:spacing w:line="240" w:lineRule="auto" w:before="61"/>
                          <w:ind w:left="47"/>
                          <w:rPr>
                            <w:rFonts w:ascii="Calibri"/>
                            <w:sz w:val="11"/>
                          </w:rPr>
                        </w:pPr>
                        <w:r>
                          <w:rPr>
                            <w:rFonts w:ascii="Calibri"/>
                            <w:w w:val="105"/>
                            <w:sz w:val="11"/>
                          </w:rPr>
                          <w:t>192.168.0.10</w:t>
                        </w:r>
                      </w:p>
                    </w:tc>
                    <w:tc>
                      <w:tcPr>
                        <w:tcW w:w="1753" w:type="dxa"/>
                        <w:vMerge/>
                        <w:tcBorders>
                          <w:left w:val="double" w:sz="8" w:space="0" w:color="C7C7C7"/>
                        </w:tcBorders>
                      </w:tcPr>
                      <w:p>
                        <w:pPr/>
                      </w:p>
                    </w:tc>
                  </w:tr>
                  <w:tr>
                    <w:trPr>
                      <w:trHeight w:val="284" w:hRule="exact"/>
                    </w:trPr>
                    <w:tc>
                      <w:tcPr>
                        <w:tcW w:w="884" w:type="dxa"/>
                        <w:tcBorders>
                          <w:top w:val="double" w:sz="4" w:space="0" w:color="C7C7C7"/>
                          <w:bottom w:val="double" w:sz="4" w:space="0" w:color="C7C7C7"/>
                          <w:right w:val="double" w:sz="6" w:space="0" w:color="C7C7C7"/>
                        </w:tcBorders>
                      </w:tcPr>
                      <w:p>
                        <w:pPr>
                          <w:pStyle w:val="TableParagraph"/>
                          <w:spacing w:line="240" w:lineRule="auto" w:before="61"/>
                          <w:ind w:left="46"/>
                          <w:rPr>
                            <w:rFonts w:ascii="Calibri"/>
                            <w:sz w:val="11"/>
                          </w:rPr>
                        </w:pPr>
                        <w:r>
                          <w:rPr>
                            <w:rFonts w:ascii="Calibri"/>
                            <w:w w:val="105"/>
                            <w:sz w:val="11"/>
                          </w:rPr>
                          <w:t>NAS</w:t>
                        </w:r>
                      </w:p>
                    </w:tc>
                    <w:tc>
                      <w:tcPr>
                        <w:tcW w:w="913" w:type="dxa"/>
                        <w:tcBorders>
                          <w:top w:val="double" w:sz="4" w:space="0" w:color="C7C7C7"/>
                          <w:left w:val="double" w:sz="6" w:space="0" w:color="C7C7C7"/>
                          <w:bottom w:val="double" w:sz="4" w:space="0" w:color="C7C7C7"/>
                          <w:right w:val="double" w:sz="8" w:space="0" w:color="C7C7C7"/>
                        </w:tcBorders>
                      </w:tcPr>
                      <w:p>
                        <w:pPr>
                          <w:pStyle w:val="TableParagraph"/>
                          <w:spacing w:line="240" w:lineRule="auto" w:before="62"/>
                          <w:ind w:left="47"/>
                          <w:rPr>
                            <w:rFonts w:ascii="Calibri"/>
                            <w:sz w:val="11"/>
                          </w:rPr>
                        </w:pPr>
                        <w:r>
                          <w:rPr>
                            <w:rFonts w:ascii="Calibri"/>
                            <w:w w:val="105"/>
                            <w:sz w:val="11"/>
                          </w:rPr>
                          <w:t>192.168.0.20</w:t>
                        </w:r>
                      </w:p>
                    </w:tc>
                    <w:tc>
                      <w:tcPr>
                        <w:tcW w:w="1753" w:type="dxa"/>
                        <w:vMerge/>
                        <w:tcBorders>
                          <w:left w:val="double" w:sz="8" w:space="0" w:color="C7C7C7"/>
                        </w:tcBorders>
                      </w:tcPr>
                      <w:p>
                        <w:pPr/>
                      </w:p>
                    </w:tc>
                  </w:tr>
                  <w:tr>
                    <w:trPr>
                      <w:trHeight w:val="284" w:hRule="exact"/>
                    </w:trPr>
                    <w:tc>
                      <w:tcPr>
                        <w:tcW w:w="884" w:type="dxa"/>
                        <w:tcBorders>
                          <w:top w:val="double" w:sz="4" w:space="0" w:color="C7C7C7"/>
                          <w:bottom w:val="double" w:sz="4" w:space="0" w:color="C7C7C7"/>
                          <w:right w:val="double" w:sz="6" w:space="0" w:color="C7C7C7"/>
                        </w:tcBorders>
                      </w:tcPr>
                      <w:p>
                        <w:pPr>
                          <w:pStyle w:val="TableParagraph"/>
                          <w:spacing w:line="240" w:lineRule="auto" w:before="61"/>
                          <w:ind w:left="46"/>
                          <w:rPr>
                            <w:rFonts w:ascii="Calibri"/>
                            <w:sz w:val="11"/>
                          </w:rPr>
                        </w:pPr>
                        <w:r>
                          <w:rPr>
                            <w:rFonts w:ascii="Calibri"/>
                            <w:w w:val="105"/>
                            <w:sz w:val="11"/>
                          </w:rPr>
                          <w:t>Dragon Board</w:t>
                        </w:r>
                      </w:p>
                    </w:tc>
                    <w:tc>
                      <w:tcPr>
                        <w:tcW w:w="913" w:type="dxa"/>
                        <w:tcBorders>
                          <w:top w:val="double" w:sz="4" w:space="0" w:color="C7C7C7"/>
                          <w:left w:val="double" w:sz="6" w:space="0" w:color="C7C7C7"/>
                          <w:bottom w:val="double" w:sz="4" w:space="0" w:color="C7C7C7"/>
                          <w:right w:val="double" w:sz="8" w:space="0" w:color="C7C7C7"/>
                        </w:tcBorders>
                      </w:tcPr>
                      <w:p>
                        <w:pPr>
                          <w:pStyle w:val="TableParagraph"/>
                          <w:spacing w:line="240" w:lineRule="auto" w:before="62"/>
                          <w:ind w:left="47"/>
                          <w:rPr>
                            <w:rFonts w:ascii="Calibri"/>
                            <w:sz w:val="11"/>
                          </w:rPr>
                        </w:pPr>
                        <w:r>
                          <w:rPr>
                            <w:rFonts w:ascii="Calibri"/>
                            <w:w w:val="105"/>
                            <w:sz w:val="11"/>
                          </w:rPr>
                          <w:t>192.168.0.30</w:t>
                        </w:r>
                      </w:p>
                    </w:tc>
                    <w:tc>
                      <w:tcPr>
                        <w:tcW w:w="1753" w:type="dxa"/>
                        <w:vMerge/>
                        <w:tcBorders>
                          <w:left w:val="double" w:sz="8" w:space="0" w:color="C7C7C7"/>
                        </w:tcBorders>
                      </w:tcPr>
                      <w:p>
                        <w:pPr/>
                      </w:p>
                    </w:tc>
                  </w:tr>
                  <w:tr>
                    <w:trPr>
                      <w:trHeight w:val="272" w:hRule="exact"/>
                    </w:trPr>
                    <w:tc>
                      <w:tcPr>
                        <w:tcW w:w="884" w:type="dxa"/>
                        <w:tcBorders>
                          <w:top w:val="double" w:sz="4" w:space="0" w:color="C7C7C7"/>
                          <w:right w:val="double" w:sz="6" w:space="0" w:color="C7C7C7"/>
                        </w:tcBorders>
                      </w:tcPr>
                      <w:p>
                        <w:pPr>
                          <w:pStyle w:val="TableParagraph"/>
                          <w:spacing w:line="240" w:lineRule="auto" w:before="61"/>
                          <w:ind w:left="46"/>
                          <w:rPr>
                            <w:rFonts w:ascii="Calibri"/>
                            <w:sz w:val="11"/>
                          </w:rPr>
                        </w:pPr>
                        <w:r>
                          <w:rPr>
                            <w:rFonts w:ascii="Calibri"/>
                            <w:w w:val="105"/>
                            <w:sz w:val="11"/>
                          </w:rPr>
                          <w:t>Raspberry Pi</w:t>
                        </w:r>
                      </w:p>
                    </w:tc>
                    <w:tc>
                      <w:tcPr>
                        <w:tcW w:w="913" w:type="dxa"/>
                        <w:tcBorders>
                          <w:top w:val="double" w:sz="4" w:space="0" w:color="C7C7C7"/>
                          <w:left w:val="double" w:sz="6" w:space="0" w:color="C7C7C7"/>
                          <w:right w:val="double" w:sz="8" w:space="0" w:color="C7C7C7"/>
                        </w:tcBorders>
                      </w:tcPr>
                      <w:p>
                        <w:pPr>
                          <w:pStyle w:val="TableParagraph"/>
                          <w:spacing w:line="240" w:lineRule="auto" w:before="63"/>
                          <w:ind w:left="47"/>
                          <w:rPr>
                            <w:rFonts w:ascii="Calibri"/>
                            <w:sz w:val="11"/>
                          </w:rPr>
                        </w:pPr>
                        <w:r>
                          <w:rPr>
                            <w:rFonts w:ascii="Calibri"/>
                            <w:w w:val="105"/>
                            <w:sz w:val="11"/>
                          </w:rPr>
                          <w:t>192.168.0.35</w:t>
                        </w:r>
                      </w:p>
                    </w:tc>
                    <w:tc>
                      <w:tcPr>
                        <w:tcW w:w="1753" w:type="dxa"/>
                        <w:vMerge/>
                        <w:tcBorders>
                          <w:left w:val="double" w:sz="8" w:space="0" w:color="C7C7C7"/>
                        </w:tcBorders>
                      </w:tcPr>
                      <w:p>
                        <w:pPr/>
                      </w:p>
                    </w:tc>
                  </w:tr>
                </w:tbl>
                <w:p>
                  <w:pPr>
                    <w:pStyle w:val="BodyText"/>
                  </w:pPr>
                </w:p>
              </w:txbxContent>
            </v:textbox>
            <w10:wrap type="none"/>
          </v:shape>
        </w:pict>
      </w:r>
      <w:r>
        <w:rPr>
          <w:rFonts w:ascii="Calibri"/>
          <w:w w:val="105"/>
          <w:sz w:val="11"/>
        </w:rPr>
        <w:t>ECOM6-5900</w:t>
      </w:r>
    </w:p>
    <w:p>
      <w:pPr>
        <w:spacing w:line="580" w:lineRule="auto" w:before="9"/>
        <w:ind w:left="5889" w:right="187" w:firstLine="225"/>
        <w:jc w:val="left"/>
        <w:rPr>
          <w:rFonts w:ascii="Calibri"/>
          <w:sz w:val="11"/>
        </w:rPr>
      </w:pPr>
      <w:r>
        <w:rPr>
          <w:rFonts w:ascii="Calibri"/>
          <w:w w:val="105"/>
          <w:sz w:val="11"/>
        </w:rPr>
        <w:t>Primary Antenna RF-195 10 ft</w:t>
      </w:r>
    </w:p>
    <w:p>
      <w:pPr>
        <w:spacing w:line="133" w:lineRule="exact" w:before="0"/>
        <w:ind w:left="0" w:right="0" w:firstLine="0"/>
        <w:jc w:val="right"/>
        <w:rPr>
          <w:rFonts w:ascii="Calibri"/>
          <w:sz w:val="11"/>
        </w:rPr>
      </w:pPr>
      <w:r>
        <w:rPr>
          <w:rFonts w:ascii="Calibri"/>
          <w:w w:val="105"/>
          <w:sz w:val="11"/>
        </w:rPr>
        <w:t>RF-195 10 ft</w:t>
      </w:r>
    </w:p>
    <w:p>
      <w:pPr>
        <w:pStyle w:val="BodyText"/>
        <w:rPr>
          <w:rFonts w:ascii="Calibri"/>
          <w:sz w:val="12"/>
        </w:rPr>
      </w:pPr>
      <w:r>
        <w:rPr/>
        <w:br w:type="column"/>
      </w:r>
      <w:r>
        <w:rPr>
          <w:rFonts w:ascii="Calibri"/>
          <w:sz w:val="12"/>
        </w:rPr>
      </w:r>
    </w:p>
    <w:p>
      <w:pPr>
        <w:spacing w:before="83"/>
        <w:ind w:left="715" w:right="0" w:firstLine="0"/>
        <w:jc w:val="left"/>
        <w:rPr>
          <w:rFonts w:ascii="Calibri"/>
          <w:sz w:val="11"/>
        </w:rPr>
      </w:pPr>
      <w:r>
        <w:rPr>
          <w:rFonts w:ascii="Calibri"/>
          <w:w w:val="105"/>
          <w:sz w:val="11"/>
        </w:rPr>
        <w:t>ECOM6-5900</w:t>
      </w:r>
    </w:p>
    <w:p>
      <w:pPr>
        <w:spacing w:before="8"/>
        <w:ind w:left="562" w:right="0" w:firstLine="0"/>
        <w:jc w:val="left"/>
        <w:rPr>
          <w:rFonts w:ascii="Calibri"/>
          <w:sz w:val="11"/>
        </w:rPr>
      </w:pPr>
      <w:r>
        <w:rPr>
          <w:rFonts w:ascii="Calibri"/>
          <w:w w:val="105"/>
          <w:sz w:val="11"/>
        </w:rPr>
        <w:t>Secondary Antenna</w:t>
      </w: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4"/>
        </w:rPr>
      </w:pPr>
    </w:p>
    <w:p>
      <w:pPr>
        <w:spacing w:before="0"/>
        <w:ind w:left="111" w:right="0" w:firstLine="0"/>
        <w:jc w:val="left"/>
        <w:rPr>
          <w:rFonts w:ascii="Calibri"/>
          <w:sz w:val="11"/>
        </w:rPr>
      </w:pPr>
      <w:r>
        <w:rPr>
          <w:rFonts w:ascii="Calibri"/>
          <w:w w:val="105"/>
          <w:sz w:val="11"/>
        </w:rPr>
        <w:t>RG-175 10 ft</w:t>
      </w:r>
    </w:p>
    <w:p>
      <w:pPr>
        <w:pStyle w:val="BodyText"/>
        <w:rPr>
          <w:rFonts w:ascii="Calibri"/>
          <w:sz w:val="12"/>
        </w:rPr>
      </w:pPr>
      <w:r>
        <w:rPr/>
        <w:br w:type="column"/>
      </w:r>
      <w:r>
        <w:rPr>
          <w:rFonts w:ascii="Calibri"/>
          <w:sz w:val="12"/>
        </w:rPr>
      </w:r>
    </w:p>
    <w:p>
      <w:pPr>
        <w:pStyle w:val="BodyText"/>
        <w:spacing w:before="1"/>
        <w:rPr>
          <w:rFonts w:ascii="Calibri"/>
          <w:sz w:val="16"/>
        </w:rPr>
      </w:pPr>
    </w:p>
    <w:p>
      <w:pPr>
        <w:spacing w:before="0"/>
        <w:ind w:left="318" w:right="1767" w:firstLine="0"/>
        <w:jc w:val="center"/>
        <w:rPr>
          <w:rFonts w:ascii="Calibri"/>
          <w:sz w:val="11"/>
        </w:rPr>
      </w:pPr>
      <w:r>
        <w:rPr>
          <w:rFonts w:ascii="Calibri"/>
          <w:w w:val="105"/>
          <w:sz w:val="11"/>
        </w:rPr>
        <w:t>Taoglas Mama  AA 170</w:t>
      </w:r>
    </w:p>
    <w:p>
      <w:pPr>
        <w:spacing w:before="9"/>
        <w:ind w:left="305" w:right="1767" w:firstLine="0"/>
        <w:jc w:val="center"/>
        <w:rPr>
          <w:rFonts w:ascii="Calibri"/>
          <w:sz w:val="11"/>
        </w:rPr>
      </w:pPr>
      <w:r>
        <w:rPr>
          <w:rFonts w:ascii="Calibri"/>
          <w:w w:val="105"/>
          <w:sz w:val="11"/>
        </w:rPr>
        <w:t>GPS Antenna</w:t>
      </w:r>
    </w:p>
    <w:p>
      <w:pPr>
        <w:spacing w:after="0"/>
        <w:jc w:val="center"/>
        <w:rPr>
          <w:rFonts w:ascii="Calibri"/>
          <w:sz w:val="11"/>
        </w:rPr>
        <w:sectPr>
          <w:type w:val="continuous"/>
          <w:pgSz w:w="11910" w:h="16850"/>
          <w:pgMar w:top="1360" w:bottom="280" w:left="0" w:right="0"/>
          <w:cols w:num="3" w:equalWidth="0">
            <w:col w:w="7128" w:space="40"/>
            <w:col w:w="1507" w:space="40"/>
            <w:col w:w="3195"/>
          </w:cols>
        </w:sectPr>
      </w:pPr>
    </w:p>
    <w:p>
      <w:pPr>
        <w:pStyle w:val="BodyText"/>
        <w:spacing w:before="3"/>
        <w:rPr>
          <w:rFonts w:ascii="Calibri"/>
          <w:sz w:val="13"/>
        </w:rPr>
      </w:pPr>
    </w:p>
    <w:p>
      <w:pPr>
        <w:spacing w:before="0"/>
        <w:ind w:left="1985" w:right="0" w:firstLine="0"/>
        <w:jc w:val="left"/>
        <w:rPr>
          <w:rFonts w:ascii="Calibri"/>
          <w:sz w:val="14"/>
        </w:rPr>
      </w:pPr>
      <w:r>
        <w:rPr>
          <w:rFonts w:ascii="Calibri"/>
          <w:w w:val="105"/>
          <w:sz w:val="14"/>
        </w:rPr>
        <w:t>12V    GND   ACC</w:t>
      </w:r>
    </w:p>
    <w:p>
      <w:pPr>
        <w:pStyle w:val="BodyText"/>
        <w:spacing w:before="3"/>
        <w:rPr>
          <w:rFonts w:ascii="Calibri"/>
          <w:sz w:val="13"/>
        </w:rPr>
      </w:pPr>
      <w:r>
        <w:rPr/>
        <w:br w:type="column"/>
      </w:r>
      <w:r>
        <w:rPr>
          <w:rFonts w:ascii="Calibri"/>
          <w:sz w:val="13"/>
        </w:rPr>
      </w:r>
    </w:p>
    <w:p>
      <w:pPr>
        <w:spacing w:before="0"/>
        <w:ind w:left="1055" w:right="0" w:firstLine="0"/>
        <w:jc w:val="left"/>
        <w:rPr>
          <w:rFonts w:ascii="Calibri"/>
          <w:sz w:val="14"/>
        </w:rPr>
      </w:pPr>
      <w:r>
        <w:rPr>
          <w:rFonts w:ascii="Calibri"/>
          <w:w w:val="105"/>
          <w:sz w:val="14"/>
        </w:rPr>
        <w:t>To Vehicle</w:t>
      </w:r>
      <w:r>
        <w:rPr>
          <w:rFonts w:ascii="Calibri"/>
          <w:spacing w:val="-25"/>
          <w:w w:val="105"/>
          <w:sz w:val="14"/>
        </w:rPr>
        <w:t> </w:t>
      </w:r>
      <w:r>
        <w:rPr>
          <w:rFonts w:ascii="Calibri"/>
          <w:w w:val="105"/>
          <w:sz w:val="14"/>
        </w:rPr>
        <w:t>CAN</w:t>
      </w:r>
    </w:p>
    <w:p>
      <w:pPr>
        <w:pStyle w:val="BodyText"/>
        <w:rPr>
          <w:rFonts w:ascii="Calibri"/>
          <w:sz w:val="6"/>
        </w:rPr>
      </w:pPr>
      <w:r>
        <w:rPr/>
        <w:br w:type="column"/>
      </w:r>
      <w:r>
        <w:rPr>
          <w:rFonts w:ascii="Calibri"/>
          <w:sz w:val="6"/>
        </w:rPr>
      </w:r>
    </w:p>
    <w:p>
      <w:pPr>
        <w:pStyle w:val="BodyText"/>
        <w:rPr>
          <w:rFonts w:ascii="Calibri"/>
          <w:sz w:val="6"/>
        </w:rPr>
      </w:pPr>
    </w:p>
    <w:p>
      <w:pPr>
        <w:pStyle w:val="BodyText"/>
        <w:rPr>
          <w:rFonts w:ascii="Calibri"/>
          <w:sz w:val="6"/>
        </w:rPr>
      </w:pPr>
    </w:p>
    <w:p>
      <w:pPr>
        <w:pStyle w:val="BodyText"/>
        <w:rPr>
          <w:rFonts w:ascii="Calibri"/>
          <w:sz w:val="6"/>
        </w:rPr>
      </w:pPr>
    </w:p>
    <w:p>
      <w:pPr>
        <w:pStyle w:val="BodyText"/>
        <w:rPr>
          <w:rFonts w:ascii="Calibri"/>
          <w:sz w:val="6"/>
        </w:rPr>
      </w:pPr>
    </w:p>
    <w:p>
      <w:pPr>
        <w:pStyle w:val="BodyText"/>
        <w:rPr>
          <w:rFonts w:ascii="Calibri"/>
          <w:sz w:val="6"/>
        </w:rPr>
      </w:pPr>
    </w:p>
    <w:p>
      <w:pPr>
        <w:tabs>
          <w:tab w:pos="1226" w:val="left" w:leader="none"/>
        </w:tabs>
        <w:spacing w:before="0"/>
        <w:ind w:left="524" w:right="0" w:firstLine="0"/>
        <w:jc w:val="left"/>
        <w:rPr>
          <w:rFonts w:ascii="Calibri"/>
          <w:sz w:val="7"/>
        </w:rPr>
      </w:pPr>
      <w:r>
        <w:rPr>
          <w:rFonts w:ascii="Calibri"/>
          <w:w w:val="105"/>
          <w:sz w:val="7"/>
        </w:rPr>
        <w:t>SMA</w:t>
        <w:tab/>
        <w:t>SMA</w:t>
      </w:r>
    </w:p>
    <w:p>
      <w:pPr>
        <w:pStyle w:val="BodyText"/>
        <w:rPr>
          <w:rFonts w:ascii="Calibri"/>
          <w:sz w:val="8"/>
        </w:rPr>
      </w:pPr>
      <w:r>
        <w:rPr/>
        <w:br w:type="column"/>
      </w:r>
      <w:r>
        <w:rPr>
          <w:rFonts w:ascii="Calibri"/>
          <w:sz w:val="8"/>
        </w:rPr>
      </w:r>
    </w:p>
    <w:p>
      <w:pPr>
        <w:pStyle w:val="BodyText"/>
        <w:rPr>
          <w:rFonts w:ascii="Calibri"/>
          <w:sz w:val="8"/>
        </w:rPr>
      </w:pPr>
    </w:p>
    <w:p>
      <w:pPr>
        <w:pStyle w:val="BodyText"/>
        <w:rPr>
          <w:rFonts w:ascii="Calibri"/>
          <w:sz w:val="8"/>
        </w:rPr>
      </w:pPr>
    </w:p>
    <w:p>
      <w:pPr>
        <w:pStyle w:val="BodyText"/>
        <w:rPr>
          <w:rFonts w:ascii="Calibri"/>
          <w:sz w:val="8"/>
        </w:rPr>
      </w:pPr>
    </w:p>
    <w:p>
      <w:pPr>
        <w:pStyle w:val="BodyText"/>
        <w:rPr>
          <w:rFonts w:ascii="Calibri"/>
          <w:sz w:val="8"/>
        </w:rPr>
      </w:pPr>
    </w:p>
    <w:p>
      <w:pPr>
        <w:pStyle w:val="BodyText"/>
        <w:spacing w:before="11"/>
        <w:rPr>
          <w:rFonts w:ascii="Calibri"/>
          <w:sz w:val="8"/>
        </w:rPr>
      </w:pPr>
    </w:p>
    <w:p>
      <w:pPr>
        <w:tabs>
          <w:tab w:pos="1815" w:val="left" w:leader="none"/>
        </w:tabs>
        <w:spacing w:before="0"/>
        <w:ind w:left="1303" w:right="0" w:firstLine="0"/>
        <w:jc w:val="left"/>
        <w:rPr>
          <w:rFonts w:ascii="Calibri"/>
          <w:sz w:val="7"/>
        </w:rPr>
      </w:pPr>
      <w:r>
        <w:rPr>
          <w:rFonts w:ascii="Calibri"/>
          <w:w w:val="105"/>
          <w:position w:val="2"/>
          <w:sz w:val="7"/>
        </w:rPr>
        <w:t>SMA</w:t>
        <w:tab/>
      </w:r>
      <w:r>
        <w:rPr>
          <w:rFonts w:ascii="Calibri"/>
          <w:w w:val="105"/>
          <w:sz w:val="7"/>
        </w:rPr>
        <w:t>SMA</w:t>
      </w:r>
    </w:p>
    <w:p>
      <w:pPr>
        <w:pStyle w:val="BodyText"/>
        <w:spacing w:before="6"/>
        <w:rPr>
          <w:rFonts w:ascii="Calibri"/>
          <w:sz w:val="15"/>
        </w:rPr>
      </w:pPr>
      <w:r>
        <w:rPr/>
        <w:br w:type="column"/>
      </w:r>
      <w:r>
        <w:rPr>
          <w:rFonts w:ascii="Calibri"/>
          <w:sz w:val="15"/>
        </w:rPr>
      </w:r>
    </w:p>
    <w:p>
      <w:pPr>
        <w:spacing w:line="144" w:lineRule="exact" w:before="0"/>
        <w:ind w:left="136" w:right="2246" w:firstLine="3"/>
        <w:jc w:val="center"/>
        <w:rPr>
          <w:rFonts w:ascii="Calibri"/>
          <w:i/>
          <w:sz w:val="11"/>
        </w:rPr>
      </w:pPr>
      <w:r>
        <w:rPr>
          <w:rFonts w:ascii="Calibri"/>
          <w:i/>
          <w:w w:val="105"/>
          <w:sz w:val="11"/>
        </w:rPr>
        <w:t>Antennas shown </w:t>
      </w:r>
      <w:r>
        <w:rPr>
          <w:rFonts w:ascii="Calibri"/>
          <w:i/>
          <w:w w:val="105"/>
          <w:sz w:val="11"/>
        </w:rPr>
        <w:t>connected to DSRC are connected to C-V2X when it is being tested</w:t>
      </w:r>
    </w:p>
    <w:p>
      <w:pPr>
        <w:spacing w:after="0" w:line="144" w:lineRule="exact"/>
        <w:jc w:val="center"/>
        <w:rPr>
          <w:rFonts w:ascii="Calibri"/>
          <w:sz w:val="11"/>
        </w:rPr>
        <w:sectPr>
          <w:type w:val="continuous"/>
          <w:pgSz w:w="11910" w:h="16850"/>
          <w:pgMar w:top="1360" w:bottom="280" w:left="0" w:right="0"/>
          <w:cols w:num="5" w:equalWidth="0">
            <w:col w:w="2997" w:space="40"/>
            <w:col w:w="1947" w:space="40"/>
            <w:col w:w="1367" w:space="40"/>
            <w:col w:w="1957" w:space="40"/>
            <w:col w:w="3482"/>
          </w:cols>
        </w:sectPr>
      </w:pPr>
    </w:p>
    <w:p>
      <w:pPr>
        <w:spacing w:line="40" w:lineRule="exact" w:before="0"/>
        <w:ind w:left="5358" w:right="31" w:firstLine="0"/>
        <w:jc w:val="right"/>
        <w:rPr>
          <w:rFonts w:ascii="Calibri"/>
          <w:sz w:val="7"/>
        </w:rPr>
      </w:pPr>
      <w:r>
        <w:rPr/>
        <w:pict>
          <v:group style="position:absolute;margin-left:75.722862pt;margin-top:-20.50894pt;width:97.2pt;height:82.05pt;mso-position-horizontal-relative:page;mso-position-vertical-relative:paragraph;z-index:-505792" coordorigin="1514,-410" coordsize="1944,1641">
            <v:rect style="position:absolute;left:1732;top:-85;width:1509;height:431" filled="true" fillcolor="#fdffff" stroked="false">
              <v:fill type="solid"/>
            </v:rect>
            <v:rect style="position:absolute;left:1732;top:-85;width:1509;height:431" filled="false" stroked="true" strokeweight=".149645pt" strokecolor="#000000">
              <v:stroke dashstyle="solid"/>
            </v:rect>
            <v:rect style="position:absolute;left:1516;top:669;width:1940;height:431" filled="true" fillcolor="#fdffff" stroked="false">
              <v:fill type="solid"/>
            </v:rect>
            <v:rect style="position:absolute;left:1516;top:669;width:1940;height:431" filled="false" stroked="true" strokeweight=".149643pt" strokecolor="#000000">
              <v:stroke dashstyle="solid"/>
            </v:rect>
            <v:rect style="position:absolute;left:2421;top:346;width:129;height:323" filled="true" fillcolor="#000000" stroked="false">
              <v:fill type="solid"/>
            </v:rect>
            <v:rect style="position:absolute;left:2421;top:346;width:129;height:323" filled="false" stroked="true" strokeweight=".1497pt" strokecolor="#000000">
              <v:stroke dashstyle="solid"/>
            </v:rect>
            <v:rect style="position:absolute;left:2033;top:346;width:129;height:323" filled="true" fillcolor="#ff0000" stroked="false">
              <v:fill type="solid"/>
            </v:rect>
            <v:rect style="position:absolute;left:2033;top:346;width:129;height:323" filled="false" stroked="true" strokeweight=".1497pt" strokecolor="#000000">
              <v:stroke dashstyle="solid"/>
            </v:rect>
            <v:rect style="position:absolute;left:2809;top:346;width:129;height:323" filled="true" fillcolor="#ff0000" stroked="false">
              <v:fill type="solid"/>
            </v:rect>
            <v:rect style="position:absolute;left:2809;top:346;width:129;height:323" filled="false" stroked="true" strokeweight=".1497pt" strokecolor="#000000">
              <v:stroke dashstyle="solid"/>
            </v:rect>
            <v:rect style="position:absolute;left:2421;top:-409;width:129;height:323" filled="true" fillcolor="#000000" stroked="false">
              <v:fill type="solid"/>
            </v:rect>
            <v:rect style="position:absolute;left:2421;top:-409;width:129;height:323" filled="false" stroked="true" strokeweight=".1497pt" strokecolor="#000000">
              <v:stroke dashstyle="solid"/>
            </v:rect>
            <v:rect style="position:absolute;left:2033;top:-409;width:129;height:323" filled="true" fillcolor="#ff0000" stroked="false">
              <v:fill type="solid"/>
            </v:rect>
            <v:rect style="position:absolute;left:2033;top:-409;width:129;height:323" filled="false" stroked="true" strokeweight=".1497pt" strokecolor="#000000">
              <v:stroke dashstyle="solid"/>
            </v:rect>
            <v:rect style="position:absolute;left:2809;top:-409;width:129;height:323" filled="true" fillcolor="#ff0000" stroked="false">
              <v:fill type="solid"/>
            </v:rect>
            <v:shape style="position:absolute;left:640;top:5006;width:3241;height:2736" coordorigin="640,5006" coordsize="3241,2736" path="m2809,-85l2939,-85,2939,-409,2809,-409,2809,-85xm1516,1229l1645,1229,1645,1100,1516,1100,1516,1229xm2421,1229l2551,1229,2551,1100,2421,1100,2421,1229xm1818,1229l1947,1229,1947,1100,1818,1100,1818,1229xm2120,1229l2249,1229,2249,1100,2120,1100,2120,1229xm2723,1229l2853,1229,2853,1100,2723,1100,2723,1229xm3025,1229l3154,1229,3154,1100,3025,1100,3025,1229xm3327,1229l3456,1229,3456,1100,3327,1100,3327,1229xe" filled="false" stroked="true" strokeweight=".149675pt" strokecolor="#000000">
              <v:path arrowok="t"/>
              <v:stroke dashstyle="solid"/>
            </v:shape>
            <v:shape style="position:absolute;left:1732;top:-85;width:1510;height:431" type="#_x0000_t202" filled="false" stroked="false">
              <v:textbox inset="0,0,0,0">
                <w:txbxContent>
                  <w:p>
                    <w:pPr>
                      <w:spacing w:line="240" w:lineRule="auto" w:before="3"/>
                      <w:rPr>
                        <w:sz w:val="11"/>
                      </w:rPr>
                    </w:pPr>
                  </w:p>
                  <w:p>
                    <w:pPr>
                      <w:spacing w:before="0"/>
                      <w:ind w:left="390" w:right="0" w:firstLine="0"/>
                      <w:jc w:val="left"/>
                      <w:rPr>
                        <w:rFonts w:ascii="Calibri"/>
                        <w:sz w:val="14"/>
                      </w:rPr>
                    </w:pPr>
                    <w:r>
                      <w:rPr>
                        <w:rFonts w:ascii="Calibri"/>
                        <w:w w:val="105"/>
                        <w:sz w:val="14"/>
                      </w:rPr>
                      <w:t>Power Panel</w:t>
                    </w:r>
                  </w:p>
                </w:txbxContent>
              </v:textbox>
              <w10:wrap type="none"/>
            </v:shape>
            <v:shape style="position:absolute;left:1516;top:669;width:1941;height:431" type="#_x0000_t202" filled="false" stroked="false">
              <v:textbox inset="0,0,0,0">
                <w:txbxContent>
                  <w:p>
                    <w:pPr>
                      <w:spacing w:line="240" w:lineRule="auto" w:before="4"/>
                      <w:rPr>
                        <w:sz w:val="11"/>
                      </w:rPr>
                    </w:pPr>
                  </w:p>
                  <w:p>
                    <w:pPr>
                      <w:spacing w:before="0"/>
                      <w:ind w:left="421" w:right="0" w:firstLine="0"/>
                      <w:jc w:val="left"/>
                      <w:rPr>
                        <w:rFonts w:ascii="Calibri"/>
                        <w:sz w:val="14"/>
                      </w:rPr>
                    </w:pPr>
                    <w:r>
                      <w:rPr>
                        <w:rFonts w:ascii="Calibri"/>
                        <w:sz w:val="14"/>
                      </w:rPr>
                      <w:t>Power Distribution</w:t>
                    </w:r>
                  </w:p>
                </w:txbxContent>
              </v:textbox>
              <w10:wrap type="none"/>
            </v:shape>
            <w10:wrap type="none"/>
          </v:group>
        </w:pict>
      </w:r>
      <w:r>
        <w:rPr>
          <w:rFonts w:ascii="Calibri"/>
          <w:sz w:val="7"/>
        </w:rPr>
        <w:t>LMR100</w:t>
      </w:r>
    </w:p>
    <w:p>
      <w:pPr>
        <w:spacing w:before="0"/>
        <w:ind w:left="5358" w:right="0" w:firstLine="0"/>
        <w:jc w:val="right"/>
        <w:rPr>
          <w:rFonts w:ascii="Calibri"/>
          <w:sz w:val="7"/>
        </w:rPr>
      </w:pPr>
      <w:r>
        <w:rPr>
          <w:rFonts w:ascii="Calibri"/>
          <w:w w:val="105"/>
          <w:sz w:val="7"/>
        </w:rPr>
        <w:t>~8 inches</w:t>
      </w:r>
    </w:p>
    <w:p>
      <w:pPr>
        <w:pStyle w:val="BodyText"/>
        <w:rPr>
          <w:rFonts w:ascii="Calibri"/>
          <w:sz w:val="6"/>
        </w:rPr>
      </w:pPr>
    </w:p>
    <w:p>
      <w:pPr>
        <w:pStyle w:val="BodyText"/>
        <w:spacing w:before="7"/>
        <w:rPr>
          <w:rFonts w:ascii="Calibri"/>
          <w:sz w:val="8"/>
        </w:rPr>
      </w:pPr>
    </w:p>
    <w:p>
      <w:pPr>
        <w:spacing w:line="607" w:lineRule="auto" w:before="0"/>
        <w:ind w:left="5358" w:right="0" w:firstLine="0"/>
        <w:jc w:val="right"/>
        <w:rPr>
          <w:rFonts w:ascii="Calibri"/>
          <w:sz w:val="7"/>
        </w:rPr>
      </w:pPr>
      <w:r>
        <w:rPr>
          <w:rFonts w:ascii="Calibri"/>
          <w:sz w:val="7"/>
        </w:rPr>
        <w:t>FAKRA FAKRA</w:t>
      </w:r>
    </w:p>
    <w:p>
      <w:pPr>
        <w:spacing w:line="40" w:lineRule="exact" w:before="0"/>
        <w:ind w:left="353" w:right="350" w:firstLine="0"/>
        <w:jc w:val="center"/>
        <w:rPr>
          <w:rFonts w:ascii="Calibri"/>
          <w:sz w:val="7"/>
        </w:rPr>
      </w:pPr>
      <w:r>
        <w:rPr/>
        <w:br w:type="column"/>
      </w:r>
      <w:r>
        <w:rPr>
          <w:rFonts w:ascii="Calibri"/>
          <w:w w:val="105"/>
          <w:sz w:val="7"/>
        </w:rPr>
        <w:t>LMR100</w:t>
      </w:r>
    </w:p>
    <w:p>
      <w:pPr>
        <w:spacing w:before="0"/>
        <w:ind w:left="467" w:right="0" w:hanging="96"/>
        <w:jc w:val="left"/>
        <w:rPr>
          <w:rFonts w:ascii="Calibri"/>
          <w:sz w:val="7"/>
        </w:rPr>
      </w:pPr>
      <w:r>
        <w:rPr>
          <w:rFonts w:ascii="Calibri"/>
          <w:w w:val="105"/>
          <w:sz w:val="7"/>
        </w:rPr>
        <w:t>~8 inches</w:t>
      </w:r>
    </w:p>
    <w:p>
      <w:pPr>
        <w:pStyle w:val="BodyText"/>
        <w:rPr>
          <w:rFonts w:ascii="Calibri"/>
          <w:sz w:val="6"/>
        </w:rPr>
      </w:pPr>
    </w:p>
    <w:p>
      <w:pPr>
        <w:pStyle w:val="BodyText"/>
        <w:spacing w:before="7"/>
        <w:rPr>
          <w:rFonts w:ascii="Calibri"/>
          <w:sz w:val="8"/>
        </w:rPr>
      </w:pPr>
    </w:p>
    <w:p>
      <w:pPr>
        <w:spacing w:line="607" w:lineRule="auto" w:before="0"/>
        <w:ind w:left="467" w:right="350" w:firstLine="0"/>
        <w:jc w:val="center"/>
        <w:rPr>
          <w:rFonts w:ascii="Calibri"/>
          <w:sz w:val="7"/>
        </w:rPr>
      </w:pPr>
      <w:r>
        <w:rPr>
          <w:rFonts w:ascii="Calibri"/>
          <w:sz w:val="7"/>
        </w:rPr>
        <w:t>FAKRA FAKRA</w:t>
      </w:r>
    </w:p>
    <w:p>
      <w:pPr>
        <w:pStyle w:val="BodyText"/>
        <w:spacing w:before="10"/>
        <w:rPr>
          <w:rFonts w:ascii="Calibri"/>
          <w:sz w:val="6"/>
        </w:rPr>
      </w:pPr>
    </w:p>
    <w:p>
      <w:pPr>
        <w:spacing w:before="0"/>
        <w:ind w:left="432" w:right="0" w:firstLine="0"/>
        <w:jc w:val="left"/>
        <w:rPr>
          <w:rFonts w:ascii="Calibri"/>
          <w:sz w:val="14"/>
        </w:rPr>
      </w:pPr>
      <w:r>
        <w:rPr>
          <w:rFonts w:ascii="Calibri"/>
          <w:w w:val="105"/>
          <w:sz w:val="14"/>
        </w:rPr>
        <w:t>DSRC</w:t>
      </w:r>
      <w:r>
        <w:rPr>
          <w:rFonts w:ascii="Calibri"/>
          <w:spacing w:val="-20"/>
          <w:w w:val="105"/>
          <w:sz w:val="14"/>
        </w:rPr>
        <w:t> </w:t>
      </w:r>
      <w:r>
        <w:rPr>
          <w:rFonts w:ascii="Calibri"/>
          <w:w w:val="105"/>
          <w:sz w:val="14"/>
        </w:rPr>
        <w:t>OBE</w:t>
      </w:r>
    </w:p>
    <w:p>
      <w:pPr>
        <w:pStyle w:val="BodyText"/>
        <w:rPr>
          <w:rFonts w:ascii="Calibri"/>
          <w:sz w:val="6"/>
        </w:rPr>
      </w:pPr>
      <w:r>
        <w:rPr/>
        <w:br w:type="column"/>
      </w:r>
      <w:r>
        <w:rPr>
          <w:rFonts w:ascii="Calibri"/>
          <w:sz w:val="6"/>
        </w:rPr>
      </w:r>
    </w:p>
    <w:p>
      <w:pPr>
        <w:pStyle w:val="BodyText"/>
        <w:rPr>
          <w:rFonts w:ascii="Calibri"/>
          <w:sz w:val="6"/>
        </w:rPr>
      </w:pPr>
    </w:p>
    <w:p>
      <w:pPr>
        <w:pStyle w:val="BodyText"/>
        <w:rPr>
          <w:rFonts w:ascii="Calibri"/>
          <w:sz w:val="6"/>
        </w:rPr>
      </w:pPr>
    </w:p>
    <w:p>
      <w:pPr>
        <w:pStyle w:val="BodyText"/>
        <w:rPr>
          <w:rFonts w:ascii="Calibri"/>
          <w:sz w:val="7"/>
        </w:rPr>
      </w:pPr>
    </w:p>
    <w:p>
      <w:pPr>
        <w:spacing w:line="607" w:lineRule="auto" w:before="0"/>
        <w:ind w:left="60" w:right="-13" w:firstLine="0"/>
        <w:jc w:val="left"/>
        <w:rPr>
          <w:rFonts w:ascii="Calibri"/>
          <w:sz w:val="7"/>
        </w:rPr>
      </w:pPr>
      <w:r>
        <w:rPr>
          <w:rFonts w:ascii="Calibri"/>
          <w:sz w:val="7"/>
        </w:rPr>
        <w:t>FAKRA FAKRA</w:t>
      </w:r>
    </w:p>
    <w:p>
      <w:pPr>
        <w:pStyle w:val="BodyText"/>
        <w:spacing w:before="6"/>
        <w:rPr>
          <w:rFonts w:ascii="Calibri"/>
          <w:sz w:val="5"/>
        </w:rPr>
      </w:pPr>
      <w:r>
        <w:rPr/>
        <w:br w:type="column"/>
      </w:r>
      <w:r>
        <w:rPr>
          <w:rFonts w:ascii="Calibri"/>
          <w:sz w:val="5"/>
        </w:rPr>
      </w:r>
    </w:p>
    <w:p>
      <w:pPr>
        <w:spacing w:before="1"/>
        <w:ind w:left="497" w:right="0" w:firstLine="0"/>
        <w:jc w:val="left"/>
        <w:rPr>
          <w:rFonts w:ascii="Calibri"/>
          <w:sz w:val="7"/>
        </w:rPr>
      </w:pPr>
      <w:r>
        <w:rPr>
          <w:rFonts w:ascii="Calibri"/>
          <w:w w:val="105"/>
          <w:sz w:val="7"/>
        </w:rPr>
        <w:t>LMR100</w:t>
      </w:r>
    </w:p>
    <w:p>
      <w:pPr>
        <w:pStyle w:val="BodyText"/>
        <w:spacing w:before="10"/>
        <w:rPr>
          <w:rFonts w:ascii="Calibri"/>
          <w:sz w:val="8"/>
        </w:rPr>
      </w:pPr>
    </w:p>
    <w:p>
      <w:pPr>
        <w:spacing w:before="1"/>
        <w:ind w:left="0" w:right="7" w:firstLine="0"/>
        <w:jc w:val="right"/>
        <w:rPr>
          <w:rFonts w:ascii="Calibri"/>
          <w:sz w:val="7"/>
        </w:rPr>
      </w:pPr>
      <w:r>
        <w:rPr>
          <w:rFonts w:ascii="Calibri"/>
          <w:sz w:val="7"/>
        </w:rPr>
        <w:t>QUAD</w:t>
      </w:r>
    </w:p>
    <w:p>
      <w:pPr>
        <w:spacing w:before="1"/>
        <w:ind w:left="0" w:right="0" w:firstLine="0"/>
        <w:jc w:val="right"/>
        <w:rPr>
          <w:rFonts w:ascii="Calibri"/>
          <w:sz w:val="7"/>
        </w:rPr>
      </w:pPr>
      <w:r>
        <w:rPr>
          <w:rFonts w:ascii="Calibri"/>
          <w:sz w:val="7"/>
        </w:rPr>
        <w:t>FAKRA</w:t>
      </w:r>
    </w:p>
    <w:p>
      <w:pPr>
        <w:pStyle w:val="BodyText"/>
        <w:spacing w:before="6"/>
        <w:rPr>
          <w:rFonts w:ascii="Calibri"/>
          <w:sz w:val="4"/>
        </w:rPr>
      </w:pPr>
    </w:p>
    <w:p>
      <w:pPr>
        <w:spacing w:before="0"/>
        <w:ind w:left="682" w:right="0" w:firstLine="6"/>
        <w:jc w:val="right"/>
        <w:rPr>
          <w:rFonts w:ascii="Calibri"/>
          <w:sz w:val="7"/>
        </w:rPr>
      </w:pPr>
      <w:r>
        <w:rPr>
          <w:rFonts w:ascii="Calibri"/>
          <w:sz w:val="7"/>
        </w:rPr>
        <w:t>QUAD FAKRA</w:t>
      </w:r>
    </w:p>
    <w:p>
      <w:pPr>
        <w:pStyle w:val="BodyText"/>
        <w:rPr>
          <w:rFonts w:ascii="Calibri"/>
          <w:sz w:val="6"/>
        </w:rPr>
      </w:pPr>
      <w:r>
        <w:rPr/>
        <w:br w:type="column"/>
      </w:r>
      <w:r>
        <w:rPr>
          <w:rFonts w:ascii="Calibri"/>
          <w:sz w:val="6"/>
        </w:rPr>
      </w:r>
    </w:p>
    <w:p>
      <w:pPr>
        <w:pStyle w:val="BodyText"/>
        <w:rPr>
          <w:rFonts w:ascii="Calibri"/>
          <w:sz w:val="6"/>
        </w:rPr>
      </w:pPr>
    </w:p>
    <w:p>
      <w:pPr>
        <w:pStyle w:val="BodyText"/>
        <w:rPr>
          <w:rFonts w:ascii="Calibri"/>
          <w:sz w:val="6"/>
        </w:rPr>
      </w:pPr>
    </w:p>
    <w:p>
      <w:pPr>
        <w:pStyle w:val="BodyText"/>
        <w:rPr>
          <w:rFonts w:ascii="Calibri"/>
          <w:sz w:val="6"/>
        </w:rPr>
      </w:pPr>
    </w:p>
    <w:p>
      <w:pPr>
        <w:pStyle w:val="BodyText"/>
        <w:rPr>
          <w:rFonts w:ascii="Calibri"/>
          <w:sz w:val="6"/>
        </w:rPr>
      </w:pPr>
    </w:p>
    <w:p>
      <w:pPr>
        <w:pStyle w:val="BodyText"/>
        <w:rPr>
          <w:rFonts w:ascii="Calibri"/>
          <w:sz w:val="6"/>
        </w:rPr>
      </w:pPr>
    </w:p>
    <w:p>
      <w:pPr>
        <w:spacing w:before="44"/>
        <w:ind w:left="250" w:right="-16" w:firstLine="6"/>
        <w:jc w:val="left"/>
        <w:rPr>
          <w:rFonts w:ascii="Calibri"/>
          <w:sz w:val="7"/>
        </w:rPr>
      </w:pPr>
      <w:r>
        <w:rPr>
          <w:rFonts w:ascii="Calibri"/>
          <w:w w:val="105"/>
          <w:sz w:val="7"/>
        </w:rPr>
        <w:t>QUAD </w:t>
      </w:r>
      <w:r>
        <w:rPr>
          <w:rFonts w:ascii="Calibri"/>
          <w:sz w:val="7"/>
        </w:rPr>
        <w:t>FAKRA</w:t>
      </w:r>
    </w:p>
    <w:p>
      <w:pPr>
        <w:pStyle w:val="BodyText"/>
        <w:rPr>
          <w:rFonts w:ascii="Calibri"/>
          <w:sz w:val="6"/>
        </w:rPr>
      </w:pPr>
      <w:r>
        <w:rPr/>
        <w:br w:type="column"/>
      </w:r>
      <w:r>
        <w:rPr>
          <w:rFonts w:ascii="Calibri"/>
          <w:sz w:val="6"/>
        </w:rPr>
      </w:r>
    </w:p>
    <w:p>
      <w:pPr>
        <w:pStyle w:val="BodyText"/>
        <w:rPr>
          <w:rFonts w:ascii="Calibri"/>
          <w:sz w:val="6"/>
        </w:rPr>
      </w:pPr>
    </w:p>
    <w:p>
      <w:pPr>
        <w:pStyle w:val="BodyText"/>
        <w:rPr>
          <w:rFonts w:ascii="Calibri"/>
          <w:sz w:val="6"/>
        </w:rPr>
      </w:pPr>
    </w:p>
    <w:p>
      <w:pPr>
        <w:pStyle w:val="BodyText"/>
        <w:spacing w:before="5"/>
        <w:rPr>
          <w:rFonts w:ascii="Calibri"/>
          <w:sz w:val="7"/>
        </w:rPr>
      </w:pPr>
    </w:p>
    <w:p>
      <w:pPr>
        <w:spacing w:line="607" w:lineRule="auto" w:before="0"/>
        <w:ind w:left="305" w:right="2890" w:firstLine="0"/>
        <w:jc w:val="left"/>
        <w:rPr>
          <w:rFonts w:ascii="Calibri"/>
          <w:sz w:val="7"/>
        </w:rPr>
      </w:pPr>
      <w:r>
        <w:rPr>
          <w:rFonts w:ascii="Calibri"/>
          <w:sz w:val="7"/>
        </w:rPr>
        <w:t>FAKRA FAKRA</w:t>
      </w:r>
    </w:p>
    <w:p>
      <w:pPr>
        <w:spacing w:after="0" w:line="607" w:lineRule="auto"/>
        <w:jc w:val="left"/>
        <w:rPr>
          <w:rFonts w:ascii="Calibri"/>
          <w:sz w:val="7"/>
        </w:rPr>
        <w:sectPr>
          <w:type w:val="continuous"/>
          <w:pgSz w:w="11910" w:h="16850"/>
          <w:pgMar w:top="1360" w:bottom="280" w:left="0" w:right="0"/>
          <w:cols w:num="6" w:equalWidth="0">
            <w:col w:w="5714" w:space="40"/>
            <w:col w:w="1015" w:space="40"/>
            <w:col w:w="255" w:space="40"/>
            <w:col w:w="878" w:space="40"/>
            <w:col w:w="445" w:space="40"/>
            <w:col w:w="3403"/>
          </w:cols>
        </w:sectPr>
      </w:pPr>
    </w:p>
    <w:p>
      <w:pPr>
        <w:spacing w:before="2"/>
        <w:ind w:left="5948" w:right="4894" w:firstLine="0"/>
        <w:jc w:val="center"/>
        <w:rPr>
          <w:rFonts w:ascii="Calibri"/>
          <w:sz w:val="14"/>
        </w:rPr>
      </w:pPr>
      <w:r>
        <w:rPr/>
        <w:pict>
          <v:shape style="position:absolute;margin-left:399.167664pt;margin-top:-16.147867pt;width:86.25pt;height:51.75pt;mso-position-horizontal-relative:page;mso-position-vertical-relative:paragraph;z-index:-505672" type="#_x0000_t202" filled="false" stroked="false">
            <v:textbox inset="0,0,0,0">
              <w:txbxContent>
                <w:p>
                  <w:pPr>
                    <w:spacing w:before="49"/>
                    <w:ind w:left="225" w:right="214" w:firstLine="0"/>
                    <w:jc w:val="center"/>
                    <w:rPr>
                      <w:rFonts w:ascii="Calibri"/>
                      <w:sz w:val="14"/>
                    </w:rPr>
                  </w:pPr>
                  <w:r>
                    <w:rPr>
                      <w:rFonts w:ascii="Calibri"/>
                      <w:w w:val="105"/>
                      <w:sz w:val="14"/>
                    </w:rPr>
                    <w:t>C-V2X DP Qualcomm</w:t>
                  </w:r>
                </w:p>
                <w:p>
                  <w:pPr>
                    <w:pStyle w:val="BodyText"/>
                    <w:spacing w:before="8"/>
                    <w:rPr>
                      <w:sz w:val="14"/>
                    </w:rPr>
                  </w:pPr>
                </w:p>
                <w:p>
                  <w:pPr>
                    <w:spacing w:before="0"/>
                    <w:ind w:left="223" w:right="214" w:firstLine="0"/>
                    <w:jc w:val="center"/>
                    <w:rPr>
                      <w:rFonts w:ascii="Calibri"/>
                      <w:sz w:val="14"/>
                    </w:rPr>
                  </w:pPr>
                  <w:r>
                    <w:rPr>
                      <w:rFonts w:ascii="Calibri"/>
                      <w:w w:val="105"/>
                      <w:sz w:val="14"/>
                    </w:rPr>
                    <w:t>Modem</w:t>
                  </w:r>
                </w:p>
                <w:p>
                  <w:pPr>
                    <w:spacing w:before="114"/>
                    <w:ind w:left="225" w:right="207" w:firstLine="0"/>
                    <w:jc w:val="center"/>
                    <w:rPr>
                      <w:rFonts w:ascii="Calibri"/>
                      <w:sz w:val="14"/>
                    </w:rPr>
                  </w:pPr>
                  <w:r>
                    <w:rPr>
                      <w:rFonts w:ascii="Calibri"/>
                      <w:w w:val="105"/>
                      <w:sz w:val="14"/>
                    </w:rPr>
                    <w:t>APQ</w:t>
                  </w:r>
                </w:p>
              </w:txbxContent>
            </v:textbox>
            <w10:wrap type="none"/>
          </v:shape>
        </w:pict>
      </w:r>
      <w:r>
        <w:rPr/>
        <w:pict>
          <v:shape style="position:absolute;margin-left:75.67366pt;margin-top:13.651157pt;width:6.95pt;height:13.95pt;mso-position-horizontal-relative:page;mso-position-vertical-relative:paragraph;z-index:2440" type="#_x0000_t202" filled="false" stroked="false">
            <v:textbox inset="0,0,0,0" style="layout-flow:vertical;mso-layout-flow-alt:bottom-to-top">
              <w:txbxContent>
                <w:p>
                  <w:pPr>
                    <w:spacing w:line="121" w:lineRule="exact" w:before="0"/>
                    <w:ind w:left="20" w:right="0" w:firstLine="0"/>
                    <w:jc w:val="left"/>
                    <w:rPr>
                      <w:rFonts w:ascii="Calibri"/>
                      <w:sz w:val="10"/>
                    </w:rPr>
                  </w:pPr>
                  <w:r>
                    <w:rPr>
                      <w:rFonts w:ascii="Calibri"/>
                      <w:spacing w:val="-1"/>
                      <w:w w:val="98"/>
                      <w:sz w:val="10"/>
                    </w:rPr>
                    <w:t>S</w:t>
                  </w:r>
                  <w:r>
                    <w:rPr>
                      <w:rFonts w:ascii="Calibri"/>
                      <w:spacing w:val="-3"/>
                      <w:w w:val="98"/>
                      <w:sz w:val="10"/>
                    </w:rPr>
                    <w:t>a</w:t>
                  </w:r>
                  <w:r>
                    <w:rPr>
                      <w:rFonts w:ascii="Calibri"/>
                      <w:w w:val="98"/>
                      <w:sz w:val="10"/>
                    </w:rPr>
                    <w:t>v</w:t>
                  </w:r>
                  <w:r>
                    <w:rPr>
                      <w:rFonts w:ascii="Calibri"/>
                      <w:spacing w:val="-3"/>
                      <w:w w:val="98"/>
                      <w:sz w:val="10"/>
                    </w:rPr>
                    <w:t>a</w:t>
                  </w:r>
                  <w:r>
                    <w:rPr>
                      <w:rFonts w:ascii="Calibri"/>
                      <w:spacing w:val="1"/>
                      <w:w w:val="98"/>
                      <w:sz w:val="10"/>
                    </w:rPr>
                    <w:t>r</w:t>
                  </w:r>
                  <w:r>
                    <w:rPr>
                      <w:rFonts w:ascii="Calibri"/>
                      <w:w w:val="98"/>
                      <w:sz w:val="10"/>
                    </w:rPr>
                    <w:t>i</w:t>
                  </w:r>
                </w:p>
              </w:txbxContent>
            </v:textbox>
            <w10:wrap type="none"/>
          </v:shape>
        </w:pict>
      </w:r>
      <w:r>
        <w:rPr/>
        <w:pict>
          <v:shape style="position:absolute;margin-left:90.064499pt;margin-top:13.391702pt;width:7pt;height:23.55pt;mso-position-horizontal-relative:page;mso-position-vertical-relative:paragraph;z-index:2464" type="#_x0000_t202" filled="false" stroked="false">
            <v:textbox inset="0,0,0,0" style="layout-flow:vertical;mso-layout-flow-alt:bottom-to-top">
              <w:txbxContent>
                <w:p>
                  <w:pPr>
                    <w:spacing w:line="121" w:lineRule="exact" w:before="0"/>
                    <w:ind w:left="20" w:right="0" w:firstLine="0"/>
                    <w:jc w:val="left"/>
                    <w:rPr>
                      <w:rFonts w:ascii="Calibri"/>
                      <w:sz w:val="10"/>
                    </w:rPr>
                  </w:pPr>
                  <w:r>
                    <w:rPr>
                      <w:rFonts w:ascii="Calibri"/>
                      <w:spacing w:val="-4"/>
                      <w:w w:val="99"/>
                      <w:sz w:val="10"/>
                    </w:rPr>
                    <w:t>Q</w:t>
                  </w:r>
                  <w:r>
                    <w:rPr>
                      <w:rFonts w:ascii="Calibri"/>
                      <w:spacing w:val="2"/>
                      <w:w w:val="99"/>
                      <w:sz w:val="10"/>
                    </w:rPr>
                    <w:t>u</w:t>
                  </w:r>
                  <w:r>
                    <w:rPr>
                      <w:rFonts w:ascii="Calibri"/>
                      <w:spacing w:val="-3"/>
                      <w:w w:val="99"/>
                      <w:sz w:val="10"/>
                    </w:rPr>
                    <w:t>a</w:t>
                  </w:r>
                  <w:r>
                    <w:rPr>
                      <w:rFonts w:ascii="Calibri"/>
                      <w:spacing w:val="-5"/>
                      <w:w w:val="99"/>
                      <w:sz w:val="10"/>
                    </w:rPr>
                    <w:t>l</w:t>
                  </w:r>
                  <w:r>
                    <w:rPr>
                      <w:rFonts w:ascii="Calibri"/>
                      <w:spacing w:val="3"/>
                      <w:w w:val="99"/>
                      <w:sz w:val="10"/>
                    </w:rPr>
                    <w:t>c</w:t>
                  </w:r>
                  <w:r>
                    <w:rPr>
                      <w:rFonts w:ascii="Calibri"/>
                      <w:spacing w:val="-8"/>
                      <w:w w:val="99"/>
                      <w:sz w:val="10"/>
                    </w:rPr>
                    <w:t>o</w:t>
                  </w:r>
                  <w:r>
                    <w:rPr>
                      <w:rFonts w:ascii="Calibri"/>
                      <w:spacing w:val="1"/>
                      <w:w w:val="99"/>
                      <w:sz w:val="10"/>
                    </w:rPr>
                    <w:t>m</w:t>
                  </w:r>
                  <w:r>
                    <w:rPr>
                      <w:rFonts w:ascii="Calibri"/>
                      <w:w w:val="99"/>
                      <w:sz w:val="10"/>
                    </w:rPr>
                    <w:t>m</w:t>
                  </w:r>
                </w:p>
              </w:txbxContent>
            </v:textbox>
            <w10:wrap type="none"/>
          </v:shape>
        </w:pict>
      </w:r>
      <w:r>
        <w:rPr/>
        <w:pict>
          <v:shape style="position:absolute;margin-left:102.71122pt;margin-top:13.799505pt;width:12.75pt;height:19.1pt;mso-position-horizontal-relative:page;mso-position-vertical-relative:paragraph;z-index:2488" type="#_x0000_t202" filled="false" stroked="false">
            <v:textbox inset="0,0,0,0" style="layout-flow:vertical;mso-layout-flow-alt:bottom-to-top">
              <w:txbxContent>
                <w:p>
                  <w:pPr>
                    <w:spacing w:line="116" w:lineRule="exact" w:before="1"/>
                    <w:ind w:left="103" w:right="-205" w:hanging="84"/>
                    <w:jc w:val="left"/>
                    <w:rPr>
                      <w:rFonts w:ascii="Calibri"/>
                      <w:sz w:val="10"/>
                    </w:rPr>
                  </w:pPr>
                  <w:r>
                    <w:rPr>
                      <w:rFonts w:ascii="Calibri"/>
                      <w:spacing w:val="-3"/>
                      <w:w w:val="98"/>
                      <w:sz w:val="10"/>
                    </w:rPr>
                    <w:t>E</w:t>
                  </w:r>
                  <w:r>
                    <w:rPr>
                      <w:rFonts w:ascii="Calibri"/>
                      <w:spacing w:val="2"/>
                      <w:w w:val="98"/>
                      <w:sz w:val="10"/>
                    </w:rPr>
                    <w:t>t</w:t>
                  </w:r>
                  <w:r>
                    <w:rPr>
                      <w:rFonts w:ascii="Calibri"/>
                      <w:spacing w:val="-7"/>
                      <w:w w:val="98"/>
                      <w:sz w:val="10"/>
                    </w:rPr>
                    <w:t>h</w:t>
                  </w:r>
                  <w:r>
                    <w:rPr>
                      <w:rFonts w:ascii="Calibri"/>
                      <w:spacing w:val="4"/>
                      <w:w w:val="98"/>
                      <w:sz w:val="10"/>
                    </w:rPr>
                    <w:t>e</w:t>
                  </w:r>
                  <w:r>
                    <w:rPr>
                      <w:rFonts w:ascii="Calibri"/>
                      <w:spacing w:val="-8"/>
                      <w:w w:val="98"/>
                      <w:sz w:val="10"/>
                    </w:rPr>
                    <w:t>r</w:t>
                  </w:r>
                  <w:r>
                    <w:rPr>
                      <w:rFonts w:ascii="Calibri"/>
                      <w:spacing w:val="2"/>
                      <w:w w:val="98"/>
                      <w:sz w:val="10"/>
                    </w:rPr>
                    <w:t>n</w:t>
                  </w:r>
                  <w:r>
                    <w:rPr>
                      <w:rFonts w:ascii="Calibri"/>
                      <w:spacing w:val="-4"/>
                      <w:w w:val="98"/>
                      <w:sz w:val="10"/>
                    </w:rPr>
                    <w:t>e</w:t>
                  </w:r>
                  <w:r>
                    <w:rPr>
                      <w:rFonts w:ascii="Calibri"/>
                      <w:w w:val="98"/>
                      <w:sz w:val="10"/>
                    </w:rPr>
                    <w:t>t </w:t>
                  </w:r>
                  <w:r>
                    <w:rPr>
                      <w:rFonts w:ascii="Calibri"/>
                      <w:spacing w:val="-1"/>
                      <w:w w:val="98"/>
                      <w:sz w:val="10"/>
                    </w:rPr>
                    <w:t>S</w:t>
                  </w:r>
                  <w:r>
                    <w:rPr>
                      <w:rFonts w:ascii="Calibri"/>
                      <w:spacing w:val="1"/>
                      <w:w w:val="98"/>
                      <w:sz w:val="10"/>
                    </w:rPr>
                    <w:t>w</w:t>
                  </w:r>
                  <w:r>
                    <w:rPr>
                      <w:rFonts w:ascii="Calibri"/>
                      <w:spacing w:val="-5"/>
                      <w:w w:val="98"/>
                      <w:sz w:val="10"/>
                    </w:rPr>
                    <w:t>i</w:t>
                  </w:r>
                  <w:r>
                    <w:rPr>
                      <w:rFonts w:ascii="Calibri"/>
                      <w:spacing w:val="2"/>
                      <w:w w:val="98"/>
                      <w:sz w:val="10"/>
                    </w:rPr>
                    <w:t>t</w:t>
                  </w:r>
                  <w:r>
                    <w:rPr>
                      <w:rFonts w:ascii="Calibri"/>
                      <w:spacing w:val="-6"/>
                      <w:w w:val="98"/>
                      <w:sz w:val="10"/>
                    </w:rPr>
                    <w:t>c</w:t>
                  </w:r>
                  <w:r>
                    <w:rPr>
                      <w:rFonts w:ascii="Calibri"/>
                      <w:w w:val="98"/>
                      <w:sz w:val="10"/>
                    </w:rPr>
                    <w:t>h</w:t>
                  </w:r>
                </w:p>
              </w:txbxContent>
            </v:textbox>
            <w10:wrap type="none"/>
          </v:shape>
        </w:pict>
      </w:r>
      <w:r>
        <w:rPr/>
        <w:pict>
          <v:shape style="position:absolute;margin-left:121.087326pt;margin-top:13.767924pt;width:7pt;height:10.15pt;mso-position-horizontal-relative:page;mso-position-vertical-relative:paragraph;z-index:2512" type="#_x0000_t202" filled="false" stroked="false">
            <v:textbox inset="0,0,0,0" style="layout-flow:vertical;mso-layout-flow-alt:bottom-to-top">
              <w:txbxContent>
                <w:p>
                  <w:pPr>
                    <w:spacing w:line="121" w:lineRule="exact" w:before="0"/>
                    <w:ind w:left="20" w:right="0" w:firstLine="0"/>
                    <w:jc w:val="left"/>
                    <w:rPr>
                      <w:rFonts w:ascii="Calibri"/>
                      <w:sz w:val="10"/>
                    </w:rPr>
                  </w:pPr>
                  <w:r>
                    <w:rPr>
                      <w:rFonts w:ascii="Calibri"/>
                      <w:spacing w:val="-1"/>
                      <w:w w:val="99"/>
                      <w:sz w:val="10"/>
                    </w:rPr>
                    <w:t>N</w:t>
                  </w:r>
                  <w:r>
                    <w:rPr>
                      <w:rFonts w:ascii="Calibri"/>
                      <w:spacing w:val="-4"/>
                      <w:w w:val="99"/>
                      <w:sz w:val="10"/>
                    </w:rPr>
                    <w:t>A</w:t>
                  </w:r>
                  <w:r>
                    <w:rPr>
                      <w:rFonts w:ascii="Calibri"/>
                      <w:w w:val="99"/>
                      <w:sz w:val="10"/>
                    </w:rPr>
                    <w:t>S</w:t>
                  </w:r>
                </w:p>
              </w:txbxContent>
            </v:textbox>
            <w10:wrap type="none"/>
          </v:shape>
        </w:pict>
      </w:r>
      <w:r>
        <w:rPr/>
        <w:pict>
          <v:shape style="position:absolute;margin-left:135.920563pt;margin-top:14.006611pt;width:7pt;height:16.850pt;mso-position-horizontal-relative:page;mso-position-vertical-relative:paragraph;z-index:2536" type="#_x0000_t202" filled="false" stroked="false">
            <v:textbox inset="0,0,0,0" style="layout-flow:vertical;mso-layout-flow-alt:bottom-to-top">
              <w:txbxContent>
                <w:p>
                  <w:pPr>
                    <w:spacing w:line="121" w:lineRule="exact" w:before="0"/>
                    <w:ind w:left="20" w:right="0" w:firstLine="0"/>
                    <w:jc w:val="left"/>
                    <w:rPr>
                      <w:rFonts w:ascii="Calibri"/>
                      <w:sz w:val="10"/>
                    </w:rPr>
                  </w:pPr>
                  <w:r>
                    <w:rPr>
                      <w:rFonts w:ascii="Calibri"/>
                      <w:spacing w:val="-2"/>
                      <w:w w:val="99"/>
                      <w:sz w:val="10"/>
                    </w:rPr>
                    <w:t>N</w:t>
                  </w:r>
                  <w:r>
                    <w:rPr>
                      <w:rFonts w:ascii="Calibri"/>
                      <w:spacing w:val="-5"/>
                      <w:w w:val="99"/>
                      <w:sz w:val="10"/>
                    </w:rPr>
                    <w:t>e</w:t>
                  </w:r>
                  <w:r>
                    <w:rPr>
                      <w:rFonts w:ascii="Calibri"/>
                      <w:spacing w:val="2"/>
                      <w:w w:val="99"/>
                      <w:sz w:val="10"/>
                    </w:rPr>
                    <w:t>t</w:t>
                  </w:r>
                  <w:r>
                    <w:rPr>
                      <w:rFonts w:ascii="Calibri"/>
                      <w:spacing w:val="-8"/>
                      <w:w w:val="99"/>
                      <w:sz w:val="10"/>
                    </w:rPr>
                    <w:t>w</w:t>
                  </w:r>
                  <w:r>
                    <w:rPr>
                      <w:rFonts w:ascii="Calibri"/>
                      <w:spacing w:val="-3"/>
                      <w:w w:val="99"/>
                      <w:sz w:val="10"/>
                    </w:rPr>
                    <w:t>a</w:t>
                  </w:r>
                  <w:r>
                    <w:rPr>
                      <w:rFonts w:ascii="Calibri"/>
                      <w:w w:val="99"/>
                      <w:sz w:val="10"/>
                    </w:rPr>
                    <w:t>y</w:t>
                  </w:r>
                </w:p>
              </w:txbxContent>
            </v:textbox>
            <w10:wrap type="none"/>
          </v:shape>
        </w:pict>
      </w:r>
      <w:r>
        <w:rPr/>
        <w:pict>
          <v:shape style="position:absolute;margin-left:147.896576pt;margin-top:13.504118pt;width:12.7pt;height:16.3pt;mso-position-horizontal-relative:page;mso-position-vertical-relative:paragraph;z-index:2560" type="#_x0000_t202" filled="false" stroked="false">
            <v:textbox inset="0,0,0,0" style="layout-flow:vertical;mso-layout-flow-alt:bottom-to-top">
              <w:txbxContent>
                <w:p>
                  <w:pPr>
                    <w:spacing w:line="117" w:lineRule="exact" w:before="0"/>
                    <w:ind w:left="20" w:right="0" w:firstLine="0"/>
                    <w:jc w:val="left"/>
                    <w:rPr>
                      <w:rFonts w:ascii="Calibri"/>
                      <w:sz w:val="10"/>
                    </w:rPr>
                  </w:pPr>
                  <w:r>
                    <w:rPr>
                      <w:rFonts w:ascii="Calibri"/>
                      <w:spacing w:val="2"/>
                      <w:w w:val="98"/>
                      <w:sz w:val="10"/>
                    </w:rPr>
                    <w:t>D</w:t>
                  </w:r>
                  <w:r>
                    <w:rPr>
                      <w:rFonts w:ascii="Calibri"/>
                      <w:spacing w:val="-8"/>
                      <w:w w:val="98"/>
                      <w:sz w:val="10"/>
                    </w:rPr>
                    <w:t>r</w:t>
                  </w:r>
                  <w:r>
                    <w:rPr>
                      <w:rFonts w:ascii="Calibri"/>
                      <w:spacing w:val="-3"/>
                      <w:w w:val="98"/>
                      <w:sz w:val="10"/>
                    </w:rPr>
                    <w:t>a</w:t>
                  </w:r>
                  <w:r>
                    <w:rPr>
                      <w:rFonts w:ascii="Calibri"/>
                      <w:spacing w:val="-2"/>
                      <w:w w:val="98"/>
                      <w:sz w:val="10"/>
                    </w:rPr>
                    <w:t>g</w:t>
                  </w:r>
                  <w:r>
                    <w:rPr>
                      <w:rFonts w:ascii="Calibri"/>
                      <w:spacing w:val="1"/>
                      <w:w w:val="98"/>
                      <w:sz w:val="10"/>
                    </w:rPr>
                    <w:t>o</w:t>
                  </w:r>
                  <w:r>
                    <w:rPr>
                      <w:rFonts w:ascii="Calibri"/>
                      <w:w w:val="98"/>
                      <w:sz w:val="10"/>
                    </w:rPr>
                    <w:t>n</w:t>
                  </w:r>
                </w:p>
                <w:p>
                  <w:pPr>
                    <w:spacing w:line="119" w:lineRule="exact" w:before="0"/>
                    <w:ind w:left="72" w:right="0" w:firstLine="0"/>
                    <w:jc w:val="left"/>
                    <w:rPr>
                      <w:rFonts w:ascii="Calibri"/>
                      <w:sz w:val="10"/>
                    </w:rPr>
                  </w:pPr>
                  <w:r>
                    <w:rPr>
                      <w:rFonts w:ascii="Calibri"/>
                      <w:w w:val="99"/>
                      <w:sz w:val="10"/>
                    </w:rPr>
                    <w:t>B</w:t>
                  </w:r>
                  <w:r>
                    <w:rPr>
                      <w:rFonts w:ascii="Calibri"/>
                      <w:spacing w:val="-8"/>
                      <w:w w:val="99"/>
                      <w:sz w:val="10"/>
                    </w:rPr>
                    <w:t>o</w:t>
                  </w:r>
                  <w:r>
                    <w:rPr>
                      <w:rFonts w:ascii="Calibri"/>
                      <w:spacing w:val="6"/>
                      <w:w w:val="99"/>
                      <w:sz w:val="10"/>
                    </w:rPr>
                    <w:t>a</w:t>
                  </w:r>
                  <w:r>
                    <w:rPr>
                      <w:rFonts w:ascii="Calibri"/>
                      <w:spacing w:val="-8"/>
                      <w:w w:val="99"/>
                      <w:sz w:val="10"/>
                    </w:rPr>
                    <w:t>r</w:t>
                  </w:r>
                  <w:r>
                    <w:rPr>
                      <w:rFonts w:ascii="Calibri"/>
                      <w:w w:val="99"/>
                      <w:sz w:val="10"/>
                    </w:rPr>
                    <w:t>d</w:t>
                  </w:r>
                </w:p>
              </w:txbxContent>
            </v:textbox>
            <w10:wrap type="none"/>
          </v:shape>
        </w:pict>
      </w:r>
      <w:r>
        <w:rPr/>
        <w:pict>
          <v:shape style="position:absolute;margin-left:166.412659pt;margin-top:13.362432pt;width:6.95pt;height:21.9pt;mso-position-horizontal-relative:page;mso-position-vertical-relative:paragraph;z-index:2584" type="#_x0000_t202" filled="false" stroked="false">
            <v:textbox inset="0,0,0,0" style="layout-flow:vertical;mso-layout-flow-alt:bottom-to-top">
              <w:txbxContent>
                <w:p>
                  <w:pPr>
                    <w:spacing w:line="121" w:lineRule="exact" w:before="0"/>
                    <w:ind w:left="20" w:right="-135" w:firstLine="0"/>
                    <w:jc w:val="left"/>
                    <w:rPr>
                      <w:rFonts w:ascii="Calibri"/>
                      <w:sz w:val="10"/>
                    </w:rPr>
                  </w:pPr>
                  <w:r>
                    <w:rPr>
                      <w:rFonts w:ascii="Calibri"/>
                      <w:w w:val="98"/>
                      <w:sz w:val="10"/>
                    </w:rPr>
                    <w:t>B</w:t>
                  </w:r>
                  <w:r>
                    <w:rPr>
                      <w:rFonts w:ascii="Calibri"/>
                      <w:spacing w:val="-8"/>
                      <w:w w:val="98"/>
                      <w:sz w:val="10"/>
                    </w:rPr>
                    <w:t>o</w:t>
                  </w:r>
                  <w:r>
                    <w:rPr>
                      <w:rFonts w:ascii="Calibri"/>
                      <w:w w:val="98"/>
                      <w:sz w:val="10"/>
                    </w:rPr>
                    <w:t>x</w:t>
                  </w:r>
                  <w:r>
                    <w:rPr>
                      <w:rFonts w:ascii="Calibri"/>
                      <w:spacing w:val="-3"/>
                      <w:sz w:val="10"/>
                    </w:rPr>
                    <w:t> </w:t>
                  </w:r>
                  <w:r>
                    <w:rPr>
                      <w:rFonts w:ascii="Calibri"/>
                      <w:spacing w:val="3"/>
                      <w:w w:val="98"/>
                      <w:sz w:val="10"/>
                    </w:rPr>
                    <w:t>L</w:t>
                  </w:r>
                  <w:r>
                    <w:rPr>
                      <w:rFonts w:ascii="Calibri"/>
                      <w:spacing w:val="-5"/>
                      <w:w w:val="98"/>
                      <w:sz w:val="10"/>
                    </w:rPr>
                    <w:t>i</w:t>
                  </w:r>
                  <w:r>
                    <w:rPr>
                      <w:rFonts w:ascii="Calibri"/>
                      <w:spacing w:val="-2"/>
                      <w:w w:val="98"/>
                      <w:sz w:val="10"/>
                    </w:rPr>
                    <w:t>g</w:t>
                  </w:r>
                  <w:r>
                    <w:rPr>
                      <w:rFonts w:ascii="Calibri"/>
                      <w:spacing w:val="1"/>
                      <w:w w:val="98"/>
                      <w:sz w:val="10"/>
                    </w:rPr>
                    <w:t>h</w:t>
                  </w:r>
                  <w:r>
                    <w:rPr>
                      <w:rFonts w:ascii="Calibri"/>
                      <w:spacing w:val="2"/>
                      <w:w w:val="98"/>
                      <w:sz w:val="10"/>
                    </w:rPr>
                    <w:t>t</w:t>
                  </w:r>
                  <w:r>
                    <w:rPr>
                      <w:rFonts w:ascii="Calibri"/>
                      <w:w w:val="98"/>
                      <w:sz w:val="10"/>
                    </w:rPr>
                    <w:t>s</w:t>
                  </w:r>
                </w:p>
              </w:txbxContent>
            </v:textbox>
            <w10:wrap type="none"/>
          </v:shape>
        </w:pict>
      </w:r>
      <w:r>
        <w:rPr>
          <w:rFonts w:ascii="Calibri"/>
          <w:sz w:val="14"/>
        </w:rPr>
        <w:t>Savari MobiWAVE</w:t>
      </w:r>
    </w:p>
    <w:p>
      <w:pPr>
        <w:pStyle w:val="BodyText"/>
        <w:rPr>
          <w:rFonts w:ascii="Calibri"/>
        </w:rPr>
      </w:pPr>
    </w:p>
    <w:p>
      <w:pPr>
        <w:pStyle w:val="BodyText"/>
        <w:rPr>
          <w:rFonts w:ascii="Calibri"/>
        </w:rPr>
      </w:pPr>
    </w:p>
    <w:p>
      <w:pPr>
        <w:pStyle w:val="BodyText"/>
        <w:spacing w:before="4"/>
        <w:rPr>
          <w:rFonts w:ascii="Calibri"/>
          <w:sz w:val="21"/>
        </w:rPr>
      </w:pPr>
    </w:p>
    <w:p>
      <w:pPr>
        <w:spacing w:before="79"/>
        <w:ind w:left="3182" w:right="0" w:firstLine="0"/>
        <w:jc w:val="left"/>
        <w:rPr>
          <w:rFonts w:ascii="Calibri"/>
          <w:sz w:val="10"/>
        </w:rPr>
      </w:pPr>
      <w:r>
        <w:rPr/>
        <w:pict>
          <v:shape style="position:absolute;margin-left:254.512238pt;margin-top:-2.332099pt;width:42.3pt;height:18.1pt;mso-position-horizontal-relative:page;mso-position-vertical-relative:paragraph;z-index:2392" type="#_x0000_t202" filled="true" fillcolor="#fdffff" stroked="false">
            <v:textbox inset="0,0,0,0">
              <w:txbxContent>
                <w:p>
                  <w:pPr>
                    <w:spacing w:before="11"/>
                    <w:ind w:left="83" w:right="76" w:firstLine="0"/>
                    <w:jc w:val="center"/>
                    <w:rPr>
                      <w:rFonts w:ascii="Calibri"/>
                      <w:sz w:val="14"/>
                    </w:rPr>
                  </w:pPr>
                  <w:r>
                    <w:rPr>
                      <w:rFonts w:ascii="Calibri"/>
                      <w:w w:val="105"/>
                      <w:sz w:val="14"/>
                    </w:rPr>
                    <w:t>QC Dragon</w:t>
                  </w:r>
                </w:p>
                <w:p>
                  <w:pPr>
                    <w:spacing w:before="0"/>
                    <w:ind w:left="80" w:right="76" w:firstLine="0"/>
                    <w:jc w:val="center"/>
                    <w:rPr>
                      <w:rFonts w:ascii="Calibri"/>
                      <w:sz w:val="14"/>
                    </w:rPr>
                  </w:pPr>
                  <w:r>
                    <w:rPr>
                      <w:rFonts w:ascii="Calibri"/>
                      <w:w w:val="105"/>
                      <w:sz w:val="14"/>
                    </w:rPr>
                    <w:t>Board</w:t>
                  </w:r>
                </w:p>
              </w:txbxContent>
            </v:textbox>
            <v:fill type="solid"/>
            <w10:wrap type="none"/>
          </v:shape>
        </w:pict>
      </w:r>
      <w:r>
        <w:rPr/>
        <w:pict>
          <v:shape style="position:absolute;margin-left:409.946747pt;margin-top:1.3311pt;width:75.5pt;height:21.55pt;mso-position-horizontal-relative:page;mso-position-vertical-relative:paragraph;z-index:2416" type="#_x0000_t202" filled="true" fillcolor="#fdffff" stroked="false">
            <v:textbox inset="0,0,0,0">
              <w:txbxContent>
                <w:p>
                  <w:pPr>
                    <w:pStyle w:val="BodyText"/>
                    <w:spacing w:before="6"/>
                    <w:rPr>
                      <w:sz w:val="11"/>
                    </w:rPr>
                  </w:pPr>
                </w:p>
                <w:p>
                  <w:pPr>
                    <w:spacing w:before="0"/>
                    <w:ind w:left="509" w:right="495" w:firstLine="0"/>
                    <w:jc w:val="center"/>
                    <w:rPr>
                      <w:rFonts w:ascii="Calibri"/>
                      <w:sz w:val="14"/>
                    </w:rPr>
                  </w:pPr>
                  <w:r>
                    <w:rPr>
                      <w:rFonts w:ascii="Calibri"/>
                      <w:w w:val="105"/>
                      <w:sz w:val="14"/>
                    </w:rPr>
                    <w:t>CCARD</w:t>
                  </w:r>
                </w:p>
              </w:txbxContent>
            </v:textbox>
            <v:fill type="solid"/>
            <w10:wrap type="none"/>
          </v:shape>
        </w:pict>
      </w:r>
      <w:r>
        <w:rPr>
          <w:rFonts w:ascii="Calibri"/>
          <w:sz w:val="10"/>
        </w:rPr>
        <w:t>To Front Cabin</w:t>
      </w:r>
    </w:p>
    <w:p>
      <w:pPr>
        <w:pStyle w:val="BodyText"/>
        <w:spacing w:before="2"/>
        <w:rPr>
          <w:rFonts w:ascii="Calibri"/>
          <w:sz w:val="12"/>
        </w:rPr>
      </w:pPr>
      <w:r>
        <w:rPr/>
        <w:pict>
          <v:shape style="position:absolute;margin-left:254.512238pt;margin-top:8.641859pt;width:42.3pt;height:18.1pt;mso-position-horizontal-relative:page;mso-position-vertical-relative:paragraph;z-index:2152;mso-wrap-distance-left:0;mso-wrap-distance-right:0" type="#_x0000_t202" filled="true" fillcolor="#fdffff" stroked="false">
            <v:textbox inset="0,0,0,0">
              <w:txbxContent>
                <w:p>
                  <w:pPr>
                    <w:spacing w:before="98"/>
                    <w:ind w:left="60" w:right="0" w:firstLine="0"/>
                    <w:jc w:val="left"/>
                    <w:rPr>
                      <w:rFonts w:ascii="Calibri"/>
                      <w:sz w:val="14"/>
                    </w:rPr>
                  </w:pPr>
                  <w:r>
                    <w:rPr>
                      <w:rFonts w:ascii="Calibri"/>
                      <w:w w:val="105"/>
                      <w:sz w:val="14"/>
                    </w:rPr>
                    <w:t>Raspberry Pi</w:t>
                  </w:r>
                </w:p>
              </w:txbxContent>
            </v:textbox>
            <v:fill type="solid"/>
            <w10:wrap type="topAndBottom"/>
          </v:shape>
        </w:pict>
      </w:r>
      <w:r>
        <w:rPr/>
        <w:pict>
          <v:shape style="position:absolute;margin-left:409.946747pt;margin-top:41.087437pt;width:75.5pt;height:21.55pt;mso-position-horizontal-relative:page;mso-position-vertical-relative:paragraph;z-index:2176;mso-wrap-distance-left:0;mso-wrap-distance-right:0" type="#_x0000_t202" filled="true" fillcolor="#fdffff" stroked="false">
            <v:textbox inset="0,0,0,0">
              <w:txbxContent>
                <w:p>
                  <w:pPr>
                    <w:pStyle w:val="BodyText"/>
                    <w:spacing w:before="11"/>
                    <w:rPr>
                      <w:rFonts w:ascii="Calibri"/>
                      <w:sz w:val="10"/>
                    </w:rPr>
                  </w:pPr>
                </w:p>
                <w:p>
                  <w:pPr>
                    <w:spacing w:before="1"/>
                    <w:ind w:left="268" w:right="0" w:firstLine="0"/>
                    <w:jc w:val="left"/>
                    <w:rPr>
                      <w:rFonts w:ascii="Calibri"/>
                      <w:sz w:val="14"/>
                    </w:rPr>
                  </w:pPr>
                  <w:r>
                    <w:rPr>
                      <w:rFonts w:ascii="Calibri"/>
                      <w:sz w:val="14"/>
                    </w:rPr>
                    <w:t>Network Storage</w:t>
                  </w:r>
                </w:p>
              </w:txbxContent>
            </v:textbox>
            <v:fill type="solid"/>
            <w10:wrap type="topAndBottom"/>
          </v:shape>
        </w:pict>
      </w:r>
    </w:p>
    <w:p>
      <w:pPr>
        <w:pStyle w:val="BodyText"/>
        <w:spacing w:before="3"/>
        <w:rPr>
          <w:rFonts w:ascii="Calibri"/>
        </w:rPr>
      </w:pPr>
    </w:p>
    <w:p>
      <w:pPr>
        <w:pStyle w:val="BodyText"/>
        <w:spacing w:before="4"/>
        <w:rPr>
          <w:rFonts w:ascii="Calibri"/>
          <w:sz w:val="6"/>
        </w:rPr>
      </w:pPr>
    </w:p>
    <w:p>
      <w:pPr>
        <w:pStyle w:val="Heading7"/>
        <w:spacing w:before="93"/>
      </w:pPr>
      <w:r>
        <w:rPr/>
        <w:t>Figure 3: Ford Fusion test vehicle trunk enclosure contents</w:t>
      </w:r>
    </w:p>
    <w:p>
      <w:pPr>
        <w:pStyle w:val="BodyText"/>
        <w:rPr>
          <w:b/>
          <w:sz w:val="22"/>
        </w:rPr>
      </w:pPr>
    </w:p>
    <w:p>
      <w:pPr>
        <w:pStyle w:val="BodyText"/>
        <w:rPr>
          <w:b/>
          <w:sz w:val="22"/>
        </w:rPr>
      </w:pPr>
    </w:p>
    <w:p>
      <w:pPr>
        <w:pStyle w:val="BodyText"/>
        <w:spacing w:before="147"/>
        <w:ind w:left="1133"/>
      </w:pPr>
      <w:r>
        <w:rPr/>
        <w:t>The vehicles used in testing are six 2017 Ford Fusion sedans outfitted with identical equipment.</w:t>
      </w:r>
    </w:p>
    <w:p>
      <w:pPr>
        <w:pStyle w:val="ListParagraph"/>
        <w:numPr>
          <w:ilvl w:val="0"/>
          <w:numId w:val="18"/>
        </w:numPr>
        <w:tabs>
          <w:tab w:pos="1701" w:val="left" w:leader="none"/>
          <w:tab w:pos="1702" w:val="left" w:leader="none"/>
        </w:tabs>
        <w:spacing w:line="240" w:lineRule="auto" w:before="180" w:after="0"/>
        <w:ind w:left="1702" w:right="0" w:hanging="286"/>
        <w:jc w:val="left"/>
        <w:rPr>
          <w:sz w:val="20"/>
        </w:rPr>
      </w:pPr>
      <w:r>
        <w:rPr>
          <w:sz w:val="20"/>
        </w:rPr>
        <w:t>The trunk enclosure is made of 80/20 aluminum rail and is secured to the trunk</w:t>
      </w:r>
      <w:r>
        <w:rPr>
          <w:spacing w:val="-21"/>
          <w:sz w:val="20"/>
        </w:rPr>
        <w:t> </w:t>
      </w:r>
      <w:r>
        <w:rPr>
          <w:sz w:val="20"/>
        </w:rPr>
        <w:t>floor.</w:t>
      </w:r>
    </w:p>
    <w:p>
      <w:pPr>
        <w:pStyle w:val="ListParagraph"/>
        <w:numPr>
          <w:ilvl w:val="0"/>
          <w:numId w:val="18"/>
        </w:numPr>
        <w:tabs>
          <w:tab w:pos="1702" w:val="left" w:leader="none"/>
        </w:tabs>
        <w:spacing w:line="240" w:lineRule="auto" w:before="180" w:after="0"/>
        <w:ind w:left="1702" w:right="1128" w:hanging="286"/>
        <w:jc w:val="both"/>
        <w:rPr>
          <w:sz w:val="20"/>
        </w:rPr>
      </w:pPr>
      <w:r>
        <w:rPr>
          <w:sz w:val="20"/>
        </w:rPr>
        <w:t>The enclosure is secured enough so vibration and movement outside of normal road disturbances do not influence the</w:t>
      </w:r>
      <w:r>
        <w:rPr>
          <w:spacing w:val="-9"/>
          <w:sz w:val="20"/>
        </w:rPr>
        <w:t> </w:t>
      </w:r>
      <w:r>
        <w:rPr>
          <w:sz w:val="20"/>
        </w:rPr>
        <w:t>components.</w:t>
      </w:r>
    </w:p>
    <w:p>
      <w:pPr>
        <w:pStyle w:val="ListParagraph"/>
        <w:numPr>
          <w:ilvl w:val="0"/>
          <w:numId w:val="18"/>
        </w:numPr>
        <w:tabs>
          <w:tab w:pos="1702" w:val="left" w:leader="none"/>
        </w:tabs>
        <w:spacing w:line="240" w:lineRule="auto" w:before="178" w:after="0"/>
        <w:ind w:left="1702" w:right="1129" w:hanging="286"/>
        <w:jc w:val="both"/>
        <w:rPr>
          <w:sz w:val="20"/>
        </w:rPr>
      </w:pPr>
      <w:r>
        <w:rPr>
          <w:sz w:val="20"/>
        </w:rPr>
        <w:t>Each vehicle is outfitted with a magnet-mounted antenna with connections for 5.9 GHz (x2), Cellular, and GPS. The antenna is a MobileMark ECOM6 (manufacturer part number: ECOM6-5900-3C-BLK- 120).</w:t>
      </w:r>
    </w:p>
    <w:p>
      <w:pPr>
        <w:pStyle w:val="ListParagraph"/>
        <w:numPr>
          <w:ilvl w:val="1"/>
          <w:numId w:val="18"/>
        </w:numPr>
        <w:tabs>
          <w:tab w:pos="1985" w:val="left" w:leader="none"/>
          <w:tab w:pos="1986" w:val="left" w:leader="none"/>
        </w:tabs>
        <w:spacing w:line="240" w:lineRule="auto" w:before="180" w:after="0"/>
        <w:ind w:left="1985" w:right="0" w:hanging="286"/>
        <w:jc w:val="left"/>
        <w:rPr>
          <w:sz w:val="20"/>
        </w:rPr>
      </w:pPr>
      <w:r>
        <w:rPr>
          <w:sz w:val="20"/>
        </w:rPr>
        <w:t>Each</w:t>
      </w:r>
      <w:r>
        <w:rPr>
          <w:spacing w:val="-6"/>
          <w:sz w:val="20"/>
        </w:rPr>
        <w:t> </w:t>
      </w:r>
      <w:r>
        <w:rPr>
          <w:sz w:val="20"/>
        </w:rPr>
        <w:t>antenna</w:t>
      </w:r>
      <w:r>
        <w:rPr>
          <w:spacing w:val="-6"/>
          <w:sz w:val="20"/>
        </w:rPr>
        <w:t> </w:t>
      </w:r>
      <w:r>
        <w:rPr>
          <w:sz w:val="20"/>
        </w:rPr>
        <w:t>is</w:t>
      </w:r>
      <w:r>
        <w:rPr>
          <w:spacing w:val="-3"/>
          <w:sz w:val="20"/>
        </w:rPr>
        <w:t> </w:t>
      </w:r>
      <w:r>
        <w:rPr>
          <w:sz w:val="20"/>
        </w:rPr>
        <w:t>placed</w:t>
      </w:r>
      <w:r>
        <w:rPr>
          <w:spacing w:val="-3"/>
          <w:sz w:val="20"/>
        </w:rPr>
        <w:t> </w:t>
      </w:r>
      <w:r>
        <w:rPr>
          <w:sz w:val="20"/>
        </w:rPr>
        <w:t>on</w:t>
      </w:r>
      <w:r>
        <w:rPr>
          <w:spacing w:val="-6"/>
          <w:sz w:val="20"/>
        </w:rPr>
        <w:t> </w:t>
      </w:r>
      <w:r>
        <w:rPr>
          <w:sz w:val="20"/>
        </w:rPr>
        <w:t>the</w:t>
      </w:r>
      <w:r>
        <w:rPr>
          <w:spacing w:val="-6"/>
          <w:sz w:val="20"/>
        </w:rPr>
        <w:t> </w:t>
      </w:r>
      <w:r>
        <w:rPr>
          <w:sz w:val="20"/>
        </w:rPr>
        <w:t>apex</w:t>
      </w:r>
      <w:r>
        <w:rPr>
          <w:spacing w:val="-5"/>
          <w:sz w:val="20"/>
        </w:rPr>
        <w:t> </w:t>
      </w:r>
      <w:r>
        <w:rPr>
          <w:sz w:val="20"/>
        </w:rPr>
        <w:t>of</w:t>
      </w:r>
      <w:r>
        <w:rPr>
          <w:spacing w:val="-4"/>
          <w:sz w:val="20"/>
        </w:rPr>
        <w:t> </w:t>
      </w:r>
      <w:r>
        <w:rPr>
          <w:sz w:val="20"/>
        </w:rPr>
        <w:t>the</w:t>
      </w:r>
      <w:r>
        <w:rPr>
          <w:spacing w:val="-6"/>
          <w:sz w:val="20"/>
        </w:rPr>
        <w:t> </w:t>
      </w:r>
      <w:r>
        <w:rPr>
          <w:sz w:val="20"/>
        </w:rPr>
        <w:t>vehicle</w:t>
      </w:r>
      <w:r>
        <w:rPr>
          <w:spacing w:val="-6"/>
          <w:sz w:val="20"/>
        </w:rPr>
        <w:t> </w:t>
      </w:r>
      <w:r>
        <w:rPr>
          <w:sz w:val="20"/>
        </w:rPr>
        <w:t>roof</w:t>
      </w:r>
      <w:r>
        <w:rPr>
          <w:spacing w:val="-3"/>
          <w:sz w:val="20"/>
        </w:rPr>
        <w:t> </w:t>
      </w:r>
      <w:r>
        <w:rPr>
          <w:sz w:val="20"/>
        </w:rPr>
        <w:t>and</w:t>
      </w:r>
      <w:r>
        <w:rPr>
          <w:spacing w:val="-6"/>
          <w:sz w:val="20"/>
        </w:rPr>
        <w:t> </w:t>
      </w:r>
      <w:r>
        <w:rPr>
          <w:sz w:val="20"/>
        </w:rPr>
        <w:t>aligned</w:t>
      </w:r>
      <w:r>
        <w:rPr>
          <w:spacing w:val="-6"/>
          <w:sz w:val="20"/>
        </w:rPr>
        <w:t> </w:t>
      </w:r>
      <w:r>
        <w:rPr>
          <w:sz w:val="20"/>
        </w:rPr>
        <w:t>24”</w:t>
      </w:r>
      <w:r>
        <w:rPr>
          <w:spacing w:val="-5"/>
          <w:sz w:val="20"/>
        </w:rPr>
        <w:t> </w:t>
      </w:r>
      <w:r>
        <w:rPr>
          <w:sz w:val="20"/>
        </w:rPr>
        <w:t>from</w:t>
      </w:r>
      <w:r>
        <w:rPr>
          <w:spacing w:val="-1"/>
          <w:sz w:val="20"/>
        </w:rPr>
        <w:t> </w:t>
      </w:r>
      <w:r>
        <w:rPr>
          <w:sz w:val="20"/>
        </w:rPr>
        <w:t>the</w:t>
      </w:r>
      <w:r>
        <w:rPr>
          <w:spacing w:val="-6"/>
          <w:sz w:val="20"/>
        </w:rPr>
        <w:t> </w:t>
      </w:r>
      <w:r>
        <w:rPr>
          <w:sz w:val="20"/>
        </w:rPr>
        <w:t>center</w:t>
      </w:r>
      <w:r>
        <w:rPr>
          <w:spacing w:val="-5"/>
          <w:sz w:val="20"/>
        </w:rPr>
        <w:t> </w:t>
      </w:r>
      <w:r>
        <w:rPr>
          <w:sz w:val="20"/>
        </w:rPr>
        <w:t>of</w:t>
      </w:r>
      <w:r>
        <w:rPr>
          <w:spacing w:val="-4"/>
          <w:sz w:val="20"/>
        </w:rPr>
        <w:t> </w:t>
      </w:r>
      <w:r>
        <w:rPr>
          <w:sz w:val="20"/>
        </w:rPr>
        <w:t>the</w:t>
      </w:r>
      <w:r>
        <w:rPr>
          <w:spacing w:val="-6"/>
          <w:sz w:val="20"/>
        </w:rPr>
        <w:t> </w:t>
      </w:r>
      <w:r>
        <w:rPr>
          <w:sz w:val="20"/>
        </w:rPr>
        <w:t>dipole.</w:t>
      </w:r>
    </w:p>
    <w:p>
      <w:pPr>
        <w:pStyle w:val="ListParagraph"/>
        <w:numPr>
          <w:ilvl w:val="1"/>
          <w:numId w:val="18"/>
        </w:numPr>
        <w:tabs>
          <w:tab w:pos="1985" w:val="left" w:leader="none"/>
          <w:tab w:pos="1986" w:val="left" w:leader="none"/>
        </w:tabs>
        <w:spacing w:line="240" w:lineRule="auto" w:before="180" w:after="0"/>
        <w:ind w:left="1985" w:right="0" w:hanging="286"/>
        <w:jc w:val="left"/>
        <w:rPr>
          <w:sz w:val="20"/>
        </w:rPr>
      </w:pPr>
      <w:r>
        <w:rPr>
          <w:sz w:val="20"/>
        </w:rPr>
        <w:t>The river-side antenna cable is clocked at 225</w:t>
      </w:r>
      <w:r>
        <w:rPr>
          <w:spacing w:val="-15"/>
          <w:sz w:val="20"/>
        </w:rPr>
        <w:t> </w:t>
      </w:r>
      <w:r>
        <w:rPr>
          <w:sz w:val="20"/>
        </w:rPr>
        <w:t>degrees.</w:t>
      </w:r>
    </w:p>
    <w:p>
      <w:pPr>
        <w:pStyle w:val="ListParagraph"/>
        <w:numPr>
          <w:ilvl w:val="1"/>
          <w:numId w:val="18"/>
        </w:numPr>
        <w:tabs>
          <w:tab w:pos="1986" w:val="left" w:leader="none"/>
        </w:tabs>
        <w:spacing w:line="240" w:lineRule="auto" w:before="180" w:after="0"/>
        <w:ind w:left="1985" w:right="1130" w:hanging="286"/>
        <w:jc w:val="both"/>
        <w:rPr>
          <w:sz w:val="20"/>
        </w:rPr>
      </w:pPr>
      <w:r>
        <w:rPr>
          <w:sz w:val="20"/>
        </w:rPr>
        <w:t>Two low-loss, 8--foot LMR240 cables are connected to the 5.9-GHz antenna connectors and</w:t>
      </w:r>
      <w:r>
        <w:rPr>
          <w:spacing w:val="-30"/>
          <w:sz w:val="20"/>
        </w:rPr>
        <w:t> </w:t>
      </w:r>
      <w:r>
        <w:rPr>
          <w:sz w:val="20"/>
        </w:rPr>
        <w:t>routed through to the trunk. These and the GPS antenna connections are made to the appropriate device under</w:t>
      </w:r>
      <w:r>
        <w:rPr>
          <w:spacing w:val="-7"/>
          <w:sz w:val="20"/>
        </w:rPr>
        <w:t> </w:t>
      </w:r>
      <w:r>
        <w:rPr>
          <w:sz w:val="20"/>
        </w:rPr>
        <w:t>test.</w:t>
      </w:r>
      <w:r>
        <w:rPr>
          <w:spacing w:val="-8"/>
          <w:sz w:val="20"/>
        </w:rPr>
        <w:t> </w:t>
      </w:r>
      <w:r>
        <w:rPr>
          <w:sz w:val="20"/>
        </w:rPr>
        <w:t>Due</w:t>
      </w:r>
      <w:r>
        <w:rPr>
          <w:spacing w:val="-8"/>
          <w:sz w:val="20"/>
        </w:rPr>
        <w:t> </w:t>
      </w:r>
      <w:r>
        <w:rPr>
          <w:sz w:val="20"/>
        </w:rPr>
        <w:t>to</w:t>
      </w:r>
      <w:r>
        <w:rPr>
          <w:spacing w:val="-8"/>
          <w:sz w:val="20"/>
        </w:rPr>
        <w:t> </w:t>
      </w:r>
      <w:r>
        <w:rPr>
          <w:sz w:val="20"/>
        </w:rPr>
        <w:t>space</w:t>
      </w:r>
      <w:r>
        <w:rPr>
          <w:spacing w:val="-6"/>
          <w:sz w:val="20"/>
        </w:rPr>
        <w:t> </w:t>
      </w:r>
      <w:r>
        <w:rPr>
          <w:sz w:val="20"/>
        </w:rPr>
        <w:t>limitations</w:t>
      </w:r>
      <w:r>
        <w:rPr>
          <w:spacing w:val="-7"/>
          <w:sz w:val="20"/>
        </w:rPr>
        <w:t> </w:t>
      </w:r>
      <w:r>
        <w:rPr>
          <w:sz w:val="20"/>
        </w:rPr>
        <w:t>in</w:t>
      </w:r>
      <w:r>
        <w:rPr>
          <w:spacing w:val="-8"/>
          <w:sz w:val="20"/>
        </w:rPr>
        <w:t> </w:t>
      </w:r>
      <w:r>
        <w:rPr>
          <w:sz w:val="20"/>
        </w:rPr>
        <w:t>Figure</w:t>
      </w:r>
      <w:r>
        <w:rPr>
          <w:spacing w:val="-8"/>
          <w:sz w:val="20"/>
        </w:rPr>
        <w:t> </w:t>
      </w:r>
      <w:r>
        <w:rPr>
          <w:sz w:val="20"/>
        </w:rPr>
        <w:t>3</w:t>
      </w:r>
      <w:r>
        <w:rPr>
          <w:spacing w:val="-8"/>
          <w:sz w:val="20"/>
        </w:rPr>
        <w:t> </w:t>
      </w:r>
      <w:r>
        <w:rPr>
          <w:sz w:val="20"/>
        </w:rPr>
        <w:t>only</w:t>
      </w:r>
      <w:r>
        <w:rPr>
          <w:spacing w:val="-11"/>
          <w:sz w:val="20"/>
        </w:rPr>
        <w:t> </w:t>
      </w:r>
      <w:r>
        <w:rPr>
          <w:sz w:val="20"/>
        </w:rPr>
        <w:t>DSRC</w:t>
      </w:r>
      <w:r>
        <w:rPr>
          <w:spacing w:val="-7"/>
          <w:sz w:val="20"/>
        </w:rPr>
        <w:t> </w:t>
      </w:r>
      <w:r>
        <w:rPr>
          <w:sz w:val="20"/>
        </w:rPr>
        <w:t>primary</w:t>
      </w:r>
      <w:r>
        <w:rPr>
          <w:spacing w:val="-11"/>
          <w:sz w:val="20"/>
        </w:rPr>
        <w:t> </w:t>
      </w:r>
      <w:r>
        <w:rPr>
          <w:sz w:val="20"/>
        </w:rPr>
        <w:t>and</w:t>
      </w:r>
      <w:r>
        <w:rPr>
          <w:spacing w:val="-8"/>
          <w:sz w:val="20"/>
        </w:rPr>
        <w:t> </w:t>
      </w:r>
      <w:r>
        <w:rPr>
          <w:sz w:val="20"/>
        </w:rPr>
        <w:t>secondary</w:t>
      </w:r>
      <w:r>
        <w:rPr>
          <w:spacing w:val="-9"/>
          <w:sz w:val="20"/>
        </w:rPr>
        <w:t> </w:t>
      </w:r>
      <w:r>
        <w:rPr>
          <w:sz w:val="20"/>
        </w:rPr>
        <w:t>antenna</w:t>
      </w:r>
      <w:r>
        <w:rPr>
          <w:spacing w:val="-8"/>
          <w:sz w:val="20"/>
        </w:rPr>
        <w:t> </w:t>
      </w:r>
      <w:r>
        <w:rPr>
          <w:sz w:val="20"/>
        </w:rPr>
        <w:t>ports</w:t>
      </w:r>
      <w:r>
        <w:rPr>
          <w:spacing w:val="-7"/>
          <w:sz w:val="20"/>
        </w:rPr>
        <w:t> </w:t>
      </w:r>
      <w:r>
        <w:rPr>
          <w:sz w:val="20"/>
        </w:rPr>
        <w:t>are shown</w:t>
      </w:r>
      <w:r>
        <w:rPr>
          <w:spacing w:val="-13"/>
          <w:sz w:val="20"/>
        </w:rPr>
        <w:t> </w:t>
      </w:r>
      <w:r>
        <w:rPr>
          <w:sz w:val="20"/>
        </w:rPr>
        <w:t>connected</w:t>
      </w:r>
      <w:r>
        <w:rPr>
          <w:spacing w:val="-11"/>
          <w:sz w:val="20"/>
        </w:rPr>
        <w:t> </w:t>
      </w:r>
      <w:r>
        <w:rPr>
          <w:sz w:val="20"/>
        </w:rPr>
        <w:t>to</w:t>
      </w:r>
      <w:r>
        <w:rPr>
          <w:spacing w:val="-13"/>
          <w:sz w:val="20"/>
        </w:rPr>
        <w:t> </w:t>
      </w:r>
      <w:r>
        <w:rPr>
          <w:sz w:val="20"/>
        </w:rPr>
        <w:t>the</w:t>
      </w:r>
      <w:r>
        <w:rPr>
          <w:spacing w:val="-13"/>
          <w:sz w:val="20"/>
        </w:rPr>
        <w:t> </w:t>
      </w:r>
      <w:r>
        <w:rPr>
          <w:sz w:val="20"/>
        </w:rPr>
        <w:t>antennas.</w:t>
      </w:r>
      <w:r>
        <w:rPr>
          <w:spacing w:val="-10"/>
          <w:sz w:val="20"/>
        </w:rPr>
        <w:t> </w:t>
      </w:r>
      <w:r>
        <w:rPr>
          <w:sz w:val="20"/>
        </w:rPr>
        <w:t>Both</w:t>
      </w:r>
      <w:r>
        <w:rPr>
          <w:spacing w:val="-9"/>
          <w:sz w:val="20"/>
        </w:rPr>
        <w:t> </w:t>
      </w:r>
      <w:r>
        <w:rPr>
          <w:sz w:val="20"/>
        </w:rPr>
        <w:t>OBUs</w:t>
      </w:r>
      <w:r>
        <w:rPr>
          <w:spacing w:val="-11"/>
          <w:sz w:val="20"/>
        </w:rPr>
        <w:t> </w:t>
      </w:r>
      <w:r>
        <w:rPr>
          <w:sz w:val="20"/>
        </w:rPr>
        <w:t>use</w:t>
      </w:r>
      <w:r>
        <w:rPr>
          <w:spacing w:val="-13"/>
          <w:sz w:val="20"/>
        </w:rPr>
        <w:t> </w:t>
      </w:r>
      <w:r>
        <w:rPr>
          <w:sz w:val="20"/>
        </w:rPr>
        <w:t>the</w:t>
      </w:r>
      <w:r>
        <w:rPr>
          <w:spacing w:val="-11"/>
          <w:sz w:val="20"/>
        </w:rPr>
        <w:t> </w:t>
      </w:r>
      <w:r>
        <w:rPr>
          <w:sz w:val="20"/>
        </w:rPr>
        <w:t>same</w:t>
      </w:r>
      <w:r>
        <w:rPr>
          <w:spacing w:val="-13"/>
          <w:sz w:val="20"/>
        </w:rPr>
        <w:t> </w:t>
      </w:r>
      <w:r>
        <w:rPr>
          <w:sz w:val="20"/>
        </w:rPr>
        <w:t>antennas</w:t>
      </w:r>
      <w:r>
        <w:rPr>
          <w:spacing w:val="-11"/>
          <w:sz w:val="20"/>
        </w:rPr>
        <w:t> </w:t>
      </w:r>
      <w:r>
        <w:rPr>
          <w:sz w:val="20"/>
        </w:rPr>
        <w:t>and</w:t>
      </w:r>
      <w:r>
        <w:rPr>
          <w:spacing w:val="-13"/>
          <w:sz w:val="20"/>
        </w:rPr>
        <w:t> </w:t>
      </w:r>
      <w:r>
        <w:rPr>
          <w:sz w:val="20"/>
        </w:rPr>
        <w:t>cables,</w:t>
      </w:r>
      <w:r>
        <w:rPr>
          <w:spacing w:val="-10"/>
          <w:sz w:val="20"/>
        </w:rPr>
        <w:t> </w:t>
      </w:r>
      <w:r>
        <w:rPr>
          <w:sz w:val="20"/>
        </w:rPr>
        <w:t>but</w:t>
      </w:r>
      <w:r>
        <w:rPr>
          <w:spacing w:val="-13"/>
          <w:sz w:val="20"/>
        </w:rPr>
        <w:t> </w:t>
      </w:r>
      <w:r>
        <w:rPr>
          <w:sz w:val="20"/>
        </w:rPr>
        <w:t>only</w:t>
      </w:r>
      <w:r>
        <w:rPr>
          <w:spacing w:val="-16"/>
          <w:sz w:val="20"/>
        </w:rPr>
        <w:t> </w:t>
      </w:r>
      <w:r>
        <w:rPr>
          <w:sz w:val="20"/>
        </w:rPr>
        <w:t>one</w:t>
      </w:r>
      <w:r>
        <w:rPr>
          <w:spacing w:val="-13"/>
          <w:sz w:val="20"/>
        </w:rPr>
        <w:t> </w:t>
      </w:r>
      <w:r>
        <w:rPr>
          <w:sz w:val="20"/>
        </w:rPr>
        <w:t>OBU is connected to the antennas at any</w:t>
      </w:r>
      <w:r>
        <w:rPr>
          <w:spacing w:val="-13"/>
          <w:sz w:val="20"/>
        </w:rPr>
        <w:t> </w:t>
      </w:r>
      <w:r>
        <w:rPr>
          <w:sz w:val="20"/>
        </w:rPr>
        <w:t>time.</w:t>
      </w:r>
    </w:p>
    <w:p>
      <w:pPr>
        <w:spacing w:after="0" w:line="240" w:lineRule="auto"/>
        <w:jc w:val="both"/>
        <w:rPr>
          <w:sz w:val="20"/>
        </w:rPr>
        <w:sectPr>
          <w:type w:val="continuous"/>
          <w:pgSz w:w="11910" w:h="16850"/>
          <w:pgMar w:top="1360" w:bottom="280" w:left="0" w:right="0"/>
        </w:sectPr>
      </w:pPr>
    </w:p>
    <w:p>
      <w:pPr>
        <w:pStyle w:val="BodyText"/>
      </w:pPr>
    </w:p>
    <w:p>
      <w:pPr>
        <w:pStyle w:val="BodyText"/>
      </w:pPr>
    </w:p>
    <w:p>
      <w:pPr>
        <w:pStyle w:val="BodyText"/>
        <w:spacing w:before="11"/>
        <w:rPr>
          <w:sz w:val="18"/>
        </w:rPr>
      </w:pPr>
    </w:p>
    <w:p>
      <w:pPr>
        <w:pStyle w:val="ListParagraph"/>
        <w:numPr>
          <w:ilvl w:val="1"/>
          <w:numId w:val="18"/>
        </w:numPr>
        <w:tabs>
          <w:tab w:pos="1986" w:val="left" w:leader="none"/>
        </w:tabs>
        <w:spacing w:line="240" w:lineRule="auto" w:before="92" w:after="0"/>
        <w:ind w:left="1985" w:right="1129" w:hanging="286"/>
        <w:jc w:val="both"/>
        <w:rPr>
          <w:sz w:val="20"/>
        </w:rPr>
      </w:pPr>
      <w:r>
        <w:rPr>
          <w:sz w:val="20"/>
        </w:rPr>
        <w:t>Each</w:t>
      </w:r>
      <w:r>
        <w:rPr>
          <w:spacing w:val="-7"/>
          <w:sz w:val="20"/>
        </w:rPr>
        <w:t> </w:t>
      </w:r>
      <w:r>
        <w:rPr>
          <w:sz w:val="20"/>
        </w:rPr>
        <w:t>of</w:t>
      </w:r>
      <w:r>
        <w:rPr>
          <w:spacing w:val="-7"/>
          <w:sz w:val="20"/>
        </w:rPr>
        <w:t> </w:t>
      </w:r>
      <w:r>
        <w:rPr>
          <w:sz w:val="20"/>
        </w:rPr>
        <w:t>the</w:t>
      </w:r>
      <w:r>
        <w:rPr>
          <w:spacing w:val="-7"/>
          <w:sz w:val="20"/>
        </w:rPr>
        <w:t> </w:t>
      </w:r>
      <w:r>
        <w:rPr>
          <w:sz w:val="20"/>
        </w:rPr>
        <w:t>vehicle</w:t>
      </w:r>
      <w:r>
        <w:rPr>
          <w:spacing w:val="-9"/>
          <w:sz w:val="20"/>
        </w:rPr>
        <w:t> </w:t>
      </w:r>
      <w:r>
        <w:rPr>
          <w:sz w:val="20"/>
        </w:rPr>
        <w:t>CAN</w:t>
      </w:r>
      <w:r>
        <w:rPr>
          <w:spacing w:val="-7"/>
          <w:sz w:val="20"/>
        </w:rPr>
        <w:t> </w:t>
      </w:r>
      <w:r>
        <w:rPr>
          <w:sz w:val="20"/>
        </w:rPr>
        <w:t>buses</w:t>
      </w:r>
      <w:r>
        <w:rPr>
          <w:spacing w:val="-8"/>
          <w:sz w:val="20"/>
        </w:rPr>
        <w:t> </w:t>
      </w:r>
      <w:r>
        <w:rPr>
          <w:sz w:val="20"/>
        </w:rPr>
        <w:t>is</w:t>
      </w:r>
      <w:r>
        <w:rPr>
          <w:spacing w:val="-8"/>
          <w:sz w:val="20"/>
        </w:rPr>
        <w:t> </w:t>
      </w:r>
      <w:r>
        <w:rPr>
          <w:sz w:val="20"/>
        </w:rPr>
        <w:t>routed</w:t>
      </w:r>
      <w:r>
        <w:rPr>
          <w:spacing w:val="-7"/>
          <w:sz w:val="20"/>
        </w:rPr>
        <w:t> </w:t>
      </w:r>
      <w:r>
        <w:rPr>
          <w:sz w:val="20"/>
        </w:rPr>
        <w:t>through</w:t>
      </w:r>
      <w:r>
        <w:rPr>
          <w:spacing w:val="-9"/>
          <w:sz w:val="20"/>
        </w:rPr>
        <w:t> </w:t>
      </w:r>
      <w:r>
        <w:rPr>
          <w:sz w:val="20"/>
        </w:rPr>
        <w:t>the</w:t>
      </w:r>
      <w:r>
        <w:rPr>
          <w:spacing w:val="-8"/>
          <w:sz w:val="20"/>
        </w:rPr>
        <w:t> </w:t>
      </w:r>
      <w:r>
        <w:rPr>
          <w:sz w:val="20"/>
        </w:rPr>
        <w:t>Netway</w:t>
      </w:r>
      <w:r>
        <w:rPr>
          <w:spacing w:val="-13"/>
          <w:sz w:val="20"/>
        </w:rPr>
        <w:t> </w:t>
      </w:r>
      <w:r>
        <w:rPr>
          <w:sz w:val="20"/>
        </w:rPr>
        <w:t>module</w:t>
      </w:r>
      <w:r>
        <w:rPr>
          <w:spacing w:val="-7"/>
          <w:sz w:val="20"/>
        </w:rPr>
        <w:t> </w:t>
      </w:r>
      <w:r>
        <w:rPr>
          <w:sz w:val="20"/>
        </w:rPr>
        <w:t>into</w:t>
      </w:r>
      <w:r>
        <w:rPr>
          <w:spacing w:val="-7"/>
          <w:sz w:val="20"/>
        </w:rPr>
        <w:t> </w:t>
      </w:r>
      <w:r>
        <w:rPr>
          <w:sz w:val="20"/>
        </w:rPr>
        <w:t>each</w:t>
      </w:r>
      <w:r>
        <w:rPr>
          <w:spacing w:val="-7"/>
          <w:sz w:val="20"/>
        </w:rPr>
        <w:t> </w:t>
      </w:r>
      <w:r>
        <w:rPr>
          <w:sz w:val="20"/>
        </w:rPr>
        <w:t>of</w:t>
      </w:r>
      <w:r>
        <w:rPr>
          <w:spacing w:val="-7"/>
          <w:sz w:val="20"/>
        </w:rPr>
        <w:t> </w:t>
      </w:r>
      <w:r>
        <w:rPr>
          <w:sz w:val="20"/>
        </w:rPr>
        <w:t>the</w:t>
      </w:r>
      <w:r>
        <w:rPr>
          <w:spacing w:val="-7"/>
          <w:sz w:val="20"/>
        </w:rPr>
        <w:t> </w:t>
      </w:r>
      <w:r>
        <w:rPr>
          <w:sz w:val="20"/>
        </w:rPr>
        <w:t>on-board</w:t>
      </w:r>
      <w:r>
        <w:rPr>
          <w:spacing w:val="-7"/>
          <w:sz w:val="20"/>
        </w:rPr>
        <w:t> </w:t>
      </w:r>
      <w:r>
        <w:rPr>
          <w:sz w:val="20"/>
        </w:rPr>
        <w:t>units. The Netway module translates the required Ford-specific CAN signals coming from the vehicle into the 6XX message set standard defined by</w:t>
      </w:r>
      <w:r>
        <w:rPr>
          <w:spacing w:val="-15"/>
          <w:sz w:val="20"/>
        </w:rPr>
        <w:t> </w:t>
      </w:r>
      <w:r>
        <w:rPr>
          <w:sz w:val="20"/>
        </w:rPr>
        <w:t>CAMP.</w:t>
      </w:r>
    </w:p>
    <w:p>
      <w:pPr>
        <w:pStyle w:val="ListParagraph"/>
        <w:numPr>
          <w:ilvl w:val="1"/>
          <w:numId w:val="18"/>
        </w:numPr>
        <w:tabs>
          <w:tab w:pos="1986" w:val="left" w:leader="none"/>
        </w:tabs>
        <w:spacing w:line="240" w:lineRule="auto" w:before="179" w:after="0"/>
        <w:ind w:left="1985" w:right="1136" w:hanging="286"/>
        <w:jc w:val="both"/>
        <w:rPr>
          <w:sz w:val="20"/>
        </w:rPr>
      </w:pPr>
      <w:r>
        <w:rPr>
          <w:sz w:val="20"/>
        </w:rPr>
        <w:t>The custom power distribution panel interfaces with the vehicle battery and ACC signal to manage power to the components. The panel keeps power to the system once the ACC signal is pulled and initiates proper shutdown sequences for the connected</w:t>
      </w:r>
      <w:r>
        <w:rPr>
          <w:spacing w:val="-22"/>
          <w:sz w:val="20"/>
        </w:rPr>
        <w:t> </w:t>
      </w:r>
      <w:r>
        <w:rPr>
          <w:sz w:val="20"/>
        </w:rPr>
        <w:t>components.</w:t>
      </w:r>
    </w:p>
    <w:p>
      <w:pPr>
        <w:pStyle w:val="ListParagraph"/>
        <w:numPr>
          <w:ilvl w:val="1"/>
          <w:numId w:val="18"/>
        </w:numPr>
        <w:tabs>
          <w:tab w:pos="1986" w:val="left" w:leader="none"/>
        </w:tabs>
        <w:spacing w:line="240" w:lineRule="auto" w:before="179" w:after="0"/>
        <w:ind w:left="1985" w:right="1134" w:hanging="286"/>
        <w:jc w:val="both"/>
        <w:rPr>
          <w:sz w:val="20"/>
        </w:rPr>
      </w:pPr>
      <w:r>
        <w:rPr>
          <w:sz w:val="20"/>
        </w:rPr>
        <w:t>Additional, optional components include a Qualcomm</w:t>
      </w:r>
      <w:r>
        <w:rPr>
          <w:position w:val="6"/>
          <w:sz w:val="13"/>
        </w:rPr>
        <w:t>® </w:t>
      </w:r>
      <w:r>
        <w:rPr>
          <w:sz w:val="20"/>
        </w:rPr>
        <w:t>DragonBoard, a Raspberry PI, Network Storage, and a Cradlepoint. The Cradlepoint provides internet access to the components that can use it, such as the DragonBoard or Raspberry PI. The Cradlepoint was not used during the comparison tests and was either powered off or removed from the instrumentation bay. The Raspberry PI works in conjunction with the Network Storage unit for data</w:t>
      </w:r>
      <w:r>
        <w:rPr>
          <w:spacing w:val="-16"/>
          <w:sz w:val="20"/>
        </w:rPr>
        <w:t> </w:t>
      </w:r>
      <w:r>
        <w:rPr>
          <w:sz w:val="20"/>
        </w:rPr>
        <w:t>transfer.</w:t>
      </w:r>
    </w:p>
    <w:p>
      <w:pPr>
        <w:pStyle w:val="ListParagraph"/>
        <w:numPr>
          <w:ilvl w:val="1"/>
          <w:numId w:val="18"/>
        </w:numPr>
        <w:tabs>
          <w:tab w:pos="1986" w:val="left" w:leader="none"/>
        </w:tabs>
        <w:spacing w:line="240" w:lineRule="auto" w:before="180" w:after="0"/>
        <w:ind w:left="1985" w:right="1138" w:hanging="286"/>
        <w:jc w:val="both"/>
        <w:rPr>
          <w:sz w:val="20"/>
        </w:rPr>
      </w:pPr>
      <w:r>
        <w:rPr>
          <w:sz w:val="20"/>
        </w:rPr>
        <w:t>Ethernet cables are routed throughout the vehicle from the trunk using the network switch to give operators</w:t>
      </w:r>
      <w:r>
        <w:rPr>
          <w:spacing w:val="-13"/>
          <w:sz w:val="20"/>
        </w:rPr>
        <w:t> </w:t>
      </w:r>
      <w:r>
        <w:rPr>
          <w:sz w:val="20"/>
        </w:rPr>
        <w:t>access</w:t>
      </w:r>
      <w:r>
        <w:rPr>
          <w:spacing w:val="-14"/>
          <w:sz w:val="20"/>
        </w:rPr>
        <w:t> </w:t>
      </w:r>
      <w:r>
        <w:rPr>
          <w:sz w:val="20"/>
        </w:rPr>
        <w:t>to</w:t>
      </w:r>
      <w:r>
        <w:rPr>
          <w:spacing w:val="-15"/>
          <w:sz w:val="20"/>
        </w:rPr>
        <w:t> </w:t>
      </w:r>
      <w:r>
        <w:rPr>
          <w:sz w:val="20"/>
        </w:rPr>
        <w:t>the</w:t>
      </w:r>
      <w:r>
        <w:rPr>
          <w:spacing w:val="-13"/>
          <w:sz w:val="20"/>
        </w:rPr>
        <w:t> </w:t>
      </w:r>
      <w:r>
        <w:rPr>
          <w:sz w:val="20"/>
        </w:rPr>
        <w:t>devices</w:t>
      </w:r>
      <w:r>
        <w:rPr>
          <w:spacing w:val="-14"/>
          <w:sz w:val="20"/>
        </w:rPr>
        <w:t> </w:t>
      </w:r>
      <w:r>
        <w:rPr>
          <w:sz w:val="20"/>
        </w:rPr>
        <w:t>under</w:t>
      </w:r>
      <w:r>
        <w:rPr>
          <w:spacing w:val="-14"/>
          <w:sz w:val="20"/>
        </w:rPr>
        <w:t> </w:t>
      </w:r>
      <w:r>
        <w:rPr>
          <w:sz w:val="20"/>
        </w:rPr>
        <w:t>test</w:t>
      </w:r>
      <w:r>
        <w:rPr>
          <w:spacing w:val="-13"/>
          <w:sz w:val="20"/>
        </w:rPr>
        <w:t> </w:t>
      </w:r>
      <w:r>
        <w:rPr>
          <w:sz w:val="20"/>
        </w:rPr>
        <w:t>via</w:t>
      </w:r>
      <w:r>
        <w:rPr>
          <w:spacing w:val="-13"/>
          <w:sz w:val="20"/>
        </w:rPr>
        <w:t> </w:t>
      </w:r>
      <w:r>
        <w:rPr>
          <w:sz w:val="20"/>
        </w:rPr>
        <w:t>the</w:t>
      </w:r>
      <w:r>
        <w:rPr>
          <w:spacing w:val="-13"/>
          <w:sz w:val="20"/>
        </w:rPr>
        <w:t> </w:t>
      </w:r>
      <w:r>
        <w:rPr>
          <w:sz w:val="20"/>
        </w:rPr>
        <w:t>local</w:t>
      </w:r>
      <w:r>
        <w:rPr>
          <w:spacing w:val="-12"/>
          <w:sz w:val="20"/>
        </w:rPr>
        <w:t> </w:t>
      </w:r>
      <w:r>
        <w:rPr>
          <w:sz w:val="20"/>
        </w:rPr>
        <w:t>area</w:t>
      </w:r>
      <w:r>
        <w:rPr>
          <w:spacing w:val="-13"/>
          <w:sz w:val="20"/>
        </w:rPr>
        <w:t> </w:t>
      </w:r>
      <w:r>
        <w:rPr>
          <w:sz w:val="20"/>
        </w:rPr>
        <w:t>network.</w:t>
      </w:r>
      <w:r>
        <w:rPr>
          <w:spacing w:val="28"/>
          <w:sz w:val="20"/>
        </w:rPr>
        <w:t> </w:t>
      </w:r>
      <w:r>
        <w:rPr>
          <w:sz w:val="20"/>
        </w:rPr>
        <w:t>The</w:t>
      </w:r>
      <w:r>
        <w:rPr>
          <w:spacing w:val="-16"/>
          <w:sz w:val="20"/>
        </w:rPr>
        <w:t> </w:t>
      </w:r>
      <w:r>
        <w:rPr>
          <w:sz w:val="20"/>
        </w:rPr>
        <w:t>hardwired</w:t>
      </w:r>
      <w:r>
        <w:rPr>
          <w:spacing w:val="-15"/>
          <w:sz w:val="20"/>
        </w:rPr>
        <w:t> </w:t>
      </w:r>
      <w:r>
        <w:rPr>
          <w:sz w:val="20"/>
        </w:rPr>
        <w:t>Ethernet</w:t>
      </w:r>
      <w:r>
        <w:rPr>
          <w:spacing w:val="-15"/>
          <w:sz w:val="20"/>
        </w:rPr>
        <w:t> </w:t>
      </w:r>
      <w:r>
        <w:rPr>
          <w:sz w:val="20"/>
        </w:rPr>
        <w:t>cables were used to collect the data from the devices under test once the tests were</w:t>
      </w:r>
      <w:r>
        <w:rPr>
          <w:spacing w:val="-30"/>
          <w:sz w:val="20"/>
        </w:rPr>
        <w:t> </w:t>
      </w:r>
      <w:r>
        <w:rPr>
          <w:sz w:val="20"/>
        </w:rPr>
        <w:t>completed.</w:t>
      </w:r>
    </w:p>
    <w:p>
      <w:pPr>
        <w:pStyle w:val="BodyText"/>
        <w:rPr>
          <w:sz w:val="22"/>
        </w:rPr>
      </w:pPr>
    </w:p>
    <w:p>
      <w:pPr>
        <w:pStyle w:val="BodyText"/>
        <w:rPr>
          <w:sz w:val="22"/>
        </w:rPr>
      </w:pPr>
    </w:p>
    <w:p>
      <w:pPr>
        <w:pStyle w:val="BodyText"/>
        <w:spacing w:before="7"/>
        <w:rPr>
          <w:sz w:val="22"/>
        </w:rPr>
      </w:pPr>
    </w:p>
    <w:p>
      <w:pPr>
        <w:pStyle w:val="Heading2"/>
        <w:numPr>
          <w:ilvl w:val="1"/>
          <w:numId w:val="14"/>
        </w:numPr>
        <w:tabs>
          <w:tab w:pos="2266" w:val="left" w:leader="none"/>
        </w:tabs>
        <w:spacing w:line="240" w:lineRule="auto" w:before="0" w:after="0"/>
        <w:ind w:left="2266" w:right="0" w:hanging="1133"/>
        <w:jc w:val="both"/>
      </w:pPr>
      <w:bookmarkStart w:name="_bookmark127" w:id="185"/>
      <w:bookmarkEnd w:id="185"/>
      <w:r>
        <w:rPr/>
      </w:r>
      <w:bookmarkStart w:name="_bookmark127" w:id="186"/>
      <w:bookmarkEnd w:id="186"/>
      <w:r>
        <w:rPr/>
        <w:t>Lab</w:t>
      </w:r>
      <w:r>
        <w:rPr>
          <w:spacing w:val="-5"/>
        </w:rPr>
        <w:t> </w:t>
      </w:r>
      <w:r>
        <w:rPr/>
        <w:t>equipment</w:t>
      </w:r>
    </w:p>
    <w:p>
      <w:pPr>
        <w:pStyle w:val="Heading7"/>
        <w:spacing w:before="181"/>
        <w:jc w:val="both"/>
      </w:pPr>
      <w:r>
        <w:rPr>
          <w:u w:val="thick"/>
        </w:rPr>
        <w:t>Variable Attenuator</w:t>
      </w:r>
    </w:p>
    <w:p>
      <w:pPr>
        <w:pStyle w:val="BodyText"/>
        <w:spacing w:before="180"/>
        <w:ind w:left="1133"/>
        <w:jc w:val="both"/>
      </w:pPr>
      <w:r>
        <w:rPr/>
        <w:t>Model 4205 0.2 to 6 GHz Digital Attenuator TTL and USB Control, SMA Connectors</w:t>
      </w:r>
    </w:p>
    <w:p>
      <w:pPr>
        <w:pStyle w:val="BodyText"/>
        <w:spacing w:before="180"/>
        <w:ind w:left="1133" w:right="1136"/>
      </w:pPr>
      <w:r>
        <w:rPr/>
        <w:t>Attenuation varies up to 95.5 dB in 0.5-dB steps. Nominal impedance is 50 Ω, and the frequency range is 0.2 to 6.0 GHz</w:t>
      </w:r>
    </w:p>
    <w:p>
      <w:pPr>
        <w:pStyle w:val="Heading7"/>
        <w:spacing w:before="178"/>
        <w:jc w:val="both"/>
      </w:pPr>
      <w:r>
        <w:rPr>
          <w:u w:val="thick"/>
        </w:rPr>
        <w:t>R&amp;S SMBV100A Vector Signal Generator**</w:t>
      </w:r>
    </w:p>
    <w:p>
      <w:pPr>
        <w:pStyle w:val="BodyText"/>
        <w:spacing w:before="182"/>
        <w:ind w:left="1133"/>
        <w:jc w:val="both"/>
      </w:pPr>
      <w:r>
        <w:rPr/>
        <w:t>R&amp;S</w:t>
      </w:r>
      <w:r>
        <w:rPr>
          <w:position w:val="6"/>
          <w:sz w:val="13"/>
        </w:rPr>
        <w:t>®</w:t>
      </w:r>
      <w:r>
        <w:rPr/>
        <w:t>SMBV100A was equipped with an internal baseband generator to allow generation of a C-V2X signal.</w:t>
      </w:r>
    </w:p>
    <w:p>
      <w:pPr>
        <w:pStyle w:val="Heading7"/>
        <w:spacing w:before="175"/>
        <w:jc w:val="both"/>
      </w:pPr>
      <w:r>
        <w:rPr>
          <w:u w:val="thick"/>
        </w:rPr>
        <w:t>R&amp;S CMW 500 – Protocol Test**</w:t>
      </w:r>
    </w:p>
    <w:p>
      <w:pPr>
        <w:pStyle w:val="BodyText"/>
        <w:spacing w:before="183"/>
        <w:ind w:left="1133" w:right="1053"/>
      </w:pPr>
      <w:r>
        <w:rPr/>
        <w:t>R&amp;S CMW 500 used for C-V2X &amp; Wi-Fi signal generation. Combination of R&amp;S SMBV100A &amp; CMW 500 used for C-V2X Testing.</w:t>
      </w:r>
    </w:p>
    <w:p>
      <w:pPr>
        <w:pStyle w:val="Heading7"/>
        <w:spacing w:before="178"/>
        <w:jc w:val="both"/>
      </w:pPr>
      <w:r>
        <w:rPr>
          <w:u w:val="thick"/>
        </w:rPr>
        <w:t>Spirent VR5 Channel Emulator</w:t>
      </w:r>
    </w:p>
    <w:p>
      <w:pPr>
        <w:pStyle w:val="BodyText"/>
        <w:spacing w:before="182"/>
        <w:ind w:left="1133" w:right="1137"/>
        <w:jc w:val="both"/>
      </w:pPr>
      <w:r>
        <w:rPr/>
        <w:t>The</w:t>
      </w:r>
      <w:r>
        <w:rPr>
          <w:spacing w:val="-16"/>
        </w:rPr>
        <w:t> </w:t>
      </w:r>
      <w:r>
        <w:rPr/>
        <w:t>Spirent</w:t>
      </w:r>
      <w:r>
        <w:rPr>
          <w:spacing w:val="-15"/>
        </w:rPr>
        <w:t> </w:t>
      </w:r>
      <w:r>
        <w:rPr/>
        <w:t>spatial</w:t>
      </w:r>
      <w:r>
        <w:rPr>
          <w:spacing w:val="-16"/>
        </w:rPr>
        <w:t> </w:t>
      </w:r>
      <w:r>
        <w:rPr/>
        <w:t>channel</w:t>
      </w:r>
      <w:r>
        <w:rPr>
          <w:spacing w:val="-13"/>
        </w:rPr>
        <w:t> </w:t>
      </w:r>
      <w:r>
        <w:rPr/>
        <w:t>Emulator</w:t>
      </w:r>
      <w:r>
        <w:rPr>
          <w:spacing w:val="-14"/>
        </w:rPr>
        <w:t> </w:t>
      </w:r>
      <w:r>
        <w:rPr/>
        <w:t>is</w:t>
      </w:r>
      <w:r>
        <w:rPr>
          <w:spacing w:val="-14"/>
        </w:rPr>
        <w:t> </w:t>
      </w:r>
      <w:r>
        <w:rPr/>
        <w:t>an</w:t>
      </w:r>
      <w:r>
        <w:rPr>
          <w:spacing w:val="-16"/>
        </w:rPr>
        <w:t> </w:t>
      </w:r>
      <w:r>
        <w:rPr/>
        <w:t>External</w:t>
      </w:r>
      <w:r>
        <w:rPr>
          <w:spacing w:val="-16"/>
        </w:rPr>
        <w:t> </w:t>
      </w:r>
      <w:r>
        <w:rPr/>
        <w:t>RF</w:t>
      </w:r>
      <w:r>
        <w:rPr>
          <w:spacing w:val="-14"/>
        </w:rPr>
        <w:t> </w:t>
      </w:r>
      <w:r>
        <w:rPr/>
        <w:t>BOX</w:t>
      </w:r>
      <w:r>
        <w:rPr>
          <w:spacing w:val="-13"/>
        </w:rPr>
        <w:t> </w:t>
      </w:r>
      <w:r>
        <w:rPr/>
        <w:t>which</w:t>
      </w:r>
      <w:r>
        <w:rPr>
          <w:spacing w:val="-15"/>
        </w:rPr>
        <w:t> </w:t>
      </w:r>
      <w:r>
        <w:rPr/>
        <w:t>is</w:t>
      </w:r>
      <w:r>
        <w:rPr>
          <w:spacing w:val="-14"/>
        </w:rPr>
        <w:t> </w:t>
      </w:r>
      <w:r>
        <w:rPr/>
        <w:t>used</w:t>
      </w:r>
      <w:r>
        <w:rPr>
          <w:spacing w:val="-16"/>
        </w:rPr>
        <w:t> </w:t>
      </w:r>
      <w:r>
        <w:rPr/>
        <w:t>to</w:t>
      </w:r>
      <w:r>
        <w:rPr>
          <w:spacing w:val="-15"/>
        </w:rPr>
        <w:t> </w:t>
      </w:r>
      <w:r>
        <w:rPr/>
        <w:t>run</w:t>
      </w:r>
      <w:r>
        <w:rPr>
          <w:spacing w:val="-16"/>
        </w:rPr>
        <w:t> </w:t>
      </w:r>
      <w:r>
        <w:rPr/>
        <w:t>AWGN</w:t>
      </w:r>
      <w:r>
        <w:rPr>
          <w:spacing w:val="-17"/>
        </w:rPr>
        <w:t> </w:t>
      </w:r>
      <w:r>
        <w:rPr/>
        <w:t>and</w:t>
      </w:r>
      <w:r>
        <w:rPr>
          <w:spacing w:val="-15"/>
        </w:rPr>
        <w:t> </w:t>
      </w:r>
      <w:r>
        <w:rPr/>
        <w:t>Fading</w:t>
      </w:r>
      <w:r>
        <w:rPr>
          <w:spacing w:val="-16"/>
        </w:rPr>
        <w:t> </w:t>
      </w:r>
      <w:r>
        <w:rPr/>
        <w:t>scenarios. With this channel emulator we control MIMO configuration, DUT RSRP, AWGN power/SNR, Doppler, fading, timing/frequency offset and noise</w:t>
      </w:r>
      <w:r>
        <w:rPr>
          <w:spacing w:val="-12"/>
        </w:rPr>
        <w:t> </w:t>
      </w:r>
      <w:r>
        <w:rPr/>
        <w:t>Bandwidth.</w:t>
      </w:r>
    </w:p>
    <w:p>
      <w:pPr>
        <w:pStyle w:val="Heading7"/>
        <w:spacing w:before="177"/>
        <w:jc w:val="both"/>
      </w:pPr>
      <w:r>
        <w:rPr>
          <w:u w:val="thick"/>
        </w:rPr>
        <w:t>Keysight Technologies (formerly Agilent) N9010A EXA Signal Analyzer, 10 Hz to 26.5 GHz</w:t>
      </w:r>
    </w:p>
    <w:p>
      <w:pPr>
        <w:pStyle w:val="BodyText"/>
        <w:spacing w:before="183"/>
        <w:ind w:left="1133" w:right="1053"/>
      </w:pPr>
      <w:r>
        <w:rPr/>
        <w:t>EXA</w:t>
      </w:r>
      <w:r>
        <w:rPr>
          <w:spacing w:val="-13"/>
        </w:rPr>
        <w:t> </w:t>
      </w:r>
      <w:r>
        <w:rPr/>
        <w:t>Signal</w:t>
      </w:r>
      <w:r>
        <w:rPr>
          <w:spacing w:val="-13"/>
        </w:rPr>
        <w:t> </w:t>
      </w:r>
      <w:r>
        <w:rPr/>
        <w:t>Analyzer</w:t>
      </w:r>
      <w:r>
        <w:rPr>
          <w:spacing w:val="-12"/>
        </w:rPr>
        <w:t> </w:t>
      </w:r>
      <w:r>
        <w:rPr/>
        <w:t>used</w:t>
      </w:r>
      <w:r>
        <w:rPr>
          <w:spacing w:val="-13"/>
        </w:rPr>
        <w:t> </w:t>
      </w:r>
      <w:r>
        <w:rPr/>
        <w:t>to</w:t>
      </w:r>
      <w:r>
        <w:rPr>
          <w:spacing w:val="-15"/>
        </w:rPr>
        <w:t> </w:t>
      </w:r>
      <w:r>
        <w:rPr/>
        <w:t>perform</w:t>
      </w:r>
      <w:r>
        <w:rPr>
          <w:spacing w:val="-10"/>
        </w:rPr>
        <w:t> </w:t>
      </w:r>
      <w:r>
        <w:rPr/>
        <w:t>power</w:t>
      </w:r>
      <w:r>
        <w:rPr>
          <w:spacing w:val="-14"/>
        </w:rPr>
        <w:t> </w:t>
      </w:r>
      <w:r>
        <w:rPr/>
        <w:t>measurements</w:t>
      </w:r>
      <w:r>
        <w:rPr>
          <w:spacing w:val="-14"/>
        </w:rPr>
        <w:t> </w:t>
      </w:r>
      <w:r>
        <w:rPr/>
        <w:t>quickly</w:t>
      </w:r>
      <w:r>
        <w:rPr>
          <w:spacing w:val="-18"/>
        </w:rPr>
        <w:t> </w:t>
      </w:r>
      <w:r>
        <w:rPr/>
        <w:t>at</w:t>
      </w:r>
      <w:r>
        <w:rPr>
          <w:spacing w:val="-13"/>
        </w:rPr>
        <w:t> </w:t>
      </w:r>
      <w:r>
        <w:rPr/>
        <w:t>discrete</w:t>
      </w:r>
      <w:r>
        <w:rPr>
          <w:spacing w:val="-13"/>
        </w:rPr>
        <w:t> </w:t>
      </w:r>
      <w:r>
        <w:rPr/>
        <w:t>frequency</w:t>
      </w:r>
      <w:r>
        <w:rPr>
          <w:spacing w:val="-16"/>
        </w:rPr>
        <w:t> </w:t>
      </w:r>
      <w:r>
        <w:rPr/>
        <w:t>points</w:t>
      </w:r>
      <w:r>
        <w:rPr>
          <w:spacing w:val="-12"/>
        </w:rPr>
        <w:t> </w:t>
      </w:r>
      <w:r>
        <w:rPr/>
        <w:t>with</w:t>
      </w:r>
      <w:r>
        <w:rPr>
          <w:spacing w:val="-15"/>
        </w:rPr>
        <w:t> </w:t>
      </w:r>
      <w:r>
        <w:rPr/>
        <w:t>list-sweep mode</w:t>
      </w:r>
    </w:p>
    <w:p>
      <w:pPr>
        <w:pStyle w:val="Heading7"/>
        <w:spacing w:before="178"/>
        <w:jc w:val="both"/>
      </w:pPr>
      <w:r>
        <w:rPr>
          <w:u w:val="thick"/>
        </w:rPr>
        <w:t>R&amp;S SMJ100A Vector Signal Generator</w:t>
      </w:r>
    </w:p>
    <w:p>
      <w:pPr>
        <w:pStyle w:val="BodyText"/>
        <w:spacing w:before="183"/>
        <w:ind w:left="1133" w:right="1136"/>
      </w:pPr>
      <w:r>
        <w:rPr/>
        <w:t>The R&amp;S®SMJ100A is used as signal generator to generate AWGN waveforms of given powers and bandwidths.</w:t>
      </w:r>
    </w:p>
    <w:p>
      <w:pPr>
        <w:pStyle w:val="Heading7"/>
        <w:spacing w:before="178"/>
        <w:jc w:val="both"/>
      </w:pPr>
      <w:r>
        <w:rPr>
          <w:u w:val="thick"/>
        </w:rPr>
        <w:t>Splitter / Combiner:</w:t>
      </w:r>
    </w:p>
    <w:p>
      <w:pPr>
        <w:pStyle w:val="BodyText"/>
        <w:spacing w:before="182"/>
        <w:ind w:left="1133"/>
        <w:jc w:val="both"/>
      </w:pPr>
      <w:r>
        <w:rPr/>
        <w:t>Splitter – Combiners that support 6 GHz RF are used based on the testing needs.</w:t>
      </w:r>
    </w:p>
    <w:p>
      <w:pPr>
        <w:spacing w:after="0"/>
        <w:jc w:val="both"/>
        <w:sectPr>
          <w:headerReference w:type="default" r:id="rId139"/>
          <w:pgSz w:w="11910" w:h="16850"/>
          <w:pgMar w:header="852" w:footer="931" w:top="1040" w:bottom="1160" w:left="0" w:right="0"/>
        </w:sectPr>
      </w:pPr>
    </w:p>
    <w:p>
      <w:pPr>
        <w:pStyle w:val="BodyText"/>
      </w:pPr>
      <w:r>
        <w:rPr/>
        <w:pict>
          <v:shape style="position:absolute;margin-left:112.699997pt;margin-top:614.73999pt;width:370.45pt;height:73.2pt;mso-position-horizontal-relative:page;mso-position-vertical-relative:page;z-index:275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7"/>
                    <w:gridCol w:w="3870"/>
                    <w:gridCol w:w="1637"/>
                  </w:tblGrid>
                  <w:tr>
                    <w:trPr>
                      <w:trHeight w:val="492" w:hRule="exact"/>
                    </w:trPr>
                    <w:tc>
                      <w:tcPr>
                        <w:tcW w:w="1887" w:type="dxa"/>
                      </w:tcPr>
                      <w:p>
                        <w:pPr>
                          <w:pStyle w:val="TableParagraph"/>
                          <w:spacing w:line="240" w:lineRule="auto" w:before="1"/>
                          <w:rPr>
                            <w:sz w:val="18"/>
                          </w:rPr>
                        </w:pPr>
                        <w:r>
                          <w:rPr>
                            <w:sz w:val="18"/>
                          </w:rPr>
                          <w:t>Test Frequencies</w:t>
                        </w:r>
                      </w:p>
                    </w:tc>
                    <w:tc>
                      <w:tcPr>
                        <w:tcW w:w="3870" w:type="dxa"/>
                      </w:tcPr>
                      <w:p>
                        <w:pPr>
                          <w:pStyle w:val="TableParagraph"/>
                          <w:spacing w:line="207" w:lineRule="exact" w:before="1"/>
                          <w:ind w:left="100"/>
                          <w:rPr>
                            <w:sz w:val="18"/>
                          </w:rPr>
                        </w:pPr>
                        <w:r>
                          <w:rPr>
                            <w:sz w:val="18"/>
                          </w:rPr>
                          <w:t>5850, 5860,  5870, 5880,  5890,  5900, 5910,</w:t>
                        </w:r>
                      </w:p>
                      <w:p>
                        <w:pPr>
                          <w:pStyle w:val="TableParagraph"/>
                          <w:spacing w:line="207" w:lineRule="exact"/>
                          <w:ind w:left="100"/>
                          <w:rPr>
                            <w:sz w:val="18"/>
                          </w:rPr>
                        </w:pPr>
                        <w:r>
                          <w:rPr>
                            <w:sz w:val="18"/>
                          </w:rPr>
                          <w:t>5920, 5930 MHz</w:t>
                        </w:r>
                      </w:p>
                    </w:tc>
                    <w:tc>
                      <w:tcPr>
                        <w:tcW w:w="1637" w:type="dxa"/>
                      </w:tcPr>
                      <w:p>
                        <w:pPr>
                          <w:pStyle w:val="TableParagraph"/>
                          <w:spacing w:line="240" w:lineRule="auto" w:before="1"/>
                          <w:rPr>
                            <w:sz w:val="18"/>
                          </w:rPr>
                        </w:pPr>
                        <w:r>
                          <w:rPr>
                            <w:sz w:val="18"/>
                          </w:rPr>
                          <w:t>Test Frequencies</w:t>
                        </w:r>
                      </w:p>
                    </w:tc>
                  </w:tr>
                  <w:tr>
                    <w:trPr>
                      <w:trHeight w:val="425" w:hRule="exact"/>
                    </w:trPr>
                    <w:tc>
                      <w:tcPr>
                        <w:tcW w:w="1887" w:type="dxa"/>
                      </w:tcPr>
                      <w:p>
                        <w:pPr>
                          <w:pStyle w:val="TableParagraph"/>
                          <w:spacing w:line="240" w:lineRule="auto" w:before="1"/>
                          <w:rPr>
                            <w:sz w:val="18"/>
                          </w:rPr>
                        </w:pPr>
                        <w:r>
                          <w:rPr>
                            <w:sz w:val="18"/>
                          </w:rPr>
                          <w:t>Elevation</w:t>
                        </w:r>
                      </w:p>
                    </w:tc>
                    <w:tc>
                      <w:tcPr>
                        <w:tcW w:w="3870" w:type="dxa"/>
                      </w:tcPr>
                      <w:p>
                        <w:pPr>
                          <w:pStyle w:val="TableParagraph"/>
                          <w:spacing w:line="240" w:lineRule="auto" w:before="1"/>
                          <w:ind w:left="100"/>
                          <w:rPr>
                            <w:sz w:val="18"/>
                          </w:rPr>
                        </w:pPr>
                        <w:r>
                          <w:rPr>
                            <w:sz w:val="18"/>
                          </w:rPr>
                          <w:t>10 deg to -6 deg by 2 deg (0 deg is defined as horizon)</w:t>
                        </w:r>
                      </w:p>
                    </w:tc>
                    <w:tc>
                      <w:tcPr>
                        <w:tcW w:w="1637" w:type="dxa"/>
                      </w:tcPr>
                      <w:p>
                        <w:pPr>
                          <w:pStyle w:val="TableParagraph"/>
                          <w:spacing w:line="240" w:lineRule="auto" w:before="1"/>
                          <w:rPr>
                            <w:sz w:val="18"/>
                          </w:rPr>
                        </w:pPr>
                        <w:r>
                          <w:rPr>
                            <w:sz w:val="18"/>
                          </w:rPr>
                          <w:t>Elevation</w:t>
                        </w:r>
                      </w:p>
                    </w:tc>
                  </w:tr>
                  <w:tr>
                    <w:trPr>
                      <w:trHeight w:val="538" w:hRule="exact"/>
                    </w:trPr>
                    <w:tc>
                      <w:tcPr>
                        <w:tcW w:w="1887" w:type="dxa"/>
                      </w:tcPr>
                      <w:p>
                        <w:pPr>
                          <w:pStyle w:val="TableParagraph"/>
                          <w:rPr>
                            <w:sz w:val="18"/>
                          </w:rPr>
                        </w:pPr>
                        <w:r>
                          <w:rPr>
                            <w:sz w:val="18"/>
                          </w:rPr>
                          <w:t>Azimuth</w:t>
                        </w:r>
                      </w:p>
                    </w:tc>
                    <w:tc>
                      <w:tcPr>
                        <w:tcW w:w="3870" w:type="dxa"/>
                      </w:tcPr>
                      <w:p>
                        <w:pPr>
                          <w:pStyle w:val="TableParagraph"/>
                          <w:ind w:left="100"/>
                          <w:rPr>
                            <w:sz w:val="18"/>
                          </w:rPr>
                        </w:pPr>
                        <w:r>
                          <w:rPr>
                            <w:sz w:val="18"/>
                          </w:rPr>
                          <w:t>0 deg to 355 (Zero is Front of Vehicle)</w:t>
                        </w:r>
                      </w:p>
                    </w:tc>
                    <w:tc>
                      <w:tcPr>
                        <w:tcW w:w="1637" w:type="dxa"/>
                      </w:tcPr>
                      <w:p>
                        <w:pPr>
                          <w:pStyle w:val="TableParagraph"/>
                          <w:rPr>
                            <w:sz w:val="18"/>
                          </w:rPr>
                        </w:pPr>
                        <w:r>
                          <w:rPr>
                            <w:sz w:val="18"/>
                          </w:rPr>
                          <w:t>Azimuth</w:t>
                        </w:r>
                      </w:p>
                    </w:tc>
                  </w:tr>
                </w:tbl>
                <w:p>
                  <w:pPr>
                    <w:pStyle w:val="BodyText"/>
                  </w:pPr>
                </w:p>
              </w:txbxContent>
            </v:textbox>
            <w10:wrap type="none"/>
          </v:shape>
        </w:pict>
      </w:r>
    </w:p>
    <w:p>
      <w:pPr>
        <w:pStyle w:val="BodyText"/>
      </w:pPr>
    </w:p>
    <w:p>
      <w:pPr>
        <w:pStyle w:val="BodyText"/>
        <w:spacing w:before="2"/>
        <w:rPr>
          <w:sz w:val="18"/>
        </w:rPr>
      </w:pPr>
    </w:p>
    <w:p>
      <w:pPr>
        <w:pStyle w:val="Heading7"/>
        <w:spacing w:before="95"/>
        <w:jc w:val="both"/>
      </w:pPr>
      <w:r>
        <w:rPr/>
        <w:pict>
          <v:line style="position:absolute;mso-position-horizontal-relative:page;mso-position-vertical-relative:paragraph;z-index:-505336" from="56.664001pt,15.966941pt" to="171.524001pt,15.966941pt" stroked="true" strokeweight="1.08pt" strokecolor="#000000">
            <v:stroke dashstyle="solid"/>
            <w10:wrap type="none"/>
          </v:line>
        </w:pict>
      </w:r>
      <w:r>
        <w:rPr/>
        <w:t>R&amp;S</w:t>
      </w:r>
      <w:r>
        <w:rPr>
          <w:position w:val="7"/>
          <w:sz w:val="13"/>
        </w:rPr>
        <w:t>®</w:t>
      </w:r>
      <w:r>
        <w:rPr/>
        <w:t>NRP2 Power Meter</w:t>
      </w:r>
    </w:p>
    <w:p>
      <w:pPr>
        <w:pStyle w:val="BodyText"/>
        <w:spacing w:before="183"/>
        <w:ind w:left="1133"/>
        <w:jc w:val="both"/>
      </w:pPr>
      <w:r>
        <w:rPr/>
        <w:t>Power meter used to accurate measure cable loss.</w:t>
      </w:r>
    </w:p>
    <w:p>
      <w:pPr>
        <w:pStyle w:val="Heading7"/>
        <w:spacing w:before="175"/>
        <w:jc w:val="both"/>
      </w:pPr>
      <w:r>
        <w:rPr>
          <w:u w:val="thick"/>
        </w:rPr>
        <w:t>RF cables used</w:t>
      </w:r>
    </w:p>
    <w:p>
      <w:pPr>
        <w:pStyle w:val="BodyText"/>
        <w:spacing w:before="182"/>
        <w:ind w:left="1133"/>
        <w:jc w:val="both"/>
      </w:pPr>
      <w:r>
        <w:rPr/>
        <w:t>LMR-195, LMR-100A, &amp; LMR-240</w:t>
      </w:r>
    </w:p>
    <w:p>
      <w:pPr>
        <w:spacing w:line="242" w:lineRule="auto" w:before="178"/>
        <w:ind w:left="1133" w:right="1136" w:firstLine="0"/>
        <w:jc w:val="left"/>
        <w:rPr>
          <w:sz w:val="20"/>
        </w:rPr>
      </w:pPr>
      <w:r>
        <w:rPr>
          <w:b/>
          <w:sz w:val="20"/>
          <w:u w:val="thick"/>
        </w:rPr>
        <w:t>RF Shielded Test Enclosure</w:t>
      </w:r>
      <w:r>
        <w:rPr>
          <w:sz w:val="20"/>
        </w:rPr>
        <w:t>: Model STE3300 was used to enclose devices (C-V2X and DSRC) during execution of test.</w:t>
      </w:r>
    </w:p>
    <w:p>
      <w:pPr>
        <w:pStyle w:val="BodyText"/>
        <w:rPr>
          <w:sz w:val="22"/>
        </w:rPr>
      </w:pPr>
    </w:p>
    <w:p>
      <w:pPr>
        <w:pStyle w:val="BodyText"/>
        <w:rPr>
          <w:sz w:val="22"/>
        </w:rPr>
      </w:pPr>
    </w:p>
    <w:p>
      <w:pPr>
        <w:pStyle w:val="BodyText"/>
        <w:spacing w:before="7"/>
        <w:rPr>
          <w:sz w:val="22"/>
        </w:rPr>
      </w:pPr>
    </w:p>
    <w:p>
      <w:pPr>
        <w:pStyle w:val="Heading2"/>
        <w:numPr>
          <w:ilvl w:val="1"/>
          <w:numId w:val="14"/>
        </w:numPr>
        <w:tabs>
          <w:tab w:pos="2267" w:val="left" w:leader="none"/>
        </w:tabs>
        <w:spacing w:line="240" w:lineRule="auto" w:before="0" w:after="0"/>
        <w:ind w:left="2266" w:right="0" w:hanging="1133"/>
        <w:jc w:val="both"/>
      </w:pPr>
      <w:bookmarkStart w:name="_bookmark128" w:id="187"/>
      <w:bookmarkEnd w:id="187"/>
      <w:r>
        <w:rPr/>
      </w:r>
      <w:bookmarkStart w:name="_bookmark128" w:id="188"/>
      <w:bookmarkEnd w:id="188"/>
      <w:r>
        <w:rPr/>
        <w:t>Ante</w:t>
      </w:r>
      <w:r>
        <w:rPr/>
        <w:t>nna</w:t>
      </w:r>
      <w:r>
        <w:rPr>
          <w:spacing w:val="-5"/>
        </w:rPr>
        <w:t> </w:t>
      </w:r>
      <w:r>
        <w:rPr/>
        <w:t>characterization</w:t>
      </w:r>
    </w:p>
    <w:p>
      <w:pPr>
        <w:pStyle w:val="BodyText"/>
        <w:spacing w:before="181"/>
        <w:ind w:left="1133" w:right="1136"/>
      </w:pPr>
      <w:r>
        <w:rPr/>
        <w:t>Antenna characterization was performed to determine the performance of the antenna installation on the vehicles.  The identical antenna configuration was used to support both DSRC and C-V2X.</w:t>
      </w:r>
    </w:p>
    <w:p>
      <w:pPr>
        <w:pStyle w:val="Heading7"/>
        <w:spacing w:before="177"/>
        <w:jc w:val="both"/>
        <w:rPr>
          <w:b w:val="0"/>
        </w:rPr>
      </w:pPr>
      <w:r>
        <w:rPr>
          <w:u w:val="thick"/>
        </w:rPr>
        <w:t>Test Setup</w:t>
      </w:r>
      <w:r>
        <w:rPr>
          <w:b w:val="0"/>
        </w:rPr>
        <w:t>:</w:t>
      </w:r>
    </w:p>
    <w:p>
      <w:pPr>
        <w:pStyle w:val="BodyText"/>
        <w:spacing w:before="180"/>
        <w:ind w:left="1133" w:right="1135"/>
        <w:jc w:val="both"/>
      </w:pPr>
      <w:r>
        <w:rPr/>
        <w:pict>
          <v:shape style="position:absolute;margin-left:345.670013pt;margin-top:165.179871pt;width:15.7pt;height:57.85pt;mso-position-horizontal-relative:page;mso-position-vertical-relative:paragraph;z-index:-505312" coordorigin="6913,3304" coordsize="314,1157" path="m7226,4380l7156,4380,7158,4460,7227,4459,7226,4380xm7223,4302l7153,4302,7156,4381,7156,4380,7226,4380,7226,4379,7223,4302xm7217,4225l7147,4225,7153,4303,7153,4302,7223,4302,7222,4299,7217,4225xm7174,3922l7103,3922,7103,3923,7103,3923,7117,3998,7117,3998,7129,4073,7129,4073,7139,4149,7139,4149,7147,4226,7147,4225,7217,4225,7217,4219,7209,4140,7198,4062,7186,3985,7174,3922xm7139,4148l7139,4149,7139,4149,7139,4148xm7129,4072l7129,4073,7129,4073,7129,4072xm7117,3997l7117,3998,7117,3998,7117,3997xm7103,3923l7103,3923,7103,3923,7103,3923xm7140,3778l7068,3778,7087,3851,7087,3851,7103,3923,7103,3922,7174,3922,7171,3909,7155,3834,7140,3778xm7086,3850l7087,3851,7087,3851,7086,3850xm7099,3638l7026,3638,7026,3640,7026,3640,7048,3708,7048,3708,7068,3779,7068,3778,7140,3778,7136,3760,7115,3687,7099,3638xm7048,3707l7048,3708,7048,3708,7048,3707xm7026,3639l7026,3640,7026,3640,7026,3639xm7038,3478l6975,3509,7002,3573,7002,3573,7026,3639,7026,3638,7099,3638,7092,3616,7067,3547,7038,3478xm7001,3571l7002,3573,7002,3573,7001,3571xm6917,3304l6913,3538,6975,3509,6961,3475,7025,3448,7102,3448,7103,3447,6917,3304xm7025,3448l6961,3475,6975,3509,7038,3478,7025,3448xm7102,3448l7025,3448,7038,3478,7102,3448xe" filled="true" fillcolor="#ff0000" stroked="false">
            <v:path arrowok="t"/>
            <v:fill type="solid"/>
            <w10:wrap type="none"/>
          </v:shape>
        </w:pict>
      </w:r>
      <w:r>
        <w:rPr/>
        <w:t>The</w:t>
      </w:r>
      <w:r>
        <w:rPr>
          <w:spacing w:val="-10"/>
        </w:rPr>
        <w:t> </w:t>
      </w:r>
      <w:r>
        <w:rPr/>
        <w:t>antenna</w:t>
      </w:r>
      <w:r>
        <w:rPr>
          <w:spacing w:val="-10"/>
        </w:rPr>
        <w:t> </w:t>
      </w:r>
      <w:r>
        <w:rPr/>
        <w:t>performance</w:t>
      </w:r>
      <w:r>
        <w:rPr>
          <w:spacing w:val="-9"/>
        </w:rPr>
        <w:t> </w:t>
      </w:r>
      <w:r>
        <w:rPr/>
        <w:t>was</w:t>
      </w:r>
      <w:r>
        <w:rPr>
          <w:spacing w:val="-8"/>
        </w:rPr>
        <w:t> </w:t>
      </w:r>
      <w:r>
        <w:rPr/>
        <w:t>validated</w:t>
      </w:r>
      <w:r>
        <w:rPr>
          <w:spacing w:val="-10"/>
        </w:rPr>
        <w:t> </w:t>
      </w:r>
      <w:r>
        <w:rPr/>
        <w:t>as</w:t>
      </w:r>
      <w:r>
        <w:rPr>
          <w:spacing w:val="-6"/>
        </w:rPr>
        <w:t> </w:t>
      </w:r>
      <w:r>
        <w:rPr/>
        <w:t>passive</w:t>
      </w:r>
      <w:r>
        <w:rPr>
          <w:spacing w:val="-9"/>
        </w:rPr>
        <w:t> </w:t>
      </w:r>
      <w:r>
        <w:rPr/>
        <w:t>components</w:t>
      </w:r>
      <w:r>
        <w:rPr>
          <w:spacing w:val="-9"/>
        </w:rPr>
        <w:t> </w:t>
      </w:r>
      <w:r>
        <w:rPr/>
        <w:t>in</w:t>
      </w:r>
      <w:r>
        <w:rPr>
          <w:spacing w:val="-9"/>
        </w:rPr>
        <w:t> </w:t>
      </w:r>
      <w:r>
        <w:rPr/>
        <w:t>the</w:t>
      </w:r>
      <w:r>
        <w:rPr>
          <w:spacing w:val="-10"/>
        </w:rPr>
        <w:t> </w:t>
      </w:r>
      <w:r>
        <w:rPr/>
        <w:t>Oakland</w:t>
      </w:r>
      <w:r>
        <w:rPr>
          <w:spacing w:val="-9"/>
        </w:rPr>
        <w:t> </w:t>
      </w:r>
      <w:r>
        <w:rPr/>
        <w:t>University</w:t>
      </w:r>
      <w:r>
        <w:rPr>
          <w:spacing w:val="-13"/>
        </w:rPr>
        <w:t> </w:t>
      </w:r>
      <w:r>
        <w:rPr/>
        <w:t>Test</w:t>
      </w:r>
      <w:r>
        <w:rPr>
          <w:spacing w:val="-9"/>
        </w:rPr>
        <w:t> </w:t>
      </w:r>
      <w:r>
        <w:rPr/>
        <w:t>using</w:t>
      </w:r>
      <w:r>
        <w:rPr>
          <w:spacing w:val="-7"/>
        </w:rPr>
        <w:t> </w:t>
      </w:r>
      <w:r>
        <w:rPr/>
        <w:t>a</w:t>
      </w:r>
      <w:r>
        <w:rPr>
          <w:spacing w:val="-9"/>
        </w:rPr>
        <w:t> </w:t>
      </w:r>
      <w:r>
        <w:rPr/>
        <w:t>gantry system. The method used was gain by comparison, and measurements were performed in the far field; no near-to-far field comparisons were performed. Table 2 shows the test parameters used for the antenna performance testing.  These values are the standard test setup parameters used by OEMs for DSRC</w:t>
      </w:r>
      <w:r>
        <w:rPr>
          <w:spacing w:val="-34"/>
        </w:rPr>
        <w:t> </w:t>
      </w:r>
      <w:r>
        <w:rPr/>
        <w:t>testing.</w:t>
      </w:r>
    </w:p>
    <w:p>
      <w:pPr>
        <w:pStyle w:val="BodyText"/>
        <w:spacing w:before="7"/>
        <w:rPr>
          <w:sz w:val="17"/>
        </w:rPr>
      </w:pPr>
      <w:r>
        <w:rPr/>
        <w:pict>
          <v:group style="position:absolute;margin-left:56.650002pt;margin-top:12.077163pt;width:324.1pt;height:185.5pt;mso-position-horizontal-relative:page;mso-position-vertical-relative:paragraph;z-index:2680;mso-wrap-distance-left:0;mso-wrap-distance-right:0" coordorigin="1133,242" coordsize="6482,3710">
            <v:shape style="position:absolute;left:1133;top:242;width:5565;height:3710" type="#_x0000_t75" alt="https://oakland.edu/Assets/upload/images/AppliedEMAGLab/P0807162.004.jpg" stroked="false">
              <v:imagedata r:id="rId141" o:title=""/>
            </v:shape>
            <v:shape style="position:absolute;left:5481;top:3437;width:1239;height:209" coordorigin="5481,3437" coordsize="1239,209" path="m5703,3437l5481,3513,5675,3645,5684,3575,5650,3571,5658,3502,5694,3502,5703,3437xm5694,3506l5684,3575,5720,3580,5802,3586,5883,3591,5963,3594,6043,3595,6122,3594,6201,3591,6278,3586,6355,3579,6430,3570,6505,3559,6578,3546,6649,3531,6675,3525,6042,3525,6043,3525,5964,3524,5965,3524,5885,3521,5886,3521,5806,3517,5807,3517,5726,3510,5728,3510,5694,3506xm5658,3502l5650,3571,5684,3575,5694,3506,5658,3502xm6043,3525l6042,3525,6043,3525,6043,3525xm6197,3521l6120,3524,6121,3524,6043,3525,6675,3525,6692,3521,6196,3521,6197,3521xm6422,3501l6347,3509,6348,3509,6272,3516,6273,3516,6196,3521,6692,3521,6719,3515,6716,3501,6421,3501,6422,3501xm5694,3502l5658,3502,5694,3506,5694,3502xm6710,3477l6565,3477,6564,3478,6564,3478,6493,3490,6494,3490,6421,3501,6716,3501,6710,3477xm6565,3477l6564,3478,6564,3478,6565,3477xm6707,3463l6635,3463,6565,3477,6565,3477,6710,3477,6707,3463xm6703,3447l6634,3463,6635,3463,6707,3463,6703,3447xe" filled="true" fillcolor="#ff0000" stroked="false">
              <v:path arrowok="t"/>
              <v:fill type="solid"/>
            </v:shape>
            <v:shape style="position:absolute;left:6389;top:1694;width:1225;height:377" type="#_x0000_t75" stroked="false">
              <v:imagedata r:id="rId142" o:title=""/>
            </v:shape>
            <v:shape style="position:absolute;left:4297;top:3418;width:1105;height:377" type="#_x0000_t75" stroked="false">
              <v:imagedata r:id="rId143" o:title=""/>
            </v:shape>
            <v:shape style="position:absolute;left:6618;top:1780;width:784;height:221" type="#_x0000_t202" filled="false" stroked="false">
              <v:textbox inset="0,0,0,0">
                <w:txbxContent>
                  <w:p>
                    <w:pPr>
                      <w:spacing w:line="221" w:lineRule="exact" w:before="0"/>
                      <w:ind w:left="0" w:right="0" w:firstLine="0"/>
                      <w:jc w:val="left"/>
                      <w:rPr>
                        <w:rFonts w:ascii="Times New Roman"/>
                        <w:sz w:val="20"/>
                      </w:rPr>
                    </w:pPr>
                    <w:r>
                      <w:rPr>
                        <w:rFonts w:ascii="Times New Roman"/>
                        <w:sz w:val="20"/>
                      </w:rPr>
                      <w:t>Elevation</w:t>
                    </w:r>
                  </w:p>
                </w:txbxContent>
              </v:textbox>
              <w10:wrap type="none"/>
            </v:shape>
            <v:shape style="position:absolute;left:4453;top:3503;width:719;height:221" type="#_x0000_t202" filled="false" stroked="false">
              <v:textbox inset="0,0,0,0">
                <w:txbxContent>
                  <w:p>
                    <w:pPr>
                      <w:spacing w:line="221" w:lineRule="exact" w:before="0"/>
                      <w:ind w:left="0" w:right="0" w:firstLine="0"/>
                      <w:jc w:val="left"/>
                      <w:rPr>
                        <w:rFonts w:ascii="Times New Roman"/>
                        <w:sz w:val="20"/>
                      </w:rPr>
                    </w:pPr>
                    <w:r>
                      <w:rPr>
                        <w:rFonts w:ascii="Times New Roman"/>
                        <w:sz w:val="20"/>
                      </w:rPr>
                      <w:t>Azimuth</w:t>
                    </w:r>
                  </w:p>
                </w:txbxContent>
              </v:textbox>
              <w10:wrap type="none"/>
            </v:shape>
            <w10:wrap type="topAndBottom"/>
          </v:group>
        </w:pict>
      </w:r>
    </w:p>
    <w:p>
      <w:pPr>
        <w:pStyle w:val="Heading7"/>
        <w:spacing w:line="554" w:lineRule="auto" w:before="158"/>
        <w:ind w:right="1136"/>
      </w:pPr>
      <w:r>
        <w:rPr/>
        <w:t>Figure 4: Oakland University Antenna Test Range (NOTE: Vehicle shown is not actual test vehicle) Table 2: Antenna Test Parameters</w:t>
      </w:r>
    </w:p>
    <w:p>
      <w:pPr>
        <w:spacing w:after="0" w:line="554" w:lineRule="auto"/>
        <w:sectPr>
          <w:headerReference w:type="default" r:id="rId140"/>
          <w:pgSz w:w="11910" w:h="16850"/>
          <w:pgMar w:header="852" w:footer="931" w:top="1040" w:bottom="1160" w:left="0" w:right="0"/>
        </w:sectPr>
      </w:pPr>
    </w:p>
    <w:p>
      <w:pPr>
        <w:pStyle w:val="BodyText"/>
        <w:rPr>
          <w:b/>
        </w:rPr>
      </w:pPr>
    </w:p>
    <w:p>
      <w:pPr>
        <w:pStyle w:val="BodyText"/>
        <w:rPr>
          <w:b/>
        </w:rPr>
      </w:pPr>
    </w:p>
    <w:p>
      <w:pPr>
        <w:pStyle w:val="BodyText"/>
        <w:spacing w:before="8"/>
        <w:rPr>
          <w:b/>
          <w:sz w:val="18"/>
        </w:rPr>
      </w:pPr>
    </w:p>
    <w:p>
      <w:pPr>
        <w:pStyle w:val="Heading7"/>
        <w:spacing w:before="93"/>
      </w:pPr>
      <w:r>
        <w:rPr>
          <w:u w:val="thick"/>
        </w:rPr>
        <w:t>Measurement Results:</w:t>
      </w:r>
    </w:p>
    <w:p>
      <w:pPr>
        <w:pStyle w:val="BodyText"/>
        <w:spacing w:before="182"/>
        <w:ind w:left="1133"/>
      </w:pPr>
      <w:r>
        <w:rPr/>
        <w:t>Initial measurement was of the antenna (ECOM6-5500) on a 1-meter rolled edge ground plane. See Figure 5.</w:t>
      </w:r>
    </w:p>
    <w:p>
      <w:pPr>
        <w:pStyle w:val="BodyText"/>
        <w:spacing w:before="6"/>
        <w:rPr>
          <w:sz w:val="17"/>
        </w:rPr>
      </w:pPr>
      <w:r>
        <w:rPr/>
        <w:drawing>
          <wp:anchor distT="0" distB="0" distL="0" distR="0" allowOverlap="1" layoutInCell="1" locked="0" behindDoc="0" simplePos="0" relativeHeight="2776">
            <wp:simplePos x="0" y="0"/>
            <wp:positionH relativeFrom="page">
              <wp:posOffset>719455</wp:posOffset>
            </wp:positionH>
            <wp:positionV relativeFrom="paragraph">
              <wp:posOffset>152978</wp:posOffset>
            </wp:positionV>
            <wp:extent cx="2408385" cy="1806321"/>
            <wp:effectExtent l="0" t="0" r="0" b="0"/>
            <wp:wrapTopAndBottom/>
            <wp:docPr id="27" name="image18.jpeg" descr=""/>
            <wp:cNvGraphicFramePr>
              <a:graphicFrameLocks noChangeAspect="1"/>
            </wp:cNvGraphicFramePr>
            <a:graphic>
              <a:graphicData uri="http://schemas.openxmlformats.org/drawingml/2006/picture">
                <pic:pic>
                  <pic:nvPicPr>
                    <pic:cNvPr id="28" name="image18.jpeg"/>
                    <pic:cNvPicPr/>
                  </pic:nvPicPr>
                  <pic:blipFill>
                    <a:blip r:embed="rId146" cstate="print"/>
                    <a:stretch>
                      <a:fillRect/>
                    </a:stretch>
                  </pic:blipFill>
                  <pic:spPr>
                    <a:xfrm>
                      <a:off x="0" y="0"/>
                      <a:ext cx="2408385" cy="1806321"/>
                    </a:xfrm>
                    <a:prstGeom prst="rect">
                      <a:avLst/>
                    </a:prstGeom>
                  </pic:spPr>
                </pic:pic>
              </a:graphicData>
            </a:graphic>
          </wp:anchor>
        </w:drawing>
      </w:r>
    </w:p>
    <w:p>
      <w:pPr>
        <w:pStyle w:val="BodyText"/>
        <w:rPr>
          <w:sz w:val="21"/>
        </w:rPr>
      </w:pPr>
    </w:p>
    <w:p>
      <w:pPr>
        <w:spacing w:before="0"/>
        <w:ind w:left="1133" w:right="0" w:firstLine="0"/>
        <w:jc w:val="left"/>
        <w:rPr>
          <w:b/>
          <w:sz w:val="24"/>
        </w:rPr>
      </w:pPr>
      <w:r>
        <w:rPr>
          <w:b/>
          <w:sz w:val="24"/>
        </w:rPr>
        <w:t>Figure 5: Single Antenna on 1 Meter Rolled Edge Groundplane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sz w:val="15"/>
        </w:rPr>
      </w:pPr>
      <w:r>
        <w:rPr/>
        <w:drawing>
          <wp:anchor distT="0" distB="0" distL="0" distR="0" allowOverlap="1" layoutInCell="1" locked="0" behindDoc="0" simplePos="0" relativeHeight="2800">
            <wp:simplePos x="0" y="0"/>
            <wp:positionH relativeFrom="page">
              <wp:posOffset>719455</wp:posOffset>
            </wp:positionH>
            <wp:positionV relativeFrom="paragraph">
              <wp:posOffset>135785</wp:posOffset>
            </wp:positionV>
            <wp:extent cx="2056148" cy="2125694"/>
            <wp:effectExtent l="0" t="0" r="0" b="0"/>
            <wp:wrapTopAndBottom/>
            <wp:docPr id="29" name="image19.png" descr=""/>
            <wp:cNvGraphicFramePr>
              <a:graphicFrameLocks noChangeAspect="1"/>
            </wp:cNvGraphicFramePr>
            <a:graphic>
              <a:graphicData uri="http://schemas.openxmlformats.org/drawingml/2006/picture">
                <pic:pic>
                  <pic:nvPicPr>
                    <pic:cNvPr id="30" name="image19.png"/>
                    <pic:cNvPicPr/>
                  </pic:nvPicPr>
                  <pic:blipFill>
                    <a:blip r:embed="rId147" cstate="print"/>
                    <a:stretch>
                      <a:fillRect/>
                    </a:stretch>
                  </pic:blipFill>
                  <pic:spPr>
                    <a:xfrm>
                      <a:off x="0" y="0"/>
                      <a:ext cx="2056148" cy="2125694"/>
                    </a:xfrm>
                    <a:prstGeom prst="rect">
                      <a:avLst/>
                    </a:prstGeom>
                  </pic:spPr>
                </pic:pic>
              </a:graphicData>
            </a:graphic>
          </wp:anchor>
        </w:drawing>
      </w:r>
    </w:p>
    <w:p>
      <w:pPr>
        <w:pStyle w:val="BodyText"/>
        <w:spacing w:before="7"/>
        <w:rPr>
          <w:b/>
          <w:sz w:val="25"/>
        </w:rPr>
      </w:pPr>
    </w:p>
    <w:p>
      <w:pPr>
        <w:spacing w:before="0"/>
        <w:ind w:left="1133" w:right="0" w:firstLine="0"/>
        <w:jc w:val="left"/>
        <w:rPr>
          <w:b/>
          <w:sz w:val="24"/>
        </w:rPr>
      </w:pPr>
      <w:r>
        <w:rPr>
          <w:b/>
          <w:sz w:val="24"/>
        </w:rPr>
        <w:t>Figure 6: Test Setup</w:t>
      </w:r>
    </w:p>
    <w:p>
      <w:pPr>
        <w:spacing w:after="0"/>
        <w:jc w:val="left"/>
        <w:rPr>
          <w:sz w:val="24"/>
        </w:rPr>
        <w:sectPr>
          <w:headerReference w:type="default" r:id="rId144"/>
          <w:footerReference w:type="default" r:id="rId145"/>
          <w:pgSz w:w="11910" w:h="16850"/>
          <w:pgMar w:header="852" w:footer="979" w:top="1040" w:bottom="1160" w:left="0" w:right="0"/>
        </w:sectPr>
      </w:pPr>
    </w:p>
    <w:p>
      <w:pPr>
        <w:pStyle w:val="BodyText"/>
        <w:rPr>
          <w:b/>
        </w:rPr>
      </w:pPr>
    </w:p>
    <w:p>
      <w:pPr>
        <w:pStyle w:val="BodyText"/>
        <w:rPr>
          <w:b/>
        </w:rPr>
      </w:pPr>
    </w:p>
    <w:p>
      <w:pPr>
        <w:pStyle w:val="BodyText"/>
        <w:rPr>
          <w:b/>
        </w:rPr>
      </w:pPr>
    </w:p>
    <w:p>
      <w:pPr>
        <w:pStyle w:val="BodyText"/>
        <w:rPr>
          <w:b/>
        </w:rPr>
      </w:pPr>
    </w:p>
    <w:p>
      <w:pPr>
        <w:pStyle w:val="BodyText"/>
        <w:spacing w:before="8"/>
        <w:rPr>
          <w:b/>
          <w:sz w:val="22"/>
        </w:rPr>
      </w:pPr>
    </w:p>
    <w:p>
      <w:pPr>
        <w:pStyle w:val="BodyText"/>
        <w:ind w:left="1133"/>
        <w:jc w:val="both"/>
      </w:pPr>
      <w:r>
        <w:rPr/>
        <w:t>Figure 7 shows the resulting antenna pattern.</w:t>
      </w:r>
    </w:p>
    <w:p>
      <w:pPr>
        <w:pStyle w:val="BodyText"/>
      </w:pPr>
    </w:p>
    <w:p>
      <w:pPr>
        <w:pStyle w:val="BodyText"/>
      </w:pPr>
    </w:p>
    <w:p>
      <w:pPr>
        <w:pStyle w:val="BodyText"/>
        <w:spacing w:before="3"/>
        <w:rPr>
          <w:sz w:val="13"/>
        </w:rPr>
      </w:pPr>
      <w:r>
        <w:rPr/>
        <w:drawing>
          <wp:anchor distT="0" distB="0" distL="0" distR="0" allowOverlap="1" layoutInCell="1" locked="0" behindDoc="0" simplePos="0" relativeHeight="2824">
            <wp:simplePos x="0" y="0"/>
            <wp:positionH relativeFrom="page">
              <wp:posOffset>1505851</wp:posOffset>
            </wp:positionH>
            <wp:positionV relativeFrom="paragraph">
              <wp:posOffset>121605</wp:posOffset>
            </wp:positionV>
            <wp:extent cx="1742119" cy="90487"/>
            <wp:effectExtent l="0" t="0" r="0" b="0"/>
            <wp:wrapTopAndBottom/>
            <wp:docPr id="33" name="image20.png" descr=""/>
            <wp:cNvGraphicFramePr>
              <a:graphicFrameLocks noChangeAspect="1"/>
            </wp:cNvGraphicFramePr>
            <a:graphic>
              <a:graphicData uri="http://schemas.openxmlformats.org/drawingml/2006/picture">
                <pic:pic>
                  <pic:nvPicPr>
                    <pic:cNvPr id="34" name="image20.png"/>
                    <pic:cNvPicPr/>
                  </pic:nvPicPr>
                  <pic:blipFill>
                    <a:blip r:embed="rId150" cstate="print"/>
                    <a:stretch>
                      <a:fillRect/>
                    </a:stretch>
                  </pic:blipFill>
                  <pic:spPr>
                    <a:xfrm>
                      <a:off x="0" y="0"/>
                      <a:ext cx="1742119" cy="90487"/>
                    </a:xfrm>
                    <a:prstGeom prst="rect">
                      <a:avLst/>
                    </a:prstGeom>
                  </pic:spPr>
                </pic:pic>
              </a:graphicData>
            </a:graphic>
          </wp:anchor>
        </w:drawing>
      </w:r>
    </w:p>
    <w:p>
      <w:pPr>
        <w:pStyle w:val="BodyText"/>
        <w:spacing w:before="2"/>
        <w:rPr>
          <w:sz w:val="6"/>
        </w:rPr>
      </w:pPr>
    </w:p>
    <w:p>
      <w:pPr>
        <w:pStyle w:val="BodyText"/>
        <w:spacing w:line="105" w:lineRule="exact"/>
        <w:ind w:left="3667"/>
        <w:rPr>
          <w:sz w:val="10"/>
        </w:rPr>
      </w:pPr>
      <w:r>
        <w:rPr>
          <w:position w:val="-1"/>
          <w:sz w:val="10"/>
        </w:rPr>
        <w:drawing>
          <wp:inline distT="0" distB="0" distL="0" distR="0">
            <wp:extent cx="95629" cy="67151"/>
            <wp:effectExtent l="0" t="0" r="0" b="0"/>
            <wp:docPr id="35" name="image21.png" descr=""/>
            <wp:cNvGraphicFramePr>
              <a:graphicFrameLocks noChangeAspect="1"/>
            </wp:cNvGraphicFramePr>
            <a:graphic>
              <a:graphicData uri="http://schemas.openxmlformats.org/drawingml/2006/picture">
                <pic:pic>
                  <pic:nvPicPr>
                    <pic:cNvPr id="36" name="image21.png"/>
                    <pic:cNvPicPr/>
                  </pic:nvPicPr>
                  <pic:blipFill>
                    <a:blip r:embed="rId151" cstate="print"/>
                    <a:stretch>
                      <a:fillRect/>
                    </a:stretch>
                  </pic:blipFill>
                  <pic:spPr>
                    <a:xfrm>
                      <a:off x="0" y="0"/>
                      <a:ext cx="95629" cy="67151"/>
                    </a:xfrm>
                    <a:prstGeom prst="rect">
                      <a:avLst/>
                    </a:prstGeom>
                  </pic:spPr>
                </pic:pic>
              </a:graphicData>
            </a:graphic>
          </wp:inline>
        </w:drawing>
      </w:r>
      <w:r>
        <w:rPr>
          <w:position w:val="-1"/>
          <w:sz w:val="10"/>
        </w:rPr>
      </w:r>
    </w:p>
    <w:p>
      <w:pPr>
        <w:pStyle w:val="BodyText"/>
        <w:spacing w:before="3"/>
        <w:rPr>
          <w:sz w:val="7"/>
        </w:rPr>
      </w:pPr>
    </w:p>
    <w:p>
      <w:pPr>
        <w:pStyle w:val="BodyText"/>
        <w:tabs>
          <w:tab w:pos="6174" w:val="left" w:leader="none"/>
        </w:tabs>
        <w:ind w:left="1488"/>
      </w:pPr>
      <w:r>
        <w:rPr/>
        <w:pict>
          <v:group style="width:217.75pt;height:196.75pt;mso-position-horizontal-relative:char;mso-position-vertical-relative:line" coordorigin="0,0" coordsize="4355,3935">
            <v:line style="position:absolute" from="2259,1973" to="4219,1973" stroked="true" strokeweight=".381666pt" strokecolor="#252525">
              <v:stroke dashstyle="solid"/>
            </v:line>
            <v:line style="position:absolute" from="2259,1973" to="3957,994" stroked="true" strokeweight=".381809pt" strokecolor="#252525">
              <v:stroke dashstyle="solid"/>
            </v:line>
            <v:line style="position:absolute" from="2259,1973" to="3239,277" stroked="true" strokeweight=".382094pt" strokecolor="#252525">
              <v:stroke dashstyle="solid"/>
            </v:line>
            <v:line style="position:absolute" from="2259,1973" to="2259,15" stroked="true" strokeweight=".382237pt" strokecolor="#252525">
              <v:stroke dashstyle="solid"/>
            </v:line>
            <v:line style="position:absolute" from="2259,1973" to="1278,277" stroked="true" strokeweight=".382094pt" strokecolor="#252525">
              <v:stroke dashstyle="solid"/>
            </v:line>
            <v:line style="position:absolute" from="2259,1973" to="560,994" stroked="true" strokeweight=".381809pt" strokecolor="#252525">
              <v:stroke dashstyle="solid"/>
            </v:line>
            <v:line style="position:absolute" from="2259,1973" to="298,1973" stroked="true" strokeweight=".381666pt" strokecolor="#252525">
              <v:stroke dashstyle="solid"/>
            </v:line>
            <v:line style="position:absolute" from="2259,1973" to="560,2952" stroked="true" strokeweight=".381809pt" strokecolor="#252525">
              <v:stroke dashstyle="solid"/>
            </v:line>
            <v:line style="position:absolute" from="2259,1973" to="1278,3669" stroked="true" strokeweight=".382094pt" strokecolor="#252525">
              <v:stroke dashstyle="solid"/>
            </v:line>
            <v:line style="position:absolute" from="2259,1973" to="2259,3931" stroked="true" strokeweight=".382237pt" strokecolor="#252525">
              <v:stroke dashstyle="solid"/>
            </v:line>
            <v:line style="position:absolute" from="2259,1973" to="3239,3669" stroked="true" strokeweight=".382094pt" strokecolor="#252525">
              <v:stroke dashstyle="solid"/>
            </v:line>
            <v:line style="position:absolute" from="2259,1973" to="3957,2952" stroked="true" strokeweight=".381809pt" strokecolor="#252525">
              <v:stroke dashstyle="solid"/>
            </v:line>
            <v:shape style="position:absolute;left:2259;top:1973;width:2;height:2" coordorigin="2259,1973" coordsize="0,0" path="m2259,1973l2259,1973,2259,1973e" filled="false" stroked="true" strokeweight=".381666pt" strokecolor="#252525">
              <v:path arrowok="t"/>
              <v:stroke dashstyle="solid"/>
            </v:shape>
            <v:shape style="position:absolute;left:1605;top:1321;width:1307;height:1305" coordorigin="1605,1321" coordsize="1307,1305" path="m2912,1973l2904,2076,2879,2177,2839,2273,2784,2361,2716,2439,2636,2506,2547,2559,2451,2597,2349,2619,2246,2626,2194,2623,2091,2604,1993,2570,1902,2520,1820,2457,1749,2381,1690,2296,1646,2202,1618,2102,1605,1999,1605,1947,1618,1844,1646,1744,1690,1650,1749,1565,1820,1489,1902,1426,1993,1376,2091,1342,2194,1324,2246,1321,2298,1322,2400,1336,2500,1366,2593,1412,2678,1472,2752,1545,2813,1628,2861,1720,2894,1819,2910,1921,2912,1973e" filled="false" stroked="true" strokeweight=".381951pt" strokecolor="#252525">
              <v:path arrowok="t"/>
              <v:stroke dashstyle="solid"/>
            </v:shape>
            <v:shape style="position:absolute;left:952;top:668;width:2614;height:2611" coordorigin="952,668" coordsize="2614,2611" path="m3566,1973l3562,2077,3549,2180,3529,2282,3500,2381,3464,2479,3420,2573,3368,2663,3310,2749,3245,2830,3174,2905,3097,2975,3014,3038,2927,3095,2836,3144,2741,3186,2643,3221,2542,3247,2440,3266,2337,3276,2233,3278,2129,3272,2026,3258,1924,3235,1825,3204,1728,3166,1635,3120,1546,3067,1461,3007,1381,2941,1307,2868,1239,2790,1177,2706,1122,2618,1074,2526,1034,2430,1002,2332,977,2231,961,2128,952,2025,952,1921,961,1818,977,1715,1002,1614,1034,1516,1074,1420,1122,1328,1177,1240,1239,1156,1307,1078,1381,1005,1461,939,1546,879,1635,826,1728,780,1825,742,1924,711,2026,689,2129,674,2233,668,2337,670,2440,680,2542,699,2643,725,2741,760,2836,802,2927,851,3014,908,3097,971,3174,1041,3245,1116,3310,1198,3368,1283,3420,1374,3464,1468,3500,1565,3529,1665,3549,1766,3562,1869,3566,1973e" filled="false" stroked="true" strokeweight=".381951pt" strokecolor="#252525">
              <v:path arrowok="t"/>
              <v:stroke dashstyle="solid"/>
            </v:shape>
            <v:shape style="position:absolute;left:299;top:16;width:3921;height:3916" coordorigin="299,16" coordsize="3921,3916" path="m4219,1973l4213,2129,4195,2283,4164,2436,4121,2586,4066,2731,4000,2872,3923,3008,3836,3136,3738,3258,3631,3371,3516,3476,3392,3571,3261,3656,3124,3730,2982,3793,2835,3845,2684,3884,2531,3912,2376,3928,2220,3931,2064,3921,1910,3900,1757,3866,1608,3820,1463,3763,1323,3694,1190,3614,1062,3524,943,3425,831,3316,729,3198,636,3073,554,2941,482,2802,422,2659,373,2511,336,2360,312,2206,299,2051,299,1895,312,1740,336,1586,373,1435,422,1287,482,1144,554,1005,636,873,729,748,831,631,943,522,1062,422,1190,332,1323,252,1463,183,1608,126,1757,80,1910,46,2064,25,2220,16,2376,19,2531,34,2684,62,2835,102,2982,153,3124,216,3261,291,3392,375,3516,470,3631,575,3738,688,3836,810,3923,938,4000,1074,4066,1215,4121,1361,4164,1510,4195,1663,4213,1817,4219,1973e" filled="false" stroked="true" strokeweight=".381951pt" strokecolor="#252525">
              <v:path arrowok="t"/>
              <v:stroke dashstyle="solid"/>
            </v:shape>
            <v:shape style="position:absolute;left:295;top:12;width:3928;height:3923" coordorigin="295,12" coordsize="3928,3923" path="m2220,12l2064,21,1909,43,1756,76,1607,122,1462,180,1322,249,1188,328,1060,419,940,519,829,628,726,745,633,871,551,1003,479,1142,418,1286,370,1434,333,1585,308,1739,295,1895,295,2051,308,2206,333,2360,369,2512,418,2660,479,2804,551,2943,633,3075,726,3200,828,3318,940,3427,1060,3527,1187,3618,1321,3697,1462,3766,1607,3824,1756,3870,1909,3903,2063,3925,2219,3934,2376,3931,2421,3927,2220,3927,2065,3918,1910,3896,1758,3862,1610,3817,1465,3759,1325,3691,1192,3611,1065,3521,945,3422,834,3313,732,3196,640,3071,557,2939,486,2801,426,2658,377,2510,340,2359,315,2206,303,2051,303,1895,315,1741,340,1587,377,1436,425,1289,486,1145,557,1007,639,875,732,751,834,633,945,524,1065,425,1192,335,1325,256,1465,187,1609,130,1758,84,1910,50,2064,29,2220,19,2422,19,2376,15,2220,12xm4223,1969l4223,1973,4216,1973,4210,2128,4191,2283,4160,2435,4117,2584,4063,2730,3997,2870,3920,3006,3833,3134,3735,3255,3629,3368,3513,3473,3390,3567,3260,3652,3123,3726,2981,3789,2834,3841,2683,3881,2530,3908,2375,3924,2220,3927,2421,3927,2531,3916,2685,3888,2836,3848,2983,3797,3126,3733,3263,3659,3394,3574,3518,3479,3634,3374,3741,3261,3839,3139,3927,3010,4004,2874,4070,2733,4125,2587,4168,2437,4199,2284,4217,2129,4223,1969,4223,1969xm4216,1969l4216,1973,4223,1973,4223,1969,4216,1969xm2422,19l2220,19,2375,22,2530,38,2683,65,2833,105,2980,157,3123,220,3259,294,3390,378,3513,473,3629,578,3735,691,3833,812,3920,940,3997,1075,4063,1216,4117,1362,4160,1511,4191,1663,4209,1818,4216,1973,4216,1969,4223,1969,4217,1817,4199,1663,4168,1510,4125,1360,4070,1213,4004,1072,3927,937,3839,807,3741,686,3634,572,3518,468,3394,372,3264,287,3126,213,2983,150,2836,98,2685,58,2531,30,2422,19xm4223,1969l4216,1969,4223,1969,4223,1969xe" filled="true" fillcolor="#252525" stroked="false">
              <v:path arrowok="t"/>
              <v:fill opacity="9766f" type="solid"/>
            </v:shape>
            <v:shape style="position:absolute;left:4287;top:1928;width:68;height:106" coordorigin="4287,1928" coordsize="68,106" path="m4326,1928l4313,1928,4307,1930,4302,1934,4297,1938,4293,1944,4290,1952,4288,1959,4287,1969,4287,1981,4287,1995,4289,2006,4292,2016,4297,2023,4302,2030,4310,2034,4328,2034,4334,2032,4339,2028,4344,2024,4344,2023,4315,2023,4310,2021,4302,2009,4300,1998,4300,1964,4302,1952,4306,1946,4310,1941,4314,1939,4344,1939,4343,1937,4339,1934,4335,1932,4331,1929,4326,1928xm4344,1939l4326,1939,4331,1942,4335,1947,4339,1953,4341,1964,4341,1998,4339,2009,4335,2015,4331,2021,4326,2023,4344,2023,4348,2018,4350,2010,4353,2003,4354,1993,4354,1971,4353,1963,4350,1951,4348,1945,4345,1941,4344,1939xe" filled="true" fillcolor="#252525" stroked="false">
              <v:path arrowok="t"/>
              <v:fill type="solid"/>
            </v:shape>
            <v:shape style="position:absolute;left:4016;top:821;width:150;height:106" type="#_x0000_t75" stroked="false">
              <v:imagedata r:id="rId152" o:title=""/>
            </v:shape>
            <v:shape style="position:absolute;left:3275;top:82;width:151;height:106" type="#_x0000_t75" stroked="false">
              <v:imagedata r:id="rId153" o:title=""/>
            </v:shape>
            <v:shape style="position:absolute;left:1011;top:82;width:224;height:106" type="#_x0000_t75" stroked="false">
              <v:imagedata r:id="rId154" o:title=""/>
            </v:shape>
            <v:shape style="position:absolute;left:271;top:821;width:224;height:106" type="#_x0000_t75" stroked="false">
              <v:imagedata r:id="rId155" o:title=""/>
            </v:shape>
            <v:shape style="position:absolute;left:0;top:1928;width:224;height:106" type="#_x0000_t75" stroked="false">
              <v:imagedata r:id="rId156" o:title=""/>
            </v:shape>
            <v:shape style="position:absolute;left:259;top:3035;width:235;height:106" type="#_x0000_t75" stroked="false">
              <v:imagedata r:id="rId157" o:title=""/>
            </v:shape>
            <v:shape style="position:absolute;left:1000;top:3774;width:235;height:106" type="#_x0000_t75" stroked="false">
              <v:imagedata r:id="rId158" o:title=""/>
            </v:shape>
            <v:shape style="position:absolute;left:3276;top:3774;width:233;height:106" type="#_x0000_t75" stroked="false">
              <v:imagedata r:id="rId159" o:title=""/>
            </v:shape>
            <v:shape style="position:absolute;left:4016;top:3035;width:233;height:106" type="#_x0000_t75" stroked="false">
              <v:imagedata r:id="rId160" o:title=""/>
            </v:shape>
            <v:shape style="position:absolute;left:2194;top:1930;width:120;height:104" type="#_x0000_t75" stroked="false">
              <v:imagedata r:id="rId161" o:title=""/>
            </v:shape>
            <v:shape style="position:absolute;left:2332;top:1285;width:68;height:106" coordorigin="2332,1285" coordsize="68,106" path="m2372,1285l2358,1285,2352,1288,2342,1296,2339,1301,2336,1309,2333,1316,2332,1326,2332,1338,2333,1352,2335,1363,2338,1373,2343,1380,2348,1388,2356,1391,2374,1391,2380,1389,2390,1381,2390,1381,2360,1381,2355,1378,2351,1372,2347,1367,2345,1355,2345,1321,2347,1310,2352,1303,2355,1298,2360,1296,2389,1296,2388,1294,2385,1291,2381,1289,2376,1287,2372,1285xm2389,1296l2372,1296,2377,1299,2381,1304,2385,1310,2387,1321,2387,1355,2385,1367,2377,1378,2372,1381,2390,1381,2394,1375,2398,1360,2400,1350,2400,1328,2399,1320,2396,1308,2394,1303,2391,1298,2389,1296xe" filled="true" fillcolor="#252525" stroked="false">
              <v:path arrowok="t"/>
              <v:fill type="solid"/>
            </v:shape>
            <v:shape style="position:absolute;left:2446;top:645;width:69;height:104" coordorigin="2446,645" coordsize="69,104" path="m2459,718l2446,720,2446,728,2450,735,2456,740,2462,746,2470,748,2491,748,2500,744,2504,738,2474,738,2470,736,2466,733,2462,730,2460,725,2459,718xm2507,689l2485,689,2491,691,2495,696,2499,700,2501,705,2501,720,2499,726,2494,731,2490,736,2485,738,2504,738,2506,736,2512,729,2514,721,2514,702,2511,694,2507,689xm2509,645l2458,645,2448,698,2460,699,2462,696,2464,694,2468,692,2471,690,2475,689,2507,689,2502,685,2463,685,2468,657,2509,657,2509,645xm2491,678l2475,678,2469,680,2463,685,2502,685,2499,681,2491,678xe" filled="true" fillcolor="#252525" stroked="false">
              <v:path arrowok="t"/>
              <v:fill type="solid"/>
            </v:shape>
            <v:shape style="position:absolute;left:2529;top:0;width:141;height:106" type="#_x0000_t75" stroked="false">
              <v:imagedata r:id="rId162" o:title=""/>
            </v:shape>
            <v:shape style="position:absolute;left:1201;top:773;width:2088;height:2083" type="#_x0000_t75" stroked="false">
              <v:imagedata r:id="rId163" o:title=""/>
            </v:shape>
          </v:group>
        </w:pict>
      </w:r>
      <w:r>
        <w:rPr/>
      </w:r>
      <w:r>
        <w:rPr/>
        <w:tab/>
      </w:r>
      <w:r>
        <w:rPr>
          <w:position w:val="110"/>
        </w:rPr>
        <w:pict>
          <v:group style="width:45.15pt;height:86.85pt;mso-position-horizontal-relative:char;mso-position-vertical-relative:line" coordorigin="0,0" coordsize="903,1737">
            <v:shape style="position:absolute;left:443;top:75;width:395;height:124" type="#_x0000_t75" stroked="false">
              <v:imagedata r:id="rId164" o:title=""/>
            </v:shape>
            <v:line style="position:absolute" from="50,118" to="394,118" stroked="true" strokeweight=".381666pt" strokecolor="#000000">
              <v:stroke dashstyle="solid"/>
            </v:line>
            <v:shape style="position:absolute;left:434;top:263;width:328;height:124" type="#_x0000_t75" stroked="false">
              <v:imagedata r:id="rId165" o:title=""/>
            </v:shape>
            <v:line style="position:absolute" from="50,305" to="394,305" stroked="true" strokeweight=".381666pt" strokecolor="#00ff00">
              <v:stroke dashstyle="solid"/>
            </v:line>
            <v:shape style="position:absolute;left:433;top:451;width:328;height:124" type="#_x0000_t75" stroked="false">
              <v:imagedata r:id="rId166" o:title=""/>
            </v:shape>
            <v:line style="position:absolute" from="50,493" to="394,493" stroked="true" strokeweight=".381666pt" strokecolor="#ffff00">
              <v:stroke dashstyle="solid"/>
            </v:line>
            <v:shape style="position:absolute;left:430;top:639;width:331;height:124" type="#_x0000_t75" stroked="false">
              <v:imagedata r:id="rId167" o:title=""/>
            </v:shape>
            <v:line style="position:absolute" from="50,681" to="394,681" stroked="true" strokeweight=".381666pt" strokecolor="#ff00ff">
              <v:stroke dashstyle="solid"/>
            </v:line>
            <v:shape style="position:absolute;left:432;top:826;width:329;height:124" type="#_x0000_t75" stroked="false">
              <v:imagedata r:id="rId168" o:title=""/>
            </v:shape>
            <v:line style="position:absolute" from="50,869" to="394,869" stroked="true" strokeweight=".381666pt" strokecolor="#00ffff">
              <v:stroke dashstyle="solid"/>
            </v:line>
            <v:shape style="position:absolute;left:434;top:1014;width:328;height:124" type="#_x0000_t75" stroked="false">
              <v:imagedata r:id="rId169" o:title=""/>
            </v:shape>
            <v:line style="position:absolute" from="50,1056" to="394,1056" stroked="true" strokeweight=".381666pt" strokecolor="#ff0000">
              <v:stroke dashstyle="solid"/>
            </v:line>
            <v:shape style="position:absolute;left:433;top:1202;width:375;height:124" type="#_x0000_t75" stroked="false">
              <v:imagedata r:id="rId170" o:title=""/>
            </v:shape>
            <v:line style="position:absolute" from="50,1244" to="394,1244" stroked="true" strokeweight=".381666pt" strokecolor="#0000ff">
              <v:stroke dashstyle="solid"/>
            </v:line>
            <v:shape style="position:absolute;left:433;top:1390;width:375;height:124" type="#_x0000_t75" stroked="false">
              <v:imagedata r:id="rId171" o:title=""/>
            </v:shape>
            <v:line style="position:absolute" from="50,1432" to="394,1432" stroked="true" strokeweight=".381666pt" strokecolor="#000000">
              <v:stroke dashstyle="solid"/>
            </v:line>
            <v:shape style="position:absolute;left:433;top:1577;width:375;height:124" type="#_x0000_t75" stroked="false">
              <v:imagedata r:id="rId172" o:title=""/>
            </v:shape>
            <v:line style="position:absolute" from="50,1619" to="394,1619" stroked="true" strokeweight=".381666pt" strokecolor="#00ff00">
              <v:stroke dashstyle="solid"/>
            </v:line>
            <v:rect style="position:absolute;left:4;top:4;width:894;height:1729" filled="false" stroked="true" strokeweight=".382117pt" strokecolor="#252525">
              <v:stroke dashstyle="solid"/>
            </v:rect>
          </v:group>
        </w:pict>
      </w:r>
      <w:r>
        <w:rPr>
          <w:position w:val="110"/>
        </w:rPr>
      </w:r>
    </w:p>
    <w:p>
      <w:pPr>
        <w:pStyle w:val="BodyText"/>
        <w:spacing w:before="3"/>
        <w:rPr>
          <w:sz w:val="6"/>
        </w:rPr>
      </w:pPr>
    </w:p>
    <w:p>
      <w:pPr>
        <w:pStyle w:val="BodyText"/>
        <w:spacing w:line="105" w:lineRule="exact"/>
        <w:ind w:left="3625"/>
        <w:rPr>
          <w:sz w:val="10"/>
        </w:rPr>
      </w:pPr>
      <w:r>
        <w:rPr>
          <w:position w:val="-1"/>
          <w:sz w:val="10"/>
        </w:rPr>
        <w:drawing>
          <wp:inline distT="0" distB="0" distL="0" distR="0">
            <wp:extent cx="148334" cy="66675"/>
            <wp:effectExtent l="0" t="0" r="0" b="0"/>
            <wp:docPr id="37" name="image43.png" descr=""/>
            <wp:cNvGraphicFramePr>
              <a:graphicFrameLocks noChangeAspect="1"/>
            </wp:cNvGraphicFramePr>
            <a:graphic>
              <a:graphicData uri="http://schemas.openxmlformats.org/drawingml/2006/picture">
                <pic:pic>
                  <pic:nvPicPr>
                    <pic:cNvPr id="38" name="image43.png"/>
                    <pic:cNvPicPr/>
                  </pic:nvPicPr>
                  <pic:blipFill>
                    <a:blip r:embed="rId173" cstate="print"/>
                    <a:stretch>
                      <a:fillRect/>
                    </a:stretch>
                  </pic:blipFill>
                  <pic:spPr>
                    <a:xfrm>
                      <a:off x="0" y="0"/>
                      <a:ext cx="148334" cy="66675"/>
                    </a:xfrm>
                    <a:prstGeom prst="rect">
                      <a:avLst/>
                    </a:prstGeom>
                  </pic:spPr>
                </pic:pic>
              </a:graphicData>
            </a:graphic>
          </wp:inline>
        </w:drawing>
      </w:r>
      <w:r>
        <w:rPr>
          <w:position w:val="-1"/>
          <w:sz w:val="10"/>
        </w:rPr>
      </w:r>
    </w:p>
    <w:p>
      <w:pPr>
        <w:pStyle w:val="BodyText"/>
        <w:rPr>
          <w:sz w:val="22"/>
        </w:rPr>
      </w:pPr>
    </w:p>
    <w:p>
      <w:pPr>
        <w:pStyle w:val="BodyText"/>
        <w:spacing w:before="8"/>
        <w:rPr>
          <w:sz w:val="23"/>
        </w:rPr>
      </w:pPr>
    </w:p>
    <w:p>
      <w:pPr>
        <w:pStyle w:val="Heading4"/>
        <w:ind w:right="1132"/>
        <w:jc w:val="both"/>
      </w:pPr>
      <w:r>
        <w:rPr/>
        <w:t>Figure</w:t>
      </w:r>
      <w:r>
        <w:rPr>
          <w:spacing w:val="-11"/>
        </w:rPr>
        <w:t> </w:t>
      </w:r>
      <w:r>
        <w:rPr/>
        <w:t>7:</w:t>
      </w:r>
      <w:r>
        <w:rPr>
          <w:spacing w:val="-10"/>
        </w:rPr>
        <w:t> </w:t>
      </w:r>
      <w:r>
        <w:rPr/>
        <w:t>Single</w:t>
      </w:r>
      <w:r>
        <w:rPr>
          <w:spacing w:val="-8"/>
        </w:rPr>
        <w:t> </w:t>
      </w:r>
      <w:r>
        <w:rPr/>
        <w:t>Antenna</w:t>
      </w:r>
      <w:r>
        <w:rPr>
          <w:spacing w:val="-11"/>
        </w:rPr>
        <w:t> </w:t>
      </w:r>
      <w:r>
        <w:rPr/>
        <w:t>on</w:t>
      </w:r>
      <w:r>
        <w:rPr>
          <w:spacing w:val="-12"/>
        </w:rPr>
        <w:t> </w:t>
      </w:r>
      <w:r>
        <w:rPr/>
        <w:t>Rolled</w:t>
      </w:r>
      <w:r>
        <w:rPr>
          <w:spacing w:val="-12"/>
        </w:rPr>
        <w:t> </w:t>
      </w:r>
      <w:r>
        <w:rPr/>
        <w:t>Edge</w:t>
      </w:r>
      <w:r>
        <w:rPr>
          <w:spacing w:val="-11"/>
        </w:rPr>
        <w:t> </w:t>
      </w:r>
      <w:r>
        <w:rPr/>
        <w:t>Groundplane</w:t>
      </w:r>
      <w:r>
        <w:rPr>
          <w:spacing w:val="-9"/>
        </w:rPr>
        <w:t> </w:t>
      </w:r>
      <w:r>
        <w:rPr/>
        <w:t>Antenna</w:t>
      </w:r>
      <w:r>
        <w:rPr>
          <w:spacing w:val="-11"/>
        </w:rPr>
        <w:t> </w:t>
      </w:r>
      <w:r>
        <w:rPr/>
        <w:t>Gain</w:t>
      </w:r>
      <w:r>
        <w:rPr>
          <w:spacing w:val="-11"/>
        </w:rPr>
        <w:t> </w:t>
      </w:r>
      <w:r>
        <w:rPr/>
        <w:t>Pattern</w:t>
      </w:r>
      <w:r>
        <w:rPr>
          <w:spacing w:val="-12"/>
        </w:rPr>
        <w:t> </w:t>
      </w:r>
      <w:r>
        <w:rPr/>
        <w:t>(Vertical Polarization)</w:t>
      </w:r>
    </w:p>
    <w:p>
      <w:pPr>
        <w:pStyle w:val="BodyText"/>
        <w:rPr>
          <w:b/>
          <w:sz w:val="26"/>
        </w:rPr>
      </w:pPr>
    </w:p>
    <w:p>
      <w:pPr>
        <w:pStyle w:val="BodyText"/>
        <w:spacing w:before="182"/>
        <w:ind w:left="1133" w:right="1129"/>
        <w:jc w:val="both"/>
      </w:pPr>
      <w:r>
        <w:rPr/>
        <w:t>Overall the antenna has adequate omnidirectional coverage but demonstrates some pattern degradation at 150</w:t>
      </w:r>
      <w:r>
        <w:rPr>
          <w:spacing w:val="-5"/>
        </w:rPr>
        <w:t> </w:t>
      </w:r>
      <w:r>
        <w:rPr/>
        <w:t>deg</w:t>
      </w:r>
      <w:r>
        <w:rPr>
          <w:spacing w:val="-4"/>
        </w:rPr>
        <w:t> </w:t>
      </w:r>
      <w:r>
        <w:rPr/>
        <w:t>and</w:t>
      </w:r>
      <w:r>
        <w:rPr>
          <w:spacing w:val="-5"/>
        </w:rPr>
        <w:t> </w:t>
      </w:r>
      <w:r>
        <w:rPr/>
        <w:t>300</w:t>
      </w:r>
      <w:r>
        <w:rPr>
          <w:spacing w:val="-7"/>
        </w:rPr>
        <w:t> </w:t>
      </w:r>
      <w:r>
        <w:rPr/>
        <w:t>deg</w:t>
      </w:r>
      <w:r>
        <w:rPr>
          <w:spacing w:val="-5"/>
        </w:rPr>
        <w:t> </w:t>
      </w:r>
      <w:r>
        <w:rPr/>
        <w:t>Azimuth.</w:t>
      </w:r>
      <w:r>
        <w:rPr>
          <w:spacing w:val="42"/>
        </w:rPr>
        <w:t> </w:t>
      </w:r>
      <w:r>
        <w:rPr/>
        <w:t>Therefore,</w:t>
      </w:r>
      <w:r>
        <w:rPr>
          <w:spacing w:val="-7"/>
        </w:rPr>
        <w:t> </w:t>
      </w:r>
      <w:r>
        <w:rPr/>
        <w:t>the</w:t>
      </w:r>
      <w:r>
        <w:rPr>
          <w:spacing w:val="-7"/>
        </w:rPr>
        <w:t> </w:t>
      </w:r>
      <w:r>
        <w:rPr/>
        <w:t>recommended</w:t>
      </w:r>
      <w:r>
        <w:rPr>
          <w:spacing w:val="-7"/>
        </w:rPr>
        <w:t> </w:t>
      </w:r>
      <w:r>
        <w:rPr/>
        <w:t>placement</w:t>
      </w:r>
      <w:r>
        <w:rPr>
          <w:spacing w:val="-7"/>
        </w:rPr>
        <w:t> </w:t>
      </w:r>
      <w:r>
        <w:rPr/>
        <w:t>on</w:t>
      </w:r>
      <w:r>
        <w:rPr>
          <w:spacing w:val="-7"/>
        </w:rPr>
        <w:t> </w:t>
      </w:r>
      <w:r>
        <w:rPr/>
        <w:t>the</w:t>
      </w:r>
      <w:r>
        <w:rPr>
          <w:spacing w:val="-7"/>
        </w:rPr>
        <w:t> </w:t>
      </w:r>
      <w:r>
        <w:rPr/>
        <w:t>vehicle</w:t>
      </w:r>
      <w:r>
        <w:rPr>
          <w:spacing w:val="-7"/>
        </w:rPr>
        <w:t> </w:t>
      </w:r>
      <w:r>
        <w:rPr/>
        <w:t>is</w:t>
      </w:r>
      <w:r>
        <w:rPr>
          <w:spacing w:val="-3"/>
        </w:rPr>
        <w:t> </w:t>
      </w:r>
      <w:r>
        <w:rPr/>
        <w:t>as</w:t>
      </w:r>
      <w:r>
        <w:rPr>
          <w:spacing w:val="-6"/>
        </w:rPr>
        <w:t> </w:t>
      </w:r>
      <w:r>
        <w:rPr/>
        <w:t>shown</w:t>
      </w:r>
      <w:r>
        <w:rPr>
          <w:spacing w:val="-5"/>
        </w:rPr>
        <w:t> </w:t>
      </w:r>
      <w:r>
        <w:rPr/>
        <w:t>in</w:t>
      </w:r>
      <w:r>
        <w:rPr>
          <w:spacing w:val="-7"/>
        </w:rPr>
        <w:t> </w:t>
      </w:r>
      <w:r>
        <w:rPr/>
        <w:t>Figures 8</w:t>
      </w:r>
      <w:r>
        <w:rPr>
          <w:spacing w:val="-10"/>
        </w:rPr>
        <w:t> </w:t>
      </w:r>
      <w:r>
        <w:rPr/>
        <w:t>and</w:t>
      </w:r>
      <w:r>
        <w:rPr>
          <w:spacing w:val="-8"/>
        </w:rPr>
        <w:t> </w:t>
      </w:r>
      <w:r>
        <w:rPr/>
        <w:t>9.</w:t>
      </w:r>
      <w:r>
        <w:rPr>
          <w:spacing w:val="-10"/>
        </w:rPr>
        <w:t> </w:t>
      </w:r>
      <w:r>
        <w:rPr/>
        <w:t>In</w:t>
      </w:r>
      <w:r>
        <w:rPr>
          <w:spacing w:val="-11"/>
        </w:rPr>
        <w:t> </w:t>
      </w:r>
      <w:r>
        <w:rPr/>
        <w:t>Figure</w:t>
      </w:r>
      <w:r>
        <w:rPr>
          <w:spacing w:val="-10"/>
        </w:rPr>
        <w:t> </w:t>
      </w:r>
      <w:r>
        <w:rPr/>
        <w:t>9,</w:t>
      </w:r>
      <w:r>
        <w:rPr>
          <w:spacing w:val="-10"/>
        </w:rPr>
        <w:t> </w:t>
      </w:r>
      <w:r>
        <w:rPr/>
        <w:t>the</w:t>
      </w:r>
      <w:r>
        <w:rPr>
          <w:spacing w:val="-11"/>
        </w:rPr>
        <w:t> </w:t>
      </w:r>
      <w:r>
        <w:rPr/>
        <w:t>antenna</w:t>
      </w:r>
      <w:r>
        <w:rPr>
          <w:spacing w:val="-11"/>
        </w:rPr>
        <w:t> </w:t>
      </w:r>
      <w:r>
        <w:rPr/>
        <w:t>cables</w:t>
      </w:r>
      <w:r>
        <w:rPr>
          <w:spacing w:val="-9"/>
        </w:rPr>
        <w:t> </w:t>
      </w:r>
      <w:r>
        <w:rPr/>
        <w:t>are</w:t>
      </w:r>
      <w:r>
        <w:rPr>
          <w:spacing w:val="-10"/>
        </w:rPr>
        <w:t> </w:t>
      </w:r>
      <w:r>
        <w:rPr/>
        <w:t>routed</w:t>
      </w:r>
      <w:r>
        <w:rPr>
          <w:spacing w:val="-11"/>
        </w:rPr>
        <w:t> </w:t>
      </w:r>
      <w:r>
        <w:rPr/>
        <w:t>straight</w:t>
      </w:r>
      <w:r>
        <w:rPr>
          <w:spacing w:val="-10"/>
        </w:rPr>
        <w:t> </w:t>
      </w:r>
      <w:r>
        <w:rPr/>
        <w:t>down</w:t>
      </w:r>
      <w:r>
        <w:rPr>
          <w:spacing w:val="-10"/>
        </w:rPr>
        <w:t> </w:t>
      </w:r>
      <w:r>
        <w:rPr/>
        <w:t>the</w:t>
      </w:r>
      <w:r>
        <w:rPr>
          <w:spacing w:val="-8"/>
        </w:rPr>
        <w:t> </w:t>
      </w:r>
      <w:r>
        <w:rPr/>
        <w:t>vehicle</w:t>
      </w:r>
      <w:r>
        <w:rPr>
          <w:spacing w:val="-8"/>
        </w:rPr>
        <w:t> </w:t>
      </w:r>
      <w:r>
        <w:rPr/>
        <w:t>while</w:t>
      </w:r>
      <w:r>
        <w:rPr>
          <w:spacing w:val="-8"/>
        </w:rPr>
        <w:t> </w:t>
      </w:r>
      <w:r>
        <w:rPr/>
        <w:t>on</w:t>
      </w:r>
      <w:r>
        <w:rPr>
          <w:spacing w:val="-11"/>
        </w:rPr>
        <w:t> </w:t>
      </w:r>
      <w:r>
        <w:rPr/>
        <w:t>antenna</w:t>
      </w:r>
      <w:r>
        <w:rPr>
          <w:spacing w:val="-11"/>
        </w:rPr>
        <w:t> </w:t>
      </w:r>
      <w:r>
        <w:rPr/>
        <w:t>range</w:t>
      </w:r>
      <w:r>
        <w:rPr>
          <w:spacing w:val="-11"/>
        </w:rPr>
        <w:t> </w:t>
      </w:r>
      <w:r>
        <w:rPr/>
        <w:t>turntable. During the field tests the same cables are routed down the drip edge to the trunk of the</w:t>
      </w:r>
      <w:r>
        <w:rPr>
          <w:spacing w:val="-28"/>
        </w:rPr>
        <w:t> </w:t>
      </w:r>
      <w:r>
        <w:rPr/>
        <w:t>vehicle.</w:t>
      </w:r>
    </w:p>
    <w:p>
      <w:pPr>
        <w:pStyle w:val="BodyText"/>
        <w:spacing w:before="5"/>
        <w:rPr>
          <w:sz w:val="17"/>
        </w:rPr>
      </w:pPr>
      <w:r>
        <w:rPr/>
        <w:drawing>
          <wp:anchor distT="0" distB="0" distL="0" distR="0" allowOverlap="1" layoutInCell="1" locked="0" behindDoc="0" simplePos="0" relativeHeight="2896">
            <wp:simplePos x="0" y="0"/>
            <wp:positionH relativeFrom="page">
              <wp:posOffset>719455</wp:posOffset>
            </wp:positionH>
            <wp:positionV relativeFrom="paragraph">
              <wp:posOffset>152228</wp:posOffset>
            </wp:positionV>
            <wp:extent cx="2618878" cy="2025395"/>
            <wp:effectExtent l="0" t="0" r="0" b="0"/>
            <wp:wrapTopAndBottom/>
            <wp:docPr id="39" name="image44.png" descr=""/>
            <wp:cNvGraphicFramePr>
              <a:graphicFrameLocks noChangeAspect="1"/>
            </wp:cNvGraphicFramePr>
            <a:graphic>
              <a:graphicData uri="http://schemas.openxmlformats.org/drawingml/2006/picture">
                <pic:pic>
                  <pic:nvPicPr>
                    <pic:cNvPr id="40" name="image44.png"/>
                    <pic:cNvPicPr/>
                  </pic:nvPicPr>
                  <pic:blipFill>
                    <a:blip r:embed="rId174" cstate="print"/>
                    <a:stretch>
                      <a:fillRect/>
                    </a:stretch>
                  </pic:blipFill>
                  <pic:spPr>
                    <a:xfrm>
                      <a:off x="0" y="0"/>
                      <a:ext cx="2618878" cy="2025395"/>
                    </a:xfrm>
                    <a:prstGeom prst="rect">
                      <a:avLst/>
                    </a:prstGeom>
                  </pic:spPr>
                </pic:pic>
              </a:graphicData>
            </a:graphic>
          </wp:anchor>
        </w:drawing>
      </w:r>
    </w:p>
    <w:p>
      <w:pPr>
        <w:pStyle w:val="BodyText"/>
        <w:spacing w:before="2"/>
        <w:rPr>
          <w:sz w:val="25"/>
        </w:rPr>
      </w:pPr>
    </w:p>
    <w:p>
      <w:pPr>
        <w:pStyle w:val="Heading4"/>
        <w:jc w:val="both"/>
      </w:pPr>
      <w:r>
        <w:rPr/>
        <w:t>Figure 8: Antenna Configuration on Vehicle (top view)</w:t>
      </w:r>
    </w:p>
    <w:p>
      <w:pPr>
        <w:spacing w:after="0"/>
        <w:jc w:val="both"/>
        <w:sectPr>
          <w:headerReference w:type="default" r:id="rId148"/>
          <w:footerReference w:type="default" r:id="rId149"/>
          <w:pgSz w:w="11910" w:h="16850"/>
          <w:pgMar w:header="852" w:footer="979" w:top="1040" w:bottom="1160" w:left="0" w:right="0"/>
          <w:pgNumType w:start="21"/>
        </w:sectPr>
      </w:pPr>
    </w:p>
    <w:p>
      <w:pPr>
        <w:pStyle w:val="BodyText"/>
        <w:rPr>
          <w:b/>
        </w:rPr>
      </w:pPr>
    </w:p>
    <w:p>
      <w:pPr>
        <w:pStyle w:val="BodyText"/>
        <w:spacing w:before="6"/>
        <w:rPr>
          <w:b/>
          <w:sz w:val="11"/>
        </w:rPr>
      </w:pPr>
    </w:p>
    <w:p>
      <w:pPr>
        <w:pStyle w:val="BodyText"/>
        <w:ind w:left="1133"/>
      </w:pPr>
      <w:r>
        <w:rPr/>
        <w:drawing>
          <wp:inline distT="0" distB="0" distL="0" distR="0">
            <wp:extent cx="3984244" cy="2988182"/>
            <wp:effectExtent l="0" t="0" r="0" b="0"/>
            <wp:docPr id="41" name="image45.jpeg" descr=""/>
            <wp:cNvGraphicFramePr>
              <a:graphicFrameLocks noChangeAspect="1"/>
            </wp:cNvGraphicFramePr>
            <a:graphic>
              <a:graphicData uri="http://schemas.openxmlformats.org/drawingml/2006/picture">
                <pic:pic>
                  <pic:nvPicPr>
                    <pic:cNvPr id="42" name="image45.jpeg"/>
                    <pic:cNvPicPr/>
                  </pic:nvPicPr>
                  <pic:blipFill>
                    <a:blip r:embed="rId176" cstate="print"/>
                    <a:stretch>
                      <a:fillRect/>
                    </a:stretch>
                  </pic:blipFill>
                  <pic:spPr>
                    <a:xfrm>
                      <a:off x="0" y="0"/>
                      <a:ext cx="3984244" cy="2988182"/>
                    </a:xfrm>
                    <a:prstGeom prst="rect">
                      <a:avLst/>
                    </a:prstGeom>
                  </pic:spPr>
                </pic:pic>
              </a:graphicData>
            </a:graphic>
          </wp:inline>
        </w:drawing>
      </w:r>
      <w:r>
        <w:rPr/>
      </w:r>
    </w:p>
    <w:p>
      <w:pPr>
        <w:pStyle w:val="BodyText"/>
        <w:spacing w:before="6"/>
        <w:rPr>
          <w:b/>
          <w:sz w:val="15"/>
        </w:rPr>
      </w:pPr>
    </w:p>
    <w:p>
      <w:pPr>
        <w:pStyle w:val="Heading4"/>
        <w:spacing w:before="92"/>
      </w:pPr>
      <w:r>
        <w:rPr/>
        <w:t>Figure 9: Antennas on Vehicle</w:t>
      </w:r>
    </w:p>
    <w:p>
      <w:pPr>
        <w:pStyle w:val="BodyText"/>
        <w:rPr>
          <w:b/>
          <w:sz w:val="26"/>
        </w:rPr>
      </w:pPr>
    </w:p>
    <w:p>
      <w:pPr>
        <w:pStyle w:val="BodyText"/>
        <w:spacing w:before="182"/>
        <w:ind w:left="1133" w:right="1136"/>
      </w:pPr>
      <w:r>
        <w:rPr/>
        <w:t>This configuration optimizes the antenna gain to the front and rear of the vehicle. Figure 10 shows this in the antenna gain patterns.</w:t>
      </w:r>
    </w:p>
    <w:p>
      <w:pPr>
        <w:spacing w:after="0"/>
        <w:sectPr>
          <w:headerReference w:type="default" r:id="rId175"/>
          <w:pgSz w:w="11910" w:h="16850"/>
          <w:pgMar w:header="852" w:footer="979" w:top="1040" w:bottom="1160" w:left="0" w:right="0"/>
        </w:sectPr>
      </w:pPr>
    </w:p>
    <w:p>
      <w:pPr>
        <w:pStyle w:val="BodyText"/>
      </w:pPr>
    </w:p>
    <w:p>
      <w:pPr>
        <w:pStyle w:val="BodyText"/>
        <w:spacing w:before="6"/>
        <w:rPr>
          <w:sz w:val="11"/>
        </w:rPr>
      </w:pPr>
    </w:p>
    <w:p>
      <w:pPr>
        <w:pStyle w:val="BodyText"/>
        <w:ind w:left="1133"/>
      </w:pPr>
      <w:r>
        <w:rPr/>
        <w:drawing>
          <wp:inline distT="0" distB="0" distL="0" distR="0">
            <wp:extent cx="3995971" cy="2990088"/>
            <wp:effectExtent l="0" t="0" r="0" b="0"/>
            <wp:docPr id="43" name="image46.png" descr=""/>
            <wp:cNvGraphicFramePr>
              <a:graphicFrameLocks noChangeAspect="1"/>
            </wp:cNvGraphicFramePr>
            <a:graphic>
              <a:graphicData uri="http://schemas.openxmlformats.org/drawingml/2006/picture">
                <pic:pic>
                  <pic:nvPicPr>
                    <pic:cNvPr id="44" name="image46.png"/>
                    <pic:cNvPicPr/>
                  </pic:nvPicPr>
                  <pic:blipFill>
                    <a:blip r:embed="rId178" cstate="print"/>
                    <a:stretch>
                      <a:fillRect/>
                    </a:stretch>
                  </pic:blipFill>
                  <pic:spPr>
                    <a:xfrm>
                      <a:off x="0" y="0"/>
                      <a:ext cx="3995971" cy="2990088"/>
                    </a:xfrm>
                    <a:prstGeom prst="rect">
                      <a:avLst/>
                    </a:prstGeom>
                  </pic:spPr>
                </pic:pic>
              </a:graphicData>
            </a:graphic>
          </wp:inline>
        </w:drawing>
      </w:r>
      <w:r>
        <w:rPr/>
      </w:r>
    </w:p>
    <w:p>
      <w:pPr>
        <w:pStyle w:val="BodyText"/>
        <w:spacing w:before="4"/>
        <w:rPr>
          <w:sz w:val="17"/>
        </w:rPr>
      </w:pPr>
      <w:r>
        <w:rPr/>
        <w:drawing>
          <wp:anchor distT="0" distB="0" distL="0" distR="0" allowOverlap="1" layoutInCell="1" locked="0" behindDoc="0" simplePos="0" relativeHeight="2920">
            <wp:simplePos x="0" y="0"/>
            <wp:positionH relativeFrom="page">
              <wp:posOffset>719455</wp:posOffset>
            </wp:positionH>
            <wp:positionV relativeFrom="paragraph">
              <wp:posOffset>151764</wp:posOffset>
            </wp:positionV>
            <wp:extent cx="4081267" cy="3058668"/>
            <wp:effectExtent l="0" t="0" r="0" b="0"/>
            <wp:wrapTopAndBottom/>
            <wp:docPr id="45" name="image47.png" descr=""/>
            <wp:cNvGraphicFramePr>
              <a:graphicFrameLocks noChangeAspect="1"/>
            </wp:cNvGraphicFramePr>
            <a:graphic>
              <a:graphicData uri="http://schemas.openxmlformats.org/drawingml/2006/picture">
                <pic:pic>
                  <pic:nvPicPr>
                    <pic:cNvPr id="46" name="image47.png"/>
                    <pic:cNvPicPr/>
                  </pic:nvPicPr>
                  <pic:blipFill>
                    <a:blip r:embed="rId179" cstate="print"/>
                    <a:stretch>
                      <a:fillRect/>
                    </a:stretch>
                  </pic:blipFill>
                  <pic:spPr>
                    <a:xfrm>
                      <a:off x="0" y="0"/>
                      <a:ext cx="4081267" cy="3058668"/>
                    </a:xfrm>
                    <a:prstGeom prst="rect">
                      <a:avLst/>
                    </a:prstGeom>
                  </pic:spPr>
                </pic:pic>
              </a:graphicData>
            </a:graphic>
          </wp:anchor>
        </w:drawing>
      </w:r>
    </w:p>
    <w:p>
      <w:pPr>
        <w:pStyle w:val="BodyText"/>
        <w:spacing w:before="11"/>
        <w:rPr>
          <w:sz w:val="15"/>
        </w:rPr>
      </w:pPr>
    </w:p>
    <w:p>
      <w:pPr>
        <w:pStyle w:val="Heading4"/>
        <w:spacing w:before="92"/>
        <w:jc w:val="both"/>
      </w:pPr>
      <w:r>
        <w:rPr/>
        <w:t>Figure 10: Antenna Performance on Vehicle (Vertical Antenna Gain)</w:t>
      </w:r>
    </w:p>
    <w:p>
      <w:pPr>
        <w:pStyle w:val="BodyText"/>
        <w:rPr>
          <w:b/>
          <w:sz w:val="26"/>
        </w:rPr>
      </w:pPr>
    </w:p>
    <w:p>
      <w:pPr>
        <w:pStyle w:val="Heading7"/>
        <w:spacing w:before="180"/>
        <w:jc w:val="both"/>
        <w:rPr>
          <w:b w:val="0"/>
        </w:rPr>
      </w:pPr>
      <w:r>
        <w:rPr>
          <w:u w:val="thick"/>
        </w:rPr>
        <w:t>Conclusion</w:t>
      </w:r>
      <w:r>
        <w:rPr>
          <w:b w:val="0"/>
        </w:rPr>
        <w:t>:</w:t>
      </w:r>
    </w:p>
    <w:p>
      <w:pPr>
        <w:pStyle w:val="BodyText"/>
        <w:spacing w:before="180"/>
        <w:ind w:left="1133" w:right="1127"/>
        <w:jc w:val="both"/>
      </w:pPr>
      <w:r>
        <w:rPr/>
        <w:t>The antenna configuration has optimized the antenna patterns for the front and rear of the vehicle. Moreover, the side performance should be adequate for approaching the side that has the Tx/Rx antenna (which in our case is the driver side). However, the Tx section of the link approaching the passenger side will have a degraded range, and vehicle testing should account for this. In addition, the two antennae show a 3-dB difference in gain, which is probably caused by unit-to-unit variability. This difference does not invalidate the configuration recommendation. Crucially, the same antenna configuration was used for both radio technologies.</w:t>
      </w:r>
    </w:p>
    <w:p>
      <w:pPr>
        <w:spacing w:after="0"/>
        <w:jc w:val="both"/>
        <w:sectPr>
          <w:headerReference w:type="default" r:id="rId177"/>
          <w:pgSz w:w="11910" w:h="16850"/>
          <w:pgMar w:header="852" w:footer="979" w:top="1040" w:bottom="1160" w:left="0" w:right="0"/>
        </w:sectPr>
      </w:pPr>
    </w:p>
    <w:p>
      <w:pPr>
        <w:pStyle w:val="BodyText"/>
      </w:pPr>
    </w:p>
    <w:p>
      <w:pPr>
        <w:pStyle w:val="BodyText"/>
      </w:pPr>
    </w:p>
    <w:p>
      <w:pPr>
        <w:pStyle w:val="BodyText"/>
      </w:pPr>
    </w:p>
    <w:p>
      <w:pPr>
        <w:pStyle w:val="BodyText"/>
        <w:spacing w:before="1"/>
        <w:rPr>
          <w:sz w:val="28"/>
        </w:rPr>
      </w:pPr>
    </w:p>
    <w:p>
      <w:pPr>
        <w:pStyle w:val="BodyText"/>
        <w:spacing w:line="29" w:lineRule="exact"/>
        <w:ind w:left="1089"/>
        <w:rPr>
          <w:sz w:val="2"/>
        </w:rPr>
      </w:pPr>
      <w:r>
        <w:rPr>
          <w:position w:val="0"/>
          <w:sz w:val="2"/>
        </w:rPr>
        <w:pict>
          <v:group style="width:486.5pt;height:1.45pt;mso-position-horizontal-relative:char;mso-position-vertical-relative:line" coordorigin="0,0" coordsize="9730,29">
            <v:line style="position:absolute" from="15,15" to="9715,15" stroked="true" strokeweight="1.44pt" strokecolor="#000000">
              <v:stroke dashstyle="solid"/>
            </v:line>
          </v:group>
        </w:pict>
      </w:r>
      <w:r>
        <w:rPr>
          <w:position w:val="0"/>
          <w:sz w:val="2"/>
        </w:rPr>
      </w:r>
    </w:p>
    <w:p>
      <w:pPr>
        <w:pStyle w:val="Heading1"/>
        <w:numPr>
          <w:ilvl w:val="0"/>
          <w:numId w:val="14"/>
        </w:numPr>
        <w:tabs>
          <w:tab w:pos="2265" w:val="left" w:leader="none"/>
          <w:tab w:pos="2266" w:val="left" w:leader="none"/>
        </w:tabs>
        <w:spacing w:line="240" w:lineRule="auto" w:before="56" w:after="0"/>
        <w:ind w:left="2265" w:right="0" w:hanging="1132"/>
        <w:jc w:val="left"/>
      </w:pPr>
      <w:bookmarkStart w:name="_bookmark129" w:id="189"/>
      <w:bookmarkEnd w:id="189"/>
      <w:r>
        <w:rPr/>
      </w:r>
      <w:bookmarkStart w:name="_bookmark129" w:id="190"/>
      <w:bookmarkEnd w:id="190"/>
      <w:r>
        <w:rPr/>
        <w:t>L</w:t>
      </w:r>
      <w:r>
        <w:rPr/>
        <w:t>ab Test Procedures and</w:t>
      </w:r>
      <w:r>
        <w:rPr>
          <w:spacing w:val="-4"/>
        </w:rPr>
        <w:t> </w:t>
      </w:r>
      <w:r>
        <w:rPr/>
        <w:t>Results</w:t>
      </w:r>
    </w:p>
    <w:p>
      <w:pPr>
        <w:pStyle w:val="BodyText"/>
        <w:spacing w:before="7"/>
        <w:rPr>
          <w:sz w:val="23"/>
        </w:rPr>
      </w:pPr>
    </w:p>
    <w:p>
      <w:pPr>
        <w:pStyle w:val="Heading2"/>
        <w:numPr>
          <w:ilvl w:val="1"/>
          <w:numId w:val="14"/>
        </w:numPr>
        <w:tabs>
          <w:tab w:pos="2267" w:val="left" w:leader="none"/>
        </w:tabs>
        <w:spacing w:line="240" w:lineRule="auto" w:before="89" w:after="0"/>
        <w:ind w:left="2266" w:right="0" w:hanging="1133"/>
        <w:jc w:val="both"/>
      </w:pPr>
      <w:bookmarkStart w:name="_bookmark130" w:id="191"/>
      <w:bookmarkEnd w:id="191"/>
      <w:r>
        <w:rPr/>
      </w:r>
      <w:bookmarkStart w:name="_bookmark130" w:id="192"/>
      <w:bookmarkEnd w:id="192"/>
      <w:r>
        <w:rPr/>
        <w:t>Introducti</w:t>
      </w:r>
      <w:r>
        <w:rPr/>
        <w:t>on</w:t>
      </w:r>
    </w:p>
    <w:p>
      <w:pPr>
        <w:pStyle w:val="Heading7"/>
        <w:spacing w:before="179"/>
        <w:jc w:val="both"/>
      </w:pPr>
      <w:r>
        <w:rPr/>
        <w:t>Test Cases - Device Characterization</w:t>
      </w:r>
    </w:p>
    <w:p>
      <w:pPr>
        <w:pStyle w:val="BodyText"/>
        <w:spacing w:before="183"/>
        <w:ind w:left="1133" w:right="1129"/>
        <w:jc w:val="both"/>
      </w:pPr>
      <w:r>
        <w:rPr/>
        <w:t>The following sections focus on test cases that characterize the device’s Rx/Tx performance, end-to-end application layer latency, and processing performance in a laboratory environment. In particular, the tests described</w:t>
      </w:r>
      <w:r>
        <w:rPr>
          <w:spacing w:val="-9"/>
        </w:rPr>
        <w:t> </w:t>
      </w:r>
      <w:r>
        <w:rPr/>
        <w:t>in</w:t>
      </w:r>
      <w:r>
        <w:rPr>
          <w:spacing w:val="-11"/>
        </w:rPr>
        <w:t> </w:t>
      </w:r>
      <w:r>
        <w:rPr/>
        <w:t>this</w:t>
      </w:r>
      <w:r>
        <w:rPr>
          <w:spacing w:val="-10"/>
        </w:rPr>
        <w:t> </w:t>
      </w:r>
      <w:r>
        <w:rPr/>
        <w:t>section</w:t>
      </w:r>
      <w:r>
        <w:rPr>
          <w:spacing w:val="-11"/>
        </w:rPr>
        <w:t> </w:t>
      </w:r>
      <w:r>
        <w:rPr/>
        <w:t>focus</w:t>
      </w:r>
      <w:r>
        <w:rPr>
          <w:spacing w:val="-10"/>
        </w:rPr>
        <w:t> </w:t>
      </w:r>
      <w:r>
        <w:rPr/>
        <w:t>on</w:t>
      </w:r>
      <w:r>
        <w:rPr>
          <w:spacing w:val="-12"/>
        </w:rPr>
        <w:t> </w:t>
      </w:r>
      <w:r>
        <w:rPr/>
        <w:t>characterizing</w:t>
      </w:r>
      <w:r>
        <w:rPr>
          <w:spacing w:val="-12"/>
        </w:rPr>
        <w:t> </w:t>
      </w:r>
      <w:r>
        <w:rPr/>
        <w:t>the</w:t>
      </w:r>
      <w:r>
        <w:rPr>
          <w:spacing w:val="-12"/>
        </w:rPr>
        <w:t> </w:t>
      </w:r>
      <w:r>
        <w:rPr/>
        <w:t>Physical</w:t>
      </w:r>
      <w:r>
        <w:rPr>
          <w:spacing w:val="-12"/>
        </w:rPr>
        <w:t> </w:t>
      </w:r>
      <w:r>
        <w:rPr/>
        <w:t>(PHY)</w:t>
      </w:r>
      <w:r>
        <w:rPr>
          <w:spacing w:val="-10"/>
        </w:rPr>
        <w:t> </w:t>
      </w:r>
      <w:r>
        <w:rPr/>
        <w:t>and</w:t>
      </w:r>
      <w:r>
        <w:rPr>
          <w:spacing w:val="-12"/>
        </w:rPr>
        <w:t> </w:t>
      </w:r>
      <w:r>
        <w:rPr/>
        <w:t>Medium</w:t>
      </w:r>
      <w:r>
        <w:rPr>
          <w:spacing w:val="-7"/>
        </w:rPr>
        <w:t> </w:t>
      </w:r>
      <w:r>
        <w:rPr/>
        <w:t>Access</w:t>
      </w:r>
      <w:r>
        <w:rPr>
          <w:spacing w:val="-10"/>
        </w:rPr>
        <w:t> </w:t>
      </w:r>
      <w:r>
        <w:rPr/>
        <w:t>Control</w:t>
      </w:r>
      <w:r>
        <w:rPr>
          <w:spacing w:val="-12"/>
        </w:rPr>
        <w:t> </w:t>
      </w:r>
      <w:r>
        <w:rPr/>
        <w:t>(MAC)</w:t>
      </w:r>
      <w:r>
        <w:rPr>
          <w:spacing w:val="-10"/>
        </w:rPr>
        <w:t> </w:t>
      </w:r>
      <w:r>
        <w:rPr/>
        <w:t>layers of radio technology, including interference scenarios and device performance in a high-density radio- congested environment. Evaluation measures shall reference industry standards, if available, for the given radio technology, such as IEEE 802.11p and SAE J2945/1 for the DSRC and 3GPP R14 / PC5-LTE for C- V2X.</w:t>
      </w:r>
    </w:p>
    <w:p>
      <w:pPr>
        <w:pStyle w:val="BodyText"/>
        <w:spacing w:before="180"/>
        <w:ind w:left="1133" w:right="1136"/>
      </w:pPr>
      <w:r>
        <w:rPr/>
        <w:t>Upon executing and collecting test log data from these test cases, analysis can help develop and validate simulation models for the given radio technology.</w:t>
      </w:r>
    </w:p>
    <w:p>
      <w:pPr>
        <w:pStyle w:val="BodyText"/>
        <w:spacing w:before="177"/>
        <w:ind w:left="1133" w:right="1136"/>
      </w:pPr>
      <w:r>
        <w:rPr/>
        <w:t>The overall guiding principle for each of these tests is maintaining applicability and repeatability for different radio technologies.</w:t>
      </w:r>
    </w:p>
    <w:p>
      <w:pPr>
        <w:pStyle w:val="BodyText"/>
        <w:rPr>
          <w:sz w:val="26"/>
        </w:rPr>
      </w:pPr>
    </w:p>
    <w:p>
      <w:pPr>
        <w:pStyle w:val="ListParagraph"/>
        <w:numPr>
          <w:ilvl w:val="2"/>
          <w:numId w:val="14"/>
        </w:numPr>
        <w:tabs>
          <w:tab w:pos="2267" w:val="left" w:leader="none"/>
        </w:tabs>
        <w:spacing w:line="240" w:lineRule="auto" w:before="0" w:after="0"/>
        <w:ind w:left="2266" w:right="0" w:hanging="1133"/>
        <w:jc w:val="both"/>
        <w:rPr>
          <w:sz w:val="28"/>
        </w:rPr>
      </w:pPr>
      <w:bookmarkStart w:name="_bookmark131" w:id="193"/>
      <w:bookmarkEnd w:id="193"/>
      <w:r>
        <w:rPr/>
      </w:r>
      <w:bookmarkStart w:name="_bookmark131" w:id="194"/>
      <w:bookmarkEnd w:id="194"/>
      <w:r>
        <w:rPr>
          <w:sz w:val="28"/>
        </w:rPr>
        <w:t>C</w:t>
      </w:r>
      <w:r>
        <w:rPr>
          <w:sz w:val="28"/>
        </w:rPr>
        <w:t>ommon Parameters and</w:t>
      </w:r>
      <w:r>
        <w:rPr>
          <w:spacing w:val="-2"/>
          <w:sz w:val="28"/>
        </w:rPr>
        <w:t> </w:t>
      </w:r>
      <w:r>
        <w:rPr>
          <w:sz w:val="28"/>
        </w:rPr>
        <w:t>Setup</w:t>
      </w:r>
    </w:p>
    <w:p>
      <w:pPr>
        <w:pStyle w:val="BodyText"/>
        <w:spacing w:before="180"/>
        <w:ind w:left="1133" w:right="1136"/>
      </w:pPr>
      <w:r>
        <w:rPr/>
        <w:t>Following are the common parameters used for lab testing. Any changes in test parameters are noted in respective sections.</w:t>
      </w:r>
    </w:p>
    <w:p>
      <w:pPr>
        <w:pStyle w:val="BodyText"/>
        <w:spacing w:before="8"/>
      </w:pPr>
    </w:p>
    <w:p>
      <w:pPr>
        <w:pStyle w:val="Heading7"/>
        <w:jc w:val="both"/>
      </w:pPr>
      <w:r>
        <w:rPr/>
        <w:t>Table 3: Common Parameters</w:t>
      </w:r>
    </w:p>
    <w:p>
      <w:pPr>
        <w:pStyle w:val="BodyText"/>
        <w:spacing w:before="1"/>
        <w:rPr>
          <w:b/>
          <w:sz w:val="16"/>
        </w:rPr>
      </w:pPr>
    </w:p>
    <w:tbl>
      <w:tblPr>
        <w:tblW w:w="0" w:type="auto"/>
        <w:jc w:val="left"/>
        <w:tblInd w:w="2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7"/>
        <w:gridCol w:w="1980"/>
        <w:gridCol w:w="2807"/>
      </w:tblGrid>
      <w:tr>
        <w:trPr>
          <w:trHeight w:val="355" w:hRule="exact"/>
        </w:trPr>
        <w:tc>
          <w:tcPr>
            <w:tcW w:w="2607" w:type="dxa"/>
            <w:shd w:val="clear" w:color="auto" w:fill="D9D9D9"/>
          </w:tcPr>
          <w:p>
            <w:pPr>
              <w:pStyle w:val="TableParagraph"/>
              <w:spacing w:line="240" w:lineRule="auto" w:before="64"/>
              <w:rPr>
                <w:b/>
                <w:sz w:val="18"/>
              </w:rPr>
            </w:pPr>
            <w:r>
              <w:rPr>
                <w:b/>
                <w:sz w:val="18"/>
              </w:rPr>
              <w:t>Configuration</w:t>
            </w:r>
          </w:p>
        </w:tc>
        <w:tc>
          <w:tcPr>
            <w:tcW w:w="1980" w:type="dxa"/>
            <w:shd w:val="clear" w:color="auto" w:fill="D9D9D9"/>
          </w:tcPr>
          <w:p>
            <w:pPr>
              <w:pStyle w:val="TableParagraph"/>
              <w:spacing w:line="240" w:lineRule="auto" w:before="64"/>
              <w:ind w:left="100"/>
              <w:rPr>
                <w:b/>
                <w:sz w:val="18"/>
              </w:rPr>
            </w:pPr>
            <w:r>
              <w:rPr>
                <w:b/>
                <w:sz w:val="18"/>
              </w:rPr>
              <w:t>DSRC</w:t>
            </w:r>
          </w:p>
        </w:tc>
        <w:tc>
          <w:tcPr>
            <w:tcW w:w="2807" w:type="dxa"/>
            <w:shd w:val="clear" w:color="auto" w:fill="D9D9D9"/>
          </w:tcPr>
          <w:p>
            <w:pPr>
              <w:pStyle w:val="TableParagraph"/>
              <w:spacing w:line="240" w:lineRule="auto" w:before="64"/>
              <w:ind w:left="100"/>
              <w:rPr>
                <w:b/>
                <w:sz w:val="18"/>
              </w:rPr>
            </w:pPr>
            <w:r>
              <w:rPr>
                <w:b/>
                <w:sz w:val="18"/>
              </w:rPr>
              <w:t>C-V2X (PC5 Mode 4)</w:t>
            </w:r>
          </w:p>
        </w:tc>
      </w:tr>
      <w:tr>
        <w:trPr>
          <w:trHeight w:val="358" w:hRule="exact"/>
        </w:trPr>
        <w:tc>
          <w:tcPr>
            <w:tcW w:w="2607" w:type="dxa"/>
          </w:tcPr>
          <w:p>
            <w:pPr>
              <w:pStyle w:val="TableParagraph"/>
              <w:spacing w:line="240" w:lineRule="auto" w:before="1"/>
              <w:rPr>
                <w:sz w:val="18"/>
              </w:rPr>
            </w:pPr>
            <w:r>
              <w:rPr>
                <w:sz w:val="18"/>
              </w:rPr>
              <w:t>Channel</w:t>
            </w:r>
          </w:p>
        </w:tc>
        <w:tc>
          <w:tcPr>
            <w:tcW w:w="1980" w:type="dxa"/>
          </w:tcPr>
          <w:p>
            <w:pPr>
              <w:pStyle w:val="TableParagraph"/>
              <w:spacing w:line="240" w:lineRule="auto" w:before="1"/>
              <w:ind w:left="100"/>
              <w:rPr>
                <w:sz w:val="18"/>
              </w:rPr>
            </w:pPr>
            <w:r>
              <w:rPr>
                <w:sz w:val="18"/>
              </w:rPr>
              <w:t>Channel 172</w:t>
            </w:r>
          </w:p>
        </w:tc>
        <w:tc>
          <w:tcPr>
            <w:tcW w:w="2807" w:type="dxa"/>
          </w:tcPr>
          <w:p>
            <w:pPr>
              <w:pStyle w:val="TableParagraph"/>
              <w:spacing w:line="240" w:lineRule="auto" w:before="1"/>
              <w:ind w:left="100"/>
              <w:rPr>
                <w:sz w:val="18"/>
              </w:rPr>
            </w:pPr>
            <w:r>
              <w:rPr>
                <w:sz w:val="18"/>
              </w:rPr>
              <w:t>5860 MHz (Channel 172)</w:t>
            </w:r>
          </w:p>
        </w:tc>
      </w:tr>
      <w:tr>
        <w:trPr>
          <w:trHeight w:val="358" w:hRule="exact"/>
        </w:trPr>
        <w:tc>
          <w:tcPr>
            <w:tcW w:w="2607" w:type="dxa"/>
          </w:tcPr>
          <w:p>
            <w:pPr>
              <w:pStyle w:val="TableParagraph"/>
              <w:rPr>
                <w:sz w:val="18"/>
              </w:rPr>
            </w:pPr>
            <w:r>
              <w:rPr>
                <w:sz w:val="18"/>
              </w:rPr>
              <w:t>Bandwidth</w:t>
            </w:r>
          </w:p>
        </w:tc>
        <w:tc>
          <w:tcPr>
            <w:tcW w:w="1980" w:type="dxa"/>
          </w:tcPr>
          <w:p>
            <w:pPr>
              <w:pStyle w:val="TableParagraph"/>
              <w:ind w:left="100"/>
              <w:rPr>
                <w:sz w:val="18"/>
              </w:rPr>
            </w:pPr>
            <w:r>
              <w:rPr>
                <w:sz w:val="18"/>
              </w:rPr>
              <w:t>10 MHz</w:t>
            </w:r>
          </w:p>
        </w:tc>
        <w:tc>
          <w:tcPr>
            <w:tcW w:w="2807" w:type="dxa"/>
          </w:tcPr>
          <w:p>
            <w:pPr>
              <w:pStyle w:val="TableParagraph"/>
              <w:ind w:left="100"/>
              <w:rPr>
                <w:sz w:val="18"/>
              </w:rPr>
            </w:pPr>
            <w:r>
              <w:rPr>
                <w:sz w:val="18"/>
              </w:rPr>
              <w:t>10 MHz</w:t>
            </w:r>
          </w:p>
        </w:tc>
      </w:tr>
      <w:tr>
        <w:trPr>
          <w:trHeight w:val="425" w:hRule="exact"/>
        </w:trPr>
        <w:tc>
          <w:tcPr>
            <w:tcW w:w="2607" w:type="dxa"/>
          </w:tcPr>
          <w:p>
            <w:pPr>
              <w:pStyle w:val="TableParagraph"/>
              <w:rPr>
                <w:sz w:val="18"/>
              </w:rPr>
            </w:pPr>
            <w:r>
              <w:rPr>
                <w:sz w:val="18"/>
              </w:rPr>
              <w:t>Modulation</w:t>
            </w:r>
          </w:p>
        </w:tc>
        <w:tc>
          <w:tcPr>
            <w:tcW w:w="1980" w:type="dxa"/>
          </w:tcPr>
          <w:p>
            <w:pPr>
              <w:pStyle w:val="TableParagraph"/>
              <w:spacing w:line="240" w:lineRule="auto"/>
              <w:ind w:left="100" w:right="90"/>
              <w:rPr>
                <w:sz w:val="18"/>
              </w:rPr>
            </w:pPr>
            <w:r>
              <w:rPr>
                <w:sz w:val="18"/>
              </w:rPr>
              <w:t>QPSK ½ (6 Mbps burst rate)</w:t>
            </w:r>
          </w:p>
        </w:tc>
        <w:tc>
          <w:tcPr>
            <w:tcW w:w="2807" w:type="dxa"/>
          </w:tcPr>
          <w:p>
            <w:pPr>
              <w:pStyle w:val="TableParagraph"/>
              <w:ind w:left="100"/>
              <w:rPr>
                <w:sz w:val="18"/>
              </w:rPr>
            </w:pPr>
            <w:r>
              <w:rPr>
                <w:sz w:val="18"/>
              </w:rPr>
              <w:t>QPSK 0.46 (MCS 5)</w:t>
            </w:r>
          </w:p>
        </w:tc>
      </w:tr>
      <w:tr>
        <w:trPr>
          <w:trHeight w:val="312" w:hRule="exact"/>
        </w:trPr>
        <w:tc>
          <w:tcPr>
            <w:tcW w:w="2607" w:type="dxa"/>
          </w:tcPr>
          <w:p>
            <w:pPr>
              <w:pStyle w:val="TableParagraph"/>
              <w:rPr>
                <w:sz w:val="18"/>
              </w:rPr>
            </w:pPr>
            <w:r>
              <w:rPr>
                <w:sz w:val="18"/>
              </w:rPr>
              <w:t>Application Used</w:t>
            </w:r>
          </w:p>
        </w:tc>
        <w:tc>
          <w:tcPr>
            <w:tcW w:w="1980" w:type="dxa"/>
          </w:tcPr>
          <w:p>
            <w:pPr>
              <w:pStyle w:val="TableParagraph"/>
              <w:ind w:left="100"/>
              <w:rPr>
                <w:sz w:val="18"/>
              </w:rPr>
            </w:pPr>
            <w:r>
              <w:rPr>
                <w:sz w:val="18"/>
              </w:rPr>
              <w:t>Savari</w:t>
            </w:r>
          </w:p>
        </w:tc>
        <w:tc>
          <w:tcPr>
            <w:tcW w:w="2807" w:type="dxa"/>
          </w:tcPr>
          <w:p>
            <w:pPr>
              <w:pStyle w:val="TableParagraph"/>
              <w:ind w:left="100"/>
              <w:rPr>
                <w:sz w:val="18"/>
              </w:rPr>
            </w:pPr>
            <w:r>
              <w:rPr>
                <w:sz w:val="18"/>
              </w:rPr>
              <w:t>Savari</w:t>
            </w:r>
          </w:p>
        </w:tc>
      </w:tr>
      <w:tr>
        <w:trPr>
          <w:trHeight w:val="312" w:hRule="exact"/>
        </w:trPr>
        <w:tc>
          <w:tcPr>
            <w:tcW w:w="2607" w:type="dxa"/>
          </w:tcPr>
          <w:p>
            <w:pPr>
              <w:pStyle w:val="TableParagraph"/>
              <w:rPr>
                <w:sz w:val="18"/>
              </w:rPr>
            </w:pPr>
            <w:r>
              <w:rPr>
                <w:sz w:val="18"/>
              </w:rPr>
              <w:t>Tx/Rx Configuration</w:t>
            </w:r>
          </w:p>
        </w:tc>
        <w:tc>
          <w:tcPr>
            <w:tcW w:w="1980" w:type="dxa"/>
          </w:tcPr>
          <w:p>
            <w:pPr>
              <w:pStyle w:val="TableParagraph"/>
              <w:ind w:left="100"/>
              <w:rPr>
                <w:sz w:val="18"/>
              </w:rPr>
            </w:pPr>
            <w:r>
              <w:rPr>
                <w:sz w:val="18"/>
              </w:rPr>
              <w:t>1 Tx 2 Rx</w:t>
            </w:r>
          </w:p>
        </w:tc>
        <w:tc>
          <w:tcPr>
            <w:tcW w:w="2807" w:type="dxa"/>
          </w:tcPr>
          <w:p>
            <w:pPr>
              <w:pStyle w:val="TableParagraph"/>
              <w:ind w:left="100"/>
              <w:rPr>
                <w:sz w:val="18"/>
              </w:rPr>
            </w:pPr>
            <w:r>
              <w:rPr>
                <w:sz w:val="18"/>
              </w:rPr>
              <w:t>1 Tx 2 Rx</w:t>
            </w:r>
          </w:p>
        </w:tc>
      </w:tr>
      <w:tr>
        <w:trPr>
          <w:trHeight w:val="312" w:hRule="exact"/>
        </w:trPr>
        <w:tc>
          <w:tcPr>
            <w:tcW w:w="2607" w:type="dxa"/>
          </w:tcPr>
          <w:p>
            <w:pPr>
              <w:pStyle w:val="TableParagraph"/>
              <w:rPr>
                <w:sz w:val="18"/>
              </w:rPr>
            </w:pPr>
            <w:r>
              <w:rPr>
                <w:sz w:val="18"/>
              </w:rPr>
              <w:t>Device Details</w:t>
            </w:r>
          </w:p>
        </w:tc>
        <w:tc>
          <w:tcPr>
            <w:tcW w:w="1980" w:type="dxa"/>
          </w:tcPr>
          <w:p>
            <w:pPr>
              <w:pStyle w:val="TableParagraph"/>
              <w:ind w:left="100"/>
              <w:rPr>
                <w:sz w:val="18"/>
              </w:rPr>
            </w:pPr>
            <w:r>
              <w:rPr>
                <w:sz w:val="18"/>
              </w:rPr>
              <w:t>Savari MW1000</w:t>
            </w:r>
          </w:p>
        </w:tc>
        <w:tc>
          <w:tcPr>
            <w:tcW w:w="2807" w:type="dxa"/>
          </w:tcPr>
          <w:p>
            <w:pPr>
              <w:pStyle w:val="TableParagraph"/>
              <w:ind w:left="100"/>
              <w:rPr>
                <w:sz w:val="18"/>
              </w:rPr>
            </w:pPr>
            <w:r>
              <w:rPr>
                <w:sz w:val="18"/>
              </w:rPr>
              <w:t>Qualcomm Roadrunner platform</w:t>
            </w:r>
          </w:p>
        </w:tc>
      </w:tr>
      <w:tr>
        <w:trPr>
          <w:trHeight w:val="312" w:hRule="exact"/>
        </w:trPr>
        <w:tc>
          <w:tcPr>
            <w:tcW w:w="2607" w:type="dxa"/>
          </w:tcPr>
          <w:p>
            <w:pPr>
              <w:pStyle w:val="TableParagraph"/>
              <w:rPr>
                <w:sz w:val="18"/>
              </w:rPr>
            </w:pPr>
            <w:r>
              <w:rPr>
                <w:sz w:val="18"/>
              </w:rPr>
              <w:t>HARQ</w:t>
            </w:r>
          </w:p>
        </w:tc>
        <w:tc>
          <w:tcPr>
            <w:tcW w:w="1980" w:type="dxa"/>
          </w:tcPr>
          <w:p>
            <w:pPr>
              <w:pStyle w:val="TableParagraph"/>
              <w:ind w:left="100"/>
              <w:rPr>
                <w:sz w:val="18"/>
              </w:rPr>
            </w:pPr>
            <w:r>
              <w:rPr>
                <w:sz w:val="18"/>
              </w:rPr>
              <w:t>NA</w:t>
            </w:r>
          </w:p>
        </w:tc>
        <w:tc>
          <w:tcPr>
            <w:tcW w:w="2807" w:type="dxa"/>
          </w:tcPr>
          <w:p>
            <w:pPr>
              <w:pStyle w:val="TableParagraph"/>
              <w:ind w:left="100"/>
              <w:rPr>
                <w:sz w:val="18"/>
              </w:rPr>
            </w:pPr>
            <w:r>
              <w:rPr>
                <w:sz w:val="18"/>
              </w:rPr>
              <w:t>Enabled</w:t>
            </w:r>
          </w:p>
        </w:tc>
      </w:tr>
      <w:tr>
        <w:trPr>
          <w:trHeight w:val="312" w:hRule="exact"/>
        </w:trPr>
        <w:tc>
          <w:tcPr>
            <w:tcW w:w="2607" w:type="dxa"/>
          </w:tcPr>
          <w:p>
            <w:pPr>
              <w:pStyle w:val="TableParagraph"/>
              <w:rPr>
                <w:sz w:val="18"/>
              </w:rPr>
            </w:pPr>
            <w:r>
              <w:rPr>
                <w:sz w:val="18"/>
              </w:rPr>
              <w:t>Tx Power</w:t>
            </w:r>
          </w:p>
        </w:tc>
        <w:tc>
          <w:tcPr>
            <w:tcW w:w="1980" w:type="dxa"/>
          </w:tcPr>
          <w:p>
            <w:pPr>
              <w:pStyle w:val="TableParagraph"/>
              <w:ind w:left="100"/>
              <w:rPr>
                <w:sz w:val="18"/>
              </w:rPr>
            </w:pPr>
            <w:r>
              <w:rPr>
                <w:sz w:val="18"/>
              </w:rPr>
              <w:t>21 dBm</w:t>
            </w:r>
          </w:p>
        </w:tc>
        <w:tc>
          <w:tcPr>
            <w:tcW w:w="2807" w:type="dxa"/>
          </w:tcPr>
          <w:p>
            <w:pPr>
              <w:pStyle w:val="TableParagraph"/>
              <w:ind w:left="100"/>
              <w:rPr>
                <w:sz w:val="18"/>
              </w:rPr>
            </w:pPr>
            <w:r>
              <w:rPr>
                <w:sz w:val="18"/>
              </w:rPr>
              <w:t>21 dBm</w:t>
            </w:r>
          </w:p>
        </w:tc>
      </w:tr>
      <w:tr>
        <w:trPr>
          <w:trHeight w:val="313" w:hRule="exact"/>
        </w:trPr>
        <w:tc>
          <w:tcPr>
            <w:tcW w:w="2607" w:type="dxa"/>
          </w:tcPr>
          <w:p>
            <w:pPr>
              <w:pStyle w:val="TableParagraph"/>
              <w:spacing w:line="207" w:lineRule="exact"/>
              <w:rPr>
                <w:sz w:val="18"/>
              </w:rPr>
            </w:pPr>
            <w:r>
              <w:rPr>
                <w:sz w:val="18"/>
              </w:rPr>
              <w:t>Packet Size</w:t>
            </w:r>
          </w:p>
        </w:tc>
        <w:tc>
          <w:tcPr>
            <w:tcW w:w="1980" w:type="dxa"/>
          </w:tcPr>
          <w:p>
            <w:pPr>
              <w:pStyle w:val="TableParagraph"/>
              <w:spacing w:line="207" w:lineRule="exact"/>
              <w:ind w:left="100"/>
              <w:rPr>
                <w:sz w:val="18"/>
              </w:rPr>
            </w:pPr>
            <w:r>
              <w:rPr>
                <w:sz w:val="18"/>
              </w:rPr>
              <w:t>193 Bytes</w:t>
            </w:r>
          </w:p>
        </w:tc>
        <w:tc>
          <w:tcPr>
            <w:tcW w:w="2807" w:type="dxa"/>
          </w:tcPr>
          <w:p>
            <w:pPr>
              <w:pStyle w:val="TableParagraph"/>
              <w:spacing w:line="207" w:lineRule="exact"/>
              <w:ind w:left="100"/>
              <w:rPr>
                <w:sz w:val="18"/>
              </w:rPr>
            </w:pPr>
            <w:r>
              <w:rPr>
                <w:sz w:val="18"/>
              </w:rPr>
              <w:t>193 Bytes (5 Sub-Channels)*</w:t>
            </w:r>
          </w:p>
        </w:tc>
      </w:tr>
    </w:tbl>
    <w:p>
      <w:pPr>
        <w:pStyle w:val="BodyText"/>
        <w:ind w:left="2268"/>
      </w:pPr>
      <w:r>
        <w:rPr/>
        <w:t>* Sub-Channel size = 5 RB</w:t>
      </w:r>
    </w:p>
    <w:p>
      <w:pPr>
        <w:pStyle w:val="BodyText"/>
        <w:spacing w:before="180"/>
        <w:ind w:left="1133"/>
        <w:jc w:val="both"/>
      </w:pPr>
      <w:r>
        <w:rPr/>
        <w:t>For GNSS, a signal drop from a rooftop antenna is used in all the lab tests.</w:t>
      </w:r>
    </w:p>
    <w:p>
      <w:pPr>
        <w:spacing w:after="0"/>
        <w:jc w:val="both"/>
        <w:sectPr>
          <w:headerReference w:type="default" r:id="rId180"/>
          <w:pgSz w:w="11910" w:h="16850"/>
          <w:pgMar w:header="852" w:footer="979" w:top="1040" w:bottom="1160" w:left="0" w:right="0"/>
        </w:sectPr>
      </w:pPr>
    </w:p>
    <w:p>
      <w:pPr>
        <w:pStyle w:val="BodyText"/>
      </w:pPr>
    </w:p>
    <w:p>
      <w:pPr>
        <w:pStyle w:val="BodyText"/>
      </w:pPr>
    </w:p>
    <w:p>
      <w:pPr>
        <w:pStyle w:val="BodyText"/>
        <w:spacing w:before="5"/>
        <w:rPr>
          <w:sz w:val="29"/>
        </w:rPr>
      </w:pPr>
    </w:p>
    <w:p>
      <w:pPr>
        <w:pStyle w:val="Heading3"/>
        <w:numPr>
          <w:ilvl w:val="2"/>
          <w:numId w:val="14"/>
        </w:numPr>
        <w:tabs>
          <w:tab w:pos="2265" w:val="left" w:leader="none"/>
          <w:tab w:pos="2266" w:val="left" w:leader="none"/>
          <w:tab w:pos="3518" w:val="left" w:leader="none"/>
          <w:tab w:pos="4907" w:val="left" w:leader="none"/>
          <w:tab w:pos="5473" w:val="left" w:leader="none"/>
          <w:tab w:pos="6555" w:val="left" w:leader="none"/>
          <w:tab w:pos="7274" w:val="left" w:leader="none"/>
          <w:tab w:pos="8321" w:val="left" w:leader="none"/>
          <w:tab w:pos="9383" w:val="left" w:leader="none"/>
          <w:tab w:pos="10009" w:val="left" w:leader="none"/>
        </w:tabs>
        <w:spacing w:line="240" w:lineRule="auto" w:before="91" w:after="0"/>
        <w:ind w:left="2266" w:right="1133" w:hanging="1133"/>
        <w:jc w:val="left"/>
      </w:pPr>
      <w:bookmarkStart w:name="_bookmark132" w:id="195"/>
      <w:bookmarkEnd w:id="195"/>
      <w:r>
        <w:rPr/>
      </w:r>
      <w:bookmarkStart w:name="_bookmark132" w:id="196"/>
      <w:bookmarkEnd w:id="196"/>
      <w:r>
        <w:rPr/>
        <w:t>Genera</w:t>
      </w:r>
      <w:r>
        <w:rPr/>
        <w:t>l</w:t>
        <w:tab/>
        <w:t>guidance</w:t>
        <w:tab/>
        <w:t>on</w:t>
        <w:tab/>
        <w:t>C-V2X</w:t>
        <w:tab/>
        <w:t>and</w:t>
        <w:tab/>
        <w:t>DSRC</w:t>
        <w:tab/>
        <w:t>device</w:t>
        <w:tab/>
        <w:t>RF</w:t>
        <w:tab/>
        <w:t>power management</w:t>
      </w:r>
    </w:p>
    <w:p>
      <w:pPr>
        <w:pStyle w:val="Heading7"/>
        <w:spacing w:before="177"/>
        <w:rPr>
          <w:b w:val="0"/>
        </w:rPr>
      </w:pPr>
      <w:r>
        <w:rPr/>
        <w:t>Equipment used</w:t>
      </w:r>
      <w:r>
        <w:rPr>
          <w:b w:val="0"/>
        </w:rPr>
        <w:t>:</w:t>
      </w:r>
    </w:p>
    <w:p>
      <w:pPr>
        <w:pStyle w:val="ListParagraph"/>
        <w:numPr>
          <w:ilvl w:val="3"/>
          <w:numId w:val="14"/>
        </w:numPr>
        <w:tabs>
          <w:tab w:pos="1777" w:val="left" w:leader="none"/>
        </w:tabs>
        <w:spacing w:line="240" w:lineRule="auto" w:before="182" w:after="0"/>
        <w:ind w:left="1776" w:right="0" w:hanging="360"/>
        <w:jc w:val="left"/>
        <w:rPr>
          <w:sz w:val="20"/>
        </w:rPr>
      </w:pPr>
      <w:r>
        <w:rPr>
          <w:sz w:val="20"/>
        </w:rPr>
        <w:t>Spectrum Analyzer</w:t>
      </w:r>
      <w:r>
        <w:rPr>
          <w:spacing w:val="-9"/>
          <w:sz w:val="20"/>
        </w:rPr>
        <w:t> </w:t>
      </w:r>
      <w:r>
        <w:rPr>
          <w:sz w:val="20"/>
        </w:rPr>
        <w:t>(SA)</w:t>
      </w:r>
    </w:p>
    <w:p>
      <w:pPr>
        <w:pStyle w:val="ListParagraph"/>
        <w:numPr>
          <w:ilvl w:val="3"/>
          <w:numId w:val="14"/>
        </w:numPr>
        <w:tabs>
          <w:tab w:pos="1777" w:val="left" w:leader="none"/>
        </w:tabs>
        <w:spacing w:line="240" w:lineRule="auto" w:before="180" w:after="0"/>
        <w:ind w:left="1776" w:right="0" w:hanging="360"/>
        <w:jc w:val="left"/>
        <w:rPr>
          <w:sz w:val="20"/>
        </w:rPr>
      </w:pPr>
      <w:r>
        <w:rPr>
          <w:sz w:val="20"/>
        </w:rPr>
        <w:t>Power</w:t>
      </w:r>
      <w:r>
        <w:rPr>
          <w:spacing w:val="-6"/>
          <w:sz w:val="20"/>
        </w:rPr>
        <w:t> </w:t>
      </w:r>
      <w:r>
        <w:rPr>
          <w:sz w:val="20"/>
        </w:rPr>
        <w:t>Sensor</w:t>
      </w:r>
    </w:p>
    <w:p>
      <w:pPr>
        <w:pStyle w:val="ListParagraph"/>
        <w:numPr>
          <w:ilvl w:val="3"/>
          <w:numId w:val="14"/>
        </w:numPr>
        <w:tabs>
          <w:tab w:pos="1777" w:val="left" w:leader="none"/>
        </w:tabs>
        <w:spacing w:line="240" w:lineRule="auto" w:before="180" w:after="0"/>
        <w:ind w:left="1776" w:right="0" w:hanging="360"/>
        <w:jc w:val="left"/>
        <w:rPr>
          <w:sz w:val="20"/>
        </w:rPr>
      </w:pPr>
      <w:r>
        <w:rPr>
          <w:sz w:val="20"/>
        </w:rPr>
        <w:t>Signal Generator</w:t>
      </w:r>
      <w:r>
        <w:rPr>
          <w:spacing w:val="-8"/>
          <w:sz w:val="20"/>
        </w:rPr>
        <w:t> </w:t>
      </w:r>
      <w:r>
        <w:rPr>
          <w:sz w:val="20"/>
        </w:rPr>
        <w:t>(SG)</w:t>
      </w:r>
    </w:p>
    <w:p>
      <w:pPr>
        <w:pStyle w:val="Heading7"/>
        <w:spacing w:before="175"/>
      </w:pPr>
      <w:r>
        <w:rPr/>
        <w:t>Measure Tx power of device</w:t>
      </w:r>
    </w:p>
    <w:p>
      <w:pPr>
        <w:pStyle w:val="ListParagraph"/>
        <w:numPr>
          <w:ilvl w:val="0"/>
          <w:numId w:val="19"/>
        </w:numPr>
        <w:tabs>
          <w:tab w:pos="1777" w:val="left" w:leader="none"/>
        </w:tabs>
        <w:spacing w:line="240" w:lineRule="auto" w:before="182" w:after="0"/>
        <w:ind w:left="1776" w:right="1139" w:hanging="360"/>
        <w:jc w:val="left"/>
        <w:rPr>
          <w:sz w:val="20"/>
        </w:rPr>
      </w:pPr>
      <w:r>
        <w:rPr>
          <w:sz w:val="20"/>
        </w:rPr>
        <w:t>For</w:t>
      </w:r>
      <w:r>
        <w:rPr>
          <w:spacing w:val="-7"/>
          <w:sz w:val="20"/>
        </w:rPr>
        <w:t> </w:t>
      </w:r>
      <w:r>
        <w:rPr>
          <w:sz w:val="20"/>
        </w:rPr>
        <w:t>C-V2X</w:t>
      </w:r>
      <w:r>
        <w:rPr>
          <w:spacing w:val="-7"/>
          <w:sz w:val="20"/>
        </w:rPr>
        <w:t> </w:t>
      </w:r>
      <w:r>
        <w:rPr>
          <w:sz w:val="20"/>
        </w:rPr>
        <w:t>and</w:t>
      </w:r>
      <w:r>
        <w:rPr>
          <w:spacing w:val="-8"/>
          <w:sz w:val="20"/>
        </w:rPr>
        <w:t> </w:t>
      </w:r>
      <w:r>
        <w:rPr>
          <w:sz w:val="20"/>
        </w:rPr>
        <w:t>DSRC</w:t>
      </w:r>
      <w:r>
        <w:rPr>
          <w:spacing w:val="-5"/>
          <w:sz w:val="20"/>
        </w:rPr>
        <w:t> </w:t>
      </w:r>
      <w:r>
        <w:rPr>
          <w:sz w:val="20"/>
        </w:rPr>
        <w:t>devices,</w:t>
      </w:r>
      <w:r>
        <w:rPr>
          <w:spacing w:val="-8"/>
          <w:sz w:val="20"/>
        </w:rPr>
        <w:t> </w:t>
      </w:r>
      <w:r>
        <w:rPr>
          <w:sz w:val="20"/>
        </w:rPr>
        <w:t>enable</w:t>
      </w:r>
      <w:r>
        <w:rPr>
          <w:spacing w:val="-6"/>
          <w:sz w:val="20"/>
        </w:rPr>
        <w:t> </w:t>
      </w:r>
      <w:r>
        <w:rPr>
          <w:sz w:val="20"/>
        </w:rPr>
        <w:t>transmission</w:t>
      </w:r>
      <w:r>
        <w:rPr>
          <w:spacing w:val="-8"/>
          <w:sz w:val="20"/>
        </w:rPr>
        <w:t> </w:t>
      </w:r>
      <w:r>
        <w:rPr>
          <w:sz w:val="20"/>
        </w:rPr>
        <w:t>of</w:t>
      </w:r>
      <w:r>
        <w:rPr>
          <w:spacing w:val="-6"/>
          <w:sz w:val="20"/>
        </w:rPr>
        <w:t> </w:t>
      </w:r>
      <w:r>
        <w:rPr>
          <w:sz w:val="20"/>
        </w:rPr>
        <w:t>BSM</w:t>
      </w:r>
      <w:r>
        <w:rPr>
          <w:spacing w:val="-8"/>
          <w:sz w:val="20"/>
        </w:rPr>
        <w:t> </w:t>
      </w:r>
      <w:r>
        <w:rPr>
          <w:sz w:val="20"/>
        </w:rPr>
        <w:t>messages</w:t>
      </w:r>
      <w:r>
        <w:rPr>
          <w:spacing w:val="-7"/>
          <w:sz w:val="20"/>
        </w:rPr>
        <w:t> </w:t>
      </w:r>
      <w:r>
        <w:rPr>
          <w:sz w:val="20"/>
        </w:rPr>
        <w:t>with</w:t>
      </w:r>
      <w:r>
        <w:rPr>
          <w:spacing w:val="-8"/>
          <w:sz w:val="20"/>
        </w:rPr>
        <w:t> </w:t>
      </w:r>
      <w:r>
        <w:rPr>
          <w:sz w:val="20"/>
        </w:rPr>
        <w:t>specified</w:t>
      </w:r>
      <w:r>
        <w:rPr>
          <w:spacing w:val="-6"/>
          <w:sz w:val="20"/>
        </w:rPr>
        <w:t> </w:t>
      </w:r>
      <w:r>
        <w:rPr>
          <w:sz w:val="20"/>
        </w:rPr>
        <w:t>payload</w:t>
      </w:r>
      <w:r>
        <w:rPr>
          <w:spacing w:val="-8"/>
          <w:sz w:val="20"/>
        </w:rPr>
        <w:t> </w:t>
      </w:r>
      <w:r>
        <w:rPr>
          <w:sz w:val="20"/>
        </w:rPr>
        <w:t>required for the test</w:t>
      </w:r>
      <w:r>
        <w:rPr>
          <w:spacing w:val="-7"/>
          <w:sz w:val="20"/>
        </w:rPr>
        <w:t> </w:t>
      </w:r>
      <w:r>
        <w:rPr>
          <w:sz w:val="20"/>
        </w:rPr>
        <w:t>case.</w:t>
      </w:r>
    </w:p>
    <w:p>
      <w:pPr>
        <w:pStyle w:val="ListParagraph"/>
        <w:numPr>
          <w:ilvl w:val="0"/>
          <w:numId w:val="19"/>
        </w:numPr>
        <w:tabs>
          <w:tab w:pos="1777" w:val="left" w:leader="none"/>
        </w:tabs>
        <w:spacing w:line="240" w:lineRule="auto" w:before="179" w:after="0"/>
        <w:ind w:left="1776" w:right="1132" w:hanging="360"/>
        <w:jc w:val="left"/>
        <w:rPr>
          <w:sz w:val="20"/>
        </w:rPr>
      </w:pPr>
      <w:r>
        <w:rPr>
          <w:sz w:val="20"/>
        </w:rPr>
        <w:t>Measure</w:t>
      </w:r>
      <w:r>
        <w:rPr>
          <w:spacing w:val="-11"/>
          <w:sz w:val="20"/>
        </w:rPr>
        <w:t> </w:t>
      </w:r>
      <w:r>
        <w:rPr>
          <w:sz w:val="20"/>
        </w:rPr>
        <w:t>the</w:t>
      </w:r>
      <w:r>
        <w:rPr>
          <w:spacing w:val="-14"/>
          <w:sz w:val="20"/>
        </w:rPr>
        <w:t> </w:t>
      </w:r>
      <w:r>
        <w:rPr>
          <w:sz w:val="20"/>
        </w:rPr>
        <w:t>cable</w:t>
      </w:r>
      <w:r>
        <w:rPr>
          <w:spacing w:val="-12"/>
          <w:sz w:val="20"/>
        </w:rPr>
        <w:t> </w:t>
      </w:r>
      <w:r>
        <w:rPr>
          <w:sz w:val="20"/>
        </w:rPr>
        <w:t>loss</w:t>
      </w:r>
      <w:r>
        <w:rPr>
          <w:spacing w:val="-13"/>
          <w:sz w:val="20"/>
        </w:rPr>
        <w:t> </w:t>
      </w:r>
      <w:r>
        <w:rPr>
          <w:sz w:val="20"/>
        </w:rPr>
        <w:t>(preferably</w:t>
      </w:r>
      <w:r>
        <w:rPr>
          <w:spacing w:val="-15"/>
          <w:sz w:val="20"/>
        </w:rPr>
        <w:t> </w:t>
      </w:r>
      <w:r>
        <w:rPr>
          <w:sz w:val="20"/>
        </w:rPr>
        <w:t>of</w:t>
      </w:r>
      <w:r>
        <w:rPr>
          <w:spacing w:val="-12"/>
          <w:sz w:val="20"/>
        </w:rPr>
        <w:t> </w:t>
      </w:r>
      <w:r>
        <w:rPr>
          <w:sz w:val="20"/>
        </w:rPr>
        <w:t>shorter</w:t>
      </w:r>
      <w:r>
        <w:rPr>
          <w:spacing w:val="-11"/>
          <w:sz w:val="20"/>
        </w:rPr>
        <w:t> </w:t>
      </w:r>
      <w:r>
        <w:rPr>
          <w:sz w:val="20"/>
        </w:rPr>
        <w:t>length)</w:t>
      </w:r>
      <w:r>
        <w:rPr>
          <w:spacing w:val="-11"/>
          <w:sz w:val="20"/>
        </w:rPr>
        <w:t> </w:t>
      </w:r>
      <w:r>
        <w:rPr>
          <w:sz w:val="20"/>
        </w:rPr>
        <w:t>of</w:t>
      </w:r>
      <w:r>
        <w:rPr>
          <w:spacing w:val="-12"/>
          <w:sz w:val="20"/>
        </w:rPr>
        <w:t> </w:t>
      </w:r>
      <w:r>
        <w:rPr>
          <w:sz w:val="20"/>
        </w:rPr>
        <w:t>the</w:t>
      </w:r>
      <w:r>
        <w:rPr>
          <w:spacing w:val="-15"/>
          <w:sz w:val="20"/>
        </w:rPr>
        <w:t> </w:t>
      </w:r>
      <w:r>
        <w:rPr>
          <w:sz w:val="20"/>
        </w:rPr>
        <w:t>cable</w:t>
      </w:r>
      <w:r>
        <w:rPr>
          <w:spacing w:val="-14"/>
          <w:sz w:val="20"/>
        </w:rPr>
        <w:t> </w:t>
      </w:r>
      <w:r>
        <w:rPr>
          <w:sz w:val="20"/>
        </w:rPr>
        <w:t>connecting</w:t>
      </w:r>
      <w:r>
        <w:rPr>
          <w:spacing w:val="-12"/>
          <w:sz w:val="20"/>
        </w:rPr>
        <w:t> </w:t>
      </w:r>
      <w:r>
        <w:rPr>
          <w:sz w:val="20"/>
        </w:rPr>
        <w:t>FAKRA</w:t>
      </w:r>
      <w:r>
        <w:rPr>
          <w:spacing w:val="-12"/>
          <w:sz w:val="20"/>
        </w:rPr>
        <w:t> </w:t>
      </w:r>
      <w:r>
        <w:rPr>
          <w:sz w:val="20"/>
        </w:rPr>
        <w:t>output</w:t>
      </w:r>
      <w:r>
        <w:rPr>
          <w:spacing w:val="-12"/>
          <w:sz w:val="20"/>
        </w:rPr>
        <w:t> </w:t>
      </w:r>
      <w:r>
        <w:rPr>
          <w:sz w:val="20"/>
        </w:rPr>
        <w:t>to</w:t>
      </w:r>
      <w:r>
        <w:rPr>
          <w:spacing w:val="-12"/>
          <w:sz w:val="20"/>
        </w:rPr>
        <w:t> </w:t>
      </w:r>
      <w:r>
        <w:rPr>
          <w:sz w:val="20"/>
        </w:rPr>
        <w:t>SA</w:t>
      </w:r>
      <w:r>
        <w:rPr>
          <w:spacing w:val="-12"/>
          <w:sz w:val="20"/>
        </w:rPr>
        <w:t> </w:t>
      </w:r>
      <w:r>
        <w:rPr>
          <w:sz w:val="20"/>
        </w:rPr>
        <w:t>input. Use SG (sending CW signal at 5.9 GHz) and Power sensor to measure the</w:t>
      </w:r>
      <w:r>
        <w:rPr>
          <w:spacing w:val="-25"/>
          <w:sz w:val="20"/>
        </w:rPr>
        <w:t> </w:t>
      </w:r>
      <w:r>
        <w:rPr>
          <w:sz w:val="20"/>
        </w:rPr>
        <w:t>loss.</w:t>
      </w:r>
    </w:p>
    <w:p>
      <w:pPr>
        <w:pStyle w:val="ListParagraph"/>
        <w:numPr>
          <w:ilvl w:val="0"/>
          <w:numId w:val="19"/>
        </w:numPr>
        <w:tabs>
          <w:tab w:pos="1777" w:val="left" w:leader="none"/>
        </w:tabs>
        <w:spacing w:line="240" w:lineRule="auto" w:before="179" w:after="0"/>
        <w:ind w:left="1776" w:right="1131" w:hanging="360"/>
        <w:jc w:val="both"/>
        <w:rPr>
          <w:sz w:val="20"/>
        </w:rPr>
      </w:pPr>
      <w:r>
        <w:rPr>
          <w:sz w:val="20"/>
        </w:rPr>
        <w:t>Use SA to measure the Tx power. To reliably measure the burst of Tx power from the C-V2X signal, we used the Gate function and RF burst absolute trigger available in SA to exclude off-period. Please keep account of the cable loss in</w:t>
      </w:r>
      <w:r>
        <w:rPr>
          <w:spacing w:val="-16"/>
          <w:sz w:val="20"/>
        </w:rPr>
        <w:t> </w:t>
      </w:r>
      <w:r>
        <w:rPr>
          <w:sz w:val="20"/>
        </w:rPr>
        <w:t>SA.</w:t>
      </w:r>
    </w:p>
    <w:p>
      <w:pPr>
        <w:pStyle w:val="ListParagraph"/>
        <w:numPr>
          <w:ilvl w:val="0"/>
          <w:numId w:val="19"/>
        </w:numPr>
        <w:tabs>
          <w:tab w:pos="1777" w:val="left" w:leader="none"/>
        </w:tabs>
        <w:spacing w:line="240" w:lineRule="auto" w:before="179" w:after="0"/>
        <w:ind w:left="1776" w:right="0" w:hanging="360"/>
        <w:jc w:val="left"/>
        <w:rPr>
          <w:sz w:val="20"/>
        </w:rPr>
      </w:pPr>
      <w:r>
        <w:rPr>
          <w:sz w:val="20"/>
        </w:rPr>
        <w:t>Ensure that the expected power is close to the target power of the given test</w:t>
      </w:r>
      <w:r>
        <w:rPr>
          <w:spacing w:val="-33"/>
          <w:sz w:val="20"/>
        </w:rPr>
        <w:t> </w:t>
      </w:r>
      <w:r>
        <w:rPr>
          <w:sz w:val="20"/>
        </w:rPr>
        <w:t>case.</w:t>
      </w:r>
    </w:p>
    <w:p>
      <w:pPr>
        <w:pStyle w:val="BodyText"/>
      </w:pPr>
    </w:p>
    <w:p>
      <w:pPr>
        <w:pStyle w:val="BodyText"/>
      </w:pPr>
    </w:p>
    <w:p>
      <w:pPr>
        <w:pStyle w:val="BodyText"/>
        <w:spacing w:before="2"/>
        <w:rPr>
          <w:sz w:val="16"/>
        </w:rPr>
      </w:pPr>
      <w:r>
        <w:rPr/>
        <w:pict>
          <v:group style="position:absolute;margin-left:89.75pt;margin-top:11.278727pt;width:410.65pt;height:82.05pt;mso-position-horizontal-relative:page;mso-position-vertical-relative:paragraph;z-index:3064;mso-wrap-distance-left:0;mso-wrap-distance-right:0" coordorigin="1795,226" coordsize="8213,1641">
            <v:shape style="position:absolute;left:4060;top:724;width:120;height:461" coordorigin="4060,724" coordsize="120,461" path="m4115,1065l4060,1065,4120,1185,4170,1085,4115,1085,4115,1065xm4125,724l4115,724,4115,1085,4125,1085,4125,724xm4180,1065l4125,1065,4125,1085,4170,1085,4180,1065xe" filled="true" fillcolor="#5b9bd4" stroked="false">
              <v:path arrowok="t"/>
              <v:fill type="solid"/>
            </v:shape>
            <v:shape style="position:absolute;left:1805;top:732;width:1980;height:1125" coordorigin="1805,732" coordsize="1980,1125" path="m3597,732l1992,732,1919,747,1860,787,1820,846,1805,919,1805,1669,1820,1742,1860,1801,1919,1841,1992,1856,3597,1856,3670,1841,3730,1801,3770,1742,3785,1669,3785,919,3770,846,3730,787,3670,747,3597,732xe" filled="true" fillcolor="#5b9bd4" stroked="false">
              <v:path arrowok="t"/>
              <v:fill type="solid"/>
            </v:shape>
            <v:shape style="position:absolute;left:1805;top:732;width:1980;height:1125" coordorigin="1805,732" coordsize="1980,1125" path="m1805,919l1820,846,1860,787,1919,747,1992,732,3597,732,3670,747,3730,787,3770,846,3785,919,3785,1669,3770,1742,3730,1801,3670,1841,3597,1856,1992,1856,1919,1841,1860,1801,1820,1742,1805,1669,1805,919xe" filled="false" stroked="true" strokeweight="1pt" strokecolor="#41709c">
              <v:path arrowok="t"/>
              <v:stroke dashstyle="solid"/>
            </v:shape>
            <v:shape style="position:absolute;left:1870;top:869;width:1850;height:852" type="#_x0000_t75" stroked="false">
              <v:imagedata r:id="rId182" o:title=""/>
            </v:shape>
            <v:shape style="position:absolute;left:3785;top:1213;width:871;height:150" coordorigin="3785,1213" coordsize="871,150" path="m4606,1263l4530,1263,4530,1313,4505,1313,4505,1363,4655,1287,4606,1263xm4504,1263l3785,1269,3785,1319,4505,1313,4504,1263xm4530,1263l4504,1263,4505,1313,4530,1313,4530,1263xm4504,1213l4504,1263,4606,1263,4504,1213xe" filled="true" fillcolor="#00afef" stroked="false">
              <v:path arrowok="t"/>
              <v:fill type="solid"/>
            </v:shape>
            <v:shape style="position:absolute;left:4658;top:1217;width:3358;height:120" coordorigin="4658,1217" coordsize="3358,120" path="m7896,1217l7896,1337,7986,1292,7916,1292,7916,1262,7986,1262,7896,1217xm7896,1262l4658,1262,4658,1292,7896,1292,7896,1262xm7986,1262l7916,1262,7916,1292,7986,1292,8016,1277,7986,1262xe" filled="true" fillcolor="#000000" stroked="false">
              <v:path arrowok="t"/>
              <v:fill type="solid"/>
            </v:shape>
            <v:shape style="position:absolute;left:8018;top:732;width:1980;height:1125" coordorigin="8018,732" coordsize="1980,1125" path="m9811,732l8206,732,8133,747,8073,787,8033,846,8018,919,8018,1669,8033,1742,8073,1801,8133,1841,8206,1856,9811,1856,9884,1841,9943,1801,9983,1742,9998,1669,9998,919,9983,846,9943,787,9884,747,9811,732xe" filled="true" fillcolor="#5b9bd4" stroked="false">
              <v:path arrowok="t"/>
              <v:fill type="solid"/>
            </v:shape>
            <v:shape style="position:absolute;left:8018;top:732;width:1980;height:1125" coordorigin="8018,732" coordsize="1980,1125" path="m8018,919l8033,846,8073,787,8133,747,8206,732,9811,732,9884,747,9943,787,9983,846,9998,919,9998,1669,9983,1742,9943,1801,9884,1841,9811,1856,8206,1856,8133,1841,8073,1801,8033,1742,8018,1669,8018,919xe" filled="false" stroked="true" strokeweight="1pt" strokecolor="#41709c">
              <v:path arrowok="t"/>
              <v:stroke dashstyle="solid"/>
            </v:shape>
            <v:shape style="position:absolute;left:8083;top:869;width:1850;height:852" type="#_x0000_t75" stroked="false">
              <v:imagedata r:id="rId182" o:title=""/>
            </v:shape>
            <v:shape style="position:absolute;left:5962;top:1358;width:1531;height:293" type="#_x0000_t75" stroked="false">
              <v:imagedata r:id="rId183" o:title=""/>
            </v:shape>
            <v:shape style="position:absolute;left:3708;top:226;width:3593;height:533" type="#_x0000_t75" stroked="false">
              <v:imagedata r:id="rId184" o:title=""/>
            </v:shape>
            <v:shape style="position:absolute;left:3853;top:267;width:2169;height:445" type="#_x0000_t202" filled="false" stroked="false">
              <v:textbox inset="0,0,0,0">
                <w:txbxContent>
                  <w:p>
                    <w:pPr>
                      <w:spacing w:line="203" w:lineRule="exact" w:before="0"/>
                      <w:ind w:left="0" w:right="0" w:firstLine="0"/>
                      <w:jc w:val="left"/>
                      <w:rPr>
                        <w:rFonts w:ascii="Calibri"/>
                        <w:sz w:val="20"/>
                      </w:rPr>
                    </w:pPr>
                    <w:r>
                      <w:rPr>
                        <w:rFonts w:ascii="Calibri"/>
                        <w:color w:val="00AFEF"/>
                        <w:sz w:val="20"/>
                      </w:rPr>
                      <w:t>Quad FAKRA cable (C-V2X)</w:t>
                    </w:r>
                  </w:p>
                  <w:p>
                    <w:pPr>
                      <w:spacing w:line="240" w:lineRule="exact" w:before="1"/>
                      <w:ind w:left="0" w:right="0" w:firstLine="0"/>
                      <w:jc w:val="left"/>
                      <w:rPr>
                        <w:rFonts w:ascii="Calibri"/>
                        <w:sz w:val="20"/>
                      </w:rPr>
                    </w:pPr>
                    <w:r>
                      <w:rPr>
                        <w:rFonts w:ascii="Calibri"/>
                        <w:color w:val="00AFEF"/>
                        <w:sz w:val="20"/>
                      </w:rPr>
                      <w:t>Single FAKRA cable (DSRC)</w:t>
                    </w:r>
                  </w:p>
                </w:txbxContent>
              </v:textbox>
              <w10:wrap type="none"/>
            </v:shape>
            <v:shape style="position:absolute;left:2199;top:1050;width:1211;height:531" type="#_x0000_t202" filled="false" stroked="false">
              <v:textbox inset="0,0,0,0">
                <w:txbxContent>
                  <w:p>
                    <w:pPr>
                      <w:spacing w:line="243" w:lineRule="exact" w:before="0"/>
                      <w:ind w:left="0" w:right="18" w:firstLine="0"/>
                      <w:jc w:val="center"/>
                      <w:rPr>
                        <w:rFonts w:ascii="Calibri"/>
                        <w:sz w:val="24"/>
                      </w:rPr>
                    </w:pPr>
                    <w:r>
                      <w:rPr>
                        <w:rFonts w:ascii="Calibri"/>
                        <w:color w:val="FFFFFF"/>
                        <w:sz w:val="24"/>
                      </w:rPr>
                      <w:t>C-V2X/DSRC</w:t>
                    </w:r>
                  </w:p>
                  <w:p>
                    <w:pPr>
                      <w:spacing w:line="287" w:lineRule="exact" w:before="0"/>
                      <w:ind w:left="0" w:right="15" w:firstLine="0"/>
                      <w:jc w:val="center"/>
                      <w:rPr>
                        <w:rFonts w:ascii="Calibri"/>
                        <w:sz w:val="24"/>
                      </w:rPr>
                    </w:pPr>
                    <w:r>
                      <w:rPr>
                        <w:rFonts w:ascii="Calibri"/>
                        <w:color w:val="FFFFFF"/>
                        <w:sz w:val="24"/>
                      </w:rPr>
                      <w:t>device</w:t>
                    </w:r>
                  </w:p>
                </w:txbxContent>
              </v:textbox>
              <w10:wrap type="none"/>
            </v:shape>
            <v:shape style="position:absolute;left:8887;top:1194;width:265;height:240" type="#_x0000_t202" filled="false" stroked="false">
              <v:textbox inset="0,0,0,0">
                <w:txbxContent>
                  <w:p>
                    <w:pPr>
                      <w:spacing w:line="240" w:lineRule="exact" w:before="0"/>
                      <w:ind w:left="0" w:right="0" w:firstLine="0"/>
                      <w:jc w:val="left"/>
                      <w:rPr>
                        <w:rFonts w:ascii="Calibri"/>
                        <w:sz w:val="24"/>
                      </w:rPr>
                    </w:pPr>
                    <w:r>
                      <w:rPr>
                        <w:rFonts w:ascii="Calibri"/>
                        <w:color w:val="FFFFFF"/>
                        <w:sz w:val="24"/>
                      </w:rPr>
                      <w:t>SA</w:t>
                    </w:r>
                  </w:p>
                </w:txbxContent>
              </v:textbox>
              <w10:wrap type="none"/>
            </v:shape>
            <v:shape style="position:absolute;left:6107;top:1408;width:565;height:240" type="#_x0000_t202" filled="false" stroked="false">
              <v:textbox inset="0,0,0,0">
                <w:txbxContent>
                  <w:p>
                    <w:pPr>
                      <w:spacing w:line="240" w:lineRule="exact" w:before="0"/>
                      <w:ind w:left="0" w:right="0" w:firstLine="0"/>
                      <w:jc w:val="left"/>
                      <w:rPr>
                        <w:rFonts w:ascii="Calibri"/>
                        <w:sz w:val="24"/>
                      </w:rPr>
                    </w:pPr>
                    <w:r>
                      <w:rPr>
                        <w:rFonts w:ascii="Calibri"/>
                        <w:sz w:val="24"/>
                      </w:rPr>
                      <w:t>Cable</w:t>
                    </w:r>
                  </w:p>
                </w:txbxContent>
              </v:textbox>
              <w10:wrap type="none"/>
            </v:shape>
            <w10:wrap type="topAndBottom"/>
          </v:group>
        </w:pict>
      </w:r>
    </w:p>
    <w:p>
      <w:pPr>
        <w:pStyle w:val="BodyText"/>
        <w:rPr>
          <w:sz w:val="22"/>
        </w:rPr>
      </w:pPr>
    </w:p>
    <w:p>
      <w:pPr>
        <w:spacing w:before="150"/>
        <w:ind w:left="1133" w:right="0" w:firstLine="0"/>
        <w:jc w:val="left"/>
        <w:rPr>
          <w:b/>
          <w:sz w:val="24"/>
        </w:rPr>
      </w:pPr>
      <w:r>
        <w:rPr>
          <w:b/>
          <w:sz w:val="24"/>
        </w:rPr>
        <w:t>Figure 11: Tx Power Measurement</w:t>
      </w:r>
    </w:p>
    <w:p>
      <w:pPr>
        <w:spacing w:after="0"/>
        <w:jc w:val="left"/>
        <w:rPr>
          <w:sz w:val="24"/>
        </w:rPr>
        <w:sectPr>
          <w:headerReference w:type="default" r:id="rId181"/>
          <w:pgSz w:w="11910" w:h="16850"/>
          <w:pgMar w:header="852" w:footer="979" w:top="1040" w:bottom="1160" w:left="0" w:right="0"/>
        </w:sectPr>
      </w:pPr>
    </w:p>
    <w:p>
      <w:pPr>
        <w:pStyle w:val="BodyText"/>
        <w:rPr>
          <w:b/>
        </w:rPr>
      </w:pPr>
    </w:p>
    <w:p>
      <w:pPr>
        <w:pStyle w:val="BodyText"/>
        <w:rPr>
          <w:b/>
        </w:rPr>
      </w:pPr>
    </w:p>
    <w:p>
      <w:pPr>
        <w:pStyle w:val="BodyText"/>
        <w:spacing w:before="8"/>
        <w:rPr>
          <w:b/>
          <w:sz w:val="18"/>
        </w:rPr>
      </w:pPr>
    </w:p>
    <w:p>
      <w:pPr>
        <w:pStyle w:val="Heading7"/>
        <w:spacing w:before="93"/>
        <w:jc w:val="both"/>
      </w:pPr>
      <w:r>
        <w:rPr/>
        <w:t>Measure Rx power of device</w:t>
      </w:r>
    </w:p>
    <w:p>
      <w:pPr>
        <w:pStyle w:val="ListParagraph"/>
        <w:numPr>
          <w:ilvl w:val="0"/>
          <w:numId w:val="20"/>
        </w:numPr>
        <w:tabs>
          <w:tab w:pos="1777" w:val="left" w:leader="none"/>
        </w:tabs>
        <w:spacing w:line="240" w:lineRule="auto" w:before="182" w:after="0"/>
        <w:ind w:left="1776" w:right="1140" w:hanging="360"/>
        <w:jc w:val="left"/>
        <w:rPr>
          <w:sz w:val="20"/>
        </w:rPr>
      </w:pPr>
      <w:r>
        <w:rPr>
          <w:sz w:val="20"/>
        </w:rPr>
        <w:t>Once Tx power is measured, add longer cable and a digital attenuator (to increase dynamic range) between the device and SA to measure Rx</w:t>
      </w:r>
      <w:r>
        <w:rPr>
          <w:spacing w:val="-14"/>
          <w:sz w:val="20"/>
        </w:rPr>
        <w:t> </w:t>
      </w:r>
      <w:r>
        <w:rPr>
          <w:sz w:val="20"/>
        </w:rPr>
        <w:t>power.</w:t>
      </w:r>
    </w:p>
    <w:p>
      <w:pPr>
        <w:pStyle w:val="ListParagraph"/>
        <w:numPr>
          <w:ilvl w:val="0"/>
          <w:numId w:val="20"/>
        </w:numPr>
        <w:tabs>
          <w:tab w:pos="1777" w:val="left" w:leader="none"/>
        </w:tabs>
        <w:spacing w:line="240" w:lineRule="auto" w:before="180" w:after="0"/>
        <w:ind w:left="1776" w:right="1142" w:hanging="360"/>
        <w:jc w:val="left"/>
        <w:rPr>
          <w:sz w:val="20"/>
        </w:rPr>
      </w:pPr>
      <w:r>
        <w:rPr>
          <w:sz w:val="20"/>
        </w:rPr>
        <w:t>For Rx measurement, the RF Burst Absolute Trigger value changes depending on the expected Rx power that can be controlled by changing the attenuation value in the digital</w:t>
      </w:r>
      <w:r>
        <w:rPr>
          <w:spacing w:val="-30"/>
          <w:sz w:val="20"/>
        </w:rPr>
        <w:t> </w:t>
      </w:r>
      <w:r>
        <w:rPr>
          <w:sz w:val="20"/>
        </w:rPr>
        <w:t>attenuator.</w:t>
      </w:r>
    </w:p>
    <w:p>
      <w:pPr>
        <w:pStyle w:val="ListParagraph"/>
        <w:numPr>
          <w:ilvl w:val="0"/>
          <w:numId w:val="20"/>
        </w:numPr>
        <w:tabs>
          <w:tab w:pos="1777" w:val="left" w:leader="none"/>
        </w:tabs>
        <w:spacing w:line="240" w:lineRule="auto" w:before="180" w:after="0"/>
        <w:ind w:left="1776" w:right="0" w:hanging="360"/>
        <w:jc w:val="left"/>
        <w:rPr>
          <w:sz w:val="20"/>
        </w:rPr>
      </w:pPr>
      <w:r>
        <w:rPr>
          <w:sz w:val="20"/>
        </w:rPr>
        <w:t>Turn on the internal preamp of SA when measuring low</w:t>
      </w:r>
      <w:r>
        <w:rPr>
          <w:spacing w:val="-15"/>
          <w:sz w:val="20"/>
        </w:rPr>
        <w:t> </w:t>
      </w:r>
      <w:r>
        <w:rPr>
          <w:sz w:val="20"/>
        </w:rPr>
        <w:t>power.</w:t>
      </w:r>
    </w:p>
    <w:p>
      <w:pPr>
        <w:pStyle w:val="BodyText"/>
      </w:pPr>
    </w:p>
    <w:p>
      <w:pPr>
        <w:pStyle w:val="BodyText"/>
      </w:pPr>
    </w:p>
    <w:p>
      <w:pPr>
        <w:pStyle w:val="BodyText"/>
      </w:pPr>
    </w:p>
    <w:p>
      <w:pPr>
        <w:pStyle w:val="BodyText"/>
        <w:spacing w:before="10"/>
        <w:rPr>
          <w:sz w:val="18"/>
        </w:rPr>
      </w:pPr>
      <w:r>
        <w:rPr/>
        <w:pict>
          <v:group style="position:absolute;margin-left:56.150002pt;margin-top:12.838423pt;width:449.55pt;height:155.85pt;mso-position-horizontal-relative:page;mso-position-vertical-relative:paragraph;z-index:3232;mso-wrap-distance-left:0;mso-wrap-distance-right:0" coordorigin="1123,257" coordsize="8991,3117">
            <v:shape style="position:absolute;left:1133;top:319;width:1979;height:1124" coordorigin="1133,319" coordsize="1979,1124" path="m2925,319l1320,319,1247,334,1188,374,1148,433,1133,506,1133,1256,1148,1328,1188,1388,1247,1428,1320,1443,2925,1443,2998,1428,3057,1388,3097,1328,3112,1256,3112,506,3097,433,3057,374,2998,334,2925,319xe" filled="true" fillcolor="#5b9bd4" stroked="false">
              <v:path arrowok="t"/>
              <v:fill type="solid"/>
            </v:shape>
            <v:shape style="position:absolute;left:1133;top:319;width:1979;height:1124" coordorigin="1133,319" coordsize="1979,1124" path="m1133,506l1148,433,1188,374,1247,334,1320,319,2925,319,2998,334,3057,374,3097,433,3112,506,3112,1256,3097,1328,3057,1388,2998,1428,2925,1443,1320,1443,1247,1428,1188,1388,1148,1328,1133,1256,1133,506xe" filled="false" stroked="true" strokeweight="1pt" strokecolor="#41709c">
              <v:path arrowok="t"/>
              <v:stroke dashstyle="solid"/>
            </v:shape>
            <v:shape style="position:absolute;left:3112;top:800;width:870;height:150" coordorigin="3112,800" coordsize="870,150" path="m3932,850l3856,850,3856,900,3831,900,3832,950,3981,874,3932,850xm3831,850l3112,856,3112,906,3831,900,3831,850xm3856,850l3831,850,3831,900,3856,900,3856,850xm3830,800l3831,850,3932,850,3830,800xe" filled="true" fillcolor="#00afef" stroked="false">
              <v:path arrowok="t"/>
              <v:fill type="solid"/>
            </v:shape>
            <v:shape style="position:absolute;left:3949;top:798;width:3307;height:120" coordorigin="3949,798" coordsize="3307,120" path="m7226,843l7156,843,7156,873,7136,873,7136,918,7256,858,7226,843xm7136,843l3949,849,3949,879,7136,873,7136,843xm7156,843l7136,843,7136,873,7156,873,7156,843xm7136,798l7136,843,7226,843,7136,798xe" filled="true" fillcolor="#000000" stroked="false">
              <v:path arrowok="t"/>
              <v:fill type="solid"/>
            </v:shape>
            <v:shape style="position:absolute;left:8102;top:267;width:1979;height:1124" coordorigin="8102,267" coordsize="1979,1124" path="m9894,267l8289,267,8216,282,8157,322,8117,381,8102,454,8102,1204,8117,1276,8157,1336,8216,1376,8289,1391,9894,1391,9967,1376,10026,1336,10066,1276,10081,1204,10081,454,10066,381,10026,322,9967,282,9894,267xe" filled="true" fillcolor="#5b9bd4" stroked="false">
              <v:path arrowok="t"/>
              <v:fill type="solid"/>
            </v:shape>
            <v:shape style="position:absolute;left:8102;top:267;width:1979;height:1124" coordorigin="8102,267" coordsize="1979,1124" path="m8102,454l8117,381,8157,322,8216,282,8289,267,9894,267,9967,282,10026,322,10066,381,10081,454,10081,1204,10066,1276,10026,1336,9967,1376,9894,1391,8289,1391,8216,1376,8157,1336,8117,1276,8102,1204,8102,454xe" filled="false" stroked="true" strokeweight="1pt" strokecolor="#41709c">
              <v:path arrowok="t"/>
              <v:stroke dashstyle="solid"/>
            </v:shape>
            <v:shape style="position:absolute;left:7261;top:791;width:838;height:150" coordorigin="7261,791" coordsize="838,150" path="m7949,891l7949,941,8049,891,7974,891,7949,891xm7949,841l7949,891,7974,891,7974,841,7949,841xm7949,791l7949,841,7974,841,7974,891,8049,891,8099,866,7949,791xm7261,840l7261,890,7949,891,7949,841,7261,840xe" filled="true" fillcolor="#00afef" stroked="false">
              <v:path arrowok="t"/>
              <v:fill type="solid"/>
            </v:shape>
            <v:shape style="position:absolute;left:8125;top:2152;width:1979;height:1124" coordorigin="8125,2152" coordsize="1979,1124" path="m9917,2152l8312,2152,8239,2167,8180,2207,8140,2266,8125,2339,8125,3089,8140,3161,8180,3221,8239,3261,8312,3276,9917,3276,9990,3261,10049,3221,10089,3161,10104,3089,10104,2339,10089,2266,10049,2207,9990,2167,9917,2152xe" filled="true" fillcolor="#5b9bd4" stroked="false">
              <v:path arrowok="t"/>
              <v:fill type="solid"/>
            </v:shape>
            <v:shape style="position:absolute;left:8125;top:2152;width:1979;height:1124" coordorigin="8125,2152" coordsize="1979,1124" path="m8125,2339l8140,2266,8180,2207,8239,2167,8312,2152,9917,2152,9990,2167,10049,2207,10089,2266,10104,2339,10104,3089,10089,3161,10049,3221,9990,3261,9917,3276,8312,3276,8239,3261,8180,3221,8140,3161,8125,3089,8125,2339xe" filled="false" stroked="true" strokeweight="1pt" strokecolor="#41709c">
              <v:path arrowok="t"/>
              <v:stroke dashstyle="solid"/>
            </v:shape>
            <v:shape style="position:absolute;left:7170;top:874;width:989;height:1901" coordorigin="7170,874" coordsize="989,1901" path="m8039,2655l8039,2775,8124,2732,8059,2732,8059,2697,8124,2697,8039,2655xm7205,874l7170,874,7170,2732,8039,2732,8039,2715,7205,2715,7188,2697,7205,2697,7205,874xm8124,2697l8059,2697,8059,2732,8124,2732,8159,2715,8124,2697xm7205,2697l7188,2697,7205,2715,7205,2697xm8039,2697l7205,2697,7205,2715,8039,2715,8039,2697xe" filled="true" fillcolor="#000000" stroked="false">
              <v:path arrowok="t"/>
              <v:fill type="solid"/>
            </v:shape>
            <v:shape style="position:absolute;left:5182;top:629;width:570;height:548" coordorigin="5182,629" coordsize="570,548" path="m5467,629l5391,639,5323,666,5265,709,5221,765,5192,830,5182,903,5192,976,5221,1041,5265,1097,5323,1139,5391,1167,5467,1177,5543,1167,5611,1139,5669,1097,5713,1041,5742,976,5752,903,5742,830,5713,765,5669,709,5611,666,5543,639,5467,629xe" filled="true" fillcolor="#5b9bd4" stroked="false">
              <v:path arrowok="t"/>
              <v:fill type="solid"/>
            </v:shape>
            <v:shape style="position:absolute;left:5182;top:629;width:570;height:548" coordorigin="5182,629" coordsize="570,548" path="m5182,903l5192,830,5221,765,5265,709,5323,666,5391,639,5467,629,5543,639,5611,666,5669,709,5713,765,5742,830,5752,903,5742,976,5713,1041,5669,1097,5611,1139,5543,1167,5467,1177,5391,1167,5323,1139,5265,1097,5221,1041,5192,976,5182,903xe" filled="false" stroked="true" strokeweight="1pt" strokecolor="#41709c">
              <v:path arrowok="t"/>
              <v:stroke dashstyle="solid"/>
            </v:shape>
            <v:shape style="position:absolute;left:3427;top:1055;width:120;height:525" coordorigin="3427,1055" coordsize="120,525" path="m3492,1155l3482,1155,3482,1580,3492,1580,3492,1155xm3487,1055l3427,1175,3482,1175,3482,1155,3537,1155,3487,1055xm3537,1155l3492,1155,3492,1175,3547,1175,3537,1155xe" filled="true" fillcolor="#5b9bd4" stroked="false">
              <v:path arrowok="t"/>
              <v:fill type="solid"/>
            </v:shape>
            <v:shape style="position:absolute;left:1527;top:638;width:1211;height:533" type="#_x0000_t202" filled="false" stroked="false">
              <v:textbox inset="0,0,0,0">
                <w:txbxContent>
                  <w:p>
                    <w:pPr>
                      <w:spacing w:line="244" w:lineRule="exact" w:before="0"/>
                      <w:ind w:left="0" w:right="18" w:firstLine="0"/>
                      <w:jc w:val="center"/>
                      <w:rPr>
                        <w:rFonts w:ascii="Calibri"/>
                        <w:sz w:val="24"/>
                      </w:rPr>
                    </w:pPr>
                    <w:r>
                      <w:rPr>
                        <w:rFonts w:ascii="Calibri"/>
                        <w:color w:val="FFFFFF"/>
                        <w:sz w:val="24"/>
                      </w:rPr>
                      <w:t>C-V2X/DSRC</w:t>
                    </w:r>
                  </w:p>
                  <w:p>
                    <w:pPr>
                      <w:spacing w:line="288" w:lineRule="exact" w:before="0"/>
                      <w:ind w:left="0" w:right="15" w:firstLine="0"/>
                      <w:jc w:val="center"/>
                      <w:rPr>
                        <w:rFonts w:ascii="Calibri"/>
                        <w:sz w:val="24"/>
                      </w:rPr>
                    </w:pPr>
                    <w:r>
                      <w:rPr>
                        <w:rFonts w:ascii="Calibri"/>
                        <w:color w:val="FFFFFF"/>
                        <w:sz w:val="24"/>
                      </w:rPr>
                      <w:t>device</w:t>
                    </w:r>
                  </w:p>
                </w:txbxContent>
              </v:textbox>
              <w10:wrap type="none"/>
            </v:shape>
            <v:shape style="position:absolute;left:4878;top:840;width:1082;height:581" type="#_x0000_t202" filled="false" stroked="false">
              <v:textbox inset="0,0,0,0">
                <w:txbxContent>
                  <w:p>
                    <w:pPr>
                      <w:spacing w:line="244" w:lineRule="exact" w:before="0"/>
                      <w:ind w:left="142" w:right="0" w:firstLine="0"/>
                      <w:jc w:val="center"/>
                      <w:rPr>
                        <w:rFonts w:ascii="Calibri"/>
                        <w:sz w:val="24"/>
                      </w:rPr>
                    </w:pPr>
                    <w:r>
                      <w:rPr>
                        <w:rFonts w:ascii="Calibri"/>
                        <w:color w:val="FFFFFF"/>
                        <w:sz w:val="24"/>
                      </w:rPr>
                      <w:t>A</w:t>
                    </w:r>
                  </w:p>
                  <w:p>
                    <w:pPr>
                      <w:spacing w:line="289" w:lineRule="exact" w:before="48"/>
                      <w:ind w:left="-1" w:right="18" w:firstLine="0"/>
                      <w:jc w:val="center"/>
                      <w:rPr>
                        <w:rFonts w:ascii="Calibri"/>
                        <w:sz w:val="24"/>
                      </w:rPr>
                    </w:pPr>
                    <w:r>
                      <w:rPr>
                        <w:rFonts w:ascii="Calibri"/>
                        <w:spacing w:val="-2"/>
                        <w:sz w:val="24"/>
                      </w:rPr>
                      <w:t>Attenuator</w:t>
                    </w:r>
                  </w:p>
                </w:txbxContent>
              </v:textbox>
              <w10:wrap type="none"/>
            </v:shape>
            <v:shape style="position:absolute;left:6186;top:950;width:565;height:240" type="#_x0000_t202" filled="false" stroked="false">
              <v:textbox inset="0,0,0,0">
                <w:txbxContent>
                  <w:p>
                    <w:pPr>
                      <w:spacing w:line="240" w:lineRule="exact" w:before="0"/>
                      <w:ind w:left="0" w:right="0" w:firstLine="0"/>
                      <w:jc w:val="left"/>
                      <w:rPr>
                        <w:rFonts w:ascii="Calibri"/>
                        <w:sz w:val="24"/>
                      </w:rPr>
                    </w:pPr>
                    <w:r>
                      <w:rPr>
                        <w:rFonts w:ascii="Calibri"/>
                        <w:sz w:val="24"/>
                      </w:rPr>
                      <w:t>Cable</w:t>
                    </w:r>
                  </w:p>
                </w:txbxContent>
              </v:textbox>
              <w10:wrap type="none"/>
            </v:shape>
            <v:shape style="position:absolute;left:8498;top:585;width:1211;height:533" type="#_x0000_t202" filled="false" stroked="false">
              <v:textbox inset="0,0,0,0">
                <w:txbxContent>
                  <w:p>
                    <w:pPr>
                      <w:spacing w:line="244" w:lineRule="exact" w:before="0"/>
                      <w:ind w:left="-1" w:right="18" w:firstLine="0"/>
                      <w:jc w:val="center"/>
                      <w:rPr>
                        <w:rFonts w:ascii="Calibri"/>
                        <w:sz w:val="24"/>
                      </w:rPr>
                    </w:pPr>
                    <w:r>
                      <w:rPr>
                        <w:rFonts w:ascii="Calibri"/>
                        <w:color w:val="FFFFFF"/>
                        <w:spacing w:val="-1"/>
                        <w:sz w:val="24"/>
                      </w:rPr>
                      <w:t>C-V2X/DSRC</w:t>
                    </w:r>
                  </w:p>
                  <w:p>
                    <w:pPr>
                      <w:spacing w:line="288" w:lineRule="exact" w:before="0"/>
                      <w:ind w:left="0" w:right="15" w:firstLine="0"/>
                      <w:jc w:val="center"/>
                      <w:rPr>
                        <w:rFonts w:ascii="Calibri"/>
                        <w:sz w:val="24"/>
                      </w:rPr>
                    </w:pPr>
                    <w:r>
                      <w:rPr>
                        <w:rFonts w:ascii="Calibri"/>
                        <w:color w:val="FFFFFF"/>
                        <w:sz w:val="24"/>
                      </w:rPr>
                      <w:t>device</w:t>
                    </w:r>
                  </w:p>
                </w:txbxContent>
              </v:textbox>
              <w10:wrap type="none"/>
            </v:shape>
            <v:shape style="position:absolute;left:8990;top:2616;width:265;height:240" type="#_x0000_t202" filled="false" stroked="false">
              <v:textbox inset="0,0,0,0">
                <w:txbxContent>
                  <w:p>
                    <w:pPr>
                      <w:spacing w:line="240" w:lineRule="exact" w:before="0"/>
                      <w:ind w:left="0" w:right="0" w:firstLine="0"/>
                      <w:jc w:val="left"/>
                      <w:rPr>
                        <w:rFonts w:ascii="Calibri"/>
                        <w:sz w:val="24"/>
                      </w:rPr>
                    </w:pPr>
                    <w:r>
                      <w:rPr>
                        <w:rFonts w:ascii="Calibri"/>
                        <w:color w:val="FFFFFF"/>
                        <w:sz w:val="24"/>
                      </w:rPr>
                      <w:t>SA</w:t>
                    </w:r>
                  </w:p>
                </w:txbxContent>
              </v:textbox>
              <w10:wrap type="none"/>
            </v:shape>
            <v:shape style="position:absolute;left:1832;top:2932;width:2170;height:442" type="#_x0000_t202" filled="false" stroked="false">
              <v:textbox inset="0,0,0,0">
                <w:txbxContent>
                  <w:p>
                    <w:pPr>
                      <w:spacing w:line="202" w:lineRule="exact" w:before="0"/>
                      <w:ind w:left="0" w:right="0" w:firstLine="0"/>
                      <w:jc w:val="left"/>
                      <w:rPr>
                        <w:rFonts w:ascii="Calibri"/>
                        <w:sz w:val="20"/>
                      </w:rPr>
                    </w:pPr>
                    <w:r>
                      <w:rPr>
                        <w:rFonts w:ascii="Calibri"/>
                        <w:color w:val="00AFEF"/>
                        <w:sz w:val="20"/>
                      </w:rPr>
                      <w:t>Quad FAKRA cable (C-V2X)</w:t>
                    </w:r>
                  </w:p>
                  <w:p>
                    <w:pPr>
                      <w:spacing w:line="239" w:lineRule="exact" w:before="0"/>
                      <w:ind w:left="0" w:right="0" w:firstLine="0"/>
                      <w:jc w:val="left"/>
                      <w:rPr>
                        <w:rFonts w:ascii="Calibri"/>
                        <w:sz w:val="20"/>
                      </w:rPr>
                    </w:pPr>
                    <w:r>
                      <w:rPr>
                        <w:rFonts w:ascii="Calibri"/>
                        <w:color w:val="00AFEF"/>
                        <w:sz w:val="20"/>
                      </w:rPr>
                      <w:t>Single FAKRA cable (DSRC)</w:t>
                    </w:r>
                  </w:p>
                </w:txbxContent>
              </v:textbox>
              <w10:wrap type="none"/>
            </v:shape>
            <w10:wrap type="topAndBottom"/>
          </v:group>
        </w:pict>
      </w:r>
    </w:p>
    <w:p>
      <w:pPr>
        <w:pStyle w:val="BodyText"/>
        <w:spacing w:before="6"/>
        <w:rPr>
          <w:sz w:val="26"/>
        </w:rPr>
      </w:pPr>
    </w:p>
    <w:p>
      <w:pPr>
        <w:pStyle w:val="Heading4"/>
        <w:jc w:val="both"/>
      </w:pPr>
      <w:r>
        <w:rPr/>
        <w:t>Figure 12: Rx Power Measurement</w:t>
      </w:r>
    </w:p>
    <w:p>
      <w:pPr>
        <w:pStyle w:val="BodyText"/>
        <w:rPr>
          <w:b/>
          <w:sz w:val="26"/>
        </w:rPr>
      </w:pPr>
    </w:p>
    <w:p>
      <w:pPr>
        <w:pStyle w:val="BodyText"/>
        <w:spacing w:before="3"/>
        <w:rPr>
          <w:b/>
          <w:sz w:val="31"/>
        </w:rPr>
      </w:pPr>
    </w:p>
    <w:p>
      <w:pPr>
        <w:pStyle w:val="ListParagraph"/>
        <w:numPr>
          <w:ilvl w:val="1"/>
          <w:numId w:val="14"/>
        </w:numPr>
        <w:tabs>
          <w:tab w:pos="2267" w:val="left" w:leader="none"/>
        </w:tabs>
        <w:spacing w:line="240" w:lineRule="auto" w:before="0" w:after="0"/>
        <w:ind w:left="2266" w:right="0" w:hanging="1133"/>
        <w:jc w:val="both"/>
        <w:rPr>
          <w:sz w:val="32"/>
        </w:rPr>
      </w:pPr>
      <w:bookmarkStart w:name="_bookmark133" w:id="197"/>
      <w:bookmarkEnd w:id="197"/>
      <w:r>
        <w:rPr/>
      </w:r>
      <w:bookmarkStart w:name="_bookmark133" w:id="198"/>
      <w:bookmarkEnd w:id="198"/>
      <w:r>
        <w:rPr>
          <w:sz w:val="32"/>
        </w:rPr>
        <w:t>A</w:t>
      </w:r>
      <w:r>
        <w:rPr>
          <w:sz w:val="32"/>
        </w:rPr>
        <w:t>WGN Lab</w:t>
      </w:r>
      <w:r>
        <w:rPr>
          <w:spacing w:val="-4"/>
          <w:sz w:val="32"/>
        </w:rPr>
        <w:t> </w:t>
      </w:r>
      <w:r>
        <w:rPr>
          <w:sz w:val="32"/>
        </w:rPr>
        <w:t>Tests</w:t>
      </w:r>
    </w:p>
    <w:p>
      <w:pPr>
        <w:pStyle w:val="Heading7"/>
        <w:spacing w:before="178"/>
        <w:jc w:val="both"/>
      </w:pPr>
      <w:r>
        <w:rPr/>
        <w:t>Basic Bench Cabled RF Tests</w:t>
      </w:r>
    </w:p>
    <w:p>
      <w:pPr>
        <w:pStyle w:val="BodyText"/>
        <w:spacing w:before="182"/>
        <w:ind w:left="1133" w:right="1128"/>
        <w:jc w:val="both"/>
      </w:pPr>
      <w:r>
        <w:rPr/>
        <w:t>In this section, we focus on test procedures performed in the lab in the cabled RF environment. Although the test</w:t>
      </w:r>
      <w:r>
        <w:rPr>
          <w:spacing w:val="-12"/>
        </w:rPr>
        <w:t> </w:t>
      </w:r>
      <w:r>
        <w:rPr/>
        <w:t>procedures</w:t>
      </w:r>
      <w:r>
        <w:rPr>
          <w:spacing w:val="-12"/>
        </w:rPr>
        <w:t> </w:t>
      </w:r>
      <w:r>
        <w:rPr/>
        <w:t>below</w:t>
      </w:r>
      <w:r>
        <w:rPr>
          <w:spacing w:val="-14"/>
        </w:rPr>
        <w:t> </w:t>
      </w:r>
      <w:r>
        <w:rPr/>
        <w:t>refer</w:t>
      </w:r>
      <w:r>
        <w:rPr>
          <w:spacing w:val="-9"/>
        </w:rPr>
        <w:t> </w:t>
      </w:r>
      <w:r>
        <w:rPr/>
        <w:t>mainly</w:t>
      </w:r>
      <w:r>
        <w:rPr>
          <w:spacing w:val="-15"/>
        </w:rPr>
        <w:t> </w:t>
      </w:r>
      <w:r>
        <w:rPr/>
        <w:t>to</w:t>
      </w:r>
      <w:r>
        <w:rPr>
          <w:spacing w:val="-12"/>
        </w:rPr>
        <w:t> </w:t>
      </w:r>
      <w:r>
        <w:rPr/>
        <w:t>C-V2X,</w:t>
      </w:r>
      <w:r>
        <w:rPr>
          <w:spacing w:val="-12"/>
        </w:rPr>
        <w:t> </w:t>
      </w:r>
      <w:r>
        <w:rPr/>
        <w:t>the</w:t>
      </w:r>
      <w:r>
        <w:rPr>
          <w:spacing w:val="-11"/>
        </w:rPr>
        <w:t> </w:t>
      </w:r>
      <w:r>
        <w:rPr/>
        <w:t>exact</w:t>
      </w:r>
      <w:r>
        <w:rPr>
          <w:spacing w:val="-9"/>
        </w:rPr>
        <w:t> </w:t>
      </w:r>
      <w:r>
        <w:rPr/>
        <w:t>same</w:t>
      </w:r>
      <w:r>
        <w:rPr>
          <w:spacing w:val="-12"/>
        </w:rPr>
        <w:t> </w:t>
      </w:r>
      <w:r>
        <w:rPr/>
        <w:t>tests</w:t>
      </w:r>
      <w:r>
        <w:rPr>
          <w:spacing w:val="-9"/>
        </w:rPr>
        <w:t> </w:t>
      </w:r>
      <w:r>
        <w:rPr/>
        <w:t>were</w:t>
      </w:r>
      <w:r>
        <w:rPr>
          <w:spacing w:val="-10"/>
        </w:rPr>
        <w:t> </w:t>
      </w:r>
      <w:r>
        <w:rPr/>
        <w:t>carried</w:t>
      </w:r>
      <w:r>
        <w:rPr>
          <w:spacing w:val="-11"/>
        </w:rPr>
        <w:t> </w:t>
      </w:r>
      <w:r>
        <w:rPr/>
        <w:t>out</w:t>
      </w:r>
      <w:r>
        <w:rPr>
          <w:spacing w:val="-10"/>
        </w:rPr>
        <w:t> </w:t>
      </w:r>
      <w:r>
        <w:rPr/>
        <w:t>for</w:t>
      </w:r>
      <w:r>
        <w:rPr>
          <w:spacing w:val="-9"/>
        </w:rPr>
        <w:t> </w:t>
      </w:r>
      <w:r>
        <w:rPr/>
        <w:t>both</w:t>
      </w:r>
      <w:r>
        <w:rPr>
          <w:spacing w:val="-10"/>
        </w:rPr>
        <w:t> </w:t>
      </w:r>
      <w:r>
        <w:rPr/>
        <w:t>C-V2X</w:t>
      </w:r>
      <w:r>
        <w:rPr>
          <w:spacing w:val="-9"/>
        </w:rPr>
        <w:t> </w:t>
      </w:r>
      <w:r>
        <w:rPr/>
        <w:t>and</w:t>
      </w:r>
      <w:r>
        <w:rPr>
          <w:spacing w:val="-11"/>
        </w:rPr>
        <w:t> </w:t>
      </w:r>
      <w:r>
        <w:rPr/>
        <w:t>DSRC. According</w:t>
      </w:r>
      <w:r>
        <w:rPr>
          <w:spacing w:val="-10"/>
        </w:rPr>
        <w:t> </w:t>
      </w:r>
      <w:r>
        <w:rPr/>
        <w:t>to</w:t>
      </w:r>
      <w:r>
        <w:rPr>
          <w:spacing w:val="-8"/>
        </w:rPr>
        <w:t> </w:t>
      </w:r>
      <w:r>
        <w:rPr/>
        <w:t>5GAA</w:t>
      </w:r>
      <w:r>
        <w:rPr>
          <w:spacing w:val="-11"/>
        </w:rPr>
        <w:t> </w:t>
      </w:r>
      <w:r>
        <w:rPr/>
        <w:t>test</w:t>
      </w:r>
      <w:r>
        <w:rPr>
          <w:spacing w:val="-10"/>
        </w:rPr>
        <w:t> </w:t>
      </w:r>
      <w:r>
        <w:rPr/>
        <w:t>document</w:t>
      </w:r>
      <w:r>
        <w:rPr>
          <w:spacing w:val="-10"/>
        </w:rPr>
        <w:t> </w:t>
      </w:r>
      <w:r>
        <w:rPr/>
        <w:t>TR</w:t>
      </w:r>
      <w:r>
        <w:rPr>
          <w:spacing w:val="-10"/>
        </w:rPr>
        <w:t> </w:t>
      </w:r>
      <w:r>
        <w:rPr/>
        <w:t>P-180092,</w:t>
      </w:r>
      <w:r>
        <w:rPr>
          <w:spacing w:val="-8"/>
        </w:rPr>
        <w:t> </w:t>
      </w:r>
      <w:r>
        <w:rPr/>
        <w:t>to</w:t>
      </w:r>
      <w:r>
        <w:rPr>
          <w:spacing w:val="-11"/>
        </w:rPr>
        <w:t> </w:t>
      </w:r>
      <w:r>
        <w:rPr/>
        <w:t>keep</w:t>
      </w:r>
      <w:r>
        <w:rPr>
          <w:spacing w:val="-10"/>
        </w:rPr>
        <w:t> </w:t>
      </w:r>
      <w:r>
        <w:rPr/>
        <w:t>the</w:t>
      </w:r>
      <w:r>
        <w:rPr>
          <w:spacing w:val="-11"/>
        </w:rPr>
        <w:t> </w:t>
      </w:r>
      <w:r>
        <w:rPr/>
        <w:t>setup</w:t>
      </w:r>
      <w:r>
        <w:rPr>
          <w:spacing w:val="-11"/>
        </w:rPr>
        <w:t> </w:t>
      </w:r>
      <w:r>
        <w:rPr/>
        <w:t>simple,</w:t>
      </w:r>
      <w:r>
        <w:rPr>
          <w:spacing w:val="-8"/>
        </w:rPr>
        <w:t> </w:t>
      </w:r>
      <w:r>
        <w:rPr/>
        <w:t>devices</w:t>
      </w:r>
      <w:r>
        <w:rPr>
          <w:spacing w:val="-7"/>
        </w:rPr>
        <w:t> </w:t>
      </w:r>
      <w:r>
        <w:rPr/>
        <w:t>are</w:t>
      </w:r>
      <w:r>
        <w:rPr>
          <w:spacing w:val="-10"/>
        </w:rPr>
        <w:t> </w:t>
      </w:r>
      <w:r>
        <w:rPr/>
        <w:t>configured</w:t>
      </w:r>
      <w:r>
        <w:rPr>
          <w:spacing w:val="-10"/>
        </w:rPr>
        <w:t> </w:t>
      </w:r>
      <w:r>
        <w:rPr/>
        <w:t>as</w:t>
      </w:r>
      <w:r>
        <w:rPr>
          <w:spacing w:val="-9"/>
        </w:rPr>
        <w:t> </w:t>
      </w:r>
      <w:r>
        <w:rPr/>
        <w:t>transmit- only and</w:t>
      </w:r>
      <w:r>
        <w:rPr>
          <w:spacing w:val="-9"/>
        </w:rPr>
        <w:t> </w:t>
      </w:r>
      <w:r>
        <w:rPr/>
        <w:t>receive-only.</w:t>
      </w:r>
    </w:p>
    <w:p>
      <w:pPr>
        <w:pStyle w:val="BodyText"/>
        <w:spacing w:before="177"/>
        <w:ind w:left="1133" w:right="1136"/>
      </w:pPr>
      <w:r>
        <w:rPr/>
        <w:t>The procedures are described as C-V2X test procedures; however, it is straightforward to convert them to another V2X point-to-point radio technology (e.g., IEEE 802.11p).</w:t>
      </w:r>
    </w:p>
    <w:p>
      <w:pPr>
        <w:pStyle w:val="BodyText"/>
        <w:rPr>
          <w:sz w:val="26"/>
        </w:rPr>
      </w:pPr>
    </w:p>
    <w:p>
      <w:pPr>
        <w:pStyle w:val="Heading3"/>
        <w:numPr>
          <w:ilvl w:val="2"/>
          <w:numId w:val="14"/>
        </w:numPr>
        <w:tabs>
          <w:tab w:pos="2267" w:val="left" w:leader="none"/>
        </w:tabs>
        <w:spacing w:line="240" w:lineRule="auto" w:before="1" w:after="0"/>
        <w:ind w:left="2266" w:right="0" w:hanging="1133"/>
        <w:jc w:val="both"/>
      </w:pPr>
      <w:bookmarkStart w:name="_bookmark134" w:id="199"/>
      <w:bookmarkEnd w:id="199"/>
      <w:r>
        <w:rPr/>
      </w:r>
      <w:bookmarkStart w:name="_bookmark134" w:id="200"/>
      <w:bookmarkEnd w:id="200"/>
      <w:r>
        <w:rPr/>
        <w:t>C</w:t>
      </w:r>
      <w:r>
        <w:rPr/>
        <w:t>abled transmission and reception test with varying payload</w:t>
      </w:r>
      <w:r>
        <w:rPr>
          <w:spacing w:val="-22"/>
        </w:rPr>
        <w:t> </w:t>
      </w:r>
      <w:r>
        <w:rPr/>
        <w:t>sizes</w:t>
      </w:r>
    </w:p>
    <w:p>
      <w:pPr>
        <w:pStyle w:val="BodyText"/>
        <w:spacing w:before="11"/>
        <w:rPr>
          <w:sz w:val="25"/>
        </w:rPr>
      </w:pPr>
    </w:p>
    <w:p>
      <w:pPr>
        <w:pStyle w:val="Heading5"/>
        <w:numPr>
          <w:ilvl w:val="3"/>
          <w:numId w:val="21"/>
        </w:numPr>
        <w:tabs>
          <w:tab w:pos="2552" w:val="left" w:leader="none"/>
        </w:tabs>
        <w:spacing w:line="240" w:lineRule="auto" w:before="0" w:after="0"/>
        <w:ind w:left="2551" w:right="0" w:hanging="1418"/>
        <w:jc w:val="both"/>
        <w:rPr>
          <w:rFonts w:ascii="Arial"/>
        </w:rPr>
      </w:pPr>
      <w:r>
        <w:rPr>
          <w:rFonts w:ascii="Arial"/>
        </w:rPr>
        <w:t>Background</w:t>
      </w:r>
    </w:p>
    <w:p>
      <w:pPr>
        <w:pStyle w:val="BodyText"/>
        <w:spacing w:before="181"/>
        <w:ind w:left="1133"/>
        <w:jc w:val="both"/>
      </w:pPr>
      <w:r>
        <w:rPr/>
        <w:t>This test verifies that C-V2X devices can transmit and receive varying C-V2X messages over a PC5 Interface.</w:t>
      </w:r>
    </w:p>
    <w:p>
      <w:pPr>
        <w:pStyle w:val="BodyText"/>
        <w:spacing w:before="11"/>
        <w:rPr>
          <w:sz w:val="25"/>
        </w:rPr>
      </w:pPr>
    </w:p>
    <w:p>
      <w:pPr>
        <w:pStyle w:val="Heading5"/>
        <w:numPr>
          <w:ilvl w:val="3"/>
          <w:numId w:val="21"/>
        </w:numPr>
        <w:tabs>
          <w:tab w:pos="2552" w:val="left" w:leader="none"/>
        </w:tabs>
        <w:spacing w:line="240" w:lineRule="auto" w:before="0" w:after="0"/>
        <w:ind w:left="2551" w:right="0" w:hanging="1418"/>
        <w:jc w:val="both"/>
        <w:rPr>
          <w:rFonts w:ascii="Arial"/>
        </w:rPr>
      </w:pPr>
      <w:r>
        <w:rPr>
          <w:rFonts w:ascii="Arial"/>
        </w:rPr>
        <w:t>Assumptions</w:t>
      </w:r>
    </w:p>
    <w:p>
      <w:pPr>
        <w:pStyle w:val="BodyText"/>
        <w:spacing w:before="181"/>
        <w:ind w:left="1133" w:right="1136"/>
      </w:pPr>
      <w:r>
        <w:rPr/>
        <w:t>Operating system (OS) time of the transmitter and receiver boxes is synchronized to the common clock (e.g., GPS) with an error of ≤ 1 ms.</w:t>
      </w:r>
    </w:p>
    <w:p>
      <w:pPr>
        <w:spacing w:after="0"/>
        <w:sectPr>
          <w:headerReference w:type="default" r:id="rId185"/>
          <w:pgSz w:w="11910" w:h="16850"/>
          <w:pgMar w:header="852" w:footer="979" w:top="1040" w:bottom="1160" w:left="0" w:right="0"/>
        </w:sectPr>
      </w:pPr>
    </w:p>
    <w:p>
      <w:pPr>
        <w:pStyle w:val="BodyText"/>
        <w:spacing w:before="1"/>
        <w:rPr>
          <w:sz w:val="23"/>
        </w:rPr>
      </w:pPr>
    </w:p>
    <w:p>
      <w:pPr>
        <w:pStyle w:val="Heading5"/>
        <w:numPr>
          <w:ilvl w:val="3"/>
          <w:numId w:val="21"/>
        </w:numPr>
        <w:tabs>
          <w:tab w:pos="2552" w:val="left" w:leader="none"/>
        </w:tabs>
        <w:spacing w:line="240" w:lineRule="auto" w:before="93" w:after="0"/>
        <w:ind w:left="2551" w:right="0" w:hanging="1418"/>
        <w:jc w:val="both"/>
        <w:rPr>
          <w:rFonts w:ascii="Arial"/>
        </w:rPr>
      </w:pPr>
      <w:r>
        <w:rPr>
          <w:rFonts w:ascii="Arial"/>
        </w:rPr>
        <w:t>Setup</w:t>
      </w:r>
    </w:p>
    <w:p>
      <w:pPr>
        <w:pStyle w:val="BodyText"/>
        <w:spacing w:before="182"/>
        <w:ind w:left="1133" w:right="1129"/>
        <w:jc w:val="both"/>
      </w:pPr>
      <w:r>
        <w:rPr/>
        <w:t>This test uses a lab-cabled setup as Figure 13 shows. A C-V2X (receiver) is configured to receive data from C-V2X on ITS band (channel 172) with a bandwidth of 10 MHz. Each piece of On-Board Equipment (OBE) is placed in an RF-shielded box to account for possible RF leakage.</w:t>
      </w:r>
    </w:p>
    <w:p>
      <w:pPr>
        <w:pStyle w:val="BodyText"/>
      </w:pPr>
    </w:p>
    <w:p>
      <w:pPr>
        <w:pStyle w:val="BodyText"/>
      </w:pPr>
    </w:p>
    <w:p>
      <w:pPr>
        <w:pStyle w:val="BodyText"/>
        <w:spacing w:before="2"/>
        <w:rPr>
          <w:sz w:val="13"/>
        </w:rPr>
      </w:pPr>
      <w:r>
        <w:rPr/>
        <w:drawing>
          <wp:anchor distT="0" distB="0" distL="0" distR="0" allowOverlap="1" layoutInCell="1" locked="0" behindDoc="0" simplePos="0" relativeHeight="3256">
            <wp:simplePos x="0" y="0"/>
            <wp:positionH relativeFrom="page">
              <wp:posOffset>719455</wp:posOffset>
            </wp:positionH>
            <wp:positionV relativeFrom="paragraph">
              <wp:posOffset>121522</wp:posOffset>
            </wp:positionV>
            <wp:extent cx="4908928" cy="2608326"/>
            <wp:effectExtent l="0" t="0" r="0" b="0"/>
            <wp:wrapTopAndBottom/>
            <wp:docPr id="47" name="image51.png" descr=""/>
            <wp:cNvGraphicFramePr>
              <a:graphicFrameLocks noChangeAspect="1"/>
            </wp:cNvGraphicFramePr>
            <a:graphic>
              <a:graphicData uri="http://schemas.openxmlformats.org/drawingml/2006/picture">
                <pic:pic>
                  <pic:nvPicPr>
                    <pic:cNvPr id="48" name="image51.png"/>
                    <pic:cNvPicPr/>
                  </pic:nvPicPr>
                  <pic:blipFill>
                    <a:blip r:embed="rId187" cstate="print"/>
                    <a:stretch>
                      <a:fillRect/>
                    </a:stretch>
                  </pic:blipFill>
                  <pic:spPr>
                    <a:xfrm>
                      <a:off x="0" y="0"/>
                      <a:ext cx="4908928" cy="2608326"/>
                    </a:xfrm>
                    <a:prstGeom prst="rect">
                      <a:avLst/>
                    </a:prstGeom>
                  </pic:spPr>
                </pic:pic>
              </a:graphicData>
            </a:graphic>
          </wp:anchor>
        </w:drawing>
      </w:r>
    </w:p>
    <w:p>
      <w:pPr>
        <w:pStyle w:val="BodyText"/>
        <w:rPr>
          <w:sz w:val="22"/>
        </w:rPr>
      </w:pPr>
    </w:p>
    <w:p>
      <w:pPr>
        <w:spacing w:before="1"/>
        <w:ind w:left="1133" w:right="1132" w:firstLine="0"/>
        <w:jc w:val="both"/>
        <w:rPr>
          <w:b/>
          <w:sz w:val="24"/>
        </w:rPr>
      </w:pPr>
      <w:r>
        <w:rPr>
          <w:b/>
          <w:sz w:val="24"/>
        </w:rPr>
        <w:t>Figure 13: Test Setup – Cabled transmission and reception test with varying payload sizes</w:t>
      </w:r>
    </w:p>
    <w:p>
      <w:pPr>
        <w:pStyle w:val="BodyText"/>
        <w:rPr>
          <w:b/>
          <w:sz w:val="26"/>
        </w:rPr>
      </w:pPr>
    </w:p>
    <w:p>
      <w:pPr>
        <w:pStyle w:val="ListParagraph"/>
        <w:numPr>
          <w:ilvl w:val="4"/>
          <w:numId w:val="21"/>
        </w:numPr>
        <w:tabs>
          <w:tab w:pos="1701" w:val="left" w:leader="none"/>
          <w:tab w:pos="1702" w:val="left" w:leader="none"/>
        </w:tabs>
        <w:spacing w:line="240" w:lineRule="auto" w:before="183" w:after="0"/>
        <w:ind w:left="1701" w:right="0" w:hanging="285"/>
        <w:jc w:val="left"/>
        <w:rPr>
          <w:sz w:val="20"/>
        </w:rPr>
      </w:pPr>
      <w:r>
        <w:rPr>
          <w:sz w:val="20"/>
        </w:rPr>
        <w:t>Settings on the C-V2X Device 1 [Transmit</w:t>
      </w:r>
      <w:r>
        <w:rPr>
          <w:spacing w:val="-15"/>
          <w:sz w:val="20"/>
        </w:rPr>
        <w:t> </w:t>
      </w:r>
      <w:r>
        <w:rPr>
          <w:sz w:val="20"/>
        </w:rPr>
        <w:t>Radio]:</w:t>
      </w:r>
    </w:p>
    <w:p>
      <w:pPr>
        <w:pStyle w:val="ListParagraph"/>
        <w:numPr>
          <w:ilvl w:val="5"/>
          <w:numId w:val="21"/>
        </w:numPr>
        <w:tabs>
          <w:tab w:pos="1985" w:val="left" w:leader="none"/>
          <w:tab w:pos="1986" w:val="left" w:leader="none"/>
        </w:tabs>
        <w:spacing w:line="240" w:lineRule="auto" w:before="180" w:after="0"/>
        <w:ind w:left="1985" w:right="1138" w:hanging="286"/>
        <w:jc w:val="left"/>
        <w:rPr>
          <w:sz w:val="20"/>
        </w:rPr>
      </w:pPr>
      <w:r>
        <w:rPr>
          <w:sz w:val="20"/>
        </w:rPr>
        <w:t>Application layer configured to generate messages and deliver to the lower layers with 100 ms periodicity.</w:t>
      </w:r>
    </w:p>
    <w:p>
      <w:pPr>
        <w:pStyle w:val="ListParagraph"/>
        <w:numPr>
          <w:ilvl w:val="5"/>
          <w:numId w:val="21"/>
        </w:numPr>
        <w:tabs>
          <w:tab w:pos="1985" w:val="left" w:leader="none"/>
          <w:tab w:pos="1986" w:val="left" w:leader="none"/>
        </w:tabs>
        <w:spacing w:line="240" w:lineRule="auto" w:before="180" w:after="0"/>
        <w:ind w:left="1985" w:right="0" w:hanging="286"/>
        <w:jc w:val="left"/>
        <w:rPr>
          <w:sz w:val="20"/>
        </w:rPr>
      </w:pPr>
      <w:r>
        <w:rPr>
          <w:sz w:val="20"/>
        </w:rPr>
        <w:t>Varying Packet</w:t>
      </w:r>
      <w:r>
        <w:rPr>
          <w:spacing w:val="-9"/>
          <w:sz w:val="20"/>
        </w:rPr>
        <w:t> </w:t>
      </w:r>
      <w:r>
        <w:rPr>
          <w:sz w:val="20"/>
        </w:rPr>
        <w:t>lengths</w:t>
      </w:r>
    </w:p>
    <w:p>
      <w:pPr>
        <w:pStyle w:val="ListParagraph"/>
        <w:numPr>
          <w:ilvl w:val="6"/>
          <w:numId w:val="21"/>
        </w:numPr>
        <w:tabs>
          <w:tab w:pos="2269" w:val="left" w:leader="none"/>
        </w:tabs>
        <w:spacing w:line="240" w:lineRule="auto" w:before="178" w:after="0"/>
        <w:ind w:left="2268" w:right="1138" w:hanging="283"/>
        <w:jc w:val="both"/>
        <w:rPr>
          <w:sz w:val="20"/>
        </w:rPr>
      </w:pPr>
      <w:r>
        <w:rPr>
          <w:sz w:val="20"/>
        </w:rPr>
        <w:t>Smaller packet size 193 bytes for four transmit occasions followed by larger 270 bytes for one occasion. This models the expected load with security certificate digests and security certificate transmissions.</w:t>
      </w:r>
    </w:p>
    <w:p>
      <w:pPr>
        <w:pStyle w:val="ListParagraph"/>
        <w:numPr>
          <w:ilvl w:val="6"/>
          <w:numId w:val="21"/>
        </w:numPr>
        <w:tabs>
          <w:tab w:pos="282" w:val="left" w:leader="none"/>
          <w:tab w:pos="2269" w:val="left" w:leader="none"/>
        </w:tabs>
        <w:spacing w:line="240" w:lineRule="auto" w:before="180" w:after="0"/>
        <w:ind w:left="2268" w:right="2563" w:hanging="283"/>
        <w:jc w:val="left"/>
        <w:rPr>
          <w:sz w:val="20"/>
        </w:rPr>
      </w:pPr>
      <w:r>
        <w:rPr>
          <w:sz w:val="20"/>
        </w:rPr>
        <w:t>Repeat the above data pattern for the duration of the</w:t>
      </w:r>
      <w:r>
        <w:rPr>
          <w:spacing w:val="-16"/>
          <w:sz w:val="20"/>
        </w:rPr>
        <w:t> </w:t>
      </w:r>
      <w:r>
        <w:rPr>
          <w:sz w:val="20"/>
        </w:rPr>
        <w:t>test.</w:t>
      </w:r>
    </w:p>
    <w:p>
      <w:pPr>
        <w:pStyle w:val="ListParagraph"/>
        <w:numPr>
          <w:ilvl w:val="5"/>
          <w:numId w:val="21"/>
        </w:numPr>
        <w:tabs>
          <w:tab w:pos="1985" w:val="left" w:leader="none"/>
          <w:tab w:pos="1986" w:val="left" w:leader="none"/>
        </w:tabs>
        <w:spacing w:line="240" w:lineRule="auto" w:before="180" w:after="0"/>
        <w:ind w:left="1985" w:right="0" w:hanging="286"/>
        <w:jc w:val="left"/>
        <w:rPr>
          <w:sz w:val="20"/>
        </w:rPr>
      </w:pPr>
      <w:r>
        <w:rPr>
          <w:sz w:val="20"/>
        </w:rPr>
        <w:t>Transmit on ITS band Channel 172 with bandwidth of 10</w:t>
      </w:r>
      <w:r>
        <w:rPr>
          <w:spacing w:val="-18"/>
          <w:sz w:val="20"/>
        </w:rPr>
        <w:t> </w:t>
      </w:r>
      <w:r>
        <w:rPr>
          <w:sz w:val="20"/>
        </w:rPr>
        <w:t>MHz</w:t>
      </w:r>
    </w:p>
    <w:p>
      <w:pPr>
        <w:pStyle w:val="ListParagraph"/>
        <w:numPr>
          <w:ilvl w:val="5"/>
          <w:numId w:val="21"/>
        </w:numPr>
        <w:tabs>
          <w:tab w:pos="1985" w:val="left" w:leader="none"/>
          <w:tab w:pos="1986" w:val="left" w:leader="none"/>
        </w:tabs>
        <w:spacing w:line="240" w:lineRule="auto" w:before="181" w:after="0"/>
        <w:ind w:left="1985" w:right="1132" w:hanging="286"/>
        <w:jc w:val="left"/>
        <w:rPr>
          <w:sz w:val="20"/>
        </w:rPr>
      </w:pPr>
      <w:r>
        <w:rPr>
          <w:sz w:val="20"/>
        </w:rPr>
        <w:t>Appropriate transmit power and attenuation added to ensure DUT input of -50 dBm (when signal is present)</w:t>
      </w:r>
    </w:p>
    <w:p>
      <w:pPr>
        <w:pStyle w:val="ListParagraph"/>
        <w:numPr>
          <w:ilvl w:val="4"/>
          <w:numId w:val="21"/>
        </w:numPr>
        <w:tabs>
          <w:tab w:pos="1701" w:val="left" w:leader="none"/>
          <w:tab w:pos="1702" w:val="left" w:leader="none"/>
        </w:tabs>
        <w:spacing w:line="240" w:lineRule="auto" w:before="180" w:after="0"/>
        <w:ind w:left="1701" w:right="0" w:hanging="285"/>
        <w:jc w:val="left"/>
        <w:rPr>
          <w:sz w:val="20"/>
        </w:rPr>
      </w:pPr>
      <w:r>
        <w:rPr>
          <w:sz w:val="20"/>
        </w:rPr>
        <w:t>Settings on the C-V2X Device 2 [Receive</w:t>
      </w:r>
      <w:r>
        <w:rPr>
          <w:spacing w:val="-16"/>
          <w:sz w:val="20"/>
        </w:rPr>
        <w:t> </w:t>
      </w:r>
      <w:r>
        <w:rPr>
          <w:sz w:val="20"/>
        </w:rPr>
        <w:t>Radio]</w:t>
      </w:r>
    </w:p>
    <w:p>
      <w:pPr>
        <w:pStyle w:val="ListParagraph"/>
        <w:numPr>
          <w:ilvl w:val="5"/>
          <w:numId w:val="21"/>
        </w:numPr>
        <w:tabs>
          <w:tab w:pos="1985" w:val="left" w:leader="none"/>
          <w:tab w:pos="1986" w:val="left" w:leader="none"/>
        </w:tabs>
        <w:spacing w:line="240" w:lineRule="auto" w:before="180" w:after="0"/>
        <w:ind w:left="1985" w:right="0" w:hanging="286"/>
        <w:jc w:val="left"/>
        <w:rPr>
          <w:sz w:val="20"/>
        </w:rPr>
      </w:pPr>
      <w:r>
        <w:rPr>
          <w:sz w:val="20"/>
        </w:rPr>
        <w:t>Configured to receive on the same 10 MHz bandwidth</w:t>
      </w:r>
      <w:r>
        <w:rPr>
          <w:spacing w:val="-22"/>
          <w:sz w:val="20"/>
        </w:rPr>
        <w:t> </w:t>
      </w:r>
      <w:r>
        <w:rPr>
          <w:sz w:val="20"/>
        </w:rPr>
        <w:t>channel.</w:t>
      </w:r>
    </w:p>
    <w:p>
      <w:pPr>
        <w:pStyle w:val="ListParagraph"/>
        <w:numPr>
          <w:ilvl w:val="5"/>
          <w:numId w:val="21"/>
        </w:numPr>
        <w:tabs>
          <w:tab w:pos="1985" w:val="left" w:leader="none"/>
          <w:tab w:pos="1986" w:val="left" w:leader="none"/>
        </w:tabs>
        <w:spacing w:line="240" w:lineRule="auto" w:before="180" w:after="0"/>
        <w:ind w:left="1985" w:right="0" w:hanging="286"/>
        <w:jc w:val="left"/>
        <w:rPr>
          <w:sz w:val="20"/>
        </w:rPr>
      </w:pPr>
      <w:r>
        <w:rPr>
          <w:sz w:val="20"/>
        </w:rPr>
        <w:t>Receive radio will listen on all</w:t>
      </w:r>
      <w:r>
        <w:rPr>
          <w:spacing w:val="-14"/>
          <w:sz w:val="20"/>
        </w:rPr>
        <w:t> </w:t>
      </w:r>
      <w:r>
        <w:rPr>
          <w:sz w:val="20"/>
        </w:rPr>
        <w:t>occasions.</w:t>
      </w:r>
    </w:p>
    <w:p>
      <w:pPr>
        <w:pStyle w:val="ListParagraph"/>
        <w:numPr>
          <w:ilvl w:val="4"/>
          <w:numId w:val="21"/>
        </w:numPr>
        <w:tabs>
          <w:tab w:pos="1701" w:val="left" w:leader="none"/>
          <w:tab w:pos="1702" w:val="left" w:leader="none"/>
        </w:tabs>
        <w:spacing w:line="240" w:lineRule="auto" w:before="180" w:after="0"/>
        <w:ind w:left="1701" w:right="0" w:hanging="285"/>
        <w:jc w:val="left"/>
        <w:rPr>
          <w:sz w:val="20"/>
        </w:rPr>
      </w:pPr>
      <w:r>
        <w:rPr>
          <w:sz w:val="20"/>
        </w:rPr>
        <w:t>Data Collection at</w:t>
      </w:r>
      <w:r>
        <w:rPr>
          <w:spacing w:val="-4"/>
          <w:sz w:val="20"/>
        </w:rPr>
        <w:t> </w:t>
      </w:r>
      <w:r>
        <w:rPr>
          <w:sz w:val="20"/>
        </w:rPr>
        <w:t>Tx</w:t>
      </w:r>
    </w:p>
    <w:p>
      <w:pPr>
        <w:pStyle w:val="ListParagraph"/>
        <w:numPr>
          <w:ilvl w:val="5"/>
          <w:numId w:val="21"/>
        </w:numPr>
        <w:tabs>
          <w:tab w:pos="1985" w:val="left" w:leader="none"/>
          <w:tab w:pos="1986" w:val="left" w:leader="none"/>
        </w:tabs>
        <w:spacing w:line="240" w:lineRule="auto" w:before="178" w:after="0"/>
        <w:ind w:left="1985" w:right="0" w:hanging="286"/>
        <w:jc w:val="left"/>
        <w:rPr>
          <w:sz w:val="20"/>
        </w:rPr>
      </w:pPr>
      <w:r>
        <w:rPr>
          <w:sz w:val="20"/>
        </w:rPr>
        <w:t>OS timestamp for each transmitted packet (ITS</w:t>
      </w:r>
      <w:r>
        <w:rPr>
          <w:spacing w:val="-15"/>
          <w:sz w:val="20"/>
        </w:rPr>
        <w:t> </w:t>
      </w:r>
      <w:r>
        <w:rPr>
          <w:sz w:val="20"/>
        </w:rPr>
        <w:t>stack)</w:t>
      </w:r>
    </w:p>
    <w:p>
      <w:pPr>
        <w:pStyle w:val="ListParagraph"/>
        <w:numPr>
          <w:ilvl w:val="5"/>
          <w:numId w:val="21"/>
        </w:numPr>
        <w:tabs>
          <w:tab w:pos="1985" w:val="left" w:leader="none"/>
          <w:tab w:pos="1986" w:val="left" w:leader="none"/>
        </w:tabs>
        <w:spacing w:line="240" w:lineRule="auto" w:before="180" w:after="0"/>
        <w:ind w:left="1985" w:right="0" w:hanging="286"/>
        <w:jc w:val="left"/>
        <w:rPr>
          <w:sz w:val="20"/>
        </w:rPr>
      </w:pPr>
      <w:r>
        <w:rPr>
          <w:sz w:val="20"/>
        </w:rPr>
        <w:t>Sequence number of the transmitted packet (ITS</w:t>
      </w:r>
      <w:r>
        <w:rPr>
          <w:spacing w:val="-12"/>
          <w:sz w:val="20"/>
        </w:rPr>
        <w:t> </w:t>
      </w:r>
      <w:r>
        <w:rPr>
          <w:sz w:val="20"/>
        </w:rPr>
        <w:t>stack)</w:t>
      </w:r>
    </w:p>
    <w:p>
      <w:pPr>
        <w:spacing w:after="0" w:line="240" w:lineRule="auto"/>
        <w:jc w:val="left"/>
        <w:rPr>
          <w:sz w:val="20"/>
        </w:rPr>
        <w:sectPr>
          <w:headerReference w:type="default" r:id="rId186"/>
          <w:pgSz w:w="11910" w:h="16850"/>
          <w:pgMar w:header="852" w:footer="979" w:top="1040" w:bottom="1160" w:left="0" w:right="0"/>
        </w:sectPr>
      </w:pPr>
    </w:p>
    <w:p>
      <w:pPr>
        <w:pStyle w:val="BodyText"/>
      </w:pPr>
    </w:p>
    <w:p>
      <w:pPr>
        <w:pStyle w:val="BodyText"/>
      </w:pPr>
    </w:p>
    <w:p>
      <w:pPr>
        <w:pStyle w:val="BodyText"/>
      </w:pPr>
    </w:p>
    <w:p>
      <w:pPr>
        <w:pStyle w:val="BodyText"/>
      </w:pPr>
    </w:p>
    <w:p>
      <w:pPr>
        <w:pStyle w:val="BodyText"/>
        <w:spacing w:before="8"/>
        <w:rPr>
          <w:sz w:val="22"/>
        </w:rPr>
      </w:pPr>
    </w:p>
    <w:p>
      <w:pPr>
        <w:pStyle w:val="ListParagraph"/>
        <w:numPr>
          <w:ilvl w:val="4"/>
          <w:numId w:val="21"/>
        </w:numPr>
        <w:tabs>
          <w:tab w:pos="1701" w:val="left" w:leader="none"/>
          <w:tab w:pos="1702" w:val="left" w:leader="none"/>
        </w:tabs>
        <w:spacing w:line="240" w:lineRule="auto" w:before="0" w:after="0"/>
        <w:ind w:left="1701" w:right="0" w:hanging="285"/>
        <w:jc w:val="left"/>
        <w:rPr>
          <w:sz w:val="20"/>
        </w:rPr>
      </w:pPr>
      <w:r>
        <w:rPr>
          <w:sz w:val="20"/>
        </w:rPr>
        <w:t>Data Collection at</w:t>
      </w:r>
      <w:r>
        <w:rPr>
          <w:spacing w:val="-7"/>
          <w:sz w:val="20"/>
        </w:rPr>
        <w:t> </w:t>
      </w:r>
      <w:r>
        <w:rPr>
          <w:sz w:val="20"/>
        </w:rPr>
        <w:t>Rx</w:t>
      </w:r>
    </w:p>
    <w:p>
      <w:pPr>
        <w:pStyle w:val="ListParagraph"/>
        <w:numPr>
          <w:ilvl w:val="5"/>
          <w:numId w:val="21"/>
        </w:numPr>
        <w:tabs>
          <w:tab w:pos="1985" w:val="left" w:leader="none"/>
          <w:tab w:pos="1986" w:val="left" w:leader="none"/>
        </w:tabs>
        <w:spacing w:line="240" w:lineRule="auto" w:before="178" w:after="0"/>
        <w:ind w:left="1985" w:right="0" w:hanging="286"/>
        <w:jc w:val="left"/>
        <w:rPr>
          <w:sz w:val="20"/>
        </w:rPr>
      </w:pPr>
      <w:r>
        <w:rPr>
          <w:sz w:val="20"/>
        </w:rPr>
        <w:t>OS timestamp for each received packet (ITS</w:t>
      </w:r>
      <w:r>
        <w:rPr>
          <w:spacing w:val="-13"/>
          <w:sz w:val="20"/>
        </w:rPr>
        <w:t> </w:t>
      </w:r>
      <w:r>
        <w:rPr>
          <w:sz w:val="20"/>
        </w:rPr>
        <w:t>stack)</w:t>
      </w:r>
    </w:p>
    <w:p>
      <w:pPr>
        <w:pStyle w:val="ListParagraph"/>
        <w:numPr>
          <w:ilvl w:val="5"/>
          <w:numId w:val="21"/>
        </w:numPr>
        <w:tabs>
          <w:tab w:pos="1985" w:val="left" w:leader="none"/>
          <w:tab w:pos="1986" w:val="left" w:leader="none"/>
        </w:tabs>
        <w:spacing w:line="240" w:lineRule="auto" w:before="180" w:after="0"/>
        <w:ind w:left="1985" w:right="0" w:hanging="286"/>
        <w:jc w:val="left"/>
        <w:rPr>
          <w:sz w:val="20"/>
        </w:rPr>
      </w:pPr>
      <w:r>
        <w:rPr>
          <w:sz w:val="20"/>
        </w:rPr>
        <w:t>Sequence number of the received packet (ITS</w:t>
      </w:r>
      <w:r>
        <w:rPr>
          <w:spacing w:val="-11"/>
          <w:sz w:val="20"/>
        </w:rPr>
        <w:t> </w:t>
      </w:r>
      <w:r>
        <w:rPr>
          <w:sz w:val="20"/>
        </w:rPr>
        <w:t>stack)</w:t>
      </w:r>
    </w:p>
    <w:p>
      <w:pPr>
        <w:pStyle w:val="ListParagraph"/>
        <w:numPr>
          <w:ilvl w:val="5"/>
          <w:numId w:val="21"/>
        </w:numPr>
        <w:tabs>
          <w:tab w:pos="1985" w:val="left" w:leader="none"/>
          <w:tab w:pos="1986" w:val="left" w:leader="none"/>
        </w:tabs>
        <w:spacing w:line="240" w:lineRule="auto" w:before="180" w:after="0"/>
        <w:ind w:left="1985" w:right="0" w:hanging="286"/>
        <w:jc w:val="left"/>
        <w:rPr>
          <w:sz w:val="20"/>
        </w:rPr>
      </w:pPr>
      <w:r>
        <w:rPr>
          <w:sz w:val="20"/>
        </w:rPr>
        <w:t>Receive signal power for each received</w:t>
      </w:r>
      <w:r>
        <w:rPr>
          <w:spacing w:val="-18"/>
          <w:sz w:val="20"/>
        </w:rPr>
        <w:t> </w:t>
      </w:r>
      <w:r>
        <w:rPr>
          <w:sz w:val="20"/>
        </w:rPr>
        <w:t>packet</w:t>
      </w:r>
    </w:p>
    <w:p>
      <w:pPr>
        <w:pStyle w:val="ListParagraph"/>
        <w:numPr>
          <w:ilvl w:val="4"/>
          <w:numId w:val="21"/>
        </w:numPr>
        <w:tabs>
          <w:tab w:pos="1701" w:val="left" w:leader="none"/>
          <w:tab w:pos="1702" w:val="left" w:leader="none"/>
        </w:tabs>
        <w:spacing w:line="240" w:lineRule="auto" w:before="180" w:after="0"/>
        <w:ind w:left="1701" w:right="0" w:hanging="285"/>
        <w:jc w:val="left"/>
        <w:rPr>
          <w:sz w:val="20"/>
        </w:rPr>
      </w:pPr>
      <w:r>
        <w:rPr>
          <w:sz w:val="20"/>
        </w:rPr>
        <w:t>For this test, set Tx power at 20 dBm for C-V2X and</w:t>
      </w:r>
      <w:r>
        <w:rPr>
          <w:spacing w:val="-17"/>
          <w:sz w:val="20"/>
        </w:rPr>
        <w:t> </w:t>
      </w:r>
      <w:r>
        <w:rPr>
          <w:sz w:val="20"/>
        </w:rPr>
        <w:t>DSRC.</w:t>
      </w:r>
    </w:p>
    <w:p>
      <w:pPr>
        <w:pStyle w:val="BodyText"/>
        <w:spacing w:before="7"/>
      </w:pPr>
    </w:p>
    <w:p>
      <w:pPr>
        <w:pStyle w:val="Heading7"/>
        <w:jc w:val="both"/>
      </w:pPr>
      <w:r>
        <w:rPr/>
        <w:t>Table 4: Test Configuration</w:t>
      </w:r>
    </w:p>
    <w:p>
      <w:pPr>
        <w:pStyle w:val="BodyText"/>
        <w:spacing w:before="1"/>
        <w:rPr>
          <w:b/>
          <w:sz w:val="16"/>
        </w:rPr>
      </w:pPr>
    </w:p>
    <w:tbl>
      <w:tblPr>
        <w:tblW w:w="0" w:type="auto"/>
        <w:jc w:val="left"/>
        <w:tblInd w:w="2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5"/>
        <w:gridCol w:w="2463"/>
        <w:gridCol w:w="2466"/>
      </w:tblGrid>
      <w:tr>
        <w:trPr>
          <w:trHeight w:val="216" w:hRule="exact"/>
        </w:trPr>
        <w:tc>
          <w:tcPr>
            <w:tcW w:w="2465" w:type="dxa"/>
            <w:shd w:val="clear" w:color="auto" w:fill="D9D9D9"/>
          </w:tcPr>
          <w:p>
            <w:pPr>
              <w:pStyle w:val="TableParagraph"/>
              <w:spacing w:line="201" w:lineRule="exact"/>
              <w:rPr>
                <w:b/>
                <w:sz w:val="18"/>
              </w:rPr>
            </w:pPr>
            <w:r>
              <w:rPr>
                <w:b/>
                <w:sz w:val="18"/>
              </w:rPr>
              <w:t>Configuration</w:t>
            </w:r>
          </w:p>
        </w:tc>
        <w:tc>
          <w:tcPr>
            <w:tcW w:w="2463" w:type="dxa"/>
            <w:shd w:val="clear" w:color="auto" w:fill="D9D9D9"/>
          </w:tcPr>
          <w:p>
            <w:pPr>
              <w:pStyle w:val="TableParagraph"/>
              <w:spacing w:line="201" w:lineRule="exact"/>
              <w:ind w:left="100"/>
              <w:rPr>
                <w:b/>
                <w:sz w:val="18"/>
              </w:rPr>
            </w:pPr>
            <w:r>
              <w:rPr>
                <w:b/>
                <w:sz w:val="18"/>
              </w:rPr>
              <w:t>C-V2X</w:t>
            </w:r>
          </w:p>
        </w:tc>
        <w:tc>
          <w:tcPr>
            <w:tcW w:w="2466" w:type="dxa"/>
            <w:shd w:val="clear" w:color="auto" w:fill="D9D9D9"/>
          </w:tcPr>
          <w:p>
            <w:pPr>
              <w:pStyle w:val="TableParagraph"/>
              <w:spacing w:line="201" w:lineRule="exact"/>
              <w:rPr>
                <w:b/>
                <w:sz w:val="18"/>
              </w:rPr>
            </w:pPr>
            <w:r>
              <w:rPr>
                <w:b/>
                <w:sz w:val="18"/>
              </w:rPr>
              <w:t>DSRC</w:t>
            </w:r>
          </w:p>
        </w:tc>
      </w:tr>
      <w:tr>
        <w:trPr>
          <w:trHeight w:val="217" w:hRule="exact"/>
        </w:trPr>
        <w:tc>
          <w:tcPr>
            <w:tcW w:w="2465" w:type="dxa"/>
          </w:tcPr>
          <w:p>
            <w:pPr>
              <w:pStyle w:val="TableParagraph"/>
              <w:spacing w:line="207" w:lineRule="exact"/>
              <w:rPr>
                <w:sz w:val="18"/>
              </w:rPr>
            </w:pPr>
            <w:r>
              <w:rPr>
                <w:sz w:val="18"/>
              </w:rPr>
              <w:t>Packet Size</w:t>
            </w:r>
          </w:p>
        </w:tc>
        <w:tc>
          <w:tcPr>
            <w:tcW w:w="2463" w:type="dxa"/>
          </w:tcPr>
          <w:p>
            <w:pPr>
              <w:pStyle w:val="TableParagraph"/>
              <w:spacing w:line="207" w:lineRule="exact"/>
              <w:ind w:left="100"/>
              <w:rPr>
                <w:sz w:val="18"/>
              </w:rPr>
            </w:pPr>
            <w:r>
              <w:rPr>
                <w:sz w:val="18"/>
              </w:rPr>
              <w:t>193 and 270 Bytes</w:t>
            </w:r>
          </w:p>
        </w:tc>
        <w:tc>
          <w:tcPr>
            <w:tcW w:w="2466" w:type="dxa"/>
          </w:tcPr>
          <w:p>
            <w:pPr>
              <w:pStyle w:val="TableParagraph"/>
              <w:spacing w:line="207" w:lineRule="exact"/>
              <w:rPr>
                <w:sz w:val="18"/>
              </w:rPr>
            </w:pPr>
            <w:r>
              <w:rPr>
                <w:sz w:val="18"/>
              </w:rPr>
              <w:t>193 and 270 Bytes</w:t>
            </w:r>
          </w:p>
        </w:tc>
      </w:tr>
      <w:tr>
        <w:trPr>
          <w:trHeight w:val="218" w:hRule="exact"/>
        </w:trPr>
        <w:tc>
          <w:tcPr>
            <w:tcW w:w="2465" w:type="dxa"/>
          </w:tcPr>
          <w:p>
            <w:pPr>
              <w:pStyle w:val="TableParagraph"/>
              <w:spacing w:line="240" w:lineRule="auto" w:before="1"/>
              <w:rPr>
                <w:sz w:val="18"/>
              </w:rPr>
            </w:pPr>
            <w:r>
              <w:rPr>
                <w:sz w:val="18"/>
              </w:rPr>
              <w:t>Number of Samples</w:t>
            </w:r>
          </w:p>
        </w:tc>
        <w:tc>
          <w:tcPr>
            <w:tcW w:w="2463" w:type="dxa"/>
          </w:tcPr>
          <w:p>
            <w:pPr>
              <w:pStyle w:val="TableParagraph"/>
              <w:spacing w:line="240" w:lineRule="auto" w:before="1"/>
              <w:ind w:left="100"/>
              <w:rPr>
                <w:sz w:val="18"/>
              </w:rPr>
            </w:pPr>
            <w:r>
              <w:rPr>
                <w:sz w:val="18"/>
              </w:rPr>
              <w:t>1000</w:t>
            </w:r>
          </w:p>
        </w:tc>
        <w:tc>
          <w:tcPr>
            <w:tcW w:w="2466" w:type="dxa"/>
          </w:tcPr>
          <w:p>
            <w:pPr>
              <w:pStyle w:val="TableParagraph"/>
              <w:spacing w:line="240" w:lineRule="auto" w:before="1"/>
              <w:rPr>
                <w:sz w:val="18"/>
              </w:rPr>
            </w:pPr>
            <w:r>
              <w:rPr>
                <w:sz w:val="18"/>
              </w:rPr>
              <w:t>1000</w:t>
            </w:r>
          </w:p>
        </w:tc>
      </w:tr>
      <w:tr>
        <w:trPr>
          <w:trHeight w:val="216" w:hRule="exact"/>
        </w:trPr>
        <w:tc>
          <w:tcPr>
            <w:tcW w:w="2465" w:type="dxa"/>
          </w:tcPr>
          <w:p>
            <w:pPr>
              <w:pStyle w:val="TableParagraph"/>
              <w:rPr>
                <w:sz w:val="18"/>
              </w:rPr>
            </w:pPr>
            <w:r>
              <w:rPr>
                <w:sz w:val="18"/>
              </w:rPr>
              <w:t>Tx Power</w:t>
            </w:r>
          </w:p>
        </w:tc>
        <w:tc>
          <w:tcPr>
            <w:tcW w:w="2463" w:type="dxa"/>
          </w:tcPr>
          <w:p>
            <w:pPr>
              <w:pStyle w:val="TableParagraph"/>
              <w:ind w:left="100"/>
              <w:rPr>
                <w:sz w:val="18"/>
              </w:rPr>
            </w:pPr>
            <w:r>
              <w:rPr>
                <w:sz w:val="18"/>
              </w:rPr>
              <w:t>20 dBm</w:t>
            </w:r>
          </w:p>
        </w:tc>
        <w:tc>
          <w:tcPr>
            <w:tcW w:w="2466" w:type="dxa"/>
          </w:tcPr>
          <w:p>
            <w:pPr>
              <w:pStyle w:val="TableParagraph"/>
              <w:rPr>
                <w:sz w:val="18"/>
              </w:rPr>
            </w:pPr>
            <w:r>
              <w:rPr>
                <w:sz w:val="18"/>
              </w:rPr>
              <w:t>20 dBm</w:t>
            </w:r>
          </w:p>
        </w:tc>
      </w:tr>
    </w:tbl>
    <w:p>
      <w:pPr>
        <w:pStyle w:val="BodyText"/>
        <w:rPr>
          <w:b/>
          <w:sz w:val="22"/>
        </w:rPr>
      </w:pPr>
    </w:p>
    <w:p>
      <w:pPr>
        <w:pStyle w:val="BodyText"/>
        <w:spacing w:before="8"/>
        <w:rPr>
          <w:b/>
          <w:sz w:val="23"/>
        </w:rPr>
      </w:pPr>
    </w:p>
    <w:p>
      <w:pPr>
        <w:pStyle w:val="ListParagraph"/>
        <w:numPr>
          <w:ilvl w:val="3"/>
          <w:numId w:val="21"/>
        </w:numPr>
        <w:tabs>
          <w:tab w:pos="2552" w:val="left" w:leader="none"/>
        </w:tabs>
        <w:spacing w:line="240" w:lineRule="auto" w:before="0" w:after="0"/>
        <w:ind w:left="2551" w:right="0" w:hanging="1418"/>
        <w:jc w:val="both"/>
        <w:rPr>
          <w:sz w:val="24"/>
        </w:rPr>
      </w:pPr>
      <w:r>
        <w:rPr>
          <w:sz w:val="24"/>
        </w:rPr>
        <w:t>Test</w:t>
      </w:r>
      <w:r>
        <w:rPr>
          <w:spacing w:val="-7"/>
          <w:sz w:val="24"/>
        </w:rPr>
        <w:t> </w:t>
      </w:r>
      <w:r>
        <w:rPr>
          <w:sz w:val="24"/>
        </w:rPr>
        <w:t>Execution</w:t>
      </w:r>
    </w:p>
    <w:p>
      <w:pPr>
        <w:pStyle w:val="ListParagraph"/>
        <w:numPr>
          <w:ilvl w:val="0"/>
          <w:numId w:val="22"/>
        </w:numPr>
        <w:tabs>
          <w:tab w:pos="1702" w:val="left" w:leader="none"/>
        </w:tabs>
        <w:spacing w:line="240" w:lineRule="auto" w:before="181" w:after="0"/>
        <w:ind w:left="1702" w:right="0" w:hanging="286"/>
        <w:jc w:val="left"/>
        <w:rPr>
          <w:sz w:val="20"/>
        </w:rPr>
      </w:pPr>
      <w:r>
        <w:rPr>
          <w:sz w:val="20"/>
        </w:rPr>
        <w:t>Configure the attenuator so that received power on the receiver entity is -50</w:t>
      </w:r>
      <w:r>
        <w:rPr>
          <w:spacing w:val="-15"/>
          <w:sz w:val="20"/>
        </w:rPr>
        <w:t> </w:t>
      </w:r>
      <w:r>
        <w:rPr>
          <w:sz w:val="20"/>
        </w:rPr>
        <w:t>dBm.</w:t>
      </w:r>
    </w:p>
    <w:p>
      <w:pPr>
        <w:pStyle w:val="ListParagraph"/>
        <w:numPr>
          <w:ilvl w:val="0"/>
          <w:numId w:val="22"/>
        </w:numPr>
        <w:tabs>
          <w:tab w:pos="1702" w:val="left" w:leader="none"/>
        </w:tabs>
        <w:spacing w:line="240" w:lineRule="auto" w:before="180" w:after="0"/>
        <w:ind w:left="1702" w:right="0" w:hanging="286"/>
        <w:jc w:val="left"/>
        <w:rPr>
          <w:sz w:val="20"/>
        </w:rPr>
      </w:pPr>
      <w:r>
        <w:rPr>
          <w:sz w:val="20"/>
        </w:rPr>
        <w:t>Configure the transmit device with the data stream of</w:t>
      </w:r>
      <w:r>
        <w:rPr>
          <w:spacing w:val="-19"/>
          <w:sz w:val="20"/>
        </w:rPr>
        <w:t> </w:t>
      </w:r>
      <w:r>
        <w:rPr>
          <w:sz w:val="20"/>
        </w:rPr>
        <w:t>interest.</w:t>
      </w:r>
    </w:p>
    <w:p>
      <w:pPr>
        <w:pStyle w:val="ListParagraph"/>
        <w:numPr>
          <w:ilvl w:val="1"/>
          <w:numId w:val="22"/>
        </w:numPr>
        <w:tabs>
          <w:tab w:pos="2268" w:val="left" w:leader="none"/>
          <w:tab w:pos="2269" w:val="left" w:leader="none"/>
        </w:tabs>
        <w:spacing w:line="240" w:lineRule="auto" w:before="180" w:after="0"/>
        <w:ind w:left="2268" w:right="0" w:hanging="283"/>
        <w:jc w:val="left"/>
        <w:rPr>
          <w:sz w:val="20"/>
        </w:rPr>
      </w:pPr>
      <w:r>
        <w:rPr>
          <w:sz w:val="20"/>
        </w:rPr>
        <w:t>Transmit power for the transmit device remains</w:t>
      </w:r>
      <w:r>
        <w:rPr>
          <w:spacing w:val="-18"/>
          <w:sz w:val="20"/>
        </w:rPr>
        <w:t> </w:t>
      </w:r>
      <w:r>
        <w:rPr>
          <w:sz w:val="20"/>
        </w:rPr>
        <w:t>constant.</w:t>
      </w:r>
    </w:p>
    <w:p>
      <w:pPr>
        <w:pStyle w:val="ListParagraph"/>
        <w:numPr>
          <w:ilvl w:val="1"/>
          <w:numId w:val="22"/>
        </w:numPr>
        <w:tabs>
          <w:tab w:pos="2268" w:val="left" w:leader="none"/>
          <w:tab w:pos="2269" w:val="left" w:leader="none"/>
        </w:tabs>
        <w:spacing w:line="240" w:lineRule="auto" w:before="180" w:after="0"/>
        <w:ind w:left="2268" w:right="1132" w:hanging="283"/>
        <w:jc w:val="left"/>
        <w:rPr>
          <w:sz w:val="20"/>
        </w:rPr>
      </w:pPr>
      <w:r>
        <w:rPr>
          <w:sz w:val="20"/>
        </w:rPr>
        <w:t>Data</w:t>
      </w:r>
      <w:r>
        <w:rPr>
          <w:spacing w:val="-10"/>
          <w:sz w:val="20"/>
        </w:rPr>
        <w:t> </w:t>
      </w:r>
      <w:r>
        <w:rPr>
          <w:sz w:val="20"/>
        </w:rPr>
        <w:t>stream</w:t>
      </w:r>
      <w:r>
        <w:rPr>
          <w:spacing w:val="-7"/>
          <w:sz w:val="20"/>
        </w:rPr>
        <w:t> </w:t>
      </w:r>
      <w:r>
        <w:rPr>
          <w:sz w:val="20"/>
        </w:rPr>
        <w:t>is</w:t>
      </w:r>
      <w:r>
        <w:rPr>
          <w:spacing w:val="-10"/>
          <w:sz w:val="20"/>
        </w:rPr>
        <w:t> </w:t>
      </w:r>
      <w:r>
        <w:rPr>
          <w:sz w:val="20"/>
        </w:rPr>
        <w:t>a</w:t>
      </w:r>
      <w:r>
        <w:rPr>
          <w:spacing w:val="-10"/>
          <w:sz w:val="20"/>
        </w:rPr>
        <w:t> </w:t>
      </w:r>
      <w:r>
        <w:rPr>
          <w:sz w:val="20"/>
        </w:rPr>
        <w:t>sample</w:t>
      </w:r>
      <w:r>
        <w:rPr>
          <w:spacing w:val="-12"/>
          <w:sz w:val="20"/>
        </w:rPr>
        <w:t> </w:t>
      </w:r>
      <w:r>
        <w:rPr>
          <w:sz w:val="20"/>
        </w:rPr>
        <w:t>SPS-based</w:t>
      </w:r>
      <w:r>
        <w:rPr>
          <w:spacing w:val="-10"/>
          <w:sz w:val="20"/>
        </w:rPr>
        <w:t> </w:t>
      </w:r>
      <w:r>
        <w:rPr>
          <w:sz w:val="20"/>
        </w:rPr>
        <w:t>transmit</w:t>
      </w:r>
      <w:r>
        <w:rPr>
          <w:spacing w:val="-12"/>
          <w:sz w:val="20"/>
        </w:rPr>
        <w:t> </w:t>
      </w:r>
      <w:r>
        <w:rPr>
          <w:sz w:val="20"/>
        </w:rPr>
        <w:t>flow</w:t>
      </w:r>
      <w:r>
        <w:rPr>
          <w:spacing w:val="-12"/>
          <w:sz w:val="20"/>
        </w:rPr>
        <w:t> </w:t>
      </w:r>
      <w:r>
        <w:rPr>
          <w:sz w:val="20"/>
        </w:rPr>
        <w:t>of</w:t>
      </w:r>
      <w:r>
        <w:rPr>
          <w:spacing w:val="-10"/>
          <w:sz w:val="20"/>
        </w:rPr>
        <w:t> </w:t>
      </w:r>
      <w:r>
        <w:rPr>
          <w:sz w:val="20"/>
        </w:rPr>
        <w:t>varying</w:t>
      </w:r>
      <w:r>
        <w:rPr>
          <w:spacing w:val="-9"/>
          <w:sz w:val="20"/>
        </w:rPr>
        <w:t> </w:t>
      </w:r>
      <w:r>
        <w:rPr>
          <w:sz w:val="20"/>
        </w:rPr>
        <w:t>payload</w:t>
      </w:r>
      <w:r>
        <w:rPr>
          <w:spacing w:val="-10"/>
          <w:sz w:val="20"/>
        </w:rPr>
        <w:t> </w:t>
      </w:r>
      <w:r>
        <w:rPr>
          <w:sz w:val="20"/>
        </w:rPr>
        <w:t>sizes</w:t>
      </w:r>
      <w:r>
        <w:rPr>
          <w:spacing w:val="-11"/>
          <w:sz w:val="20"/>
        </w:rPr>
        <w:t> </w:t>
      </w:r>
      <w:r>
        <w:rPr>
          <w:sz w:val="20"/>
        </w:rPr>
        <w:t>sent</w:t>
      </w:r>
      <w:r>
        <w:rPr>
          <w:spacing w:val="-10"/>
          <w:sz w:val="20"/>
        </w:rPr>
        <w:t> </w:t>
      </w:r>
      <w:r>
        <w:rPr>
          <w:sz w:val="20"/>
        </w:rPr>
        <w:t>periodically</w:t>
      </w:r>
      <w:r>
        <w:rPr>
          <w:spacing w:val="-13"/>
          <w:sz w:val="20"/>
        </w:rPr>
        <w:t> </w:t>
      </w:r>
      <w:r>
        <w:rPr>
          <w:sz w:val="20"/>
        </w:rPr>
        <w:t>every 100 ms (Note: equivalent to setting a periodic stream at 100 ms period for other</w:t>
      </w:r>
      <w:r>
        <w:rPr>
          <w:spacing w:val="-30"/>
          <w:sz w:val="20"/>
        </w:rPr>
        <w:t> </w:t>
      </w:r>
      <w:r>
        <w:rPr>
          <w:sz w:val="20"/>
        </w:rPr>
        <w:t>technologies)</w:t>
      </w:r>
    </w:p>
    <w:p>
      <w:pPr>
        <w:pStyle w:val="ListParagraph"/>
        <w:numPr>
          <w:ilvl w:val="0"/>
          <w:numId w:val="22"/>
        </w:numPr>
        <w:tabs>
          <w:tab w:pos="1702" w:val="left" w:leader="none"/>
        </w:tabs>
        <w:spacing w:line="240" w:lineRule="auto" w:before="178" w:after="0"/>
        <w:ind w:left="1702" w:right="0" w:hanging="286"/>
        <w:jc w:val="left"/>
        <w:rPr>
          <w:sz w:val="20"/>
        </w:rPr>
      </w:pPr>
      <w:r>
        <w:rPr>
          <w:sz w:val="20"/>
        </w:rPr>
        <w:t>Record this data collected by the Tx and Rx device in a log</w:t>
      </w:r>
      <w:r>
        <w:rPr>
          <w:spacing w:val="-23"/>
          <w:sz w:val="20"/>
        </w:rPr>
        <w:t> </w:t>
      </w:r>
      <w:r>
        <w:rPr>
          <w:sz w:val="20"/>
        </w:rPr>
        <w:t>file.</w:t>
      </w:r>
    </w:p>
    <w:p>
      <w:pPr>
        <w:pStyle w:val="ListParagraph"/>
        <w:numPr>
          <w:ilvl w:val="1"/>
          <w:numId w:val="22"/>
        </w:numPr>
        <w:tabs>
          <w:tab w:pos="2268" w:val="left" w:leader="none"/>
          <w:tab w:pos="2269" w:val="left" w:leader="none"/>
        </w:tabs>
        <w:spacing w:line="240" w:lineRule="auto" w:before="180" w:after="0"/>
        <w:ind w:left="2268" w:right="0" w:hanging="283"/>
        <w:jc w:val="left"/>
        <w:rPr>
          <w:sz w:val="20"/>
        </w:rPr>
      </w:pPr>
      <w:r>
        <w:rPr>
          <w:sz w:val="20"/>
        </w:rPr>
        <w:t>OS timestamp for each Tx/Rx</w:t>
      </w:r>
      <w:r>
        <w:rPr>
          <w:spacing w:val="-6"/>
          <w:sz w:val="20"/>
        </w:rPr>
        <w:t> </w:t>
      </w:r>
      <w:r>
        <w:rPr>
          <w:sz w:val="20"/>
        </w:rPr>
        <w:t>packet</w:t>
      </w:r>
    </w:p>
    <w:p>
      <w:pPr>
        <w:pStyle w:val="ListParagraph"/>
        <w:numPr>
          <w:ilvl w:val="1"/>
          <w:numId w:val="22"/>
        </w:numPr>
        <w:tabs>
          <w:tab w:pos="2268" w:val="left" w:leader="none"/>
          <w:tab w:pos="2269" w:val="left" w:leader="none"/>
        </w:tabs>
        <w:spacing w:line="240" w:lineRule="auto" w:before="180" w:after="0"/>
        <w:ind w:left="2268" w:right="0" w:hanging="283"/>
        <w:jc w:val="left"/>
        <w:rPr>
          <w:sz w:val="20"/>
        </w:rPr>
      </w:pPr>
      <w:r>
        <w:rPr>
          <w:sz w:val="20"/>
        </w:rPr>
        <w:t>Sequence number of the Tx/Rx</w:t>
      </w:r>
      <w:r>
        <w:rPr>
          <w:spacing w:val="-6"/>
          <w:sz w:val="20"/>
        </w:rPr>
        <w:t> </w:t>
      </w:r>
      <w:r>
        <w:rPr>
          <w:sz w:val="20"/>
        </w:rPr>
        <w:t>packet</w:t>
      </w:r>
    </w:p>
    <w:p>
      <w:pPr>
        <w:pStyle w:val="ListParagraph"/>
        <w:numPr>
          <w:ilvl w:val="1"/>
          <w:numId w:val="22"/>
        </w:numPr>
        <w:tabs>
          <w:tab w:pos="2268" w:val="left" w:leader="none"/>
          <w:tab w:pos="2269" w:val="left" w:leader="none"/>
        </w:tabs>
        <w:spacing w:line="240" w:lineRule="auto" w:before="180" w:after="0"/>
        <w:ind w:left="2268" w:right="0" w:hanging="283"/>
        <w:jc w:val="left"/>
        <w:rPr>
          <w:sz w:val="20"/>
        </w:rPr>
      </w:pPr>
      <w:r>
        <w:rPr>
          <w:sz w:val="20"/>
        </w:rPr>
        <w:t>Receive signal power for each Rx</w:t>
      </w:r>
      <w:r>
        <w:rPr>
          <w:spacing w:val="-15"/>
          <w:sz w:val="20"/>
        </w:rPr>
        <w:t> </w:t>
      </w:r>
      <w:r>
        <w:rPr>
          <w:sz w:val="20"/>
        </w:rPr>
        <w:t>packet</w:t>
      </w:r>
    </w:p>
    <w:p>
      <w:pPr>
        <w:pStyle w:val="BodyText"/>
        <w:spacing w:before="10"/>
        <w:rPr>
          <w:sz w:val="25"/>
        </w:rPr>
      </w:pPr>
    </w:p>
    <w:p>
      <w:pPr>
        <w:pStyle w:val="ListParagraph"/>
        <w:numPr>
          <w:ilvl w:val="3"/>
          <w:numId w:val="21"/>
        </w:numPr>
        <w:tabs>
          <w:tab w:pos="2552" w:val="left" w:leader="none"/>
        </w:tabs>
        <w:spacing w:line="240" w:lineRule="auto" w:before="1" w:after="0"/>
        <w:ind w:left="2551" w:right="0" w:hanging="1418"/>
        <w:jc w:val="both"/>
        <w:rPr>
          <w:sz w:val="24"/>
        </w:rPr>
      </w:pPr>
      <w:r>
        <w:rPr>
          <w:sz w:val="24"/>
        </w:rPr>
        <w:t>Unique Tests to</w:t>
      </w:r>
      <w:r>
        <w:rPr>
          <w:spacing w:val="-9"/>
          <w:sz w:val="24"/>
        </w:rPr>
        <w:t> </w:t>
      </w:r>
      <w:r>
        <w:rPr>
          <w:sz w:val="24"/>
        </w:rPr>
        <w:t>Conduct</w:t>
      </w:r>
    </w:p>
    <w:p>
      <w:pPr>
        <w:pStyle w:val="BodyText"/>
        <w:spacing w:before="181"/>
        <w:ind w:left="1133"/>
        <w:jc w:val="both"/>
      </w:pPr>
      <w:r>
        <w:rPr/>
        <w:t>Run this test using:</w:t>
      </w:r>
    </w:p>
    <w:p>
      <w:pPr>
        <w:pStyle w:val="BodyText"/>
        <w:spacing w:before="177"/>
        <w:ind w:left="1416"/>
      </w:pPr>
      <w:r>
        <w:rPr/>
        <w:t>Two (2) C-V2X devices for the test</w:t>
      </w:r>
    </w:p>
    <w:p>
      <w:pPr>
        <w:pStyle w:val="BodyText"/>
        <w:rPr>
          <w:sz w:val="26"/>
        </w:rPr>
      </w:pPr>
    </w:p>
    <w:p>
      <w:pPr>
        <w:pStyle w:val="Heading5"/>
        <w:numPr>
          <w:ilvl w:val="3"/>
          <w:numId w:val="21"/>
        </w:numPr>
        <w:tabs>
          <w:tab w:pos="2552" w:val="left" w:leader="none"/>
        </w:tabs>
        <w:spacing w:line="240" w:lineRule="auto" w:before="0" w:after="0"/>
        <w:ind w:left="2551" w:right="0" w:hanging="1418"/>
        <w:jc w:val="both"/>
        <w:rPr>
          <w:rFonts w:ascii="Arial"/>
        </w:rPr>
      </w:pPr>
      <w:r>
        <w:rPr>
          <w:rFonts w:ascii="Arial"/>
        </w:rPr>
        <w:t>Required</w:t>
      </w:r>
      <w:r>
        <w:rPr>
          <w:rFonts w:ascii="Arial"/>
          <w:spacing w:val="-9"/>
        </w:rPr>
        <w:t> </w:t>
      </w:r>
      <w:r>
        <w:rPr>
          <w:rFonts w:ascii="Arial"/>
        </w:rPr>
        <w:t>Documentation</w:t>
      </w:r>
    </w:p>
    <w:p>
      <w:pPr>
        <w:pStyle w:val="BodyText"/>
        <w:spacing w:before="181"/>
        <w:ind w:left="1133" w:right="1134"/>
        <w:jc w:val="both"/>
      </w:pPr>
      <w:r>
        <w:rPr/>
        <w:t>Tables 5 and 6 are based on the data we collected from the log files. PER is computed from the Tx and Rx data</w:t>
      </w:r>
      <w:r>
        <w:rPr>
          <w:spacing w:val="-3"/>
        </w:rPr>
        <w:t> </w:t>
      </w:r>
      <w:r>
        <w:rPr/>
        <w:t>logs.</w:t>
      </w:r>
      <w:r>
        <w:rPr>
          <w:spacing w:val="-5"/>
        </w:rPr>
        <w:t> </w:t>
      </w:r>
      <w:r>
        <w:rPr/>
        <w:t>The</w:t>
      </w:r>
      <w:r>
        <w:rPr>
          <w:spacing w:val="-6"/>
        </w:rPr>
        <w:t> </w:t>
      </w:r>
      <w:r>
        <w:rPr/>
        <w:t>IPG</w:t>
      </w:r>
      <w:r>
        <w:rPr>
          <w:spacing w:val="-4"/>
        </w:rPr>
        <w:t> </w:t>
      </w:r>
      <w:r>
        <w:rPr/>
        <w:t>statistic</w:t>
      </w:r>
      <w:r>
        <w:rPr>
          <w:spacing w:val="-4"/>
        </w:rPr>
        <w:t> </w:t>
      </w:r>
      <w:r>
        <w:rPr/>
        <w:t>is</w:t>
      </w:r>
      <w:r>
        <w:rPr>
          <w:spacing w:val="-4"/>
        </w:rPr>
        <w:t> </w:t>
      </w:r>
      <w:r>
        <w:rPr/>
        <w:t>computed</w:t>
      </w:r>
      <w:r>
        <w:rPr>
          <w:spacing w:val="-6"/>
        </w:rPr>
        <w:t> </w:t>
      </w:r>
      <w:r>
        <w:rPr/>
        <w:t>from</w:t>
      </w:r>
      <w:r>
        <w:rPr>
          <w:spacing w:val="-4"/>
        </w:rPr>
        <w:t> </w:t>
      </w:r>
      <w:r>
        <w:rPr/>
        <w:t>the</w:t>
      </w:r>
      <w:r>
        <w:rPr>
          <w:spacing w:val="-6"/>
        </w:rPr>
        <w:t> </w:t>
      </w:r>
      <w:r>
        <w:rPr/>
        <w:t>Rx</w:t>
      </w:r>
      <w:r>
        <w:rPr>
          <w:spacing w:val="-4"/>
        </w:rPr>
        <w:t> </w:t>
      </w:r>
      <w:r>
        <w:rPr/>
        <w:t>logs.</w:t>
      </w:r>
      <w:r>
        <w:rPr>
          <w:spacing w:val="-5"/>
        </w:rPr>
        <w:t> </w:t>
      </w:r>
      <w:r>
        <w:rPr/>
        <w:t>In</w:t>
      </w:r>
      <w:r>
        <w:rPr>
          <w:spacing w:val="-6"/>
        </w:rPr>
        <w:t> </w:t>
      </w:r>
      <w:r>
        <w:rPr/>
        <w:t>addition,</w:t>
      </w:r>
      <w:r>
        <w:rPr>
          <w:spacing w:val="-5"/>
        </w:rPr>
        <w:t> </w:t>
      </w:r>
      <w:r>
        <w:rPr/>
        <w:t>the</w:t>
      </w:r>
      <w:r>
        <w:rPr>
          <w:spacing w:val="-6"/>
        </w:rPr>
        <w:t> </w:t>
      </w:r>
      <w:r>
        <w:rPr/>
        <w:t>latency</w:t>
      </w:r>
      <w:r>
        <w:rPr>
          <w:spacing w:val="-9"/>
        </w:rPr>
        <w:t> </w:t>
      </w:r>
      <w:r>
        <w:rPr/>
        <w:t>is</w:t>
      </w:r>
      <w:r>
        <w:rPr>
          <w:spacing w:val="-4"/>
        </w:rPr>
        <w:t> </w:t>
      </w:r>
      <w:r>
        <w:rPr/>
        <w:t>computed</w:t>
      </w:r>
      <w:r>
        <w:rPr>
          <w:spacing w:val="-6"/>
        </w:rPr>
        <w:t> </w:t>
      </w:r>
      <w:r>
        <w:rPr/>
        <w:t>from</w:t>
      </w:r>
      <w:r>
        <w:rPr>
          <w:spacing w:val="-3"/>
        </w:rPr>
        <w:t> </w:t>
      </w:r>
      <w:r>
        <w:rPr/>
        <w:t>Tx</w:t>
      </w:r>
      <w:r>
        <w:rPr>
          <w:spacing w:val="-4"/>
        </w:rPr>
        <w:t> </w:t>
      </w:r>
      <w:r>
        <w:rPr/>
        <w:t>and</w:t>
      </w:r>
      <w:r>
        <w:rPr>
          <w:spacing w:val="-6"/>
        </w:rPr>
        <w:t> </w:t>
      </w:r>
      <w:r>
        <w:rPr/>
        <w:t>Rx logs. Note that the IPG and latency values are rounded off to the nearest</w:t>
      </w:r>
      <w:r>
        <w:rPr>
          <w:spacing w:val="-28"/>
        </w:rPr>
        <w:t> </w:t>
      </w:r>
      <w:r>
        <w:rPr/>
        <w:t>integer.</w:t>
      </w:r>
    </w:p>
    <w:p>
      <w:pPr>
        <w:spacing w:after="0"/>
        <w:jc w:val="both"/>
        <w:sectPr>
          <w:headerReference w:type="default" r:id="rId188"/>
          <w:pgSz w:w="11910" w:h="16850"/>
          <w:pgMar w:header="852" w:footer="979" w:top="1040" w:bottom="1160" w:left="0" w:right="0"/>
        </w:sectPr>
      </w:pPr>
    </w:p>
    <w:p>
      <w:pPr>
        <w:pStyle w:val="BodyText"/>
        <w:rPr>
          <w:sz w:val="23"/>
        </w:rPr>
      </w:pPr>
    </w:p>
    <w:p>
      <w:pPr>
        <w:pStyle w:val="Heading7"/>
        <w:spacing w:before="93"/>
        <w:jc w:val="both"/>
      </w:pPr>
      <w:r>
        <w:rPr/>
        <w:t>Table 5: Results of the Basic Cabled Tests – C-V2X</w:t>
      </w:r>
    </w:p>
    <w:p>
      <w:pPr>
        <w:pStyle w:val="BodyText"/>
        <w:spacing w:before="2"/>
        <w:rPr>
          <w:b/>
          <w:sz w:val="16"/>
        </w:rPr>
      </w:pPr>
    </w:p>
    <w:tbl>
      <w:tblPr>
        <w:tblW w:w="0" w:type="auto"/>
        <w:jc w:val="left"/>
        <w:tblInd w:w="1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5"/>
        <w:gridCol w:w="1352"/>
        <w:gridCol w:w="1260"/>
        <w:gridCol w:w="1260"/>
        <w:gridCol w:w="1261"/>
        <w:gridCol w:w="1260"/>
        <w:gridCol w:w="1260"/>
      </w:tblGrid>
      <w:tr>
        <w:trPr>
          <w:trHeight w:val="838" w:hRule="exact"/>
        </w:trPr>
        <w:tc>
          <w:tcPr>
            <w:tcW w:w="1255" w:type="dxa"/>
            <w:shd w:val="clear" w:color="auto" w:fill="D9D9D9"/>
          </w:tcPr>
          <w:p>
            <w:pPr>
              <w:pStyle w:val="TableParagraph"/>
              <w:tabs>
                <w:tab w:pos="971" w:val="left" w:leader="none"/>
              </w:tabs>
              <w:spacing w:line="201" w:lineRule="exact"/>
              <w:rPr>
                <w:b/>
                <w:sz w:val="18"/>
              </w:rPr>
            </w:pPr>
            <w:r>
              <w:rPr>
                <w:b/>
                <w:sz w:val="18"/>
              </w:rPr>
              <w:t>No.</w:t>
              <w:tab/>
              <w:t>of</w:t>
            </w:r>
          </w:p>
          <w:p>
            <w:pPr>
              <w:pStyle w:val="TableParagraph"/>
              <w:spacing w:line="240" w:lineRule="auto"/>
              <w:ind w:right="92"/>
              <w:rPr>
                <w:b/>
                <w:sz w:val="18"/>
              </w:rPr>
            </w:pPr>
            <w:r>
              <w:rPr>
                <w:b/>
                <w:sz w:val="18"/>
              </w:rPr>
              <w:t>Transmitted pkts/s reported</w:t>
            </w:r>
          </w:p>
        </w:tc>
        <w:tc>
          <w:tcPr>
            <w:tcW w:w="1352" w:type="dxa"/>
            <w:shd w:val="clear" w:color="auto" w:fill="D9D9D9"/>
          </w:tcPr>
          <w:p>
            <w:pPr>
              <w:pStyle w:val="TableParagraph"/>
              <w:tabs>
                <w:tab w:pos="1067" w:val="left" w:leader="none"/>
              </w:tabs>
              <w:spacing w:line="201" w:lineRule="exact"/>
              <w:rPr>
                <w:b/>
                <w:sz w:val="18"/>
              </w:rPr>
            </w:pPr>
            <w:r>
              <w:rPr>
                <w:b/>
                <w:sz w:val="18"/>
              </w:rPr>
              <w:t>No.</w:t>
              <w:tab/>
              <w:t>of</w:t>
            </w:r>
          </w:p>
          <w:p>
            <w:pPr>
              <w:pStyle w:val="TableParagraph"/>
              <w:spacing w:line="240" w:lineRule="auto"/>
              <w:ind w:right="428"/>
              <w:rPr>
                <w:b/>
                <w:sz w:val="18"/>
              </w:rPr>
            </w:pPr>
            <w:r>
              <w:rPr>
                <w:b/>
                <w:sz w:val="18"/>
              </w:rPr>
              <w:t>Received pkts/s reported</w:t>
            </w:r>
          </w:p>
        </w:tc>
        <w:tc>
          <w:tcPr>
            <w:tcW w:w="1260" w:type="dxa"/>
            <w:shd w:val="clear" w:color="auto" w:fill="D9D9D9"/>
          </w:tcPr>
          <w:p>
            <w:pPr>
              <w:pStyle w:val="TableParagraph"/>
              <w:spacing w:line="240" w:lineRule="auto"/>
              <w:ind w:right="167"/>
              <w:rPr>
                <w:b/>
                <w:sz w:val="18"/>
              </w:rPr>
            </w:pPr>
            <w:r>
              <w:rPr>
                <w:b/>
                <w:sz w:val="18"/>
              </w:rPr>
              <w:t>Calculated at Receiver</w:t>
            </w:r>
          </w:p>
        </w:tc>
        <w:tc>
          <w:tcPr>
            <w:tcW w:w="1260" w:type="dxa"/>
            <w:shd w:val="clear" w:color="auto" w:fill="D9D9D9"/>
          </w:tcPr>
          <w:p>
            <w:pPr>
              <w:pStyle w:val="TableParagraph"/>
              <w:spacing w:line="240" w:lineRule="auto"/>
              <w:ind w:right="166"/>
              <w:rPr>
                <w:b/>
                <w:sz w:val="18"/>
              </w:rPr>
            </w:pPr>
            <w:r>
              <w:rPr>
                <w:b/>
                <w:sz w:val="18"/>
              </w:rPr>
              <w:t>Calculated at Receiver</w:t>
            </w:r>
          </w:p>
        </w:tc>
        <w:tc>
          <w:tcPr>
            <w:tcW w:w="1261" w:type="dxa"/>
            <w:shd w:val="clear" w:color="auto" w:fill="D9D9D9"/>
          </w:tcPr>
          <w:p>
            <w:pPr>
              <w:pStyle w:val="TableParagraph"/>
              <w:spacing w:line="240" w:lineRule="auto"/>
              <w:ind w:right="167"/>
              <w:rPr>
                <w:b/>
                <w:sz w:val="18"/>
              </w:rPr>
            </w:pPr>
            <w:r>
              <w:rPr>
                <w:b/>
                <w:sz w:val="18"/>
              </w:rPr>
              <w:t>Calculated at Receiver</w:t>
            </w:r>
          </w:p>
        </w:tc>
        <w:tc>
          <w:tcPr>
            <w:tcW w:w="1260" w:type="dxa"/>
            <w:shd w:val="clear" w:color="auto" w:fill="D9D9D9"/>
          </w:tcPr>
          <w:p>
            <w:pPr>
              <w:pStyle w:val="TableParagraph"/>
              <w:spacing w:line="240" w:lineRule="auto"/>
              <w:ind w:right="166"/>
              <w:rPr>
                <w:b/>
                <w:sz w:val="18"/>
              </w:rPr>
            </w:pPr>
            <w:r>
              <w:rPr>
                <w:b/>
                <w:sz w:val="18"/>
              </w:rPr>
              <w:t>Calculated at Receiver</w:t>
            </w:r>
          </w:p>
        </w:tc>
        <w:tc>
          <w:tcPr>
            <w:tcW w:w="1260" w:type="dxa"/>
            <w:shd w:val="clear" w:color="auto" w:fill="D9D9D9"/>
          </w:tcPr>
          <w:p>
            <w:pPr>
              <w:pStyle w:val="TableParagraph"/>
              <w:spacing w:line="240" w:lineRule="auto"/>
              <w:ind w:right="167"/>
              <w:rPr>
                <w:b/>
                <w:sz w:val="18"/>
              </w:rPr>
            </w:pPr>
            <w:r>
              <w:rPr>
                <w:b/>
                <w:sz w:val="18"/>
              </w:rPr>
              <w:t>Calculated at Receiver</w:t>
            </w:r>
          </w:p>
        </w:tc>
      </w:tr>
      <w:tr>
        <w:trPr>
          <w:trHeight w:val="838" w:hRule="exact"/>
        </w:trPr>
        <w:tc>
          <w:tcPr>
            <w:tcW w:w="1255" w:type="dxa"/>
            <w:shd w:val="clear" w:color="auto" w:fill="D9D9D9"/>
          </w:tcPr>
          <w:p>
            <w:pPr>
              <w:pStyle w:val="TableParagraph"/>
              <w:spacing w:line="240" w:lineRule="auto"/>
              <w:ind w:right="362"/>
              <w:rPr>
                <w:b/>
                <w:sz w:val="18"/>
              </w:rPr>
            </w:pPr>
            <w:r>
              <w:rPr>
                <w:b/>
                <w:sz w:val="18"/>
              </w:rPr>
              <w:t>Transmit Device</w:t>
            </w:r>
          </w:p>
        </w:tc>
        <w:tc>
          <w:tcPr>
            <w:tcW w:w="1352" w:type="dxa"/>
            <w:shd w:val="clear" w:color="auto" w:fill="D9D9D9"/>
          </w:tcPr>
          <w:p>
            <w:pPr>
              <w:pStyle w:val="TableParagraph"/>
              <w:spacing w:line="240" w:lineRule="auto"/>
              <w:ind w:right="538"/>
              <w:rPr>
                <w:b/>
                <w:sz w:val="18"/>
              </w:rPr>
            </w:pPr>
            <w:r>
              <w:rPr>
                <w:b/>
                <w:sz w:val="18"/>
              </w:rPr>
              <w:t>Receive Device</w:t>
            </w:r>
          </w:p>
        </w:tc>
        <w:tc>
          <w:tcPr>
            <w:tcW w:w="1260" w:type="dxa"/>
            <w:shd w:val="clear" w:color="auto" w:fill="D9D9D9"/>
          </w:tcPr>
          <w:p>
            <w:pPr>
              <w:pStyle w:val="TableParagraph"/>
              <w:spacing w:line="201" w:lineRule="exact"/>
              <w:rPr>
                <w:b/>
                <w:sz w:val="18"/>
              </w:rPr>
            </w:pPr>
            <w:r>
              <w:rPr>
                <w:b/>
                <w:sz w:val="18"/>
              </w:rPr>
              <w:t>PER %</w:t>
            </w:r>
          </w:p>
        </w:tc>
        <w:tc>
          <w:tcPr>
            <w:tcW w:w="1260" w:type="dxa"/>
            <w:shd w:val="clear" w:color="auto" w:fill="D9D9D9"/>
          </w:tcPr>
          <w:p>
            <w:pPr>
              <w:pStyle w:val="TableParagraph"/>
              <w:spacing w:line="201" w:lineRule="exact"/>
              <w:rPr>
                <w:b/>
                <w:sz w:val="18"/>
              </w:rPr>
            </w:pPr>
            <w:r>
              <w:rPr>
                <w:b/>
                <w:sz w:val="18"/>
              </w:rPr>
              <w:t>95</w:t>
            </w:r>
          </w:p>
          <w:p>
            <w:pPr>
              <w:pStyle w:val="TableParagraph"/>
              <w:spacing w:line="240" w:lineRule="auto"/>
              <w:ind w:right="266"/>
              <w:rPr>
                <w:b/>
                <w:sz w:val="18"/>
              </w:rPr>
            </w:pPr>
            <w:r>
              <w:rPr>
                <w:b/>
                <w:sz w:val="18"/>
              </w:rPr>
              <w:t>Percentile IPG (ms)</w:t>
            </w:r>
          </w:p>
        </w:tc>
        <w:tc>
          <w:tcPr>
            <w:tcW w:w="1261" w:type="dxa"/>
            <w:shd w:val="clear" w:color="auto" w:fill="D9D9D9"/>
          </w:tcPr>
          <w:p>
            <w:pPr>
              <w:pStyle w:val="TableParagraph"/>
              <w:tabs>
                <w:tab w:pos="839" w:val="left" w:leader="none"/>
              </w:tabs>
              <w:spacing w:line="240" w:lineRule="auto"/>
              <w:ind w:right="99"/>
              <w:rPr>
                <w:b/>
                <w:sz w:val="18"/>
              </w:rPr>
            </w:pPr>
            <w:r>
              <w:rPr>
                <w:b/>
                <w:sz w:val="18"/>
              </w:rPr>
              <w:t>Mean</w:t>
              <w:tab/>
              <w:t>IPG (ms)</w:t>
            </w:r>
          </w:p>
        </w:tc>
        <w:tc>
          <w:tcPr>
            <w:tcW w:w="1260" w:type="dxa"/>
            <w:shd w:val="clear" w:color="auto" w:fill="D9D9D9"/>
          </w:tcPr>
          <w:p>
            <w:pPr>
              <w:pStyle w:val="TableParagraph"/>
              <w:spacing w:line="201" w:lineRule="exact"/>
              <w:rPr>
                <w:b/>
                <w:sz w:val="18"/>
              </w:rPr>
            </w:pPr>
            <w:r>
              <w:rPr>
                <w:b/>
                <w:sz w:val="18"/>
              </w:rPr>
              <w:t>95</w:t>
            </w:r>
          </w:p>
          <w:p>
            <w:pPr>
              <w:pStyle w:val="TableParagraph"/>
              <w:spacing w:line="240" w:lineRule="auto"/>
              <w:ind w:right="266"/>
              <w:rPr>
                <w:b/>
                <w:sz w:val="18"/>
              </w:rPr>
            </w:pPr>
            <w:r>
              <w:rPr>
                <w:b/>
                <w:sz w:val="18"/>
              </w:rPr>
              <w:t>Percentile Latency (ms)</w:t>
            </w:r>
          </w:p>
        </w:tc>
        <w:tc>
          <w:tcPr>
            <w:tcW w:w="1260" w:type="dxa"/>
            <w:shd w:val="clear" w:color="auto" w:fill="D9D9D9"/>
          </w:tcPr>
          <w:p>
            <w:pPr>
              <w:pStyle w:val="TableParagraph"/>
              <w:spacing w:line="240" w:lineRule="auto"/>
              <w:ind w:right="447"/>
              <w:rPr>
                <w:b/>
                <w:sz w:val="18"/>
              </w:rPr>
            </w:pPr>
            <w:r>
              <w:rPr>
                <w:b/>
                <w:sz w:val="18"/>
              </w:rPr>
              <w:t>Mean Latency (ms)</w:t>
            </w:r>
          </w:p>
        </w:tc>
      </w:tr>
      <w:tr>
        <w:trPr>
          <w:trHeight w:val="218" w:hRule="exact"/>
        </w:trPr>
        <w:tc>
          <w:tcPr>
            <w:tcW w:w="1255" w:type="dxa"/>
          </w:tcPr>
          <w:p>
            <w:pPr>
              <w:pStyle w:val="TableParagraph"/>
              <w:rPr>
                <w:sz w:val="18"/>
              </w:rPr>
            </w:pPr>
            <w:r>
              <w:rPr>
                <w:sz w:val="18"/>
              </w:rPr>
              <w:t>1000</w:t>
            </w:r>
          </w:p>
        </w:tc>
        <w:tc>
          <w:tcPr>
            <w:tcW w:w="1352" w:type="dxa"/>
          </w:tcPr>
          <w:p>
            <w:pPr>
              <w:pStyle w:val="TableParagraph"/>
              <w:rPr>
                <w:sz w:val="18"/>
              </w:rPr>
            </w:pPr>
            <w:r>
              <w:rPr>
                <w:sz w:val="18"/>
              </w:rPr>
              <w:t>1000</w:t>
            </w:r>
          </w:p>
        </w:tc>
        <w:tc>
          <w:tcPr>
            <w:tcW w:w="1260" w:type="dxa"/>
          </w:tcPr>
          <w:p>
            <w:pPr>
              <w:pStyle w:val="TableParagraph"/>
              <w:rPr>
                <w:sz w:val="18"/>
              </w:rPr>
            </w:pPr>
            <w:r>
              <w:rPr>
                <w:w w:val="99"/>
                <w:sz w:val="18"/>
              </w:rPr>
              <w:t>0</w:t>
            </w:r>
          </w:p>
        </w:tc>
        <w:tc>
          <w:tcPr>
            <w:tcW w:w="1260" w:type="dxa"/>
          </w:tcPr>
          <w:p>
            <w:pPr>
              <w:pStyle w:val="TableParagraph"/>
              <w:rPr>
                <w:sz w:val="18"/>
              </w:rPr>
            </w:pPr>
            <w:r>
              <w:rPr>
                <w:sz w:val="18"/>
              </w:rPr>
              <w:t>106</w:t>
            </w:r>
          </w:p>
        </w:tc>
        <w:tc>
          <w:tcPr>
            <w:tcW w:w="1261" w:type="dxa"/>
          </w:tcPr>
          <w:p>
            <w:pPr>
              <w:pStyle w:val="TableParagraph"/>
              <w:rPr>
                <w:sz w:val="18"/>
              </w:rPr>
            </w:pPr>
            <w:r>
              <w:rPr>
                <w:sz w:val="18"/>
              </w:rPr>
              <w:t>100</w:t>
            </w:r>
          </w:p>
        </w:tc>
        <w:tc>
          <w:tcPr>
            <w:tcW w:w="1260" w:type="dxa"/>
          </w:tcPr>
          <w:p>
            <w:pPr>
              <w:pStyle w:val="TableParagraph"/>
              <w:rPr>
                <w:sz w:val="18"/>
              </w:rPr>
            </w:pPr>
            <w:r>
              <w:rPr>
                <w:sz w:val="18"/>
              </w:rPr>
              <w:t>23</w:t>
            </w:r>
          </w:p>
        </w:tc>
        <w:tc>
          <w:tcPr>
            <w:tcW w:w="1260" w:type="dxa"/>
          </w:tcPr>
          <w:p>
            <w:pPr>
              <w:pStyle w:val="TableParagraph"/>
              <w:rPr>
                <w:sz w:val="18"/>
              </w:rPr>
            </w:pPr>
            <w:r>
              <w:rPr>
                <w:sz w:val="18"/>
              </w:rPr>
              <w:t>14</w:t>
            </w:r>
          </w:p>
        </w:tc>
      </w:tr>
      <w:tr>
        <w:trPr>
          <w:trHeight w:val="216" w:hRule="exact"/>
        </w:trPr>
        <w:tc>
          <w:tcPr>
            <w:tcW w:w="1255" w:type="dxa"/>
          </w:tcPr>
          <w:p>
            <w:pPr>
              <w:pStyle w:val="TableParagraph"/>
              <w:rPr>
                <w:sz w:val="18"/>
              </w:rPr>
            </w:pPr>
            <w:r>
              <w:rPr>
                <w:sz w:val="18"/>
              </w:rPr>
              <w:t>1000</w:t>
            </w:r>
          </w:p>
        </w:tc>
        <w:tc>
          <w:tcPr>
            <w:tcW w:w="1352" w:type="dxa"/>
          </w:tcPr>
          <w:p>
            <w:pPr>
              <w:pStyle w:val="TableParagraph"/>
              <w:rPr>
                <w:sz w:val="18"/>
              </w:rPr>
            </w:pPr>
            <w:r>
              <w:rPr>
                <w:sz w:val="18"/>
              </w:rPr>
              <w:t>1000</w:t>
            </w:r>
          </w:p>
        </w:tc>
        <w:tc>
          <w:tcPr>
            <w:tcW w:w="1260" w:type="dxa"/>
          </w:tcPr>
          <w:p>
            <w:pPr>
              <w:pStyle w:val="TableParagraph"/>
              <w:rPr>
                <w:sz w:val="18"/>
              </w:rPr>
            </w:pPr>
            <w:r>
              <w:rPr>
                <w:w w:val="99"/>
                <w:sz w:val="18"/>
              </w:rPr>
              <w:t>0</w:t>
            </w:r>
          </w:p>
        </w:tc>
        <w:tc>
          <w:tcPr>
            <w:tcW w:w="1260" w:type="dxa"/>
          </w:tcPr>
          <w:p>
            <w:pPr>
              <w:pStyle w:val="TableParagraph"/>
              <w:rPr>
                <w:sz w:val="18"/>
              </w:rPr>
            </w:pPr>
            <w:r>
              <w:rPr>
                <w:sz w:val="18"/>
              </w:rPr>
              <w:t>105</w:t>
            </w:r>
          </w:p>
        </w:tc>
        <w:tc>
          <w:tcPr>
            <w:tcW w:w="1261" w:type="dxa"/>
          </w:tcPr>
          <w:p>
            <w:pPr>
              <w:pStyle w:val="TableParagraph"/>
              <w:rPr>
                <w:sz w:val="18"/>
              </w:rPr>
            </w:pPr>
            <w:r>
              <w:rPr>
                <w:sz w:val="18"/>
              </w:rPr>
              <w:t>100</w:t>
            </w:r>
          </w:p>
        </w:tc>
        <w:tc>
          <w:tcPr>
            <w:tcW w:w="1260" w:type="dxa"/>
          </w:tcPr>
          <w:p>
            <w:pPr>
              <w:pStyle w:val="TableParagraph"/>
              <w:rPr>
                <w:sz w:val="18"/>
              </w:rPr>
            </w:pPr>
            <w:r>
              <w:rPr>
                <w:sz w:val="18"/>
              </w:rPr>
              <w:t>23</w:t>
            </w:r>
          </w:p>
        </w:tc>
        <w:tc>
          <w:tcPr>
            <w:tcW w:w="1260" w:type="dxa"/>
          </w:tcPr>
          <w:p>
            <w:pPr>
              <w:pStyle w:val="TableParagraph"/>
              <w:rPr>
                <w:sz w:val="18"/>
              </w:rPr>
            </w:pPr>
            <w:r>
              <w:rPr>
                <w:sz w:val="18"/>
              </w:rPr>
              <w:t>15</w:t>
            </w:r>
          </w:p>
        </w:tc>
      </w:tr>
      <w:tr>
        <w:trPr>
          <w:trHeight w:val="216" w:hRule="exact"/>
        </w:trPr>
        <w:tc>
          <w:tcPr>
            <w:tcW w:w="1255" w:type="dxa"/>
          </w:tcPr>
          <w:p>
            <w:pPr>
              <w:pStyle w:val="TableParagraph"/>
              <w:rPr>
                <w:sz w:val="18"/>
              </w:rPr>
            </w:pPr>
            <w:r>
              <w:rPr>
                <w:sz w:val="18"/>
              </w:rPr>
              <w:t>1000</w:t>
            </w:r>
          </w:p>
        </w:tc>
        <w:tc>
          <w:tcPr>
            <w:tcW w:w="1352" w:type="dxa"/>
          </w:tcPr>
          <w:p>
            <w:pPr>
              <w:pStyle w:val="TableParagraph"/>
              <w:rPr>
                <w:sz w:val="18"/>
              </w:rPr>
            </w:pPr>
            <w:r>
              <w:rPr>
                <w:sz w:val="18"/>
              </w:rPr>
              <w:t>1000</w:t>
            </w:r>
          </w:p>
        </w:tc>
        <w:tc>
          <w:tcPr>
            <w:tcW w:w="1260" w:type="dxa"/>
          </w:tcPr>
          <w:p>
            <w:pPr>
              <w:pStyle w:val="TableParagraph"/>
              <w:rPr>
                <w:sz w:val="18"/>
              </w:rPr>
            </w:pPr>
            <w:r>
              <w:rPr>
                <w:w w:val="99"/>
                <w:sz w:val="18"/>
              </w:rPr>
              <w:t>0</w:t>
            </w:r>
          </w:p>
        </w:tc>
        <w:tc>
          <w:tcPr>
            <w:tcW w:w="1260" w:type="dxa"/>
          </w:tcPr>
          <w:p>
            <w:pPr>
              <w:pStyle w:val="TableParagraph"/>
              <w:rPr>
                <w:sz w:val="18"/>
              </w:rPr>
            </w:pPr>
            <w:r>
              <w:rPr>
                <w:sz w:val="18"/>
              </w:rPr>
              <w:t>106</w:t>
            </w:r>
          </w:p>
        </w:tc>
        <w:tc>
          <w:tcPr>
            <w:tcW w:w="1261" w:type="dxa"/>
          </w:tcPr>
          <w:p>
            <w:pPr>
              <w:pStyle w:val="TableParagraph"/>
              <w:rPr>
                <w:sz w:val="18"/>
              </w:rPr>
            </w:pPr>
            <w:r>
              <w:rPr>
                <w:sz w:val="18"/>
              </w:rPr>
              <w:t>100</w:t>
            </w:r>
          </w:p>
        </w:tc>
        <w:tc>
          <w:tcPr>
            <w:tcW w:w="1260" w:type="dxa"/>
          </w:tcPr>
          <w:p>
            <w:pPr>
              <w:pStyle w:val="TableParagraph"/>
              <w:rPr>
                <w:sz w:val="18"/>
              </w:rPr>
            </w:pPr>
            <w:r>
              <w:rPr>
                <w:sz w:val="18"/>
              </w:rPr>
              <w:t>22</w:t>
            </w:r>
          </w:p>
        </w:tc>
        <w:tc>
          <w:tcPr>
            <w:tcW w:w="1260" w:type="dxa"/>
          </w:tcPr>
          <w:p>
            <w:pPr>
              <w:pStyle w:val="TableParagraph"/>
              <w:rPr>
                <w:sz w:val="18"/>
              </w:rPr>
            </w:pPr>
            <w:r>
              <w:rPr>
                <w:sz w:val="18"/>
              </w:rPr>
              <w:t>14</w:t>
            </w:r>
          </w:p>
        </w:tc>
      </w:tr>
      <w:tr>
        <w:trPr>
          <w:trHeight w:val="218" w:hRule="exact"/>
        </w:trPr>
        <w:tc>
          <w:tcPr>
            <w:tcW w:w="1255" w:type="dxa"/>
          </w:tcPr>
          <w:p>
            <w:pPr>
              <w:pStyle w:val="TableParagraph"/>
              <w:rPr>
                <w:sz w:val="18"/>
              </w:rPr>
            </w:pPr>
            <w:r>
              <w:rPr>
                <w:sz w:val="18"/>
              </w:rPr>
              <w:t>1000</w:t>
            </w:r>
          </w:p>
        </w:tc>
        <w:tc>
          <w:tcPr>
            <w:tcW w:w="1352" w:type="dxa"/>
          </w:tcPr>
          <w:p>
            <w:pPr>
              <w:pStyle w:val="TableParagraph"/>
              <w:rPr>
                <w:sz w:val="18"/>
              </w:rPr>
            </w:pPr>
            <w:r>
              <w:rPr>
                <w:sz w:val="18"/>
              </w:rPr>
              <w:t>1000</w:t>
            </w:r>
          </w:p>
        </w:tc>
        <w:tc>
          <w:tcPr>
            <w:tcW w:w="1260" w:type="dxa"/>
          </w:tcPr>
          <w:p>
            <w:pPr>
              <w:pStyle w:val="TableParagraph"/>
              <w:rPr>
                <w:sz w:val="18"/>
              </w:rPr>
            </w:pPr>
            <w:r>
              <w:rPr>
                <w:w w:val="99"/>
                <w:sz w:val="18"/>
              </w:rPr>
              <w:t>0</w:t>
            </w:r>
          </w:p>
        </w:tc>
        <w:tc>
          <w:tcPr>
            <w:tcW w:w="1260" w:type="dxa"/>
          </w:tcPr>
          <w:p>
            <w:pPr>
              <w:pStyle w:val="TableParagraph"/>
              <w:rPr>
                <w:sz w:val="18"/>
              </w:rPr>
            </w:pPr>
            <w:r>
              <w:rPr>
                <w:sz w:val="18"/>
              </w:rPr>
              <w:t>106</w:t>
            </w:r>
          </w:p>
        </w:tc>
        <w:tc>
          <w:tcPr>
            <w:tcW w:w="1261" w:type="dxa"/>
          </w:tcPr>
          <w:p>
            <w:pPr>
              <w:pStyle w:val="TableParagraph"/>
              <w:rPr>
                <w:sz w:val="18"/>
              </w:rPr>
            </w:pPr>
            <w:r>
              <w:rPr>
                <w:sz w:val="18"/>
              </w:rPr>
              <w:t>100</w:t>
            </w:r>
          </w:p>
        </w:tc>
        <w:tc>
          <w:tcPr>
            <w:tcW w:w="1260" w:type="dxa"/>
          </w:tcPr>
          <w:p>
            <w:pPr>
              <w:pStyle w:val="TableParagraph"/>
              <w:rPr>
                <w:sz w:val="18"/>
              </w:rPr>
            </w:pPr>
            <w:r>
              <w:rPr>
                <w:sz w:val="18"/>
              </w:rPr>
              <w:t>22</w:t>
            </w:r>
          </w:p>
        </w:tc>
        <w:tc>
          <w:tcPr>
            <w:tcW w:w="1260" w:type="dxa"/>
          </w:tcPr>
          <w:p>
            <w:pPr>
              <w:pStyle w:val="TableParagraph"/>
              <w:rPr>
                <w:sz w:val="18"/>
              </w:rPr>
            </w:pPr>
            <w:r>
              <w:rPr>
                <w:sz w:val="18"/>
              </w:rPr>
              <w:t>14</w:t>
            </w:r>
          </w:p>
        </w:tc>
      </w:tr>
      <w:tr>
        <w:trPr>
          <w:trHeight w:val="216" w:hRule="exact"/>
        </w:trPr>
        <w:tc>
          <w:tcPr>
            <w:tcW w:w="1255" w:type="dxa"/>
          </w:tcPr>
          <w:p>
            <w:pPr>
              <w:pStyle w:val="TableParagraph"/>
              <w:rPr>
                <w:sz w:val="18"/>
              </w:rPr>
            </w:pPr>
            <w:r>
              <w:rPr>
                <w:sz w:val="18"/>
              </w:rPr>
              <w:t>1000</w:t>
            </w:r>
          </w:p>
        </w:tc>
        <w:tc>
          <w:tcPr>
            <w:tcW w:w="1352" w:type="dxa"/>
          </w:tcPr>
          <w:p>
            <w:pPr>
              <w:pStyle w:val="TableParagraph"/>
              <w:rPr>
                <w:sz w:val="18"/>
              </w:rPr>
            </w:pPr>
            <w:r>
              <w:rPr>
                <w:sz w:val="18"/>
              </w:rPr>
              <w:t>1000</w:t>
            </w:r>
          </w:p>
        </w:tc>
        <w:tc>
          <w:tcPr>
            <w:tcW w:w="1260" w:type="dxa"/>
          </w:tcPr>
          <w:p>
            <w:pPr>
              <w:pStyle w:val="TableParagraph"/>
              <w:rPr>
                <w:sz w:val="18"/>
              </w:rPr>
            </w:pPr>
            <w:r>
              <w:rPr>
                <w:w w:val="99"/>
                <w:sz w:val="18"/>
              </w:rPr>
              <w:t>0</w:t>
            </w:r>
          </w:p>
        </w:tc>
        <w:tc>
          <w:tcPr>
            <w:tcW w:w="1260" w:type="dxa"/>
          </w:tcPr>
          <w:p>
            <w:pPr>
              <w:pStyle w:val="TableParagraph"/>
              <w:rPr>
                <w:sz w:val="18"/>
              </w:rPr>
            </w:pPr>
            <w:r>
              <w:rPr>
                <w:sz w:val="18"/>
              </w:rPr>
              <w:t>105</w:t>
            </w:r>
          </w:p>
        </w:tc>
        <w:tc>
          <w:tcPr>
            <w:tcW w:w="1261" w:type="dxa"/>
          </w:tcPr>
          <w:p>
            <w:pPr>
              <w:pStyle w:val="TableParagraph"/>
              <w:rPr>
                <w:sz w:val="18"/>
              </w:rPr>
            </w:pPr>
            <w:r>
              <w:rPr>
                <w:sz w:val="18"/>
              </w:rPr>
              <w:t>100</w:t>
            </w:r>
          </w:p>
        </w:tc>
        <w:tc>
          <w:tcPr>
            <w:tcW w:w="1260" w:type="dxa"/>
          </w:tcPr>
          <w:p>
            <w:pPr>
              <w:pStyle w:val="TableParagraph"/>
              <w:rPr>
                <w:sz w:val="18"/>
              </w:rPr>
            </w:pPr>
            <w:r>
              <w:rPr>
                <w:sz w:val="18"/>
              </w:rPr>
              <w:t>23</w:t>
            </w:r>
          </w:p>
        </w:tc>
        <w:tc>
          <w:tcPr>
            <w:tcW w:w="1260" w:type="dxa"/>
          </w:tcPr>
          <w:p>
            <w:pPr>
              <w:pStyle w:val="TableParagraph"/>
              <w:rPr>
                <w:sz w:val="18"/>
              </w:rPr>
            </w:pPr>
            <w:r>
              <w:rPr>
                <w:sz w:val="18"/>
              </w:rPr>
              <w:t>14</w:t>
            </w:r>
          </w:p>
        </w:tc>
      </w:tr>
      <w:tr>
        <w:trPr>
          <w:trHeight w:val="218" w:hRule="exact"/>
        </w:trPr>
        <w:tc>
          <w:tcPr>
            <w:tcW w:w="1255" w:type="dxa"/>
          </w:tcPr>
          <w:p>
            <w:pPr>
              <w:pStyle w:val="TableParagraph"/>
              <w:rPr>
                <w:sz w:val="18"/>
              </w:rPr>
            </w:pPr>
            <w:r>
              <w:rPr>
                <w:sz w:val="18"/>
              </w:rPr>
              <w:t>1000</w:t>
            </w:r>
          </w:p>
        </w:tc>
        <w:tc>
          <w:tcPr>
            <w:tcW w:w="1352" w:type="dxa"/>
          </w:tcPr>
          <w:p>
            <w:pPr>
              <w:pStyle w:val="TableParagraph"/>
              <w:rPr>
                <w:sz w:val="18"/>
              </w:rPr>
            </w:pPr>
            <w:r>
              <w:rPr>
                <w:sz w:val="18"/>
              </w:rPr>
              <w:t>1000</w:t>
            </w:r>
          </w:p>
        </w:tc>
        <w:tc>
          <w:tcPr>
            <w:tcW w:w="1260" w:type="dxa"/>
          </w:tcPr>
          <w:p>
            <w:pPr>
              <w:pStyle w:val="TableParagraph"/>
              <w:rPr>
                <w:sz w:val="18"/>
              </w:rPr>
            </w:pPr>
            <w:r>
              <w:rPr>
                <w:w w:val="99"/>
                <w:sz w:val="18"/>
              </w:rPr>
              <w:t>0</w:t>
            </w:r>
          </w:p>
        </w:tc>
        <w:tc>
          <w:tcPr>
            <w:tcW w:w="1260" w:type="dxa"/>
          </w:tcPr>
          <w:p>
            <w:pPr>
              <w:pStyle w:val="TableParagraph"/>
              <w:rPr>
                <w:sz w:val="18"/>
              </w:rPr>
            </w:pPr>
            <w:r>
              <w:rPr>
                <w:sz w:val="18"/>
              </w:rPr>
              <w:t>105</w:t>
            </w:r>
          </w:p>
        </w:tc>
        <w:tc>
          <w:tcPr>
            <w:tcW w:w="1261" w:type="dxa"/>
          </w:tcPr>
          <w:p>
            <w:pPr>
              <w:pStyle w:val="TableParagraph"/>
              <w:rPr>
                <w:sz w:val="18"/>
              </w:rPr>
            </w:pPr>
            <w:r>
              <w:rPr>
                <w:sz w:val="18"/>
              </w:rPr>
              <w:t>100</w:t>
            </w:r>
          </w:p>
        </w:tc>
        <w:tc>
          <w:tcPr>
            <w:tcW w:w="1260" w:type="dxa"/>
          </w:tcPr>
          <w:p>
            <w:pPr>
              <w:pStyle w:val="TableParagraph"/>
              <w:rPr>
                <w:sz w:val="18"/>
              </w:rPr>
            </w:pPr>
            <w:r>
              <w:rPr>
                <w:sz w:val="18"/>
              </w:rPr>
              <w:t>22</w:t>
            </w:r>
          </w:p>
        </w:tc>
        <w:tc>
          <w:tcPr>
            <w:tcW w:w="1260" w:type="dxa"/>
          </w:tcPr>
          <w:p>
            <w:pPr>
              <w:pStyle w:val="TableParagraph"/>
              <w:rPr>
                <w:sz w:val="18"/>
              </w:rPr>
            </w:pPr>
            <w:r>
              <w:rPr>
                <w:sz w:val="18"/>
              </w:rPr>
              <w:t>14</w:t>
            </w:r>
          </w:p>
        </w:tc>
      </w:tr>
      <w:tr>
        <w:trPr>
          <w:trHeight w:val="216" w:hRule="exact"/>
        </w:trPr>
        <w:tc>
          <w:tcPr>
            <w:tcW w:w="1255" w:type="dxa"/>
          </w:tcPr>
          <w:p>
            <w:pPr>
              <w:pStyle w:val="TableParagraph"/>
              <w:rPr>
                <w:sz w:val="18"/>
              </w:rPr>
            </w:pPr>
            <w:r>
              <w:rPr>
                <w:sz w:val="18"/>
              </w:rPr>
              <w:t>1000</w:t>
            </w:r>
          </w:p>
        </w:tc>
        <w:tc>
          <w:tcPr>
            <w:tcW w:w="1352" w:type="dxa"/>
          </w:tcPr>
          <w:p>
            <w:pPr>
              <w:pStyle w:val="TableParagraph"/>
              <w:rPr>
                <w:sz w:val="18"/>
              </w:rPr>
            </w:pPr>
            <w:r>
              <w:rPr>
                <w:sz w:val="18"/>
              </w:rPr>
              <w:t>1000</w:t>
            </w:r>
          </w:p>
        </w:tc>
        <w:tc>
          <w:tcPr>
            <w:tcW w:w="1260" w:type="dxa"/>
          </w:tcPr>
          <w:p>
            <w:pPr>
              <w:pStyle w:val="TableParagraph"/>
              <w:rPr>
                <w:sz w:val="18"/>
              </w:rPr>
            </w:pPr>
            <w:r>
              <w:rPr>
                <w:w w:val="99"/>
                <w:sz w:val="18"/>
              </w:rPr>
              <w:t>0</w:t>
            </w:r>
          </w:p>
        </w:tc>
        <w:tc>
          <w:tcPr>
            <w:tcW w:w="1260" w:type="dxa"/>
          </w:tcPr>
          <w:p>
            <w:pPr>
              <w:pStyle w:val="TableParagraph"/>
              <w:rPr>
                <w:sz w:val="18"/>
              </w:rPr>
            </w:pPr>
            <w:r>
              <w:rPr>
                <w:sz w:val="18"/>
              </w:rPr>
              <w:t>106</w:t>
            </w:r>
          </w:p>
        </w:tc>
        <w:tc>
          <w:tcPr>
            <w:tcW w:w="1261" w:type="dxa"/>
          </w:tcPr>
          <w:p>
            <w:pPr>
              <w:pStyle w:val="TableParagraph"/>
              <w:rPr>
                <w:sz w:val="18"/>
              </w:rPr>
            </w:pPr>
            <w:r>
              <w:rPr>
                <w:sz w:val="18"/>
              </w:rPr>
              <w:t>100</w:t>
            </w:r>
          </w:p>
        </w:tc>
        <w:tc>
          <w:tcPr>
            <w:tcW w:w="1260" w:type="dxa"/>
          </w:tcPr>
          <w:p>
            <w:pPr>
              <w:pStyle w:val="TableParagraph"/>
              <w:rPr>
                <w:sz w:val="18"/>
              </w:rPr>
            </w:pPr>
            <w:r>
              <w:rPr>
                <w:sz w:val="18"/>
              </w:rPr>
              <w:t>21</w:t>
            </w:r>
          </w:p>
        </w:tc>
        <w:tc>
          <w:tcPr>
            <w:tcW w:w="1260" w:type="dxa"/>
          </w:tcPr>
          <w:p>
            <w:pPr>
              <w:pStyle w:val="TableParagraph"/>
              <w:rPr>
                <w:sz w:val="18"/>
              </w:rPr>
            </w:pPr>
            <w:r>
              <w:rPr>
                <w:sz w:val="18"/>
              </w:rPr>
              <w:t>13</w:t>
            </w:r>
          </w:p>
        </w:tc>
      </w:tr>
      <w:tr>
        <w:trPr>
          <w:trHeight w:val="217" w:hRule="exact"/>
        </w:trPr>
        <w:tc>
          <w:tcPr>
            <w:tcW w:w="1255" w:type="dxa"/>
          </w:tcPr>
          <w:p>
            <w:pPr>
              <w:pStyle w:val="TableParagraph"/>
              <w:spacing w:line="207" w:lineRule="exact"/>
              <w:rPr>
                <w:sz w:val="18"/>
              </w:rPr>
            </w:pPr>
            <w:r>
              <w:rPr>
                <w:sz w:val="18"/>
              </w:rPr>
              <w:t>1000</w:t>
            </w:r>
          </w:p>
        </w:tc>
        <w:tc>
          <w:tcPr>
            <w:tcW w:w="1352" w:type="dxa"/>
          </w:tcPr>
          <w:p>
            <w:pPr>
              <w:pStyle w:val="TableParagraph"/>
              <w:spacing w:line="207" w:lineRule="exact"/>
              <w:rPr>
                <w:sz w:val="18"/>
              </w:rPr>
            </w:pPr>
            <w:r>
              <w:rPr>
                <w:sz w:val="18"/>
              </w:rPr>
              <w:t>1000</w:t>
            </w:r>
          </w:p>
        </w:tc>
        <w:tc>
          <w:tcPr>
            <w:tcW w:w="1260" w:type="dxa"/>
          </w:tcPr>
          <w:p>
            <w:pPr>
              <w:pStyle w:val="TableParagraph"/>
              <w:spacing w:line="207" w:lineRule="exact"/>
              <w:rPr>
                <w:sz w:val="18"/>
              </w:rPr>
            </w:pPr>
            <w:r>
              <w:rPr>
                <w:w w:val="99"/>
                <w:sz w:val="18"/>
              </w:rPr>
              <w:t>0</w:t>
            </w:r>
          </w:p>
        </w:tc>
        <w:tc>
          <w:tcPr>
            <w:tcW w:w="1260" w:type="dxa"/>
          </w:tcPr>
          <w:p>
            <w:pPr>
              <w:pStyle w:val="TableParagraph"/>
              <w:spacing w:line="207" w:lineRule="exact"/>
              <w:rPr>
                <w:sz w:val="18"/>
              </w:rPr>
            </w:pPr>
            <w:r>
              <w:rPr>
                <w:sz w:val="18"/>
              </w:rPr>
              <w:t>105</w:t>
            </w:r>
          </w:p>
        </w:tc>
        <w:tc>
          <w:tcPr>
            <w:tcW w:w="1261" w:type="dxa"/>
          </w:tcPr>
          <w:p>
            <w:pPr>
              <w:pStyle w:val="TableParagraph"/>
              <w:spacing w:line="207" w:lineRule="exact"/>
              <w:rPr>
                <w:sz w:val="18"/>
              </w:rPr>
            </w:pPr>
            <w:r>
              <w:rPr>
                <w:sz w:val="18"/>
              </w:rPr>
              <w:t>100</w:t>
            </w:r>
          </w:p>
        </w:tc>
        <w:tc>
          <w:tcPr>
            <w:tcW w:w="1260" w:type="dxa"/>
          </w:tcPr>
          <w:p>
            <w:pPr>
              <w:pStyle w:val="TableParagraph"/>
              <w:spacing w:line="207" w:lineRule="exact"/>
              <w:rPr>
                <w:sz w:val="18"/>
              </w:rPr>
            </w:pPr>
            <w:r>
              <w:rPr>
                <w:sz w:val="18"/>
              </w:rPr>
              <w:t>21</w:t>
            </w:r>
          </w:p>
        </w:tc>
        <w:tc>
          <w:tcPr>
            <w:tcW w:w="1260" w:type="dxa"/>
          </w:tcPr>
          <w:p>
            <w:pPr>
              <w:pStyle w:val="TableParagraph"/>
              <w:spacing w:line="207" w:lineRule="exact"/>
              <w:rPr>
                <w:sz w:val="18"/>
              </w:rPr>
            </w:pPr>
            <w:r>
              <w:rPr>
                <w:sz w:val="18"/>
              </w:rPr>
              <w:t>14</w:t>
            </w:r>
          </w:p>
        </w:tc>
      </w:tr>
      <w:tr>
        <w:trPr>
          <w:trHeight w:val="218" w:hRule="exact"/>
        </w:trPr>
        <w:tc>
          <w:tcPr>
            <w:tcW w:w="1255" w:type="dxa"/>
          </w:tcPr>
          <w:p>
            <w:pPr>
              <w:pStyle w:val="TableParagraph"/>
              <w:spacing w:line="240" w:lineRule="auto" w:before="1"/>
              <w:rPr>
                <w:sz w:val="18"/>
              </w:rPr>
            </w:pPr>
            <w:r>
              <w:rPr>
                <w:sz w:val="18"/>
              </w:rPr>
              <w:t>1000</w:t>
            </w:r>
          </w:p>
        </w:tc>
        <w:tc>
          <w:tcPr>
            <w:tcW w:w="1352" w:type="dxa"/>
          </w:tcPr>
          <w:p>
            <w:pPr>
              <w:pStyle w:val="TableParagraph"/>
              <w:spacing w:line="240" w:lineRule="auto" w:before="1"/>
              <w:rPr>
                <w:sz w:val="18"/>
              </w:rPr>
            </w:pPr>
            <w:r>
              <w:rPr>
                <w:sz w:val="18"/>
              </w:rPr>
              <w:t>1000</w:t>
            </w:r>
          </w:p>
        </w:tc>
        <w:tc>
          <w:tcPr>
            <w:tcW w:w="1260" w:type="dxa"/>
          </w:tcPr>
          <w:p>
            <w:pPr>
              <w:pStyle w:val="TableParagraph"/>
              <w:spacing w:line="240" w:lineRule="auto" w:before="1"/>
              <w:rPr>
                <w:sz w:val="18"/>
              </w:rPr>
            </w:pPr>
            <w:r>
              <w:rPr>
                <w:w w:val="99"/>
                <w:sz w:val="18"/>
              </w:rPr>
              <w:t>0</w:t>
            </w:r>
          </w:p>
        </w:tc>
        <w:tc>
          <w:tcPr>
            <w:tcW w:w="1260" w:type="dxa"/>
          </w:tcPr>
          <w:p>
            <w:pPr>
              <w:pStyle w:val="TableParagraph"/>
              <w:spacing w:line="240" w:lineRule="auto" w:before="1"/>
              <w:rPr>
                <w:sz w:val="18"/>
              </w:rPr>
            </w:pPr>
            <w:r>
              <w:rPr>
                <w:sz w:val="18"/>
              </w:rPr>
              <w:t>106</w:t>
            </w:r>
          </w:p>
        </w:tc>
        <w:tc>
          <w:tcPr>
            <w:tcW w:w="1261" w:type="dxa"/>
          </w:tcPr>
          <w:p>
            <w:pPr>
              <w:pStyle w:val="TableParagraph"/>
              <w:spacing w:line="240" w:lineRule="auto" w:before="1"/>
              <w:rPr>
                <w:sz w:val="18"/>
              </w:rPr>
            </w:pPr>
            <w:r>
              <w:rPr>
                <w:sz w:val="18"/>
              </w:rPr>
              <w:t>100</w:t>
            </w:r>
          </w:p>
        </w:tc>
        <w:tc>
          <w:tcPr>
            <w:tcW w:w="1260" w:type="dxa"/>
          </w:tcPr>
          <w:p>
            <w:pPr>
              <w:pStyle w:val="TableParagraph"/>
              <w:spacing w:line="240" w:lineRule="auto" w:before="1"/>
              <w:rPr>
                <w:sz w:val="18"/>
              </w:rPr>
            </w:pPr>
            <w:r>
              <w:rPr>
                <w:sz w:val="18"/>
              </w:rPr>
              <w:t>23</w:t>
            </w:r>
          </w:p>
        </w:tc>
        <w:tc>
          <w:tcPr>
            <w:tcW w:w="1260" w:type="dxa"/>
          </w:tcPr>
          <w:p>
            <w:pPr>
              <w:pStyle w:val="TableParagraph"/>
              <w:spacing w:line="240" w:lineRule="auto" w:before="1"/>
              <w:rPr>
                <w:sz w:val="18"/>
              </w:rPr>
            </w:pPr>
            <w:r>
              <w:rPr>
                <w:sz w:val="18"/>
              </w:rPr>
              <w:t>14</w:t>
            </w:r>
          </w:p>
        </w:tc>
      </w:tr>
      <w:tr>
        <w:trPr>
          <w:trHeight w:val="216" w:hRule="exact"/>
        </w:trPr>
        <w:tc>
          <w:tcPr>
            <w:tcW w:w="1255" w:type="dxa"/>
          </w:tcPr>
          <w:p>
            <w:pPr>
              <w:pStyle w:val="TableParagraph"/>
              <w:rPr>
                <w:sz w:val="18"/>
              </w:rPr>
            </w:pPr>
            <w:r>
              <w:rPr>
                <w:sz w:val="18"/>
              </w:rPr>
              <w:t>1000</w:t>
            </w:r>
          </w:p>
        </w:tc>
        <w:tc>
          <w:tcPr>
            <w:tcW w:w="1352" w:type="dxa"/>
          </w:tcPr>
          <w:p>
            <w:pPr>
              <w:pStyle w:val="TableParagraph"/>
              <w:rPr>
                <w:sz w:val="18"/>
              </w:rPr>
            </w:pPr>
            <w:r>
              <w:rPr>
                <w:sz w:val="18"/>
              </w:rPr>
              <w:t>1000</w:t>
            </w:r>
          </w:p>
        </w:tc>
        <w:tc>
          <w:tcPr>
            <w:tcW w:w="1260" w:type="dxa"/>
          </w:tcPr>
          <w:p>
            <w:pPr>
              <w:pStyle w:val="TableParagraph"/>
              <w:rPr>
                <w:sz w:val="18"/>
              </w:rPr>
            </w:pPr>
            <w:r>
              <w:rPr>
                <w:w w:val="99"/>
                <w:sz w:val="18"/>
              </w:rPr>
              <w:t>0</w:t>
            </w:r>
          </w:p>
        </w:tc>
        <w:tc>
          <w:tcPr>
            <w:tcW w:w="1260" w:type="dxa"/>
          </w:tcPr>
          <w:p>
            <w:pPr>
              <w:pStyle w:val="TableParagraph"/>
              <w:rPr>
                <w:sz w:val="18"/>
              </w:rPr>
            </w:pPr>
            <w:r>
              <w:rPr>
                <w:sz w:val="18"/>
              </w:rPr>
              <w:t>107</w:t>
            </w:r>
          </w:p>
        </w:tc>
        <w:tc>
          <w:tcPr>
            <w:tcW w:w="1261" w:type="dxa"/>
          </w:tcPr>
          <w:p>
            <w:pPr>
              <w:pStyle w:val="TableParagraph"/>
              <w:rPr>
                <w:sz w:val="18"/>
              </w:rPr>
            </w:pPr>
            <w:r>
              <w:rPr>
                <w:sz w:val="18"/>
              </w:rPr>
              <w:t>100</w:t>
            </w:r>
          </w:p>
        </w:tc>
        <w:tc>
          <w:tcPr>
            <w:tcW w:w="1260" w:type="dxa"/>
          </w:tcPr>
          <w:p>
            <w:pPr>
              <w:pStyle w:val="TableParagraph"/>
              <w:rPr>
                <w:sz w:val="18"/>
              </w:rPr>
            </w:pPr>
            <w:r>
              <w:rPr>
                <w:sz w:val="18"/>
              </w:rPr>
              <w:t>23</w:t>
            </w:r>
          </w:p>
        </w:tc>
        <w:tc>
          <w:tcPr>
            <w:tcW w:w="1260" w:type="dxa"/>
          </w:tcPr>
          <w:p>
            <w:pPr>
              <w:pStyle w:val="TableParagraph"/>
              <w:rPr>
                <w:sz w:val="18"/>
              </w:rPr>
            </w:pPr>
            <w:r>
              <w:rPr>
                <w:sz w:val="18"/>
              </w:rPr>
              <w:t>14</w:t>
            </w:r>
          </w:p>
        </w:tc>
      </w:tr>
    </w:tbl>
    <w:p>
      <w:pPr>
        <w:pStyle w:val="BodyText"/>
        <w:rPr>
          <w:b/>
          <w:sz w:val="22"/>
        </w:rPr>
      </w:pPr>
    </w:p>
    <w:p>
      <w:pPr>
        <w:pStyle w:val="BodyText"/>
        <w:spacing w:before="5"/>
        <w:rPr>
          <w:b/>
          <w:sz w:val="18"/>
        </w:rPr>
      </w:pPr>
    </w:p>
    <w:p>
      <w:pPr>
        <w:spacing w:before="0"/>
        <w:ind w:left="1133" w:right="0" w:firstLine="0"/>
        <w:jc w:val="both"/>
        <w:rPr>
          <w:b/>
          <w:sz w:val="20"/>
        </w:rPr>
      </w:pPr>
      <w:r>
        <w:rPr>
          <w:b/>
          <w:sz w:val="20"/>
        </w:rPr>
        <w:t>Table 6: Results of the Basic Cabled Tests – DSRC</w:t>
      </w:r>
    </w:p>
    <w:p>
      <w:pPr>
        <w:pStyle w:val="BodyText"/>
        <w:spacing w:before="1"/>
        <w:rPr>
          <w:b/>
          <w:sz w:val="16"/>
        </w:rPr>
      </w:pPr>
    </w:p>
    <w:tbl>
      <w:tblPr>
        <w:tblW w:w="0" w:type="auto"/>
        <w:jc w:val="left"/>
        <w:tblInd w:w="1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5"/>
        <w:gridCol w:w="1352"/>
        <w:gridCol w:w="1260"/>
        <w:gridCol w:w="1260"/>
        <w:gridCol w:w="1261"/>
        <w:gridCol w:w="1260"/>
        <w:gridCol w:w="1260"/>
      </w:tblGrid>
      <w:tr>
        <w:trPr>
          <w:trHeight w:val="838" w:hRule="exact"/>
        </w:trPr>
        <w:tc>
          <w:tcPr>
            <w:tcW w:w="1255" w:type="dxa"/>
            <w:shd w:val="clear" w:color="auto" w:fill="D9D9D9"/>
          </w:tcPr>
          <w:p>
            <w:pPr>
              <w:pStyle w:val="TableParagraph"/>
              <w:tabs>
                <w:tab w:pos="971" w:val="left" w:leader="none"/>
              </w:tabs>
              <w:spacing w:line="201" w:lineRule="exact"/>
              <w:rPr>
                <w:b/>
                <w:sz w:val="18"/>
              </w:rPr>
            </w:pPr>
            <w:r>
              <w:rPr>
                <w:b/>
                <w:sz w:val="18"/>
              </w:rPr>
              <w:t>No.</w:t>
              <w:tab/>
              <w:t>of</w:t>
            </w:r>
          </w:p>
          <w:p>
            <w:pPr>
              <w:pStyle w:val="TableParagraph"/>
              <w:spacing w:line="240" w:lineRule="auto"/>
              <w:ind w:right="92"/>
              <w:rPr>
                <w:b/>
                <w:sz w:val="18"/>
              </w:rPr>
            </w:pPr>
            <w:r>
              <w:rPr>
                <w:b/>
                <w:sz w:val="18"/>
              </w:rPr>
              <w:t>Transmitted pkts/s reported</w:t>
            </w:r>
          </w:p>
        </w:tc>
        <w:tc>
          <w:tcPr>
            <w:tcW w:w="1352" w:type="dxa"/>
            <w:shd w:val="clear" w:color="auto" w:fill="D9D9D9"/>
          </w:tcPr>
          <w:p>
            <w:pPr>
              <w:pStyle w:val="TableParagraph"/>
              <w:tabs>
                <w:tab w:pos="1067" w:val="left" w:leader="none"/>
              </w:tabs>
              <w:spacing w:line="201" w:lineRule="exact"/>
              <w:rPr>
                <w:b/>
                <w:sz w:val="18"/>
              </w:rPr>
            </w:pPr>
            <w:r>
              <w:rPr>
                <w:b/>
                <w:sz w:val="18"/>
              </w:rPr>
              <w:t>No.</w:t>
              <w:tab/>
              <w:t>of</w:t>
            </w:r>
          </w:p>
          <w:p>
            <w:pPr>
              <w:pStyle w:val="TableParagraph"/>
              <w:spacing w:line="240" w:lineRule="auto"/>
              <w:ind w:right="428"/>
              <w:rPr>
                <w:b/>
                <w:sz w:val="18"/>
              </w:rPr>
            </w:pPr>
            <w:r>
              <w:rPr>
                <w:b/>
                <w:sz w:val="18"/>
              </w:rPr>
              <w:t>Received pkts/s reported</w:t>
            </w:r>
          </w:p>
        </w:tc>
        <w:tc>
          <w:tcPr>
            <w:tcW w:w="1260" w:type="dxa"/>
            <w:shd w:val="clear" w:color="auto" w:fill="D9D9D9"/>
          </w:tcPr>
          <w:p>
            <w:pPr>
              <w:pStyle w:val="TableParagraph"/>
              <w:spacing w:line="240" w:lineRule="auto"/>
              <w:ind w:right="167"/>
              <w:rPr>
                <w:b/>
                <w:sz w:val="18"/>
              </w:rPr>
            </w:pPr>
            <w:r>
              <w:rPr>
                <w:b/>
                <w:sz w:val="18"/>
              </w:rPr>
              <w:t>Calculated at Receiver</w:t>
            </w:r>
          </w:p>
        </w:tc>
        <w:tc>
          <w:tcPr>
            <w:tcW w:w="1260" w:type="dxa"/>
            <w:shd w:val="clear" w:color="auto" w:fill="D9D9D9"/>
          </w:tcPr>
          <w:p>
            <w:pPr>
              <w:pStyle w:val="TableParagraph"/>
              <w:spacing w:line="240" w:lineRule="auto"/>
              <w:ind w:right="166"/>
              <w:rPr>
                <w:b/>
                <w:sz w:val="18"/>
              </w:rPr>
            </w:pPr>
            <w:r>
              <w:rPr>
                <w:b/>
                <w:sz w:val="18"/>
              </w:rPr>
              <w:t>Calculated at Receiver</w:t>
            </w:r>
          </w:p>
        </w:tc>
        <w:tc>
          <w:tcPr>
            <w:tcW w:w="1261" w:type="dxa"/>
            <w:shd w:val="clear" w:color="auto" w:fill="D9D9D9"/>
          </w:tcPr>
          <w:p>
            <w:pPr>
              <w:pStyle w:val="TableParagraph"/>
              <w:spacing w:line="240" w:lineRule="auto"/>
              <w:ind w:right="167"/>
              <w:rPr>
                <w:b/>
                <w:sz w:val="18"/>
              </w:rPr>
            </w:pPr>
            <w:r>
              <w:rPr>
                <w:b/>
                <w:sz w:val="18"/>
              </w:rPr>
              <w:t>Calculated at Receiver</w:t>
            </w:r>
          </w:p>
        </w:tc>
        <w:tc>
          <w:tcPr>
            <w:tcW w:w="1260" w:type="dxa"/>
            <w:shd w:val="clear" w:color="auto" w:fill="D9D9D9"/>
          </w:tcPr>
          <w:p>
            <w:pPr>
              <w:pStyle w:val="TableParagraph"/>
              <w:spacing w:line="240" w:lineRule="auto"/>
              <w:ind w:right="166"/>
              <w:rPr>
                <w:b/>
                <w:sz w:val="18"/>
              </w:rPr>
            </w:pPr>
            <w:r>
              <w:rPr>
                <w:b/>
                <w:sz w:val="18"/>
              </w:rPr>
              <w:t>Calculated at Receiver</w:t>
            </w:r>
          </w:p>
        </w:tc>
        <w:tc>
          <w:tcPr>
            <w:tcW w:w="1260" w:type="dxa"/>
            <w:shd w:val="clear" w:color="auto" w:fill="D9D9D9"/>
          </w:tcPr>
          <w:p>
            <w:pPr>
              <w:pStyle w:val="TableParagraph"/>
              <w:spacing w:line="240" w:lineRule="auto"/>
              <w:ind w:right="167"/>
              <w:rPr>
                <w:b/>
                <w:sz w:val="18"/>
              </w:rPr>
            </w:pPr>
            <w:r>
              <w:rPr>
                <w:b/>
                <w:sz w:val="18"/>
              </w:rPr>
              <w:t>Calculated at Receiver</w:t>
            </w:r>
          </w:p>
        </w:tc>
      </w:tr>
      <w:tr>
        <w:trPr>
          <w:trHeight w:val="838" w:hRule="exact"/>
        </w:trPr>
        <w:tc>
          <w:tcPr>
            <w:tcW w:w="1255" w:type="dxa"/>
            <w:shd w:val="clear" w:color="auto" w:fill="D9D9D9"/>
          </w:tcPr>
          <w:p>
            <w:pPr>
              <w:pStyle w:val="TableParagraph"/>
              <w:spacing w:line="242" w:lineRule="auto"/>
              <w:ind w:right="362"/>
              <w:rPr>
                <w:b/>
                <w:sz w:val="18"/>
              </w:rPr>
            </w:pPr>
            <w:r>
              <w:rPr>
                <w:b/>
                <w:sz w:val="18"/>
              </w:rPr>
              <w:t>Transmit Device</w:t>
            </w:r>
          </w:p>
        </w:tc>
        <w:tc>
          <w:tcPr>
            <w:tcW w:w="1352" w:type="dxa"/>
            <w:shd w:val="clear" w:color="auto" w:fill="D9D9D9"/>
          </w:tcPr>
          <w:p>
            <w:pPr>
              <w:pStyle w:val="TableParagraph"/>
              <w:spacing w:line="242" w:lineRule="auto"/>
              <w:ind w:right="538"/>
              <w:rPr>
                <w:b/>
                <w:sz w:val="18"/>
              </w:rPr>
            </w:pPr>
            <w:r>
              <w:rPr>
                <w:b/>
                <w:sz w:val="18"/>
              </w:rPr>
              <w:t>Receive Device</w:t>
            </w:r>
          </w:p>
        </w:tc>
        <w:tc>
          <w:tcPr>
            <w:tcW w:w="1260" w:type="dxa"/>
            <w:shd w:val="clear" w:color="auto" w:fill="D9D9D9"/>
          </w:tcPr>
          <w:p>
            <w:pPr>
              <w:pStyle w:val="TableParagraph"/>
              <w:spacing w:line="201" w:lineRule="exact"/>
              <w:rPr>
                <w:b/>
                <w:sz w:val="18"/>
              </w:rPr>
            </w:pPr>
            <w:r>
              <w:rPr>
                <w:b/>
                <w:sz w:val="18"/>
              </w:rPr>
              <w:t>PER %</w:t>
            </w:r>
          </w:p>
        </w:tc>
        <w:tc>
          <w:tcPr>
            <w:tcW w:w="1260" w:type="dxa"/>
            <w:shd w:val="clear" w:color="auto" w:fill="D9D9D9"/>
          </w:tcPr>
          <w:p>
            <w:pPr>
              <w:pStyle w:val="TableParagraph"/>
              <w:spacing w:line="201" w:lineRule="exact"/>
              <w:rPr>
                <w:b/>
                <w:sz w:val="18"/>
              </w:rPr>
            </w:pPr>
            <w:r>
              <w:rPr>
                <w:b/>
                <w:sz w:val="18"/>
              </w:rPr>
              <w:t>95</w:t>
            </w:r>
          </w:p>
          <w:p>
            <w:pPr>
              <w:pStyle w:val="TableParagraph"/>
              <w:spacing w:line="240" w:lineRule="auto" w:before="2"/>
              <w:ind w:right="266"/>
              <w:rPr>
                <w:b/>
                <w:sz w:val="18"/>
              </w:rPr>
            </w:pPr>
            <w:r>
              <w:rPr>
                <w:b/>
                <w:sz w:val="18"/>
              </w:rPr>
              <w:t>Percentile IPG (ms)</w:t>
            </w:r>
          </w:p>
        </w:tc>
        <w:tc>
          <w:tcPr>
            <w:tcW w:w="1261" w:type="dxa"/>
            <w:shd w:val="clear" w:color="auto" w:fill="D9D9D9"/>
          </w:tcPr>
          <w:p>
            <w:pPr>
              <w:pStyle w:val="TableParagraph"/>
              <w:tabs>
                <w:tab w:pos="839" w:val="left" w:leader="none"/>
              </w:tabs>
              <w:spacing w:line="242" w:lineRule="auto"/>
              <w:ind w:right="99"/>
              <w:rPr>
                <w:b/>
                <w:sz w:val="18"/>
              </w:rPr>
            </w:pPr>
            <w:r>
              <w:rPr>
                <w:b/>
                <w:sz w:val="18"/>
              </w:rPr>
              <w:t>Mean</w:t>
              <w:tab/>
              <w:t>IPG (ms)</w:t>
            </w:r>
          </w:p>
        </w:tc>
        <w:tc>
          <w:tcPr>
            <w:tcW w:w="1260" w:type="dxa"/>
            <w:shd w:val="clear" w:color="auto" w:fill="D9D9D9"/>
          </w:tcPr>
          <w:p>
            <w:pPr>
              <w:pStyle w:val="TableParagraph"/>
              <w:spacing w:line="201" w:lineRule="exact"/>
              <w:rPr>
                <w:b/>
                <w:sz w:val="18"/>
              </w:rPr>
            </w:pPr>
            <w:r>
              <w:rPr>
                <w:b/>
                <w:sz w:val="18"/>
              </w:rPr>
              <w:t>95</w:t>
            </w:r>
          </w:p>
          <w:p>
            <w:pPr>
              <w:pStyle w:val="TableParagraph"/>
              <w:spacing w:line="240" w:lineRule="auto" w:before="2"/>
              <w:ind w:right="266"/>
              <w:rPr>
                <w:b/>
                <w:sz w:val="18"/>
              </w:rPr>
            </w:pPr>
            <w:r>
              <w:rPr>
                <w:b/>
                <w:sz w:val="18"/>
              </w:rPr>
              <w:t>Percentile Latency (ms)</w:t>
            </w:r>
          </w:p>
        </w:tc>
        <w:tc>
          <w:tcPr>
            <w:tcW w:w="1260" w:type="dxa"/>
            <w:shd w:val="clear" w:color="auto" w:fill="D9D9D9"/>
          </w:tcPr>
          <w:p>
            <w:pPr>
              <w:pStyle w:val="TableParagraph"/>
              <w:spacing w:line="240" w:lineRule="auto"/>
              <w:ind w:right="447"/>
              <w:rPr>
                <w:b/>
                <w:sz w:val="18"/>
              </w:rPr>
            </w:pPr>
            <w:r>
              <w:rPr>
                <w:b/>
                <w:sz w:val="18"/>
              </w:rPr>
              <w:t>Mean Latency (ms)</w:t>
            </w:r>
          </w:p>
        </w:tc>
      </w:tr>
      <w:tr>
        <w:trPr>
          <w:trHeight w:val="219" w:hRule="exact"/>
        </w:trPr>
        <w:tc>
          <w:tcPr>
            <w:tcW w:w="1255" w:type="dxa"/>
          </w:tcPr>
          <w:p>
            <w:pPr>
              <w:pStyle w:val="TableParagraph"/>
              <w:spacing w:line="207" w:lineRule="exact"/>
              <w:rPr>
                <w:sz w:val="18"/>
              </w:rPr>
            </w:pPr>
            <w:r>
              <w:rPr>
                <w:sz w:val="18"/>
              </w:rPr>
              <w:t>1000</w:t>
            </w:r>
          </w:p>
        </w:tc>
        <w:tc>
          <w:tcPr>
            <w:tcW w:w="1352" w:type="dxa"/>
          </w:tcPr>
          <w:p>
            <w:pPr>
              <w:pStyle w:val="TableParagraph"/>
              <w:spacing w:line="207" w:lineRule="exact"/>
              <w:rPr>
                <w:sz w:val="18"/>
              </w:rPr>
            </w:pPr>
            <w:r>
              <w:rPr>
                <w:sz w:val="18"/>
              </w:rPr>
              <w:t>1000</w:t>
            </w:r>
          </w:p>
        </w:tc>
        <w:tc>
          <w:tcPr>
            <w:tcW w:w="1260" w:type="dxa"/>
          </w:tcPr>
          <w:p>
            <w:pPr>
              <w:pStyle w:val="TableParagraph"/>
              <w:spacing w:line="207" w:lineRule="exact"/>
              <w:rPr>
                <w:sz w:val="18"/>
              </w:rPr>
            </w:pPr>
            <w:r>
              <w:rPr>
                <w:w w:val="99"/>
                <w:sz w:val="18"/>
              </w:rPr>
              <w:t>0</w:t>
            </w:r>
          </w:p>
        </w:tc>
        <w:tc>
          <w:tcPr>
            <w:tcW w:w="1260" w:type="dxa"/>
          </w:tcPr>
          <w:p>
            <w:pPr>
              <w:pStyle w:val="TableParagraph"/>
              <w:spacing w:line="207" w:lineRule="exact"/>
              <w:rPr>
                <w:sz w:val="18"/>
              </w:rPr>
            </w:pPr>
            <w:r>
              <w:rPr>
                <w:sz w:val="18"/>
              </w:rPr>
              <w:t>111</w:t>
            </w:r>
          </w:p>
        </w:tc>
        <w:tc>
          <w:tcPr>
            <w:tcW w:w="1261" w:type="dxa"/>
          </w:tcPr>
          <w:p>
            <w:pPr>
              <w:pStyle w:val="TableParagraph"/>
              <w:spacing w:line="207" w:lineRule="exact"/>
              <w:rPr>
                <w:sz w:val="18"/>
              </w:rPr>
            </w:pPr>
            <w:r>
              <w:rPr>
                <w:sz w:val="18"/>
              </w:rPr>
              <w:t>100.0</w:t>
            </w:r>
          </w:p>
        </w:tc>
        <w:tc>
          <w:tcPr>
            <w:tcW w:w="1260" w:type="dxa"/>
          </w:tcPr>
          <w:p>
            <w:pPr>
              <w:pStyle w:val="TableParagraph"/>
              <w:spacing w:line="207" w:lineRule="exact"/>
              <w:rPr>
                <w:sz w:val="18"/>
              </w:rPr>
            </w:pPr>
            <w:r>
              <w:rPr>
                <w:sz w:val="18"/>
              </w:rPr>
              <w:t>19</w:t>
            </w:r>
          </w:p>
        </w:tc>
        <w:tc>
          <w:tcPr>
            <w:tcW w:w="1260" w:type="dxa"/>
          </w:tcPr>
          <w:p>
            <w:pPr>
              <w:pStyle w:val="TableParagraph"/>
              <w:spacing w:line="207" w:lineRule="exact"/>
              <w:rPr>
                <w:sz w:val="18"/>
              </w:rPr>
            </w:pPr>
            <w:r>
              <w:rPr>
                <w:sz w:val="18"/>
              </w:rPr>
              <w:t>16</w:t>
            </w:r>
          </w:p>
        </w:tc>
      </w:tr>
      <w:tr>
        <w:trPr>
          <w:trHeight w:val="216" w:hRule="exact"/>
        </w:trPr>
        <w:tc>
          <w:tcPr>
            <w:tcW w:w="1255" w:type="dxa"/>
          </w:tcPr>
          <w:p>
            <w:pPr>
              <w:pStyle w:val="TableParagraph"/>
              <w:rPr>
                <w:sz w:val="18"/>
              </w:rPr>
            </w:pPr>
            <w:r>
              <w:rPr>
                <w:sz w:val="18"/>
              </w:rPr>
              <w:t>1000</w:t>
            </w:r>
          </w:p>
        </w:tc>
        <w:tc>
          <w:tcPr>
            <w:tcW w:w="1352" w:type="dxa"/>
          </w:tcPr>
          <w:p>
            <w:pPr>
              <w:pStyle w:val="TableParagraph"/>
              <w:rPr>
                <w:sz w:val="18"/>
              </w:rPr>
            </w:pPr>
            <w:r>
              <w:rPr>
                <w:sz w:val="18"/>
              </w:rPr>
              <w:t>1000</w:t>
            </w:r>
          </w:p>
        </w:tc>
        <w:tc>
          <w:tcPr>
            <w:tcW w:w="1260" w:type="dxa"/>
          </w:tcPr>
          <w:p>
            <w:pPr>
              <w:pStyle w:val="TableParagraph"/>
              <w:rPr>
                <w:sz w:val="18"/>
              </w:rPr>
            </w:pPr>
            <w:r>
              <w:rPr>
                <w:w w:val="99"/>
                <w:sz w:val="18"/>
              </w:rPr>
              <w:t>0</w:t>
            </w:r>
          </w:p>
        </w:tc>
        <w:tc>
          <w:tcPr>
            <w:tcW w:w="1260" w:type="dxa"/>
          </w:tcPr>
          <w:p>
            <w:pPr>
              <w:pStyle w:val="TableParagraph"/>
              <w:rPr>
                <w:sz w:val="18"/>
              </w:rPr>
            </w:pPr>
            <w:r>
              <w:rPr>
                <w:sz w:val="18"/>
              </w:rPr>
              <w:t>102</w:t>
            </w:r>
          </w:p>
        </w:tc>
        <w:tc>
          <w:tcPr>
            <w:tcW w:w="1261" w:type="dxa"/>
          </w:tcPr>
          <w:p>
            <w:pPr>
              <w:pStyle w:val="TableParagraph"/>
              <w:rPr>
                <w:sz w:val="18"/>
              </w:rPr>
            </w:pPr>
            <w:r>
              <w:rPr>
                <w:sz w:val="18"/>
              </w:rPr>
              <w:t>100.0</w:t>
            </w:r>
          </w:p>
        </w:tc>
        <w:tc>
          <w:tcPr>
            <w:tcW w:w="1260" w:type="dxa"/>
          </w:tcPr>
          <w:p>
            <w:pPr>
              <w:pStyle w:val="TableParagraph"/>
              <w:rPr>
                <w:sz w:val="18"/>
              </w:rPr>
            </w:pPr>
            <w:r>
              <w:rPr>
                <w:sz w:val="18"/>
              </w:rPr>
              <w:t>19</w:t>
            </w:r>
          </w:p>
        </w:tc>
        <w:tc>
          <w:tcPr>
            <w:tcW w:w="1260" w:type="dxa"/>
          </w:tcPr>
          <w:p>
            <w:pPr>
              <w:pStyle w:val="TableParagraph"/>
              <w:rPr>
                <w:sz w:val="18"/>
              </w:rPr>
            </w:pPr>
            <w:r>
              <w:rPr>
                <w:sz w:val="18"/>
              </w:rPr>
              <w:t>17</w:t>
            </w:r>
          </w:p>
        </w:tc>
      </w:tr>
      <w:tr>
        <w:trPr>
          <w:trHeight w:val="218" w:hRule="exact"/>
        </w:trPr>
        <w:tc>
          <w:tcPr>
            <w:tcW w:w="1255" w:type="dxa"/>
          </w:tcPr>
          <w:p>
            <w:pPr>
              <w:pStyle w:val="TableParagraph"/>
              <w:rPr>
                <w:sz w:val="18"/>
              </w:rPr>
            </w:pPr>
            <w:r>
              <w:rPr>
                <w:sz w:val="18"/>
              </w:rPr>
              <w:t>1000</w:t>
            </w:r>
          </w:p>
        </w:tc>
        <w:tc>
          <w:tcPr>
            <w:tcW w:w="1352" w:type="dxa"/>
          </w:tcPr>
          <w:p>
            <w:pPr>
              <w:pStyle w:val="TableParagraph"/>
              <w:rPr>
                <w:sz w:val="18"/>
              </w:rPr>
            </w:pPr>
            <w:r>
              <w:rPr>
                <w:sz w:val="18"/>
              </w:rPr>
              <w:t>1000</w:t>
            </w:r>
          </w:p>
        </w:tc>
        <w:tc>
          <w:tcPr>
            <w:tcW w:w="1260" w:type="dxa"/>
          </w:tcPr>
          <w:p>
            <w:pPr>
              <w:pStyle w:val="TableParagraph"/>
              <w:rPr>
                <w:sz w:val="18"/>
              </w:rPr>
            </w:pPr>
            <w:r>
              <w:rPr>
                <w:w w:val="99"/>
                <w:sz w:val="18"/>
              </w:rPr>
              <w:t>0</w:t>
            </w:r>
          </w:p>
        </w:tc>
        <w:tc>
          <w:tcPr>
            <w:tcW w:w="1260" w:type="dxa"/>
          </w:tcPr>
          <w:p>
            <w:pPr>
              <w:pStyle w:val="TableParagraph"/>
              <w:rPr>
                <w:sz w:val="18"/>
              </w:rPr>
            </w:pPr>
            <w:r>
              <w:rPr>
                <w:sz w:val="18"/>
              </w:rPr>
              <w:t>109</w:t>
            </w:r>
          </w:p>
        </w:tc>
        <w:tc>
          <w:tcPr>
            <w:tcW w:w="1261" w:type="dxa"/>
          </w:tcPr>
          <w:p>
            <w:pPr>
              <w:pStyle w:val="TableParagraph"/>
              <w:rPr>
                <w:sz w:val="18"/>
              </w:rPr>
            </w:pPr>
            <w:r>
              <w:rPr>
                <w:sz w:val="18"/>
              </w:rPr>
              <w:t>100.0</w:t>
            </w:r>
          </w:p>
        </w:tc>
        <w:tc>
          <w:tcPr>
            <w:tcW w:w="1260" w:type="dxa"/>
          </w:tcPr>
          <w:p>
            <w:pPr>
              <w:pStyle w:val="TableParagraph"/>
              <w:rPr>
                <w:sz w:val="18"/>
              </w:rPr>
            </w:pPr>
            <w:r>
              <w:rPr>
                <w:sz w:val="18"/>
              </w:rPr>
              <w:t>19</w:t>
            </w:r>
          </w:p>
        </w:tc>
        <w:tc>
          <w:tcPr>
            <w:tcW w:w="1260" w:type="dxa"/>
          </w:tcPr>
          <w:p>
            <w:pPr>
              <w:pStyle w:val="TableParagraph"/>
              <w:rPr>
                <w:sz w:val="18"/>
              </w:rPr>
            </w:pPr>
            <w:r>
              <w:rPr>
                <w:sz w:val="18"/>
              </w:rPr>
              <w:t>16</w:t>
            </w:r>
          </w:p>
        </w:tc>
      </w:tr>
      <w:tr>
        <w:trPr>
          <w:trHeight w:val="216" w:hRule="exact"/>
        </w:trPr>
        <w:tc>
          <w:tcPr>
            <w:tcW w:w="1255" w:type="dxa"/>
          </w:tcPr>
          <w:p>
            <w:pPr>
              <w:pStyle w:val="TableParagraph"/>
              <w:rPr>
                <w:sz w:val="18"/>
              </w:rPr>
            </w:pPr>
            <w:r>
              <w:rPr>
                <w:sz w:val="18"/>
              </w:rPr>
              <w:t>1000</w:t>
            </w:r>
          </w:p>
        </w:tc>
        <w:tc>
          <w:tcPr>
            <w:tcW w:w="1352" w:type="dxa"/>
          </w:tcPr>
          <w:p>
            <w:pPr>
              <w:pStyle w:val="TableParagraph"/>
              <w:rPr>
                <w:sz w:val="18"/>
              </w:rPr>
            </w:pPr>
            <w:r>
              <w:rPr>
                <w:sz w:val="18"/>
              </w:rPr>
              <w:t>1000</w:t>
            </w:r>
          </w:p>
        </w:tc>
        <w:tc>
          <w:tcPr>
            <w:tcW w:w="1260" w:type="dxa"/>
          </w:tcPr>
          <w:p>
            <w:pPr>
              <w:pStyle w:val="TableParagraph"/>
              <w:rPr>
                <w:sz w:val="18"/>
              </w:rPr>
            </w:pPr>
            <w:r>
              <w:rPr>
                <w:w w:val="99"/>
                <w:sz w:val="18"/>
              </w:rPr>
              <w:t>0</w:t>
            </w:r>
          </w:p>
        </w:tc>
        <w:tc>
          <w:tcPr>
            <w:tcW w:w="1260" w:type="dxa"/>
          </w:tcPr>
          <w:p>
            <w:pPr>
              <w:pStyle w:val="TableParagraph"/>
              <w:rPr>
                <w:sz w:val="18"/>
              </w:rPr>
            </w:pPr>
            <w:r>
              <w:rPr>
                <w:sz w:val="18"/>
              </w:rPr>
              <w:t>102</w:t>
            </w:r>
          </w:p>
        </w:tc>
        <w:tc>
          <w:tcPr>
            <w:tcW w:w="1261" w:type="dxa"/>
          </w:tcPr>
          <w:p>
            <w:pPr>
              <w:pStyle w:val="TableParagraph"/>
              <w:rPr>
                <w:sz w:val="18"/>
              </w:rPr>
            </w:pPr>
            <w:r>
              <w:rPr>
                <w:sz w:val="18"/>
              </w:rPr>
              <w:t>100.0</w:t>
            </w:r>
          </w:p>
        </w:tc>
        <w:tc>
          <w:tcPr>
            <w:tcW w:w="1260" w:type="dxa"/>
          </w:tcPr>
          <w:p>
            <w:pPr>
              <w:pStyle w:val="TableParagraph"/>
              <w:rPr>
                <w:sz w:val="18"/>
              </w:rPr>
            </w:pPr>
            <w:r>
              <w:rPr>
                <w:sz w:val="18"/>
              </w:rPr>
              <w:t>20</w:t>
            </w:r>
          </w:p>
        </w:tc>
        <w:tc>
          <w:tcPr>
            <w:tcW w:w="1260" w:type="dxa"/>
          </w:tcPr>
          <w:p>
            <w:pPr>
              <w:pStyle w:val="TableParagraph"/>
              <w:rPr>
                <w:sz w:val="18"/>
              </w:rPr>
            </w:pPr>
            <w:r>
              <w:rPr>
                <w:sz w:val="18"/>
              </w:rPr>
              <w:t>17</w:t>
            </w:r>
          </w:p>
        </w:tc>
      </w:tr>
      <w:tr>
        <w:trPr>
          <w:trHeight w:val="216" w:hRule="exact"/>
        </w:trPr>
        <w:tc>
          <w:tcPr>
            <w:tcW w:w="1255" w:type="dxa"/>
          </w:tcPr>
          <w:p>
            <w:pPr>
              <w:pStyle w:val="TableParagraph"/>
              <w:rPr>
                <w:sz w:val="18"/>
              </w:rPr>
            </w:pPr>
            <w:r>
              <w:rPr>
                <w:sz w:val="18"/>
              </w:rPr>
              <w:t>1000</w:t>
            </w:r>
          </w:p>
        </w:tc>
        <w:tc>
          <w:tcPr>
            <w:tcW w:w="1352" w:type="dxa"/>
          </w:tcPr>
          <w:p>
            <w:pPr>
              <w:pStyle w:val="TableParagraph"/>
              <w:rPr>
                <w:sz w:val="18"/>
              </w:rPr>
            </w:pPr>
            <w:r>
              <w:rPr>
                <w:sz w:val="18"/>
              </w:rPr>
              <w:t>1000</w:t>
            </w:r>
          </w:p>
        </w:tc>
        <w:tc>
          <w:tcPr>
            <w:tcW w:w="1260" w:type="dxa"/>
          </w:tcPr>
          <w:p>
            <w:pPr>
              <w:pStyle w:val="TableParagraph"/>
              <w:rPr>
                <w:sz w:val="18"/>
              </w:rPr>
            </w:pPr>
            <w:r>
              <w:rPr>
                <w:w w:val="99"/>
                <w:sz w:val="18"/>
              </w:rPr>
              <w:t>0</w:t>
            </w:r>
          </w:p>
        </w:tc>
        <w:tc>
          <w:tcPr>
            <w:tcW w:w="1260" w:type="dxa"/>
          </w:tcPr>
          <w:p>
            <w:pPr>
              <w:pStyle w:val="TableParagraph"/>
              <w:rPr>
                <w:sz w:val="18"/>
              </w:rPr>
            </w:pPr>
            <w:r>
              <w:rPr>
                <w:sz w:val="18"/>
              </w:rPr>
              <w:t>107</w:t>
            </w:r>
          </w:p>
        </w:tc>
        <w:tc>
          <w:tcPr>
            <w:tcW w:w="1261" w:type="dxa"/>
          </w:tcPr>
          <w:p>
            <w:pPr>
              <w:pStyle w:val="TableParagraph"/>
              <w:rPr>
                <w:sz w:val="18"/>
              </w:rPr>
            </w:pPr>
            <w:r>
              <w:rPr>
                <w:sz w:val="18"/>
              </w:rPr>
              <w:t>100.0</w:t>
            </w:r>
          </w:p>
        </w:tc>
        <w:tc>
          <w:tcPr>
            <w:tcW w:w="1260" w:type="dxa"/>
          </w:tcPr>
          <w:p>
            <w:pPr>
              <w:pStyle w:val="TableParagraph"/>
              <w:rPr>
                <w:sz w:val="18"/>
              </w:rPr>
            </w:pPr>
            <w:r>
              <w:rPr>
                <w:sz w:val="18"/>
              </w:rPr>
              <w:t>19</w:t>
            </w:r>
          </w:p>
        </w:tc>
        <w:tc>
          <w:tcPr>
            <w:tcW w:w="1260" w:type="dxa"/>
          </w:tcPr>
          <w:p>
            <w:pPr>
              <w:pStyle w:val="TableParagraph"/>
              <w:rPr>
                <w:sz w:val="18"/>
              </w:rPr>
            </w:pPr>
            <w:r>
              <w:rPr>
                <w:sz w:val="18"/>
              </w:rPr>
              <w:t>16</w:t>
            </w:r>
          </w:p>
        </w:tc>
      </w:tr>
      <w:tr>
        <w:trPr>
          <w:trHeight w:val="218" w:hRule="exact"/>
        </w:trPr>
        <w:tc>
          <w:tcPr>
            <w:tcW w:w="1255" w:type="dxa"/>
          </w:tcPr>
          <w:p>
            <w:pPr>
              <w:pStyle w:val="TableParagraph"/>
              <w:rPr>
                <w:sz w:val="18"/>
              </w:rPr>
            </w:pPr>
            <w:r>
              <w:rPr>
                <w:sz w:val="18"/>
              </w:rPr>
              <w:t>1000</w:t>
            </w:r>
          </w:p>
        </w:tc>
        <w:tc>
          <w:tcPr>
            <w:tcW w:w="1352" w:type="dxa"/>
          </w:tcPr>
          <w:p>
            <w:pPr>
              <w:pStyle w:val="TableParagraph"/>
              <w:rPr>
                <w:sz w:val="18"/>
              </w:rPr>
            </w:pPr>
            <w:r>
              <w:rPr>
                <w:sz w:val="18"/>
              </w:rPr>
              <w:t>1000</w:t>
            </w:r>
          </w:p>
        </w:tc>
        <w:tc>
          <w:tcPr>
            <w:tcW w:w="1260" w:type="dxa"/>
          </w:tcPr>
          <w:p>
            <w:pPr>
              <w:pStyle w:val="TableParagraph"/>
              <w:rPr>
                <w:sz w:val="18"/>
              </w:rPr>
            </w:pPr>
            <w:r>
              <w:rPr>
                <w:w w:val="99"/>
                <w:sz w:val="18"/>
              </w:rPr>
              <w:t>0</w:t>
            </w:r>
          </w:p>
        </w:tc>
        <w:tc>
          <w:tcPr>
            <w:tcW w:w="1260" w:type="dxa"/>
          </w:tcPr>
          <w:p>
            <w:pPr>
              <w:pStyle w:val="TableParagraph"/>
              <w:rPr>
                <w:sz w:val="18"/>
              </w:rPr>
            </w:pPr>
            <w:r>
              <w:rPr>
                <w:sz w:val="18"/>
              </w:rPr>
              <w:t>104</w:t>
            </w:r>
          </w:p>
        </w:tc>
        <w:tc>
          <w:tcPr>
            <w:tcW w:w="1261" w:type="dxa"/>
          </w:tcPr>
          <w:p>
            <w:pPr>
              <w:pStyle w:val="TableParagraph"/>
              <w:rPr>
                <w:sz w:val="18"/>
              </w:rPr>
            </w:pPr>
            <w:r>
              <w:rPr>
                <w:sz w:val="18"/>
              </w:rPr>
              <w:t>100.0</w:t>
            </w:r>
          </w:p>
        </w:tc>
        <w:tc>
          <w:tcPr>
            <w:tcW w:w="1260" w:type="dxa"/>
          </w:tcPr>
          <w:p>
            <w:pPr>
              <w:pStyle w:val="TableParagraph"/>
              <w:rPr>
                <w:sz w:val="18"/>
              </w:rPr>
            </w:pPr>
            <w:r>
              <w:rPr>
                <w:sz w:val="18"/>
              </w:rPr>
              <w:t>19</w:t>
            </w:r>
          </w:p>
        </w:tc>
        <w:tc>
          <w:tcPr>
            <w:tcW w:w="1260" w:type="dxa"/>
          </w:tcPr>
          <w:p>
            <w:pPr>
              <w:pStyle w:val="TableParagraph"/>
              <w:rPr>
                <w:sz w:val="18"/>
              </w:rPr>
            </w:pPr>
            <w:r>
              <w:rPr>
                <w:sz w:val="18"/>
              </w:rPr>
              <w:t>16</w:t>
            </w:r>
          </w:p>
        </w:tc>
      </w:tr>
      <w:tr>
        <w:trPr>
          <w:trHeight w:val="216" w:hRule="exact"/>
        </w:trPr>
        <w:tc>
          <w:tcPr>
            <w:tcW w:w="1255" w:type="dxa"/>
          </w:tcPr>
          <w:p>
            <w:pPr>
              <w:pStyle w:val="TableParagraph"/>
              <w:rPr>
                <w:sz w:val="18"/>
              </w:rPr>
            </w:pPr>
            <w:r>
              <w:rPr>
                <w:sz w:val="18"/>
              </w:rPr>
              <w:t>1000</w:t>
            </w:r>
          </w:p>
        </w:tc>
        <w:tc>
          <w:tcPr>
            <w:tcW w:w="1352" w:type="dxa"/>
          </w:tcPr>
          <w:p>
            <w:pPr>
              <w:pStyle w:val="TableParagraph"/>
              <w:rPr>
                <w:sz w:val="18"/>
              </w:rPr>
            </w:pPr>
            <w:r>
              <w:rPr>
                <w:sz w:val="18"/>
              </w:rPr>
              <w:t>1000</w:t>
            </w:r>
          </w:p>
        </w:tc>
        <w:tc>
          <w:tcPr>
            <w:tcW w:w="1260" w:type="dxa"/>
          </w:tcPr>
          <w:p>
            <w:pPr>
              <w:pStyle w:val="TableParagraph"/>
              <w:rPr>
                <w:sz w:val="18"/>
              </w:rPr>
            </w:pPr>
            <w:r>
              <w:rPr>
                <w:w w:val="99"/>
                <w:sz w:val="18"/>
              </w:rPr>
              <w:t>0</w:t>
            </w:r>
          </w:p>
        </w:tc>
        <w:tc>
          <w:tcPr>
            <w:tcW w:w="1260" w:type="dxa"/>
          </w:tcPr>
          <w:p>
            <w:pPr>
              <w:pStyle w:val="TableParagraph"/>
              <w:rPr>
                <w:sz w:val="18"/>
              </w:rPr>
            </w:pPr>
            <w:r>
              <w:rPr>
                <w:sz w:val="18"/>
              </w:rPr>
              <w:t>102</w:t>
            </w:r>
          </w:p>
        </w:tc>
        <w:tc>
          <w:tcPr>
            <w:tcW w:w="1261" w:type="dxa"/>
          </w:tcPr>
          <w:p>
            <w:pPr>
              <w:pStyle w:val="TableParagraph"/>
              <w:rPr>
                <w:sz w:val="18"/>
              </w:rPr>
            </w:pPr>
            <w:r>
              <w:rPr>
                <w:sz w:val="18"/>
              </w:rPr>
              <w:t>100.0</w:t>
            </w:r>
          </w:p>
        </w:tc>
        <w:tc>
          <w:tcPr>
            <w:tcW w:w="1260" w:type="dxa"/>
          </w:tcPr>
          <w:p>
            <w:pPr>
              <w:pStyle w:val="TableParagraph"/>
              <w:rPr>
                <w:sz w:val="18"/>
              </w:rPr>
            </w:pPr>
            <w:r>
              <w:rPr>
                <w:sz w:val="18"/>
              </w:rPr>
              <w:t>20</w:t>
            </w:r>
          </w:p>
        </w:tc>
        <w:tc>
          <w:tcPr>
            <w:tcW w:w="1260" w:type="dxa"/>
          </w:tcPr>
          <w:p>
            <w:pPr>
              <w:pStyle w:val="TableParagraph"/>
              <w:rPr>
                <w:sz w:val="18"/>
              </w:rPr>
            </w:pPr>
            <w:r>
              <w:rPr>
                <w:sz w:val="18"/>
              </w:rPr>
              <w:t>16</w:t>
            </w:r>
          </w:p>
        </w:tc>
      </w:tr>
      <w:tr>
        <w:trPr>
          <w:trHeight w:val="218" w:hRule="exact"/>
        </w:trPr>
        <w:tc>
          <w:tcPr>
            <w:tcW w:w="1255" w:type="dxa"/>
          </w:tcPr>
          <w:p>
            <w:pPr>
              <w:pStyle w:val="TableParagraph"/>
              <w:rPr>
                <w:sz w:val="18"/>
              </w:rPr>
            </w:pPr>
            <w:r>
              <w:rPr>
                <w:sz w:val="18"/>
              </w:rPr>
              <w:t>1000</w:t>
            </w:r>
          </w:p>
        </w:tc>
        <w:tc>
          <w:tcPr>
            <w:tcW w:w="1352" w:type="dxa"/>
          </w:tcPr>
          <w:p>
            <w:pPr>
              <w:pStyle w:val="TableParagraph"/>
              <w:rPr>
                <w:sz w:val="18"/>
              </w:rPr>
            </w:pPr>
            <w:r>
              <w:rPr>
                <w:sz w:val="18"/>
              </w:rPr>
              <w:t>1000</w:t>
            </w:r>
          </w:p>
        </w:tc>
        <w:tc>
          <w:tcPr>
            <w:tcW w:w="1260" w:type="dxa"/>
          </w:tcPr>
          <w:p>
            <w:pPr>
              <w:pStyle w:val="TableParagraph"/>
              <w:rPr>
                <w:sz w:val="18"/>
              </w:rPr>
            </w:pPr>
            <w:r>
              <w:rPr>
                <w:w w:val="99"/>
                <w:sz w:val="18"/>
              </w:rPr>
              <w:t>0</w:t>
            </w:r>
          </w:p>
        </w:tc>
        <w:tc>
          <w:tcPr>
            <w:tcW w:w="1260" w:type="dxa"/>
          </w:tcPr>
          <w:p>
            <w:pPr>
              <w:pStyle w:val="TableParagraph"/>
              <w:rPr>
                <w:sz w:val="18"/>
              </w:rPr>
            </w:pPr>
            <w:r>
              <w:rPr>
                <w:sz w:val="18"/>
              </w:rPr>
              <w:t>106</w:t>
            </w:r>
          </w:p>
        </w:tc>
        <w:tc>
          <w:tcPr>
            <w:tcW w:w="1261" w:type="dxa"/>
          </w:tcPr>
          <w:p>
            <w:pPr>
              <w:pStyle w:val="TableParagraph"/>
              <w:rPr>
                <w:sz w:val="18"/>
              </w:rPr>
            </w:pPr>
            <w:r>
              <w:rPr>
                <w:sz w:val="18"/>
              </w:rPr>
              <w:t>100.0</w:t>
            </w:r>
          </w:p>
        </w:tc>
        <w:tc>
          <w:tcPr>
            <w:tcW w:w="1260" w:type="dxa"/>
          </w:tcPr>
          <w:p>
            <w:pPr>
              <w:pStyle w:val="TableParagraph"/>
              <w:rPr>
                <w:sz w:val="18"/>
              </w:rPr>
            </w:pPr>
            <w:r>
              <w:rPr>
                <w:sz w:val="18"/>
              </w:rPr>
              <w:t>19</w:t>
            </w:r>
          </w:p>
        </w:tc>
        <w:tc>
          <w:tcPr>
            <w:tcW w:w="1260" w:type="dxa"/>
          </w:tcPr>
          <w:p>
            <w:pPr>
              <w:pStyle w:val="TableParagraph"/>
              <w:rPr>
                <w:sz w:val="18"/>
              </w:rPr>
            </w:pPr>
            <w:r>
              <w:rPr>
                <w:sz w:val="18"/>
              </w:rPr>
              <w:t>16</w:t>
            </w:r>
          </w:p>
        </w:tc>
      </w:tr>
      <w:tr>
        <w:trPr>
          <w:trHeight w:val="216" w:hRule="exact"/>
        </w:trPr>
        <w:tc>
          <w:tcPr>
            <w:tcW w:w="1255" w:type="dxa"/>
          </w:tcPr>
          <w:p>
            <w:pPr>
              <w:pStyle w:val="TableParagraph"/>
              <w:rPr>
                <w:sz w:val="18"/>
              </w:rPr>
            </w:pPr>
            <w:r>
              <w:rPr>
                <w:sz w:val="18"/>
              </w:rPr>
              <w:t>1000</w:t>
            </w:r>
          </w:p>
        </w:tc>
        <w:tc>
          <w:tcPr>
            <w:tcW w:w="1352" w:type="dxa"/>
          </w:tcPr>
          <w:p>
            <w:pPr>
              <w:pStyle w:val="TableParagraph"/>
              <w:rPr>
                <w:sz w:val="18"/>
              </w:rPr>
            </w:pPr>
            <w:r>
              <w:rPr>
                <w:sz w:val="18"/>
              </w:rPr>
              <w:t>1000</w:t>
            </w:r>
          </w:p>
        </w:tc>
        <w:tc>
          <w:tcPr>
            <w:tcW w:w="1260" w:type="dxa"/>
          </w:tcPr>
          <w:p>
            <w:pPr>
              <w:pStyle w:val="TableParagraph"/>
              <w:rPr>
                <w:sz w:val="18"/>
              </w:rPr>
            </w:pPr>
            <w:r>
              <w:rPr>
                <w:w w:val="99"/>
                <w:sz w:val="18"/>
              </w:rPr>
              <w:t>0</w:t>
            </w:r>
          </w:p>
        </w:tc>
        <w:tc>
          <w:tcPr>
            <w:tcW w:w="1260" w:type="dxa"/>
          </w:tcPr>
          <w:p>
            <w:pPr>
              <w:pStyle w:val="TableParagraph"/>
              <w:rPr>
                <w:sz w:val="18"/>
              </w:rPr>
            </w:pPr>
            <w:r>
              <w:rPr>
                <w:sz w:val="18"/>
              </w:rPr>
              <w:t>106</w:t>
            </w:r>
          </w:p>
        </w:tc>
        <w:tc>
          <w:tcPr>
            <w:tcW w:w="1261" w:type="dxa"/>
          </w:tcPr>
          <w:p>
            <w:pPr>
              <w:pStyle w:val="TableParagraph"/>
              <w:rPr>
                <w:sz w:val="18"/>
              </w:rPr>
            </w:pPr>
            <w:r>
              <w:rPr>
                <w:sz w:val="18"/>
              </w:rPr>
              <w:t>100.0</w:t>
            </w:r>
          </w:p>
        </w:tc>
        <w:tc>
          <w:tcPr>
            <w:tcW w:w="1260" w:type="dxa"/>
          </w:tcPr>
          <w:p>
            <w:pPr>
              <w:pStyle w:val="TableParagraph"/>
              <w:rPr>
                <w:sz w:val="18"/>
              </w:rPr>
            </w:pPr>
            <w:r>
              <w:rPr>
                <w:sz w:val="18"/>
              </w:rPr>
              <w:t>19</w:t>
            </w:r>
          </w:p>
        </w:tc>
        <w:tc>
          <w:tcPr>
            <w:tcW w:w="1260" w:type="dxa"/>
          </w:tcPr>
          <w:p>
            <w:pPr>
              <w:pStyle w:val="TableParagraph"/>
              <w:rPr>
                <w:sz w:val="18"/>
              </w:rPr>
            </w:pPr>
            <w:r>
              <w:rPr>
                <w:sz w:val="18"/>
              </w:rPr>
              <w:t>16</w:t>
            </w:r>
          </w:p>
        </w:tc>
      </w:tr>
      <w:tr>
        <w:trPr>
          <w:trHeight w:val="218" w:hRule="exact"/>
        </w:trPr>
        <w:tc>
          <w:tcPr>
            <w:tcW w:w="1255" w:type="dxa"/>
          </w:tcPr>
          <w:p>
            <w:pPr>
              <w:pStyle w:val="TableParagraph"/>
              <w:rPr>
                <w:sz w:val="18"/>
              </w:rPr>
            </w:pPr>
            <w:r>
              <w:rPr>
                <w:sz w:val="18"/>
              </w:rPr>
              <w:t>1000</w:t>
            </w:r>
          </w:p>
        </w:tc>
        <w:tc>
          <w:tcPr>
            <w:tcW w:w="1352" w:type="dxa"/>
          </w:tcPr>
          <w:p>
            <w:pPr>
              <w:pStyle w:val="TableParagraph"/>
              <w:rPr>
                <w:sz w:val="18"/>
              </w:rPr>
            </w:pPr>
            <w:r>
              <w:rPr>
                <w:sz w:val="18"/>
              </w:rPr>
              <w:t>1000</w:t>
            </w:r>
          </w:p>
        </w:tc>
        <w:tc>
          <w:tcPr>
            <w:tcW w:w="1260" w:type="dxa"/>
          </w:tcPr>
          <w:p>
            <w:pPr>
              <w:pStyle w:val="TableParagraph"/>
              <w:rPr>
                <w:sz w:val="18"/>
              </w:rPr>
            </w:pPr>
            <w:r>
              <w:rPr>
                <w:w w:val="99"/>
                <w:sz w:val="18"/>
              </w:rPr>
              <w:t>0</w:t>
            </w:r>
          </w:p>
        </w:tc>
        <w:tc>
          <w:tcPr>
            <w:tcW w:w="1260" w:type="dxa"/>
          </w:tcPr>
          <w:p>
            <w:pPr>
              <w:pStyle w:val="TableParagraph"/>
              <w:rPr>
                <w:sz w:val="18"/>
              </w:rPr>
            </w:pPr>
            <w:r>
              <w:rPr>
                <w:sz w:val="18"/>
              </w:rPr>
              <w:t>109</w:t>
            </w:r>
          </w:p>
        </w:tc>
        <w:tc>
          <w:tcPr>
            <w:tcW w:w="1261" w:type="dxa"/>
          </w:tcPr>
          <w:p>
            <w:pPr>
              <w:pStyle w:val="TableParagraph"/>
              <w:rPr>
                <w:sz w:val="18"/>
              </w:rPr>
            </w:pPr>
            <w:r>
              <w:rPr>
                <w:sz w:val="18"/>
              </w:rPr>
              <w:t>100.0</w:t>
            </w:r>
          </w:p>
        </w:tc>
        <w:tc>
          <w:tcPr>
            <w:tcW w:w="1260" w:type="dxa"/>
          </w:tcPr>
          <w:p>
            <w:pPr>
              <w:pStyle w:val="TableParagraph"/>
              <w:rPr>
                <w:sz w:val="18"/>
              </w:rPr>
            </w:pPr>
            <w:r>
              <w:rPr>
                <w:sz w:val="18"/>
              </w:rPr>
              <w:t>19</w:t>
            </w:r>
          </w:p>
        </w:tc>
        <w:tc>
          <w:tcPr>
            <w:tcW w:w="1260" w:type="dxa"/>
          </w:tcPr>
          <w:p>
            <w:pPr>
              <w:pStyle w:val="TableParagraph"/>
              <w:rPr>
                <w:sz w:val="18"/>
              </w:rPr>
            </w:pPr>
            <w:r>
              <w:rPr>
                <w:sz w:val="18"/>
              </w:rPr>
              <w:t>16</w:t>
            </w:r>
          </w:p>
        </w:tc>
      </w:tr>
    </w:tbl>
    <w:p>
      <w:pPr>
        <w:pStyle w:val="ListParagraph"/>
        <w:numPr>
          <w:ilvl w:val="3"/>
          <w:numId w:val="21"/>
        </w:numPr>
        <w:tabs>
          <w:tab w:pos="2552" w:val="left" w:leader="none"/>
        </w:tabs>
        <w:spacing w:line="240" w:lineRule="auto" w:before="115" w:after="0"/>
        <w:ind w:left="2551" w:right="0" w:hanging="1418"/>
        <w:jc w:val="both"/>
        <w:rPr>
          <w:sz w:val="24"/>
        </w:rPr>
      </w:pPr>
      <w:r>
        <w:rPr>
          <w:sz w:val="24"/>
        </w:rPr>
        <w:t>Evaluation</w:t>
      </w:r>
      <w:r>
        <w:rPr>
          <w:spacing w:val="-6"/>
          <w:sz w:val="24"/>
        </w:rPr>
        <w:t> </w:t>
      </w:r>
      <w:r>
        <w:rPr>
          <w:sz w:val="24"/>
        </w:rPr>
        <w:t>Criteria</w:t>
      </w:r>
    </w:p>
    <w:p>
      <w:pPr>
        <w:pStyle w:val="BodyText"/>
        <w:spacing w:before="181"/>
        <w:ind w:left="1133"/>
        <w:jc w:val="both"/>
      </w:pPr>
      <w:r>
        <w:rPr/>
        <w:t>The evaluation criteria is a successful decode of all the payload lengths on the Rx entity.</w:t>
      </w:r>
    </w:p>
    <w:p>
      <w:pPr>
        <w:pStyle w:val="BodyText"/>
        <w:spacing w:before="9"/>
        <w:rPr>
          <w:sz w:val="25"/>
        </w:rPr>
      </w:pPr>
    </w:p>
    <w:p>
      <w:pPr>
        <w:pStyle w:val="Heading5"/>
        <w:numPr>
          <w:ilvl w:val="3"/>
          <w:numId w:val="21"/>
        </w:numPr>
        <w:tabs>
          <w:tab w:pos="2552" w:val="left" w:leader="none"/>
        </w:tabs>
        <w:spacing w:line="240" w:lineRule="auto" w:before="0" w:after="0"/>
        <w:ind w:left="2551" w:right="0" w:hanging="1418"/>
        <w:jc w:val="both"/>
        <w:rPr>
          <w:rFonts w:ascii="Arial"/>
        </w:rPr>
      </w:pPr>
      <w:r>
        <w:rPr>
          <w:rFonts w:ascii="Arial"/>
        </w:rPr>
        <w:t>Key</w:t>
      </w:r>
      <w:r>
        <w:rPr>
          <w:rFonts w:ascii="Arial"/>
          <w:spacing w:val="-8"/>
        </w:rPr>
        <w:t> </w:t>
      </w:r>
      <w:r>
        <w:rPr>
          <w:rFonts w:ascii="Arial"/>
        </w:rPr>
        <w:t>Takeaway</w:t>
      </w:r>
    </w:p>
    <w:p>
      <w:pPr>
        <w:pStyle w:val="BodyText"/>
        <w:spacing w:before="182"/>
        <w:ind w:left="1133" w:right="1128"/>
        <w:jc w:val="both"/>
      </w:pPr>
      <w:r>
        <w:rPr/>
        <w:t>Test results show that in excellent radio conditions (-50 dBm Receive power with no added noise), both V2X technologies can reliably carry BSM payload sizes. In unloaded conditions, C-V2X latency is generally within 1 to 4 ms of DSRC latency, which from the entire vehicle system perspective, is a negligible difference. IPG numbers for C•V2X in loaded conditions, C-V2X might provide lower latency than DSRC.</w:t>
      </w:r>
    </w:p>
    <w:p>
      <w:pPr>
        <w:pStyle w:val="BodyText"/>
        <w:rPr>
          <w:sz w:val="26"/>
        </w:rPr>
      </w:pPr>
    </w:p>
    <w:p>
      <w:pPr>
        <w:pStyle w:val="Heading3"/>
        <w:numPr>
          <w:ilvl w:val="2"/>
          <w:numId w:val="23"/>
        </w:numPr>
        <w:tabs>
          <w:tab w:pos="2265" w:val="left" w:leader="none"/>
          <w:tab w:pos="2267" w:val="left" w:leader="none"/>
        </w:tabs>
        <w:spacing w:line="240" w:lineRule="auto" w:before="1" w:after="0"/>
        <w:ind w:left="2266" w:right="1132" w:hanging="1133"/>
        <w:jc w:val="left"/>
      </w:pPr>
      <w:bookmarkStart w:name="_bookmark135" w:id="201"/>
      <w:bookmarkEnd w:id="201"/>
      <w:r>
        <w:rPr/>
      </w:r>
      <w:bookmarkStart w:name="_bookmark135" w:id="202"/>
      <w:bookmarkEnd w:id="202"/>
      <w:r>
        <w:rPr/>
        <w:t>C</w:t>
      </w:r>
      <w:r>
        <w:rPr/>
        <w:t>lean channel cabled transmission and reception test across power levels</w:t>
      </w:r>
    </w:p>
    <w:p>
      <w:pPr>
        <w:pStyle w:val="BodyText"/>
        <w:spacing w:before="11"/>
        <w:rPr>
          <w:sz w:val="25"/>
        </w:rPr>
      </w:pPr>
    </w:p>
    <w:p>
      <w:pPr>
        <w:pStyle w:val="Heading5"/>
        <w:numPr>
          <w:ilvl w:val="3"/>
          <w:numId w:val="23"/>
        </w:numPr>
        <w:tabs>
          <w:tab w:pos="2552" w:val="left" w:leader="none"/>
        </w:tabs>
        <w:spacing w:line="240" w:lineRule="auto" w:before="0" w:after="0"/>
        <w:ind w:left="2551" w:right="0" w:hanging="1418"/>
        <w:jc w:val="both"/>
        <w:rPr>
          <w:rFonts w:ascii="Arial"/>
        </w:rPr>
      </w:pPr>
      <w:r>
        <w:rPr>
          <w:rFonts w:ascii="Arial"/>
        </w:rPr>
        <w:t>Background</w:t>
      </w:r>
    </w:p>
    <w:p>
      <w:pPr>
        <w:pStyle w:val="BodyText"/>
        <w:spacing w:before="181"/>
        <w:ind w:left="1133" w:right="1133"/>
        <w:jc w:val="both"/>
      </w:pPr>
      <w:r>
        <w:rPr/>
        <w:t>This test verifies that C-V2X devices can transmit and receive C-V2X messages over a PC5 Interface at different received power levels and assess end-to-end statistics. This test determines the receiver sensitivity of a device (at a 10% PER level).</w:t>
      </w:r>
    </w:p>
    <w:p>
      <w:pPr>
        <w:spacing w:after="0"/>
        <w:jc w:val="both"/>
        <w:sectPr>
          <w:headerReference w:type="default" r:id="rId189"/>
          <w:pgSz w:w="11910" w:h="16850"/>
          <w:pgMar w:header="852" w:footer="979" w:top="1040" w:bottom="1160" w:left="0" w:right="0"/>
        </w:sectPr>
      </w:pPr>
    </w:p>
    <w:p>
      <w:pPr>
        <w:pStyle w:val="BodyText"/>
        <w:spacing w:before="1"/>
        <w:rPr>
          <w:sz w:val="23"/>
        </w:rPr>
      </w:pPr>
    </w:p>
    <w:p>
      <w:pPr>
        <w:pStyle w:val="Heading5"/>
        <w:numPr>
          <w:ilvl w:val="3"/>
          <w:numId w:val="23"/>
        </w:numPr>
        <w:tabs>
          <w:tab w:pos="2552" w:val="left" w:leader="none"/>
        </w:tabs>
        <w:spacing w:line="240" w:lineRule="auto" w:before="93" w:after="0"/>
        <w:ind w:left="2551" w:right="0" w:hanging="1418"/>
        <w:jc w:val="both"/>
        <w:rPr>
          <w:rFonts w:ascii="Arial"/>
        </w:rPr>
      </w:pPr>
      <w:r>
        <w:rPr>
          <w:rFonts w:ascii="Arial"/>
        </w:rPr>
        <w:t>Assumptions</w:t>
      </w:r>
    </w:p>
    <w:p>
      <w:pPr>
        <w:pStyle w:val="BodyText"/>
        <w:spacing w:before="182"/>
        <w:ind w:left="1133" w:right="1136"/>
      </w:pPr>
      <w:r>
        <w:rPr/>
        <w:t>The operating system (OS) time of the transmitter and receiver boxes is synchronized to the common clock (e.g., GPS) with an error of no more than 1 ms.</w:t>
      </w:r>
    </w:p>
    <w:p>
      <w:pPr>
        <w:pStyle w:val="BodyText"/>
        <w:spacing w:before="11"/>
        <w:rPr>
          <w:sz w:val="25"/>
        </w:rPr>
      </w:pPr>
    </w:p>
    <w:p>
      <w:pPr>
        <w:pStyle w:val="Heading5"/>
        <w:numPr>
          <w:ilvl w:val="3"/>
          <w:numId w:val="23"/>
        </w:numPr>
        <w:tabs>
          <w:tab w:pos="2552" w:val="left" w:leader="none"/>
        </w:tabs>
        <w:spacing w:line="240" w:lineRule="auto" w:before="0" w:after="0"/>
        <w:ind w:left="2551" w:right="0" w:hanging="1418"/>
        <w:jc w:val="both"/>
        <w:rPr>
          <w:rFonts w:ascii="Arial"/>
        </w:rPr>
      </w:pPr>
      <w:r>
        <w:rPr>
          <w:rFonts w:ascii="Arial"/>
        </w:rPr>
        <w:t>Setup</w:t>
      </w:r>
    </w:p>
    <w:p>
      <w:pPr>
        <w:pStyle w:val="BodyText"/>
        <w:spacing w:before="181"/>
        <w:ind w:left="1133" w:right="1127"/>
        <w:jc w:val="both"/>
      </w:pPr>
      <w:r>
        <w:rPr/>
        <w:t>This test used a lab-cabled setup as Figure 14 shows. A C-V2X (receiver) is configured to receive data from C-V2X on the ITS band (Channel 172) with a Bandwidth of 10 MHz. Each C-V2X OBE was placed in an RF- shielded box to account for possible RF leakage.</w:t>
      </w:r>
    </w:p>
    <w:p>
      <w:pPr>
        <w:pStyle w:val="BodyText"/>
        <w:spacing w:before="8"/>
        <w:rPr>
          <w:sz w:val="17"/>
        </w:rPr>
      </w:pPr>
      <w:r>
        <w:rPr/>
        <w:drawing>
          <wp:anchor distT="0" distB="0" distL="0" distR="0" allowOverlap="1" layoutInCell="1" locked="0" behindDoc="0" simplePos="0" relativeHeight="3280">
            <wp:simplePos x="0" y="0"/>
            <wp:positionH relativeFrom="page">
              <wp:posOffset>719455</wp:posOffset>
            </wp:positionH>
            <wp:positionV relativeFrom="paragraph">
              <wp:posOffset>154187</wp:posOffset>
            </wp:positionV>
            <wp:extent cx="4908928" cy="2608326"/>
            <wp:effectExtent l="0" t="0" r="0" b="0"/>
            <wp:wrapTopAndBottom/>
            <wp:docPr id="51" name="image51.png" descr=""/>
            <wp:cNvGraphicFramePr>
              <a:graphicFrameLocks noChangeAspect="1"/>
            </wp:cNvGraphicFramePr>
            <a:graphic>
              <a:graphicData uri="http://schemas.openxmlformats.org/drawingml/2006/picture">
                <pic:pic>
                  <pic:nvPicPr>
                    <pic:cNvPr id="52" name="image51.png"/>
                    <pic:cNvPicPr/>
                  </pic:nvPicPr>
                  <pic:blipFill>
                    <a:blip r:embed="rId187" cstate="print"/>
                    <a:stretch>
                      <a:fillRect/>
                    </a:stretch>
                  </pic:blipFill>
                  <pic:spPr>
                    <a:xfrm>
                      <a:off x="0" y="0"/>
                      <a:ext cx="4908928" cy="2608326"/>
                    </a:xfrm>
                    <a:prstGeom prst="rect">
                      <a:avLst/>
                    </a:prstGeom>
                  </pic:spPr>
                </pic:pic>
              </a:graphicData>
            </a:graphic>
          </wp:anchor>
        </w:drawing>
      </w:r>
    </w:p>
    <w:p>
      <w:pPr>
        <w:pStyle w:val="Heading7"/>
        <w:spacing w:before="194"/>
        <w:jc w:val="both"/>
      </w:pPr>
      <w:r>
        <w:rPr/>
        <w:t>Figure 14: Test Setup – Clean channel cabled transmission and reception test across power levels</w:t>
      </w:r>
    </w:p>
    <w:p>
      <w:pPr>
        <w:pStyle w:val="ListParagraph"/>
        <w:numPr>
          <w:ilvl w:val="4"/>
          <w:numId w:val="23"/>
        </w:numPr>
        <w:tabs>
          <w:tab w:pos="285" w:val="left" w:leader="none"/>
          <w:tab w:pos="1702" w:val="left" w:leader="none"/>
        </w:tabs>
        <w:spacing w:line="240" w:lineRule="auto" w:before="183" w:after="0"/>
        <w:ind w:left="1701" w:right="4344" w:hanging="285"/>
        <w:jc w:val="left"/>
        <w:rPr>
          <w:sz w:val="20"/>
        </w:rPr>
      </w:pPr>
      <w:r>
        <w:rPr>
          <w:sz w:val="20"/>
        </w:rPr>
        <w:t>Settings on the C-V2X Device 1 [ Transmit</w:t>
      </w:r>
      <w:r>
        <w:rPr>
          <w:spacing w:val="-16"/>
          <w:sz w:val="20"/>
        </w:rPr>
        <w:t> </w:t>
      </w:r>
      <w:r>
        <w:rPr>
          <w:sz w:val="20"/>
        </w:rPr>
        <w:t>Radio]:</w:t>
      </w:r>
    </w:p>
    <w:p>
      <w:pPr>
        <w:pStyle w:val="ListParagraph"/>
        <w:numPr>
          <w:ilvl w:val="5"/>
          <w:numId w:val="23"/>
        </w:numPr>
        <w:tabs>
          <w:tab w:pos="1985" w:val="left" w:leader="none"/>
          <w:tab w:pos="1986" w:val="left" w:leader="none"/>
        </w:tabs>
        <w:spacing w:line="240" w:lineRule="auto" w:before="180" w:after="0"/>
        <w:ind w:left="1985" w:right="1132" w:hanging="286"/>
        <w:jc w:val="left"/>
        <w:rPr>
          <w:sz w:val="20"/>
        </w:rPr>
      </w:pPr>
      <w:r>
        <w:rPr>
          <w:sz w:val="20"/>
        </w:rPr>
        <w:t>Application layer configured to generate messages and deliver to the lower layers with 100 ms periodicity.</w:t>
      </w:r>
    </w:p>
    <w:p>
      <w:pPr>
        <w:pStyle w:val="ListParagraph"/>
        <w:numPr>
          <w:ilvl w:val="5"/>
          <w:numId w:val="23"/>
        </w:numPr>
        <w:tabs>
          <w:tab w:pos="1985" w:val="left" w:leader="none"/>
          <w:tab w:pos="1986" w:val="left" w:leader="none"/>
        </w:tabs>
        <w:spacing w:line="240" w:lineRule="auto" w:before="180" w:after="0"/>
        <w:ind w:left="1985" w:right="0" w:hanging="286"/>
        <w:jc w:val="left"/>
        <w:rPr>
          <w:sz w:val="20"/>
        </w:rPr>
      </w:pPr>
      <w:r>
        <w:rPr>
          <w:sz w:val="20"/>
        </w:rPr>
        <w:t>Packet length is constant and is set to 193</w:t>
      </w:r>
      <w:r>
        <w:rPr>
          <w:spacing w:val="-17"/>
          <w:sz w:val="20"/>
        </w:rPr>
        <w:t> </w:t>
      </w:r>
      <w:r>
        <w:rPr>
          <w:sz w:val="20"/>
        </w:rPr>
        <w:t>Bytes.</w:t>
      </w:r>
    </w:p>
    <w:p>
      <w:pPr>
        <w:pStyle w:val="ListParagraph"/>
        <w:numPr>
          <w:ilvl w:val="5"/>
          <w:numId w:val="23"/>
        </w:numPr>
        <w:tabs>
          <w:tab w:pos="1985" w:val="left" w:leader="none"/>
          <w:tab w:pos="1986" w:val="left" w:leader="none"/>
        </w:tabs>
        <w:spacing w:line="240" w:lineRule="auto" w:before="180" w:after="0"/>
        <w:ind w:left="1985" w:right="0" w:hanging="286"/>
        <w:jc w:val="left"/>
        <w:rPr>
          <w:sz w:val="20"/>
        </w:rPr>
      </w:pPr>
      <w:r>
        <w:rPr>
          <w:sz w:val="20"/>
        </w:rPr>
        <w:t>Transmit on ITS band with bandwidth of 10</w:t>
      </w:r>
      <w:r>
        <w:rPr>
          <w:spacing w:val="-13"/>
          <w:sz w:val="20"/>
        </w:rPr>
        <w:t> </w:t>
      </w:r>
      <w:r>
        <w:rPr>
          <w:sz w:val="20"/>
        </w:rPr>
        <w:t>MHz.</w:t>
      </w:r>
    </w:p>
    <w:p>
      <w:pPr>
        <w:pStyle w:val="ListParagraph"/>
        <w:numPr>
          <w:ilvl w:val="5"/>
          <w:numId w:val="23"/>
        </w:numPr>
        <w:tabs>
          <w:tab w:pos="1985" w:val="left" w:leader="none"/>
          <w:tab w:pos="1986" w:val="left" w:leader="none"/>
        </w:tabs>
        <w:spacing w:line="240" w:lineRule="auto" w:before="180" w:after="0"/>
        <w:ind w:left="1985" w:right="0" w:hanging="286"/>
        <w:jc w:val="left"/>
        <w:rPr>
          <w:sz w:val="20"/>
        </w:rPr>
      </w:pPr>
      <w:r>
        <w:rPr>
          <w:sz w:val="20"/>
        </w:rPr>
        <w:t>Appropriate transmit power and fixed attenuation added to ensure DUT input of -49</w:t>
      </w:r>
      <w:r>
        <w:rPr>
          <w:spacing w:val="-15"/>
          <w:sz w:val="20"/>
        </w:rPr>
        <w:t> </w:t>
      </w:r>
      <w:r>
        <w:rPr>
          <w:sz w:val="20"/>
        </w:rPr>
        <w:t>dBm.</w:t>
      </w:r>
    </w:p>
    <w:p>
      <w:pPr>
        <w:pStyle w:val="ListParagraph"/>
        <w:numPr>
          <w:ilvl w:val="4"/>
          <w:numId w:val="23"/>
        </w:numPr>
        <w:tabs>
          <w:tab w:pos="285" w:val="left" w:leader="none"/>
          <w:tab w:pos="1702" w:val="left" w:leader="none"/>
        </w:tabs>
        <w:spacing w:line="240" w:lineRule="auto" w:before="180" w:after="0"/>
        <w:ind w:left="1701" w:right="4454" w:hanging="285"/>
        <w:jc w:val="left"/>
        <w:rPr>
          <w:sz w:val="20"/>
        </w:rPr>
      </w:pPr>
      <w:r>
        <w:rPr>
          <w:sz w:val="20"/>
        </w:rPr>
        <w:t>Settings on the C-V2X Device 2 [ Receive</w:t>
      </w:r>
      <w:r>
        <w:rPr>
          <w:spacing w:val="-18"/>
          <w:sz w:val="20"/>
        </w:rPr>
        <w:t> </w:t>
      </w:r>
      <w:r>
        <w:rPr>
          <w:sz w:val="20"/>
        </w:rPr>
        <w:t>Radio]</w:t>
      </w:r>
    </w:p>
    <w:p>
      <w:pPr>
        <w:pStyle w:val="ListParagraph"/>
        <w:numPr>
          <w:ilvl w:val="5"/>
          <w:numId w:val="23"/>
        </w:numPr>
        <w:tabs>
          <w:tab w:pos="1985" w:val="left" w:leader="none"/>
          <w:tab w:pos="1986" w:val="left" w:leader="none"/>
        </w:tabs>
        <w:spacing w:line="240" w:lineRule="auto" w:before="180" w:after="0"/>
        <w:ind w:left="1985" w:right="0" w:hanging="286"/>
        <w:jc w:val="left"/>
        <w:rPr>
          <w:sz w:val="20"/>
        </w:rPr>
      </w:pPr>
      <w:r>
        <w:rPr>
          <w:sz w:val="20"/>
        </w:rPr>
        <w:t>Configured to receive on ITS Band (e.g., center frequency 5.860 MHz) and bandwidth of 10</w:t>
      </w:r>
      <w:r>
        <w:rPr>
          <w:spacing w:val="-32"/>
          <w:sz w:val="20"/>
        </w:rPr>
        <w:t> </w:t>
      </w:r>
      <w:r>
        <w:rPr>
          <w:sz w:val="20"/>
        </w:rPr>
        <w:t>MHz.</w:t>
      </w:r>
    </w:p>
    <w:p>
      <w:pPr>
        <w:pStyle w:val="ListParagraph"/>
        <w:numPr>
          <w:ilvl w:val="5"/>
          <w:numId w:val="23"/>
        </w:numPr>
        <w:tabs>
          <w:tab w:pos="1985" w:val="left" w:leader="none"/>
          <w:tab w:pos="1986" w:val="left" w:leader="none"/>
        </w:tabs>
        <w:spacing w:line="240" w:lineRule="auto" w:before="178" w:after="0"/>
        <w:ind w:left="1985" w:right="0" w:hanging="286"/>
        <w:jc w:val="left"/>
        <w:rPr>
          <w:sz w:val="20"/>
        </w:rPr>
      </w:pPr>
      <w:r>
        <w:rPr>
          <w:sz w:val="20"/>
        </w:rPr>
        <w:t>Receive radio in C-V2X configured to always be in Rx</w:t>
      </w:r>
      <w:r>
        <w:rPr>
          <w:spacing w:val="-17"/>
          <w:sz w:val="20"/>
        </w:rPr>
        <w:t> </w:t>
      </w:r>
      <w:r>
        <w:rPr>
          <w:sz w:val="20"/>
        </w:rPr>
        <w:t>mode.</w:t>
      </w:r>
    </w:p>
    <w:p>
      <w:pPr>
        <w:pStyle w:val="BodyText"/>
        <w:rPr>
          <w:sz w:val="22"/>
        </w:rPr>
      </w:pPr>
    </w:p>
    <w:p>
      <w:pPr>
        <w:pStyle w:val="BodyText"/>
        <w:rPr>
          <w:sz w:val="22"/>
        </w:rPr>
      </w:pPr>
    </w:p>
    <w:p>
      <w:pPr>
        <w:pStyle w:val="BodyText"/>
        <w:rPr>
          <w:sz w:val="22"/>
        </w:rPr>
      </w:pPr>
    </w:p>
    <w:p>
      <w:pPr>
        <w:pStyle w:val="BodyText"/>
        <w:rPr>
          <w:sz w:val="21"/>
        </w:rPr>
      </w:pPr>
    </w:p>
    <w:p>
      <w:pPr>
        <w:pStyle w:val="ListParagraph"/>
        <w:numPr>
          <w:ilvl w:val="4"/>
          <w:numId w:val="23"/>
        </w:numPr>
        <w:tabs>
          <w:tab w:pos="1701" w:val="left" w:leader="none"/>
          <w:tab w:pos="1702" w:val="left" w:leader="none"/>
        </w:tabs>
        <w:spacing w:line="240" w:lineRule="auto" w:before="0" w:after="0"/>
        <w:ind w:left="1701" w:right="0" w:hanging="285"/>
        <w:jc w:val="left"/>
        <w:rPr>
          <w:sz w:val="20"/>
        </w:rPr>
      </w:pPr>
      <w:r>
        <w:rPr>
          <w:sz w:val="20"/>
        </w:rPr>
        <w:t>Data Collection at</w:t>
      </w:r>
      <w:r>
        <w:rPr>
          <w:spacing w:val="-5"/>
          <w:sz w:val="20"/>
        </w:rPr>
        <w:t> </w:t>
      </w:r>
      <w:r>
        <w:rPr>
          <w:spacing w:val="3"/>
          <w:sz w:val="20"/>
        </w:rPr>
        <w:t>Tx</w:t>
      </w:r>
    </w:p>
    <w:p>
      <w:pPr>
        <w:pStyle w:val="ListParagraph"/>
        <w:numPr>
          <w:ilvl w:val="5"/>
          <w:numId w:val="23"/>
        </w:numPr>
        <w:tabs>
          <w:tab w:pos="1985" w:val="left" w:leader="none"/>
          <w:tab w:pos="1986" w:val="left" w:leader="none"/>
        </w:tabs>
        <w:spacing w:line="240" w:lineRule="auto" w:before="180" w:after="0"/>
        <w:ind w:left="1985" w:right="0" w:hanging="286"/>
        <w:jc w:val="left"/>
        <w:rPr>
          <w:sz w:val="20"/>
        </w:rPr>
      </w:pPr>
      <w:r>
        <w:rPr>
          <w:sz w:val="20"/>
        </w:rPr>
        <w:t>OS timestamp for each transmitted</w:t>
      </w:r>
      <w:r>
        <w:rPr>
          <w:spacing w:val="-11"/>
          <w:sz w:val="20"/>
        </w:rPr>
        <w:t> </w:t>
      </w:r>
      <w:r>
        <w:rPr>
          <w:sz w:val="20"/>
        </w:rPr>
        <w:t>packet.</w:t>
      </w:r>
    </w:p>
    <w:p>
      <w:pPr>
        <w:pStyle w:val="ListParagraph"/>
        <w:numPr>
          <w:ilvl w:val="5"/>
          <w:numId w:val="23"/>
        </w:numPr>
        <w:tabs>
          <w:tab w:pos="1985" w:val="left" w:leader="none"/>
          <w:tab w:pos="1986" w:val="left" w:leader="none"/>
        </w:tabs>
        <w:spacing w:line="240" w:lineRule="auto" w:before="178" w:after="0"/>
        <w:ind w:left="1985" w:right="0" w:hanging="286"/>
        <w:jc w:val="left"/>
        <w:rPr>
          <w:sz w:val="20"/>
        </w:rPr>
      </w:pPr>
      <w:r>
        <w:rPr>
          <w:sz w:val="20"/>
        </w:rPr>
        <w:t>Sequence number of the transmitted</w:t>
      </w:r>
      <w:r>
        <w:rPr>
          <w:spacing w:val="-10"/>
          <w:sz w:val="20"/>
        </w:rPr>
        <w:t> </w:t>
      </w:r>
      <w:r>
        <w:rPr>
          <w:sz w:val="20"/>
        </w:rPr>
        <w:t>packet.</w:t>
      </w:r>
    </w:p>
    <w:p>
      <w:pPr>
        <w:pStyle w:val="ListParagraph"/>
        <w:numPr>
          <w:ilvl w:val="4"/>
          <w:numId w:val="23"/>
        </w:numPr>
        <w:tabs>
          <w:tab w:pos="1701" w:val="left" w:leader="none"/>
          <w:tab w:pos="1702" w:val="left" w:leader="none"/>
        </w:tabs>
        <w:spacing w:line="240" w:lineRule="auto" w:before="180" w:after="0"/>
        <w:ind w:left="1701" w:right="0" w:hanging="285"/>
        <w:jc w:val="left"/>
        <w:rPr>
          <w:sz w:val="20"/>
        </w:rPr>
      </w:pPr>
      <w:r>
        <w:rPr>
          <w:sz w:val="20"/>
        </w:rPr>
        <w:t>Data Collection at</w:t>
      </w:r>
      <w:r>
        <w:rPr>
          <w:spacing w:val="-5"/>
          <w:sz w:val="20"/>
        </w:rPr>
        <w:t> </w:t>
      </w:r>
      <w:r>
        <w:rPr>
          <w:sz w:val="20"/>
        </w:rPr>
        <w:t>Rx</w:t>
      </w:r>
    </w:p>
    <w:p>
      <w:pPr>
        <w:pStyle w:val="ListParagraph"/>
        <w:numPr>
          <w:ilvl w:val="5"/>
          <w:numId w:val="23"/>
        </w:numPr>
        <w:tabs>
          <w:tab w:pos="1985" w:val="left" w:leader="none"/>
          <w:tab w:pos="1986" w:val="left" w:leader="none"/>
        </w:tabs>
        <w:spacing w:line="240" w:lineRule="auto" w:before="179" w:after="0"/>
        <w:ind w:left="1985" w:right="0" w:hanging="286"/>
        <w:jc w:val="left"/>
        <w:rPr>
          <w:sz w:val="20"/>
        </w:rPr>
      </w:pPr>
      <w:r>
        <w:rPr>
          <w:sz w:val="20"/>
        </w:rPr>
        <w:t>OS timestamp for each received</w:t>
      </w:r>
      <w:r>
        <w:rPr>
          <w:spacing w:val="-11"/>
          <w:sz w:val="20"/>
        </w:rPr>
        <w:t> </w:t>
      </w:r>
      <w:r>
        <w:rPr>
          <w:sz w:val="20"/>
        </w:rPr>
        <w:t>packet.</w:t>
      </w:r>
    </w:p>
    <w:p>
      <w:pPr>
        <w:pStyle w:val="ListParagraph"/>
        <w:numPr>
          <w:ilvl w:val="5"/>
          <w:numId w:val="23"/>
        </w:numPr>
        <w:tabs>
          <w:tab w:pos="1985" w:val="left" w:leader="none"/>
          <w:tab w:pos="1986" w:val="left" w:leader="none"/>
        </w:tabs>
        <w:spacing w:line="240" w:lineRule="auto" w:before="180" w:after="0"/>
        <w:ind w:left="1985" w:right="0" w:hanging="286"/>
        <w:jc w:val="left"/>
        <w:rPr>
          <w:sz w:val="20"/>
        </w:rPr>
      </w:pPr>
      <w:r>
        <w:rPr>
          <w:sz w:val="20"/>
        </w:rPr>
        <w:t>Sequence number of the received</w:t>
      </w:r>
      <w:r>
        <w:rPr>
          <w:spacing w:val="-9"/>
          <w:sz w:val="20"/>
        </w:rPr>
        <w:t> </w:t>
      </w:r>
      <w:r>
        <w:rPr>
          <w:sz w:val="20"/>
        </w:rPr>
        <w:t>packet.</w:t>
      </w:r>
    </w:p>
    <w:p>
      <w:pPr>
        <w:spacing w:after="0" w:line="240" w:lineRule="auto"/>
        <w:jc w:val="left"/>
        <w:rPr>
          <w:sz w:val="20"/>
        </w:rPr>
        <w:sectPr>
          <w:headerReference w:type="default" r:id="rId190"/>
          <w:footerReference w:type="default" r:id="rId191"/>
          <w:pgSz w:w="11910" w:h="16850"/>
          <w:pgMar w:header="852" w:footer="979" w:top="1040" w:bottom="1160" w:left="0" w:right="0"/>
        </w:sectPr>
      </w:pPr>
    </w:p>
    <w:p>
      <w:pPr>
        <w:pStyle w:val="BodyText"/>
        <w:spacing w:before="2"/>
        <w:rPr>
          <w:sz w:val="23"/>
        </w:rPr>
      </w:pPr>
    </w:p>
    <w:p>
      <w:pPr>
        <w:pStyle w:val="ListParagraph"/>
        <w:numPr>
          <w:ilvl w:val="5"/>
          <w:numId w:val="23"/>
        </w:numPr>
        <w:tabs>
          <w:tab w:pos="1985" w:val="left" w:leader="none"/>
          <w:tab w:pos="1986" w:val="left" w:leader="none"/>
        </w:tabs>
        <w:spacing w:line="240" w:lineRule="auto" w:before="93" w:after="0"/>
        <w:ind w:left="1985" w:right="0" w:hanging="286"/>
        <w:jc w:val="left"/>
        <w:rPr>
          <w:sz w:val="20"/>
        </w:rPr>
      </w:pPr>
      <w:r>
        <w:rPr>
          <w:sz w:val="20"/>
        </w:rPr>
        <w:t>Receive signal power for each received</w:t>
      </w:r>
      <w:r>
        <w:rPr>
          <w:spacing w:val="-20"/>
          <w:sz w:val="20"/>
        </w:rPr>
        <w:t> </w:t>
      </w:r>
      <w:r>
        <w:rPr>
          <w:sz w:val="20"/>
        </w:rPr>
        <w:t>packet.</w:t>
      </w:r>
    </w:p>
    <w:p>
      <w:pPr>
        <w:pStyle w:val="ListParagraph"/>
        <w:numPr>
          <w:ilvl w:val="4"/>
          <w:numId w:val="23"/>
        </w:numPr>
        <w:tabs>
          <w:tab w:pos="1701" w:val="left" w:leader="none"/>
          <w:tab w:pos="1702" w:val="left" w:leader="none"/>
        </w:tabs>
        <w:spacing w:line="240" w:lineRule="auto" w:before="180" w:after="0"/>
        <w:ind w:left="1701" w:right="0" w:hanging="285"/>
        <w:jc w:val="left"/>
        <w:rPr>
          <w:sz w:val="20"/>
        </w:rPr>
      </w:pPr>
      <w:r>
        <w:rPr>
          <w:sz w:val="20"/>
        </w:rPr>
        <w:t>For this test Tx power is set at 20 dBm for both C-V2X and</w:t>
      </w:r>
      <w:r>
        <w:rPr>
          <w:spacing w:val="-19"/>
          <w:sz w:val="20"/>
        </w:rPr>
        <w:t> </w:t>
      </w:r>
      <w:r>
        <w:rPr>
          <w:sz w:val="20"/>
        </w:rPr>
        <w:t>DSRC.</w:t>
      </w:r>
    </w:p>
    <w:p>
      <w:pPr>
        <w:pStyle w:val="BodyText"/>
        <w:spacing w:before="7"/>
      </w:pPr>
    </w:p>
    <w:p>
      <w:pPr>
        <w:pStyle w:val="Heading7"/>
        <w:jc w:val="both"/>
      </w:pPr>
      <w:r>
        <w:rPr/>
        <w:t>Table 7: Test Configuration</w:t>
      </w:r>
    </w:p>
    <w:p>
      <w:pPr>
        <w:pStyle w:val="BodyText"/>
        <w:spacing w:before="11"/>
        <w:rPr>
          <w:b/>
          <w:sz w:val="15"/>
        </w:rPr>
      </w:pPr>
    </w:p>
    <w:tbl>
      <w:tblPr>
        <w:tblW w:w="0" w:type="auto"/>
        <w:jc w:val="left"/>
        <w:tblInd w:w="2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5"/>
        <w:gridCol w:w="2463"/>
        <w:gridCol w:w="2466"/>
      </w:tblGrid>
      <w:tr>
        <w:trPr>
          <w:trHeight w:val="217" w:hRule="exact"/>
        </w:trPr>
        <w:tc>
          <w:tcPr>
            <w:tcW w:w="2465" w:type="dxa"/>
            <w:shd w:val="clear" w:color="auto" w:fill="D9D9D9"/>
          </w:tcPr>
          <w:p>
            <w:pPr>
              <w:pStyle w:val="TableParagraph"/>
              <w:spacing w:line="203" w:lineRule="exact"/>
              <w:rPr>
                <w:b/>
                <w:sz w:val="18"/>
              </w:rPr>
            </w:pPr>
            <w:r>
              <w:rPr>
                <w:b/>
                <w:sz w:val="18"/>
              </w:rPr>
              <w:t>Configuration</w:t>
            </w:r>
          </w:p>
        </w:tc>
        <w:tc>
          <w:tcPr>
            <w:tcW w:w="2463" w:type="dxa"/>
            <w:shd w:val="clear" w:color="auto" w:fill="D9D9D9"/>
          </w:tcPr>
          <w:p>
            <w:pPr>
              <w:pStyle w:val="TableParagraph"/>
              <w:spacing w:line="203" w:lineRule="exact"/>
              <w:ind w:left="100"/>
              <w:rPr>
                <w:b/>
                <w:sz w:val="18"/>
              </w:rPr>
            </w:pPr>
            <w:r>
              <w:rPr>
                <w:b/>
                <w:sz w:val="18"/>
              </w:rPr>
              <w:t>C-V2X</w:t>
            </w:r>
          </w:p>
        </w:tc>
        <w:tc>
          <w:tcPr>
            <w:tcW w:w="2466" w:type="dxa"/>
            <w:shd w:val="clear" w:color="auto" w:fill="D9D9D9"/>
          </w:tcPr>
          <w:p>
            <w:pPr>
              <w:pStyle w:val="TableParagraph"/>
              <w:spacing w:line="203" w:lineRule="exact"/>
              <w:rPr>
                <w:b/>
                <w:sz w:val="18"/>
              </w:rPr>
            </w:pPr>
            <w:r>
              <w:rPr>
                <w:b/>
                <w:sz w:val="18"/>
              </w:rPr>
              <w:t>DSRC</w:t>
            </w:r>
          </w:p>
        </w:tc>
      </w:tr>
      <w:tr>
        <w:trPr>
          <w:trHeight w:val="216" w:hRule="exact"/>
        </w:trPr>
        <w:tc>
          <w:tcPr>
            <w:tcW w:w="2465" w:type="dxa"/>
          </w:tcPr>
          <w:p>
            <w:pPr>
              <w:pStyle w:val="TableParagraph"/>
              <w:rPr>
                <w:sz w:val="18"/>
              </w:rPr>
            </w:pPr>
            <w:r>
              <w:rPr>
                <w:sz w:val="18"/>
              </w:rPr>
              <w:t>Number of Samples</w:t>
            </w:r>
          </w:p>
        </w:tc>
        <w:tc>
          <w:tcPr>
            <w:tcW w:w="2463" w:type="dxa"/>
          </w:tcPr>
          <w:p>
            <w:pPr>
              <w:pStyle w:val="TableParagraph"/>
              <w:ind w:left="100"/>
              <w:rPr>
                <w:sz w:val="18"/>
              </w:rPr>
            </w:pPr>
            <w:r>
              <w:rPr>
                <w:sz w:val="18"/>
              </w:rPr>
              <w:t>1000</w:t>
            </w:r>
          </w:p>
        </w:tc>
        <w:tc>
          <w:tcPr>
            <w:tcW w:w="2466" w:type="dxa"/>
          </w:tcPr>
          <w:p>
            <w:pPr>
              <w:pStyle w:val="TableParagraph"/>
              <w:rPr>
                <w:sz w:val="18"/>
              </w:rPr>
            </w:pPr>
            <w:r>
              <w:rPr>
                <w:sz w:val="18"/>
              </w:rPr>
              <w:t>1000</w:t>
            </w:r>
          </w:p>
        </w:tc>
      </w:tr>
      <w:tr>
        <w:trPr>
          <w:trHeight w:val="218" w:hRule="exact"/>
        </w:trPr>
        <w:tc>
          <w:tcPr>
            <w:tcW w:w="2465" w:type="dxa"/>
          </w:tcPr>
          <w:p>
            <w:pPr>
              <w:pStyle w:val="TableParagraph"/>
              <w:rPr>
                <w:sz w:val="18"/>
              </w:rPr>
            </w:pPr>
            <w:r>
              <w:rPr>
                <w:sz w:val="18"/>
              </w:rPr>
              <w:t>Tx Power</w:t>
            </w:r>
          </w:p>
        </w:tc>
        <w:tc>
          <w:tcPr>
            <w:tcW w:w="2463" w:type="dxa"/>
          </w:tcPr>
          <w:p>
            <w:pPr>
              <w:pStyle w:val="TableParagraph"/>
              <w:ind w:left="100"/>
              <w:rPr>
                <w:sz w:val="18"/>
              </w:rPr>
            </w:pPr>
            <w:r>
              <w:rPr>
                <w:sz w:val="18"/>
              </w:rPr>
              <w:t>20 dBm</w:t>
            </w:r>
          </w:p>
        </w:tc>
        <w:tc>
          <w:tcPr>
            <w:tcW w:w="2466" w:type="dxa"/>
          </w:tcPr>
          <w:p>
            <w:pPr>
              <w:pStyle w:val="TableParagraph"/>
              <w:rPr>
                <w:sz w:val="18"/>
              </w:rPr>
            </w:pPr>
            <w:r>
              <w:rPr>
                <w:sz w:val="18"/>
              </w:rPr>
              <w:t>20 dBm</w:t>
            </w:r>
          </w:p>
        </w:tc>
      </w:tr>
    </w:tbl>
    <w:p>
      <w:pPr>
        <w:pStyle w:val="BodyText"/>
        <w:rPr>
          <w:b/>
          <w:sz w:val="22"/>
        </w:rPr>
      </w:pPr>
    </w:p>
    <w:p>
      <w:pPr>
        <w:pStyle w:val="BodyText"/>
        <w:rPr>
          <w:b/>
          <w:sz w:val="22"/>
        </w:rPr>
      </w:pPr>
    </w:p>
    <w:p>
      <w:pPr>
        <w:pStyle w:val="ListParagraph"/>
        <w:numPr>
          <w:ilvl w:val="3"/>
          <w:numId w:val="23"/>
        </w:numPr>
        <w:tabs>
          <w:tab w:pos="2552" w:val="left" w:leader="none"/>
        </w:tabs>
        <w:spacing w:line="240" w:lineRule="auto" w:before="185" w:after="0"/>
        <w:ind w:left="2551" w:right="0" w:hanging="1418"/>
        <w:jc w:val="both"/>
        <w:rPr>
          <w:sz w:val="24"/>
        </w:rPr>
      </w:pPr>
      <w:r>
        <w:rPr>
          <w:sz w:val="24"/>
        </w:rPr>
        <w:t>Test</w:t>
      </w:r>
      <w:r>
        <w:rPr>
          <w:spacing w:val="-8"/>
          <w:sz w:val="24"/>
        </w:rPr>
        <w:t> </w:t>
      </w:r>
      <w:r>
        <w:rPr>
          <w:sz w:val="24"/>
        </w:rPr>
        <w:t>Execution</w:t>
      </w:r>
    </w:p>
    <w:p>
      <w:pPr>
        <w:pStyle w:val="ListParagraph"/>
        <w:numPr>
          <w:ilvl w:val="0"/>
          <w:numId w:val="24"/>
        </w:numPr>
        <w:tabs>
          <w:tab w:pos="1702" w:val="left" w:leader="none"/>
        </w:tabs>
        <w:spacing w:line="240" w:lineRule="auto" w:before="181" w:after="0"/>
        <w:ind w:left="1702" w:right="1131" w:hanging="286"/>
        <w:jc w:val="both"/>
        <w:rPr>
          <w:sz w:val="20"/>
        </w:rPr>
      </w:pPr>
      <w:r>
        <w:rPr>
          <w:sz w:val="20"/>
        </w:rPr>
        <w:t>Calibrate the insertion loss between the two devices by setting the attenuator to 0 dB </w:t>
      </w:r>
      <w:r>
        <w:rPr>
          <w:spacing w:val="3"/>
          <w:sz w:val="20"/>
        </w:rPr>
        <w:t>and </w:t>
      </w:r>
      <w:r>
        <w:rPr>
          <w:sz w:val="20"/>
        </w:rPr>
        <w:t>measure the loss with both cables connected to the attenuator. This measured value will be the fixed insertion loss of the cables and attenuator</w:t>
      </w:r>
      <w:r>
        <w:rPr>
          <w:spacing w:val="-12"/>
          <w:sz w:val="20"/>
        </w:rPr>
        <w:t> </w:t>
      </w:r>
      <w:r>
        <w:rPr>
          <w:sz w:val="20"/>
        </w:rPr>
        <w:t>setup.</w:t>
      </w:r>
    </w:p>
    <w:p>
      <w:pPr>
        <w:pStyle w:val="ListParagraph"/>
        <w:numPr>
          <w:ilvl w:val="0"/>
          <w:numId w:val="24"/>
        </w:numPr>
        <w:tabs>
          <w:tab w:pos="1702" w:val="left" w:leader="none"/>
        </w:tabs>
        <w:spacing w:line="240" w:lineRule="auto" w:before="178" w:after="0"/>
        <w:ind w:left="1702" w:right="0" w:hanging="286"/>
        <w:jc w:val="left"/>
        <w:rPr>
          <w:sz w:val="20"/>
        </w:rPr>
      </w:pPr>
      <w:r>
        <w:rPr>
          <w:sz w:val="20"/>
        </w:rPr>
        <w:t>Transmit power for the transmit device remains</w:t>
      </w:r>
      <w:r>
        <w:rPr>
          <w:spacing w:val="-18"/>
          <w:sz w:val="20"/>
        </w:rPr>
        <w:t> </w:t>
      </w:r>
      <w:r>
        <w:rPr>
          <w:sz w:val="20"/>
        </w:rPr>
        <w:t>constant.</w:t>
      </w:r>
    </w:p>
    <w:p>
      <w:pPr>
        <w:pStyle w:val="ListParagraph"/>
        <w:numPr>
          <w:ilvl w:val="0"/>
          <w:numId w:val="24"/>
        </w:numPr>
        <w:tabs>
          <w:tab w:pos="1702" w:val="left" w:leader="none"/>
        </w:tabs>
        <w:spacing w:line="240" w:lineRule="auto" w:before="180" w:after="0"/>
        <w:ind w:left="1702" w:right="0" w:hanging="286"/>
        <w:jc w:val="left"/>
        <w:rPr>
          <w:sz w:val="20"/>
        </w:rPr>
      </w:pPr>
      <w:r>
        <w:rPr>
          <w:sz w:val="20"/>
        </w:rPr>
        <w:t>Adjust overall path loss (insertion loss plus attenuator value) to be 69</w:t>
      </w:r>
      <w:r>
        <w:rPr>
          <w:spacing w:val="-23"/>
          <w:sz w:val="20"/>
        </w:rPr>
        <w:t> </w:t>
      </w:r>
      <w:r>
        <w:rPr>
          <w:sz w:val="20"/>
        </w:rPr>
        <w:t>dB</w:t>
      </w:r>
    </w:p>
    <w:p>
      <w:pPr>
        <w:pStyle w:val="ListParagraph"/>
        <w:numPr>
          <w:ilvl w:val="0"/>
          <w:numId w:val="24"/>
        </w:numPr>
        <w:tabs>
          <w:tab w:pos="1702" w:val="left" w:leader="none"/>
        </w:tabs>
        <w:spacing w:line="240" w:lineRule="auto" w:before="180" w:after="0"/>
        <w:ind w:left="1702" w:right="0" w:hanging="286"/>
        <w:jc w:val="left"/>
        <w:rPr>
          <w:sz w:val="20"/>
        </w:rPr>
      </w:pPr>
      <w:r>
        <w:rPr>
          <w:sz w:val="20"/>
        </w:rPr>
        <w:t>Vary the attenuation in steps of 10</w:t>
      </w:r>
      <w:r>
        <w:rPr>
          <w:spacing w:val="-11"/>
          <w:sz w:val="20"/>
        </w:rPr>
        <w:t> </w:t>
      </w:r>
      <w:r>
        <w:rPr>
          <w:sz w:val="20"/>
        </w:rPr>
        <w:t>dB</w:t>
      </w:r>
    </w:p>
    <w:p>
      <w:pPr>
        <w:pStyle w:val="ListParagraph"/>
        <w:numPr>
          <w:ilvl w:val="1"/>
          <w:numId w:val="24"/>
        </w:numPr>
        <w:tabs>
          <w:tab w:pos="1986" w:val="left" w:leader="none"/>
        </w:tabs>
        <w:spacing w:line="240" w:lineRule="auto" w:before="180" w:after="0"/>
        <w:ind w:left="1985" w:right="0" w:hanging="286"/>
        <w:jc w:val="left"/>
        <w:rPr>
          <w:sz w:val="20"/>
        </w:rPr>
      </w:pPr>
      <w:r>
        <w:rPr>
          <w:sz w:val="20"/>
        </w:rPr>
        <w:t>Near sensitivity, reduce step size to 1</w:t>
      </w:r>
      <w:r>
        <w:rPr>
          <w:spacing w:val="-11"/>
          <w:sz w:val="20"/>
        </w:rPr>
        <w:t> </w:t>
      </w:r>
      <w:r>
        <w:rPr>
          <w:sz w:val="20"/>
        </w:rPr>
        <w:t>dB</w:t>
      </w:r>
    </w:p>
    <w:p>
      <w:pPr>
        <w:pStyle w:val="ListParagraph"/>
        <w:numPr>
          <w:ilvl w:val="1"/>
          <w:numId w:val="24"/>
        </w:numPr>
        <w:tabs>
          <w:tab w:pos="1986" w:val="left" w:leader="none"/>
        </w:tabs>
        <w:spacing w:line="240" w:lineRule="auto" w:before="180" w:after="0"/>
        <w:ind w:left="1985" w:right="0" w:hanging="286"/>
        <w:jc w:val="left"/>
        <w:rPr>
          <w:sz w:val="20"/>
        </w:rPr>
      </w:pPr>
      <w:r>
        <w:rPr>
          <w:sz w:val="20"/>
        </w:rPr>
        <w:t>Continue the test until observed PER is</w:t>
      </w:r>
      <w:r>
        <w:rPr>
          <w:spacing w:val="-19"/>
          <w:sz w:val="20"/>
        </w:rPr>
        <w:t> </w:t>
      </w:r>
      <w:r>
        <w:rPr>
          <w:sz w:val="20"/>
        </w:rPr>
        <w:t>100%</w:t>
      </w:r>
    </w:p>
    <w:p>
      <w:pPr>
        <w:pStyle w:val="ListParagraph"/>
        <w:numPr>
          <w:ilvl w:val="0"/>
          <w:numId w:val="24"/>
        </w:numPr>
        <w:tabs>
          <w:tab w:pos="1702" w:val="left" w:leader="none"/>
        </w:tabs>
        <w:spacing w:line="240" w:lineRule="auto" w:before="178" w:after="0"/>
        <w:ind w:left="1702" w:right="0" w:hanging="286"/>
        <w:jc w:val="left"/>
        <w:rPr>
          <w:sz w:val="20"/>
        </w:rPr>
      </w:pPr>
      <w:r>
        <w:rPr>
          <w:sz w:val="20"/>
        </w:rPr>
        <w:t>Record these statistics on the devices for each path loss setting in a log</w:t>
      </w:r>
      <w:r>
        <w:rPr>
          <w:spacing w:val="-17"/>
          <w:sz w:val="20"/>
        </w:rPr>
        <w:t> </w:t>
      </w:r>
      <w:r>
        <w:rPr>
          <w:sz w:val="20"/>
        </w:rPr>
        <w:t>file:</w:t>
      </w:r>
    </w:p>
    <w:p>
      <w:pPr>
        <w:pStyle w:val="ListParagraph"/>
        <w:numPr>
          <w:ilvl w:val="0"/>
          <w:numId w:val="25"/>
        </w:numPr>
        <w:tabs>
          <w:tab w:pos="1985" w:val="left" w:leader="none"/>
          <w:tab w:pos="1986" w:val="left" w:leader="none"/>
        </w:tabs>
        <w:spacing w:line="240" w:lineRule="auto" w:before="180" w:after="0"/>
        <w:ind w:left="1985" w:right="0" w:hanging="286"/>
        <w:jc w:val="left"/>
        <w:rPr>
          <w:sz w:val="20"/>
        </w:rPr>
      </w:pPr>
      <w:r>
        <w:rPr>
          <w:sz w:val="20"/>
        </w:rPr>
        <w:t>OS timestamp for each Tx/Rx</w:t>
      </w:r>
      <w:r>
        <w:rPr>
          <w:spacing w:val="-7"/>
          <w:sz w:val="20"/>
        </w:rPr>
        <w:t> </w:t>
      </w:r>
      <w:r>
        <w:rPr>
          <w:sz w:val="20"/>
        </w:rPr>
        <w:t>packet</w:t>
      </w:r>
    </w:p>
    <w:p>
      <w:pPr>
        <w:pStyle w:val="ListParagraph"/>
        <w:numPr>
          <w:ilvl w:val="0"/>
          <w:numId w:val="25"/>
        </w:numPr>
        <w:tabs>
          <w:tab w:pos="1985" w:val="left" w:leader="none"/>
          <w:tab w:pos="1986" w:val="left" w:leader="none"/>
        </w:tabs>
        <w:spacing w:line="240" w:lineRule="auto" w:before="180" w:after="0"/>
        <w:ind w:left="1985" w:right="0" w:hanging="286"/>
        <w:jc w:val="left"/>
        <w:rPr>
          <w:sz w:val="20"/>
        </w:rPr>
      </w:pPr>
      <w:r>
        <w:rPr>
          <w:sz w:val="20"/>
        </w:rPr>
        <w:t>Sequence number of the Tx/Rx</w:t>
      </w:r>
      <w:r>
        <w:rPr>
          <w:spacing w:val="-4"/>
          <w:sz w:val="20"/>
        </w:rPr>
        <w:t> </w:t>
      </w:r>
      <w:r>
        <w:rPr>
          <w:sz w:val="20"/>
        </w:rPr>
        <w:t>packet</w:t>
      </w:r>
    </w:p>
    <w:p>
      <w:pPr>
        <w:pStyle w:val="ListParagraph"/>
        <w:numPr>
          <w:ilvl w:val="0"/>
          <w:numId w:val="25"/>
        </w:numPr>
        <w:tabs>
          <w:tab w:pos="1985" w:val="left" w:leader="none"/>
          <w:tab w:pos="1986" w:val="left" w:leader="none"/>
        </w:tabs>
        <w:spacing w:line="240" w:lineRule="auto" w:before="180" w:after="0"/>
        <w:ind w:left="1985" w:right="0" w:hanging="286"/>
        <w:jc w:val="left"/>
        <w:rPr>
          <w:sz w:val="20"/>
        </w:rPr>
      </w:pPr>
      <w:r>
        <w:rPr>
          <w:sz w:val="20"/>
        </w:rPr>
        <w:t>Receive signal power for each Rx</w:t>
      </w:r>
      <w:r>
        <w:rPr>
          <w:spacing w:val="-12"/>
          <w:sz w:val="20"/>
        </w:rPr>
        <w:t> </w:t>
      </w:r>
      <w:r>
        <w:rPr>
          <w:sz w:val="20"/>
        </w:rPr>
        <w:t>packet</w:t>
      </w:r>
    </w:p>
    <w:p>
      <w:pPr>
        <w:pStyle w:val="BodyText"/>
        <w:spacing w:before="180"/>
        <w:ind w:left="1416"/>
      </w:pPr>
      <w:r>
        <w:rPr/>
        <w:t>NOTE: Tests should be conducted at room temperature (21 deg Celsius +/- 5 deg).</w:t>
      </w:r>
    </w:p>
    <w:p>
      <w:pPr>
        <w:pStyle w:val="BodyText"/>
        <w:spacing w:before="11"/>
        <w:rPr>
          <w:sz w:val="25"/>
        </w:rPr>
      </w:pPr>
    </w:p>
    <w:p>
      <w:pPr>
        <w:pStyle w:val="Heading5"/>
        <w:numPr>
          <w:ilvl w:val="3"/>
          <w:numId w:val="23"/>
        </w:numPr>
        <w:tabs>
          <w:tab w:pos="2552" w:val="left" w:leader="none"/>
        </w:tabs>
        <w:spacing w:line="240" w:lineRule="auto" w:before="0" w:after="0"/>
        <w:ind w:left="2551" w:right="0" w:hanging="1418"/>
        <w:jc w:val="both"/>
        <w:rPr>
          <w:rFonts w:ascii="Arial"/>
        </w:rPr>
      </w:pPr>
      <w:r>
        <w:rPr>
          <w:rFonts w:ascii="Arial"/>
        </w:rPr>
        <w:t>Unique Tests to</w:t>
      </w:r>
      <w:r>
        <w:rPr>
          <w:rFonts w:ascii="Arial"/>
          <w:spacing w:val="-9"/>
        </w:rPr>
        <w:t> </w:t>
      </w:r>
      <w:r>
        <w:rPr>
          <w:rFonts w:ascii="Arial"/>
        </w:rPr>
        <w:t>Conduct</w:t>
      </w:r>
    </w:p>
    <w:p>
      <w:pPr>
        <w:pStyle w:val="BodyText"/>
        <w:spacing w:before="181"/>
        <w:ind w:left="1133"/>
        <w:jc w:val="both"/>
      </w:pPr>
      <w:r>
        <w:rPr/>
        <w:t>Run this test using:</w:t>
      </w:r>
    </w:p>
    <w:p>
      <w:pPr>
        <w:pStyle w:val="BodyText"/>
        <w:spacing w:before="177"/>
        <w:ind w:left="1416"/>
      </w:pPr>
      <w:r>
        <w:rPr/>
        <w:t>Two (2) C-V2X devices for the test</w:t>
      </w:r>
    </w:p>
    <w:p>
      <w:pPr>
        <w:pStyle w:val="BodyText"/>
        <w:spacing w:before="10"/>
        <w:rPr>
          <w:sz w:val="25"/>
        </w:rPr>
      </w:pPr>
    </w:p>
    <w:p>
      <w:pPr>
        <w:pStyle w:val="Heading5"/>
        <w:numPr>
          <w:ilvl w:val="3"/>
          <w:numId w:val="23"/>
        </w:numPr>
        <w:tabs>
          <w:tab w:pos="2552" w:val="left" w:leader="none"/>
        </w:tabs>
        <w:spacing w:line="240" w:lineRule="auto" w:before="0" w:after="0"/>
        <w:ind w:left="2551" w:right="0" w:hanging="1418"/>
        <w:jc w:val="both"/>
        <w:rPr>
          <w:rFonts w:ascii="Arial"/>
        </w:rPr>
      </w:pPr>
      <w:r>
        <w:rPr>
          <w:rFonts w:ascii="Arial"/>
        </w:rPr>
        <w:t>Required</w:t>
      </w:r>
      <w:r>
        <w:rPr>
          <w:rFonts w:ascii="Arial"/>
          <w:spacing w:val="-9"/>
        </w:rPr>
        <w:t> </w:t>
      </w:r>
      <w:r>
        <w:rPr>
          <w:rFonts w:ascii="Arial"/>
        </w:rPr>
        <w:t>Documentation</w:t>
      </w:r>
    </w:p>
    <w:p>
      <w:pPr>
        <w:pStyle w:val="BodyText"/>
        <w:spacing w:before="181"/>
        <w:ind w:left="1133" w:right="1130"/>
        <w:jc w:val="both"/>
      </w:pPr>
      <w:r>
        <w:rPr/>
        <w:t>Tables 8 through 11 are based on the data we collected from log files. PER is computed from the Tx and Rx data</w:t>
      </w:r>
      <w:r>
        <w:rPr>
          <w:spacing w:val="-5"/>
        </w:rPr>
        <w:t> </w:t>
      </w:r>
      <w:r>
        <w:rPr/>
        <w:t>logs.</w:t>
      </w:r>
      <w:r>
        <w:rPr>
          <w:spacing w:val="-7"/>
        </w:rPr>
        <w:t> </w:t>
      </w:r>
      <w:r>
        <w:rPr/>
        <w:t>The</w:t>
      </w:r>
      <w:r>
        <w:rPr>
          <w:spacing w:val="-5"/>
        </w:rPr>
        <w:t> </w:t>
      </w:r>
      <w:r>
        <w:rPr/>
        <w:t>number</w:t>
      </w:r>
      <w:r>
        <w:rPr>
          <w:spacing w:val="-6"/>
        </w:rPr>
        <w:t> </w:t>
      </w:r>
      <w:r>
        <w:rPr/>
        <w:t>of</w:t>
      </w:r>
      <w:r>
        <w:rPr>
          <w:spacing w:val="-5"/>
        </w:rPr>
        <w:t> </w:t>
      </w:r>
      <w:r>
        <w:rPr/>
        <w:t>missing</w:t>
      </w:r>
      <w:r>
        <w:rPr>
          <w:spacing w:val="-5"/>
        </w:rPr>
        <w:t> </w:t>
      </w:r>
      <w:r>
        <w:rPr/>
        <w:t>(not</w:t>
      </w:r>
      <w:r>
        <w:rPr>
          <w:spacing w:val="-5"/>
        </w:rPr>
        <w:t> </w:t>
      </w:r>
      <w:r>
        <w:rPr/>
        <w:t>received)</w:t>
      </w:r>
      <w:r>
        <w:rPr>
          <w:spacing w:val="-4"/>
        </w:rPr>
        <w:t> </w:t>
      </w:r>
      <w:r>
        <w:rPr/>
        <w:t>packets</w:t>
      </w:r>
      <w:r>
        <w:rPr>
          <w:spacing w:val="-6"/>
        </w:rPr>
        <w:t> </w:t>
      </w:r>
      <w:r>
        <w:rPr/>
        <w:t>is</w:t>
      </w:r>
      <w:r>
        <w:rPr>
          <w:spacing w:val="-6"/>
        </w:rPr>
        <w:t> </w:t>
      </w:r>
      <w:r>
        <w:rPr/>
        <w:t>divided</w:t>
      </w:r>
      <w:r>
        <w:rPr>
          <w:spacing w:val="-5"/>
        </w:rPr>
        <w:t> </w:t>
      </w:r>
      <w:r>
        <w:rPr/>
        <w:t>by</w:t>
      </w:r>
      <w:r>
        <w:rPr>
          <w:spacing w:val="-10"/>
        </w:rPr>
        <w:t> </w:t>
      </w:r>
      <w:r>
        <w:rPr/>
        <w:t>the</w:t>
      </w:r>
      <w:r>
        <w:rPr>
          <w:spacing w:val="-5"/>
        </w:rPr>
        <w:t> </w:t>
      </w:r>
      <w:r>
        <w:rPr/>
        <w:t>number</w:t>
      </w:r>
      <w:r>
        <w:rPr>
          <w:spacing w:val="-4"/>
        </w:rPr>
        <w:t> </w:t>
      </w:r>
      <w:r>
        <w:rPr/>
        <w:t>of</w:t>
      </w:r>
      <w:r>
        <w:rPr>
          <w:spacing w:val="-5"/>
        </w:rPr>
        <w:t> </w:t>
      </w:r>
      <w:r>
        <w:rPr/>
        <w:t>total</w:t>
      </w:r>
      <w:r>
        <w:rPr>
          <w:spacing w:val="-5"/>
        </w:rPr>
        <w:t> </w:t>
      </w:r>
      <w:r>
        <w:rPr/>
        <w:t>packets</w:t>
      </w:r>
      <w:r>
        <w:rPr>
          <w:spacing w:val="-6"/>
        </w:rPr>
        <w:t> </w:t>
      </w:r>
      <w:r>
        <w:rPr/>
        <w:t>transmitted. The</w:t>
      </w:r>
      <w:r>
        <w:rPr>
          <w:spacing w:val="-10"/>
        </w:rPr>
        <w:t> </w:t>
      </w:r>
      <w:r>
        <w:rPr/>
        <w:t>IPG</w:t>
      </w:r>
      <w:r>
        <w:rPr>
          <w:spacing w:val="-8"/>
        </w:rPr>
        <w:t> </w:t>
      </w:r>
      <w:r>
        <w:rPr/>
        <w:t>statistic</w:t>
      </w:r>
      <w:r>
        <w:rPr>
          <w:spacing w:val="-6"/>
        </w:rPr>
        <w:t> </w:t>
      </w:r>
      <w:r>
        <w:rPr/>
        <w:t>is</w:t>
      </w:r>
      <w:r>
        <w:rPr>
          <w:spacing w:val="-8"/>
        </w:rPr>
        <w:t> </w:t>
      </w:r>
      <w:r>
        <w:rPr/>
        <w:t>computed</w:t>
      </w:r>
      <w:r>
        <w:rPr>
          <w:spacing w:val="-10"/>
        </w:rPr>
        <w:t> </w:t>
      </w:r>
      <w:r>
        <w:rPr/>
        <w:t>from</w:t>
      </w:r>
      <w:r>
        <w:rPr>
          <w:spacing w:val="-5"/>
        </w:rPr>
        <w:t> </w:t>
      </w:r>
      <w:r>
        <w:rPr/>
        <w:t>the</w:t>
      </w:r>
      <w:r>
        <w:rPr>
          <w:spacing w:val="-10"/>
        </w:rPr>
        <w:t> </w:t>
      </w:r>
      <w:r>
        <w:rPr/>
        <w:t>Rx</w:t>
      </w:r>
      <w:r>
        <w:rPr>
          <w:spacing w:val="-8"/>
        </w:rPr>
        <w:t> </w:t>
      </w:r>
      <w:r>
        <w:rPr/>
        <w:t>logs.</w:t>
      </w:r>
      <w:r>
        <w:rPr>
          <w:spacing w:val="-9"/>
        </w:rPr>
        <w:t> </w:t>
      </w:r>
      <w:r>
        <w:rPr/>
        <w:t>The</w:t>
      </w:r>
      <w:r>
        <w:rPr>
          <w:spacing w:val="-7"/>
        </w:rPr>
        <w:t> </w:t>
      </w:r>
      <w:r>
        <w:rPr/>
        <w:t>latency</w:t>
      </w:r>
      <w:r>
        <w:rPr>
          <w:spacing w:val="-10"/>
        </w:rPr>
        <w:t> </w:t>
      </w:r>
      <w:r>
        <w:rPr/>
        <w:t>is</w:t>
      </w:r>
      <w:r>
        <w:rPr>
          <w:spacing w:val="-8"/>
        </w:rPr>
        <w:t> </w:t>
      </w:r>
      <w:r>
        <w:rPr/>
        <w:t>computed</w:t>
      </w:r>
      <w:r>
        <w:rPr>
          <w:spacing w:val="-8"/>
        </w:rPr>
        <w:t> </w:t>
      </w:r>
      <w:r>
        <w:rPr/>
        <w:t>from</w:t>
      </w:r>
      <w:r>
        <w:rPr>
          <w:spacing w:val="-5"/>
        </w:rPr>
        <w:t> </w:t>
      </w:r>
      <w:r>
        <w:rPr/>
        <w:t>Tx</w:t>
      </w:r>
      <w:r>
        <w:rPr>
          <w:spacing w:val="-8"/>
        </w:rPr>
        <w:t> </w:t>
      </w:r>
      <w:r>
        <w:rPr/>
        <w:t>and</w:t>
      </w:r>
      <w:r>
        <w:rPr>
          <w:spacing w:val="-9"/>
        </w:rPr>
        <w:t> </w:t>
      </w:r>
      <w:r>
        <w:rPr/>
        <w:t>Rx</w:t>
      </w:r>
      <w:r>
        <w:rPr>
          <w:spacing w:val="-5"/>
        </w:rPr>
        <w:t> </w:t>
      </w:r>
      <w:r>
        <w:rPr/>
        <w:t>logs.</w:t>
      </w:r>
      <w:r>
        <w:rPr>
          <w:spacing w:val="-9"/>
        </w:rPr>
        <w:t> </w:t>
      </w:r>
      <w:r>
        <w:rPr/>
        <w:t>IPG</w:t>
      </w:r>
      <w:r>
        <w:rPr>
          <w:spacing w:val="-8"/>
        </w:rPr>
        <w:t> </w:t>
      </w:r>
      <w:r>
        <w:rPr/>
        <w:t>and</w:t>
      </w:r>
      <w:r>
        <w:rPr>
          <w:spacing w:val="-7"/>
        </w:rPr>
        <w:t> </w:t>
      </w:r>
      <w:r>
        <w:rPr/>
        <w:t>latency values are captured for runs in which PER reaches around 10%. Note that the IPG and latency values are rounded off to the nearest</w:t>
      </w:r>
      <w:r>
        <w:rPr>
          <w:spacing w:val="-9"/>
        </w:rPr>
        <w:t> </w:t>
      </w:r>
      <w:r>
        <w:rPr/>
        <w:t>integer.</w:t>
      </w:r>
    </w:p>
    <w:p>
      <w:pPr>
        <w:spacing w:after="0"/>
        <w:jc w:val="both"/>
        <w:sectPr>
          <w:headerReference w:type="default" r:id="rId192"/>
          <w:footerReference w:type="default" r:id="rId193"/>
          <w:pgSz w:w="11910" w:h="16850"/>
          <w:pgMar w:header="852" w:footer="979" w:top="1040" w:bottom="1160" w:left="0" w:right="0"/>
          <w:pgNumType w:start="31"/>
        </w:sectPr>
      </w:pPr>
    </w:p>
    <w:p>
      <w:pPr>
        <w:pStyle w:val="BodyText"/>
        <w:rPr>
          <w:sz w:val="23"/>
        </w:rPr>
      </w:pPr>
    </w:p>
    <w:p>
      <w:pPr>
        <w:pStyle w:val="Heading7"/>
        <w:spacing w:before="93"/>
      </w:pPr>
      <w:r>
        <w:rPr/>
        <w:t>Table 8: C-V2X Results – PER</w:t>
      </w:r>
    </w:p>
    <w:p>
      <w:pPr>
        <w:pStyle w:val="BodyText"/>
        <w:spacing w:before="2"/>
        <w:rPr>
          <w:b/>
          <w:sz w:val="16"/>
        </w:rPr>
      </w:pPr>
    </w:p>
    <w:tbl>
      <w:tblPr>
        <w:tblW w:w="0" w:type="auto"/>
        <w:jc w:val="left"/>
        <w:tblInd w:w="2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2"/>
        <w:gridCol w:w="1260"/>
        <w:gridCol w:w="1260"/>
        <w:gridCol w:w="1261"/>
        <w:gridCol w:w="1260"/>
      </w:tblGrid>
      <w:tr>
        <w:trPr>
          <w:trHeight w:val="631" w:hRule="exact"/>
        </w:trPr>
        <w:tc>
          <w:tcPr>
            <w:tcW w:w="1352" w:type="dxa"/>
            <w:shd w:val="clear" w:color="auto" w:fill="D9D9D9"/>
          </w:tcPr>
          <w:p>
            <w:pPr/>
          </w:p>
        </w:tc>
        <w:tc>
          <w:tcPr>
            <w:tcW w:w="1260" w:type="dxa"/>
            <w:shd w:val="clear" w:color="auto" w:fill="D9D9D9"/>
          </w:tcPr>
          <w:p>
            <w:pPr>
              <w:pStyle w:val="TableParagraph"/>
              <w:tabs>
                <w:tab w:pos="979" w:val="left" w:leader="none"/>
              </w:tabs>
              <w:spacing w:line="201" w:lineRule="exact"/>
              <w:rPr>
                <w:b/>
                <w:sz w:val="18"/>
              </w:rPr>
            </w:pPr>
            <w:r>
              <w:rPr>
                <w:b/>
                <w:sz w:val="18"/>
              </w:rPr>
              <w:t>No.</w:t>
              <w:tab/>
              <w:t>of</w:t>
            </w:r>
          </w:p>
          <w:p>
            <w:pPr>
              <w:pStyle w:val="TableParagraph"/>
              <w:spacing w:line="240" w:lineRule="auto"/>
              <w:ind w:right="97"/>
              <w:rPr>
                <w:b/>
                <w:sz w:val="18"/>
              </w:rPr>
            </w:pPr>
            <w:r>
              <w:rPr>
                <w:b/>
                <w:sz w:val="18"/>
              </w:rPr>
              <w:t>Transmitted pkts/s</w:t>
            </w:r>
          </w:p>
        </w:tc>
        <w:tc>
          <w:tcPr>
            <w:tcW w:w="1260" w:type="dxa"/>
            <w:shd w:val="clear" w:color="auto" w:fill="D9D9D9"/>
          </w:tcPr>
          <w:p>
            <w:pPr>
              <w:pStyle w:val="TableParagraph"/>
              <w:tabs>
                <w:tab w:pos="979" w:val="left" w:leader="none"/>
              </w:tabs>
              <w:spacing w:line="201" w:lineRule="exact"/>
              <w:rPr>
                <w:b/>
                <w:sz w:val="18"/>
              </w:rPr>
            </w:pPr>
            <w:r>
              <w:rPr>
                <w:b/>
                <w:sz w:val="18"/>
              </w:rPr>
              <w:t>No.</w:t>
              <w:tab/>
              <w:t>of</w:t>
            </w:r>
          </w:p>
          <w:p>
            <w:pPr>
              <w:pStyle w:val="TableParagraph"/>
              <w:spacing w:line="240" w:lineRule="auto"/>
              <w:ind w:right="336"/>
              <w:rPr>
                <w:b/>
                <w:sz w:val="18"/>
              </w:rPr>
            </w:pPr>
            <w:r>
              <w:rPr>
                <w:b/>
                <w:sz w:val="18"/>
              </w:rPr>
              <w:t>Received pkts/s</w:t>
            </w:r>
          </w:p>
        </w:tc>
        <w:tc>
          <w:tcPr>
            <w:tcW w:w="1261" w:type="dxa"/>
            <w:shd w:val="clear" w:color="auto" w:fill="D9D9D9"/>
          </w:tcPr>
          <w:p>
            <w:pPr>
              <w:pStyle w:val="TableParagraph"/>
              <w:spacing w:line="240" w:lineRule="auto"/>
              <w:ind w:right="167"/>
              <w:rPr>
                <w:b/>
                <w:sz w:val="18"/>
              </w:rPr>
            </w:pPr>
            <w:r>
              <w:rPr>
                <w:b/>
                <w:sz w:val="18"/>
              </w:rPr>
              <w:t>Calculated at Receiver</w:t>
            </w:r>
          </w:p>
        </w:tc>
        <w:tc>
          <w:tcPr>
            <w:tcW w:w="1260" w:type="dxa"/>
            <w:shd w:val="clear" w:color="auto" w:fill="D9D9D9"/>
          </w:tcPr>
          <w:p>
            <w:pPr>
              <w:pStyle w:val="TableParagraph"/>
              <w:spacing w:line="240" w:lineRule="auto"/>
              <w:ind w:right="166"/>
              <w:rPr>
                <w:b/>
                <w:sz w:val="18"/>
              </w:rPr>
            </w:pPr>
            <w:r>
              <w:rPr>
                <w:b/>
                <w:sz w:val="18"/>
              </w:rPr>
              <w:t>Calculated at Receiver</w:t>
            </w:r>
          </w:p>
        </w:tc>
      </w:tr>
      <w:tr>
        <w:trPr>
          <w:trHeight w:val="631" w:hRule="exact"/>
        </w:trPr>
        <w:tc>
          <w:tcPr>
            <w:tcW w:w="1352" w:type="dxa"/>
            <w:shd w:val="clear" w:color="auto" w:fill="D9D9D9"/>
          </w:tcPr>
          <w:p>
            <w:pPr>
              <w:pStyle w:val="TableParagraph"/>
              <w:spacing w:line="240" w:lineRule="auto"/>
              <w:rPr>
                <w:b/>
                <w:sz w:val="18"/>
              </w:rPr>
            </w:pPr>
            <w:r>
              <w:rPr>
                <w:b/>
                <w:sz w:val="18"/>
              </w:rPr>
              <w:t>Overall Path Loss (dB)</w:t>
            </w:r>
          </w:p>
        </w:tc>
        <w:tc>
          <w:tcPr>
            <w:tcW w:w="1260" w:type="dxa"/>
            <w:shd w:val="clear" w:color="auto" w:fill="D9D9D9"/>
          </w:tcPr>
          <w:p>
            <w:pPr>
              <w:pStyle w:val="TableParagraph"/>
              <w:spacing w:line="201" w:lineRule="exact"/>
              <w:rPr>
                <w:b/>
                <w:sz w:val="18"/>
              </w:rPr>
            </w:pPr>
            <w:r>
              <w:rPr>
                <w:b/>
                <w:sz w:val="18"/>
              </w:rPr>
              <w:t>C-V2X</w:t>
            </w:r>
          </w:p>
          <w:p>
            <w:pPr>
              <w:pStyle w:val="TableParagraph"/>
              <w:spacing w:line="240" w:lineRule="auto"/>
              <w:ind w:right="367"/>
              <w:rPr>
                <w:b/>
                <w:sz w:val="18"/>
              </w:rPr>
            </w:pPr>
            <w:r>
              <w:rPr>
                <w:b/>
                <w:sz w:val="18"/>
              </w:rPr>
              <w:t>Transmit Device</w:t>
            </w:r>
          </w:p>
        </w:tc>
        <w:tc>
          <w:tcPr>
            <w:tcW w:w="1260" w:type="dxa"/>
            <w:shd w:val="clear" w:color="auto" w:fill="D9D9D9"/>
          </w:tcPr>
          <w:p>
            <w:pPr>
              <w:pStyle w:val="TableParagraph"/>
              <w:spacing w:line="201" w:lineRule="exact"/>
              <w:rPr>
                <w:b/>
                <w:sz w:val="18"/>
              </w:rPr>
            </w:pPr>
            <w:r>
              <w:rPr>
                <w:b/>
                <w:sz w:val="18"/>
              </w:rPr>
              <w:t>C-V2X</w:t>
            </w:r>
          </w:p>
          <w:p>
            <w:pPr>
              <w:pStyle w:val="TableParagraph"/>
              <w:spacing w:line="240" w:lineRule="auto"/>
              <w:ind w:right="446"/>
              <w:rPr>
                <w:b/>
                <w:sz w:val="18"/>
              </w:rPr>
            </w:pPr>
            <w:r>
              <w:rPr>
                <w:b/>
                <w:sz w:val="18"/>
              </w:rPr>
              <w:t>Receive Device</w:t>
            </w:r>
          </w:p>
        </w:tc>
        <w:tc>
          <w:tcPr>
            <w:tcW w:w="1261" w:type="dxa"/>
            <w:shd w:val="clear" w:color="auto" w:fill="D9D9D9"/>
          </w:tcPr>
          <w:p>
            <w:pPr>
              <w:pStyle w:val="TableParagraph"/>
              <w:spacing w:line="201" w:lineRule="exact"/>
              <w:rPr>
                <w:b/>
                <w:sz w:val="18"/>
              </w:rPr>
            </w:pPr>
            <w:r>
              <w:rPr>
                <w:b/>
                <w:sz w:val="18"/>
              </w:rPr>
              <w:t>PER %</w:t>
            </w:r>
          </w:p>
        </w:tc>
        <w:tc>
          <w:tcPr>
            <w:tcW w:w="1260" w:type="dxa"/>
            <w:shd w:val="clear" w:color="auto" w:fill="D9D9D9"/>
          </w:tcPr>
          <w:p>
            <w:pPr>
              <w:pStyle w:val="TableParagraph"/>
              <w:spacing w:line="240" w:lineRule="auto"/>
              <w:ind w:right="104"/>
              <w:rPr>
                <w:b/>
                <w:sz w:val="18"/>
              </w:rPr>
            </w:pPr>
            <w:r>
              <w:rPr>
                <w:b/>
                <w:sz w:val="18"/>
              </w:rPr>
              <w:t>CBR (%) for C-V2X</w:t>
            </w:r>
          </w:p>
        </w:tc>
      </w:tr>
      <w:tr>
        <w:trPr>
          <w:trHeight w:val="216" w:hRule="exact"/>
        </w:trPr>
        <w:tc>
          <w:tcPr>
            <w:tcW w:w="1352" w:type="dxa"/>
          </w:tcPr>
          <w:p>
            <w:pPr>
              <w:pStyle w:val="TableParagraph"/>
              <w:rPr>
                <w:sz w:val="18"/>
              </w:rPr>
            </w:pPr>
            <w:r>
              <w:rPr>
                <w:sz w:val="18"/>
              </w:rPr>
              <w:t>69</w:t>
            </w:r>
          </w:p>
        </w:tc>
        <w:tc>
          <w:tcPr>
            <w:tcW w:w="1260" w:type="dxa"/>
          </w:tcPr>
          <w:p>
            <w:pPr>
              <w:pStyle w:val="TableParagraph"/>
              <w:rPr>
                <w:sz w:val="18"/>
              </w:rPr>
            </w:pPr>
            <w:r>
              <w:rPr>
                <w:sz w:val="18"/>
              </w:rPr>
              <w:t>1000</w:t>
            </w:r>
          </w:p>
        </w:tc>
        <w:tc>
          <w:tcPr>
            <w:tcW w:w="1260" w:type="dxa"/>
          </w:tcPr>
          <w:p>
            <w:pPr>
              <w:pStyle w:val="TableParagraph"/>
              <w:rPr>
                <w:sz w:val="18"/>
              </w:rPr>
            </w:pPr>
            <w:r>
              <w:rPr>
                <w:sz w:val="18"/>
              </w:rPr>
              <w:t>1000</w:t>
            </w:r>
          </w:p>
        </w:tc>
        <w:tc>
          <w:tcPr>
            <w:tcW w:w="1261" w:type="dxa"/>
          </w:tcPr>
          <w:p>
            <w:pPr>
              <w:pStyle w:val="TableParagraph"/>
              <w:rPr>
                <w:sz w:val="18"/>
              </w:rPr>
            </w:pPr>
            <w:r>
              <w:rPr>
                <w:w w:val="99"/>
                <w:sz w:val="18"/>
              </w:rPr>
              <w:t>0</w:t>
            </w:r>
          </w:p>
        </w:tc>
        <w:tc>
          <w:tcPr>
            <w:tcW w:w="1260" w:type="dxa"/>
          </w:tcPr>
          <w:p>
            <w:pPr>
              <w:pStyle w:val="TableParagraph"/>
              <w:rPr>
                <w:sz w:val="18"/>
              </w:rPr>
            </w:pPr>
            <w:r>
              <w:rPr>
                <w:sz w:val="18"/>
              </w:rPr>
              <w:t>&lt; 1</w:t>
            </w:r>
          </w:p>
        </w:tc>
      </w:tr>
      <w:tr>
        <w:trPr>
          <w:trHeight w:val="216" w:hRule="exact"/>
        </w:trPr>
        <w:tc>
          <w:tcPr>
            <w:tcW w:w="1352" w:type="dxa"/>
          </w:tcPr>
          <w:p>
            <w:pPr>
              <w:pStyle w:val="TableParagraph"/>
              <w:rPr>
                <w:sz w:val="18"/>
              </w:rPr>
            </w:pPr>
            <w:r>
              <w:rPr>
                <w:sz w:val="18"/>
              </w:rPr>
              <w:t>79</w:t>
            </w:r>
          </w:p>
        </w:tc>
        <w:tc>
          <w:tcPr>
            <w:tcW w:w="1260" w:type="dxa"/>
          </w:tcPr>
          <w:p>
            <w:pPr>
              <w:pStyle w:val="TableParagraph"/>
              <w:rPr>
                <w:sz w:val="18"/>
              </w:rPr>
            </w:pPr>
            <w:r>
              <w:rPr>
                <w:sz w:val="18"/>
              </w:rPr>
              <w:t>1000</w:t>
            </w:r>
          </w:p>
        </w:tc>
        <w:tc>
          <w:tcPr>
            <w:tcW w:w="1260" w:type="dxa"/>
          </w:tcPr>
          <w:p>
            <w:pPr>
              <w:pStyle w:val="TableParagraph"/>
              <w:rPr>
                <w:sz w:val="18"/>
              </w:rPr>
            </w:pPr>
            <w:r>
              <w:rPr>
                <w:sz w:val="18"/>
              </w:rPr>
              <w:t>1000</w:t>
            </w:r>
          </w:p>
        </w:tc>
        <w:tc>
          <w:tcPr>
            <w:tcW w:w="1261" w:type="dxa"/>
          </w:tcPr>
          <w:p>
            <w:pPr>
              <w:pStyle w:val="TableParagraph"/>
              <w:rPr>
                <w:sz w:val="18"/>
              </w:rPr>
            </w:pPr>
            <w:r>
              <w:rPr>
                <w:w w:val="99"/>
                <w:sz w:val="18"/>
              </w:rPr>
              <w:t>0</w:t>
            </w:r>
          </w:p>
        </w:tc>
        <w:tc>
          <w:tcPr>
            <w:tcW w:w="1260" w:type="dxa"/>
          </w:tcPr>
          <w:p>
            <w:pPr>
              <w:pStyle w:val="TableParagraph"/>
              <w:rPr>
                <w:sz w:val="18"/>
              </w:rPr>
            </w:pPr>
            <w:r>
              <w:rPr>
                <w:sz w:val="18"/>
              </w:rPr>
              <w:t>&lt; 1</w:t>
            </w:r>
          </w:p>
        </w:tc>
      </w:tr>
      <w:tr>
        <w:trPr>
          <w:trHeight w:val="218" w:hRule="exact"/>
        </w:trPr>
        <w:tc>
          <w:tcPr>
            <w:tcW w:w="1352" w:type="dxa"/>
          </w:tcPr>
          <w:p>
            <w:pPr>
              <w:pStyle w:val="TableParagraph"/>
              <w:spacing w:line="240" w:lineRule="auto" w:before="1"/>
              <w:rPr>
                <w:sz w:val="18"/>
              </w:rPr>
            </w:pPr>
            <w:r>
              <w:rPr>
                <w:sz w:val="18"/>
              </w:rPr>
              <w:t>89</w:t>
            </w:r>
          </w:p>
        </w:tc>
        <w:tc>
          <w:tcPr>
            <w:tcW w:w="1260" w:type="dxa"/>
          </w:tcPr>
          <w:p>
            <w:pPr>
              <w:pStyle w:val="TableParagraph"/>
              <w:spacing w:line="240" w:lineRule="auto" w:before="1"/>
              <w:rPr>
                <w:sz w:val="18"/>
              </w:rPr>
            </w:pPr>
            <w:r>
              <w:rPr>
                <w:sz w:val="18"/>
              </w:rPr>
              <w:t>1000</w:t>
            </w:r>
          </w:p>
        </w:tc>
        <w:tc>
          <w:tcPr>
            <w:tcW w:w="1260" w:type="dxa"/>
          </w:tcPr>
          <w:p>
            <w:pPr>
              <w:pStyle w:val="TableParagraph"/>
              <w:spacing w:line="240" w:lineRule="auto" w:before="1"/>
              <w:rPr>
                <w:sz w:val="18"/>
              </w:rPr>
            </w:pPr>
            <w:r>
              <w:rPr>
                <w:sz w:val="18"/>
              </w:rPr>
              <w:t>1000</w:t>
            </w:r>
          </w:p>
        </w:tc>
        <w:tc>
          <w:tcPr>
            <w:tcW w:w="1261" w:type="dxa"/>
          </w:tcPr>
          <w:p>
            <w:pPr>
              <w:pStyle w:val="TableParagraph"/>
              <w:spacing w:line="240" w:lineRule="auto" w:before="1"/>
              <w:rPr>
                <w:sz w:val="18"/>
              </w:rPr>
            </w:pPr>
            <w:r>
              <w:rPr>
                <w:w w:val="99"/>
                <w:sz w:val="18"/>
              </w:rPr>
              <w:t>0</w:t>
            </w:r>
          </w:p>
        </w:tc>
        <w:tc>
          <w:tcPr>
            <w:tcW w:w="1260" w:type="dxa"/>
          </w:tcPr>
          <w:p>
            <w:pPr>
              <w:pStyle w:val="TableParagraph"/>
              <w:spacing w:line="240" w:lineRule="auto" w:before="1"/>
              <w:rPr>
                <w:sz w:val="18"/>
              </w:rPr>
            </w:pPr>
            <w:r>
              <w:rPr>
                <w:sz w:val="18"/>
              </w:rPr>
              <w:t>&lt; 1</w:t>
            </w:r>
          </w:p>
        </w:tc>
      </w:tr>
      <w:tr>
        <w:trPr>
          <w:trHeight w:val="216" w:hRule="exact"/>
        </w:trPr>
        <w:tc>
          <w:tcPr>
            <w:tcW w:w="1352" w:type="dxa"/>
          </w:tcPr>
          <w:p>
            <w:pPr>
              <w:pStyle w:val="TableParagraph"/>
              <w:rPr>
                <w:sz w:val="18"/>
              </w:rPr>
            </w:pPr>
            <w:r>
              <w:rPr>
                <w:sz w:val="18"/>
              </w:rPr>
              <w:t>99</w:t>
            </w:r>
          </w:p>
        </w:tc>
        <w:tc>
          <w:tcPr>
            <w:tcW w:w="1260" w:type="dxa"/>
          </w:tcPr>
          <w:p>
            <w:pPr>
              <w:pStyle w:val="TableParagraph"/>
              <w:rPr>
                <w:sz w:val="18"/>
              </w:rPr>
            </w:pPr>
            <w:r>
              <w:rPr>
                <w:sz w:val="18"/>
              </w:rPr>
              <w:t>1000</w:t>
            </w:r>
          </w:p>
        </w:tc>
        <w:tc>
          <w:tcPr>
            <w:tcW w:w="1260" w:type="dxa"/>
          </w:tcPr>
          <w:p>
            <w:pPr>
              <w:pStyle w:val="TableParagraph"/>
              <w:rPr>
                <w:sz w:val="18"/>
              </w:rPr>
            </w:pPr>
            <w:r>
              <w:rPr>
                <w:sz w:val="18"/>
              </w:rPr>
              <w:t>1000</w:t>
            </w:r>
          </w:p>
        </w:tc>
        <w:tc>
          <w:tcPr>
            <w:tcW w:w="1261" w:type="dxa"/>
          </w:tcPr>
          <w:p>
            <w:pPr>
              <w:pStyle w:val="TableParagraph"/>
              <w:rPr>
                <w:sz w:val="18"/>
              </w:rPr>
            </w:pPr>
            <w:r>
              <w:rPr>
                <w:w w:val="99"/>
                <w:sz w:val="18"/>
              </w:rPr>
              <w:t>0</w:t>
            </w:r>
          </w:p>
        </w:tc>
        <w:tc>
          <w:tcPr>
            <w:tcW w:w="1260" w:type="dxa"/>
          </w:tcPr>
          <w:p>
            <w:pPr>
              <w:pStyle w:val="TableParagraph"/>
              <w:rPr>
                <w:sz w:val="18"/>
              </w:rPr>
            </w:pPr>
            <w:r>
              <w:rPr>
                <w:sz w:val="18"/>
              </w:rPr>
              <w:t>&lt; 1</w:t>
            </w:r>
          </w:p>
        </w:tc>
      </w:tr>
      <w:tr>
        <w:trPr>
          <w:trHeight w:val="218" w:hRule="exact"/>
        </w:trPr>
        <w:tc>
          <w:tcPr>
            <w:tcW w:w="1352" w:type="dxa"/>
          </w:tcPr>
          <w:p>
            <w:pPr>
              <w:pStyle w:val="TableParagraph"/>
              <w:rPr>
                <w:sz w:val="18"/>
              </w:rPr>
            </w:pPr>
            <w:r>
              <w:rPr>
                <w:sz w:val="18"/>
              </w:rPr>
              <w:t>109</w:t>
            </w:r>
          </w:p>
        </w:tc>
        <w:tc>
          <w:tcPr>
            <w:tcW w:w="1260" w:type="dxa"/>
          </w:tcPr>
          <w:p>
            <w:pPr>
              <w:pStyle w:val="TableParagraph"/>
              <w:rPr>
                <w:sz w:val="18"/>
              </w:rPr>
            </w:pPr>
            <w:r>
              <w:rPr>
                <w:sz w:val="18"/>
              </w:rPr>
              <w:t>1000</w:t>
            </w:r>
          </w:p>
        </w:tc>
        <w:tc>
          <w:tcPr>
            <w:tcW w:w="1260" w:type="dxa"/>
          </w:tcPr>
          <w:p>
            <w:pPr>
              <w:pStyle w:val="TableParagraph"/>
              <w:rPr>
                <w:sz w:val="18"/>
              </w:rPr>
            </w:pPr>
            <w:r>
              <w:rPr>
                <w:sz w:val="18"/>
              </w:rPr>
              <w:t>1000</w:t>
            </w:r>
          </w:p>
        </w:tc>
        <w:tc>
          <w:tcPr>
            <w:tcW w:w="1261" w:type="dxa"/>
          </w:tcPr>
          <w:p>
            <w:pPr>
              <w:pStyle w:val="TableParagraph"/>
              <w:rPr>
                <w:sz w:val="18"/>
              </w:rPr>
            </w:pPr>
            <w:r>
              <w:rPr>
                <w:w w:val="99"/>
                <w:sz w:val="18"/>
              </w:rPr>
              <w:t>0</w:t>
            </w:r>
          </w:p>
        </w:tc>
        <w:tc>
          <w:tcPr>
            <w:tcW w:w="1260" w:type="dxa"/>
          </w:tcPr>
          <w:p>
            <w:pPr>
              <w:pStyle w:val="TableParagraph"/>
              <w:rPr>
                <w:sz w:val="18"/>
              </w:rPr>
            </w:pPr>
            <w:r>
              <w:rPr>
                <w:sz w:val="18"/>
              </w:rPr>
              <w:t>&lt; 1</w:t>
            </w:r>
          </w:p>
        </w:tc>
      </w:tr>
      <w:tr>
        <w:trPr>
          <w:trHeight w:val="216" w:hRule="exact"/>
        </w:trPr>
        <w:tc>
          <w:tcPr>
            <w:tcW w:w="1352" w:type="dxa"/>
          </w:tcPr>
          <w:p>
            <w:pPr>
              <w:pStyle w:val="TableParagraph"/>
              <w:rPr>
                <w:sz w:val="18"/>
              </w:rPr>
            </w:pPr>
            <w:r>
              <w:rPr>
                <w:sz w:val="18"/>
              </w:rPr>
              <w:t>114</w:t>
            </w:r>
          </w:p>
        </w:tc>
        <w:tc>
          <w:tcPr>
            <w:tcW w:w="1260" w:type="dxa"/>
          </w:tcPr>
          <w:p>
            <w:pPr>
              <w:pStyle w:val="TableParagraph"/>
              <w:rPr>
                <w:sz w:val="18"/>
              </w:rPr>
            </w:pPr>
            <w:r>
              <w:rPr>
                <w:sz w:val="18"/>
              </w:rPr>
              <w:t>1000</w:t>
            </w:r>
          </w:p>
        </w:tc>
        <w:tc>
          <w:tcPr>
            <w:tcW w:w="1260" w:type="dxa"/>
          </w:tcPr>
          <w:p>
            <w:pPr>
              <w:pStyle w:val="TableParagraph"/>
              <w:rPr>
                <w:sz w:val="18"/>
              </w:rPr>
            </w:pPr>
            <w:r>
              <w:rPr>
                <w:sz w:val="18"/>
              </w:rPr>
              <w:t>1000</w:t>
            </w:r>
          </w:p>
        </w:tc>
        <w:tc>
          <w:tcPr>
            <w:tcW w:w="1261" w:type="dxa"/>
          </w:tcPr>
          <w:p>
            <w:pPr>
              <w:pStyle w:val="TableParagraph"/>
              <w:rPr>
                <w:sz w:val="18"/>
              </w:rPr>
            </w:pPr>
            <w:r>
              <w:rPr>
                <w:w w:val="99"/>
                <w:sz w:val="18"/>
              </w:rPr>
              <w:t>0</w:t>
            </w:r>
          </w:p>
        </w:tc>
        <w:tc>
          <w:tcPr>
            <w:tcW w:w="1260" w:type="dxa"/>
          </w:tcPr>
          <w:p>
            <w:pPr>
              <w:pStyle w:val="TableParagraph"/>
              <w:rPr>
                <w:sz w:val="18"/>
              </w:rPr>
            </w:pPr>
            <w:r>
              <w:rPr>
                <w:sz w:val="18"/>
              </w:rPr>
              <w:t>&lt; 1</w:t>
            </w:r>
          </w:p>
        </w:tc>
      </w:tr>
      <w:tr>
        <w:trPr>
          <w:trHeight w:val="216" w:hRule="exact"/>
        </w:trPr>
        <w:tc>
          <w:tcPr>
            <w:tcW w:w="1352" w:type="dxa"/>
          </w:tcPr>
          <w:p>
            <w:pPr>
              <w:pStyle w:val="TableParagraph"/>
              <w:rPr>
                <w:sz w:val="18"/>
              </w:rPr>
            </w:pPr>
            <w:r>
              <w:rPr>
                <w:sz w:val="18"/>
              </w:rPr>
              <w:t>119</w:t>
            </w:r>
          </w:p>
        </w:tc>
        <w:tc>
          <w:tcPr>
            <w:tcW w:w="1260" w:type="dxa"/>
          </w:tcPr>
          <w:p>
            <w:pPr>
              <w:pStyle w:val="TableParagraph"/>
              <w:rPr>
                <w:sz w:val="18"/>
              </w:rPr>
            </w:pPr>
            <w:r>
              <w:rPr>
                <w:sz w:val="18"/>
              </w:rPr>
              <w:t>1000</w:t>
            </w:r>
          </w:p>
        </w:tc>
        <w:tc>
          <w:tcPr>
            <w:tcW w:w="1260" w:type="dxa"/>
          </w:tcPr>
          <w:p>
            <w:pPr>
              <w:pStyle w:val="TableParagraph"/>
              <w:rPr>
                <w:sz w:val="18"/>
              </w:rPr>
            </w:pPr>
            <w:r>
              <w:rPr>
                <w:sz w:val="18"/>
              </w:rPr>
              <w:t>1000</w:t>
            </w:r>
          </w:p>
        </w:tc>
        <w:tc>
          <w:tcPr>
            <w:tcW w:w="1261" w:type="dxa"/>
          </w:tcPr>
          <w:p>
            <w:pPr>
              <w:pStyle w:val="TableParagraph"/>
              <w:rPr>
                <w:sz w:val="18"/>
              </w:rPr>
            </w:pPr>
            <w:r>
              <w:rPr>
                <w:w w:val="99"/>
                <w:sz w:val="18"/>
              </w:rPr>
              <w:t>0</w:t>
            </w:r>
          </w:p>
        </w:tc>
        <w:tc>
          <w:tcPr>
            <w:tcW w:w="1260" w:type="dxa"/>
          </w:tcPr>
          <w:p>
            <w:pPr>
              <w:pStyle w:val="TableParagraph"/>
              <w:rPr>
                <w:sz w:val="18"/>
              </w:rPr>
            </w:pPr>
            <w:r>
              <w:rPr>
                <w:sz w:val="18"/>
              </w:rPr>
              <w:t>&lt; 1</w:t>
            </w:r>
          </w:p>
        </w:tc>
      </w:tr>
      <w:tr>
        <w:trPr>
          <w:trHeight w:val="218" w:hRule="exact"/>
        </w:trPr>
        <w:tc>
          <w:tcPr>
            <w:tcW w:w="1352" w:type="dxa"/>
          </w:tcPr>
          <w:p>
            <w:pPr>
              <w:pStyle w:val="TableParagraph"/>
              <w:spacing w:line="240" w:lineRule="auto" w:before="1"/>
              <w:rPr>
                <w:sz w:val="18"/>
              </w:rPr>
            </w:pPr>
            <w:r>
              <w:rPr>
                <w:sz w:val="18"/>
              </w:rPr>
              <w:t>122</w:t>
            </w:r>
          </w:p>
        </w:tc>
        <w:tc>
          <w:tcPr>
            <w:tcW w:w="1260" w:type="dxa"/>
          </w:tcPr>
          <w:p>
            <w:pPr>
              <w:pStyle w:val="TableParagraph"/>
              <w:spacing w:line="240" w:lineRule="auto" w:before="1"/>
              <w:rPr>
                <w:sz w:val="18"/>
              </w:rPr>
            </w:pPr>
            <w:r>
              <w:rPr>
                <w:sz w:val="18"/>
              </w:rPr>
              <w:t>1000</w:t>
            </w:r>
          </w:p>
        </w:tc>
        <w:tc>
          <w:tcPr>
            <w:tcW w:w="1260" w:type="dxa"/>
          </w:tcPr>
          <w:p>
            <w:pPr>
              <w:pStyle w:val="TableParagraph"/>
              <w:spacing w:line="240" w:lineRule="auto" w:before="1"/>
              <w:rPr>
                <w:sz w:val="18"/>
              </w:rPr>
            </w:pPr>
            <w:r>
              <w:rPr>
                <w:sz w:val="18"/>
              </w:rPr>
              <w:t>988</w:t>
            </w:r>
          </w:p>
        </w:tc>
        <w:tc>
          <w:tcPr>
            <w:tcW w:w="1261" w:type="dxa"/>
          </w:tcPr>
          <w:p>
            <w:pPr>
              <w:pStyle w:val="TableParagraph"/>
              <w:spacing w:line="240" w:lineRule="auto" w:before="1"/>
              <w:rPr>
                <w:sz w:val="18"/>
              </w:rPr>
            </w:pPr>
            <w:r>
              <w:rPr>
                <w:sz w:val="18"/>
              </w:rPr>
              <w:t>1.18</w:t>
            </w:r>
          </w:p>
        </w:tc>
        <w:tc>
          <w:tcPr>
            <w:tcW w:w="1260" w:type="dxa"/>
          </w:tcPr>
          <w:p>
            <w:pPr>
              <w:pStyle w:val="TableParagraph"/>
              <w:spacing w:line="240" w:lineRule="auto" w:before="1"/>
              <w:rPr>
                <w:sz w:val="18"/>
              </w:rPr>
            </w:pPr>
            <w:r>
              <w:rPr>
                <w:sz w:val="18"/>
              </w:rPr>
              <w:t>&lt; 1</w:t>
            </w:r>
          </w:p>
        </w:tc>
      </w:tr>
      <w:tr>
        <w:trPr>
          <w:trHeight w:val="216" w:hRule="exact"/>
        </w:trPr>
        <w:tc>
          <w:tcPr>
            <w:tcW w:w="1352" w:type="dxa"/>
            <w:tcBorders>
              <w:bottom w:val="single" w:sz="4" w:space="0" w:color="000000"/>
            </w:tcBorders>
          </w:tcPr>
          <w:p>
            <w:pPr>
              <w:pStyle w:val="TableParagraph"/>
              <w:rPr>
                <w:sz w:val="18"/>
              </w:rPr>
            </w:pPr>
            <w:r>
              <w:rPr>
                <w:sz w:val="18"/>
              </w:rPr>
              <w:t>123</w:t>
            </w:r>
          </w:p>
        </w:tc>
        <w:tc>
          <w:tcPr>
            <w:tcW w:w="1260" w:type="dxa"/>
            <w:tcBorders>
              <w:bottom w:val="single" w:sz="4" w:space="0" w:color="000000"/>
            </w:tcBorders>
          </w:tcPr>
          <w:p>
            <w:pPr>
              <w:pStyle w:val="TableParagraph"/>
              <w:rPr>
                <w:sz w:val="18"/>
              </w:rPr>
            </w:pPr>
            <w:r>
              <w:rPr>
                <w:sz w:val="18"/>
              </w:rPr>
              <w:t>1000</w:t>
            </w:r>
          </w:p>
        </w:tc>
        <w:tc>
          <w:tcPr>
            <w:tcW w:w="1260" w:type="dxa"/>
            <w:tcBorders>
              <w:bottom w:val="single" w:sz="4" w:space="0" w:color="000000"/>
            </w:tcBorders>
          </w:tcPr>
          <w:p>
            <w:pPr>
              <w:pStyle w:val="TableParagraph"/>
              <w:rPr>
                <w:sz w:val="18"/>
              </w:rPr>
            </w:pPr>
            <w:r>
              <w:rPr>
                <w:sz w:val="18"/>
              </w:rPr>
              <w:t>987</w:t>
            </w:r>
          </w:p>
        </w:tc>
        <w:tc>
          <w:tcPr>
            <w:tcW w:w="1261" w:type="dxa"/>
            <w:tcBorders>
              <w:bottom w:val="single" w:sz="4" w:space="0" w:color="000000"/>
            </w:tcBorders>
          </w:tcPr>
          <w:p>
            <w:pPr>
              <w:pStyle w:val="TableParagraph"/>
              <w:rPr>
                <w:sz w:val="18"/>
              </w:rPr>
            </w:pPr>
            <w:r>
              <w:rPr>
                <w:sz w:val="18"/>
              </w:rPr>
              <w:t>1.27</w:t>
            </w:r>
          </w:p>
        </w:tc>
        <w:tc>
          <w:tcPr>
            <w:tcW w:w="1260" w:type="dxa"/>
            <w:tcBorders>
              <w:bottom w:val="single" w:sz="4" w:space="0" w:color="000000"/>
            </w:tcBorders>
          </w:tcPr>
          <w:p>
            <w:pPr>
              <w:pStyle w:val="TableParagraph"/>
              <w:rPr>
                <w:sz w:val="18"/>
              </w:rPr>
            </w:pPr>
            <w:r>
              <w:rPr>
                <w:sz w:val="18"/>
              </w:rPr>
              <w:t>&lt; 1</w:t>
            </w:r>
          </w:p>
        </w:tc>
      </w:tr>
      <w:tr>
        <w:trPr>
          <w:trHeight w:val="219" w:hRule="exact"/>
        </w:trPr>
        <w:tc>
          <w:tcPr>
            <w:tcW w:w="1352" w:type="dxa"/>
            <w:tcBorders>
              <w:top w:val="single" w:sz="4" w:space="0" w:color="000000"/>
            </w:tcBorders>
          </w:tcPr>
          <w:p>
            <w:pPr>
              <w:pStyle w:val="TableParagraph"/>
              <w:rPr>
                <w:sz w:val="18"/>
              </w:rPr>
            </w:pPr>
            <w:r>
              <w:rPr>
                <w:sz w:val="18"/>
              </w:rPr>
              <w:t>124</w:t>
            </w:r>
          </w:p>
        </w:tc>
        <w:tc>
          <w:tcPr>
            <w:tcW w:w="1260" w:type="dxa"/>
            <w:tcBorders>
              <w:top w:val="single" w:sz="4" w:space="0" w:color="000000"/>
            </w:tcBorders>
          </w:tcPr>
          <w:p>
            <w:pPr>
              <w:pStyle w:val="TableParagraph"/>
              <w:rPr>
                <w:sz w:val="18"/>
              </w:rPr>
            </w:pPr>
            <w:r>
              <w:rPr>
                <w:sz w:val="18"/>
              </w:rPr>
              <w:t>1000</w:t>
            </w:r>
          </w:p>
        </w:tc>
        <w:tc>
          <w:tcPr>
            <w:tcW w:w="1260" w:type="dxa"/>
            <w:tcBorders>
              <w:top w:val="single" w:sz="4" w:space="0" w:color="000000"/>
            </w:tcBorders>
          </w:tcPr>
          <w:p>
            <w:pPr>
              <w:pStyle w:val="TableParagraph"/>
              <w:rPr>
                <w:sz w:val="18"/>
              </w:rPr>
            </w:pPr>
            <w:r>
              <w:rPr>
                <w:sz w:val="18"/>
              </w:rPr>
              <w:t>984</w:t>
            </w:r>
          </w:p>
        </w:tc>
        <w:tc>
          <w:tcPr>
            <w:tcW w:w="1261" w:type="dxa"/>
            <w:tcBorders>
              <w:top w:val="single" w:sz="4" w:space="0" w:color="000000"/>
            </w:tcBorders>
          </w:tcPr>
          <w:p>
            <w:pPr>
              <w:pStyle w:val="TableParagraph"/>
              <w:rPr>
                <w:sz w:val="18"/>
              </w:rPr>
            </w:pPr>
            <w:r>
              <w:rPr>
                <w:sz w:val="18"/>
              </w:rPr>
              <w:t>1.53</w:t>
            </w:r>
          </w:p>
        </w:tc>
        <w:tc>
          <w:tcPr>
            <w:tcW w:w="1260" w:type="dxa"/>
            <w:tcBorders>
              <w:top w:val="single" w:sz="4" w:space="0" w:color="000000"/>
            </w:tcBorders>
          </w:tcPr>
          <w:p>
            <w:pPr>
              <w:pStyle w:val="TableParagraph"/>
              <w:rPr>
                <w:sz w:val="18"/>
              </w:rPr>
            </w:pPr>
            <w:r>
              <w:rPr>
                <w:sz w:val="18"/>
              </w:rPr>
              <w:t>&lt; 1</w:t>
            </w:r>
          </w:p>
        </w:tc>
      </w:tr>
      <w:tr>
        <w:trPr>
          <w:trHeight w:val="216" w:hRule="exact"/>
        </w:trPr>
        <w:tc>
          <w:tcPr>
            <w:tcW w:w="1352" w:type="dxa"/>
          </w:tcPr>
          <w:p>
            <w:pPr>
              <w:pStyle w:val="TableParagraph"/>
              <w:rPr>
                <w:sz w:val="18"/>
              </w:rPr>
            </w:pPr>
            <w:r>
              <w:rPr>
                <w:sz w:val="18"/>
              </w:rPr>
              <w:t>125</w:t>
            </w:r>
          </w:p>
        </w:tc>
        <w:tc>
          <w:tcPr>
            <w:tcW w:w="1260" w:type="dxa"/>
          </w:tcPr>
          <w:p>
            <w:pPr>
              <w:pStyle w:val="TableParagraph"/>
              <w:rPr>
                <w:sz w:val="18"/>
              </w:rPr>
            </w:pPr>
            <w:r>
              <w:rPr>
                <w:sz w:val="18"/>
              </w:rPr>
              <w:t>1000</w:t>
            </w:r>
          </w:p>
        </w:tc>
        <w:tc>
          <w:tcPr>
            <w:tcW w:w="1260" w:type="dxa"/>
          </w:tcPr>
          <w:p>
            <w:pPr>
              <w:pStyle w:val="TableParagraph"/>
              <w:rPr>
                <w:sz w:val="18"/>
              </w:rPr>
            </w:pPr>
            <w:r>
              <w:rPr>
                <w:sz w:val="18"/>
              </w:rPr>
              <w:t>887</w:t>
            </w:r>
          </w:p>
        </w:tc>
        <w:tc>
          <w:tcPr>
            <w:tcW w:w="1261" w:type="dxa"/>
          </w:tcPr>
          <w:p>
            <w:pPr>
              <w:pStyle w:val="TableParagraph"/>
              <w:rPr>
                <w:sz w:val="18"/>
              </w:rPr>
            </w:pPr>
            <w:r>
              <w:rPr>
                <w:sz w:val="18"/>
              </w:rPr>
              <w:t>11.27</w:t>
            </w:r>
          </w:p>
        </w:tc>
        <w:tc>
          <w:tcPr>
            <w:tcW w:w="1260" w:type="dxa"/>
          </w:tcPr>
          <w:p>
            <w:pPr>
              <w:pStyle w:val="TableParagraph"/>
              <w:rPr>
                <w:sz w:val="18"/>
              </w:rPr>
            </w:pPr>
            <w:r>
              <w:rPr>
                <w:sz w:val="18"/>
              </w:rPr>
              <w:t>&lt; 1</w:t>
            </w:r>
          </w:p>
        </w:tc>
      </w:tr>
      <w:tr>
        <w:trPr>
          <w:trHeight w:val="218" w:hRule="exact"/>
        </w:trPr>
        <w:tc>
          <w:tcPr>
            <w:tcW w:w="1352" w:type="dxa"/>
          </w:tcPr>
          <w:p>
            <w:pPr>
              <w:pStyle w:val="TableParagraph"/>
              <w:rPr>
                <w:sz w:val="18"/>
              </w:rPr>
            </w:pPr>
            <w:r>
              <w:rPr>
                <w:sz w:val="18"/>
              </w:rPr>
              <w:t>126</w:t>
            </w:r>
          </w:p>
        </w:tc>
        <w:tc>
          <w:tcPr>
            <w:tcW w:w="1260" w:type="dxa"/>
          </w:tcPr>
          <w:p>
            <w:pPr>
              <w:pStyle w:val="TableParagraph"/>
              <w:rPr>
                <w:sz w:val="18"/>
              </w:rPr>
            </w:pPr>
            <w:r>
              <w:rPr>
                <w:sz w:val="18"/>
              </w:rPr>
              <w:t>1000</w:t>
            </w:r>
          </w:p>
        </w:tc>
        <w:tc>
          <w:tcPr>
            <w:tcW w:w="1260" w:type="dxa"/>
          </w:tcPr>
          <w:p>
            <w:pPr>
              <w:pStyle w:val="TableParagraph"/>
              <w:rPr>
                <w:sz w:val="18"/>
              </w:rPr>
            </w:pPr>
            <w:r>
              <w:rPr>
                <w:sz w:val="18"/>
              </w:rPr>
              <w:t>810</w:t>
            </w:r>
          </w:p>
        </w:tc>
        <w:tc>
          <w:tcPr>
            <w:tcW w:w="1261" w:type="dxa"/>
          </w:tcPr>
          <w:p>
            <w:pPr>
              <w:pStyle w:val="TableParagraph"/>
              <w:rPr>
                <w:sz w:val="18"/>
              </w:rPr>
            </w:pPr>
            <w:r>
              <w:rPr>
                <w:sz w:val="18"/>
              </w:rPr>
              <w:t>18.93</w:t>
            </w:r>
          </w:p>
        </w:tc>
        <w:tc>
          <w:tcPr>
            <w:tcW w:w="1260" w:type="dxa"/>
          </w:tcPr>
          <w:p>
            <w:pPr>
              <w:pStyle w:val="TableParagraph"/>
              <w:rPr>
                <w:sz w:val="18"/>
              </w:rPr>
            </w:pPr>
            <w:r>
              <w:rPr>
                <w:sz w:val="18"/>
              </w:rPr>
              <w:t>&lt; 1</w:t>
            </w:r>
          </w:p>
        </w:tc>
      </w:tr>
      <w:tr>
        <w:trPr>
          <w:trHeight w:val="216" w:hRule="exact"/>
        </w:trPr>
        <w:tc>
          <w:tcPr>
            <w:tcW w:w="1352" w:type="dxa"/>
          </w:tcPr>
          <w:p>
            <w:pPr>
              <w:pStyle w:val="TableParagraph"/>
              <w:rPr>
                <w:sz w:val="18"/>
              </w:rPr>
            </w:pPr>
            <w:r>
              <w:rPr>
                <w:sz w:val="18"/>
              </w:rPr>
              <w:t>127</w:t>
            </w:r>
          </w:p>
        </w:tc>
        <w:tc>
          <w:tcPr>
            <w:tcW w:w="1260" w:type="dxa"/>
          </w:tcPr>
          <w:p>
            <w:pPr>
              <w:pStyle w:val="TableParagraph"/>
              <w:rPr>
                <w:sz w:val="18"/>
              </w:rPr>
            </w:pPr>
            <w:r>
              <w:rPr>
                <w:sz w:val="18"/>
              </w:rPr>
              <w:t>1000</w:t>
            </w:r>
          </w:p>
        </w:tc>
        <w:tc>
          <w:tcPr>
            <w:tcW w:w="1260" w:type="dxa"/>
          </w:tcPr>
          <w:p>
            <w:pPr>
              <w:pStyle w:val="TableParagraph"/>
              <w:rPr>
                <w:sz w:val="18"/>
              </w:rPr>
            </w:pPr>
            <w:r>
              <w:rPr>
                <w:sz w:val="18"/>
              </w:rPr>
              <w:t>791</w:t>
            </w:r>
          </w:p>
        </w:tc>
        <w:tc>
          <w:tcPr>
            <w:tcW w:w="1261" w:type="dxa"/>
          </w:tcPr>
          <w:p>
            <w:pPr>
              <w:pStyle w:val="TableParagraph"/>
              <w:rPr>
                <w:sz w:val="18"/>
              </w:rPr>
            </w:pPr>
            <w:r>
              <w:rPr>
                <w:sz w:val="18"/>
              </w:rPr>
              <w:t>20.83</w:t>
            </w:r>
          </w:p>
        </w:tc>
        <w:tc>
          <w:tcPr>
            <w:tcW w:w="1260" w:type="dxa"/>
          </w:tcPr>
          <w:p>
            <w:pPr>
              <w:pStyle w:val="TableParagraph"/>
              <w:rPr>
                <w:sz w:val="18"/>
              </w:rPr>
            </w:pPr>
            <w:r>
              <w:rPr>
                <w:sz w:val="18"/>
              </w:rPr>
              <w:t>&lt; 1</w:t>
            </w:r>
          </w:p>
        </w:tc>
      </w:tr>
      <w:tr>
        <w:trPr>
          <w:trHeight w:val="216" w:hRule="exact"/>
        </w:trPr>
        <w:tc>
          <w:tcPr>
            <w:tcW w:w="1352" w:type="dxa"/>
          </w:tcPr>
          <w:p>
            <w:pPr>
              <w:pStyle w:val="TableParagraph"/>
              <w:rPr>
                <w:sz w:val="18"/>
              </w:rPr>
            </w:pPr>
            <w:r>
              <w:rPr>
                <w:sz w:val="18"/>
              </w:rPr>
              <w:t>128</w:t>
            </w:r>
          </w:p>
        </w:tc>
        <w:tc>
          <w:tcPr>
            <w:tcW w:w="1260" w:type="dxa"/>
          </w:tcPr>
          <w:p>
            <w:pPr>
              <w:pStyle w:val="TableParagraph"/>
              <w:rPr>
                <w:sz w:val="18"/>
              </w:rPr>
            </w:pPr>
            <w:r>
              <w:rPr>
                <w:sz w:val="18"/>
              </w:rPr>
              <w:t>1000</w:t>
            </w:r>
          </w:p>
        </w:tc>
        <w:tc>
          <w:tcPr>
            <w:tcW w:w="1260" w:type="dxa"/>
          </w:tcPr>
          <w:p>
            <w:pPr>
              <w:pStyle w:val="TableParagraph"/>
              <w:rPr>
                <w:sz w:val="18"/>
              </w:rPr>
            </w:pPr>
            <w:r>
              <w:rPr>
                <w:sz w:val="18"/>
              </w:rPr>
              <w:t>35</w:t>
            </w:r>
          </w:p>
        </w:tc>
        <w:tc>
          <w:tcPr>
            <w:tcW w:w="1261" w:type="dxa"/>
          </w:tcPr>
          <w:p>
            <w:pPr>
              <w:pStyle w:val="TableParagraph"/>
              <w:rPr>
                <w:sz w:val="18"/>
              </w:rPr>
            </w:pPr>
            <w:r>
              <w:rPr>
                <w:sz w:val="18"/>
              </w:rPr>
              <w:t>96.5</w:t>
            </w:r>
          </w:p>
        </w:tc>
        <w:tc>
          <w:tcPr>
            <w:tcW w:w="1260" w:type="dxa"/>
          </w:tcPr>
          <w:p>
            <w:pPr>
              <w:pStyle w:val="TableParagraph"/>
              <w:rPr>
                <w:sz w:val="18"/>
              </w:rPr>
            </w:pPr>
            <w:r>
              <w:rPr>
                <w:sz w:val="18"/>
              </w:rPr>
              <w:t>&lt; 1</w:t>
            </w:r>
          </w:p>
        </w:tc>
      </w:tr>
      <w:tr>
        <w:trPr>
          <w:trHeight w:val="218" w:hRule="exact"/>
        </w:trPr>
        <w:tc>
          <w:tcPr>
            <w:tcW w:w="1352" w:type="dxa"/>
          </w:tcPr>
          <w:p>
            <w:pPr>
              <w:pStyle w:val="TableParagraph"/>
              <w:spacing w:line="240" w:lineRule="auto" w:before="1"/>
              <w:rPr>
                <w:sz w:val="18"/>
              </w:rPr>
            </w:pPr>
            <w:r>
              <w:rPr>
                <w:sz w:val="18"/>
              </w:rPr>
              <w:t>129</w:t>
            </w:r>
          </w:p>
        </w:tc>
        <w:tc>
          <w:tcPr>
            <w:tcW w:w="1260" w:type="dxa"/>
          </w:tcPr>
          <w:p>
            <w:pPr>
              <w:pStyle w:val="TableParagraph"/>
              <w:spacing w:line="240" w:lineRule="auto" w:before="1"/>
              <w:rPr>
                <w:sz w:val="18"/>
              </w:rPr>
            </w:pPr>
            <w:r>
              <w:rPr>
                <w:sz w:val="18"/>
              </w:rPr>
              <w:t>1000</w:t>
            </w:r>
          </w:p>
        </w:tc>
        <w:tc>
          <w:tcPr>
            <w:tcW w:w="1260" w:type="dxa"/>
          </w:tcPr>
          <w:p>
            <w:pPr>
              <w:pStyle w:val="TableParagraph"/>
              <w:spacing w:line="240" w:lineRule="auto" w:before="1"/>
              <w:rPr>
                <w:sz w:val="18"/>
              </w:rPr>
            </w:pPr>
            <w:r>
              <w:rPr>
                <w:w w:val="99"/>
                <w:sz w:val="18"/>
              </w:rPr>
              <w:t>0</w:t>
            </w:r>
          </w:p>
        </w:tc>
        <w:tc>
          <w:tcPr>
            <w:tcW w:w="1261" w:type="dxa"/>
          </w:tcPr>
          <w:p>
            <w:pPr>
              <w:pStyle w:val="TableParagraph"/>
              <w:spacing w:line="240" w:lineRule="auto" w:before="1"/>
              <w:rPr>
                <w:sz w:val="18"/>
              </w:rPr>
            </w:pPr>
            <w:r>
              <w:rPr>
                <w:sz w:val="18"/>
              </w:rPr>
              <w:t>100</w:t>
            </w:r>
          </w:p>
        </w:tc>
        <w:tc>
          <w:tcPr>
            <w:tcW w:w="1260" w:type="dxa"/>
          </w:tcPr>
          <w:p>
            <w:pPr>
              <w:pStyle w:val="TableParagraph"/>
              <w:spacing w:line="240" w:lineRule="auto" w:before="1"/>
              <w:rPr>
                <w:sz w:val="18"/>
              </w:rPr>
            </w:pPr>
            <w:r>
              <w:rPr>
                <w:sz w:val="18"/>
              </w:rPr>
              <w:t>&lt; 1</w:t>
            </w:r>
          </w:p>
        </w:tc>
      </w:tr>
    </w:tbl>
    <w:p>
      <w:pPr>
        <w:pStyle w:val="BodyText"/>
        <w:rPr>
          <w:b/>
          <w:sz w:val="22"/>
        </w:rPr>
      </w:pPr>
    </w:p>
    <w:p>
      <w:pPr>
        <w:pStyle w:val="BodyText"/>
        <w:spacing w:before="7"/>
        <w:rPr>
          <w:b/>
          <w:sz w:val="23"/>
        </w:rPr>
      </w:pPr>
    </w:p>
    <w:p>
      <w:pPr>
        <w:spacing w:before="0"/>
        <w:ind w:left="1133" w:right="0" w:firstLine="0"/>
        <w:jc w:val="left"/>
        <w:rPr>
          <w:b/>
          <w:sz w:val="20"/>
        </w:rPr>
      </w:pPr>
      <w:r>
        <w:rPr>
          <w:b/>
          <w:sz w:val="20"/>
        </w:rPr>
        <w:t>Table 9: C-V2X Results – IPG and Latency</w:t>
      </w:r>
    </w:p>
    <w:p>
      <w:pPr>
        <w:pStyle w:val="BodyText"/>
        <w:spacing w:after="1"/>
        <w:rPr>
          <w:b/>
          <w:sz w:val="16"/>
        </w:rPr>
      </w:pPr>
    </w:p>
    <w:tbl>
      <w:tblPr>
        <w:tblW w:w="0" w:type="auto"/>
        <w:jc w:val="left"/>
        <w:tblInd w:w="1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1"/>
        <w:gridCol w:w="1261"/>
        <w:gridCol w:w="1260"/>
        <w:gridCol w:w="1260"/>
        <w:gridCol w:w="1261"/>
        <w:gridCol w:w="1260"/>
        <w:gridCol w:w="1260"/>
      </w:tblGrid>
      <w:tr>
        <w:trPr>
          <w:trHeight w:val="630" w:hRule="exact"/>
        </w:trPr>
        <w:tc>
          <w:tcPr>
            <w:tcW w:w="1351" w:type="dxa"/>
            <w:shd w:val="clear" w:color="auto" w:fill="D9D9D9"/>
          </w:tcPr>
          <w:p>
            <w:pPr/>
          </w:p>
        </w:tc>
        <w:tc>
          <w:tcPr>
            <w:tcW w:w="1261" w:type="dxa"/>
            <w:shd w:val="clear" w:color="auto" w:fill="D9D9D9"/>
          </w:tcPr>
          <w:p>
            <w:pPr>
              <w:pStyle w:val="TableParagraph"/>
              <w:tabs>
                <w:tab w:pos="979" w:val="left" w:leader="none"/>
              </w:tabs>
              <w:spacing w:line="201" w:lineRule="exact"/>
              <w:rPr>
                <w:b/>
                <w:sz w:val="18"/>
              </w:rPr>
            </w:pPr>
            <w:r>
              <w:rPr>
                <w:b/>
                <w:sz w:val="18"/>
              </w:rPr>
              <w:t>No.</w:t>
              <w:tab/>
              <w:t>of</w:t>
            </w:r>
          </w:p>
          <w:p>
            <w:pPr>
              <w:pStyle w:val="TableParagraph"/>
              <w:spacing w:line="240" w:lineRule="auto"/>
              <w:ind w:right="97"/>
              <w:rPr>
                <w:b/>
                <w:sz w:val="18"/>
              </w:rPr>
            </w:pPr>
            <w:r>
              <w:rPr>
                <w:b/>
                <w:sz w:val="18"/>
              </w:rPr>
              <w:t>Transmitted pkts/s</w:t>
            </w:r>
          </w:p>
        </w:tc>
        <w:tc>
          <w:tcPr>
            <w:tcW w:w="1260" w:type="dxa"/>
            <w:shd w:val="clear" w:color="auto" w:fill="D9D9D9"/>
          </w:tcPr>
          <w:p>
            <w:pPr>
              <w:pStyle w:val="TableParagraph"/>
              <w:tabs>
                <w:tab w:pos="979" w:val="left" w:leader="none"/>
              </w:tabs>
              <w:spacing w:line="201" w:lineRule="exact"/>
              <w:rPr>
                <w:b/>
                <w:sz w:val="18"/>
              </w:rPr>
            </w:pPr>
            <w:r>
              <w:rPr>
                <w:b/>
                <w:sz w:val="18"/>
              </w:rPr>
              <w:t>No.</w:t>
              <w:tab/>
              <w:t>of</w:t>
            </w:r>
          </w:p>
          <w:p>
            <w:pPr>
              <w:pStyle w:val="TableParagraph"/>
              <w:spacing w:line="240" w:lineRule="auto"/>
              <w:ind w:right="337"/>
              <w:rPr>
                <w:b/>
                <w:sz w:val="18"/>
              </w:rPr>
            </w:pPr>
            <w:r>
              <w:rPr>
                <w:b/>
                <w:sz w:val="18"/>
              </w:rPr>
              <w:t>Received pkts/s</w:t>
            </w:r>
          </w:p>
        </w:tc>
        <w:tc>
          <w:tcPr>
            <w:tcW w:w="1260" w:type="dxa"/>
            <w:shd w:val="clear" w:color="auto" w:fill="D9D9D9"/>
          </w:tcPr>
          <w:p>
            <w:pPr>
              <w:pStyle w:val="TableParagraph"/>
              <w:spacing w:line="240" w:lineRule="auto"/>
              <w:ind w:right="166"/>
              <w:rPr>
                <w:b/>
                <w:sz w:val="18"/>
              </w:rPr>
            </w:pPr>
            <w:r>
              <w:rPr>
                <w:b/>
                <w:sz w:val="18"/>
              </w:rPr>
              <w:t>Calculated at Receiver</w:t>
            </w:r>
          </w:p>
        </w:tc>
        <w:tc>
          <w:tcPr>
            <w:tcW w:w="1261" w:type="dxa"/>
            <w:shd w:val="clear" w:color="auto" w:fill="D9D9D9"/>
          </w:tcPr>
          <w:p>
            <w:pPr>
              <w:pStyle w:val="TableParagraph"/>
              <w:spacing w:line="240" w:lineRule="auto"/>
              <w:ind w:right="167"/>
              <w:rPr>
                <w:b/>
                <w:sz w:val="18"/>
              </w:rPr>
            </w:pPr>
            <w:r>
              <w:rPr>
                <w:b/>
                <w:sz w:val="18"/>
              </w:rPr>
              <w:t>Calculated at Receiver</w:t>
            </w:r>
          </w:p>
        </w:tc>
        <w:tc>
          <w:tcPr>
            <w:tcW w:w="1260" w:type="dxa"/>
            <w:shd w:val="clear" w:color="auto" w:fill="D9D9D9"/>
          </w:tcPr>
          <w:p>
            <w:pPr>
              <w:pStyle w:val="TableParagraph"/>
              <w:spacing w:line="240" w:lineRule="auto"/>
              <w:ind w:right="166"/>
              <w:rPr>
                <w:b/>
                <w:sz w:val="18"/>
              </w:rPr>
            </w:pPr>
            <w:r>
              <w:rPr>
                <w:b/>
                <w:sz w:val="18"/>
              </w:rPr>
              <w:t>Calculated at Receiver</w:t>
            </w:r>
          </w:p>
        </w:tc>
        <w:tc>
          <w:tcPr>
            <w:tcW w:w="1260" w:type="dxa"/>
            <w:shd w:val="clear" w:color="auto" w:fill="D9D9D9"/>
          </w:tcPr>
          <w:p>
            <w:pPr>
              <w:pStyle w:val="TableParagraph"/>
              <w:spacing w:line="240" w:lineRule="auto"/>
              <w:ind w:right="167"/>
              <w:rPr>
                <w:b/>
                <w:sz w:val="18"/>
              </w:rPr>
            </w:pPr>
            <w:r>
              <w:rPr>
                <w:b/>
                <w:sz w:val="18"/>
              </w:rPr>
              <w:t>Calculated at Receiver</w:t>
            </w:r>
          </w:p>
        </w:tc>
      </w:tr>
      <w:tr>
        <w:trPr>
          <w:trHeight w:val="839" w:hRule="exact"/>
        </w:trPr>
        <w:tc>
          <w:tcPr>
            <w:tcW w:w="1351" w:type="dxa"/>
            <w:shd w:val="clear" w:color="auto" w:fill="D9D9D9"/>
          </w:tcPr>
          <w:p>
            <w:pPr>
              <w:pStyle w:val="TableParagraph"/>
              <w:spacing w:line="240" w:lineRule="auto"/>
              <w:rPr>
                <w:b/>
                <w:sz w:val="18"/>
              </w:rPr>
            </w:pPr>
            <w:r>
              <w:rPr>
                <w:b/>
                <w:sz w:val="18"/>
              </w:rPr>
              <w:t>Overall Path Loss (dB)</w:t>
            </w:r>
          </w:p>
        </w:tc>
        <w:tc>
          <w:tcPr>
            <w:tcW w:w="1261" w:type="dxa"/>
            <w:shd w:val="clear" w:color="auto" w:fill="D9D9D9"/>
          </w:tcPr>
          <w:p>
            <w:pPr>
              <w:pStyle w:val="TableParagraph"/>
              <w:spacing w:line="202" w:lineRule="exact"/>
              <w:rPr>
                <w:b/>
                <w:sz w:val="18"/>
              </w:rPr>
            </w:pPr>
            <w:r>
              <w:rPr>
                <w:b/>
                <w:sz w:val="18"/>
              </w:rPr>
              <w:t>C-V2X</w:t>
            </w:r>
          </w:p>
          <w:p>
            <w:pPr>
              <w:pStyle w:val="TableParagraph"/>
              <w:spacing w:line="240" w:lineRule="auto"/>
              <w:ind w:right="367"/>
              <w:rPr>
                <w:b/>
                <w:sz w:val="18"/>
              </w:rPr>
            </w:pPr>
            <w:r>
              <w:rPr>
                <w:b/>
                <w:sz w:val="18"/>
              </w:rPr>
              <w:t>Transmit Device</w:t>
            </w:r>
          </w:p>
        </w:tc>
        <w:tc>
          <w:tcPr>
            <w:tcW w:w="1260" w:type="dxa"/>
            <w:shd w:val="clear" w:color="auto" w:fill="D9D9D9"/>
          </w:tcPr>
          <w:p>
            <w:pPr>
              <w:pStyle w:val="TableParagraph"/>
              <w:spacing w:line="202" w:lineRule="exact"/>
              <w:rPr>
                <w:b/>
                <w:sz w:val="18"/>
              </w:rPr>
            </w:pPr>
            <w:r>
              <w:rPr>
                <w:b/>
                <w:sz w:val="18"/>
              </w:rPr>
              <w:t>C-V2X</w:t>
            </w:r>
          </w:p>
          <w:p>
            <w:pPr>
              <w:pStyle w:val="TableParagraph"/>
              <w:spacing w:line="240" w:lineRule="auto"/>
              <w:ind w:right="447"/>
              <w:rPr>
                <w:b/>
                <w:sz w:val="18"/>
              </w:rPr>
            </w:pPr>
            <w:r>
              <w:rPr>
                <w:b/>
                <w:sz w:val="18"/>
              </w:rPr>
              <w:t>Receive Device</w:t>
            </w:r>
          </w:p>
        </w:tc>
        <w:tc>
          <w:tcPr>
            <w:tcW w:w="1260" w:type="dxa"/>
            <w:shd w:val="clear" w:color="auto" w:fill="D9D9D9"/>
          </w:tcPr>
          <w:p>
            <w:pPr>
              <w:pStyle w:val="TableParagraph"/>
              <w:spacing w:line="240" w:lineRule="auto"/>
              <w:ind w:right="266"/>
              <w:rPr>
                <w:b/>
                <w:sz w:val="18"/>
              </w:rPr>
            </w:pPr>
            <w:r>
              <w:rPr>
                <w:b/>
                <w:position w:val="-5"/>
                <w:sz w:val="18"/>
              </w:rPr>
              <w:t>95</w:t>
            </w:r>
            <w:r>
              <w:rPr>
                <w:b/>
                <w:sz w:val="12"/>
              </w:rPr>
              <w:t>th </w:t>
            </w:r>
            <w:r>
              <w:rPr>
                <w:b/>
                <w:sz w:val="18"/>
              </w:rPr>
              <w:t>Percentile IPG (ms)</w:t>
            </w:r>
          </w:p>
        </w:tc>
        <w:tc>
          <w:tcPr>
            <w:tcW w:w="1261" w:type="dxa"/>
            <w:shd w:val="clear" w:color="auto" w:fill="D9D9D9"/>
          </w:tcPr>
          <w:p>
            <w:pPr>
              <w:pStyle w:val="TableParagraph"/>
              <w:spacing w:line="203" w:lineRule="exact"/>
              <w:rPr>
                <w:b/>
                <w:sz w:val="18"/>
              </w:rPr>
            </w:pPr>
            <w:r>
              <w:rPr>
                <w:b/>
                <w:sz w:val="18"/>
              </w:rPr>
              <w:t>Mean IPG</w:t>
            </w:r>
          </w:p>
        </w:tc>
        <w:tc>
          <w:tcPr>
            <w:tcW w:w="1260" w:type="dxa"/>
            <w:shd w:val="clear" w:color="auto" w:fill="D9D9D9"/>
          </w:tcPr>
          <w:p>
            <w:pPr>
              <w:pStyle w:val="TableParagraph"/>
              <w:spacing w:line="240" w:lineRule="auto"/>
              <w:ind w:right="266"/>
              <w:rPr>
                <w:b/>
                <w:sz w:val="18"/>
              </w:rPr>
            </w:pPr>
            <w:r>
              <w:rPr>
                <w:b/>
                <w:sz w:val="18"/>
              </w:rPr>
              <w:t>95th Percentile Latency (ms)</w:t>
            </w:r>
          </w:p>
        </w:tc>
        <w:tc>
          <w:tcPr>
            <w:tcW w:w="1260" w:type="dxa"/>
            <w:shd w:val="clear" w:color="auto" w:fill="D9D9D9"/>
          </w:tcPr>
          <w:p>
            <w:pPr>
              <w:pStyle w:val="TableParagraph"/>
              <w:spacing w:line="240" w:lineRule="auto"/>
              <w:ind w:right="447"/>
              <w:rPr>
                <w:b/>
                <w:sz w:val="18"/>
              </w:rPr>
            </w:pPr>
            <w:r>
              <w:rPr>
                <w:b/>
                <w:sz w:val="18"/>
              </w:rPr>
              <w:t>Mean Latency</w:t>
            </w:r>
          </w:p>
        </w:tc>
      </w:tr>
      <w:tr>
        <w:trPr>
          <w:trHeight w:val="216" w:hRule="exact"/>
        </w:trPr>
        <w:tc>
          <w:tcPr>
            <w:tcW w:w="1351" w:type="dxa"/>
          </w:tcPr>
          <w:p>
            <w:pPr>
              <w:pStyle w:val="TableParagraph"/>
              <w:rPr>
                <w:sz w:val="18"/>
              </w:rPr>
            </w:pPr>
            <w:r>
              <w:rPr>
                <w:sz w:val="18"/>
              </w:rPr>
              <w:t>69</w:t>
            </w:r>
          </w:p>
        </w:tc>
        <w:tc>
          <w:tcPr>
            <w:tcW w:w="1261" w:type="dxa"/>
          </w:tcPr>
          <w:p>
            <w:pPr>
              <w:pStyle w:val="TableParagraph"/>
              <w:rPr>
                <w:sz w:val="18"/>
              </w:rPr>
            </w:pPr>
            <w:r>
              <w:rPr>
                <w:sz w:val="18"/>
              </w:rPr>
              <w:t>1000</w:t>
            </w:r>
          </w:p>
        </w:tc>
        <w:tc>
          <w:tcPr>
            <w:tcW w:w="1260" w:type="dxa"/>
          </w:tcPr>
          <w:p>
            <w:pPr>
              <w:pStyle w:val="TableParagraph"/>
              <w:rPr>
                <w:sz w:val="18"/>
              </w:rPr>
            </w:pPr>
            <w:r>
              <w:rPr>
                <w:sz w:val="18"/>
              </w:rPr>
              <w:t>1000</w:t>
            </w:r>
          </w:p>
        </w:tc>
        <w:tc>
          <w:tcPr>
            <w:tcW w:w="1260" w:type="dxa"/>
          </w:tcPr>
          <w:p>
            <w:pPr>
              <w:pStyle w:val="TableParagraph"/>
              <w:rPr>
                <w:sz w:val="18"/>
              </w:rPr>
            </w:pPr>
            <w:r>
              <w:rPr>
                <w:sz w:val="18"/>
              </w:rPr>
              <w:t>107</w:t>
            </w:r>
          </w:p>
        </w:tc>
        <w:tc>
          <w:tcPr>
            <w:tcW w:w="1261" w:type="dxa"/>
          </w:tcPr>
          <w:p>
            <w:pPr>
              <w:pStyle w:val="TableParagraph"/>
              <w:rPr>
                <w:sz w:val="18"/>
              </w:rPr>
            </w:pPr>
            <w:r>
              <w:rPr>
                <w:sz w:val="18"/>
              </w:rPr>
              <w:t>100</w:t>
            </w:r>
          </w:p>
        </w:tc>
        <w:tc>
          <w:tcPr>
            <w:tcW w:w="1260" w:type="dxa"/>
          </w:tcPr>
          <w:p>
            <w:pPr>
              <w:pStyle w:val="TableParagraph"/>
              <w:rPr>
                <w:sz w:val="18"/>
              </w:rPr>
            </w:pPr>
            <w:r>
              <w:rPr>
                <w:sz w:val="18"/>
              </w:rPr>
              <w:t>21</w:t>
            </w:r>
          </w:p>
        </w:tc>
        <w:tc>
          <w:tcPr>
            <w:tcW w:w="1260" w:type="dxa"/>
          </w:tcPr>
          <w:p>
            <w:pPr>
              <w:pStyle w:val="TableParagraph"/>
              <w:rPr>
                <w:sz w:val="18"/>
              </w:rPr>
            </w:pPr>
            <w:r>
              <w:rPr>
                <w:sz w:val="18"/>
              </w:rPr>
              <w:t>13</w:t>
            </w:r>
          </w:p>
        </w:tc>
      </w:tr>
      <w:tr>
        <w:trPr>
          <w:trHeight w:val="216" w:hRule="exact"/>
        </w:trPr>
        <w:tc>
          <w:tcPr>
            <w:tcW w:w="1351" w:type="dxa"/>
          </w:tcPr>
          <w:p>
            <w:pPr>
              <w:pStyle w:val="TableParagraph"/>
              <w:rPr>
                <w:sz w:val="18"/>
              </w:rPr>
            </w:pPr>
            <w:r>
              <w:rPr>
                <w:sz w:val="18"/>
              </w:rPr>
              <w:t>79</w:t>
            </w:r>
          </w:p>
        </w:tc>
        <w:tc>
          <w:tcPr>
            <w:tcW w:w="1261" w:type="dxa"/>
          </w:tcPr>
          <w:p>
            <w:pPr>
              <w:pStyle w:val="TableParagraph"/>
              <w:rPr>
                <w:sz w:val="18"/>
              </w:rPr>
            </w:pPr>
            <w:r>
              <w:rPr>
                <w:sz w:val="18"/>
              </w:rPr>
              <w:t>1000</w:t>
            </w:r>
          </w:p>
        </w:tc>
        <w:tc>
          <w:tcPr>
            <w:tcW w:w="1260" w:type="dxa"/>
          </w:tcPr>
          <w:p>
            <w:pPr>
              <w:pStyle w:val="TableParagraph"/>
              <w:rPr>
                <w:sz w:val="18"/>
              </w:rPr>
            </w:pPr>
            <w:r>
              <w:rPr>
                <w:sz w:val="18"/>
              </w:rPr>
              <w:t>1000</w:t>
            </w:r>
          </w:p>
        </w:tc>
        <w:tc>
          <w:tcPr>
            <w:tcW w:w="1260" w:type="dxa"/>
          </w:tcPr>
          <w:p>
            <w:pPr>
              <w:pStyle w:val="TableParagraph"/>
              <w:rPr>
                <w:sz w:val="18"/>
              </w:rPr>
            </w:pPr>
            <w:r>
              <w:rPr>
                <w:sz w:val="18"/>
              </w:rPr>
              <w:t>107</w:t>
            </w:r>
          </w:p>
        </w:tc>
        <w:tc>
          <w:tcPr>
            <w:tcW w:w="1261" w:type="dxa"/>
          </w:tcPr>
          <w:p>
            <w:pPr>
              <w:pStyle w:val="TableParagraph"/>
              <w:rPr>
                <w:sz w:val="18"/>
              </w:rPr>
            </w:pPr>
            <w:r>
              <w:rPr>
                <w:sz w:val="18"/>
              </w:rPr>
              <w:t>100</w:t>
            </w:r>
          </w:p>
        </w:tc>
        <w:tc>
          <w:tcPr>
            <w:tcW w:w="1260" w:type="dxa"/>
          </w:tcPr>
          <w:p>
            <w:pPr>
              <w:pStyle w:val="TableParagraph"/>
              <w:rPr>
                <w:sz w:val="18"/>
              </w:rPr>
            </w:pPr>
            <w:r>
              <w:rPr>
                <w:sz w:val="18"/>
              </w:rPr>
              <w:t>21</w:t>
            </w:r>
          </w:p>
        </w:tc>
        <w:tc>
          <w:tcPr>
            <w:tcW w:w="1260" w:type="dxa"/>
          </w:tcPr>
          <w:p>
            <w:pPr>
              <w:pStyle w:val="TableParagraph"/>
              <w:rPr>
                <w:sz w:val="18"/>
              </w:rPr>
            </w:pPr>
            <w:r>
              <w:rPr>
                <w:sz w:val="18"/>
              </w:rPr>
              <w:t>13</w:t>
            </w:r>
          </w:p>
        </w:tc>
      </w:tr>
      <w:tr>
        <w:trPr>
          <w:trHeight w:val="218" w:hRule="exact"/>
        </w:trPr>
        <w:tc>
          <w:tcPr>
            <w:tcW w:w="1351" w:type="dxa"/>
          </w:tcPr>
          <w:p>
            <w:pPr>
              <w:pStyle w:val="TableParagraph"/>
              <w:spacing w:line="240" w:lineRule="auto" w:before="1"/>
              <w:rPr>
                <w:sz w:val="18"/>
              </w:rPr>
            </w:pPr>
            <w:r>
              <w:rPr>
                <w:sz w:val="18"/>
              </w:rPr>
              <w:t>89</w:t>
            </w:r>
          </w:p>
        </w:tc>
        <w:tc>
          <w:tcPr>
            <w:tcW w:w="1261" w:type="dxa"/>
          </w:tcPr>
          <w:p>
            <w:pPr>
              <w:pStyle w:val="TableParagraph"/>
              <w:spacing w:line="240" w:lineRule="auto" w:before="1"/>
              <w:rPr>
                <w:sz w:val="18"/>
              </w:rPr>
            </w:pPr>
            <w:r>
              <w:rPr>
                <w:sz w:val="18"/>
              </w:rPr>
              <w:t>1000</w:t>
            </w:r>
          </w:p>
        </w:tc>
        <w:tc>
          <w:tcPr>
            <w:tcW w:w="1260" w:type="dxa"/>
          </w:tcPr>
          <w:p>
            <w:pPr>
              <w:pStyle w:val="TableParagraph"/>
              <w:spacing w:line="240" w:lineRule="auto" w:before="1"/>
              <w:rPr>
                <w:sz w:val="18"/>
              </w:rPr>
            </w:pPr>
            <w:r>
              <w:rPr>
                <w:sz w:val="18"/>
              </w:rPr>
              <w:t>1000</w:t>
            </w:r>
          </w:p>
        </w:tc>
        <w:tc>
          <w:tcPr>
            <w:tcW w:w="1260" w:type="dxa"/>
          </w:tcPr>
          <w:p>
            <w:pPr>
              <w:pStyle w:val="TableParagraph"/>
              <w:spacing w:line="240" w:lineRule="auto" w:before="1"/>
              <w:rPr>
                <w:sz w:val="18"/>
              </w:rPr>
            </w:pPr>
            <w:r>
              <w:rPr>
                <w:sz w:val="18"/>
              </w:rPr>
              <w:t>105</w:t>
            </w:r>
          </w:p>
        </w:tc>
        <w:tc>
          <w:tcPr>
            <w:tcW w:w="1261" w:type="dxa"/>
          </w:tcPr>
          <w:p>
            <w:pPr>
              <w:pStyle w:val="TableParagraph"/>
              <w:spacing w:line="240" w:lineRule="auto" w:before="1"/>
              <w:rPr>
                <w:sz w:val="18"/>
              </w:rPr>
            </w:pPr>
            <w:r>
              <w:rPr>
                <w:sz w:val="18"/>
              </w:rPr>
              <w:t>100</w:t>
            </w:r>
          </w:p>
        </w:tc>
        <w:tc>
          <w:tcPr>
            <w:tcW w:w="1260" w:type="dxa"/>
          </w:tcPr>
          <w:p>
            <w:pPr>
              <w:pStyle w:val="TableParagraph"/>
              <w:spacing w:line="240" w:lineRule="auto" w:before="1"/>
              <w:rPr>
                <w:sz w:val="18"/>
              </w:rPr>
            </w:pPr>
            <w:r>
              <w:rPr>
                <w:sz w:val="18"/>
              </w:rPr>
              <w:t>21</w:t>
            </w:r>
          </w:p>
        </w:tc>
        <w:tc>
          <w:tcPr>
            <w:tcW w:w="1260" w:type="dxa"/>
          </w:tcPr>
          <w:p>
            <w:pPr>
              <w:pStyle w:val="TableParagraph"/>
              <w:spacing w:line="240" w:lineRule="auto" w:before="1"/>
              <w:rPr>
                <w:sz w:val="18"/>
              </w:rPr>
            </w:pPr>
            <w:r>
              <w:rPr>
                <w:sz w:val="18"/>
              </w:rPr>
              <w:t>14</w:t>
            </w:r>
          </w:p>
        </w:tc>
      </w:tr>
      <w:tr>
        <w:trPr>
          <w:trHeight w:val="216" w:hRule="exact"/>
        </w:trPr>
        <w:tc>
          <w:tcPr>
            <w:tcW w:w="1351" w:type="dxa"/>
          </w:tcPr>
          <w:p>
            <w:pPr>
              <w:pStyle w:val="TableParagraph"/>
              <w:rPr>
                <w:sz w:val="18"/>
              </w:rPr>
            </w:pPr>
            <w:r>
              <w:rPr>
                <w:sz w:val="18"/>
              </w:rPr>
              <w:t>99</w:t>
            </w:r>
          </w:p>
        </w:tc>
        <w:tc>
          <w:tcPr>
            <w:tcW w:w="1261" w:type="dxa"/>
          </w:tcPr>
          <w:p>
            <w:pPr>
              <w:pStyle w:val="TableParagraph"/>
              <w:rPr>
                <w:sz w:val="18"/>
              </w:rPr>
            </w:pPr>
            <w:r>
              <w:rPr>
                <w:sz w:val="18"/>
              </w:rPr>
              <w:t>1000</w:t>
            </w:r>
          </w:p>
        </w:tc>
        <w:tc>
          <w:tcPr>
            <w:tcW w:w="1260" w:type="dxa"/>
          </w:tcPr>
          <w:p>
            <w:pPr>
              <w:pStyle w:val="TableParagraph"/>
              <w:rPr>
                <w:sz w:val="18"/>
              </w:rPr>
            </w:pPr>
            <w:r>
              <w:rPr>
                <w:sz w:val="18"/>
              </w:rPr>
              <w:t>1000</w:t>
            </w:r>
          </w:p>
        </w:tc>
        <w:tc>
          <w:tcPr>
            <w:tcW w:w="1260" w:type="dxa"/>
          </w:tcPr>
          <w:p>
            <w:pPr>
              <w:pStyle w:val="TableParagraph"/>
              <w:rPr>
                <w:sz w:val="18"/>
              </w:rPr>
            </w:pPr>
            <w:r>
              <w:rPr>
                <w:sz w:val="18"/>
              </w:rPr>
              <w:t>106</w:t>
            </w:r>
          </w:p>
        </w:tc>
        <w:tc>
          <w:tcPr>
            <w:tcW w:w="1261" w:type="dxa"/>
          </w:tcPr>
          <w:p>
            <w:pPr>
              <w:pStyle w:val="TableParagraph"/>
              <w:rPr>
                <w:sz w:val="18"/>
              </w:rPr>
            </w:pPr>
            <w:r>
              <w:rPr>
                <w:sz w:val="18"/>
              </w:rPr>
              <w:t>100</w:t>
            </w:r>
          </w:p>
        </w:tc>
        <w:tc>
          <w:tcPr>
            <w:tcW w:w="1260" w:type="dxa"/>
          </w:tcPr>
          <w:p>
            <w:pPr>
              <w:pStyle w:val="TableParagraph"/>
              <w:rPr>
                <w:sz w:val="18"/>
              </w:rPr>
            </w:pPr>
            <w:r>
              <w:rPr>
                <w:sz w:val="18"/>
              </w:rPr>
              <w:t>21</w:t>
            </w:r>
          </w:p>
        </w:tc>
        <w:tc>
          <w:tcPr>
            <w:tcW w:w="1260" w:type="dxa"/>
          </w:tcPr>
          <w:p>
            <w:pPr>
              <w:pStyle w:val="TableParagraph"/>
              <w:rPr>
                <w:sz w:val="18"/>
              </w:rPr>
            </w:pPr>
            <w:r>
              <w:rPr>
                <w:sz w:val="18"/>
              </w:rPr>
              <w:t>13</w:t>
            </w:r>
          </w:p>
        </w:tc>
      </w:tr>
      <w:tr>
        <w:trPr>
          <w:trHeight w:val="218" w:hRule="exact"/>
        </w:trPr>
        <w:tc>
          <w:tcPr>
            <w:tcW w:w="1351" w:type="dxa"/>
          </w:tcPr>
          <w:p>
            <w:pPr>
              <w:pStyle w:val="TableParagraph"/>
              <w:rPr>
                <w:sz w:val="18"/>
              </w:rPr>
            </w:pPr>
            <w:r>
              <w:rPr>
                <w:sz w:val="18"/>
              </w:rPr>
              <w:t>109</w:t>
            </w:r>
          </w:p>
        </w:tc>
        <w:tc>
          <w:tcPr>
            <w:tcW w:w="1261" w:type="dxa"/>
          </w:tcPr>
          <w:p>
            <w:pPr>
              <w:pStyle w:val="TableParagraph"/>
              <w:rPr>
                <w:sz w:val="18"/>
              </w:rPr>
            </w:pPr>
            <w:r>
              <w:rPr>
                <w:sz w:val="18"/>
              </w:rPr>
              <w:t>1000</w:t>
            </w:r>
          </w:p>
        </w:tc>
        <w:tc>
          <w:tcPr>
            <w:tcW w:w="1260" w:type="dxa"/>
          </w:tcPr>
          <w:p>
            <w:pPr>
              <w:pStyle w:val="TableParagraph"/>
              <w:rPr>
                <w:sz w:val="18"/>
              </w:rPr>
            </w:pPr>
            <w:r>
              <w:rPr>
                <w:sz w:val="18"/>
              </w:rPr>
              <w:t>1000</w:t>
            </w:r>
          </w:p>
        </w:tc>
        <w:tc>
          <w:tcPr>
            <w:tcW w:w="1260" w:type="dxa"/>
          </w:tcPr>
          <w:p>
            <w:pPr>
              <w:pStyle w:val="TableParagraph"/>
              <w:rPr>
                <w:sz w:val="18"/>
              </w:rPr>
            </w:pPr>
            <w:r>
              <w:rPr>
                <w:sz w:val="18"/>
              </w:rPr>
              <w:t>106</w:t>
            </w:r>
          </w:p>
        </w:tc>
        <w:tc>
          <w:tcPr>
            <w:tcW w:w="1261" w:type="dxa"/>
          </w:tcPr>
          <w:p>
            <w:pPr>
              <w:pStyle w:val="TableParagraph"/>
              <w:rPr>
                <w:sz w:val="18"/>
              </w:rPr>
            </w:pPr>
            <w:r>
              <w:rPr>
                <w:sz w:val="18"/>
              </w:rPr>
              <w:t>100</w:t>
            </w:r>
          </w:p>
        </w:tc>
        <w:tc>
          <w:tcPr>
            <w:tcW w:w="1260" w:type="dxa"/>
          </w:tcPr>
          <w:p>
            <w:pPr>
              <w:pStyle w:val="TableParagraph"/>
              <w:rPr>
                <w:sz w:val="18"/>
              </w:rPr>
            </w:pPr>
            <w:r>
              <w:rPr>
                <w:sz w:val="18"/>
              </w:rPr>
              <w:t>22</w:t>
            </w:r>
          </w:p>
        </w:tc>
        <w:tc>
          <w:tcPr>
            <w:tcW w:w="1260" w:type="dxa"/>
          </w:tcPr>
          <w:p>
            <w:pPr>
              <w:pStyle w:val="TableParagraph"/>
              <w:rPr>
                <w:sz w:val="18"/>
              </w:rPr>
            </w:pPr>
            <w:r>
              <w:rPr>
                <w:sz w:val="18"/>
              </w:rPr>
              <w:t>13</w:t>
            </w:r>
          </w:p>
        </w:tc>
      </w:tr>
      <w:tr>
        <w:trPr>
          <w:trHeight w:val="216" w:hRule="exact"/>
        </w:trPr>
        <w:tc>
          <w:tcPr>
            <w:tcW w:w="1351" w:type="dxa"/>
          </w:tcPr>
          <w:p>
            <w:pPr>
              <w:pStyle w:val="TableParagraph"/>
              <w:rPr>
                <w:sz w:val="18"/>
              </w:rPr>
            </w:pPr>
            <w:r>
              <w:rPr>
                <w:sz w:val="18"/>
              </w:rPr>
              <w:t>114</w:t>
            </w:r>
          </w:p>
        </w:tc>
        <w:tc>
          <w:tcPr>
            <w:tcW w:w="1261" w:type="dxa"/>
          </w:tcPr>
          <w:p>
            <w:pPr>
              <w:pStyle w:val="TableParagraph"/>
              <w:rPr>
                <w:sz w:val="18"/>
              </w:rPr>
            </w:pPr>
            <w:r>
              <w:rPr>
                <w:sz w:val="18"/>
              </w:rPr>
              <w:t>1000</w:t>
            </w:r>
          </w:p>
        </w:tc>
        <w:tc>
          <w:tcPr>
            <w:tcW w:w="1260" w:type="dxa"/>
          </w:tcPr>
          <w:p>
            <w:pPr>
              <w:pStyle w:val="TableParagraph"/>
              <w:rPr>
                <w:sz w:val="18"/>
              </w:rPr>
            </w:pPr>
            <w:r>
              <w:rPr>
                <w:sz w:val="18"/>
              </w:rPr>
              <w:t>1000</w:t>
            </w:r>
          </w:p>
        </w:tc>
        <w:tc>
          <w:tcPr>
            <w:tcW w:w="1260" w:type="dxa"/>
          </w:tcPr>
          <w:p>
            <w:pPr>
              <w:pStyle w:val="TableParagraph"/>
              <w:rPr>
                <w:sz w:val="18"/>
              </w:rPr>
            </w:pPr>
            <w:r>
              <w:rPr>
                <w:sz w:val="18"/>
              </w:rPr>
              <w:t>105</w:t>
            </w:r>
          </w:p>
        </w:tc>
        <w:tc>
          <w:tcPr>
            <w:tcW w:w="1261" w:type="dxa"/>
          </w:tcPr>
          <w:p>
            <w:pPr>
              <w:pStyle w:val="TableParagraph"/>
              <w:rPr>
                <w:sz w:val="18"/>
              </w:rPr>
            </w:pPr>
            <w:r>
              <w:rPr>
                <w:sz w:val="18"/>
              </w:rPr>
              <w:t>100</w:t>
            </w:r>
          </w:p>
        </w:tc>
        <w:tc>
          <w:tcPr>
            <w:tcW w:w="1260" w:type="dxa"/>
          </w:tcPr>
          <w:p>
            <w:pPr>
              <w:pStyle w:val="TableParagraph"/>
              <w:rPr>
                <w:sz w:val="18"/>
              </w:rPr>
            </w:pPr>
            <w:r>
              <w:rPr>
                <w:sz w:val="18"/>
              </w:rPr>
              <w:t>22</w:t>
            </w:r>
          </w:p>
        </w:tc>
        <w:tc>
          <w:tcPr>
            <w:tcW w:w="1260" w:type="dxa"/>
          </w:tcPr>
          <w:p>
            <w:pPr>
              <w:pStyle w:val="TableParagraph"/>
              <w:rPr>
                <w:sz w:val="18"/>
              </w:rPr>
            </w:pPr>
            <w:r>
              <w:rPr>
                <w:sz w:val="18"/>
              </w:rPr>
              <w:t>14</w:t>
            </w:r>
          </w:p>
        </w:tc>
      </w:tr>
      <w:tr>
        <w:trPr>
          <w:trHeight w:val="216" w:hRule="exact"/>
        </w:trPr>
        <w:tc>
          <w:tcPr>
            <w:tcW w:w="1351" w:type="dxa"/>
          </w:tcPr>
          <w:p>
            <w:pPr>
              <w:pStyle w:val="TableParagraph"/>
              <w:rPr>
                <w:sz w:val="18"/>
              </w:rPr>
            </w:pPr>
            <w:r>
              <w:rPr>
                <w:sz w:val="18"/>
              </w:rPr>
              <w:t>119</w:t>
            </w:r>
          </w:p>
        </w:tc>
        <w:tc>
          <w:tcPr>
            <w:tcW w:w="1261" w:type="dxa"/>
          </w:tcPr>
          <w:p>
            <w:pPr>
              <w:pStyle w:val="TableParagraph"/>
              <w:rPr>
                <w:sz w:val="18"/>
              </w:rPr>
            </w:pPr>
            <w:r>
              <w:rPr>
                <w:sz w:val="18"/>
              </w:rPr>
              <w:t>1000</w:t>
            </w:r>
          </w:p>
        </w:tc>
        <w:tc>
          <w:tcPr>
            <w:tcW w:w="1260" w:type="dxa"/>
          </w:tcPr>
          <w:p>
            <w:pPr>
              <w:pStyle w:val="TableParagraph"/>
              <w:rPr>
                <w:sz w:val="18"/>
              </w:rPr>
            </w:pPr>
            <w:r>
              <w:rPr>
                <w:sz w:val="18"/>
              </w:rPr>
              <w:t>1000</w:t>
            </w:r>
          </w:p>
        </w:tc>
        <w:tc>
          <w:tcPr>
            <w:tcW w:w="1260" w:type="dxa"/>
          </w:tcPr>
          <w:p>
            <w:pPr>
              <w:pStyle w:val="TableParagraph"/>
              <w:rPr>
                <w:sz w:val="18"/>
              </w:rPr>
            </w:pPr>
            <w:r>
              <w:rPr>
                <w:sz w:val="18"/>
              </w:rPr>
              <w:t>105</w:t>
            </w:r>
          </w:p>
        </w:tc>
        <w:tc>
          <w:tcPr>
            <w:tcW w:w="1261" w:type="dxa"/>
          </w:tcPr>
          <w:p>
            <w:pPr>
              <w:pStyle w:val="TableParagraph"/>
              <w:rPr>
                <w:sz w:val="18"/>
              </w:rPr>
            </w:pPr>
            <w:r>
              <w:rPr>
                <w:sz w:val="18"/>
              </w:rPr>
              <w:t>100</w:t>
            </w:r>
          </w:p>
        </w:tc>
        <w:tc>
          <w:tcPr>
            <w:tcW w:w="1260" w:type="dxa"/>
          </w:tcPr>
          <w:p>
            <w:pPr>
              <w:pStyle w:val="TableParagraph"/>
              <w:rPr>
                <w:sz w:val="18"/>
              </w:rPr>
            </w:pPr>
            <w:r>
              <w:rPr>
                <w:sz w:val="18"/>
              </w:rPr>
              <w:t>22</w:t>
            </w:r>
          </w:p>
        </w:tc>
        <w:tc>
          <w:tcPr>
            <w:tcW w:w="1260" w:type="dxa"/>
          </w:tcPr>
          <w:p>
            <w:pPr>
              <w:pStyle w:val="TableParagraph"/>
              <w:rPr>
                <w:sz w:val="18"/>
              </w:rPr>
            </w:pPr>
            <w:r>
              <w:rPr>
                <w:sz w:val="18"/>
              </w:rPr>
              <w:t>14</w:t>
            </w:r>
          </w:p>
        </w:tc>
      </w:tr>
      <w:tr>
        <w:trPr>
          <w:trHeight w:val="218" w:hRule="exact"/>
        </w:trPr>
        <w:tc>
          <w:tcPr>
            <w:tcW w:w="1351" w:type="dxa"/>
          </w:tcPr>
          <w:p>
            <w:pPr>
              <w:pStyle w:val="TableParagraph"/>
              <w:spacing w:line="240" w:lineRule="auto" w:before="1"/>
              <w:rPr>
                <w:sz w:val="18"/>
              </w:rPr>
            </w:pPr>
            <w:r>
              <w:rPr>
                <w:sz w:val="18"/>
              </w:rPr>
              <w:t>122</w:t>
            </w:r>
          </w:p>
        </w:tc>
        <w:tc>
          <w:tcPr>
            <w:tcW w:w="1261" w:type="dxa"/>
          </w:tcPr>
          <w:p>
            <w:pPr>
              <w:pStyle w:val="TableParagraph"/>
              <w:spacing w:line="240" w:lineRule="auto" w:before="1"/>
              <w:rPr>
                <w:sz w:val="18"/>
              </w:rPr>
            </w:pPr>
            <w:r>
              <w:rPr>
                <w:sz w:val="18"/>
              </w:rPr>
              <w:t>1000</w:t>
            </w:r>
          </w:p>
        </w:tc>
        <w:tc>
          <w:tcPr>
            <w:tcW w:w="1260" w:type="dxa"/>
          </w:tcPr>
          <w:p>
            <w:pPr>
              <w:pStyle w:val="TableParagraph"/>
              <w:spacing w:line="240" w:lineRule="auto" w:before="1"/>
              <w:rPr>
                <w:sz w:val="18"/>
              </w:rPr>
            </w:pPr>
            <w:r>
              <w:rPr>
                <w:sz w:val="18"/>
              </w:rPr>
              <w:t>988</w:t>
            </w:r>
          </w:p>
        </w:tc>
        <w:tc>
          <w:tcPr>
            <w:tcW w:w="1260" w:type="dxa"/>
          </w:tcPr>
          <w:p>
            <w:pPr>
              <w:pStyle w:val="TableParagraph"/>
              <w:spacing w:line="240" w:lineRule="auto" w:before="1"/>
              <w:rPr>
                <w:sz w:val="18"/>
              </w:rPr>
            </w:pPr>
            <w:r>
              <w:rPr>
                <w:sz w:val="18"/>
              </w:rPr>
              <w:t>106</w:t>
            </w:r>
          </w:p>
        </w:tc>
        <w:tc>
          <w:tcPr>
            <w:tcW w:w="1261" w:type="dxa"/>
          </w:tcPr>
          <w:p>
            <w:pPr>
              <w:pStyle w:val="TableParagraph"/>
              <w:spacing w:line="240" w:lineRule="auto" w:before="1"/>
              <w:rPr>
                <w:sz w:val="18"/>
              </w:rPr>
            </w:pPr>
            <w:r>
              <w:rPr>
                <w:sz w:val="18"/>
              </w:rPr>
              <w:t>100</w:t>
            </w:r>
          </w:p>
        </w:tc>
        <w:tc>
          <w:tcPr>
            <w:tcW w:w="1260" w:type="dxa"/>
          </w:tcPr>
          <w:p>
            <w:pPr>
              <w:pStyle w:val="TableParagraph"/>
              <w:spacing w:line="240" w:lineRule="auto" w:before="1"/>
              <w:rPr>
                <w:sz w:val="18"/>
              </w:rPr>
            </w:pPr>
            <w:r>
              <w:rPr>
                <w:sz w:val="18"/>
              </w:rPr>
              <w:t>23</w:t>
            </w:r>
          </w:p>
        </w:tc>
        <w:tc>
          <w:tcPr>
            <w:tcW w:w="1260" w:type="dxa"/>
          </w:tcPr>
          <w:p>
            <w:pPr>
              <w:pStyle w:val="TableParagraph"/>
              <w:spacing w:line="240" w:lineRule="auto" w:before="1"/>
              <w:rPr>
                <w:sz w:val="18"/>
              </w:rPr>
            </w:pPr>
            <w:r>
              <w:rPr>
                <w:sz w:val="18"/>
              </w:rPr>
              <w:t>15</w:t>
            </w:r>
          </w:p>
        </w:tc>
      </w:tr>
      <w:tr>
        <w:trPr>
          <w:trHeight w:val="216" w:hRule="exact"/>
        </w:trPr>
        <w:tc>
          <w:tcPr>
            <w:tcW w:w="1351" w:type="dxa"/>
          </w:tcPr>
          <w:p>
            <w:pPr>
              <w:pStyle w:val="TableParagraph"/>
              <w:rPr>
                <w:sz w:val="18"/>
              </w:rPr>
            </w:pPr>
            <w:r>
              <w:rPr>
                <w:sz w:val="18"/>
              </w:rPr>
              <w:t>123</w:t>
            </w:r>
          </w:p>
        </w:tc>
        <w:tc>
          <w:tcPr>
            <w:tcW w:w="1261" w:type="dxa"/>
          </w:tcPr>
          <w:p>
            <w:pPr>
              <w:pStyle w:val="TableParagraph"/>
              <w:rPr>
                <w:sz w:val="18"/>
              </w:rPr>
            </w:pPr>
            <w:r>
              <w:rPr>
                <w:sz w:val="18"/>
              </w:rPr>
              <w:t>1000</w:t>
            </w:r>
          </w:p>
        </w:tc>
        <w:tc>
          <w:tcPr>
            <w:tcW w:w="1260" w:type="dxa"/>
          </w:tcPr>
          <w:p>
            <w:pPr>
              <w:pStyle w:val="TableParagraph"/>
              <w:rPr>
                <w:sz w:val="18"/>
              </w:rPr>
            </w:pPr>
            <w:r>
              <w:rPr>
                <w:sz w:val="18"/>
              </w:rPr>
              <w:t>987</w:t>
            </w:r>
          </w:p>
        </w:tc>
        <w:tc>
          <w:tcPr>
            <w:tcW w:w="1260" w:type="dxa"/>
          </w:tcPr>
          <w:p>
            <w:pPr>
              <w:pStyle w:val="TableParagraph"/>
              <w:rPr>
                <w:sz w:val="18"/>
              </w:rPr>
            </w:pPr>
            <w:r>
              <w:rPr>
                <w:sz w:val="18"/>
              </w:rPr>
              <w:t>106</w:t>
            </w:r>
          </w:p>
        </w:tc>
        <w:tc>
          <w:tcPr>
            <w:tcW w:w="1261" w:type="dxa"/>
          </w:tcPr>
          <w:p>
            <w:pPr>
              <w:pStyle w:val="TableParagraph"/>
              <w:rPr>
                <w:sz w:val="18"/>
              </w:rPr>
            </w:pPr>
            <w:r>
              <w:rPr>
                <w:sz w:val="18"/>
              </w:rPr>
              <w:t>101</w:t>
            </w:r>
          </w:p>
        </w:tc>
        <w:tc>
          <w:tcPr>
            <w:tcW w:w="1260" w:type="dxa"/>
          </w:tcPr>
          <w:p>
            <w:pPr>
              <w:pStyle w:val="TableParagraph"/>
              <w:rPr>
                <w:sz w:val="18"/>
              </w:rPr>
            </w:pPr>
            <w:r>
              <w:rPr>
                <w:sz w:val="18"/>
              </w:rPr>
              <w:t>22</w:t>
            </w:r>
          </w:p>
        </w:tc>
        <w:tc>
          <w:tcPr>
            <w:tcW w:w="1260" w:type="dxa"/>
          </w:tcPr>
          <w:p>
            <w:pPr>
              <w:pStyle w:val="TableParagraph"/>
              <w:rPr>
                <w:sz w:val="18"/>
              </w:rPr>
            </w:pPr>
            <w:r>
              <w:rPr>
                <w:sz w:val="18"/>
              </w:rPr>
              <w:t>14</w:t>
            </w:r>
          </w:p>
        </w:tc>
      </w:tr>
      <w:tr>
        <w:trPr>
          <w:trHeight w:val="218" w:hRule="exact"/>
        </w:trPr>
        <w:tc>
          <w:tcPr>
            <w:tcW w:w="1351" w:type="dxa"/>
          </w:tcPr>
          <w:p>
            <w:pPr>
              <w:pStyle w:val="TableParagraph"/>
              <w:rPr>
                <w:sz w:val="18"/>
              </w:rPr>
            </w:pPr>
            <w:r>
              <w:rPr>
                <w:sz w:val="18"/>
              </w:rPr>
              <w:t>124</w:t>
            </w:r>
          </w:p>
        </w:tc>
        <w:tc>
          <w:tcPr>
            <w:tcW w:w="1261" w:type="dxa"/>
          </w:tcPr>
          <w:p>
            <w:pPr>
              <w:pStyle w:val="TableParagraph"/>
              <w:rPr>
                <w:sz w:val="18"/>
              </w:rPr>
            </w:pPr>
            <w:r>
              <w:rPr>
                <w:sz w:val="18"/>
              </w:rPr>
              <w:t>1000</w:t>
            </w:r>
          </w:p>
        </w:tc>
        <w:tc>
          <w:tcPr>
            <w:tcW w:w="1260" w:type="dxa"/>
          </w:tcPr>
          <w:p>
            <w:pPr>
              <w:pStyle w:val="TableParagraph"/>
              <w:rPr>
                <w:sz w:val="18"/>
              </w:rPr>
            </w:pPr>
            <w:r>
              <w:rPr>
                <w:sz w:val="18"/>
              </w:rPr>
              <w:t>984</w:t>
            </w:r>
          </w:p>
        </w:tc>
        <w:tc>
          <w:tcPr>
            <w:tcW w:w="1260" w:type="dxa"/>
          </w:tcPr>
          <w:p>
            <w:pPr>
              <w:pStyle w:val="TableParagraph"/>
              <w:rPr>
                <w:sz w:val="18"/>
              </w:rPr>
            </w:pPr>
            <w:r>
              <w:rPr>
                <w:sz w:val="18"/>
              </w:rPr>
              <w:t>106</w:t>
            </w:r>
          </w:p>
        </w:tc>
        <w:tc>
          <w:tcPr>
            <w:tcW w:w="1261" w:type="dxa"/>
          </w:tcPr>
          <w:p>
            <w:pPr>
              <w:pStyle w:val="TableParagraph"/>
              <w:rPr>
                <w:sz w:val="18"/>
              </w:rPr>
            </w:pPr>
            <w:r>
              <w:rPr>
                <w:sz w:val="18"/>
              </w:rPr>
              <w:t>101</w:t>
            </w:r>
          </w:p>
        </w:tc>
        <w:tc>
          <w:tcPr>
            <w:tcW w:w="1260" w:type="dxa"/>
          </w:tcPr>
          <w:p>
            <w:pPr>
              <w:pStyle w:val="TableParagraph"/>
              <w:rPr>
                <w:sz w:val="18"/>
              </w:rPr>
            </w:pPr>
            <w:r>
              <w:rPr>
                <w:sz w:val="18"/>
              </w:rPr>
              <w:t>22</w:t>
            </w:r>
          </w:p>
        </w:tc>
        <w:tc>
          <w:tcPr>
            <w:tcW w:w="1260" w:type="dxa"/>
          </w:tcPr>
          <w:p>
            <w:pPr>
              <w:pStyle w:val="TableParagraph"/>
              <w:rPr>
                <w:sz w:val="18"/>
              </w:rPr>
            </w:pPr>
            <w:r>
              <w:rPr>
                <w:sz w:val="18"/>
              </w:rPr>
              <w:t>15</w:t>
            </w:r>
          </w:p>
        </w:tc>
      </w:tr>
      <w:tr>
        <w:trPr>
          <w:trHeight w:val="216" w:hRule="exact"/>
        </w:trPr>
        <w:tc>
          <w:tcPr>
            <w:tcW w:w="1351" w:type="dxa"/>
          </w:tcPr>
          <w:p>
            <w:pPr>
              <w:pStyle w:val="TableParagraph"/>
              <w:rPr>
                <w:sz w:val="18"/>
              </w:rPr>
            </w:pPr>
            <w:r>
              <w:rPr>
                <w:sz w:val="18"/>
              </w:rPr>
              <w:t>125</w:t>
            </w:r>
          </w:p>
        </w:tc>
        <w:tc>
          <w:tcPr>
            <w:tcW w:w="1261" w:type="dxa"/>
          </w:tcPr>
          <w:p>
            <w:pPr>
              <w:pStyle w:val="TableParagraph"/>
              <w:rPr>
                <w:sz w:val="18"/>
              </w:rPr>
            </w:pPr>
            <w:r>
              <w:rPr>
                <w:sz w:val="18"/>
              </w:rPr>
              <w:t>1000</w:t>
            </w:r>
          </w:p>
        </w:tc>
        <w:tc>
          <w:tcPr>
            <w:tcW w:w="1260" w:type="dxa"/>
          </w:tcPr>
          <w:p>
            <w:pPr>
              <w:pStyle w:val="TableParagraph"/>
              <w:rPr>
                <w:sz w:val="18"/>
              </w:rPr>
            </w:pPr>
            <w:r>
              <w:rPr>
                <w:sz w:val="18"/>
              </w:rPr>
              <w:t>887</w:t>
            </w:r>
          </w:p>
        </w:tc>
        <w:tc>
          <w:tcPr>
            <w:tcW w:w="1260" w:type="dxa"/>
          </w:tcPr>
          <w:p>
            <w:pPr>
              <w:pStyle w:val="TableParagraph"/>
              <w:rPr>
                <w:sz w:val="18"/>
              </w:rPr>
            </w:pPr>
            <w:r>
              <w:rPr>
                <w:sz w:val="18"/>
              </w:rPr>
              <w:t>113</w:t>
            </w:r>
          </w:p>
        </w:tc>
        <w:tc>
          <w:tcPr>
            <w:tcW w:w="1261" w:type="dxa"/>
          </w:tcPr>
          <w:p>
            <w:pPr>
              <w:pStyle w:val="TableParagraph"/>
              <w:rPr>
                <w:sz w:val="18"/>
              </w:rPr>
            </w:pPr>
            <w:r>
              <w:rPr>
                <w:sz w:val="18"/>
              </w:rPr>
              <w:t>113</w:t>
            </w:r>
          </w:p>
        </w:tc>
        <w:tc>
          <w:tcPr>
            <w:tcW w:w="1260" w:type="dxa"/>
          </w:tcPr>
          <w:p>
            <w:pPr>
              <w:pStyle w:val="TableParagraph"/>
              <w:rPr>
                <w:sz w:val="18"/>
              </w:rPr>
            </w:pPr>
            <w:r>
              <w:rPr>
                <w:sz w:val="18"/>
              </w:rPr>
              <w:t>26</w:t>
            </w:r>
          </w:p>
        </w:tc>
        <w:tc>
          <w:tcPr>
            <w:tcW w:w="1260" w:type="dxa"/>
          </w:tcPr>
          <w:p>
            <w:pPr>
              <w:pStyle w:val="TableParagraph"/>
              <w:rPr>
                <w:sz w:val="18"/>
              </w:rPr>
            </w:pPr>
            <w:r>
              <w:rPr>
                <w:sz w:val="18"/>
              </w:rPr>
              <w:t>19</w:t>
            </w:r>
          </w:p>
        </w:tc>
      </w:tr>
    </w:tbl>
    <w:p>
      <w:pPr>
        <w:spacing w:after="0"/>
        <w:rPr>
          <w:sz w:val="18"/>
        </w:rPr>
        <w:sectPr>
          <w:headerReference w:type="default" r:id="rId194"/>
          <w:pgSz w:w="11910" w:h="16850"/>
          <w:pgMar w:header="852" w:footer="979" w:top="1040" w:bottom="1160" w:left="0" w:right="0"/>
        </w:sectPr>
      </w:pPr>
    </w:p>
    <w:p>
      <w:pPr>
        <w:pStyle w:val="BodyText"/>
        <w:rPr>
          <w:b/>
          <w:sz w:val="23"/>
        </w:rPr>
      </w:pPr>
    </w:p>
    <w:p>
      <w:pPr>
        <w:pStyle w:val="Heading7"/>
        <w:spacing w:before="93"/>
      </w:pPr>
      <w:r>
        <w:rPr/>
        <w:t>Table 10: DSRC Results – PER</w:t>
      </w:r>
    </w:p>
    <w:p>
      <w:pPr>
        <w:pStyle w:val="BodyText"/>
        <w:spacing w:before="2"/>
        <w:rPr>
          <w:b/>
          <w:sz w:val="16"/>
        </w:rPr>
      </w:pPr>
    </w:p>
    <w:tbl>
      <w:tblPr>
        <w:tblW w:w="0" w:type="auto"/>
        <w:jc w:val="left"/>
        <w:tblInd w:w="2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2"/>
        <w:gridCol w:w="1260"/>
        <w:gridCol w:w="1260"/>
        <w:gridCol w:w="1261"/>
        <w:gridCol w:w="1260"/>
      </w:tblGrid>
      <w:tr>
        <w:trPr>
          <w:trHeight w:val="631" w:hRule="exact"/>
        </w:trPr>
        <w:tc>
          <w:tcPr>
            <w:tcW w:w="1352" w:type="dxa"/>
            <w:shd w:val="clear" w:color="auto" w:fill="D9D9D9"/>
          </w:tcPr>
          <w:p>
            <w:pPr/>
          </w:p>
        </w:tc>
        <w:tc>
          <w:tcPr>
            <w:tcW w:w="1260" w:type="dxa"/>
            <w:shd w:val="clear" w:color="auto" w:fill="D9D9D9"/>
          </w:tcPr>
          <w:p>
            <w:pPr>
              <w:pStyle w:val="TableParagraph"/>
              <w:tabs>
                <w:tab w:pos="979" w:val="left" w:leader="none"/>
              </w:tabs>
              <w:spacing w:line="201" w:lineRule="exact"/>
              <w:rPr>
                <w:b/>
                <w:sz w:val="18"/>
              </w:rPr>
            </w:pPr>
            <w:r>
              <w:rPr>
                <w:b/>
                <w:sz w:val="18"/>
              </w:rPr>
              <w:t>No.</w:t>
              <w:tab/>
              <w:t>of</w:t>
            </w:r>
          </w:p>
          <w:p>
            <w:pPr>
              <w:pStyle w:val="TableParagraph"/>
              <w:spacing w:line="240" w:lineRule="auto"/>
              <w:ind w:right="97"/>
              <w:rPr>
                <w:b/>
                <w:sz w:val="18"/>
              </w:rPr>
            </w:pPr>
            <w:r>
              <w:rPr>
                <w:b/>
                <w:sz w:val="18"/>
              </w:rPr>
              <w:t>Transmitted pkts/s</w:t>
            </w:r>
          </w:p>
        </w:tc>
        <w:tc>
          <w:tcPr>
            <w:tcW w:w="1260" w:type="dxa"/>
            <w:shd w:val="clear" w:color="auto" w:fill="D9D9D9"/>
          </w:tcPr>
          <w:p>
            <w:pPr>
              <w:pStyle w:val="TableParagraph"/>
              <w:tabs>
                <w:tab w:pos="979" w:val="left" w:leader="none"/>
              </w:tabs>
              <w:spacing w:line="201" w:lineRule="exact"/>
              <w:rPr>
                <w:b/>
                <w:sz w:val="18"/>
              </w:rPr>
            </w:pPr>
            <w:r>
              <w:rPr>
                <w:b/>
                <w:sz w:val="18"/>
              </w:rPr>
              <w:t>No.</w:t>
              <w:tab/>
              <w:t>of</w:t>
            </w:r>
          </w:p>
          <w:p>
            <w:pPr>
              <w:pStyle w:val="TableParagraph"/>
              <w:spacing w:line="240" w:lineRule="auto"/>
              <w:ind w:right="336"/>
              <w:rPr>
                <w:b/>
                <w:sz w:val="18"/>
              </w:rPr>
            </w:pPr>
            <w:r>
              <w:rPr>
                <w:b/>
                <w:sz w:val="18"/>
              </w:rPr>
              <w:t>Received pkts/s</w:t>
            </w:r>
          </w:p>
        </w:tc>
        <w:tc>
          <w:tcPr>
            <w:tcW w:w="1261" w:type="dxa"/>
            <w:shd w:val="clear" w:color="auto" w:fill="D9D9D9"/>
          </w:tcPr>
          <w:p>
            <w:pPr>
              <w:pStyle w:val="TableParagraph"/>
              <w:spacing w:line="240" w:lineRule="auto"/>
              <w:ind w:right="167"/>
              <w:rPr>
                <w:b/>
                <w:sz w:val="18"/>
              </w:rPr>
            </w:pPr>
            <w:r>
              <w:rPr>
                <w:b/>
                <w:sz w:val="18"/>
              </w:rPr>
              <w:t>Calculated at Receiver</w:t>
            </w:r>
          </w:p>
        </w:tc>
        <w:tc>
          <w:tcPr>
            <w:tcW w:w="1260" w:type="dxa"/>
            <w:shd w:val="clear" w:color="auto" w:fill="D9D9D9"/>
          </w:tcPr>
          <w:p>
            <w:pPr>
              <w:pStyle w:val="TableParagraph"/>
              <w:spacing w:line="240" w:lineRule="auto"/>
              <w:ind w:right="166"/>
              <w:rPr>
                <w:b/>
                <w:sz w:val="18"/>
              </w:rPr>
            </w:pPr>
            <w:r>
              <w:rPr>
                <w:b/>
                <w:sz w:val="18"/>
              </w:rPr>
              <w:t>Calculated at Receiver</w:t>
            </w:r>
          </w:p>
        </w:tc>
      </w:tr>
      <w:tr>
        <w:trPr>
          <w:trHeight w:val="631" w:hRule="exact"/>
        </w:trPr>
        <w:tc>
          <w:tcPr>
            <w:tcW w:w="1352" w:type="dxa"/>
            <w:shd w:val="clear" w:color="auto" w:fill="D9D9D9"/>
          </w:tcPr>
          <w:p>
            <w:pPr>
              <w:pStyle w:val="TableParagraph"/>
              <w:spacing w:line="240" w:lineRule="auto"/>
              <w:rPr>
                <w:b/>
                <w:sz w:val="18"/>
              </w:rPr>
            </w:pPr>
            <w:r>
              <w:rPr>
                <w:b/>
                <w:sz w:val="18"/>
              </w:rPr>
              <w:t>Overall Path Loss (dB)</w:t>
            </w:r>
          </w:p>
        </w:tc>
        <w:tc>
          <w:tcPr>
            <w:tcW w:w="1260" w:type="dxa"/>
            <w:shd w:val="clear" w:color="auto" w:fill="D9D9D9"/>
          </w:tcPr>
          <w:p>
            <w:pPr>
              <w:pStyle w:val="TableParagraph"/>
              <w:spacing w:line="201" w:lineRule="exact"/>
              <w:rPr>
                <w:b/>
                <w:sz w:val="18"/>
              </w:rPr>
            </w:pPr>
            <w:r>
              <w:rPr>
                <w:b/>
                <w:sz w:val="18"/>
              </w:rPr>
              <w:t>DSRC</w:t>
            </w:r>
          </w:p>
          <w:p>
            <w:pPr>
              <w:pStyle w:val="TableParagraph"/>
              <w:spacing w:line="240" w:lineRule="auto"/>
              <w:ind w:right="367"/>
              <w:rPr>
                <w:b/>
                <w:sz w:val="18"/>
              </w:rPr>
            </w:pPr>
            <w:r>
              <w:rPr>
                <w:b/>
                <w:sz w:val="18"/>
              </w:rPr>
              <w:t>Transmit Device</w:t>
            </w:r>
          </w:p>
        </w:tc>
        <w:tc>
          <w:tcPr>
            <w:tcW w:w="1260" w:type="dxa"/>
            <w:shd w:val="clear" w:color="auto" w:fill="D9D9D9"/>
          </w:tcPr>
          <w:p>
            <w:pPr>
              <w:pStyle w:val="TableParagraph"/>
              <w:spacing w:line="201" w:lineRule="exact"/>
              <w:rPr>
                <w:b/>
                <w:sz w:val="18"/>
              </w:rPr>
            </w:pPr>
            <w:r>
              <w:rPr>
                <w:b/>
                <w:sz w:val="18"/>
              </w:rPr>
              <w:t>DSRC</w:t>
            </w:r>
          </w:p>
          <w:p>
            <w:pPr>
              <w:pStyle w:val="TableParagraph"/>
              <w:spacing w:line="240" w:lineRule="auto"/>
              <w:ind w:right="446"/>
              <w:rPr>
                <w:b/>
                <w:sz w:val="18"/>
              </w:rPr>
            </w:pPr>
            <w:r>
              <w:rPr>
                <w:b/>
                <w:sz w:val="18"/>
              </w:rPr>
              <w:t>Receive Device</w:t>
            </w:r>
          </w:p>
        </w:tc>
        <w:tc>
          <w:tcPr>
            <w:tcW w:w="1261" w:type="dxa"/>
            <w:shd w:val="clear" w:color="auto" w:fill="D9D9D9"/>
          </w:tcPr>
          <w:p>
            <w:pPr>
              <w:pStyle w:val="TableParagraph"/>
              <w:spacing w:line="201" w:lineRule="exact"/>
              <w:rPr>
                <w:b/>
                <w:sz w:val="18"/>
              </w:rPr>
            </w:pPr>
            <w:r>
              <w:rPr>
                <w:b/>
                <w:sz w:val="18"/>
              </w:rPr>
              <w:t>PER %</w:t>
            </w:r>
          </w:p>
        </w:tc>
        <w:tc>
          <w:tcPr>
            <w:tcW w:w="1260" w:type="dxa"/>
            <w:shd w:val="clear" w:color="auto" w:fill="D9D9D9"/>
          </w:tcPr>
          <w:p>
            <w:pPr>
              <w:pStyle w:val="TableParagraph"/>
              <w:spacing w:line="240" w:lineRule="auto"/>
              <w:rPr>
                <w:b/>
                <w:sz w:val="18"/>
              </w:rPr>
            </w:pPr>
            <w:r>
              <w:rPr>
                <w:b/>
                <w:sz w:val="18"/>
              </w:rPr>
              <w:t>CBR (%) for DSRC</w:t>
            </w:r>
          </w:p>
        </w:tc>
      </w:tr>
      <w:tr>
        <w:trPr>
          <w:trHeight w:val="216" w:hRule="exact"/>
        </w:trPr>
        <w:tc>
          <w:tcPr>
            <w:tcW w:w="1352" w:type="dxa"/>
          </w:tcPr>
          <w:p>
            <w:pPr>
              <w:pStyle w:val="TableParagraph"/>
              <w:rPr>
                <w:sz w:val="18"/>
              </w:rPr>
            </w:pPr>
            <w:r>
              <w:rPr>
                <w:sz w:val="18"/>
              </w:rPr>
              <w:t>69</w:t>
            </w:r>
          </w:p>
        </w:tc>
        <w:tc>
          <w:tcPr>
            <w:tcW w:w="1260" w:type="dxa"/>
          </w:tcPr>
          <w:p>
            <w:pPr>
              <w:pStyle w:val="TableParagraph"/>
              <w:rPr>
                <w:sz w:val="18"/>
              </w:rPr>
            </w:pPr>
            <w:r>
              <w:rPr>
                <w:sz w:val="18"/>
              </w:rPr>
              <w:t>1000</w:t>
            </w:r>
          </w:p>
        </w:tc>
        <w:tc>
          <w:tcPr>
            <w:tcW w:w="1260" w:type="dxa"/>
          </w:tcPr>
          <w:p>
            <w:pPr>
              <w:pStyle w:val="TableParagraph"/>
              <w:rPr>
                <w:sz w:val="18"/>
              </w:rPr>
            </w:pPr>
            <w:r>
              <w:rPr>
                <w:sz w:val="18"/>
              </w:rPr>
              <w:t>1000</w:t>
            </w:r>
          </w:p>
        </w:tc>
        <w:tc>
          <w:tcPr>
            <w:tcW w:w="1261" w:type="dxa"/>
          </w:tcPr>
          <w:p>
            <w:pPr>
              <w:pStyle w:val="TableParagraph"/>
              <w:rPr>
                <w:sz w:val="18"/>
              </w:rPr>
            </w:pPr>
            <w:r>
              <w:rPr>
                <w:w w:val="99"/>
                <w:sz w:val="18"/>
              </w:rPr>
              <w:t>0</w:t>
            </w:r>
          </w:p>
        </w:tc>
        <w:tc>
          <w:tcPr>
            <w:tcW w:w="1260" w:type="dxa"/>
          </w:tcPr>
          <w:p>
            <w:pPr>
              <w:pStyle w:val="TableParagraph"/>
              <w:ind w:left="153"/>
              <w:rPr>
                <w:sz w:val="18"/>
              </w:rPr>
            </w:pPr>
            <w:r>
              <w:rPr>
                <w:sz w:val="18"/>
              </w:rPr>
              <w:t>&lt; 1</w:t>
            </w:r>
          </w:p>
        </w:tc>
      </w:tr>
      <w:tr>
        <w:trPr>
          <w:trHeight w:val="216" w:hRule="exact"/>
        </w:trPr>
        <w:tc>
          <w:tcPr>
            <w:tcW w:w="1352" w:type="dxa"/>
          </w:tcPr>
          <w:p>
            <w:pPr>
              <w:pStyle w:val="TableParagraph"/>
              <w:rPr>
                <w:sz w:val="18"/>
              </w:rPr>
            </w:pPr>
            <w:r>
              <w:rPr>
                <w:sz w:val="18"/>
              </w:rPr>
              <w:t>79</w:t>
            </w:r>
          </w:p>
        </w:tc>
        <w:tc>
          <w:tcPr>
            <w:tcW w:w="1260" w:type="dxa"/>
          </w:tcPr>
          <w:p>
            <w:pPr>
              <w:pStyle w:val="TableParagraph"/>
              <w:rPr>
                <w:sz w:val="18"/>
              </w:rPr>
            </w:pPr>
            <w:r>
              <w:rPr>
                <w:sz w:val="18"/>
              </w:rPr>
              <w:t>1000</w:t>
            </w:r>
          </w:p>
        </w:tc>
        <w:tc>
          <w:tcPr>
            <w:tcW w:w="1260" w:type="dxa"/>
          </w:tcPr>
          <w:p>
            <w:pPr>
              <w:pStyle w:val="TableParagraph"/>
              <w:rPr>
                <w:sz w:val="18"/>
              </w:rPr>
            </w:pPr>
            <w:r>
              <w:rPr>
                <w:sz w:val="18"/>
              </w:rPr>
              <w:t>1000</w:t>
            </w:r>
          </w:p>
        </w:tc>
        <w:tc>
          <w:tcPr>
            <w:tcW w:w="1261" w:type="dxa"/>
          </w:tcPr>
          <w:p>
            <w:pPr>
              <w:pStyle w:val="TableParagraph"/>
              <w:rPr>
                <w:sz w:val="18"/>
              </w:rPr>
            </w:pPr>
            <w:r>
              <w:rPr>
                <w:w w:val="99"/>
                <w:sz w:val="18"/>
              </w:rPr>
              <w:t>0</w:t>
            </w:r>
          </w:p>
        </w:tc>
        <w:tc>
          <w:tcPr>
            <w:tcW w:w="1260" w:type="dxa"/>
          </w:tcPr>
          <w:p>
            <w:pPr>
              <w:pStyle w:val="TableParagraph"/>
              <w:ind w:left="153"/>
              <w:rPr>
                <w:sz w:val="18"/>
              </w:rPr>
            </w:pPr>
            <w:r>
              <w:rPr>
                <w:sz w:val="18"/>
              </w:rPr>
              <w:t>&lt; 1</w:t>
            </w:r>
          </w:p>
        </w:tc>
      </w:tr>
      <w:tr>
        <w:trPr>
          <w:trHeight w:val="218" w:hRule="exact"/>
        </w:trPr>
        <w:tc>
          <w:tcPr>
            <w:tcW w:w="1352" w:type="dxa"/>
          </w:tcPr>
          <w:p>
            <w:pPr>
              <w:pStyle w:val="TableParagraph"/>
              <w:spacing w:line="240" w:lineRule="auto" w:before="1"/>
              <w:rPr>
                <w:sz w:val="18"/>
              </w:rPr>
            </w:pPr>
            <w:r>
              <w:rPr>
                <w:sz w:val="18"/>
              </w:rPr>
              <w:t>89</w:t>
            </w:r>
          </w:p>
        </w:tc>
        <w:tc>
          <w:tcPr>
            <w:tcW w:w="1260" w:type="dxa"/>
          </w:tcPr>
          <w:p>
            <w:pPr>
              <w:pStyle w:val="TableParagraph"/>
              <w:spacing w:line="240" w:lineRule="auto" w:before="1"/>
              <w:rPr>
                <w:sz w:val="18"/>
              </w:rPr>
            </w:pPr>
            <w:r>
              <w:rPr>
                <w:sz w:val="18"/>
              </w:rPr>
              <w:t>1000</w:t>
            </w:r>
          </w:p>
        </w:tc>
        <w:tc>
          <w:tcPr>
            <w:tcW w:w="1260" w:type="dxa"/>
          </w:tcPr>
          <w:p>
            <w:pPr>
              <w:pStyle w:val="TableParagraph"/>
              <w:spacing w:line="240" w:lineRule="auto" w:before="1"/>
              <w:rPr>
                <w:sz w:val="18"/>
              </w:rPr>
            </w:pPr>
            <w:r>
              <w:rPr>
                <w:sz w:val="18"/>
              </w:rPr>
              <w:t>1000</w:t>
            </w:r>
          </w:p>
        </w:tc>
        <w:tc>
          <w:tcPr>
            <w:tcW w:w="1261" w:type="dxa"/>
          </w:tcPr>
          <w:p>
            <w:pPr>
              <w:pStyle w:val="TableParagraph"/>
              <w:spacing w:line="240" w:lineRule="auto" w:before="1"/>
              <w:rPr>
                <w:sz w:val="18"/>
              </w:rPr>
            </w:pPr>
            <w:r>
              <w:rPr>
                <w:w w:val="99"/>
                <w:sz w:val="18"/>
              </w:rPr>
              <w:t>0</w:t>
            </w:r>
          </w:p>
        </w:tc>
        <w:tc>
          <w:tcPr>
            <w:tcW w:w="1260" w:type="dxa"/>
          </w:tcPr>
          <w:p>
            <w:pPr>
              <w:pStyle w:val="TableParagraph"/>
              <w:spacing w:line="240" w:lineRule="auto" w:before="1"/>
              <w:ind w:left="153"/>
              <w:rPr>
                <w:sz w:val="18"/>
              </w:rPr>
            </w:pPr>
            <w:r>
              <w:rPr>
                <w:sz w:val="18"/>
              </w:rPr>
              <w:t>&lt; 1</w:t>
            </w:r>
          </w:p>
        </w:tc>
      </w:tr>
      <w:tr>
        <w:trPr>
          <w:trHeight w:val="216" w:hRule="exact"/>
        </w:trPr>
        <w:tc>
          <w:tcPr>
            <w:tcW w:w="1352" w:type="dxa"/>
          </w:tcPr>
          <w:p>
            <w:pPr>
              <w:pStyle w:val="TableParagraph"/>
              <w:rPr>
                <w:sz w:val="18"/>
              </w:rPr>
            </w:pPr>
            <w:r>
              <w:rPr>
                <w:sz w:val="18"/>
              </w:rPr>
              <w:t>99</w:t>
            </w:r>
          </w:p>
        </w:tc>
        <w:tc>
          <w:tcPr>
            <w:tcW w:w="1260" w:type="dxa"/>
          </w:tcPr>
          <w:p>
            <w:pPr>
              <w:pStyle w:val="TableParagraph"/>
              <w:rPr>
                <w:sz w:val="18"/>
              </w:rPr>
            </w:pPr>
            <w:r>
              <w:rPr>
                <w:sz w:val="18"/>
              </w:rPr>
              <w:t>1000</w:t>
            </w:r>
          </w:p>
        </w:tc>
        <w:tc>
          <w:tcPr>
            <w:tcW w:w="1260" w:type="dxa"/>
          </w:tcPr>
          <w:p>
            <w:pPr>
              <w:pStyle w:val="TableParagraph"/>
              <w:rPr>
                <w:sz w:val="18"/>
              </w:rPr>
            </w:pPr>
            <w:r>
              <w:rPr>
                <w:sz w:val="18"/>
              </w:rPr>
              <w:t>1000</w:t>
            </w:r>
          </w:p>
        </w:tc>
        <w:tc>
          <w:tcPr>
            <w:tcW w:w="1261" w:type="dxa"/>
          </w:tcPr>
          <w:p>
            <w:pPr>
              <w:pStyle w:val="TableParagraph"/>
              <w:rPr>
                <w:sz w:val="18"/>
              </w:rPr>
            </w:pPr>
            <w:r>
              <w:rPr>
                <w:w w:val="99"/>
                <w:sz w:val="18"/>
              </w:rPr>
              <w:t>0</w:t>
            </w:r>
          </w:p>
        </w:tc>
        <w:tc>
          <w:tcPr>
            <w:tcW w:w="1260" w:type="dxa"/>
          </w:tcPr>
          <w:p>
            <w:pPr>
              <w:pStyle w:val="TableParagraph"/>
              <w:ind w:left="153"/>
              <w:rPr>
                <w:sz w:val="18"/>
              </w:rPr>
            </w:pPr>
            <w:r>
              <w:rPr>
                <w:sz w:val="18"/>
              </w:rPr>
              <w:t>&lt; 1</w:t>
            </w:r>
          </w:p>
        </w:tc>
      </w:tr>
      <w:tr>
        <w:trPr>
          <w:trHeight w:val="218" w:hRule="exact"/>
        </w:trPr>
        <w:tc>
          <w:tcPr>
            <w:tcW w:w="1352" w:type="dxa"/>
          </w:tcPr>
          <w:p>
            <w:pPr>
              <w:pStyle w:val="TableParagraph"/>
              <w:rPr>
                <w:sz w:val="18"/>
              </w:rPr>
            </w:pPr>
            <w:r>
              <w:rPr>
                <w:sz w:val="18"/>
              </w:rPr>
              <w:t>109</w:t>
            </w:r>
          </w:p>
        </w:tc>
        <w:tc>
          <w:tcPr>
            <w:tcW w:w="1260" w:type="dxa"/>
          </w:tcPr>
          <w:p>
            <w:pPr>
              <w:pStyle w:val="TableParagraph"/>
              <w:rPr>
                <w:sz w:val="18"/>
              </w:rPr>
            </w:pPr>
            <w:r>
              <w:rPr>
                <w:sz w:val="18"/>
              </w:rPr>
              <w:t>1000</w:t>
            </w:r>
          </w:p>
        </w:tc>
        <w:tc>
          <w:tcPr>
            <w:tcW w:w="1260" w:type="dxa"/>
          </w:tcPr>
          <w:p>
            <w:pPr>
              <w:pStyle w:val="TableParagraph"/>
              <w:rPr>
                <w:sz w:val="18"/>
              </w:rPr>
            </w:pPr>
            <w:r>
              <w:rPr>
                <w:sz w:val="18"/>
              </w:rPr>
              <w:t>995</w:t>
            </w:r>
          </w:p>
        </w:tc>
        <w:tc>
          <w:tcPr>
            <w:tcW w:w="1261" w:type="dxa"/>
          </w:tcPr>
          <w:p>
            <w:pPr>
              <w:pStyle w:val="TableParagraph"/>
              <w:rPr>
                <w:sz w:val="18"/>
              </w:rPr>
            </w:pPr>
            <w:r>
              <w:rPr>
                <w:sz w:val="18"/>
              </w:rPr>
              <w:t>0.5</w:t>
            </w:r>
          </w:p>
        </w:tc>
        <w:tc>
          <w:tcPr>
            <w:tcW w:w="1260" w:type="dxa"/>
          </w:tcPr>
          <w:p>
            <w:pPr>
              <w:pStyle w:val="TableParagraph"/>
              <w:ind w:left="153"/>
              <w:rPr>
                <w:sz w:val="18"/>
              </w:rPr>
            </w:pPr>
            <w:r>
              <w:rPr>
                <w:sz w:val="18"/>
              </w:rPr>
              <w:t>&lt; 1</w:t>
            </w:r>
          </w:p>
        </w:tc>
      </w:tr>
      <w:tr>
        <w:trPr>
          <w:trHeight w:val="216" w:hRule="exact"/>
        </w:trPr>
        <w:tc>
          <w:tcPr>
            <w:tcW w:w="1352" w:type="dxa"/>
          </w:tcPr>
          <w:p>
            <w:pPr>
              <w:pStyle w:val="TableParagraph"/>
              <w:rPr>
                <w:sz w:val="18"/>
              </w:rPr>
            </w:pPr>
            <w:r>
              <w:rPr>
                <w:sz w:val="18"/>
              </w:rPr>
              <w:t>110</w:t>
            </w:r>
          </w:p>
        </w:tc>
        <w:tc>
          <w:tcPr>
            <w:tcW w:w="1260" w:type="dxa"/>
          </w:tcPr>
          <w:p>
            <w:pPr>
              <w:pStyle w:val="TableParagraph"/>
              <w:rPr>
                <w:sz w:val="18"/>
              </w:rPr>
            </w:pPr>
            <w:r>
              <w:rPr>
                <w:sz w:val="18"/>
              </w:rPr>
              <w:t>1000</w:t>
            </w:r>
          </w:p>
        </w:tc>
        <w:tc>
          <w:tcPr>
            <w:tcW w:w="1260" w:type="dxa"/>
          </w:tcPr>
          <w:p>
            <w:pPr>
              <w:pStyle w:val="TableParagraph"/>
              <w:rPr>
                <w:sz w:val="18"/>
              </w:rPr>
            </w:pPr>
            <w:r>
              <w:rPr>
                <w:sz w:val="18"/>
              </w:rPr>
              <w:t>946</w:t>
            </w:r>
          </w:p>
        </w:tc>
        <w:tc>
          <w:tcPr>
            <w:tcW w:w="1261" w:type="dxa"/>
          </w:tcPr>
          <w:p>
            <w:pPr>
              <w:pStyle w:val="TableParagraph"/>
              <w:rPr>
                <w:sz w:val="18"/>
              </w:rPr>
            </w:pPr>
            <w:r>
              <w:rPr>
                <w:sz w:val="18"/>
              </w:rPr>
              <w:t>5.4</w:t>
            </w:r>
          </w:p>
        </w:tc>
        <w:tc>
          <w:tcPr>
            <w:tcW w:w="1260" w:type="dxa"/>
          </w:tcPr>
          <w:p>
            <w:pPr>
              <w:pStyle w:val="TableParagraph"/>
              <w:ind w:left="153"/>
              <w:rPr>
                <w:sz w:val="18"/>
              </w:rPr>
            </w:pPr>
            <w:r>
              <w:rPr>
                <w:sz w:val="18"/>
              </w:rPr>
              <w:t>&lt; 1</w:t>
            </w:r>
          </w:p>
        </w:tc>
      </w:tr>
      <w:tr>
        <w:trPr>
          <w:trHeight w:val="216" w:hRule="exact"/>
        </w:trPr>
        <w:tc>
          <w:tcPr>
            <w:tcW w:w="1352" w:type="dxa"/>
          </w:tcPr>
          <w:p>
            <w:pPr>
              <w:pStyle w:val="TableParagraph"/>
              <w:rPr>
                <w:sz w:val="18"/>
              </w:rPr>
            </w:pPr>
            <w:r>
              <w:rPr>
                <w:sz w:val="18"/>
              </w:rPr>
              <w:t>111</w:t>
            </w:r>
          </w:p>
        </w:tc>
        <w:tc>
          <w:tcPr>
            <w:tcW w:w="1260" w:type="dxa"/>
          </w:tcPr>
          <w:p>
            <w:pPr>
              <w:pStyle w:val="TableParagraph"/>
              <w:rPr>
                <w:sz w:val="18"/>
              </w:rPr>
            </w:pPr>
            <w:r>
              <w:rPr>
                <w:sz w:val="18"/>
              </w:rPr>
              <w:t>1000</w:t>
            </w:r>
          </w:p>
        </w:tc>
        <w:tc>
          <w:tcPr>
            <w:tcW w:w="1260" w:type="dxa"/>
          </w:tcPr>
          <w:p>
            <w:pPr>
              <w:pStyle w:val="TableParagraph"/>
              <w:rPr>
                <w:sz w:val="18"/>
              </w:rPr>
            </w:pPr>
            <w:r>
              <w:rPr>
                <w:sz w:val="18"/>
              </w:rPr>
              <w:t>561</w:t>
            </w:r>
          </w:p>
        </w:tc>
        <w:tc>
          <w:tcPr>
            <w:tcW w:w="1261" w:type="dxa"/>
          </w:tcPr>
          <w:p>
            <w:pPr>
              <w:pStyle w:val="TableParagraph"/>
              <w:rPr>
                <w:sz w:val="18"/>
              </w:rPr>
            </w:pPr>
            <w:r>
              <w:rPr>
                <w:sz w:val="18"/>
              </w:rPr>
              <w:t>43.9</w:t>
            </w:r>
          </w:p>
        </w:tc>
        <w:tc>
          <w:tcPr>
            <w:tcW w:w="1260" w:type="dxa"/>
          </w:tcPr>
          <w:p>
            <w:pPr>
              <w:pStyle w:val="TableParagraph"/>
              <w:ind w:left="153"/>
              <w:rPr>
                <w:sz w:val="18"/>
              </w:rPr>
            </w:pPr>
            <w:r>
              <w:rPr>
                <w:sz w:val="18"/>
              </w:rPr>
              <w:t>&lt; 1</w:t>
            </w:r>
          </w:p>
        </w:tc>
      </w:tr>
      <w:tr>
        <w:trPr>
          <w:trHeight w:val="218" w:hRule="exact"/>
        </w:trPr>
        <w:tc>
          <w:tcPr>
            <w:tcW w:w="1352" w:type="dxa"/>
          </w:tcPr>
          <w:p>
            <w:pPr>
              <w:pStyle w:val="TableParagraph"/>
              <w:spacing w:line="240" w:lineRule="auto" w:before="1"/>
              <w:rPr>
                <w:sz w:val="18"/>
              </w:rPr>
            </w:pPr>
            <w:r>
              <w:rPr>
                <w:sz w:val="18"/>
              </w:rPr>
              <w:t>112</w:t>
            </w:r>
          </w:p>
        </w:tc>
        <w:tc>
          <w:tcPr>
            <w:tcW w:w="1260" w:type="dxa"/>
          </w:tcPr>
          <w:p>
            <w:pPr>
              <w:pStyle w:val="TableParagraph"/>
              <w:spacing w:line="240" w:lineRule="auto" w:before="1"/>
              <w:rPr>
                <w:sz w:val="18"/>
              </w:rPr>
            </w:pPr>
            <w:r>
              <w:rPr>
                <w:sz w:val="18"/>
              </w:rPr>
              <w:t>1000</w:t>
            </w:r>
          </w:p>
        </w:tc>
        <w:tc>
          <w:tcPr>
            <w:tcW w:w="1260" w:type="dxa"/>
          </w:tcPr>
          <w:p>
            <w:pPr>
              <w:pStyle w:val="TableParagraph"/>
              <w:spacing w:line="240" w:lineRule="auto" w:before="1"/>
              <w:rPr>
                <w:sz w:val="18"/>
              </w:rPr>
            </w:pPr>
            <w:r>
              <w:rPr>
                <w:sz w:val="18"/>
              </w:rPr>
              <w:t>26</w:t>
            </w:r>
          </w:p>
        </w:tc>
        <w:tc>
          <w:tcPr>
            <w:tcW w:w="1261" w:type="dxa"/>
          </w:tcPr>
          <w:p>
            <w:pPr>
              <w:pStyle w:val="TableParagraph"/>
              <w:spacing w:line="240" w:lineRule="auto" w:before="1"/>
              <w:rPr>
                <w:sz w:val="18"/>
              </w:rPr>
            </w:pPr>
            <w:r>
              <w:rPr>
                <w:sz w:val="18"/>
              </w:rPr>
              <w:t>97.4</w:t>
            </w:r>
          </w:p>
        </w:tc>
        <w:tc>
          <w:tcPr>
            <w:tcW w:w="1260" w:type="dxa"/>
          </w:tcPr>
          <w:p>
            <w:pPr>
              <w:pStyle w:val="TableParagraph"/>
              <w:spacing w:line="240" w:lineRule="auto" w:before="1"/>
              <w:ind w:left="153"/>
              <w:rPr>
                <w:sz w:val="18"/>
              </w:rPr>
            </w:pPr>
            <w:r>
              <w:rPr>
                <w:sz w:val="18"/>
              </w:rPr>
              <w:t>&lt; 1</w:t>
            </w:r>
          </w:p>
        </w:tc>
      </w:tr>
      <w:tr>
        <w:trPr>
          <w:trHeight w:val="216" w:hRule="exact"/>
        </w:trPr>
        <w:tc>
          <w:tcPr>
            <w:tcW w:w="1352" w:type="dxa"/>
            <w:tcBorders>
              <w:bottom w:val="single" w:sz="4" w:space="0" w:color="000000"/>
            </w:tcBorders>
          </w:tcPr>
          <w:p>
            <w:pPr>
              <w:pStyle w:val="TableParagraph"/>
              <w:rPr>
                <w:sz w:val="18"/>
              </w:rPr>
            </w:pPr>
            <w:r>
              <w:rPr>
                <w:sz w:val="18"/>
              </w:rPr>
              <w:t>113</w:t>
            </w:r>
          </w:p>
        </w:tc>
        <w:tc>
          <w:tcPr>
            <w:tcW w:w="1260" w:type="dxa"/>
            <w:tcBorders>
              <w:bottom w:val="single" w:sz="4" w:space="0" w:color="000000"/>
            </w:tcBorders>
          </w:tcPr>
          <w:p>
            <w:pPr>
              <w:pStyle w:val="TableParagraph"/>
              <w:rPr>
                <w:sz w:val="18"/>
              </w:rPr>
            </w:pPr>
            <w:r>
              <w:rPr>
                <w:sz w:val="18"/>
              </w:rPr>
              <w:t>1000</w:t>
            </w:r>
          </w:p>
        </w:tc>
        <w:tc>
          <w:tcPr>
            <w:tcW w:w="1260" w:type="dxa"/>
            <w:tcBorders>
              <w:bottom w:val="single" w:sz="4" w:space="0" w:color="000000"/>
            </w:tcBorders>
          </w:tcPr>
          <w:p>
            <w:pPr>
              <w:pStyle w:val="TableParagraph"/>
              <w:rPr>
                <w:sz w:val="18"/>
              </w:rPr>
            </w:pPr>
            <w:r>
              <w:rPr>
                <w:w w:val="99"/>
                <w:sz w:val="18"/>
              </w:rPr>
              <w:t>0</w:t>
            </w:r>
          </w:p>
        </w:tc>
        <w:tc>
          <w:tcPr>
            <w:tcW w:w="1261" w:type="dxa"/>
            <w:tcBorders>
              <w:bottom w:val="single" w:sz="4" w:space="0" w:color="000000"/>
            </w:tcBorders>
          </w:tcPr>
          <w:p>
            <w:pPr>
              <w:pStyle w:val="TableParagraph"/>
              <w:rPr>
                <w:sz w:val="18"/>
              </w:rPr>
            </w:pPr>
            <w:r>
              <w:rPr>
                <w:sz w:val="18"/>
              </w:rPr>
              <w:t>100</w:t>
            </w:r>
          </w:p>
        </w:tc>
        <w:tc>
          <w:tcPr>
            <w:tcW w:w="1260" w:type="dxa"/>
            <w:tcBorders>
              <w:bottom w:val="single" w:sz="4" w:space="0" w:color="000000"/>
            </w:tcBorders>
          </w:tcPr>
          <w:p>
            <w:pPr>
              <w:pStyle w:val="TableParagraph"/>
              <w:ind w:left="153"/>
              <w:rPr>
                <w:sz w:val="18"/>
              </w:rPr>
            </w:pPr>
            <w:r>
              <w:rPr>
                <w:sz w:val="18"/>
              </w:rPr>
              <w:t>&lt; 1</w:t>
            </w:r>
          </w:p>
        </w:tc>
      </w:tr>
    </w:tbl>
    <w:p>
      <w:pPr>
        <w:pStyle w:val="BodyText"/>
        <w:rPr>
          <w:b/>
          <w:sz w:val="22"/>
        </w:rPr>
      </w:pPr>
    </w:p>
    <w:p>
      <w:pPr>
        <w:pStyle w:val="BodyText"/>
        <w:spacing w:before="7"/>
        <w:rPr>
          <w:b/>
          <w:sz w:val="23"/>
        </w:rPr>
      </w:pPr>
    </w:p>
    <w:p>
      <w:pPr>
        <w:spacing w:before="0"/>
        <w:ind w:left="1133" w:right="0" w:firstLine="0"/>
        <w:jc w:val="left"/>
        <w:rPr>
          <w:b/>
          <w:sz w:val="20"/>
        </w:rPr>
      </w:pPr>
      <w:r>
        <w:rPr/>
        <w:pict>
          <v:group style="position:absolute;margin-left:56.275002pt;margin-top:162.404877pt;width:468.75pt;height:296.650pt;mso-position-horizontal-relative:page;mso-position-vertical-relative:paragraph;z-index:3760" coordorigin="1126,3248" coordsize="9375,5933">
            <v:shape style="position:absolute;left:0;top:8031;width:8009;height:3234" coordorigin="0,8031" coordsize="8009,3234" path="m2128,7183l10136,7183m2128,6535l10136,6535m2128,5889l10136,5889m2128,5241l10136,5241m2128,4595l10136,4595m2128,3949l10136,3949e" filled="false" stroked="true" strokeweight=".75pt" strokecolor="#d9d9d9">
              <v:path arrowok="t"/>
              <v:stroke dashstyle="solid"/>
            </v:shape>
            <v:shape style="position:absolute;left:0;top:11265;width:6865;height:3880" coordorigin="0,11265" coordsize="6865,3880" path="m3271,3949l3271,7828m4416,3949l4416,7828m5561,3949l5561,7828m6703,3949l6703,7828m7848,3949l7848,7828m8993,3949l8993,7828m10136,3949l10136,7828e" filled="false" stroked="true" strokeweight=".75pt" strokecolor="#d9d9d9">
              <v:path arrowok="t"/>
              <v:stroke dashstyle="solid"/>
            </v:shape>
            <v:shape style="position:absolute;left:0;top:7386;width:8009;height:3880" coordorigin="0,7386" coordsize="8009,3880" path="m2128,7828l2128,3949m2128,7828l10136,7828e" filled="false" stroked="true" strokeweight=".75pt" strokecolor="#bebebe">
              <v:path arrowok="t"/>
              <v:stroke dashstyle="solid"/>
            </v:shape>
            <v:shape style="position:absolute;left:3157;top:4595;width:6865;height:3233" coordorigin="3157,4595" coordsize="6865,3233" path="m3157,7828l3157,7828,8878,7828,9221,7790,9336,7785,9449,7775,9564,7463,9679,7214,9792,7151,9907,4708,10022,4595e" filled="false" stroked="true" strokeweight="1.5pt" strokecolor="#4471c4">
              <v:path arrowok="t"/>
              <v:stroke dashstyle="solid"/>
            </v:shape>
            <v:shape style="position:absolute;left:3101;top:7770;width:115;height:115" type="#_x0000_t75" stroked="false">
              <v:imagedata r:id="rId196" o:title=""/>
            </v:shape>
            <v:shape style="position:absolute;left:4243;top:7770;width:115;height:115" type="#_x0000_t75" stroked="false">
              <v:imagedata r:id="rId197" o:title=""/>
            </v:shape>
            <v:shape style="position:absolute;left:5388;top:7770;width:115;height:115" type="#_x0000_t75" stroked="false">
              <v:imagedata r:id="rId196" o:title=""/>
            </v:shape>
            <v:shape style="position:absolute;left:6533;top:7770;width:115;height:115" type="#_x0000_t75" stroked="false">
              <v:imagedata r:id="rId197" o:title=""/>
            </v:shape>
            <v:shape style="position:absolute;left:7675;top:7770;width:115;height:115" type="#_x0000_t75" stroked="false">
              <v:imagedata r:id="rId196" o:title=""/>
            </v:shape>
            <v:shape style="position:absolute;left:8249;top:7770;width:115;height:115" type="#_x0000_t75" stroked="false">
              <v:imagedata r:id="rId197" o:title=""/>
            </v:shape>
            <v:shape style="position:absolute;left:8820;top:7770;width:115;height:115" type="#_x0000_t75" stroked="false">
              <v:imagedata r:id="rId197" o:title=""/>
            </v:shape>
            <v:shape style="position:absolute;left:9163;top:7717;width:343;height:130" type="#_x0000_t75" stroked="false">
              <v:imagedata r:id="rId198" o:title=""/>
            </v:shape>
            <v:shape style="position:absolute;left:9507;top:7405;width:115;height:115" type="#_x0000_t75" stroked="false">
              <v:imagedata r:id="rId199" o:title=""/>
            </v:shape>
            <v:shape style="position:absolute;left:9622;top:7093;width:228;height:178" type="#_x0000_t75" stroked="false">
              <v:imagedata r:id="rId200" o:title=""/>
            </v:shape>
            <v:shape style="position:absolute;left:9850;top:4537;width:230;height:228" type="#_x0000_t75" stroked="false">
              <v:imagedata r:id="rId201" o:title=""/>
            </v:shape>
            <v:shape style="position:absolute;left:3157;top:4595;width:5034;height:3233" coordorigin="3157,4595" coordsize="5034,3233" path="m3157,7828l4301,7828,5446,7828,6590,7828,7733,7811,7848,7653,7963,6410,8076,4679,8191,4595e" filled="false" stroked="true" strokeweight="1.5pt" strokecolor="#ec7c30">
              <v:path arrowok="t"/>
              <v:stroke dashstyle="solid"/>
            </v:shape>
            <v:shape style="position:absolute;left:3101;top:7770;width:115;height:115" type="#_x0000_t75" stroked="false">
              <v:imagedata r:id="rId202" o:title=""/>
            </v:shape>
            <v:shape style="position:absolute;left:4243;top:7770;width:115;height:115" type="#_x0000_t75" stroked="false">
              <v:imagedata r:id="rId203" o:title=""/>
            </v:shape>
            <v:shape style="position:absolute;left:5388;top:7770;width:115;height:115" type="#_x0000_t75" stroked="false">
              <v:imagedata r:id="rId202" o:title=""/>
            </v:shape>
            <v:shape style="position:absolute;left:6533;top:7770;width:115;height:115" type="#_x0000_t75" stroked="false">
              <v:imagedata r:id="rId203" o:title=""/>
            </v:shape>
            <v:shape style="position:absolute;left:7675;top:7753;width:115;height:115" type="#_x0000_t75" stroked="false">
              <v:imagedata r:id="rId202" o:title=""/>
            </v:shape>
            <v:shape style="position:absolute;left:7791;top:7595;width:115;height:115" type="#_x0000_t75" stroked="false">
              <v:imagedata r:id="rId203" o:title=""/>
            </v:shape>
            <v:shape style="position:absolute;left:7906;top:6352;width:115;height:115" type="#_x0000_t75" stroked="false">
              <v:imagedata r:id="rId203" o:title=""/>
            </v:shape>
            <v:shape style="position:absolute;left:8019;top:4537;width:230;height:199" type="#_x0000_t75" stroked="false">
              <v:imagedata r:id="rId204" o:title=""/>
            </v:shape>
            <v:shape style="position:absolute;left:4752;top:8665;width:414;height:116" type="#_x0000_t75" stroked="false">
              <v:imagedata r:id="rId205" o:title=""/>
            </v:shape>
            <v:shape style="position:absolute;left:6284;top:8665;width:414;height:116" type="#_x0000_t75" stroked="false">
              <v:imagedata r:id="rId206" o:title=""/>
            </v:shape>
            <v:rect style="position:absolute;left:1133;top:3256;width:9360;height:5918" filled="false" stroked="true" strokeweight=".75pt" strokecolor="#d9d9d9">
              <v:stroke dashstyle="solid"/>
            </v:rect>
            <v:shape style="position:absolute;left:4626;top:3455;width:2395;height:240" type="#_x0000_t202" filled="false" stroked="false">
              <v:textbox inset="0,0,0,0">
                <w:txbxContent>
                  <w:p>
                    <w:pPr>
                      <w:spacing w:line="240" w:lineRule="exact" w:before="0"/>
                      <w:ind w:left="0" w:right="0" w:firstLine="0"/>
                      <w:jc w:val="left"/>
                      <w:rPr>
                        <w:rFonts w:ascii="Calibri"/>
                        <w:sz w:val="24"/>
                      </w:rPr>
                    </w:pPr>
                    <w:r>
                      <w:rPr>
                        <w:rFonts w:ascii="Calibri"/>
                        <w:color w:val="585858"/>
                        <w:sz w:val="24"/>
                      </w:rPr>
                      <w:t>PER VS Overall Path Loss</w:t>
                    </w:r>
                  </w:p>
                </w:txbxContent>
              </v:textbox>
              <w10:wrap type="none"/>
            </v:shape>
            <v:shape style="position:absolute;left:1688;top:3866;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120</w:t>
                    </w:r>
                  </w:p>
                </w:txbxContent>
              </v:textbox>
              <w10:wrap type="none"/>
            </v:shape>
            <v:shape style="position:absolute;left:1688;top:4512;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100</w:t>
                    </w:r>
                  </w:p>
                </w:txbxContent>
              </v:textbox>
              <w10:wrap type="none"/>
            </v:shape>
            <v:shape style="position:absolute;left:1779;top:5159;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80</w:t>
                    </w:r>
                  </w:p>
                </w:txbxContent>
              </v:textbox>
              <w10:wrap type="none"/>
            </v:shape>
            <v:shape style="position:absolute;left:1779;top:5806;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60</w:t>
                    </w:r>
                  </w:p>
                </w:txbxContent>
              </v:textbox>
              <w10:wrap type="none"/>
            </v:shape>
            <v:shape style="position:absolute;left:1779;top:6452;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40</w:t>
                    </w:r>
                  </w:p>
                </w:txbxContent>
              </v:textbox>
              <w10:wrap type="none"/>
            </v:shape>
            <v:shape style="position:absolute;left:1779;top:7099;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20</w:t>
                    </w:r>
                  </w:p>
                </w:txbxContent>
              </v:textbox>
              <w10:wrap type="none"/>
            </v:shape>
            <v:shape style="position:absolute;left:1870;top:7746;width:11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w:t>
                    </w:r>
                  </w:p>
                </w:txbxContent>
              </v:textbox>
              <w10:wrap type="none"/>
            </v:shape>
            <v:shape style="position:absolute;left:2037;top:7980;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60</w:t>
                    </w:r>
                  </w:p>
                </w:txbxContent>
              </v:textbox>
              <w10:wrap type="none"/>
            </v:shape>
            <v:shape style="position:absolute;left:3181;top:7980;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70</w:t>
                    </w:r>
                  </w:p>
                </w:txbxContent>
              </v:textbox>
              <w10:wrap type="none"/>
            </v:shape>
            <v:shape style="position:absolute;left:4326;top:7980;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80</w:t>
                    </w:r>
                  </w:p>
                </w:txbxContent>
              </v:textbox>
              <w10:wrap type="none"/>
            </v:shape>
            <v:shape style="position:absolute;left:5470;top:7980;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90</w:t>
                    </w:r>
                  </w:p>
                </w:txbxContent>
              </v:textbox>
              <w10:wrap type="none"/>
            </v:shape>
            <v:shape style="position:absolute;left:6569;top:7980;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100</w:t>
                    </w:r>
                  </w:p>
                </w:txbxContent>
              </v:textbox>
              <w10:wrap type="none"/>
            </v:shape>
            <v:shape style="position:absolute;left:7713;top:7980;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110</w:t>
                    </w:r>
                  </w:p>
                </w:txbxContent>
              </v:textbox>
              <w10:wrap type="none"/>
            </v:shape>
            <v:shape style="position:absolute;left:8857;top:7980;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120</w:t>
                    </w:r>
                  </w:p>
                </w:txbxContent>
              </v:textbox>
              <w10:wrap type="none"/>
            </v:shape>
            <v:shape style="position:absolute;left:10002;top:7980;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130</w:t>
                    </w:r>
                  </w:p>
                </w:txbxContent>
              </v:textbox>
              <w10:wrap type="none"/>
            </v:shape>
            <v:shape style="position:absolute;left:5226;top:8264;width:1831;height:200" type="#_x0000_t202" filled="false" stroked="false">
              <v:textbox inset="0,0,0,0">
                <w:txbxContent>
                  <w:p>
                    <w:pPr>
                      <w:spacing w:line="199" w:lineRule="exact" w:before="0"/>
                      <w:ind w:left="0" w:right="0" w:firstLine="0"/>
                      <w:jc w:val="left"/>
                      <w:rPr>
                        <w:rFonts w:ascii="Calibri"/>
                        <w:b/>
                        <w:sz w:val="20"/>
                      </w:rPr>
                    </w:pPr>
                    <w:r>
                      <w:rPr>
                        <w:rFonts w:ascii="Calibri"/>
                        <w:b/>
                        <w:color w:val="585858"/>
                        <w:sz w:val="20"/>
                      </w:rPr>
                      <w:t>Overall Path Loss (dB)</w:t>
                    </w:r>
                  </w:p>
                </w:txbxContent>
              </v:textbox>
              <w10:wrap type="none"/>
            </v:shape>
            <v:shape style="position:absolute;left:5193;top:8643;width:890;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CV2X PER %</w:t>
                    </w:r>
                  </w:p>
                </w:txbxContent>
              </v:textbox>
              <w10:wrap type="none"/>
            </v:shape>
            <v:shape style="position:absolute;left:6725;top:8643;width:895;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DSRC PER %</w:t>
                    </w:r>
                  </w:p>
                </w:txbxContent>
              </v:textbox>
              <w10:wrap type="none"/>
            </v:shape>
            <w10:wrap type="none"/>
          </v:group>
        </w:pict>
      </w:r>
      <w:r>
        <w:rPr>
          <w:b/>
          <w:sz w:val="20"/>
        </w:rPr>
        <w:t>Table 11: DSRC Results – IPG and Latency</w:t>
      </w:r>
    </w:p>
    <w:p>
      <w:pPr>
        <w:pStyle w:val="BodyText"/>
        <w:spacing w:after="1"/>
        <w:rPr>
          <w:b/>
          <w:sz w:val="16"/>
        </w:rPr>
      </w:pPr>
    </w:p>
    <w:tbl>
      <w:tblPr>
        <w:tblW w:w="0" w:type="auto"/>
        <w:jc w:val="left"/>
        <w:tblInd w:w="1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1"/>
        <w:gridCol w:w="1261"/>
        <w:gridCol w:w="1260"/>
        <w:gridCol w:w="1260"/>
        <w:gridCol w:w="1261"/>
        <w:gridCol w:w="1260"/>
        <w:gridCol w:w="1260"/>
      </w:tblGrid>
      <w:tr>
        <w:trPr>
          <w:trHeight w:val="631" w:hRule="exact"/>
        </w:trPr>
        <w:tc>
          <w:tcPr>
            <w:tcW w:w="1351" w:type="dxa"/>
            <w:shd w:val="clear" w:color="auto" w:fill="D9D9D9"/>
          </w:tcPr>
          <w:p>
            <w:pPr/>
          </w:p>
        </w:tc>
        <w:tc>
          <w:tcPr>
            <w:tcW w:w="1261" w:type="dxa"/>
            <w:shd w:val="clear" w:color="auto" w:fill="D9D9D9"/>
          </w:tcPr>
          <w:p>
            <w:pPr>
              <w:pStyle w:val="TableParagraph"/>
              <w:tabs>
                <w:tab w:pos="979" w:val="left" w:leader="none"/>
              </w:tabs>
              <w:spacing w:line="201" w:lineRule="exact"/>
              <w:rPr>
                <w:b/>
                <w:sz w:val="18"/>
              </w:rPr>
            </w:pPr>
            <w:r>
              <w:rPr>
                <w:b/>
                <w:sz w:val="18"/>
              </w:rPr>
              <w:t>No.</w:t>
              <w:tab/>
              <w:t>of</w:t>
            </w:r>
          </w:p>
          <w:p>
            <w:pPr>
              <w:pStyle w:val="TableParagraph"/>
              <w:spacing w:line="240" w:lineRule="auto" w:before="2"/>
              <w:ind w:right="97"/>
              <w:rPr>
                <w:b/>
                <w:sz w:val="18"/>
              </w:rPr>
            </w:pPr>
            <w:r>
              <w:rPr>
                <w:b/>
                <w:sz w:val="18"/>
              </w:rPr>
              <w:t>Transmitted pkts/s</w:t>
            </w:r>
          </w:p>
        </w:tc>
        <w:tc>
          <w:tcPr>
            <w:tcW w:w="1260" w:type="dxa"/>
            <w:shd w:val="clear" w:color="auto" w:fill="D9D9D9"/>
          </w:tcPr>
          <w:p>
            <w:pPr>
              <w:pStyle w:val="TableParagraph"/>
              <w:tabs>
                <w:tab w:pos="979" w:val="left" w:leader="none"/>
              </w:tabs>
              <w:spacing w:line="201" w:lineRule="exact"/>
              <w:rPr>
                <w:b/>
                <w:sz w:val="18"/>
              </w:rPr>
            </w:pPr>
            <w:r>
              <w:rPr>
                <w:b/>
                <w:sz w:val="18"/>
              </w:rPr>
              <w:t>No.</w:t>
              <w:tab/>
              <w:t>of</w:t>
            </w:r>
          </w:p>
          <w:p>
            <w:pPr>
              <w:pStyle w:val="TableParagraph"/>
              <w:spacing w:line="240" w:lineRule="auto" w:before="2"/>
              <w:ind w:right="337"/>
              <w:rPr>
                <w:b/>
                <w:sz w:val="18"/>
              </w:rPr>
            </w:pPr>
            <w:r>
              <w:rPr>
                <w:b/>
                <w:sz w:val="18"/>
              </w:rPr>
              <w:t>Received pkts/s</w:t>
            </w:r>
          </w:p>
        </w:tc>
        <w:tc>
          <w:tcPr>
            <w:tcW w:w="1260" w:type="dxa"/>
            <w:shd w:val="clear" w:color="auto" w:fill="D9D9D9"/>
          </w:tcPr>
          <w:p>
            <w:pPr>
              <w:pStyle w:val="TableParagraph"/>
              <w:spacing w:line="242" w:lineRule="auto"/>
              <w:ind w:right="166"/>
              <w:rPr>
                <w:b/>
                <w:sz w:val="18"/>
              </w:rPr>
            </w:pPr>
            <w:r>
              <w:rPr>
                <w:b/>
                <w:sz w:val="18"/>
              </w:rPr>
              <w:t>Calculated at Receiver</w:t>
            </w:r>
          </w:p>
        </w:tc>
        <w:tc>
          <w:tcPr>
            <w:tcW w:w="1261" w:type="dxa"/>
            <w:shd w:val="clear" w:color="auto" w:fill="D9D9D9"/>
          </w:tcPr>
          <w:p>
            <w:pPr>
              <w:pStyle w:val="TableParagraph"/>
              <w:spacing w:line="242" w:lineRule="auto"/>
              <w:ind w:right="167"/>
              <w:rPr>
                <w:b/>
                <w:sz w:val="18"/>
              </w:rPr>
            </w:pPr>
            <w:r>
              <w:rPr>
                <w:b/>
                <w:sz w:val="18"/>
              </w:rPr>
              <w:t>Calculated at Receiver</w:t>
            </w:r>
          </w:p>
        </w:tc>
        <w:tc>
          <w:tcPr>
            <w:tcW w:w="1260" w:type="dxa"/>
            <w:shd w:val="clear" w:color="auto" w:fill="D9D9D9"/>
          </w:tcPr>
          <w:p>
            <w:pPr>
              <w:pStyle w:val="TableParagraph"/>
              <w:spacing w:line="242" w:lineRule="auto"/>
              <w:ind w:right="166"/>
              <w:rPr>
                <w:b/>
                <w:sz w:val="18"/>
              </w:rPr>
            </w:pPr>
            <w:r>
              <w:rPr>
                <w:b/>
                <w:sz w:val="18"/>
              </w:rPr>
              <w:t>Calculated at Receiver</w:t>
            </w:r>
          </w:p>
        </w:tc>
        <w:tc>
          <w:tcPr>
            <w:tcW w:w="1260" w:type="dxa"/>
            <w:shd w:val="clear" w:color="auto" w:fill="D9D9D9"/>
          </w:tcPr>
          <w:p>
            <w:pPr>
              <w:pStyle w:val="TableParagraph"/>
              <w:spacing w:line="242" w:lineRule="auto"/>
              <w:ind w:right="167"/>
              <w:rPr>
                <w:b/>
                <w:sz w:val="18"/>
              </w:rPr>
            </w:pPr>
            <w:r>
              <w:rPr>
                <w:b/>
                <w:sz w:val="18"/>
              </w:rPr>
              <w:t>Calculated at Receiver</w:t>
            </w:r>
          </w:p>
        </w:tc>
      </w:tr>
      <w:tr>
        <w:trPr>
          <w:trHeight w:val="838" w:hRule="exact"/>
        </w:trPr>
        <w:tc>
          <w:tcPr>
            <w:tcW w:w="1351" w:type="dxa"/>
            <w:shd w:val="clear" w:color="auto" w:fill="D9D9D9"/>
          </w:tcPr>
          <w:p>
            <w:pPr>
              <w:pStyle w:val="TableParagraph"/>
              <w:spacing w:line="240" w:lineRule="auto"/>
              <w:rPr>
                <w:b/>
                <w:sz w:val="18"/>
              </w:rPr>
            </w:pPr>
            <w:r>
              <w:rPr>
                <w:b/>
                <w:sz w:val="18"/>
              </w:rPr>
              <w:t>Overall Path Loss (dB)</w:t>
            </w:r>
          </w:p>
        </w:tc>
        <w:tc>
          <w:tcPr>
            <w:tcW w:w="1261" w:type="dxa"/>
            <w:shd w:val="clear" w:color="auto" w:fill="D9D9D9"/>
          </w:tcPr>
          <w:p>
            <w:pPr>
              <w:pStyle w:val="TableParagraph"/>
              <w:spacing w:line="201" w:lineRule="exact"/>
              <w:rPr>
                <w:b/>
                <w:sz w:val="18"/>
              </w:rPr>
            </w:pPr>
            <w:r>
              <w:rPr>
                <w:b/>
                <w:sz w:val="18"/>
              </w:rPr>
              <w:t>DSRC</w:t>
            </w:r>
          </w:p>
          <w:p>
            <w:pPr>
              <w:pStyle w:val="TableParagraph"/>
              <w:spacing w:line="240" w:lineRule="auto"/>
              <w:ind w:right="367"/>
              <w:rPr>
                <w:b/>
                <w:sz w:val="18"/>
              </w:rPr>
            </w:pPr>
            <w:r>
              <w:rPr>
                <w:b/>
                <w:sz w:val="18"/>
              </w:rPr>
              <w:t>Transmit Device</w:t>
            </w:r>
          </w:p>
        </w:tc>
        <w:tc>
          <w:tcPr>
            <w:tcW w:w="1260" w:type="dxa"/>
            <w:shd w:val="clear" w:color="auto" w:fill="D9D9D9"/>
          </w:tcPr>
          <w:p>
            <w:pPr>
              <w:pStyle w:val="TableParagraph"/>
              <w:spacing w:line="201" w:lineRule="exact"/>
              <w:rPr>
                <w:b/>
                <w:sz w:val="18"/>
              </w:rPr>
            </w:pPr>
            <w:r>
              <w:rPr>
                <w:b/>
                <w:sz w:val="18"/>
              </w:rPr>
              <w:t>DSRC</w:t>
            </w:r>
          </w:p>
          <w:p>
            <w:pPr>
              <w:pStyle w:val="TableParagraph"/>
              <w:spacing w:line="240" w:lineRule="auto"/>
              <w:ind w:right="447"/>
              <w:rPr>
                <w:b/>
                <w:sz w:val="18"/>
              </w:rPr>
            </w:pPr>
            <w:r>
              <w:rPr>
                <w:b/>
                <w:sz w:val="18"/>
              </w:rPr>
              <w:t>Receive Device</w:t>
            </w:r>
          </w:p>
        </w:tc>
        <w:tc>
          <w:tcPr>
            <w:tcW w:w="1260" w:type="dxa"/>
            <w:shd w:val="clear" w:color="auto" w:fill="D9D9D9"/>
          </w:tcPr>
          <w:p>
            <w:pPr>
              <w:pStyle w:val="TableParagraph"/>
              <w:spacing w:line="240" w:lineRule="auto"/>
              <w:ind w:right="266"/>
              <w:rPr>
                <w:b/>
                <w:sz w:val="18"/>
              </w:rPr>
            </w:pPr>
            <w:r>
              <w:rPr>
                <w:b/>
                <w:position w:val="-5"/>
                <w:sz w:val="18"/>
              </w:rPr>
              <w:t>95</w:t>
            </w:r>
            <w:r>
              <w:rPr>
                <w:b/>
                <w:sz w:val="12"/>
              </w:rPr>
              <w:t>th </w:t>
            </w:r>
            <w:r>
              <w:rPr>
                <w:b/>
                <w:sz w:val="18"/>
              </w:rPr>
              <w:t>Percentile IPG (ms)</w:t>
            </w:r>
          </w:p>
        </w:tc>
        <w:tc>
          <w:tcPr>
            <w:tcW w:w="1261" w:type="dxa"/>
            <w:shd w:val="clear" w:color="auto" w:fill="D9D9D9"/>
          </w:tcPr>
          <w:p>
            <w:pPr>
              <w:pStyle w:val="TableParagraph"/>
              <w:spacing w:line="201" w:lineRule="exact"/>
              <w:rPr>
                <w:b/>
                <w:sz w:val="18"/>
              </w:rPr>
            </w:pPr>
            <w:r>
              <w:rPr>
                <w:b/>
                <w:sz w:val="18"/>
              </w:rPr>
              <w:t>Mean IPG</w:t>
            </w:r>
          </w:p>
        </w:tc>
        <w:tc>
          <w:tcPr>
            <w:tcW w:w="1260" w:type="dxa"/>
            <w:shd w:val="clear" w:color="auto" w:fill="D9D9D9"/>
          </w:tcPr>
          <w:p>
            <w:pPr>
              <w:pStyle w:val="TableParagraph"/>
              <w:spacing w:line="240" w:lineRule="auto"/>
              <w:ind w:right="266"/>
              <w:rPr>
                <w:b/>
                <w:sz w:val="18"/>
              </w:rPr>
            </w:pPr>
            <w:r>
              <w:rPr>
                <w:b/>
                <w:sz w:val="18"/>
              </w:rPr>
              <w:t>95th Percentile Latency (ms)</w:t>
            </w:r>
          </w:p>
        </w:tc>
        <w:tc>
          <w:tcPr>
            <w:tcW w:w="1260" w:type="dxa"/>
            <w:shd w:val="clear" w:color="auto" w:fill="D9D9D9"/>
          </w:tcPr>
          <w:p>
            <w:pPr>
              <w:pStyle w:val="TableParagraph"/>
              <w:spacing w:line="240" w:lineRule="auto"/>
              <w:ind w:right="447"/>
              <w:rPr>
                <w:b/>
                <w:sz w:val="18"/>
              </w:rPr>
            </w:pPr>
            <w:r>
              <w:rPr>
                <w:b/>
                <w:sz w:val="18"/>
              </w:rPr>
              <w:t>Mean Latency</w:t>
            </w:r>
          </w:p>
        </w:tc>
      </w:tr>
      <w:tr>
        <w:trPr>
          <w:trHeight w:val="218" w:hRule="exact"/>
        </w:trPr>
        <w:tc>
          <w:tcPr>
            <w:tcW w:w="1351" w:type="dxa"/>
          </w:tcPr>
          <w:p>
            <w:pPr>
              <w:pStyle w:val="TableParagraph"/>
              <w:rPr>
                <w:sz w:val="18"/>
              </w:rPr>
            </w:pPr>
            <w:r>
              <w:rPr>
                <w:sz w:val="18"/>
              </w:rPr>
              <w:t>69</w:t>
            </w:r>
          </w:p>
        </w:tc>
        <w:tc>
          <w:tcPr>
            <w:tcW w:w="1261" w:type="dxa"/>
          </w:tcPr>
          <w:p>
            <w:pPr>
              <w:pStyle w:val="TableParagraph"/>
              <w:rPr>
                <w:sz w:val="18"/>
              </w:rPr>
            </w:pPr>
            <w:r>
              <w:rPr>
                <w:sz w:val="18"/>
              </w:rPr>
              <w:t>1000</w:t>
            </w:r>
          </w:p>
        </w:tc>
        <w:tc>
          <w:tcPr>
            <w:tcW w:w="1260" w:type="dxa"/>
          </w:tcPr>
          <w:p>
            <w:pPr>
              <w:pStyle w:val="TableParagraph"/>
              <w:rPr>
                <w:sz w:val="18"/>
              </w:rPr>
            </w:pPr>
            <w:r>
              <w:rPr>
                <w:sz w:val="18"/>
              </w:rPr>
              <w:t>1000</w:t>
            </w:r>
          </w:p>
        </w:tc>
        <w:tc>
          <w:tcPr>
            <w:tcW w:w="1260" w:type="dxa"/>
          </w:tcPr>
          <w:p>
            <w:pPr>
              <w:pStyle w:val="TableParagraph"/>
              <w:rPr>
                <w:sz w:val="18"/>
              </w:rPr>
            </w:pPr>
            <w:r>
              <w:rPr>
                <w:sz w:val="18"/>
              </w:rPr>
              <w:t>106</w:t>
            </w:r>
          </w:p>
        </w:tc>
        <w:tc>
          <w:tcPr>
            <w:tcW w:w="1261" w:type="dxa"/>
          </w:tcPr>
          <w:p>
            <w:pPr>
              <w:pStyle w:val="TableParagraph"/>
              <w:rPr>
                <w:sz w:val="18"/>
              </w:rPr>
            </w:pPr>
            <w:r>
              <w:rPr>
                <w:sz w:val="18"/>
              </w:rPr>
              <w:t>100</w:t>
            </w:r>
          </w:p>
        </w:tc>
        <w:tc>
          <w:tcPr>
            <w:tcW w:w="1260" w:type="dxa"/>
          </w:tcPr>
          <w:p>
            <w:pPr>
              <w:pStyle w:val="TableParagraph"/>
              <w:rPr>
                <w:sz w:val="18"/>
              </w:rPr>
            </w:pPr>
            <w:r>
              <w:rPr>
                <w:sz w:val="18"/>
              </w:rPr>
              <w:t>20</w:t>
            </w:r>
          </w:p>
        </w:tc>
        <w:tc>
          <w:tcPr>
            <w:tcW w:w="1260" w:type="dxa"/>
          </w:tcPr>
          <w:p>
            <w:pPr>
              <w:pStyle w:val="TableParagraph"/>
              <w:rPr>
                <w:sz w:val="18"/>
              </w:rPr>
            </w:pPr>
            <w:r>
              <w:rPr>
                <w:sz w:val="18"/>
              </w:rPr>
              <w:t>16</w:t>
            </w:r>
          </w:p>
        </w:tc>
      </w:tr>
      <w:tr>
        <w:trPr>
          <w:trHeight w:val="216" w:hRule="exact"/>
        </w:trPr>
        <w:tc>
          <w:tcPr>
            <w:tcW w:w="1351" w:type="dxa"/>
          </w:tcPr>
          <w:p>
            <w:pPr>
              <w:pStyle w:val="TableParagraph"/>
              <w:rPr>
                <w:sz w:val="18"/>
              </w:rPr>
            </w:pPr>
            <w:r>
              <w:rPr>
                <w:sz w:val="18"/>
              </w:rPr>
              <w:t>79</w:t>
            </w:r>
          </w:p>
        </w:tc>
        <w:tc>
          <w:tcPr>
            <w:tcW w:w="1261" w:type="dxa"/>
          </w:tcPr>
          <w:p>
            <w:pPr>
              <w:pStyle w:val="TableParagraph"/>
              <w:rPr>
                <w:sz w:val="18"/>
              </w:rPr>
            </w:pPr>
            <w:r>
              <w:rPr>
                <w:sz w:val="18"/>
              </w:rPr>
              <w:t>1000</w:t>
            </w:r>
          </w:p>
        </w:tc>
        <w:tc>
          <w:tcPr>
            <w:tcW w:w="1260" w:type="dxa"/>
          </w:tcPr>
          <w:p>
            <w:pPr>
              <w:pStyle w:val="TableParagraph"/>
              <w:rPr>
                <w:sz w:val="18"/>
              </w:rPr>
            </w:pPr>
            <w:r>
              <w:rPr>
                <w:sz w:val="18"/>
              </w:rPr>
              <w:t>1000</w:t>
            </w:r>
          </w:p>
        </w:tc>
        <w:tc>
          <w:tcPr>
            <w:tcW w:w="1260" w:type="dxa"/>
          </w:tcPr>
          <w:p>
            <w:pPr>
              <w:pStyle w:val="TableParagraph"/>
              <w:rPr>
                <w:sz w:val="18"/>
              </w:rPr>
            </w:pPr>
            <w:r>
              <w:rPr>
                <w:sz w:val="18"/>
              </w:rPr>
              <w:t>107</w:t>
            </w:r>
          </w:p>
        </w:tc>
        <w:tc>
          <w:tcPr>
            <w:tcW w:w="1261" w:type="dxa"/>
          </w:tcPr>
          <w:p>
            <w:pPr>
              <w:pStyle w:val="TableParagraph"/>
              <w:rPr>
                <w:sz w:val="18"/>
              </w:rPr>
            </w:pPr>
            <w:r>
              <w:rPr>
                <w:sz w:val="18"/>
              </w:rPr>
              <w:t>100</w:t>
            </w:r>
          </w:p>
        </w:tc>
        <w:tc>
          <w:tcPr>
            <w:tcW w:w="1260" w:type="dxa"/>
          </w:tcPr>
          <w:p>
            <w:pPr>
              <w:pStyle w:val="TableParagraph"/>
              <w:rPr>
                <w:sz w:val="18"/>
              </w:rPr>
            </w:pPr>
            <w:r>
              <w:rPr>
                <w:sz w:val="18"/>
              </w:rPr>
              <w:t>19</w:t>
            </w:r>
          </w:p>
        </w:tc>
        <w:tc>
          <w:tcPr>
            <w:tcW w:w="1260" w:type="dxa"/>
          </w:tcPr>
          <w:p>
            <w:pPr>
              <w:pStyle w:val="TableParagraph"/>
              <w:rPr>
                <w:sz w:val="18"/>
              </w:rPr>
            </w:pPr>
            <w:r>
              <w:rPr>
                <w:sz w:val="18"/>
              </w:rPr>
              <w:t>16</w:t>
            </w:r>
          </w:p>
        </w:tc>
      </w:tr>
      <w:tr>
        <w:trPr>
          <w:trHeight w:val="216" w:hRule="exact"/>
        </w:trPr>
        <w:tc>
          <w:tcPr>
            <w:tcW w:w="1351" w:type="dxa"/>
          </w:tcPr>
          <w:p>
            <w:pPr>
              <w:pStyle w:val="TableParagraph"/>
              <w:rPr>
                <w:sz w:val="18"/>
              </w:rPr>
            </w:pPr>
            <w:r>
              <w:rPr>
                <w:sz w:val="18"/>
              </w:rPr>
              <w:t>89</w:t>
            </w:r>
          </w:p>
        </w:tc>
        <w:tc>
          <w:tcPr>
            <w:tcW w:w="1261" w:type="dxa"/>
          </w:tcPr>
          <w:p>
            <w:pPr>
              <w:pStyle w:val="TableParagraph"/>
              <w:rPr>
                <w:sz w:val="18"/>
              </w:rPr>
            </w:pPr>
            <w:r>
              <w:rPr>
                <w:sz w:val="18"/>
              </w:rPr>
              <w:t>1000</w:t>
            </w:r>
          </w:p>
        </w:tc>
        <w:tc>
          <w:tcPr>
            <w:tcW w:w="1260" w:type="dxa"/>
          </w:tcPr>
          <w:p>
            <w:pPr>
              <w:pStyle w:val="TableParagraph"/>
              <w:rPr>
                <w:sz w:val="18"/>
              </w:rPr>
            </w:pPr>
            <w:r>
              <w:rPr>
                <w:sz w:val="18"/>
              </w:rPr>
              <w:t>1000</w:t>
            </w:r>
          </w:p>
        </w:tc>
        <w:tc>
          <w:tcPr>
            <w:tcW w:w="1260" w:type="dxa"/>
          </w:tcPr>
          <w:p>
            <w:pPr>
              <w:pStyle w:val="TableParagraph"/>
              <w:rPr>
                <w:sz w:val="18"/>
              </w:rPr>
            </w:pPr>
            <w:r>
              <w:rPr>
                <w:sz w:val="18"/>
              </w:rPr>
              <w:t>107</w:t>
            </w:r>
          </w:p>
        </w:tc>
        <w:tc>
          <w:tcPr>
            <w:tcW w:w="1261" w:type="dxa"/>
          </w:tcPr>
          <w:p>
            <w:pPr>
              <w:pStyle w:val="TableParagraph"/>
              <w:rPr>
                <w:sz w:val="18"/>
              </w:rPr>
            </w:pPr>
            <w:r>
              <w:rPr>
                <w:sz w:val="18"/>
              </w:rPr>
              <w:t>100</w:t>
            </w:r>
          </w:p>
        </w:tc>
        <w:tc>
          <w:tcPr>
            <w:tcW w:w="1260" w:type="dxa"/>
          </w:tcPr>
          <w:p>
            <w:pPr>
              <w:pStyle w:val="TableParagraph"/>
              <w:rPr>
                <w:sz w:val="18"/>
              </w:rPr>
            </w:pPr>
            <w:r>
              <w:rPr>
                <w:sz w:val="18"/>
              </w:rPr>
              <w:t>20</w:t>
            </w:r>
          </w:p>
        </w:tc>
        <w:tc>
          <w:tcPr>
            <w:tcW w:w="1260" w:type="dxa"/>
          </w:tcPr>
          <w:p>
            <w:pPr>
              <w:pStyle w:val="TableParagraph"/>
              <w:rPr>
                <w:sz w:val="18"/>
              </w:rPr>
            </w:pPr>
            <w:r>
              <w:rPr>
                <w:sz w:val="18"/>
              </w:rPr>
              <w:t>17</w:t>
            </w:r>
          </w:p>
        </w:tc>
      </w:tr>
      <w:tr>
        <w:trPr>
          <w:trHeight w:val="218" w:hRule="exact"/>
        </w:trPr>
        <w:tc>
          <w:tcPr>
            <w:tcW w:w="1351" w:type="dxa"/>
          </w:tcPr>
          <w:p>
            <w:pPr>
              <w:pStyle w:val="TableParagraph"/>
              <w:spacing w:line="240" w:lineRule="auto" w:before="1"/>
              <w:rPr>
                <w:sz w:val="18"/>
              </w:rPr>
            </w:pPr>
            <w:r>
              <w:rPr>
                <w:sz w:val="18"/>
              </w:rPr>
              <w:t>99</w:t>
            </w:r>
          </w:p>
        </w:tc>
        <w:tc>
          <w:tcPr>
            <w:tcW w:w="1261" w:type="dxa"/>
          </w:tcPr>
          <w:p>
            <w:pPr>
              <w:pStyle w:val="TableParagraph"/>
              <w:spacing w:line="240" w:lineRule="auto" w:before="1"/>
              <w:rPr>
                <w:sz w:val="18"/>
              </w:rPr>
            </w:pPr>
            <w:r>
              <w:rPr>
                <w:sz w:val="18"/>
              </w:rPr>
              <w:t>1000</w:t>
            </w:r>
          </w:p>
        </w:tc>
        <w:tc>
          <w:tcPr>
            <w:tcW w:w="1260" w:type="dxa"/>
          </w:tcPr>
          <w:p>
            <w:pPr>
              <w:pStyle w:val="TableParagraph"/>
              <w:spacing w:line="240" w:lineRule="auto" w:before="1"/>
              <w:rPr>
                <w:sz w:val="18"/>
              </w:rPr>
            </w:pPr>
            <w:r>
              <w:rPr>
                <w:sz w:val="18"/>
              </w:rPr>
              <w:t>1000</w:t>
            </w:r>
          </w:p>
        </w:tc>
        <w:tc>
          <w:tcPr>
            <w:tcW w:w="1260" w:type="dxa"/>
          </w:tcPr>
          <w:p>
            <w:pPr>
              <w:pStyle w:val="TableParagraph"/>
              <w:spacing w:line="240" w:lineRule="auto" w:before="1"/>
              <w:rPr>
                <w:sz w:val="18"/>
              </w:rPr>
            </w:pPr>
            <w:r>
              <w:rPr>
                <w:sz w:val="18"/>
              </w:rPr>
              <w:t>104</w:t>
            </w:r>
          </w:p>
        </w:tc>
        <w:tc>
          <w:tcPr>
            <w:tcW w:w="1261" w:type="dxa"/>
          </w:tcPr>
          <w:p>
            <w:pPr>
              <w:pStyle w:val="TableParagraph"/>
              <w:spacing w:line="240" w:lineRule="auto" w:before="1"/>
              <w:rPr>
                <w:sz w:val="18"/>
              </w:rPr>
            </w:pPr>
            <w:r>
              <w:rPr>
                <w:sz w:val="18"/>
              </w:rPr>
              <w:t>100</w:t>
            </w:r>
          </w:p>
        </w:tc>
        <w:tc>
          <w:tcPr>
            <w:tcW w:w="1260" w:type="dxa"/>
          </w:tcPr>
          <w:p>
            <w:pPr>
              <w:pStyle w:val="TableParagraph"/>
              <w:spacing w:line="240" w:lineRule="auto" w:before="1"/>
              <w:rPr>
                <w:sz w:val="18"/>
              </w:rPr>
            </w:pPr>
            <w:r>
              <w:rPr>
                <w:sz w:val="18"/>
              </w:rPr>
              <w:t>20</w:t>
            </w:r>
          </w:p>
        </w:tc>
        <w:tc>
          <w:tcPr>
            <w:tcW w:w="1260" w:type="dxa"/>
          </w:tcPr>
          <w:p>
            <w:pPr>
              <w:pStyle w:val="TableParagraph"/>
              <w:spacing w:line="240" w:lineRule="auto" w:before="1"/>
              <w:rPr>
                <w:sz w:val="18"/>
              </w:rPr>
            </w:pPr>
            <w:r>
              <w:rPr>
                <w:sz w:val="18"/>
              </w:rPr>
              <w:t>17</w:t>
            </w:r>
          </w:p>
        </w:tc>
      </w:tr>
      <w:tr>
        <w:trPr>
          <w:trHeight w:val="216" w:hRule="exact"/>
        </w:trPr>
        <w:tc>
          <w:tcPr>
            <w:tcW w:w="1351" w:type="dxa"/>
          </w:tcPr>
          <w:p>
            <w:pPr>
              <w:pStyle w:val="TableParagraph"/>
              <w:spacing w:line="207" w:lineRule="exact"/>
              <w:rPr>
                <w:sz w:val="18"/>
              </w:rPr>
            </w:pPr>
            <w:r>
              <w:rPr>
                <w:sz w:val="18"/>
              </w:rPr>
              <w:t>109</w:t>
            </w:r>
          </w:p>
        </w:tc>
        <w:tc>
          <w:tcPr>
            <w:tcW w:w="1261" w:type="dxa"/>
          </w:tcPr>
          <w:p>
            <w:pPr>
              <w:pStyle w:val="TableParagraph"/>
              <w:spacing w:line="207" w:lineRule="exact"/>
              <w:rPr>
                <w:sz w:val="18"/>
              </w:rPr>
            </w:pPr>
            <w:r>
              <w:rPr>
                <w:sz w:val="18"/>
              </w:rPr>
              <w:t>1000</w:t>
            </w:r>
          </w:p>
        </w:tc>
        <w:tc>
          <w:tcPr>
            <w:tcW w:w="1260" w:type="dxa"/>
          </w:tcPr>
          <w:p>
            <w:pPr>
              <w:pStyle w:val="TableParagraph"/>
              <w:spacing w:line="207" w:lineRule="exact"/>
              <w:rPr>
                <w:sz w:val="18"/>
              </w:rPr>
            </w:pPr>
            <w:r>
              <w:rPr>
                <w:sz w:val="18"/>
              </w:rPr>
              <w:t>995</w:t>
            </w:r>
          </w:p>
        </w:tc>
        <w:tc>
          <w:tcPr>
            <w:tcW w:w="1260" w:type="dxa"/>
          </w:tcPr>
          <w:p>
            <w:pPr>
              <w:pStyle w:val="TableParagraph"/>
              <w:spacing w:line="207" w:lineRule="exact"/>
              <w:rPr>
                <w:sz w:val="18"/>
              </w:rPr>
            </w:pPr>
            <w:r>
              <w:rPr>
                <w:sz w:val="18"/>
              </w:rPr>
              <w:t>109</w:t>
            </w:r>
          </w:p>
        </w:tc>
        <w:tc>
          <w:tcPr>
            <w:tcW w:w="1261" w:type="dxa"/>
          </w:tcPr>
          <w:p>
            <w:pPr>
              <w:pStyle w:val="TableParagraph"/>
              <w:spacing w:line="207" w:lineRule="exact"/>
              <w:rPr>
                <w:sz w:val="18"/>
              </w:rPr>
            </w:pPr>
            <w:r>
              <w:rPr>
                <w:sz w:val="18"/>
              </w:rPr>
              <w:t>101</w:t>
            </w:r>
          </w:p>
        </w:tc>
        <w:tc>
          <w:tcPr>
            <w:tcW w:w="1260" w:type="dxa"/>
          </w:tcPr>
          <w:p>
            <w:pPr>
              <w:pStyle w:val="TableParagraph"/>
              <w:spacing w:line="207" w:lineRule="exact"/>
              <w:rPr>
                <w:sz w:val="18"/>
              </w:rPr>
            </w:pPr>
            <w:r>
              <w:rPr>
                <w:sz w:val="18"/>
              </w:rPr>
              <w:t>18</w:t>
            </w:r>
          </w:p>
        </w:tc>
        <w:tc>
          <w:tcPr>
            <w:tcW w:w="1260" w:type="dxa"/>
          </w:tcPr>
          <w:p>
            <w:pPr>
              <w:pStyle w:val="TableParagraph"/>
              <w:spacing w:line="207" w:lineRule="exact"/>
              <w:rPr>
                <w:sz w:val="18"/>
              </w:rPr>
            </w:pPr>
            <w:r>
              <w:rPr>
                <w:sz w:val="18"/>
              </w:rPr>
              <w:t>17</w:t>
            </w:r>
          </w:p>
        </w:tc>
      </w:tr>
      <w:tr>
        <w:trPr>
          <w:trHeight w:val="218" w:hRule="exact"/>
        </w:trPr>
        <w:tc>
          <w:tcPr>
            <w:tcW w:w="1351" w:type="dxa"/>
          </w:tcPr>
          <w:p>
            <w:pPr>
              <w:pStyle w:val="TableParagraph"/>
              <w:rPr>
                <w:sz w:val="18"/>
              </w:rPr>
            </w:pPr>
            <w:r>
              <w:rPr>
                <w:sz w:val="18"/>
              </w:rPr>
              <w:t>110</w:t>
            </w:r>
          </w:p>
        </w:tc>
        <w:tc>
          <w:tcPr>
            <w:tcW w:w="1261" w:type="dxa"/>
          </w:tcPr>
          <w:p>
            <w:pPr>
              <w:pStyle w:val="TableParagraph"/>
              <w:rPr>
                <w:sz w:val="18"/>
              </w:rPr>
            </w:pPr>
            <w:r>
              <w:rPr>
                <w:sz w:val="18"/>
              </w:rPr>
              <w:t>1000</w:t>
            </w:r>
          </w:p>
        </w:tc>
        <w:tc>
          <w:tcPr>
            <w:tcW w:w="1260" w:type="dxa"/>
          </w:tcPr>
          <w:p>
            <w:pPr>
              <w:pStyle w:val="TableParagraph"/>
              <w:rPr>
                <w:sz w:val="18"/>
              </w:rPr>
            </w:pPr>
            <w:r>
              <w:rPr>
                <w:sz w:val="18"/>
              </w:rPr>
              <w:t>946</w:t>
            </w:r>
          </w:p>
        </w:tc>
        <w:tc>
          <w:tcPr>
            <w:tcW w:w="1260" w:type="dxa"/>
          </w:tcPr>
          <w:p>
            <w:pPr>
              <w:pStyle w:val="TableParagraph"/>
              <w:rPr>
                <w:sz w:val="18"/>
              </w:rPr>
            </w:pPr>
            <w:r>
              <w:rPr>
                <w:sz w:val="18"/>
              </w:rPr>
              <w:t>193</w:t>
            </w:r>
          </w:p>
        </w:tc>
        <w:tc>
          <w:tcPr>
            <w:tcW w:w="1261" w:type="dxa"/>
          </w:tcPr>
          <w:p>
            <w:pPr>
              <w:pStyle w:val="TableParagraph"/>
              <w:rPr>
                <w:sz w:val="18"/>
              </w:rPr>
            </w:pPr>
            <w:r>
              <w:rPr>
                <w:sz w:val="18"/>
              </w:rPr>
              <w:t>106</w:t>
            </w:r>
          </w:p>
        </w:tc>
        <w:tc>
          <w:tcPr>
            <w:tcW w:w="1260" w:type="dxa"/>
          </w:tcPr>
          <w:p>
            <w:pPr>
              <w:pStyle w:val="TableParagraph"/>
              <w:rPr>
                <w:sz w:val="18"/>
              </w:rPr>
            </w:pPr>
            <w:r>
              <w:rPr>
                <w:sz w:val="18"/>
              </w:rPr>
              <w:t>18</w:t>
            </w:r>
          </w:p>
        </w:tc>
        <w:tc>
          <w:tcPr>
            <w:tcW w:w="1260" w:type="dxa"/>
          </w:tcPr>
          <w:p>
            <w:pPr>
              <w:pStyle w:val="TableParagraph"/>
              <w:rPr>
                <w:sz w:val="18"/>
              </w:rPr>
            </w:pPr>
            <w:r>
              <w:rPr>
                <w:sz w:val="18"/>
              </w:rPr>
              <w:t>16</w:t>
            </w:r>
          </w:p>
        </w:tc>
      </w:tr>
    </w:tbl>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6"/>
        <w:rPr>
          <w:b/>
          <w:sz w:val="19"/>
        </w:rPr>
      </w:pPr>
    </w:p>
    <w:p>
      <w:pPr>
        <w:spacing w:before="0"/>
        <w:ind w:left="1133" w:right="0" w:firstLine="0"/>
        <w:jc w:val="left"/>
        <w:rPr>
          <w:b/>
          <w:sz w:val="24"/>
        </w:rPr>
      </w:pPr>
      <w:r>
        <w:rPr/>
        <w:pict>
          <v:shape style="position:absolute;margin-left:70.178001pt;margin-top:-201.147583pt;width:12pt;height:42.05pt;mso-position-horizontal-relative:page;mso-position-vertical-relative:paragraph;z-index:3784" type="#_x0000_t202" filled="false" stroked="false">
            <v:textbox inset="0,0,0,0" style="layout-flow:vertical;mso-layout-flow-alt:bottom-to-top">
              <w:txbxContent>
                <w:p>
                  <w:pPr>
                    <w:spacing w:line="223" w:lineRule="exact" w:before="0"/>
                    <w:ind w:left="20" w:right="-239" w:firstLine="0"/>
                    <w:jc w:val="left"/>
                    <w:rPr>
                      <w:rFonts w:ascii="Calibri"/>
                      <w:b/>
                      <w:sz w:val="20"/>
                    </w:rPr>
                  </w:pPr>
                  <w:r>
                    <w:rPr>
                      <w:rFonts w:ascii="Calibri"/>
                      <w:b/>
                      <w:color w:val="585858"/>
                      <w:spacing w:val="-1"/>
                      <w:w w:val="99"/>
                      <w:sz w:val="20"/>
                    </w:rPr>
                    <w:t>P</w:t>
                  </w:r>
                  <w:r>
                    <w:rPr>
                      <w:rFonts w:ascii="Calibri"/>
                      <w:b/>
                      <w:color w:val="585858"/>
                      <w:spacing w:val="-2"/>
                      <w:w w:val="99"/>
                      <w:sz w:val="20"/>
                    </w:rPr>
                    <w:t>E</w:t>
                  </w:r>
                  <w:r>
                    <w:rPr>
                      <w:rFonts w:ascii="Calibri"/>
                      <w:b/>
                      <w:color w:val="585858"/>
                      <w:w w:val="99"/>
                      <w:sz w:val="20"/>
                    </w:rPr>
                    <w:t>R</w:t>
                  </w:r>
                  <w:r>
                    <w:rPr>
                      <w:rFonts w:ascii="Calibri"/>
                      <w:b/>
                      <w:color w:val="585858"/>
                      <w:spacing w:val="3"/>
                      <w:sz w:val="20"/>
                    </w:rPr>
                    <w:t> </w:t>
                  </w:r>
                  <w:r>
                    <w:rPr>
                      <w:rFonts w:ascii="Calibri"/>
                      <w:b/>
                      <w:color w:val="585858"/>
                      <w:spacing w:val="1"/>
                      <w:w w:val="99"/>
                      <w:sz w:val="20"/>
                    </w:rPr>
                    <w:t>%</w:t>
                  </w:r>
                  <w:r>
                    <w:rPr>
                      <w:rFonts w:ascii="Calibri"/>
                      <w:b/>
                      <w:color w:val="585858"/>
                      <w:w w:val="99"/>
                      <w:sz w:val="20"/>
                    </w:rPr>
                    <w:t>a</w:t>
                  </w:r>
                  <w:r>
                    <w:rPr>
                      <w:rFonts w:ascii="Calibri"/>
                      <w:b/>
                      <w:color w:val="585858"/>
                      <w:spacing w:val="-1"/>
                      <w:w w:val="99"/>
                      <w:sz w:val="20"/>
                    </w:rPr>
                    <w:t>g</w:t>
                  </w:r>
                  <w:r>
                    <w:rPr>
                      <w:rFonts w:ascii="Calibri"/>
                      <w:b/>
                      <w:color w:val="585858"/>
                      <w:w w:val="99"/>
                      <w:sz w:val="20"/>
                    </w:rPr>
                    <w:t>e</w:t>
                  </w:r>
                </w:p>
              </w:txbxContent>
            </v:textbox>
            <w10:wrap type="none"/>
          </v:shape>
        </w:pict>
      </w:r>
      <w:r>
        <w:rPr>
          <w:b/>
          <w:sz w:val="24"/>
        </w:rPr>
        <w:t>Figure 15: 7.2.2 – PER vs Overall Path Loss</w:t>
      </w:r>
    </w:p>
    <w:p>
      <w:pPr>
        <w:spacing w:after="0"/>
        <w:jc w:val="left"/>
        <w:rPr>
          <w:sz w:val="24"/>
        </w:rPr>
        <w:sectPr>
          <w:headerReference w:type="default" r:id="rId195"/>
          <w:pgSz w:w="11910" w:h="16850"/>
          <w:pgMar w:header="852" w:footer="979" w:top="1040" w:bottom="1160" w:left="0" w:right="0"/>
        </w:sectPr>
      </w:pPr>
    </w:p>
    <w:p>
      <w:pPr>
        <w:pStyle w:val="BodyText"/>
        <w:rPr>
          <w:b/>
        </w:rPr>
      </w:pPr>
      <w:r>
        <w:rPr/>
        <w:pict>
          <v:shape style="position:absolute;margin-left:70.178001pt;margin-top:168.515076pt;width:12pt;height:33.75pt;mso-position-horizontal-relative:page;mso-position-vertical-relative:page;z-index:4504" type="#_x0000_t202" filled="false" stroked="false">
            <v:textbox inset="0,0,0,0" style="layout-flow:vertical;mso-layout-flow-alt:bottom-to-top">
              <w:txbxContent>
                <w:p>
                  <w:pPr>
                    <w:pStyle w:val="BodyText"/>
                    <w:spacing w:line="223" w:lineRule="exact"/>
                    <w:ind w:left="20"/>
                    <w:rPr>
                      <w:rFonts w:ascii="Calibri"/>
                    </w:rPr>
                  </w:pPr>
                  <w:r>
                    <w:rPr>
                      <w:rFonts w:ascii="Calibri"/>
                      <w:color w:val="585858"/>
                      <w:w w:val="99"/>
                    </w:rPr>
                    <w:t>IPG</w:t>
                  </w:r>
                  <w:r>
                    <w:rPr>
                      <w:rFonts w:ascii="Calibri"/>
                      <w:color w:val="585858"/>
                      <w:spacing w:val="-1"/>
                      <w:w w:val="99"/>
                    </w:rPr>
                    <w:t>(ms</w:t>
                  </w:r>
                  <w:r>
                    <w:rPr>
                      <w:rFonts w:ascii="Calibri"/>
                      <w:color w:val="585858"/>
                      <w:w w:val="99"/>
                    </w:rPr>
                    <w:t>)</w:t>
                  </w:r>
                </w:p>
              </w:txbxContent>
            </v:textbox>
            <w10:wrap type="none"/>
          </v:shape>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
        <w:rPr>
          <w:b/>
          <w:sz w:val="27"/>
        </w:rPr>
      </w:pPr>
    </w:p>
    <w:p>
      <w:pPr>
        <w:spacing w:before="95"/>
        <w:ind w:left="1133" w:right="0" w:firstLine="0"/>
        <w:jc w:val="left"/>
        <w:rPr>
          <w:b/>
          <w:sz w:val="24"/>
        </w:rPr>
      </w:pPr>
      <w:r>
        <w:rPr/>
        <w:pict>
          <v:group style="position:absolute;margin-left:56.275002pt;margin-top:-274.21109pt;width:468.75pt;height:264.7pt;mso-position-horizontal-relative:page;mso-position-vertical-relative:paragraph;z-index:4120" coordorigin="1126,-5484" coordsize="9375,5294">
            <v:shape style="position:absolute;left:0;top:8327;width:7918;height:1621" coordorigin="0,8327" coordsize="7918,1621" path="m2219,-3163l10136,-3163m2219,-4784l10136,-4784e" filled="false" stroked="true" strokeweight=".75pt" strokecolor="#d9d9d9">
              <v:path arrowok="t"/>
              <v:stroke dashstyle="solid"/>
            </v:shape>
            <v:shape style="position:absolute;left:0;top:9948;width:6599;height:3241" coordorigin="0,9948" coordsize="6599,3241" path="m3538,-4784l3538,-1543m4858,-4784l4858,-1543m6178,-4784l6178,-1543m7498,-4784l7498,-1543m8818,-4784l8818,-1543m10136,-4784l10136,-1543e" filled="false" stroked="true" strokeweight=".75pt" strokecolor="#d9d9d9">
              <v:path arrowok="t"/>
              <v:stroke dashstyle="solid"/>
            </v:shape>
            <v:shape style="position:absolute;left:0;top:6708;width:7918;height:3241" coordorigin="0,6708" coordsize="7918,3241" path="m2219,-1543l2219,-4784m2219,-1543l10136,-1543e" filled="false" stroked="true" strokeweight=".75pt" strokecolor="#bebebe">
              <v:path arrowok="t"/>
              <v:stroke dashstyle="solid"/>
            </v:shape>
            <v:shape style="position:absolute;left:2219;top:-3250;width:7390;height:52" coordorigin="2219,-3250" coordsize="7390,52" path="m2219,-3211l3538,-3211,4858,-3198,6178,-3204,7498,-3204,8158,-3198,8818,-3198,9214,-3204,9346,-3204,9478,-3204,9608,-3250e" filled="false" stroked="true" strokeweight="1.5pt" strokecolor="#4471c4">
              <v:path arrowok="t"/>
              <v:stroke dashstyle="solid"/>
            </v:shape>
            <v:shape style="position:absolute;left:2163;top:-3269;width:115;height:115" type="#_x0000_t75" stroked="false">
              <v:imagedata r:id="rId196" o:title=""/>
            </v:shape>
            <v:shape style="position:absolute;left:3480;top:-3269;width:115;height:115" type="#_x0000_t75" stroked="false">
              <v:imagedata r:id="rId197" o:title=""/>
            </v:shape>
            <v:shape style="position:absolute;left:4800;top:-3254;width:115;height:115" type="#_x0000_t75" stroked="false">
              <v:imagedata r:id="rId197" o:title=""/>
            </v:shape>
            <v:shape style="position:absolute;left:6120;top:-3262;width:115;height:115" type="#_x0000_t75" stroked="false">
              <v:imagedata r:id="rId197" o:title=""/>
            </v:shape>
            <v:shape style="position:absolute;left:7440;top:-3262;width:115;height:115" type="#_x0000_t75" stroked="false">
              <v:imagedata r:id="rId197" o:title=""/>
            </v:shape>
            <v:shape style="position:absolute;left:8100;top:-3254;width:115;height:115" type="#_x0000_t75" stroked="false">
              <v:imagedata r:id="rId197" o:title=""/>
            </v:shape>
            <v:shape style="position:absolute;left:8760;top:-3254;width:115;height:115" type="#_x0000_t75" stroked="false">
              <v:imagedata r:id="rId197" o:title=""/>
            </v:shape>
            <v:shape style="position:absolute;left:9156;top:-3307;width:509;height:161" type="#_x0000_t75" stroked="false">
              <v:imagedata r:id="rId208" o:title=""/>
            </v:shape>
            <v:shape style="position:absolute;left:2219;top:-3626;width:5411;height:435" coordorigin="2219,-3626" coordsize="5411,435" path="m2219,-3204l3538,-3211,4858,-3211,6178,-3191,7498,-3223,7629,-3626e" filled="false" stroked="true" strokeweight="1.5pt" strokecolor="#ec7c30">
              <v:path arrowok="t"/>
              <v:stroke dashstyle="solid"/>
            </v:shape>
            <v:shape style="position:absolute;left:2163;top:-3262;width:115;height:115" type="#_x0000_t75" stroked="false">
              <v:imagedata r:id="rId209" o:title=""/>
            </v:shape>
            <v:shape style="position:absolute;left:3480;top:-3269;width:115;height:115" type="#_x0000_t75" stroked="false">
              <v:imagedata r:id="rId203" o:title=""/>
            </v:shape>
            <v:shape style="position:absolute;left:4800;top:-3269;width:115;height:115" type="#_x0000_t75" stroked="false">
              <v:imagedata r:id="rId203" o:title=""/>
            </v:shape>
            <v:shape style="position:absolute;left:6120;top:-3250;width:115;height:115" type="#_x0000_t75" stroked="false">
              <v:imagedata r:id="rId210" o:title=""/>
            </v:shape>
            <v:shape style="position:absolute;left:7440;top:-3281;width:115;height:115" type="#_x0000_t75" stroked="false">
              <v:imagedata r:id="rId210" o:title=""/>
            </v:shape>
            <v:shape style="position:absolute;left:7572;top:-3684;width:115;height:115" type="#_x0000_t75" stroked="false">
              <v:imagedata r:id="rId210" o:title=""/>
            </v:shape>
            <v:shape style="position:absolute;left:5313;top:-663;width:414;height:116" type="#_x0000_t75" stroked="false">
              <v:imagedata r:id="rId211" o:title=""/>
            </v:shape>
            <v:shape style="position:absolute;left:6285;top:-663;width:414;height:116" type="#_x0000_t75" stroked="false">
              <v:imagedata r:id="rId212" o:title=""/>
            </v:shape>
            <v:rect style="position:absolute;left:1133;top:-5477;width:9360;height:5279" filled="false" stroked="true" strokeweight=".75pt" strokecolor="#d9d9d9">
              <v:stroke dashstyle="solid"/>
            </v:rect>
            <v:shape style="position:absolute;left:4148;top:-5279;width:3351;height:240" type="#_x0000_t202" filled="false" stroked="false">
              <v:textbox inset="0,0,0,0">
                <w:txbxContent>
                  <w:p>
                    <w:pPr>
                      <w:spacing w:line="240" w:lineRule="exact" w:before="0"/>
                      <w:ind w:left="0" w:right="0" w:firstLine="0"/>
                      <w:jc w:val="left"/>
                      <w:rPr>
                        <w:rFonts w:ascii="Calibri"/>
                        <w:sz w:val="24"/>
                      </w:rPr>
                    </w:pPr>
                    <w:r>
                      <w:rPr>
                        <w:rFonts w:ascii="Calibri"/>
                        <w:color w:val="585858"/>
                        <w:sz w:val="24"/>
                      </w:rPr>
                      <w:t>C-V2X vs DSRC 95th Percentile IPG</w:t>
                    </w:r>
                  </w:p>
                </w:txbxContent>
              </v:textbox>
              <w10:wrap type="none"/>
            </v:shape>
            <v:shape style="position:absolute;left:1688;top:-4868;width:385;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1000</w:t>
                    </w:r>
                  </w:p>
                </w:txbxContent>
              </v:textbox>
              <w10:wrap type="none"/>
            </v:shape>
            <v:shape style="position:absolute;left:1779;top:-3247;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100</w:t>
                    </w:r>
                  </w:p>
                </w:txbxContent>
              </v:textbox>
              <w10:wrap type="none"/>
            </v:shape>
            <v:shape style="position:absolute;left:1870;top:-1627;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w:t>
                    </w:r>
                  </w:p>
                </w:txbxContent>
              </v:textbox>
              <w10:wrap type="none"/>
            </v:shape>
            <v:shape style="position:absolute;left:2128;top:-1393;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69</w:t>
                    </w:r>
                  </w:p>
                </w:txbxContent>
              </v:textbox>
              <w10:wrap type="none"/>
            </v:shape>
            <v:shape style="position:absolute;left:3448;top:-1393;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79</w:t>
                    </w:r>
                  </w:p>
                </w:txbxContent>
              </v:textbox>
              <w10:wrap type="none"/>
            </v:shape>
            <v:shape style="position:absolute;left:4768;top:-1393;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89</w:t>
                    </w:r>
                  </w:p>
                </w:txbxContent>
              </v:textbox>
              <w10:wrap type="none"/>
            </v:shape>
            <v:shape style="position:absolute;left:5295;top:-1393;width:1786;height:484" type="#_x0000_t202" filled="false" stroked="false">
              <v:textbox inset="0,0,0,0">
                <w:txbxContent>
                  <w:p>
                    <w:pPr>
                      <w:spacing w:line="183" w:lineRule="exact" w:before="0"/>
                      <w:ind w:left="2" w:right="18" w:firstLine="0"/>
                      <w:jc w:val="center"/>
                      <w:rPr>
                        <w:rFonts w:ascii="Calibri"/>
                        <w:sz w:val="18"/>
                      </w:rPr>
                    </w:pPr>
                    <w:r>
                      <w:rPr>
                        <w:rFonts w:ascii="Calibri"/>
                        <w:color w:val="585858"/>
                        <w:sz w:val="18"/>
                      </w:rPr>
                      <w:t>99</w:t>
                    </w:r>
                  </w:p>
                  <w:p>
                    <w:pPr>
                      <w:spacing w:line="240" w:lineRule="exact" w:before="60"/>
                      <w:ind w:left="-1" w:right="18" w:firstLine="0"/>
                      <w:jc w:val="center"/>
                      <w:rPr>
                        <w:rFonts w:ascii="Calibri"/>
                        <w:sz w:val="20"/>
                      </w:rPr>
                    </w:pPr>
                    <w:r>
                      <w:rPr>
                        <w:rFonts w:ascii="Calibri"/>
                        <w:color w:val="585858"/>
                        <w:sz w:val="20"/>
                      </w:rPr>
                      <w:t>Overall Path Loss</w:t>
                    </w:r>
                    <w:r>
                      <w:rPr>
                        <w:rFonts w:ascii="Calibri"/>
                        <w:color w:val="585858"/>
                        <w:spacing w:val="-10"/>
                        <w:sz w:val="20"/>
                      </w:rPr>
                      <w:t> </w:t>
                    </w:r>
                    <w:r>
                      <w:rPr>
                        <w:rFonts w:ascii="Calibri"/>
                        <w:color w:val="585858"/>
                        <w:sz w:val="20"/>
                      </w:rPr>
                      <w:t>(dB)</w:t>
                    </w:r>
                  </w:p>
                </w:txbxContent>
              </v:textbox>
              <w10:wrap type="none"/>
            </v:shape>
            <v:shape style="position:absolute;left:7362;top:-1393;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109</w:t>
                    </w:r>
                  </w:p>
                </w:txbxContent>
              </v:textbox>
              <w10:wrap type="none"/>
            </v:shape>
            <v:shape style="position:absolute;left:8682;top:-1393;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119</w:t>
                    </w:r>
                  </w:p>
                </w:txbxContent>
              </v:textbox>
              <w10:wrap type="none"/>
            </v:shape>
            <v:shape style="position:absolute;left:10002;top:-1393;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129</w:t>
                    </w:r>
                  </w:p>
                </w:txbxContent>
              </v:textbox>
              <w10:wrap type="none"/>
            </v:shape>
            <v:shape style="position:absolute;left:5754;top:-687;width:40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CV2X</w:t>
                    </w:r>
                  </w:p>
                </w:txbxContent>
              </v:textbox>
              <w10:wrap type="none"/>
            </v:shape>
            <v:shape style="position:absolute;left:6726;top:-687;width:407;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DSRC</w:t>
                    </w:r>
                  </w:p>
                </w:txbxContent>
              </v:textbox>
              <w10:wrap type="none"/>
            </v:shape>
            <w10:wrap type="none"/>
          </v:group>
        </w:pict>
      </w:r>
      <w:r>
        <w:rPr/>
        <w:pict>
          <v:group style="position:absolute;margin-left:56.275002pt;margin-top:66.088898pt;width:468.75pt;height:279.55pt;mso-position-horizontal-relative:page;mso-position-vertical-relative:paragraph;z-index:4456" coordorigin="1126,1322" coordsize="9375,5591">
            <v:shape style="position:absolute;left:0;top:8178;width:7918;height:1770" coordorigin="0,8178" coordsize="7918,1770" path="m2219,3792l10136,3792m2219,2022l10136,2022e" filled="false" stroked="true" strokeweight=".75pt" strokecolor="#d9d9d9">
              <v:path arrowok="t"/>
              <v:stroke dashstyle="solid"/>
            </v:shape>
            <v:shape style="position:absolute;left:0;top:9948;width:6599;height:3538" coordorigin="0,9948" coordsize="6599,3538" path="m3538,2022l3538,5560m4858,2022l4858,5560m6178,2022l6178,5560m7498,2022l7498,5560m8818,2022l8818,5560m10136,2022l10136,5560e" filled="false" stroked="true" strokeweight=".75pt" strokecolor="#d9d9d9">
              <v:path arrowok="t"/>
              <v:stroke dashstyle="solid"/>
            </v:shape>
            <v:shape style="position:absolute;left:0;top:6411;width:7918;height:3538" coordorigin="0,6411" coordsize="7918,3538" path="m2219,5560l2219,2022m2219,5560l10136,5560e" filled="false" stroked="true" strokeweight=".75pt" strokecolor="#bebebe">
              <v:path arrowok="t"/>
              <v:stroke dashstyle="solid"/>
            </v:shape>
            <v:shape style="position:absolute;left:2219;top:3697;width:7390;height:94" coordorigin="2219,3697" coordsize="7390,94" path="m2219,3791l2219,3791,9214,3791,9346,3782,9478,3782,9608,3697e" filled="false" stroked="true" strokeweight="1.5pt" strokecolor="#4471c4">
              <v:path arrowok="t"/>
              <v:stroke dashstyle="solid"/>
            </v:shape>
            <v:shape style="position:absolute;left:2163;top:3734;width:115;height:115" type="#_x0000_t75" stroked="false">
              <v:imagedata r:id="rId213" o:title=""/>
            </v:shape>
            <v:shape style="position:absolute;left:3480;top:3734;width:115;height:115" type="#_x0000_t75" stroked="false">
              <v:imagedata r:id="rId199" o:title=""/>
            </v:shape>
            <v:shape style="position:absolute;left:4800;top:3734;width:115;height:115" type="#_x0000_t75" stroked="false">
              <v:imagedata r:id="rId199" o:title=""/>
            </v:shape>
            <v:shape style="position:absolute;left:6120;top:3734;width:115;height:115" type="#_x0000_t75" stroked="false">
              <v:imagedata r:id="rId199" o:title=""/>
            </v:shape>
            <v:shape style="position:absolute;left:7440;top:3734;width:115;height:115" type="#_x0000_t75" stroked="false">
              <v:imagedata r:id="rId199" o:title=""/>
            </v:shape>
            <v:shape style="position:absolute;left:8100;top:3734;width:115;height:115" type="#_x0000_t75" stroked="false">
              <v:imagedata r:id="rId199" o:title=""/>
            </v:shape>
            <v:shape style="position:absolute;left:8760;top:3734;width:115;height:115" type="#_x0000_t75" stroked="false">
              <v:imagedata r:id="rId199" o:title=""/>
            </v:shape>
            <v:shape style="position:absolute;left:9156;top:3638;width:509;height:211" type="#_x0000_t75" stroked="false">
              <v:imagedata r:id="rId214" o:title=""/>
            </v:shape>
            <v:shape style="position:absolute;left:2219;top:3746;width:5411;height:45" coordorigin="2219,3746" coordsize="5411,45" path="m2219,3791l3538,3791,4858,3791,6178,3791,7498,3782,7629,3746e" filled="false" stroked="true" strokeweight="1.5pt" strokecolor="#ec7c30">
              <v:path arrowok="t"/>
              <v:stroke dashstyle="solid"/>
            </v:shape>
            <v:shape style="position:absolute;left:2163;top:3734;width:115;height:115" type="#_x0000_t75" stroked="false">
              <v:imagedata r:id="rId215" o:title=""/>
            </v:shape>
            <v:shape style="position:absolute;left:3480;top:3734;width:115;height:115" type="#_x0000_t75" stroked="false">
              <v:imagedata r:id="rId210" o:title=""/>
            </v:shape>
            <v:shape style="position:absolute;left:4800;top:3734;width:115;height:115" type="#_x0000_t75" stroked="false">
              <v:imagedata r:id="rId210" o:title=""/>
            </v:shape>
            <v:shape style="position:absolute;left:6120;top:3734;width:115;height:115" type="#_x0000_t75" stroked="false">
              <v:imagedata r:id="rId210" o:title=""/>
            </v:shape>
            <v:shape style="position:absolute;left:7440;top:3688;width:247;height:151" type="#_x0000_t75" stroked="false">
              <v:imagedata r:id="rId216" o:title=""/>
            </v:shape>
            <v:shape style="position:absolute;left:5373;top:6461;width:414;height:116" type="#_x0000_t75" stroked="false">
              <v:imagedata r:id="rId217" o:title=""/>
            </v:shape>
            <v:shape style="position:absolute;left:6345;top:6461;width:414;height:116" type="#_x0000_t75" stroked="false">
              <v:imagedata r:id="rId218" o:title=""/>
            </v:shape>
            <v:rect style="position:absolute;left:1133;top:1329;width:9360;height:5576" filled="false" stroked="true" strokeweight=".75pt" strokecolor="#d9d9d9">
              <v:stroke dashstyle="solid"/>
            </v:rect>
            <v:shape style="position:absolute;left:4605;top:1528;width:2438;height:240" type="#_x0000_t202" filled="false" stroked="false">
              <v:textbox inset="0,0,0,0">
                <w:txbxContent>
                  <w:p>
                    <w:pPr>
                      <w:spacing w:line="240" w:lineRule="exact" w:before="0"/>
                      <w:ind w:left="0" w:right="0" w:firstLine="0"/>
                      <w:jc w:val="left"/>
                      <w:rPr>
                        <w:rFonts w:ascii="Calibri"/>
                        <w:sz w:val="24"/>
                      </w:rPr>
                    </w:pPr>
                    <w:r>
                      <w:rPr>
                        <w:rFonts w:ascii="Calibri"/>
                        <w:color w:val="585858"/>
                        <w:sz w:val="24"/>
                      </w:rPr>
                      <w:t>C-V2X vs DSRC Mean IPG</w:t>
                    </w:r>
                  </w:p>
                </w:txbxContent>
              </v:textbox>
              <w10:wrap type="none"/>
            </v:shape>
            <v:shape style="position:absolute;left:1688;top:1939;width:385;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1000</w:t>
                    </w:r>
                  </w:p>
                </w:txbxContent>
              </v:textbox>
              <w10:wrap type="none"/>
            </v:shape>
            <v:shape style="position:absolute;left:1779;top:3708;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100</w:t>
                    </w:r>
                  </w:p>
                </w:txbxContent>
              </v:textbox>
              <w10:wrap type="none"/>
            </v:shape>
            <v:shape style="position:absolute;left:1870;top:5477;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w:t>
                    </w:r>
                  </w:p>
                </w:txbxContent>
              </v:textbox>
              <w10:wrap type="none"/>
            </v:shape>
            <v:shape style="position:absolute;left:2128;top:5711;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69</w:t>
                    </w:r>
                  </w:p>
                </w:txbxContent>
              </v:textbox>
              <w10:wrap type="none"/>
            </v:shape>
            <v:shape style="position:absolute;left:3448;top:5711;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79</w:t>
                    </w:r>
                  </w:p>
                </w:txbxContent>
              </v:textbox>
              <w10:wrap type="none"/>
            </v:shape>
            <v:shape style="position:absolute;left:4768;top:5711;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89</w:t>
                    </w:r>
                  </w:p>
                </w:txbxContent>
              </v:textbox>
              <w10:wrap type="none"/>
            </v:shape>
            <v:shape style="position:absolute;left:5295;top:5711;width:1786;height:484" type="#_x0000_t202" filled="false" stroked="false">
              <v:textbox inset="0,0,0,0">
                <w:txbxContent>
                  <w:p>
                    <w:pPr>
                      <w:spacing w:line="183" w:lineRule="exact" w:before="0"/>
                      <w:ind w:left="2" w:right="18" w:firstLine="0"/>
                      <w:jc w:val="center"/>
                      <w:rPr>
                        <w:rFonts w:ascii="Calibri"/>
                        <w:sz w:val="18"/>
                      </w:rPr>
                    </w:pPr>
                    <w:r>
                      <w:rPr>
                        <w:rFonts w:ascii="Calibri"/>
                        <w:color w:val="585858"/>
                        <w:sz w:val="18"/>
                      </w:rPr>
                      <w:t>99</w:t>
                    </w:r>
                  </w:p>
                  <w:p>
                    <w:pPr>
                      <w:spacing w:line="240" w:lineRule="exact" w:before="60"/>
                      <w:ind w:left="-1" w:right="18" w:firstLine="0"/>
                      <w:jc w:val="center"/>
                      <w:rPr>
                        <w:rFonts w:ascii="Calibri"/>
                        <w:sz w:val="20"/>
                      </w:rPr>
                    </w:pPr>
                    <w:r>
                      <w:rPr>
                        <w:rFonts w:ascii="Calibri"/>
                        <w:color w:val="585858"/>
                        <w:sz w:val="20"/>
                      </w:rPr>
                      <w:t>Overall Path Loss</w:t>
                    </w:r>
                    <w:r>
                      <w:rPr>
                        <w:rFonts w:ascii="Calibri"/>
                        <w:color w:val="585858"/>
                        <w:spacing w:val="-10"/>
                        <w:sz w:val="20"/>
                      </w:rPr>
                      <w:t> </w:t>
                    </w:r>
                    <w:r>
                      <w:rPr>
                        <w:rFonts w:ascii="Calibri"/>
                        <w:color w:val="585858"/>
                        <w:sz w:val="20"/>
                      </w:rPr>
                      <w:t>(dB)</w:t>
                    </w:r>
                  </w:p>
                </w:txbxContent>
              </v:textbox>
              <w10:wrap type="none"/>
            </v:shape>
            <v:shape style="position:absolute;left:7362;top:5711;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109</w:t>
                    </w:r>
                  </w:p>
                </w:txbxContent>
              </v:textbox>
              <w10:wrap type="none"/>
            </v:shape>
            <v:shape style="position:absolute;left:8682;top:5711;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119</w:t>
                    </w:r>
                  </w:p>
                </w:txbxContent>
              </v:textbox>
              <w10:wrap type="none"/>
            </v:shape>
            <v:shape style="position:absolute;left:10002;top:5711;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129</w:t>
                    </w:r>
                  </w:p>
                </w:txbxContent>
              </v:textbox>
              <w10:wrap type="none"/>
            </v:shape>
            <v:shape style="position:absolute;left:5814;top:6437;width:40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CV2X</w:t>
                    </w:r>
                  </w:p>
                </w:txbxContent>
              </v:textbox>
              <w10:wrap type="none"/>
            </v:shape>
            <v:shape style="position:absolute;left:6786;top:6437;width:407;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DSRC</w:t>
                    </w:r>
                  </w:p>
                </w:txbxContent>
              </v:textbox>
              <w10:wrap type="none"/>
            </v:shape>
            <w10:wrap type="none"/>
          </v:group>
        </w:pict>
      </w:r>
      <w:r>
        <w:rPr/>
        <w:pict>
          <v:shape style="position:absolute;margin-left:70.178001pt;margin-top:170.528168pt;width:12pt;height:36pt;mso-position-horizontal-relative:page;mso-position-vertical-relative:paragraph;z-index:4480" type="#_x0000_t202" filled="false" stroked="false">
            <v:textbox inset="0,0,0,0" style="layout-flow:vertical;mso-layout-flow-alt:bottom-to-top">
              <w:txbxContent>
                <w:p>
                  <w:pPr>
                    <w:pStyle w:val="BodyText"/>
                    <w:spacing w:line="223" w:lineRule="exact"/>
                    <w:ind w:left="20" w:right="-155"/>
                    <w:rPr>
                      <w:rFonts w:ascii="Calibri"/>
                    </w:rPr>
                  </w:pPr>
                  <w:r>
                    <w:rPr>
                      <w:rFonts w:ascii="Calibri"/>
                      <w:color w:val="585858"/>
                      <w:w w:val="99"/>
                    </w:rPr>
                    <w:t>IPG</w:t>
                  </w:r>
                  <w:r>
                    <w:rPr>
                      <w:rFonts w:ascii="Calibri"/>
                      <w:color w:val="585858"/>
                      <w:spacing w:val="-1"/>
                    </w:rPr>
                    <w:t> </w:t>
                  </w:r>
                  <w:r>
                    <w:rPr>
                      <w:rFonts w:ascii="Calibri"/>
                      <w:color w:val="585858"/>
                      <w:spacing w:val="-1"/>
                      <w:w w:val="99"/>
                    </w:rPr>
                    <w:t>(ms</w:t>
                  </w:r>
                  <w:r>
                    <w:rPr>
                      <w:rFonts w:ascii="Calibri"/>
                      <w:color w:val="585858"/>
                      <w:w w:val="99"/>
                    </w:rPr>
                    <w:t>)</w:t>
                  </w:r>
                </w:p>
              </w:txbxContent>
            </v:textbox>
            <w10:wrap type="none"/>
          </v:shape>
        </w:pict>
      </w:r>
      <w:r>
        <w:rPr>
          <w:b/>
          <w:sz w:val="24"/>
        </w:rPr>
        <w:t>Figure 16: 7.2.2 – 95</w:t>
      </w:r>
      <w:r>
        <w:rPr>
          <w:b/>
          <w:position w:val="8"/>
          <w:sz w:val="16"/>
        </w:rPr>
        <w:t>th </w:t>
      </w:r>
      <w:r>
        <w:rPr>
          <w:b/>
          <w:sz w:val="24"/>
        </w:rPr>
        <w:t>Percentile IPG</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34"/>
        </w:rPr>
      </w:pPr>
    </w:p>
    <w:p>
      <w:pPr>
        <w:spacing w:before="0"/>
        <w:ind w:left="1133" w:right="0" w:firstLine="0"/>
        <w:jc w:val="left"/>
        <w:rPr>
          <w:b/>
          <w:sz w:val="24"/>
        </w:rPr>
      </w:pPr>
      <w:r>
        <w:rPr>
          <w:b/>
          <w:sz w:val="24"/>
        </w:rPr>
        <w:t>Figure 17: 7.2.2 – Mean IPG</w:t>
      </w:r>
    </w:p>
    <w:p>
      <w:pPr>
        <w:spacing w:after="0"/>
        <w:jc w:val="left"/>
        <w:rPr>
          <w:sz w:val="24"/>
        </w:rPr>
        <w:sectPr>
          <w:headerReference w:type="default" r:id="rId207"/>
          <w:pgSz w:w="11910" w:h="16850"/>
          <w:pgMar w:header="852" w:footer="979" w:top="1040" w:bottom="1160" w:left="0" w:right="0"/>
        </w:sectPr>
      </w:pPr>
    </w:p>
    <w:p>
      <w:pPr>
        <w:pStyle w:val="BodyText"/>
        <w:rPr>
          <w:b/>
        </w:rPr>
      </w:pPr>
      <w:r>
        <w:rPr/>
        <w:pict>
          <v:shape style="position:absolute;margin-left:70.178001pt;margin-top:166.093994pt;width:12pt;height:53.4pt;mso-position-horizontal-relative:page;mso-position-vertical-relative:page;z-index:5176" type="#_x0000_t202" filled="false" stroked="false">
            <v:textbox inset="0,0,0,0" style="layout-flow:vertical;mso-layout-flow-alt:bottom-to-top">
              <w:txbxContent>
                <w:p>
                  <w:pPr>
                    <w:pStyle w:val="BodyText"/>
                    <w:spacing w:line="223" w:lineRule="exact"/>
                    <w:ind w:left="20" w:right="-424"/>
                    <w:rPr>
                      <w:rFonts w:ascii="Calibri"/>
                    </w:rPr>
                  </w:pPr>
                  <w:r>
                    <w:rPr>
                      <w:rFonts w:ascii="Calibri"/>
                      <w:color w:val="585858"/>
                      <w:spacing w:val="-1"/>
                      <w:w w:val="99"/>
                    </w:rPr>
                    <w:t>L</w:t>
                  </w:r>
                  <w:r>
                    <w:rPr>
                      <w:rFonts w:ascii="Calibri"/>
                      <w:color w:val="585858"/>
                      <w:w w:val="99"/>
                    </w:rPr>
                    <w:t>atency</w:t>
                  </w:r>
                  <w:r>
                    <w:rPr>
                      <w:rFonts w:ascii="Calibri"/>
                      <w:color w:val="585858"/>
                    </w:rPr>
                    <w:t> </w:t>
                  </w:r>
                  <w:r>
                    <w:rPr>
                      <w:rFonts w:ascii="Calibri"/>
                      <w:color w:val="585858"/>
                      <w:spacing w:val="-1"/>
                      <w:w w:val="99"/>
                    </w:rPr>
                    <w:t>(m</w:t>
                  </w:r>
                  <w:r>
                    <w:rPr>
                      <w:rFonts w:ascii="Calibri"/>
                      <w:color w:val="585858"/>
                      <w:spacing w:val="-2"/>
                      <w:w w:val="99"/>
                    </w:rPr>
                    <w:t>s</w:t>
                  </w:r>
                  <w:r>
                    <w:rPr>
                      <w:rFonts w:ascii="Calibri"/>
                      <w:color w:val="585858"/>
                      <w:w w:val="99"/>
                    </w:rPr>
                    <w:t>)</w:t>
                  </w:r>
                </w:p>
              </w:txbxContent>
            </v:textbox>
            <w10:wrap type="none"/>
          </v:shape>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22"/>
        </w:rPr>
      </w:pPr>
    </w:p>
    <w:p>
      <w:pPr>
        <w:pStyle w:val="Heading4"/>
        <w:spacing w:before="1"/>
      </w:pPr>
      <w:r>
        <w:rPr/>
        <w:pict>
          <v:group style="position:absolute;margin-left:56.275002pt;margin-top:-293.911102pt;width:468.75pt;height:279.55pt;mso-position-horizontal-relative:page;mso-position-vertical-relative:paragraph;z-index:4816" coordorigin="1126,-5878" coordsize="9375,5591">
            <v:line style="position:absolute" from="2128,-5178" to="10136,-5178" stroked="true" strokeweight=".75pt" strokecolor="#d9d9d9">
              <v:stroke dashstyle="solid"/>
            </v:line>
            <v:shape style="position:absolute;left:0;top:9554;width:6673;height:3538" coordorigin="0,9554" coordsize="6673,3538" path="m3463,-5178l3463,-1640m4798,-5178l4798,-1640m6132,-5178l6132,-1640m7466,-5178l7466,-1640m8801,-5178l8801,-1640m10136,-5178l10136,-1640e" filled="false" stroked="true" strokeweight=".75pt" strokecolor="#d9d9d9">
              <v:path arrowok="t"/>
              <v:stroke dashstyle="solid"/>
            </v:shape>
            <v:shape style="position:absolute;left:0;top:6017;width:8009;height:3538" coordorigin="0,6017" coordsize="8009,3538" path="m2128,-1640l2128,-5178m2128,-1640l10136,-1640e" filled="false" stroked="true" strokeweight=".75pt" strokecolor="#bebebe">
              <v:path arrowok="t"/>
              <v:stroke dashstyle="solid"/>
            </v:shape>
            <v:shape style="position:absolute;left:2128;top:-3108;width:7475;height:404" coordorigin="2128,-3108" coordsize="7475,404" path="m2128,-2780l3463,-2705,4798,-2780,6132,-2780,7466,-2780,8134,-2852,8801,-2852,9202,-2919,9336,-2852,9468,-2852,9602,-3108e" filled="false" stroked="true" strokeweight="1.5pt" strokecolor="#4471c4">
              <v:path arrowok="t"/>
              <v:stroke dashstyle="solid"/>
            </v:shape>
            <v:shape style="position:absolute;left:3406;top:-2763;width:115;height:115" type="#_x0000_t75" stroked="false">
              <v:imagedata r:id="rId197" o:title=""/>
            </v:shape>
            <v:shape style="position:absolute;left:7409;top:-2837;width:115;height:115" type="#_x0000_t75" stroked="false">
              <v:imagedata r:id="rId197" o:title=""/>
            </v:shape>
            <v:shape style="position:absolute;left:8076;top:-2909;width:115;height:115" type="#_x0000_t75" stroked="false">
              <v:imagedata r:id="rId199" o:title=""/>
            </v:shape>
            <v:shape style="position:absolute;left:8743;top:-2909;width:115;height:115" type="#_x0000_t75" stroked="false">
              <v:imagedata r:id="rId199" o:title=""/>
            </v:shape>
            <v:shape style="position:absolute;left:9144;top:-2976;width:382;height:182" type="#_x0000_t75" stroked="false">
              <v:imagedata r:id="rId220" o:title=""/>
            </v:shape>
            <v:shape style="position:absolute;left:9545;top:-3166;width:115;height:115" type="#_x0000_t75" stroked="false">
              <v:imagedata r:id="rId197" o:title=""/>
            </v:shape>
            <v:shape style="position:absolute;left:2128;top:-2705;width:5473;height:162" coordorigin="2128,-2705" coordsize="5473,162" path="m2128,-2705l3463,-2626,4798,-2705,6132,-2705,7466,-2543,7600,-2543e" filled="false" stroked="true" strokeweight="1.5pt" strokecolor="#ec7c30">
              <v:path arrowok="t"/>
              <v:stroke dashstyle="solid"/>
            </v:shape>
            <v:shape style="position:absolute;left:2071;top:-2837;width:115;height:190" type="#_x0000_t75" stroked="false">
              <v:imagedata r:id="rId221" o:title=""/>
            </v:shape>
            <v:shape style="position:absolute;left:3406;top:-2684;width:115;height:115" type="#_x0000_t75" stroked="false">
              <v:imagedata r:id="rId210" o:title=""/>
            </v:shape>
            <v:shape style="position:absolute;left:4740;top:-2837;width:115;height:190" type="#_x0000_t75" stroked="false">
              <v:imagedata r:id="rId222" o:title=""/>
            </v:shape>
            <v:shape style="position:absolute;left:6075;top:-2837;width:115;height:190" type="#_x0000_t75" stroked="false">
              <v:imagedata r:id="rId222" o:title=""/>
            </v:shape>
            <v:shape style="position:absolute;left:7409;top:-2602;width:250;height:115" type="#_x0000_t75" stroked="false">
              <v:imagedata r:id="rId223" o:title=""/>
            </v:shape>
            <v:shape style="position:absolute;left:5313;top:-740;width:414;height:116" type="#_x0000_t75" stroked="false">
              <v:imagedata r:id="rId211" o:title=""/>
            </v:shape>
            <v:shape style="position:absolute;left:6285;top:-740;width:414;height:116" type="#_x0000_t75" stroked="false">
              <v:imagedata r:id="rId212" o:title=""/>
            </v:shape>
            <v:rect style="position:absolute;left:1133;top:-5871;width:9360;height:5576" filled="false" stroked="true" strokeweight=".75pt" strokecolor="#d9d9d9">
              <v:stroke dashstyle="solid"/>
            </v:rect>
            <v:shape style="position:absolute;left:3942;top:-5673;width:3763;height:240" type="#_x0000_t202" filled="false" stroked="false">
              <v:textbox inset="0,0,0,0">
                <w:txbxContent>
                  <w:p>
                    <w:pPr>
                      <w:spacing w:line="240" w:lineRule="exact" w:before="0"/>
                      <w:ind w:left="0" w:right="0" w:firstLine="0"/>
                      <w:jc w:val="left"/>
                      <w:rPr>
                        <w:rFonts w:ascii="Calibri"/>
                        <w:sz w:val="24"/>
                      </w:rPr>
                    </w:pPr>
                    <w:r>
                      <w:rPr>
                        <w:rFonts w:ascii="Calibri"/>
                        <w:color w:val="585858"/>
                        <w:sz w:val="24"/>
                      </w:rPr>
                      <w:t>C-V2X vs DSRC 95th Percentile Latency</w:t>
                    </w:r>
                  </w:p>
                </w:txbxContent>
              </v:textbox>
              <w10:wrap type="none"/>
            </v:shape>
            <v:shape style="position:absolute;left:1688;top:-5262;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100</w:t>
                    </w:r>
                  </w:p>
                </w:txbxContent>
              </v:textbox>
              <w10:wrap type="none"/>
            </v:shape>
            <v:shape style="position:absolute;left:1779;top:-1724;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w:t>
                    </w:r>
                  </w:p>
                </w:txbxContent>
              </v:textbox>
              <w10:wrap type="none"/>
            </v:shape>
            <v:shape style="position:absolute;left:2037;top:-1490;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69</w:t>
                    </w:r>
                  </w:p>
                </w:txbxContent>
              </v:textbox>
              <w10:wrap type="none"/>
            </v:shape>
            <v:shape style="position:absolute;left:3372;top:-1490;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79</w:t>
                    </w:r>
                  </w:p>
                </w:txbxContent>
              </v:textbox>
              <w10:wrap type="none"/>
            </v:shape>
            <v:shape style="position:absolute;left:4707;top:-1490;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89</w:t>
                    </w:r>
                  </w:p>
                </w:txbxContent>
              </v:textbox>
              <w10:wrap type="none"/>
            </v:shape>
            <v:shape style="position:absolute;left:5250;top:-1490;width:1786;height:484" type="#_x0000_t202" filled="false" stroked="false">
              <v:textbox inset="0,0,0,0">
                <w:txbxContent>
                  <w:p>
                    <w:pPr>
                      <w:spacing w:line="183" w:lineRule="exact" w:before="0"/>
                      <w:ind w:left="2" w:right="18" w:firstLine="0"/>
                      <w:jc w:val="center"/>
                      <w:rPr>
                        <w:rFonts w:ascii="Calibri"/>
                        <w:sz w:val="18"/>
                      </w:rPr>
                    </w:pPr>
                    <w:r>
                      <w:rPr>
                        <w:rFonts w:ascii="Calibri"/>
                        <w:color w:val="585858"/>
                        <w:sz w:val="18"/>
                      </w:rPr>
                      <w:t>99</w:t>
                    </w:r>
                  </w:p>
                  <w:p>
                    <w:pPr>
                      <w:spacing w:line="240" w:lineRule="exact" w:before="60"/>
                      <w:ind w:left="-1" w:right="18" w:firstLine="0"/>
                      <w:jc w:val="center"/>
                      <w:rPr>
                        <w:rFonts w:ascii="Calibri"/>
                        <w:sz w:val="20"/>
                      </w:rPr>
                    </w:pPr>
                    <w:r>
                      <w:rPr>
                        <w:rFonts w:ascii="Calibri"/>
                        <w:color w:val="585858"/>
                        <w:sz w:val="20"/>
                      </w:rPr>
                      <w:t>Overall Path Loss</w:t>
                    </w:r>
                    <w:r>
                      <w:rPr>
                        <w:rFonts w:ascii="Calibri"/>
                        <w:color w:val="585858"/>
                        <w:spacing w:val="-10"/>
                        <w:sz w:val="20"/>
                      </w:rPr>
                      <w:t> </w:t>
                    </w:r>
                    <w:r>
                      <w:rPr>
                        <w:rFonts w:ascii="Calibri"/>
                        <w:color w:val="585858"/>
                        <w:sz w:val="20"/>
                      </w:rPr>
                      <w:t>(dB)</w:t>
                    </w:r>
                  </w:p>
                </w:txbxContent>
              </v:textbox>
              <w10:wrap type="none"/>
            </v:shape>
            <v:shape style="position:absolute;left:7332;top:-1490;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109</w:t>
                    </w:r>
                  </w:p>
                </w:txbxContent>
              </v:textbox>
              <w10:wrap type="none"/>
            </v:shape>
            <v:shape style="position:absolute;left:8666;top:-1490;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119</w:t>
                    </w:r>
                  </w:p>
                </w:txbxContent>
              </v:textbox>
              <w10:wrap type="none"/>
            </v:shape>
            <v:shape style="position:absolute;left:10002;top:-1490;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129</w:t>
                    </w:r>
                  </w:p>
                </w:txbxContent>
              </v:textbox>
              <w10:wrap type="none"/>
            </v:shape>
            <v:shape style="position:absolute;left:5754;top:-764;width:40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CV2X</w:t>
                    </w:r>
                  </w:p>
                </w:txbxContent>
              </v:textbox>
              <w10:wrap type="none"/>
            </v:shape>
            <v:shape style="position:absolute;left:6726;top:-764;width:407;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DSRC</w:t>
                    </w:r>
                  </w:p>
                </w:txbxContent>
              </v:textbox>
              <w10:wrap type="none"/>
            </v:shape>
            <w10:wrap type="none"/>
          </v:group>
        </w:pict>
      </w:r>
      <w:r>
        <w:rPr/>
        <w:pict>
          <v:group style="position:absolute;margin-left:56.275002pt;margin-top:40.888901pt;width:468.75pt;height:279.55pt;mso-position-horizontal-relative:page;mso-position-vertical-relative:paragraph;z-index:5128" coordorigin="1126,818" coordsize="9375,5591">
            <v:line style="position:absolute" from="2128,1518" to="10136,1518" stroked="true" strokeweight=".75pt" strokecolor="#d9d9d9">
              <v:stroke dashstyle="solid"/>
            </v:line>
            <v:shape style="position:absolute;left:0;top:9554;width:6673;height:3538" coordorigin="0,9554" coordsize="6673,3538" path="m3463,1518l3463,5056m4798,1518l4798,5056m6132,1518l6132,5056m7466,1518l7466,5056m8801,1518l8801,5056m10136,1518l10136,5056e" filled="false" stroked="true" strokeweight=".75pt" strokecolor="#d9d9d9">
              <v:path arrowok="t"/>
              <v:stroke dashstyle="solid"/>
            </v:shape>
            <v:shape style="position:absolute;left:0;top:6017;width:8009;height:3538" coordorigin="0,6017" coordsize="8009,3538" path="m2128,5056l2128,1518m2128,5056l10136,5056e" filled="false" stroked="true" strokeweight=".75pt" strokecolor="#bebebe">
              <v:path arrowok="t"/>
              <v:stroke dashstyle="solid"/>
            </v:shape>
            <v:shape style="position:absolute;left:2128;top:4070;width:7475;height:583" coordorigin="2128,4070" coordsize="7475,583" path="m2128,4653l3463,4653,4798,4538,6132,4653,7466,4653,8134,4538,8801,4538,9202,4432,9336,4538,9468,4432,9602,4070e" filled="false" stroked="true" strokeweight="1.5pt" strokecolor="#4471c4">
              <v:path arrowok="t"/>
              <v:stroke dashstyle="solid"/>
            </v:shape>
            <v:shape style="position:absolute;left:2071;top:4596;width:115;height:115" type="#_x0000_t75" stroked="false">
              <v:imagedata r:id="rId196" o:title=""/>
            </v:shape>
            <v:shape style="position:absolute;left:3406;top:4596;width:115;height:115" type="#_x0000_t75" stroked="false">
              <v:imagedata r:id="rId197" o:title=""/>
            </v:shape>
            <v:shape style="position:absolute;left:4740;top:4480;width:115;height:115" type="#_x0000_t75" stroked="false">
              <v:imagedata r:id="rId197" o:title=""/>
            </v:shape>
            <v:shape style="position:absolute;left:6075;top:4596;width:115;height:115" type="#_x0000_t75" stroked="false">
              <v:imagedata r:id="rId197" o:title=""/>
            </v:shape>
            <v:shape style="position:absolute;left:7409;top:4596;width:115;height:115" type="#_x0000_t75" stroked="false">
              <v:imagedata r:id="rId197" o:title=""/>
            </v:shape>
            <v:shape style="position:absolute;left:8076;top:4480;width:115;height:115" type="#_x0000_t75" stroked="false">
              <v:imagedata r:id="rId197" o:title=""/>
            </v:shape>
            <v:shape style="position:absolute;left:8743;top:4480;width:115;height:115" type="#_x0000_t75" stroked="false">
              <v:imagedata r:id="rId197" o:title=""/>
            </v:shape>
            <v:shape style="position:absolute;left:9144;top:4375;width:382;height:221" type="#_x0000_t75" stroked="false">
              <v:imagedata r:id="rId224" o:title=""/>
            </v:shape>
            <v:shape style="position:absolute;left:9545;top:4012;width:115;height:115" type="#_x0000_t75" stroked="false">
              <v:imagedata r:id="rId197" o:title=""/>
            </v:shape>
            <v:shape style="position:absolute;left:2128;top:4240;width:5473;height:94" coordorigin="2128,4240" coordsize="5473,94" path="m2128,4334l3463,4334,4798,4240,6132,4240,7466,4240,7600,4334e" filled="false" stroked="true" strokeweight="1.5pt" strokecolor="#ec7c30">
              <v:path arrowok="t"/>
              <v:stroke dashstyle="solid"/>
            </v:shape>
            <v:shape style="position:absolute;left:2071;top:4276;width:115;height:115" type="#_x0000_t75" stroked="false">
              <v:imagedata r:id="rId215" o:title=""/>
            </v:shape>
            <v:shape style="position:absolute;left:3406;top:4276;width:115;height:115" type="#_x0000_t75" stroked="false">
              <v:imagedata r:id="rId210" o:title=""/>
            </v:shape>
            <v:shape style="position:absolute;left:4740;top:4183;width:115;height:115" type="#_x0000_t75" stroked="false">
              <v:imagedata r:id="rId203" o:title=""/>
            </v:shape>
            <v:shape style="position:absolute;left:6075;top:4183;width:115;height:115" type="#_x0000_t75" stroked="false">
              <v:imagedata r:id="rId203" o:title=""/>
            </v:shape>
            <v:shape style="position:absolute;left:7409;top:4183;width:250;height:209" type="#_x0000_t75" stroked="false">
              <v:imagedata r:id="rId225" o:title=""/>
            </v:shape>
            <v:shape style="position:absolute;left:5293;top:5956;width:414;height:116" type="#_x0000_t75" stroked="false">
              <v:imagedata r:id="rId226" o:title=""/>
            </v:shape>
            <v:shape style="position:absolute;left:6265;top:5956;width:414;height:116" type="#_x0000_t75" stroked="false">
              <v:imagedata r:id="rId227" o:title=""/>
            </v:shape>
            <v:rect style="position:absolute;left:1133;top:825;width:9360;height:5576" filled="false" stroked="true" strokeweight=".75pt" strokecolor="#d9d9d9">
              <v:stroke dashstyle="solid"/>
            </v:rect>
            <v:shape style="position:absolute;left:4398;top:1024;width:2851;height:240" type="#_x0000_t202" filled="false" stroked="false">
              <v:textbox inset="0,0,0,0">
                <w:txbxContent>
                  <w:p>
                    <w:pPr>
                      <w:spacing w:line="240" w:lineRule="exact" w:before="0"/>
                      <w:ind w:left="0" w:right="0" w:firstLine="0"/>
                      <w:jc w:val="left"/>
                      <w:rPr>
                        <w:rFonts w:ascii="Calibri"/>
                        <w:sz w:val="24"/>
                      </w:rPr>
                    </w:pPr>
                    <w:r>
                      <w:rPr>
                        <w:rFonts w:ascii="Calibri"/>
                        <w:color w:val="585858"/>
                        <w:sz w:val="24"/>
                      </w:rPr>
                      <w:t>C-V2X vs DSRC Mean Latency</w:t>
                    </w:r>
                  </w:p>
                </w:txbxContent>
              </v:textbox>
              <w10:wrap type="none"/>
            </v:shape>
            <v:shape style="position:absolute;left:1688;top:1435;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100</w:t>
                    </w:r>
                  </w:p>
                </w:txbxContent>
              </v:textbox>
              <w10:wrap type="none"/>
            </v:shape>
            <v:shape style="position:absolute;left:1779;top:4973;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w:t>
                    </w:r>
                  </w:p>
                </w:txbxContent>
              </v:textbox>
              <w10:wrap type="none"/>
            </v:shape>
            <v:shape style="position:absolute;left:2037;top:5207;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69</w:t>
                    </w:r>
                  </w:p>
                </w:txbxContent>
              </v:textbox>
              <w10:wrap type="none"/>
            </v:shape>
            <v:shape style="position:absolute;left:3372;top:5207;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79</w:t>
                    </w:r>
                  </w:p>
                </w:txbxContent>
              </v:textbox>
              <w10:wrap type="none"/>
            </v:shape>
            <v:shape style="position:absolute;left:4707;top:5207;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89</w:t>
                    </w:r>
                  </w:p>
                </w:txbxContent>
              </v:textbox>
              <w10:wrap type="none"/>
            </v:shape>
            <v:shape style="position:absolute;left:5250;top:5207;width:1786;height:484" type="#_x0000_t202" filled="false" stroked="false">
              <v:textbox inset="0,0,0,0">
                <w:txbxContent>
                  <w:p>
                    <w:pPr>
                      <w:spacing w:line="183" w:lineRule="exact" w:before="0"/>
                      <w:ind w:left="2" w:right="18" w:firstLine="0"/>
                      <w:jc w:val="center"/>
                      <w:rPr>
                        <w:rFonts w:ascii="Calibri"/>
                        <w:sz w:val="18"/>
                      </w:rPr>
                    </w:pPr>
                    <w:r>
                      <w:rPr>
                        <w:rFonts w:ascii="Calibri"/>
                        <w:color w:val="585858"/>
                        <w:sz w:val="18"/>
                      </w:rPr>
                      <w:t>99</w:t>
                    </w:r>
                  </w:p>
                  <w:p>
                    <w:pPr>
                      <w:spacing w:line="240" w:lineRule="exact" w:before="60"/>
                      <w:ind w:left="-1" w:right="18" w:firstLine="0"/>
                      <w:jc w:val="center"/>
                      <w:rPr>
                        <w:rFonts w:ascii="Calibri"/>
                        <w:sz w:val="20"/>
                      </w:rPr>
                    </w:pPr>
                    <w:r>
                      <w:rPr>
                        <w:rFonts w:ascii="Calibri"/>
                        <w:color w:val="585858"/>
                        <w:sz w:val="20"/>
                      </w:rPr>
                      <w:t>Overall Path Loss</w:t>
                    </w:r>
                    <w:r>
                      <w:rPr>
                        <w:rFonts w:ascii="Calibri"/>
                        <w:color w:val="585858"/>
                        <w:spacing w:val="-10"/>
                        <w:sz w:val="20"/>
                      </w:rPr>
                      <w:t> </w:t>
                    </w:r>
                    <w:r>
                      <w:rPr>
                        <w:rFonts w:ascii="Calibri"/>
                        <w:color w:val="585858"/>
                        <w:sz w:val="20"/>
                      </w:rPr>
                      <w:t>(dB)</w:t>
                    </w:r>
                  </w:p>
                </w:txbxContent>
              </v:textbox>
              <w10:wrap type="none"/>
            </v:shape>
            <v:shape style="position:absolute;left:7332;top:5207;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109</w:t>
                    </w:r>
                  </w:p>
                </w:txbxContent>
              </v:textbox>
              <w10:wrap type="none"/>
            </v:shape>
            <v:shape style="position:absolute;left:8666;top:5207;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119</w:t>
                    </w:r>
                  </w:p>
                </w:txbxContent>
              </v:textbox>
              <w10:wrap type="none"/>
            </v:shape>
            <v:shape style="position:absolute;left:10002;top:5207;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129</w:t>
                    </w:r>
                  </w:p>
                </w:txbxContent>
              </v:textbox>
              <w10:wrap type="none"/>
            </v:shape>
            <v:shape style="position:absolute;left:5734;top:5933;width:40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CV2X</w:t>
                    </w:r>
                  </w:p>
                </w:txbxContent>
              </v:textbox>
              <w10:wrap type="none"/>
            </v:shape>
            <v:shape style="position:absolute;left:6707;top:5933;width:407;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DSRC</w:t>
                    </w:r>
                  </w:p>
                </w:txbxContent>
              </v:textbox>
              <w10:wrap type="none"/>
            </v:shape>
            <w10:wrap type="none"/>
          </v:group>
        </w:pict>
      </w:r>
      <w:r>
        <w:rPr/>
        <w:pict>
          <v:shape style="position:absolute;margin-left:70.178001pt;margin-top:136.607925pt;width:12pt;height:53.4pt;mso-position-horizontal-relative:page;mso-position-vertical-relative:paragraph;z-index:5152" type="#_x0000_t202" filled="false" stroked="false">
            <v:textbox inset="0,0,0,0" style="layout-flow:vertical;mso-layout-flow-alt:bottom-to-top">
              <w:txbxContent>
                <w:p>
                  <w:pPr>
                    <w:pStyle w:val="BodyText"/>
                    <w:spacing w:line="223" w:lineRule="exact"/>
                    <w:ind w:left="20" w:right="-424"/>
                    <w:rPr>
                      <w:rFonts w:ascii="Calibri"/>
                    </w:rPr>
                  </w:pPr>
                  <w:r>
                    <w:rPr>
                      <w:rFonts w:ascii="Calibri"/>
                      <w:color w:val="585858"/>
                      <w:spacing w:val="-1"/>
                      <w:w w:val="99"/>
                    </w:rPr>
                    <w:t>L</w:t>
                  </w:r>
                  <w:r>
                    <w:rPr>
                      <w:rFonts w:ascii="Calibri"/>
                      <w:color w:val="585858"/>
                      <w:w w:val="99"/>
                    </w:rPr>
                    <w:t>atency</w:t>
                  </w:r>
                  <w:r>
                    <w:rPr>
                      <w:rFonts w:ascii="Calibri"/>
                      <w:color w:val="585858"/>
                    </w:rPr>
                    <w:t> </w:t>
                  </w:r>
                  <w:r>
                    <w:rPr>
                      <w:rFonts w:ascii="Calibri"/>
                      <w:color w:val="585858"/>
                      <w:spacing w:val="-1"/>
                      <w:w w:val="99"/>
                    </w:rPr>
                    <w:t>(m</w:t>
                  </w:r>
                  <w:r>
                    <w:rPr>
                      <w:rFonts w:ascii="Calibri"/>
                      <w:color w:val="585858"/>
                      <w:spacing w:val="-2"/>
                      <w:w w:val="99"/>
                    </w:rPr>
                    <w:t>s</w:t>
                  </w:r>
                  <w:r>
                    <w:rPr>
                      <w:rFonts w:ascii="Calibri"/>
                      <w:color w:val="585858"/>
                      <w:w w:val="99"/>
                    </w:rPr>
                    <w:t>)</w:t>
                  </w:r>
                </w:p>
              </w:txbxContent>
            </v:textbox>
            <w10:wrap type="none"/>
          </v:shape>
        </w:pict>
      </w:r>
      <w:r>
        <w:rPr/>
        <w:t>Figure 18: 7.2.2 – 95</w:t>
      </w:r>
      <w:r>
        <w:rPr>
          <w:position w:val="8"/>
          <w:sz w:val="16"/>
        </w:rPr>
        <w:t>th </w:t>
      </w:r>
      <w:r>
        <w:rPr/>
        <w:t>Percentile Latency</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4"/>
        <w:rPr>
          <w:b/>
          <w:sz w:val="26"/>
        </w:rPr>
      </w:pPr>
    </w:p>
    <w:p>
      <w:pPr>
        <w:spacing w:before="0"/>
        <w:ind w:left="1133" w:right="0" w:firstLine="0"/>
        <w:jc w:val="left"/>
        <w:rPr>
          <w:b/>
          <w:sz w:val="24"/>
        </w:rPr>
      </w:pPr>
      <w:r>
        <w:rPr>
          <w:b/>
          <w:sz w:val="24"/>
        </w:rPr>
        <w:t>Figure 19: 7.2.2 – Mean Latency</w:t>
      </w:r>
    </w:p>
    <w:p>
      <w:pPr>
        <w:spacing w:after="0"/>
        <w:jc w:val="left"/>
        <w:rPr>
          <w:sz w:val="24"/>
        </w:rPr>
        <w:sectPr>
          <w:headerReference w:type="default" r:id="rId219"/>
          <w:pgSz w:w="11910" w:h="16850"/>
          <w:pgMar w:header="852" w:footer="979" w:top="1040" w:bottom="1160" w:left="0" w:right="0"/>
        </w:sectPr>
      </w:pPr>
    </w:p>
    <w:p>
      <w:pPr>
        <w:pStyle w:val="BodyText"/>
        <w:spacing w:before="1"/>
        <w:rPr>
          <w:b/>
          <w:sz w:val="23"/>
        </w:rPr>
      </w:pPr>
    </w:p>
    <w:p>
      <w:pPr>
        <w:pStyle w:val="Heading5"/>
        <w:numPr>
          <w:ilvl w:val="3"/>
          <w:numId w:val="23"/>
        </w:numPr>
        <w:tabs>
          <w:tab w:pos="2552" w:val="left" w:leader="none"/>
        </w:tabs>
        <w:spacing w:line="240" w:lineRule="auto" w:before="93" w:after="0"/>
        <w:ind w:left="2551" w:right="0" w:hanging="1418"/>
        <w:jc w:val="both"/>
        <w:rPr>
          <w:rFonts w:ascii="Arial"/>
        </w:rPr>
      </w:pPr>
      <w:r>
        <w:rPr>
          <w:rFonts w:ascii="Arial"/>
        </w:rPr>
        <w:t>Evaluation</w:t>
      </w:r>
      <w:r>
        <w:rPr>
          <w:rFonts w:ascii="Arial"/>
          <w:spacing w:val="-6"/>
        </w:rPr>
        <w:t> </w:t>
      </w:r>
      <w:r>
        <w:rPr>
          <w:rFonts w:ascii="Arial"/>
        </w:rPr>
        <w:t>Criteria</w:t>
      </w:r>
    </w:p>
    <w:p>
      <w:pPr>
        <w:pStyle w:val="BodyText"/>
        <w:spacing w:before="182"/>
        <w:ind w:left="1133"/>
        <w:jc w:val="both"/>
      </w:pPr>
      <w:r>
        <w:rPr/>
        <w:t>Evaluation criteria is a successful decode of all the payload lengths on Rx entity.</w:t>
      </w:r>
    </w:p>
    <w:p>
      <w:pPr>
        <w:pStyle w:val="BodyText"/>
        <w:spacing w:before="11"/>
        <w:rPr>
          <w:sz w:val="25"/>
        </w:rPr>
      </w:pPr>
    </w:p>
    <w:p>
      <w:pPr>
        <w:pStyle w:val="Heading5"/>
        <w:numPr>
          <w:ilvl w:val="3"/>
          <w:numId w:val="23"/>
        </w:numPr>
        <w:tabs>
          <w:tab w:pos="2552" w:val="left" w:leader="none"/>
        </w:tabs>
        <w:spacing w:line="240" w:lineRule="auto" w:before="0" w:after="0"/>
        <w:ind w:left="2551" w:right="0" w:hanging="1418"/>
        <w:jc w:val="both"/>
        <w:rPr>
          <w:rFonts w:ascii="Arial"/>
        </w:rPr>
      </w:pPr>
      <w:r>
        <w:rPr>
          <w:rFonts w:ascii="Arial"/>
        </w:rPr>
        <w:t>Key</w:t>
      </w:r>
      <w:r>
        <w:rPr>
          <w:rFonts w:ascii="Arial"/>
          <w:spacing w:val="-8"/>
        </w:rPr>
        <w:t> </w:t>
      </w:r>
      <w:r>
        <w:rPr>
          <w:rFonts w:ascii="Arial"/>
        </w:rPr>
        <w:t>Takeaway</w:t>
      </w:r>
    </w:p>
    <w:p>
      <w:pPr>
        <w:pStyle w:val="BodyText"/>
        <w:spacing w:before="181"/>
        <w:ind w:left="1133" w:right="1140"/>
        <w:jc w:val="both"/>
      </w:pPr>
      <w:r>
        <w:rPr/>
        <w:t>The purpose of this controlled lab test was to examine and compare the communication reliability of V2X technologies</w:t>
      </w:r>
      <w:r>
        <w:rPr>
          <w:spacing w:val="-13"/>
        </w:rPr>
        <w:t> </w:t>
      </w:r>
      <w:r>
        <w:rPr/>
        <w:t>at</w:t>
      </w:r>
      <w:r>
        <w:rPr>
          <w:spacing w:val="-14"/>
        </w:rPr>
        <w:t> </w:t>
      </w:r>
      <w:r>
        <w:rPr/>
        <w:t>varying</w:t>
      </w:r>
      <w:r>
        <w:rPr>
          <w:spacing w:val="-14"/>
        </w:rPr>
        <w:t> </w:t>
      </w:r>
      <w:r>
        <w:rPr/>
        <w:t>levels</w:t>
      </w:r>
      <w:r>
        <w:rPr>
          <w:spacing w:val="-15"/>
        </w:rPr>
        <w:t> </w:t>
      </w:r>
      <w:r>
        <w:rPr/>
        <w:t>of</w:t>
      </w:r>
      <w:r>
        <w:rPr>
          <w:spacing w:val="-14"/>
        </w:rPr>
        <w:t> </w:t>
      </w:r>
      <w:r>
        <w:rPr/>
        <w:t>received</w:t>
      </w:r>
      <w:r>
        <w:rPr>
          <w:spacing w:val="-14"/>
        </w:rPr>
        <w:t> </w:t>
      </w:r>
      <w:r>
        <w:rPr/>
        <w:t>signal</w:t>
      </w:r>
      <w:r>
        <w:rPr>
          <w:spacing w:val="-15"/>
        </w:rPr>
        <w:t> </w:t>
      </w:r>
      <w:r>
        <w:rPr/>
        <w:t>strength.</w:t>
      </w:r>
      <w:r>
        <w:rPr>
          <w:spacing w:val="-16"/>
        </w:rPr>
        <w:t> </w:t>
      </w:r>
      <w:r>
        <w:rPr/>
        <w:t>This</w:t>
      </w:r>
      <w:r>
        <w:rPr>
          <w:spacing w:val="-15"/>
        </w:rPr>
        <w:t> </w:t>
      </w:r>
      <w:r>
        <w:rPr/>
        <w:t>test</w:t>
      </w:r>
      <w:r>
        <w:rPr>
          <w:spacing w:val="-16"/>
        </w:rPr>
        <w:t> </w:t>
      </w:r>
      <w:r>
        <w:rPr/>
        <w:t>emulates</w:t>
      </w:r>
      <w:r>
        <w:rPr>
          <w:spacing w:val="-15"/>
        </w:rPr>
        <w:t> </w:t>
      </w:r>
      <w:r>
        <w:rPr/>
        <w:t>field</w:t>
      </w:r>
      <w:r>
        <w:rPr>
          <w:spacing w:val="-14"/>
        </w:rPr>
        <w:t> </w:t>
      </w:r>
      <w:r>
        <w:rPr/>
        <w:t>scenarios</w:t>
      </w:r>
      <w:r>
        <w:rPr>
          <w:spacing w:val="-12"/>
        </w:rPr>
        <w:t> </w:t>
      </w:r>
      <w:r>
        <w:rPr/>
        <w:t>where</w:t>
      </w:r>
      <w:r>
        <w:rPr>
          <w:spacing w:val="-14"/>
        </w:rPr>
        <w:t> </w:t>
      </w:r>
      <w:r>
        <w:rPr/>
        <w:t>the</w:t>
      </w:r>
      <w:r>
        <w:rPr>
          <w:spacing w:val="-14"/>
        </w:rPr>
        <w:t> </w:t>
      </w:r>
      <w:r>
        <w:rPr/>
        <w:t>received signal power diminishes because of the distance between the transmitter and the receiver, or because of obstructions between the two. This test has no added background interference in the</w:t>
      </w:r>
      <w:r>
        <w:rPr>
          <w:spacing w:val="-24"/>
        </w:rPr>
        <w:t> </w:t>
      </w:r>
      <w:r>
        <w:rPr/>
        <w:t>channel.</w:t>
      </w:r>
    </w:p>
    <w:p>
      <w:pPr>
        <w:pStyle w:val="BodyText"/>
        <w:spacing w:before="180"/>
        <w:ind w:left="1133" w:right="1134"/>
        <w:jc w:val="both"/>
      </w:pPr>
      <w:r>
        <w:rPr/>
        <w:t>The results show significant reliability advantage of C-V2X over DSRC, which translates into a longer communication</w:t>
      </w:r>
      <w:r>
        <w:rPr>
          <w:spacing w:val="-6"/>
        </w:rPr>
        <w:t> </w:t>
      </w:r>
      <w:r>
        <w:rPr/>
        <w:t>range</w:t>
      </w:r>
      <w:r>
        <w:rPr>
          <w:spacing w:val="-8"/>
        </w:rPr>
        <w:t> </w:t>
      </w:r>
      <w:r>
        <w:rPr/>
        <w:t>for</w:t>
      </w:r>
      <w:r>
        <w:rPr>
          <w:spacing w:val="-7"/>
        </w:rPr>
        <w:t> </w:t>
      </w:r>
      <w:r>
        <w:rPr/>
        <w:t>C-V2X</w:t>
      </w:r>
      <w:r>
        <w:rPr>
          <w:spacing w:val="-7"/>
        </w:rPr>
        <w:t> </w:t>
      </w:r>
      <w:r>
        <w:rPr/>
        <w:t>in</w:t>
      </w:r>
      <w:r>
        <w:rPr>
          <w:spacing w:val="-6"/>
        </w:rPr>
        <w:t> </w:t>
      </w:r>
      <w:r>
        <w:rPr/>
        <w:t>the</w:t>
      </w:r>
      <w:r>
        <w:rPr>
          <w:spacing w:val="-8"/>
        </w:rPr>
        <w:t> </w:t>
      </w:r>
      <w:r>
        <w:rPr/>
        <w:t>real</w:t>
      </w:r>
      <w:r>
        <w:rPr>
          <w:spacing w:val="-7"/>
        </w:rPr>
        <w:t> </w:t>
      </w:r>
      <w:r>
        <w:rPr/>
        <w:t>world.</w:t>
      </w:r>
      <w:r>
        <w:rPr>
          <w:spacing w:val="-8"/>
        </w:rPr>
        <w:t> </w:t>
      </w:r>
      <w:r>
        <w:rPr/>
        <w:t>Field</w:t>
      </w:r>
      <w:r>
        <w:rPr>
          <w:spacing w:val="-6"/>
        </w:rPr>
        <w:t> </w:t>
      </w:r>
      <w:r>
        <w:rPr/>
        <w:t>results</w:t>
      </w:r>
      <w:r>
        <w:rPr>
          <w:spacing w:val="-7"/>
        </w:rPr>
        <w:t> </w:t>
      </w:r>
      <w:r>
        <w:rPr/>
        <w:t>in</w:t>
      </w:r>
      <w:r>
        <w:rPr>
          <w:spacing w:val="-6"/>
        </w:rPr>
        <w:t> </w:t>
      </w:r>
      <w:r>
        <w:rPr/>
        <w:t>Chapter</w:t>
      </w:r>
      <w:r>
        <w:rPr>
          <w:spacing w:val="-7"/>
        </w:rPr>
        <w:t> </w:t>
      </w:r>
      <w:r>
        <w:rPr/>
        <w:t>8</w:t>
      </w:r>
      <w:r>
        <w:rPr>
          <w:spacing w:val="-8"/>
        </w:rPr>
        <w:t> </w:t>
      </w:r>
      <w:r>
        <w:rPr/>
        <w:t>show</w:t>
      </w:r>
      <w:r>
        <w:rPr>
          <w:spacing w:val="-10"/>
        </w:rPr>
        <w:t> </w:t>
      </w:r>
      <w:r>
        <w:rPr/>
        <w:t>these</w:t>
      </w:r>
      <w:r>
        <w:rPr>
          <w:spacing w:val="-8"/>
        </w:rPr>
        <w:t> </w:t>
      </w:r>
      <w:r>
        <w:rPr/>
        <w:t>gains.</w:t>
      </w:r>
      <w:r>
        <w:rPr>
          <w:spacing w:val="-8"/>
        </w:rPr>
        <w:t> </w:t>
      </w:r>
      <w:r>
        <w:rPr/>
        <w:t>This</w:t>
      </w:r>
      <w:r>
        <w:rPr>
          <w:spacing w:val="-7"/>
        </w:rPr>
        <w:t> </w:t>
      </w:r>
      <w:r>
        <w:rPr/>
        <w:t>advantage implies enhanced safety for drivers and pedestrians by providing reliable and early alerts even with coverage dead spots created by obstructions such as buildings, vehicles, and</w:t>
      </w:r>
      <w:r>
        <w:rPr>
          <w:spacing w:val="-27"/>
        </w:rPr>
        <w:t> </w:t>
      </w:r>
      <w:r>
        <w:rPr/>
        <w:t>foliage.</w:t>
      </w:r>
    </w:p>
    <w:p>
      <w:pPr>
        <w:pStyle w:val="BodyText"/>
        <w:spacing w:before="178"/>
        <w:ind w:left="1133" w:right="1130"/>
        <w:jc w:val="both"/>
      </w:pPr>
      <w:r>
        <w:rPr/>
        <w:t>Even</w:t>
      </w:r>
      <w:r>
        <w:rPr>
          <w:spacing w:val="-8"/>
        </w:rPr>
        <w:t> </w:t>
      </w:r>
      <w:r>
        <w:rPr/>
        <w:t>at</w:t>
      </w:r>
      <w:r>
        <w:rPr>
          <w:spacing w:val="-8"/>
        </w:rPr>
        <w:t> </w:t>
      </w:r>
      <w:r>
        <w:rPr/>
        <w:t>reasonable</w:t>
      </w:r>
      <w:r>
        <w:rPr>
          <w:spacing w:val="-8"/>
        </w:rPr>
        <w:t> </w:t>
      </w:r>
      <w:r>
        <w:rPr/>
        <w:t>distances,</w:t>
      </w:r>
      <w:r>
        <w:rPr>
          <w:spacing w:val="-8"/>
        </w:rPr>
        <w:t> </w:t>
      </w:r>
      <w:r>
        <w:rPr/>
        <w:t>the</w:t>
      </w:r>
      <w:r>
        <w:rPr>
          <w:spacing w:val="-8"/>
        </w:rPr>
        <w:t> </w:t>
      </w:r>
      <w:r>
        <w:rPr/>
        <w:t>RSSI</w:t>
      </w:r>
      <w:r>
        <w:rPr>
          <w:spacing w:val="-8"/>
        </w:rPr>
        <w:t> </w:t>
      </w:r>
      <w:r>
        <w:rPr/>
        <w:t>can</w:t>
      </w:r>
      <w:r>
        <w:rPr>
          <w:spacing w:val="-8"/>
        </w:rPr>
        <w:t> </w:t>
      </w:r>
      <w:r>
        <w:rPr/>
        <w:t>be</w:t>
      </w:r>
      <w:r>
        <w:rPr>
          <w:spacing w:val="-8"/>
        </w:rPr>
        <w:t> </w:t>
      </w:r>
      <w:r>
        <w:rPr/>
        <w:t>low</w:t>
      </w:r>
      <w:r>
        <w:rPr>
          <w:spacing w:val="-7"/>
        </w:rPr>
        <w:t> </w:t>
      </w:r>
      <w:r>
        <w:rPr/>
        <w:t>due</w:t>
      </w:r>
      <w:r>
        <w:rPr>
          <w:spacing w:val="-8"/>
        </w:rPr>
        <w:t> </w:t>
      </w:r>
      <w:r>
        <w:rPr/>
        <w:t>to</w:t>
      </w:r>
      <w:r>
        <w:rPr>
          <w:spacing w:val="-8"/>
        </w:rPr>
        <w:t> </w:t>
      </w:r>
      <w:r>
        <w:rPr/>
        <w:t>obstructions</w:t>
      </w:r>
      <w:r>
        <w:rPr>
          <w:spacing w:val="-7"/>
        </w:rPr>
        <w:t> </w:t>
      </w:r>
      <w:r>
        <w:rPr/>
        <w:t>such</w:t>
      </w:r>
      <w:r>
        <w:rPr>
          <w:spacing w:val="-1"/>
        </w:rPr>
        <w:t> </w:t>
      </w:r>
      <w:r>
        <w:rPr/>
        <w:t>as</w:t>
      </w:r>
      <w:r>
        <w:rPr>
          <w:spacing w:val="-7"/>
        </w:rPr>
        <w:t> </w:t>
      </w:r>
      <w:r>
        <w:rPr/>
        <w:t>buildings</w:t>
      </w:r>
      <w:r>
        <w:rPr>
          <w:spacing w:val="-7"/>
        </w:rPr>
        <w:t> </w:t>
      </w:r>
      <w:r>
        <w:rPr/>
        <w:t>or</w:t>
      </w:r>
      <w:r>
        <w:rPr>
          <w:spacing w:val="-7"/>
        </w:rPr>
        <w:t> </w:t>
      </w:r>
      <w:r>
        <w:rPr/>
        <w:t>blocking</w:t>
      </w:r>
      <w:r>
        <w:rPr>
          <w:spacing w:val="-8"/>
        </w:rPr>
        <w:t> </w:t>
      </w:r>
      <w:r>
        <w:rPr/>
        <w:t>vehicles. In DNPW scenarios for example, a few vehicles in front of the receiver severely degrade the received signal strength.</w:t>
      </w:r>
      <w:r>
        <w:rPr>
          <w:spacing w:val="-6"/>
        </w:rPr>
        <w:t> </w:t>
      </w:r>
      <w:r>
        <w:rPr/>
        <w:t>Similarly,</w:t>
      </w:r>
      <w:r>
        <w:rPr>
          <w:spacing w:val="-6"/>
        </w:rPr>
        <w:t> </w:t>
      </w:r>
      <w:r>
        <w:rPr/>
        <w:t>a</w:t>
      </w:r>
      <w:r>
        <w:rPr>
          <w:spacing w:val="-6"/>
        </w:rPr>
        <w:t> </w:t>
      </w:r>
      <w:r>
        <w:rPr/>
        <w:t>line</w:t>
      </w:r>
      <w:r>
        <w:rPr>
          <w:spacing w:val="-6"/>
        </w:rPr>
        <w:t> </w:t>
      </w:r>
      <w:r>
        <w:rPr/>
        <w:t>of</w:t>
      </w:r>
      <w:r>
        <w:rPr>
          <w:spacing w:val="-6"/>
        </w:rPr>
        <w:t> </w:t>
      </w:r>
      <w:r>
        <w:rPr/>
        <w:t>vehicles</w:t>
      </w:r>
      <w:r>
        <w:rPr>
          <w:spacing w:val="-5"/>
        </w:rPr>
        <w:t> </w:t>
      </w:r>
      <w:r>
        <w:rPr/>
        <w:t>waiting</w:t>
      </w:r>
      <w:r>
        <w:rPr>
          <w:spacing w:val="-6"/>
        </w:rPr>
        <w:t> </w:t>
      </w:r>
      <w:r>
        <w:rPr/>
        <w:t>in</w:t>
      </w:r>
      <w:r>
        <w:rPr>
          <w:spacing w:val="-8"/>
        </w:rPr>
        <w:t> </w:t>
      </w:r>
      <w:r>
        <w:rPr/>
        <w:t>turn</w:t>
      </w:r>
      <w:r>
        <w:rPr>
          <w:spacing w:val="-5"/>
        </w:rPr>
        <w:t> </w:t>
      </w:r>
      <w:r>
        <w:rPr/>
        <w:t>lanes</w:t>
      </w:r>
      <w:r>
        <w:rPr>
          <w:spacing w:val="-7"/>
        </w:rPr>
        <w:t> </w:t>
      </w:r>
      <w:r>
        <w:rPr/>
        <w:t>from</w:t>
      </w:r>
      <w:r>
        <w:rPr>
          <w:spacing w:val="-4"/>
        </w:rPr>
        <w:t> </w:t>
      </w:r>
      <w:r>
        <w:rPr/>
        <w:t>the</w:t>
      </w:r>
      <w:r>
        <w:rPr>
          <w:spacing w:val="-8"/>
        </w:rPr>
        <w:t> </w:t>
      </w:r>
      <w:r>
        <w:rPr/>
        <w:t>opposite</w:t>
      </w:r>
      <w:r>
        <w:rPr>
          <w:spacing w:val="-6"/>
        </w:rPr>
        <w:t> </w:t>
      </w:r>
      <w:r>
        <w:rPr/>
        <w:t>direction</w:t>
      </w:r>
      <w:r>
        <w:rPr>
          <w:spacing w:val="-8"/>
        </w:rPr>
        <w:t> </w:t>
      </w:r>
      <w:r>
        <w:rPr/>
        <w:t>can</w:t>
      </w:r>
      <w:r>
        <w:rPr>
          <w:spacing w:val="-8"/>
        </w:rPr>
        <w:t> </w:t>
      </w:r>
      <w:r>
        <w:rPr/>
        <w:t>severely</w:t>
      </w:r>
      <w:r>
        <w:rPr>
          <w:spacing w:val="-11"/>
        </w:rPr>
        <w:t> </w:t>
      </w:r>
      <w:r>
        <w:rPr/>
        <w:t>degrade</w:t>
      </w:r>
      <w:r>
        <w:rPr>
          <w:spacing w:val="-8"/>
        </w:rPr>
        <w:t> </w:t>
      </w:r>
      <w:r>
        <w:rPr>
          <w:spacing w:val="4"/>
        </w:rPr>
        <w:t>the </w:t>
      </w:r>
      <w:r>
        <w:rPr/>
        <w:t>RSSI</w:t>
      </w:r>
      <w:r>
        <w:rPr>
          <w:spacing w:val="-5"/>
        </w:rPr>
        <w:t> </w:t>
      </w:r>
      <w:r>
        <w:rPr/>
        <w:t>in</w:t>
      </w:r>
      <w:r>
        <w:rPr>
          <w:spacing w:val="-6"/>
        </w:rPr>
        <w:t> </w:t>
      </w:r>
      <w:r>
        <w:rPr/>
        <w:t>the</w:t>
      </w:r>
      <w:r>
        <w:rPr>
          <w:spacing w:val="-6"/>
        </w:rPr>
        <w:t> </w:t>
      </w:r>
      <w:r>
        <w:rPr/>
        <w:t>left-turn-assist</w:t>
      </w:r>
      <w:r>
        <w:rPr>
          <w:spacing w:val="-5"/>
        </w:rPr>
        <w:t> </w:t>
      </w:r>
      <w:r>
        <w:rPr/>
        <w:t>scenario.</w:t>
      </w:r>
      <w:r>
        <w:rPr>
          <w:spacing w:val="-6"/>
        </w:rPr>
        <w:t> </w:t>
      </w:r>
      <w:r>
        <w:rPr/>
        <w:t>Obstructions</w:t>
      </w:r>
      <w:r>
        <w:rPr>
          <w:spacing w:val="-7"/>
        </w:rPr>
        <w:t> </w:t>
      </w:r>
      <w:r>
        <w:rPr/>
        <w:t>create</w:t>
      </w:r>
      <w:r>
        <w:rPr>
          <w:spacing w:val="-8"/>
        </w:rPr>
        <w:t> </w:t>
      </w:r>
      <w:r>
        <w:rPr/>
        <w:t>areas</w:t>
      </w:r>
      <w:r>
        <w:rPr>
          <w:spacing w:val="-7"/>
        </w:rPr>
        <w:t> </w:t>
      </w:r>
      <w:r>
        <w:rPr/>
        <w:t>of</w:t>
      </w:r>
      <w:r>
        <w:rPr>
          <w:spacing w:val="-4"/>
        </w:rPr>
        <w:t> </w:t>
      </w:r>
      <w:r>
        <w:rPr/>
        <w:t>very</w:t>
      </w:r>
      <w:r>
        <w:rPr>
          <w:spacing w:val="-9"/>
        </w:rPr>
        <w:t> </w:t>
      </w:r>
      <w:r>
        <w:rPr/>
        <w:t>low</w:t>
      </w:r>
      <w:r>
        <w:rPr>
          <w:spacing w:val="-7"/>
        </w:rPr>
        <w:t> </w:t>
      </w:r>
      <w:r>
        <w:rPr/>
        <w:t>RSSI</w:t>
      </w:r>
      <w:r>
        <w:rPr>
          <w:spacing w:val="-6"/>
        </w:rPr>
        <w:t> </w:t>
      </w:r>
      <w:r>
        <w:rPr/>
        <w:t>in</w:t>
      </w:r>
      <w:r>
        <w:rPr>
          <w:spacing w:val="-6"/>
        </w:rPr>
        <w:t> </w:t>
      </w:r>
      <w:r>
        <w:rPr/>
        <w:t>the</w:t>
      </w:r>
      <w:r>
        <w:rPr>
          <w:spacing w:val="-6"/>
        </w:rPr>
        <w:t> </w:t>
      </w:r>
      <w:r>
        <w:rPr/>
        <w:t>environment,</w:t>
      </w:r>
      <w:r>
        <w:rPr>
          <w:spacing w:val="-6"/>
        </w:rPr>
        <w:t> </w:t>
      </w:r>
      <w:r>
        <w:rPr/>
        <w:t>i.e.,</w:t>
      </w:r>
      <w:r>
        <w:rPr>
          <w:spacing w:val="-6"/>
        </w:rPr>
        <w:t> </w:t>
      </w:r>
      <w:r>
        <w:rPr/>
        <w:t>dead spots.</w:t>
      </w:r>
      <w:r>
        <w:rPr>
          <w:spacing w:val="-13"/>
        </w:rPr>
        <w:t> </w:t>
      </w:r>
      <w:r>
        <w:rPr>
          <w:spacing w:val="2"/>
        </w:rPr>
        <w:t>With</w:t>
      </w:r>
      <w:r>
        <w:rPr>
          <w:spacing w:val="-8"/>
        </w:rPr>
        <w:t> </w:t>
      </w:r>
      <w:r>
        <w:rPr/>
        <w:t>superior</w:t>
      </w:r>
      <w:r>
        <w:rPr>
          <w:spacing w:val="-7"/>
        </w:rPr>
        <w:t> </w:t>
      </w:r>
      <w:r>
        <w:rPr/>
        <w:t>link</w:t>
      </w:r>
      <w:r>
        <w:rPr>
          <w:spacing w:val="-5"/>
        </w:rPr>
        <w:t> </w:t>
      </w:r>
      <w:r>
        <w:rPr/>
        <w:t>performance,</w:t>
      </w:r>
      <w:r>
        <w:rPr>
          <w:spacing w:val="-8"/>
        </w:rPr>
        <w:t> </w:t>
      </w:r>
      <w:r>
        <w:rPr/>
        <w:t>C-V2X</w:t>
      </w:r>
      <w:r>
        <w:rPr>
          <w:spacing w:val="-7"/>
        </w:rPr>
        <w:t> </w:t>
      </w:r>
      <w:r>
        <w:rPr/>
        <w:t>can</w:t>
      </w:r>
      <w:r>
        <w:rPr>
          <w:spacing w:val="-8"/>
        </w:rPr>
        <w:t> </w:t>
      </w:r>
      <w:r>
        <w:rPr/>
        <w:t>eliminate</w:t>
      </w:r>
      <w:r>
        <w:rPr>
          <w:spacing w:val="-6"/>
        </w:rPr>
        <w:t> </w:t>
      </w:r>
      <w:r>
        <w:rPr/>
        <w:t>or</w:t>
      </w:r>
      <w:r>
        <w:rPr>
          <w:spacing w:val="-7"/>
        </w:rPr>
        <w:t> </w:t>
      </w:r>
      <w:r>
        <w:rPr/>
        <w:t>alleviate</w:t>
      </w:r>
      <w:r>
        <w:rPr>
          <w:spacing w:val="-8"/>
        </w:rPr>
        <w:t> </w:t>
      </w:r>
      <w:r>
        <w:rPr/>
        <w:t>the</w:t>
      </w:r>
      <w:r>
        <w:rPr>
          <w:spacing w:val="-6"/>
        </w:rPr>
        <w:t> </w:t>
      </w:r>
      <w:r>
        <w:rPr/>
        <w:t>dead</w:t>
      </w:r>
      <w:r>
        <w:rPr>
          <w:spacing w:val="-8"/>
        </w:rPr>
        <w:t> </w:t>
      </w:r>
      <w:r>
        <w:rPr/>
        <w:t>spots</w:t>
      </w:r>
      <w:r>
        <w:rPr>
          <w:spacing w:val="-7"/>
        </w:rPr>
        <w:t> </w:t>
      </w:r>
      <w:r>
        <w:rPr/>
        <w:t>experienced</w:t>
      </w:r>
      <w:r>
        <w:rPr>
          <w:spacing w:val="-8"/>
        </w:rPr>
        <w:t> </w:t>
      </w:r>
      <w:r>
        <w:rPr/>
        <w:t>by</w:t>
      </w:r>
      <w:r>
        <w:rPr>
          <w:spacing w:val="-11"/>
        </w:rPr>
        <w:t> </w:t>
      </w:r>
      <w:r>
        <w:rPr/>
        <w:t>DSRC.</w:t>
      </w:r>
    </w:p>
    <w:p>
      <w:pPr>
        <w:pStyle w:val="BodyText"/>
        <w:rPr>
          <w:sz w:val="26"/>
        </w:rPr>
      </w:pPr>
    </w:p>
    <w:p>
      <w:pPr>
        <w:pStyle w:val="Heading3"/>
        <w:numPr>
          <w:ilvl w:val="2"/>
          <w:numId w:val="26"/>
        </w:numPr>
        <w:tabs>
          <w:tab w:pos="2265" w:val="left" w:leader="none"/>
          <w:tab w:pos="2267" w:val="left" w:leader="none"/>
        </w:tabs>
        <w:spacing w:line="240" w:lineRule="auto" w:before="0" w:after="0"/>
        <w:ind w:left="2266" w:right="1127" w:hanging="1133"/>
        <w:jc w:val="left"/>
      </w:pPr>
      <w:bookmarkStart w:name="_bookmark136" w:id="203"/>
      <w:bookmarkEnd w:id="203"/>
      <w:r>
        <w:rPr/>
      </w:r>
      <w:bookmarkStart w:name="_bookmark136" w:id="204"/>
      <w:bookmarkEnd w:id="204"/>
      <w:r>
        <w:rPr/>
        <w:t>C</w:t>
      </w:r>
      <w:r>
        <w:rPr/>
        <w:t>abled Transmission and Reception Test with added Channel Impairment</w:t>
      </w:r>
    </w:p>
    <w:p>
      <w:pPr>
        <w:pStyle w:val="BodyText"/>
        <w:spacing w:before="10"/>
        <w:rPr>
          <w:sz w:val="25"/>
        </w:rPr>
      </w:pPr>
    </w:p>
    <w:p>
      <w:pPr>
        <w:pStyle w:val="Heading5"/>
        <w:numPr>
          <w:ilvl w:val="3"/>
          <w:numId w:val="26"/>
        </w:numPr>
        <w:tabs>
          <w:tab w:pos="2552" w:val="left" w:leader="none"/>
        </w:tabs>
        <w:spacing w:line="240" w:lineRule="auto" w:before="1" w:after="0"/>
        <w:ind w:left="2551" w:right="0" w:hanging="1418"/>
        <w:jc w:val="both"/>
        <w:rPr>
          <w:rFonts w:ascii="Arial"/>
        </w:rPr>
      </w:pPr>
      <w:r>
        <w:rPr>
          <w:rFonts w:ascii="Arial"/>
        </w:rPr>
        <w:t>Background</w:t>
      </w:r>
    </w:p>
    <w:p>
      <w:pPr>
        <w:pStyle w:val="BodyText"/>
        <w:spacing w:before="181"/>
        <w:ind w:left="1133" w:right="1134"/>
        <w:jc w:val="both"/>
      </w:pPr>
      <w:r>
        <w:rPr/>
        <w:t>This</w:t>
      </w:r>
      <w:r>
        <w:rPr>
          <w:spacing w:val="-14"/>
        </w:rPr>
        <w:t> </w:t>
      </w:r>
      <w:r>
        <w:rPr/>
        <w:t>test</w:t>
      </w:r>
      <w:r>
        <w:rPr>
          <w:spacing w:val="-15"/>
        </w:rPr>
        <w:t> </w:t>
      </w:r>
      <w:r>
        <w:rPr/>
        <w:t>verifies</w:t>
      </w:r>
      <w:r>
        <w:rPr>
          <w:spacing w:val="-14"/>
        </w:rPr>
        <w:t> </w:t>
      </w:r>
      <w:r>
        <w:rPr/>
        <w:t>that</w:t>
      </w:r>
      <w:r>
        <w:rPr>
          <w:spacing w:val="-15"/>
        </w:rPr>
        <w:t> </w:t>
      </w:r>
      <w:r>
        <w:rPr/>
        <w:t>C-V2X</w:t>
      </w:r>
      <w:r>
        <w:rPr>
          <w:spacing w:val="-11"/>
        </w:rPr>
        <w:t> </w:t>
      </w:r>
      <w:r>
        <w:rPr/>
        <w:t>devices</w:t>
      </w:r>
      <w:r>
        <w:rPr>
          <w:spacing w:val="-14"/>
        </w:rPr>
        <w:t> </w:t>
      </w:r>
      <w:r>
        <w:rPr/>
        <w:t>can</w:t>
      </w:r>
      <w:r>
        <w:rPr>
          <w:spacing w:val="-15"/>
        </w:rPr>
        <w:t> </w:t>
      </w:r>
      <w:r>
        <w:rPr/>
        <w:t>transmit</w:t>
      </w:r>
      <w:r>
        <w:rPr>
          <w:spacing w:val="-15"/>
        </w:rPr>
        <w:t> </w:t>
      </w:r>
      <w:r>
        <w:rPr/>
        <w:t>and</w:t>
      </w:r>
      <w:r>
        <w:rPr>
          <w:spacing w:val="-15"/>
        </w:rPr>
        <w:t> </w:t>
      </w:r>
      <w:r>
        <w:rPr/>
        <w:t>receive</w:t>
      </w:r>
      <w:r>
        <w:rPr>
          <w:spacing w:val="-15"/>
        </w:rPr>
        <w:t> </w:t>
      </w:r>
      <w:r>
        <w:rPr/>
        <w:t>messages</w:t>
      </w:r>
      <w:r>
        <w:rPr>
          <w:spacing w:val="-14"/>
        </w:rPr>
        <w:t> </w:t>
      </w:r>
      <w:r>
        <w:rPr/>
        <w:t>over</w:t>
      </w:r>
      <w:r>
        <w:rPr>
          <w:spacing w:val="-12"/>
        </w:rPr>
        <w:t> </w:t>
      </w:r>
      <w:r>
        <w:rPr/>
        <w:t>the</w:t>
      </w:r>
      <w:r>
        <w:rPr>
          <w:spacing w:val="-13"/>
        </w:rPr>
        <w:t> </w:t>
      </w:r>
      <w:r>
        <w:rPr/>
        <w:t>PC5</w:t>
      </w:r>
      <w:r>
        <w:rPr>
          <w:spacing w:val="-15"/>
        </w:rPr>
        <w:t> </w:t>
      </w:r>
      <w:r>
        <w:rPr/>
        <w:t>Interface</w:t>
      </w:r>
      <w:r>
        <w:rPr>
          <w:spacing w:val="-13"/>
        </w:rPr>
        <w:t> </w:t>
      </w:r>
      <w:r>
        <w:rPr/>
        <w:t>with</w:t>
      </w:r>
      <w:r>
        <w:rPr>
          <w:spacing w:val="-15"/>
        </w:rPr>
        <w:t> </w:t>
      </w:r>
      <w:r>
        <w:rPr/>
        <w:t>an</w:t>
      </w:r>
      <w:r>
        <w:rPr>
          <w:spacing w:val="-13"/>
        </w:rPr>
        <w:t> </w:t>
      </w:r>
      <w:r>
        <w:rPr/>
        <w:t>AWGN channel impairment model applied between the transmit and receive</w:t>
      </w:r>
      <w:r>
        <w:rPr>
          <w:spacing w:val="-26"/>
        </w:rPr>
        <w:t> </w:t>
      </w:r>
      <w:r>
        <w:rPr/>
        <w:t>devices.</w:t>
      </w:r>
    </w:p>
    <w:p>
      <w:pPr>
        <w:pStyle w:val="BodyText"/>
        <w:spacing w:before="8"/>
        <w:rPr>
          <w:sz w:val="25"/>
        </w:rPr>
      </w:pPr>
    </w:p>
    <w:p>
      <w:pPr>
        <w:pStyle w:val="Heading5"/>
        <w:numPr>
          <w:ilvl w:val="3"/>
          <w:numId w:val="26"/>
        </w:numPr>
        <w:tabs>
          <w:tab w:pos="2552" w:val="left" w:leader="none"/>
        </w:tabs>
        <w:spacing w:line="240" w:lineRule="auto" w:before="0" w:after="0"/>
        <w:ind w:left="2551" w:right="0" w:hanging="1418"/>
        <w:jc w:val="both"/>
        <w:rPr>
          <w:rFonts w:ascii="Arial"/>
        </w:rPr>
      </w:pPr>
      <w:r>
        <w:rPr>
          <w:rFonts w:ascii="Arial"/>
        </w:rPr>
        <w:t>Assumptions</w:t>
      </w:r>
    </w:p>
    <w:p>
      <w:pPr>
        <w:pStyle w:val="BodyText"/>
        <w:spacing w:before="180"/>
        <w:ind w:left="1133" w:right="1139"/>
        <w:jc w:val="both"/>
      </w:pPr>
      <w:r>
        <w:rPr/>
        <w:t>The operating system time of the transmitter and receiver boxes is synchronized to a common clock (e.g., GNSS) with an error of no more than 1 ms.</w:t>
      </w:r>
    </w:p>
    <w:p>
      <w:pPr>
        <w:pStyle w:val="BodyText"/>
        <w:spacing w:before="10"/>
        <w:rPr>
          <w:sz w:val="25"/>
        </w:rPr>
      </w:pPr>
    </w:p>
    <w:p>
      <w:pPr>
        <w:pStyle w:val="Heading5"/>
        <w:numPr>
          <w:ilvl w:val="3"/>
          <w:numId w:val="26"/>
        </w:numPr>
        <w:tabs>
          <w:tab w:pos="2552" w:val="left" w:leader="none"/>
        </w:tabs>
        <w:spacing w:line="240" w:lineRule="auto" w:before="0" w:after="0"/>
        <w:ind w:left="2551" w:right="0" w:hanging="1418"/>
        <w:jc w:val="both"/>
        <w:rPr>
          <w:rFonts w:ascii="Arial"/>
        </w:rPr>
      </w:pPr>
      <w:r>
        <w:rPr>
          <w:rFonts w:ascii="Arial"/>
        </w:rPr>
        <w:t>Setup</w:t>
      </w:r>
    </w:p>
    <w:p>
      <w:pPr>
        <w:pStyle w:val="BodyText"/>
        <w:spacing w:before="181"/>
        <w:ind w:left="1133" w:right="1126"/>
        <w:jc w:val="both"/>
      </w:pPr>
      <w:r>
        <w:rPr/>
        <w:t>This</w:t>
      </w:r>
      <w:r>
        <w:rPr>
          <w:spacing w:val="-11"/>
        </w:rPr>
        <w:t> </w:t>
      </w:r>
      <w:r>
        <w:rPr/>
        <w:t>test</w:t>
      </w:r>
      <w:r>
        <w:rPr>
          <w:spacing w:val="-13"/>
        </w:rPr>
        <w:t> </w:t>
      </w:r>
      <w:r>
        <w:rPr/>
        <w:t>uses</w:t>
      </w:r>
      <w:r>
        <w:rPr>
          <w:spacing w:val="-12"/>
        </w:rPr>
        <w:t> </w:t>
      </w:r>
      <w:r>
        <w:rPr/>
        <w:t>a</w:t>
      </w:r>
      <w:r>
        <w:rPr>
          <w:spacing w:val="-13"/>
        </w:rPr>
        <w:t> </w:t>
      </w:r>
      <w:r>
        <w:rPr/>
        <w:t>lab-cabled</w:t>
      </w:r>
      <w:r>
        <w:rPr>
          <w:spacing w:val="-11"/>
        </w:rPr>
        <w:t> </w:t>
      </w:r>
      <w:r>
        <w:rPr/>
        <w:t>setup</w:t>
      </w:r>
      <w:r>
        <w:rPr>
          <w:spacing w:val="-13"/>
        </w:rPr>
        <w:t> </w:t>
      </w:r>
      <w:r>
        <w:rPr/>
        <w:t>as</w:t>
      </w:r>
      <w:r>
        <w:rPr>
          <w:spacing w:val="-12"/>
        </w:rPr>
        <w:t> </w:t>
      </w:r>
      <w:r>
        <w:rPr/>
        <w:t>Figure</w:t>
      </w:r>
      <w:r>
        <w:rPr>
          <w:spacing w:val="-12"/>
        </w:rPr>
        <w:t> </w:t>
      </w:r>
      <w:r>
        <w:rPr/>
        <w:t>20</w:t>
      </w:r>
      <w:r>
        <w:rPr>
          <w:spacing w:val="-13"/>
        </w:rPr>
        <w:t> </w:t>
      </w:r>
      <w:r>
        <w:rPr/>
        <w:t>shows.</w:t>
      </w:r>
      <w:r>
        <w:rPr>
          <w:spacing w:val="-10"/>
        </w:rPr>
        <w:t> </w:t>
      </w:r>
      <w:r>
        <w:rPr/>
        <w:t>A</w:t>
      </w:r>
      <w:r>
        <w:rPr>
          <w:spacing w:val="-13"/>
        </w:rPr>
        <w:t> </w:t>
      </w:r>
      <w:r>
        <w:rPr/>
        <w:t>Fader</w:t>
      </w:r>
      <w:r>
        <w:rPr>
          <w:spacing w:val="-9"/>
        </w:rPr>
        <w:t> </w:t>
      </w:r>
      <w:r>
        <w:rPr/>
        <w:t>Box</w:t>
      </w:r>
      <w:r>
        <w:rPr>
          <w:spacing w:val="-12"/>
        </w:rPr>
        <w:t> </w:t>
      </w:r>
      <w:r>
        <w:rPr/>
        <w:t>is</w:t>
      </w:r>
      <w:r>
        <w:rPr>
          <w:spacing w:val="-11"/>
        </w:rPr>
        <w:t> </w:t>
      </w:r>
      <w:r>
        <w:rPr/>
        <w:t>used</w:t>
      </w:r>
      <w:r>
        <w:rPr>
          <w:spacing w:val="-13"/>
        </w:rPr>
        <w:t> </w:t>
      </w:r>
      <w:r>
        <w:rPr/>
        <w:t>to</w:t>
      </w:r>
      <w:r>
        <w:rPr>
          <w:spacing w:val="-11"/>
        </w:rPr>
        <w:t> </w:t>
      </w:r>
      <w:r>
        <w:rPr/>
        <w:t>generate</w:t>
      </w:r>
      <w:r>
        <w:rPr>
          <w:spacing w:val="-8"/>
        </w:rPr>
        <w:t> </w:t>
      </w:r>
      <w:r>
        <w:rPr/>
        <w:t>AWGN</w:t>
      </w:r>
      <w:r>
        <w:rPr>
          <w:spacing w:val="-12"/>
        </w:rPr>
        <w:t> </w:t>
      </w:r>
      <w:r>
        <w:rPr/>
        <w:t>in</w:t>
      </w:r>
      <w:r>
        <w:rPr>
          <w:spacing w:val="-13"/>
        </w:rPr>
        <w:t> </w:t>
      </w:r>
      <w:r>
        <w:rPr/>
        <w:t>the</w:t>
      </w:r>
      <w:r>
        <w:rPr>
          <w:spacing w:val="-13"/>
        </w:rPr>
        <w:t> </w:t>
      </w:r>
      <w:r>
        <w:rPr/>
        <w:t>frequency range</w:t>
      </w:r>
      <w:r>
        <w:rPr>
          <w:spacing w:val="-12"/>
        </w:rPr>
        <w:t> </w:t>
      </w:r>
      <w:r>
        <w:rPr/>
        <w:t>of</w:t>
      </w:r>
      <w:r>
        <w:rPr>
          <w:spacing w:val="-12"/>
        </w:rPr>
        <w:t> </w:t>
      </w:r>
      <w:r>
        <w:rPr/>
        <w:t>the</w:t>
      </w:r>
      <w:r>
        <w:rPr>
          <w:spacing w:val="-12"/>
        </w:rPr>
        <w:t> </w:t>
      </w:r>
      <w:r>
        <w:rPr/>
        <w:t>channel,</w:t>
      </w:r>
      <w:r>
        <w:rPr>
          <w:spacing w:val="-14"/>
        </w:rPr>
        <w:t> </w:t>
      </w:r>
      <w:r>
        <w:rPr/>
        <w:t>and</w:t>
      </w:r>
      <w:r>
        <w:rPr>
          <w:spacing w:val="-12"/>
        </w:rPr>
        <w:t> </w:t>
      </w:r>
      <w:r>
        <w:rPr/>
        <w:t>Device</w:t>
      </w:r>
      <w:r>
        <w:rPr>
          <w:spacing w:val="-14"/>
        </w:rPr>
        <w:t> </w:t>
      </w:r>
      <w:r>
        <w:rPr/>
        <w:t>2</w:t>
      </w:r>
      <w:r>
        <w:rPr>
          <w:spacing w:val="-12"/>
        </w:rPr>
        <w:t> </w:t>
      </w:r>
      <w:r>
        <w:rPr/>
        <w:t>(receiver)</w:t>
      </w:r>
      <w:r>
        <w:rPr>
          <w:spacing w:val="-13"/>
        </w:rPr>
        <w:t> </w:t>
      </w:r>
      <w:r>
        <w:rPr/>
        <w:t>is</w:t>
      </w:r>
      <w:r>
        <w:rPr>
          <w:spacing w:val="-13"/>
        </w:rPr>
        <w:t> </w:t>
      </w:r>
      <w:r>
        <w:rPr/>
        <w:t>configured</w:t>
      </w:r>
      <w:r>
        <w:rPr>
          <w:spacing w:val="-15"/>
        </w:rPr>
        <w:t> </w:t>
      </w:r>
      <w:r>
        <w:rPr/>
        <w:t>to</w:t>
      </w:r>
      <w:r>
        <w:rPr>
          <w:spacing w:val="-14"/>
        </w:rPr>
        <w:t> </w:t>
      </w:r>
      <w:r>
        <w:rPr/>
        <w:t>receive</w:t>
      </w:r>
      <w:r>
        <w:rPr>
          <w:spacing w:val="-14"/>
        </w:rPr>
        <w:t> </w:t>
      </w:r>
      <w:r>
        <w:rPr/>
        <w:t>data</w:t>
      </w:r>
      <w:r>
        <w:rPr>
          <w:spacing w:val="-15"/>
        </w:rPr>
        <w:t> </w:t>
      </w:r>
      <w:r>
        <w:rPr/>
        <w:t>from</w:t>
      </w:r>
      <w:r>
        <w:rPr>
          <w:spacing w:val="-11"/>
        </w:rPr>
        <w:t> </w:t>
      </w:r>
      <w:r>
        <w:rPr/>
        <w:t>Device</w:t>
      </w:r>
      <w:r>
        <w:rPr>
          <w:spacing w:val="-14"/>
        </w:rPr>
        <w:t> </w:t>
      </w:r>
      <w:r>
        <w:rPr/>
        <w:t>1</w:t>
      </w:r>
      <w:r>
        <w:rPr>
          <w:spacing w:val="-14"/>
        </w:rPr>
        <w:t> </w:t>
      </w:r>
      <w:r>
        <w:rPr/>
        <w:t>on</w:t>
      </w:r>
      <w:r>
        <w:rPr>
          <w:spacing w:val="-14"/>
        </w:rPr>
        <w:t> </w:t>
      </w:r>
      <w:r>
        <w:rPr/>
        <w:t>this</w:t>
      </w:r>
      <w:r>
        <w:rPr>
          <w:spacing w:val="-13"/>
        </w:rPr>
        <w:t> </w:t>
      </w:r>
      <w:r>
        <w:rPr/>
        <w:t>same</w:t>
      </w:r>
      <w:r>
        <w:rPr>
          <w:spacing w:val="-14"/>
        </w:rPr>
        <w:t> </w:t>
      </w:r>
      <w:r>
        <w:rPr/>
        <w:t>impaired channel.</w:t>
      </w:r>
    </w:p>
    <w:p>
      <w:pPr>
        <w:spacing w:after="0"/>
        <w:jc w:val="both"/>
        <w:sectPr>
          <w:headerReference w:type="default" r:id="rId228"/>
          <w:pgSz w:w="11910" w:h="16850"/>
          <w:pgMar w:header="852" w:footer="979" w:top="1040" w:bottom="1160" w:left="0" w:right="0"/>
        </w:sectPr>
      </w:pPr>
    </w:p>
    <w:p>
      <w:pPr>
        <w:pStyle w:val="BodyText"/>
      </w:pPr>
    </w:p>
    <w:p>
      <w:pPr>
        <w:pStyle w:val="BodyText"/>
        <w:spacing w:before="1"/>
        <w:rPr>
          <w:sz w:val="16"/>
        </w:rPr>
      </w:pPr>
    </w:p>
    <w:p>
      <w:pPr>
        <w:pStyle w:val="BodyText"/>
        <w:ind w:left="1125"/>
      </w:pPr>
      <w:r>
        <w:rPr/>
        <w:pict>
          <v:group style="width:466.7pt;height:256.1pt;mso-position-horizontal-relative:char;mso-position-vertical-relative:line" coordorigin="0,0" coordsize="9334,5122">
            <v:rect style="position:absolute;left:8;top:8;width:9319;height:5107" filled="true" fillcolor="#ffcc99" stroked="false">
              <v:fill type="solid"/>
            </v:rect>
            <v:rect style="position:absolute;left:8;top:8;width:9319;height:5107" filled="false" stroked="true" strokeweight=".75pt" strokecolor="#000000">
              <v:stroke dashstyle="solid"/>
            </v:rect>
            <v:rect style="position:absolute;left:1209;top:2805;width:2044;height:1375" filled="true" fillcolor="#e4f4df" stroked="false">
              <v:fill type="solid"/>
            </v:rect>
            <v:shape style="position:absolute;left:1217;top:2909;width:2030;height:1166" type="#_x0000_t75" stroked="false">
              <v:imagedata r:id="rId230" o:title=""/>
            </v:shape>
            <v:rect style="position:absolute;left:6953;top:2895;width:1997;height:1375" filled="true" fillcolor="#e4f4df" stroked="false">
              <v:fill type="solid"/>
            </v:rect>
            <v:shape style="position:absolute;left:6960;top:2998;width:1982;height:1169" type="#_x0000_t75" stroked="false">
              <v:imagedata r:id="rId231" o:title=""/>
            </v:shape>
            <v:rect style="position:absolute;left:4055;top:4271;width:2075;height:687" filled="true" fillcolor="#e4f4df" stroked="false">
              <v:fill type="solid"/>
            </v:rect>
            <v:shape style="position:absolute;left:4063;top:4375;width:2059;height:480" type="#_x0000_t75" stroked="false">
              <v:imagedata r:id="rId232" o:title=""/>
            </v:shape>
            <v:shape style="position:absolute;left:2171;top:4180;width:1884;height:440" coordorigin="2171,4180" coordsize="1884,440" path="m2236,4280l2226,4280,2226,4620,4055,4620,4055,4615,2236,4615,2231,4610,2236,4610,2236,4280xm2236,4610l2231,4610,2236,4615,2236,4610xm4055,4610l2236,4610,2236,4615,4055,4615,4055,4610xm2231,4180l2171,4300,2226,4300,2226,4280,2281,4280,2231,4180xm2281,4280l2236,4280,2236,4300,2291,4300,2281,4280xe" filled="true" fillcolor="#000000" stroked="false">
              <v:path arrowok="t"/>
              <v:fill type="solid"/>
            </v:shape>
            <v:shape style="position:absolute;left:6130;top:4270;width:1882;height:351" coordorigin="6130,4270" coordsize="1882,351" path="m7946,4610l6130,4610,6130,4620,7956,4620,7956,4615,7946,4615,7946,4610xm7956,4370l7946,4370,7946,4615,7951,4610,7956,4610,7956,4370xm7956,4610l7951,4610,7946,4615,7956,4615,7956,4610xm7951,4270l7891,4390,7946,4390,7946,4370,8001,4370,7951,4270xm8001,4370l7956,4370,7956,4390,8011,4390,8001,4370xe" filled="true" fillcolor="#000000" stroked="false">
              <v:path arrowok="t"/>
              <v:fill type="solid"/>
            </v:shape>
            <v:rect style="position:absolute;left:5838;top:768;width:1273;height:1018" filled="true" fillcolor="#e4f4df" stroked="false">
              <v:fill type="solid"/>
            </v:rect>
            <v:shape style="position:absolute;left:5847;top:872;width:1255;height:811" type="#_x0000_t75" stroked="false">
              <v:imagedata r:id="rId233" o:title=""/>
            </v:shape>
            <v:shape style="position:absolute;left:7110;top:1272;width:902;height:1623" coordorigin="7110,1272" coordsize="902,1623" path="m7946,2774l7891,2774,7951,2894,8001,2794,7946,2794,7946,2774xm7946,1277l7946,2794,7956,2794,7956,1282,7951,1282,7946,1277xm8011,2774l7956,2774,7956,2794,8001,2794,8011,2774xm7956,1272l7110,1272,7110,1282,7946,1282,7946,1277,7956,1277,7956,1272xm7956,1277l7946,1277,7951,1282,7956,1282,7956,1277xe" filled="true" fillcolor="#000000" stroked="false">
              <v:path arrowok="t"/>
              <v:fill type="solid"/>
            </v:shape>
            <v:rect style="position:absolute;left:2820;top:1488;width:1938;height:705" filled="true" fillcolor="#e4f4df" stroked="false">
              <v:fill type="solid"/>
            </v:rect>
            <v:shape style="position:absolute;left:2827;top:1591;width:1922;height:499" type="#_x0000_t75" stroked="false">
              <v:imagedata r:id="rId234" o:title=""/>
            </v:shape>
            <v:shape style="position:absolute;left:2209;top:1619;width:618;height:1148" coordorigin="2209,1619" coordsize="618,1148" path="m2707,1671l2212,1671,2209,1674,2209,2763,2212,2766,2222,2766,2222,2756,2217,2751,2224,2751,2224,1686,2217,1686,2224,1679,2707,1679,2707,1671xm2224,2751l2222,2751,2222,2756,2224,2759,2224,2751xm2222,2751l2217,2751,2222,2756,2222,2751xm2707,1619l2707,1739,2812,1686,2727,1686,2727,1671,2812,1671,2707,1619xm2224,1679l2217,1686,2224,1686,2224,1679xm2707,1679l2224,1679,2224,1686,2707,1686,2707,1679xm2812,1671l2727,1671,2727,1686,2812,1686,2827,1679,2812,1671xe" filled="true" fillcolor="#000000" stroked="false">
              <v:path arrowok="t"/>
              <v:fill type="solid"/>
            </v:shape>
            <v:shape style="position:absolute;left:4721;top:1252;width:1065;height:632" coordorigin="4721,1252" coordsize="1065,632" path="m5246,1868l4721,1868,4721,1883,5258,1883,5261,1880,5261,1876,5246,1876,5246,1868xm5666,1304l5250,1304,5246,1307,5246,1876,5254,1868,5261,1868,5261,1319,5254,1319,5261,1312,5666,1312,5666,1304xm5261,1868l5254,1868,5246,1876,5261,1876,5261,1868xm5666,1252l5666,1372,5772,1319,5686,1319,5686,1304,5771,1304,5666,1252xm5261,1312l5254,1319,5261,1319,5261,1312xm5666,1312l5261,1312,5261,1319,5666,1319,5666,1312xm5771,1304l5686,1304,5686,1319,5772,1319,5786,1312,5771,1304xe" filled="true" fillcolor="#000000" stroked="false">
              <v:path arrowok="t"/>
              <v:fill type="solid"/>
            </v:shape>
            <v:shape style="position:absolute;left:5838;top:768;width:1273;height:1019" type="#_x0000_t202" filled="false" stroked="true" strokeweight=".75pt" strokecolor="#000000">
              <v:textbox inset="0,0,0,0">
                <w:txbxContent>
                  <w:p>
                    <w:pPr>
                      <w:spacing w:before="153"/>
                      <w:ind w:left="290" w:right="0" w:firstLine="0"/>
                      <w:jc w:val="left"/>
                      <w:rPr>
                        <w:sz w:val="20"/>
                      </w:rPr>
                    </w:pPr>
                    <w:r>
                      <w:rPr>
                        <w:sz w:val="20"/>
                      </w:rPr>
                      <w:t>AWGN/</w:t>
                    </w:r>
                  </w:p>
                  <w:p>
                    <w:pPr>
                      <w:spacing w:before="0"/>
                      <w:ind w:left="458" w:right="361" w:hanging="89"/>
                      <w:jc w:val="left"/>
                      <w:rPr>
                        <w:sz w:val="20"/>
                      </w:rPr>
                    </w:pPr>
                    <w:r>
                      <w:rPr>
                        <w:sz w:val="20"/>
                      </w:rPr>
                      <w:t>Fader Box</w:t>
                    </w:r>
                  </w:p>
                </w:txbxContent>
              </v:textbox>
              <v:stroke dashstyle="solid"/>
              <w10:wrap type="none"/>
            </v:shape>
            <v:shape style="position:absolute;left:2820;top:1488;width:1938;height:705" type="#_x0000_t202" filled="false" stroked="true" strokeweight=".75pt" strokecolor="#000000">
              <v:textbox inset="0,0,0,0">
                <w:txbxContent>
                  <w:p>
                    <w:pPr>
                      <w:spacing w:before="134"/>
                      <w:ind w:left="500" w:right="0" w:firstLine="0"/>
                      <w:jc w:val="left"/>
                      <w:rPr>
                        <w:sz w:val="20"/>
                      </w:rPr>
                    </w:pPr>
                    <w:r>
                      <w:rPr>
                        <w:sz w:val="20"/>
                      </w:rPr>
                      <w:t>Attenuator</w:t>
                    </w:r>
                  </w:p>
                </w:txbxContent>
              </v:textbox>
              <v:stroke dashstyle="solid"/>
              <w10:wrap type="none"/>
            </v:shape>
            <v:shape style="position:absolute;left:1209;top:2805;width:2045;height:1375" type="#_x0000_t202" filled="false" stroked="true" strokeweight=".75pt" strokecolor="#000000">
              <v:textbox inset="0,0,0,0">
                <w:txbxContent>
                  <w:p>
                    <w:pPr>
                      <w:spacing w:line="240" w:lineRule="auto" w:before="10"/>
                      <w:rPr>
                        <w:sz w:val="26"/>
                      </w:rPr>
                    </w:pPr>
                  </w:p>
                  <w:p>
                    <w:pPr>
                      <w:spacing w:line="242" w:lineRule="auto" w:before="0"/>
                      <w:ind w:left="281" w:right="277" w:firstLine="0"/>
                      <w:jc w:val="center"/>
                      <w:rPr>
                        <w:sz w:val="16"/>
                      </w:rPr>
                    </w:pPr>
                    <w:r>
                      <w:rPr>
                        <w:sz w:val="16"/>
                      </w:rPr>
                      <w:t>Device 1 Transmitter (Transmit configured data stream)</w:t>
                    </w:r>
                  </w:p>
                </w:txbxContent>
              </v:textbox>
              <v:stroke dashstyle="solid"/>
              <w10:wrap type="none"/>
            </v:shape>
            <v:shape style="position:absolute;left:6953;top:2895;width:1997;height:1375" type="#_x0000_t202" filled="false" stroked="true" strokeweight=".75pt" strokecolor="#000000">
              <v:textbox inset="0,0,0,0">
                <w:txbxContent>
                  <w:p>
                    <w:pPr>
                      <w:spacing w:line="240" w:lineRule="auto" w:before="9"/>
                      <w:rPr>
                        <w:sz w:val="26"/>
                      </w:rPr>
                    </w:pPr>
                  </w:p>
                  <w:p>
                    <w:pPr>
                      <w:spacing w:before="0"/>
                      <w:ind w:left="364" w:right="361" w:firstLine="2"/>
                      <w:jc w:val="center"/>
                      <w:rPr>
                        <w:sz w:val="16"/>
                      </w:rPr>
                    </w:pPr>
                    <w:r>
                      <w:rPr>
                        <w:sz w:val="16"/>
                      </w:rPr>
                      <w:t>Device 2 (DUT) Receiver (Receive the</w:t>
                    </w:r>
                    <w:r>
                      <w:rPr>
                        <w:spacing w:val="-6"/>
                        <w:sz w:val="16"/>
                      </w:rPr>
                      <w:t> </w:t>
                    </w:r>
                    <w:r>
                      <w:rPr>
                        <w:sz w:val="16"/>
                      </w:rPr>
                      <w:t>data</w:t>
                    </w:r>
                  </w:p>
                  <w:p>
                    <w:pPr>
                      <w:spacing w:line="182" w:lineRule="exact" w:before="0"/>
                      <w:ind w:left="246" w:right="243" w:firstLine="0"/>
                      <w:jc w:val="center"/>
                      <w:rPr>
                        <w:sz w:val="16"/>
                      </w:rPr>
                    </w:pPr>
                    <w:r>
                      <w:rPr>
                        <w:sz w:val="16"/>
                      </w:rPr>
                      <w:t>stream, collect stats)</w:t>
                    </w:r>
                  </w:p>
                </w:txbxContent>
              </v:textbox>
              <v:stroke dashstyle="solid"/>
              <w10:wrap type="none"/>
            </v:shape>
            <v:shape style="position:absolute;left:4055;top:4271;width:2075;height:688" type="#_x0000_t202" filled="false" stroked="true" strokeweight=".75pt" strokecolor="#000000">
              <v:textbox inset="0,0,0,0">
                <w:txbxContent>
                  <w:p>
                    <w:pPr>
                      <w:spacing w:before="128"/>
                      <w:ind w:left="386" w:right="378" w:firstLine="64"/>
                      <w:jc w:val="left"/>
                      <w:rPr>
                        <w:sz w:val="18"/>
                      </w:rPr>
                    </w:pPr>
                    <w:r>
                      <w:rPr>
                        <w:sz w:val="18"/>
                      </w:rPr>
                      <w:t>GPS simulator or GPS antenna</w:t>
                    </w:r>
                  </w:p>
                </w:txbxContent>
              </v:textbox>
              <v:stroke dashstyle="solid"/>
              <w10:wrap type="none"/>
            </v:shape>
          </v:group>
        </w:pict>
      </w:r>
      <w:r>
        <w:rPr/>
      </w:r>
    </w:p>
    <w:p>
      <w:pPr>
        <w:pStyle w:val="BodyText"/>
        <w:spacing w:before="6"/>
        <w:rPr>
          <w:sz w:val="11"/>
        </w:rPr>
      </w:pPr>
    </w:p>
    <w:p>
      <w:pPr>
        <w:spacing w:line="274" w:lineRule="exact" w:before="99"/>
        <w:ind w:left="1133" w:right="1136" w:firstLine="0"/>
        <w:jc w:val="left"/>
        <w:rPr>
          <w:b/>
          <w:sz w:val="24"/>
        </w:rPr>
      </w:pPr>
      <w:r>
        <w:rPr>
          <w:b/>
          <w:sz w:val="24"/>
        </w:rPr>
        <w:t>Figure 20: 7.2.2 – Test Setup - Cabled Transmission and Reception Test with added Channel Impairment</w:t>
      </w:r>
    </w:p>
    <w:p>
      <w:pPr>
        <w:pStyle w:val="BodyText"/>
        <w:rPr>
          <w:b/>
          <w:sz w:val="26"/>
        </w:rPr>
      </w:pPr>
    </w:p>
    <w:p>
      <w:pPr>
        <w:pStyle w:val="ListParagraph"/>
        <w:numPr>
          <w:ilvl w:val="0"/>
          <w:numId w:val="27"/>
        </w:numPr>
        <w:tabs>
          <w:tab w:pos="1701" w:val="left" w:leader="none"/>
          <w:tab w:pos="1702" w:val="left" w:leader="none"/>
        </w:tabs>
        <w:spacing w:line="240" w:lineRule="auto" w:before="179" w:after="0"/>
        <w:ind w:left="1701" w:right="0" w:hanging="285"/>
        <w:jc w:val="left"/>
        <w:rPr>
          <w:sz w:val="20"/>
        </w:rPr>
      </w:pPr>
      <w:r>
        <w:rPr>
          <w:sz w:val="20"/>
        </w:rPr>
        <w:t>Channel Impairment settings on the Fader Box</w:t>
      </w:r>
      <w:r>
        <w:rPr>
          <w:spacing w:val="-17"/>
          <w:sz w:val="20"/>
        </w:rPr>
        <w:t> </w:t>
      </w:r>
      <w:r>
        <w:rPr>
          <w:sz w:val="20"/>
        </w:rPr>
        <w:t>Generator</w:t>
      </w:r>
    </w:p>
    <w:p>
      <w:pPr>
        <w:pStyle w:val="ListParagraph"/>
        <w:numPr>
          <w:ilvl w:val="1"/>
          <w:numId w:val="27"/>
        </w:numPr>
        <w:tabs>
          <w:tab w:pos="1985" w:val="left" w:leader="none"/>
          <w:tab w:pos="1986" w:val="left" w:leader="none"/>
        </w:tabs>
        <w:spacing w:line="240" w:lineRule="auto" w:before="181" w:after="0"/>
        <w:ind w:left="1985" w:right="0" w:hanging="286"/>
        <w:jc w:val="left"/>
        <w:rPr>
          <w:sz w:val="20"/>
        </w:rPr>
      </w:pPr>
      <w:r>
        <w:rPr>
          <w:sz w:val="20"/>
        </w:rPr>
        <w:t>Configured to generate AWGN across the entire 10 MHz channel</w:t>
      </w:r>
      <w:r>
        <w:rPr>
          <w:spacing w:val="-28"/>
          <w:sz w:val="20"/>
        </w:rPr>
        <w:t> </w:t>
      </w:r>
      <w:r>
        <w:rPr>
          <w:sz w:val="20"/>
        </w:rPr>
        <w:t>172.</w:t>
      </w:r>
    </w:p>
    <w:p>
      <w:pPr>
        <w:pStyle w:val="ListParagraph"/>
        <w:numPr>
          <w:ilvl w:val="0"/>
          <w:numId w:val="27"/>
        </w:numPr>
        <w:tabs>
          <w:tab w:pos="1701" w:val="left" w:leader="none"/>
          <w:tab w:pos="1702" w:val="left" w:leader="none"/>
        </w:tabs>
        <w:spacing w:line="240" w:lineRule="auto" w:before="180" w:after="0"/>
        <w:ind w:left="1701" w:right="0" w:hanging="285"/>
        <w:jc w:val="left"/>
        <w:rPr>
          <w:sz w:val="20"/>
        </w:rPr>
      </w:pPr>
      <w:r>
        <w:rPr>
          <w:sz w:val="20"/>
        </w:rPr>
        <w:t>Settings on Device 1 (Transmit</w:t>
      </w:r>
      <w:r>
        <w:rPr>
          <w:spacing w:val="-11"/>
          <w:sz w:val="20"/>
        </w:rPr>
        <w:t> </w:t>
      </w:r>
      <w:r>
        <w:rPr>
          <w:sz w:val="20"/>
        </w:rPr>
        <w:t>Radio):</w:t>
      </w:r>
    </w:p>
    <w:p>
      <w:pPr>
        <w:pStyle w:val="ListParagraph"/>
        <w:numPr>
          <w:ilvl w:val="1"/>
          <w:numId w:val="27"/>
        </w:numPr>
        <w:tabs>
          <w:tab w:pos="1985" w:val="left" w:leader="none"/>
          <w:tab w:pos="1986" w:val="left" w:leader="none"/>
        </w:tabs>
        <w:spacing w:line="240" w:lineRule="auto" w:before="180" w:after="0"/>
        <w:ind w:left="1985" w:right="1130" w:hanging="286"/>
        <w:jc w:val="left"/>
        <w:rPr>
          <w:sz w:val="20"/>
        </w:rPr>
      </w:pPr>
      <w:r>
        <w:rPr>
          <w:sz w:val="20"/>
        </w:rPr>
        <w:t>SPS-based transmit flow with a periodicity of 100 ms (Note: equivalent to setting a periodic stream at 100 ms period for other</w:t>
      </w:r>
      <w:r>
        <w:rPr>
          <w:spacing w:val="-14"/>
          <w:sz w:val="20"/>
        </w:rPr>
        <w:t> </w:t>
      </w:r>
      <w:r>
        <w:rPr>
          <w:sz w:val="20"/>
        </w:rPr>
        <w:t>technologies)</w:t>
      </w:r>
    </w:p>
    <w:p>
      <w:pPr>
        <w:pStyle w:val="ListParagraph"/>
        <w:numPr>
          <w:ilvl w:val="1"/>
          <w:numId w:val="27"/>
        </w:numPr>
        <w:tabs>
          <w:tab w:pos="1985" w:val="left" w:leader="none"/>
          <w:tab w:pos="1986" w:val="left" w:leader="none"/>
        </w:tabs>
        <w:spacing w:line="240" w:lineRule="auto" w:before="180" w:after="0"/>
        <w:ind w:left="1985" w:right="0" w:hanging="286"/>
        <w:jc w:val="left"/>
        <w:rPr>
          <w:sz w:val="20"/>
        </w:rPr>
      </w:pPr>
      <w:r>
        <w:rPr>
          <w:sz w:val="20"/>
        </w:rPr>
        <w:t>Packet length of 193</w:t>
      </w:r>
      <w:r>
        <w:rPr>
          <w:spacing w:val="-8"/>
          <w:sz w:val="20"/>
        </w:rPr>
        <w:t> </w:t>
      </w:r>
      <w:r>
        <w:rPr>
          <w:sz w:val="20"/>
        </w:rPr>
        <w:t>bytes</w:t>
      </w:r>
    </w:p>
    <w:p>
      <w:pPr>
        <w:pStyle w:val="ListParagraph"/>
        <w:numPr>
          <w:ilvl w:val="1"/>
          <w:numId w:val="27"/>
        </w:numPr>
        <w:tabs>
          <w:tab w:pos="1985" w:val="left" w:leader="none"/>
          <w:tab w:pos="1986" w:val="left" w:leader="none"/>
        </w:tabs>
        <w:spacing w:line="240" w:lineRule="auto" w:before="177" w:after="0"/>
        <w:ind w:left="1985" w:right="0" w:hanging="286"/>
        <w:jc w:val="left"/>
        <w:rPr>
          <w:sz w:val="20"/>
        </w:rPr>
      </w:pPr>
      <w:r>
        <w:rPr>
          <w:sz w:val="20"/>
        </w:rPr>
        <w:t>Transmit at Channel 172 with bandwidth of 10</w:t>
      </w:r>
      <w:r>
        <w:rPr>
          <w:spacing w:val="-17"/>
          <w:sz w:val="20"/>
        </w:rPr>
        <w:t> </w:t>
      </w:r>
      <w:r>
        <w:rPr>
          <w:sz w:val="20"/>
        </w:rPr>
        <w:t>MHz.</w:t>
      </w:r>
    </w:p>
    <w:p>
      <w:pPr>
        <w:pStyle w:val="ListParagraph"/>
        <w:numPr>
          <w:ilvl w:val="1"/>
          <w:numId w:val="27"/>
        </w:numPr>
        <w:tabs>
          <w:tab w:pos="1985" w:val="left" w:leader="none"/>
          <w:tab w:pos="1986" w:val="left" w:leader="none"/>
        </w:tabs>
        <w:spacing w:line="240" w:lineRule="auto" w:before="180" w:after="0"/>
        <w:ind w:left="1985" w:right="1130" w:hanging="286"/>
        <w:jc w:val="left"/>
        <w:rPr>
          <w:sz w:val="20"/>
        </w:rPr>
      </w:pPr>
      <w:r>
        <w:rPr>
          <w:sz w:val="20"/>
        </w:rPr>
        <w:t>Appropriate</w:t>
      </w:r>
      <w:r>
        <w:rPr>
          <w:spacing w:val="-5"/>
          <w:sz w:val="20"/>
        </w:rPr>
        <w:t> </w:t>
      </w:r>
      <w:r>
        <w:rPr>
          <w:sz w:val="20"/>
        </w:rPr>
        <w:t>fixed</w:t>
      </w:r>
      <w:r>
        <w:rPr>
          <w:spacing w:val="-5"/>
          <w:sz w:val="20"/>
        </w:rPr>
        <w:t> </w:t>
      </w:r>
      <w:r>
        <w:rPr>
          <w:sz w:val="20"/>
        </w:rPr>
        <w:t>attenuation</w:t>
      </w:r>
      <w:r>
        <w:rPr>
          <w:spacing w:val="-5"/>
          <w:sz w:val="20"/>
        </w:rPr>
        <w:t> </w:t>
      </w:r>
      <w:r>
        <w:rPr>
          <w:sz w:val="20"/>
        </w:rPr>
        <w:t>added</w:t>
      </w:r>
      <w:r>
        <w:rPr>
          <w:spacing w:val="-5"/>
          <w:sz w:val="20"/>
        </w:rPr>
        <w:t> </w:t>
      </w:r>
      <w:r>
        <w:rPr>
          <w:sz w:val="20"/>
        </w:rPr>
        <w:t>(“Attenuator”</w:t>
      </w:r>
      <w:r>
        <w:rPr>
          <w:spacing w:val="-3"/>
          <w:sz w:val="20"/>
        </w:rPr>
        <w:t> </w:t>
      </w:r>
      <w:r>
        <w:rPr>
          <w:sz w:val="20"/>
        </w:rPr>
        <w:t>shown</w:t>
      </w:r>
      <w:r>
        <w:rPr>
          <w:spacing w:val="-5"/>
          <w:sz w:val="20"/>
        </w:rPr>
        <w:t> </w:t>
      </w:r>
      <w:r>
        <w:rPr>
          <w:sz w:val="20"/>
        </w:rPr>
        <w:t>in</w:t>
      </w:r>
      <w:r>
        <w:rPr>
          <w:spacing w:val="-5"/>
          <w:sz w:val="20"/>
        </w:rPr>
        <w:t> </w:t>
      </w:r>
      <w:r>
        <w:rPr>
          <w:sz w:val="20"/>
        </w:rPr>
        <w:t>figure)</w:t>
      </w:r>
      <w:r>
        <w:rPr>
          <w:spacing w:val="-3"/>
          <w:sz w:val="20"/>
        </w:rPr>
        <w:t> </w:t>
      </w:r>
      <w:r>
        <w:rPr>
          <w:sz w:val="20"/>
        </w:rPr>
        <w:t>to</w:t>
      </w:r>
      <w:r>
        <w:rPr>
          <w:spacing w:val="-5"/>
          <w:sz w:val="20"/>
        </w:rPr>
        <w:t> </w:t>
      </w:r>
      <w:r>
        <w:rPr>
          <w:sz w:val="20"/>
        </w:rPr>
        <w:t>ensure</w:t>
      </w:r>
      <w:r>
        <w:rPr>
          <w:spacing w:val="-4"/>
          <w:sz w:val="20"/>
        </w:rPr>
        <w:t> </w:t>
      </w:r>
      <w:r>
        <w:rPr>
          <w:sz w:val="20"/>
        </w:rPr>
        <w:t>that</w:t>
      </w:r>
      <w:r>
        <w:rPr>
          <w:spacing w:val="-5"/>
          <w:sz w:val="20"/>
        </w:rPr>
        <w:t> </w:t>
      </w:r>
      <w:r>
        <w:rPr>
          <w:sz w:val="20"/>
        </w:rPr>
        <w:t>Device</w:t>
      </w:r>
      <w:r>
        <w:rPr>
          <w:spacing w:val="-5"/>
          <w:sz w:val="20"/>
        </w:rPr>
        <w:t> </w:t>
      </w:r>
      <w:r>
        <w:rPr>
          <w:sz w:val="20"/>
        </w:rPr>
        <w:t>1</w:t>
      </w:r>
      <w:r>
        <w:rPr>
          <w:spacing w:val="-5"/>
          <w:sz w:val="20"/>
        </w:rPr>
        <w:t> </w:t>
      </w:r>
      <w:r>
        <w:rPr>
          <w:sz w:val="20"/>
        </w:rPr>
        <w:t>Rx</w:t>
      </w:r>
      <w:r>
        <w:rPr>
          <w:spacing w:val="-3"/>
          <w:sz w:val="20"/>
        </w:rPr>
        <w:t> </w:t>
      </w:r>
      <w:r>
        <w:rPr>
          <w:sz w:val="20"/>
        </w:rPr>
        <w:t>power at DUT input is 50</w:t>
      </w:r>
      <w:r>
        <w:rPr>
          <w:spacing w:val="-6"/>
          <w:sz w:val="20"/>
        </w:rPr>
        <w:t> </w:t>
      </w:r>
      <w:r>
        <w:rPr>
          <w:sz w:val="20"/>
        </w:rPr>
        <w:t>dBm</w:t>
      </w:r>
    </w:p>
    <w:p>
      <w:pPr>
        <w:pStyle w:val="ListParagraph"/>
        <w:numPr>
          <w:ilvl w:val="0"/>
          <w:numId w:val="27"/>
        </w:numPr>
        <w:tabs>
          <w:tab w:pos="1701" w:val="left" w:leader="none"/>
          <w:tab w:pos="1702" w:val="left" w:leader="none"/>
        </w:tabs>
        <w:spacing w:line="240" w:lineRule="auto" w:before="180" w:after="0"/>
        <w:ind w:left="1701" w:right="0" w:hanging="285"/>
        <w:jc w:val="left"/>
        <w:rPr>
          <w:sz w:val="20"/>
        </w:rPr>
      </w:pPr>
      <w:r>
        <w:rPr>
          <w:sz w:val="20"/>
        </w:rPr>
        <w:t>Settings on Device 2 (Receive</w:t>
      </w:r>
      <w:r>
        <w:rPr>
          <w:spacing w:val="-13"/>
          <w:sz w:val="20"/>
        </w:rPr>
        <w:t> </w:t>
      </w:r>
      <w:r>
        <w:rPr>
          <w:sz w:val="20"/>
        </w:rPr>
        <w:t>Radio):</w:t>
      </w:r>
    </w:p>
    <w:p>
      <w:pPr>
        <w:pStyle w:val="ListParagraph"/>
        <w:numPr>
          <w:ilvl w:val="1"/>
          <w:numId w:val="27"/>
        </w:numPr>
        <w:tabs>
          <w:tab w:pos="1985" w:val="left" w:leader="none"/>
          <w:tab w:pos="1986" w:val="left" w:leader="none"/>
        </w:tabs>
        <w:spacing w:line="240" w:lineRule="auto" w:before="180" w:after="0"/>
        <w:ind w:left="1985" w:right="0" w:hanging="286"/>
        <w:jc w:val="left"/>
        <w:rPr>
          <w:sz w:val="20"/>
        </w:rPr>
      </w:pPr>
      <w:r>
        <w:rPr>
          <w:sz w:val="20"/>
        </w:rPr>
        <w:t>Configured to receive on Channel 172 with bandwidth of 10</w:t>
      </w:r>
      <w:r>
        <w:rPr>
          <w:spacing w:val="-21"/>
          <w:sz w:val="20"/>
        </w:rPr>
        <w:t> </w:t>
      </w:r>
      <w:r>
        <w:rPr>
          <w:sz w:val="20"/>
        </w:rPr>
        <w:t>MHz</w:t>
      </w:r>
    </w:p>
    <w:p>
      <w:pPr>
        <w:pStyle w:val="ListParagraph"/>
        <w:numPr>
          <w:ilvl w:val="1"/>
          <w:numId w:val="27"/>
        </w:numPr>
        <w:tabs>
          <w:tab w:pos="1985" w:val="left" w:leader="none"/>
          <w:tab w:pos="1986" w:val="left" w:leader="none"/>
        </w:tabs>
        <w:spacing w:line="240" w:lineRule="auto" w:before="180" w:after="0"/>
        <w:ind w:left="1985" w:right="0" w:hanging="286"/>
        <w:jc w:val="left"/>
        <w:rPr>
          <w:sz w:val="20"/>
        </w:rPr>
      </w:pPr>
      <w:r>
        <w:rPr>
          <w:sz w:val="20"/>
        </w:rPr>
        <w:t>All measurements of receiving side performance are done on this</w:t>
      </w:r>
      <w:r>
        <w:rPr>
          <w:spacing w:val="-22"/>
          <w:sz w:val="20"/>
        </w:rPr>
        <w:t> </w:t>
      </w:r>
      <w:r>
        <w:rPr>
          <w:sz w:val="20"/>
        </w:rPr>
        <w:t>device</w:t>
      </w:r>
    </w:p>
    <w:p>
      <w:pPr>
        <w:pStyle w:val="ListParagraph"/>
        <w:numPr>
          <w:ilvl w:val="0"/>
          <w:numId w:val="27"/>
        </w:numPr>
        <w:tabs>
          <w:tab w:pos="1701" w:val="left" w:leader="none"/>
          <w:tab w:pos="1702" w:val="left" w:leader="none"/>
        </w:tabs>
        <w:spacing w:line="240" w:lineRule="auto" w:before="178" w:after="0"/>
        <w:ind w:left="1701" w:right="0" w:hanging="285"/>
        <w:jc w:val="left"/>
        <w:rPr>
          <w:sz w:val="20"/>
        </w:rPr>
      </w:pPr>
      <w:r>
        <w:rPr>
          <w:sz w:val="20"/>
        </w:rPr>
        <w:t>Data Collection at Tx (Device</w:t>
      </w:r>
      <w:r>
        <w:rPr>
          <w:spacing w:val="-7"/>
          <w:sz w:val="20"/>
        </w:rPr>
        <w:t> </w:t>
      </w:r>
      <w:r>
        <w:rPr>
          <w:sz w:val="20"/>
        </w:rPr>
        <w:t>1):</w:t>
      </w:r>
    </w:p>
    <w:p>
      <w:pPr>
        <w:pStyle w:val="ListParagraph"/>
        <w:numPr>
          <w:ilvl w:val="1"/>
          <w:numId w:val="27"/>
        </w:numPr>
        <w:tabs>
          <w:tab w:pos="1985" w:val="left" w:leader="none"/>
          <w:tab w:pos="1986" w:val="left" w:leader="none"/>
        </w:tabs>
        <w:spacing w:line="240" w:lineRule="auto" w:before="180" w:after="0"/>
        <w:ind w:left="1985" w:right="0" w:hanging="286"/>
        <w:jc w:val="left"/>
        <w:rPr>
          <w:sz w:val="20"/>
        </w:rPr>
      </w:pPr>
      <w:r>
        <w:rPr>
          <w:sz w:val="20"/>
        </w:rPr>
        <w:t>OS timestamp for each transmitted</w:t>
      </w:r>
      <w:r>
        <w:rPr>
          <w:spacing w:val="-14"/>
          <w:sz w:val="20"/>
        </w:rPr>
        <w:t> </w:t>
      </w:r>
      <w:r>
        <w:rPr>
          <w:sz w:val="20"/>
        </w:rPr>
        <w:t>packet</w:t>
      </w:r>
    </w:p>
    <w:p>
      <w:pPr>
        <w:pStyle w:val="ListParagraph"/>
        <w:numPr>
          <w:ilvl w:val="1"/>
          <w:numId w:val="27"/>
        </w:numPr>
        <w:tabs>
          <w:tab w:pos="1985" w:val="left" w:leader="none"/>
          <w:tab w:pos="1986" w:val="left" w:leader="none"/>
        </w:tabs>
        <w:spacing w:line="240" w:lineRule="auto" w:before="180" w:after="0"/>
        <w:ind w:left="1985" w:right="0" w:hanging="286"/>
        <w:jc w:val="left"/>
        <w:rPr>
          <w:sz w:val="20"/>
        </w:rPr>
      </w:pPr>
      <w:r>
        <w:rPr>
          <w:sz w:val="20"/>
        </w:rPr>
        <w:t>Sequence number of each transmitted</w:t>
      </w:r>
      <w:r>
        <w:rPr>
          <w:spacing w:val="-9"/>
          <w:sz w:val="20"/>
        </w:rPr>
        <w:t> </w:t>
      </w:r>
      <w:r>
        <w:rPr>
          <w:sz w:val="20"/>
        </w:rPr>
        <w:t>packet</w:t>
      </w:r>
    </w:p>
    <w:p>
      <w:pPr>
        <w:pStyle w:val="ListParagraph"/>
        <w:numPr>
          <w:ilvl w:val="0"/>
          <w:numId w:val="27"/>
        </w:numPr>
        <w:tabs>
          <w:tab w:pos="1701" w:val="left" w:leader="none"/>
          <w:tab w:pos="1702" w:val="left" w:leader="none"/>
        </w:tabs>
        <w:spacing w:line="240" w:lineRule="auto" w:before="180" w:after="0"/>
        <w:ind w:left="1701" w:right="0" w:hanging="285"/>
        <w:jc w:val="left"/>
        <w:rPr>
          <w:sz w:val="20"/>
        </w:rPr>
      </w:pPr>
      <w:r>
        <w:rPr>
          <w:sz w:val="20"/>
        </w:rPr>
        <w:t>Data Collection at Rx (Device</w:t>
      </w:r>
      <w:r>
        <w:rPr>
          <w:spacing w:val="-8"/>
          <w:sz w:val="20"/>
        </w:rPr>
        <w:t> </w:t>
      </w:r>
      <w:r>
        <w:rPr>
          <w:sz w:val="20"/>
        </w:rPr>
        <w:t>2):</w:t>
      </w:r>
    </w:p>
    <w:p>
      <w:pPr>
        <w:pStyle w:val="ListParagraph"/>
        <w:numPr>
          <w:ilvl w:val="1"/>
          <w:numId w:val="27"/>
        </w:numPr>
        <w:tabs>
          <w:tab w:pos="1985" w:val="left" w:leader="none"/>
          <w:tab w:pos="1986" w:val="left" w:leader="none"/>
        </w:tabs>
        <w:spacing w:line="240" w:lineRule="auto" w:before="180" w:after="0"/>
        <w:ind w:left="1985" w:right="0" w:hanging="286"/>
        <w:jc w:val="left"/>
        <w:rPr>
          <w:sz w:val="20"/>
        </w:rPr>
      </w:pPr>
      <w:r>
        <w:rPr>
          <w:sz w:val="20"/>
        </w:rPr>
        <w:t>OS timestamp for each received</w:t>
      </w:r>
      <w:r>
        <w:rPr>
          <w:spacing w:val="-11"/>
          <w:sz w:val="20"/>
        </w:rPr>
        <w:t> </w:t>
      </w:r>
      <w:r>
        <w:rPr>
          <w:sz w:val="20"/>
        </w:rPr>
        <w:t>packet</w:t>
      </w:r>
    </w:p>
    <w:p>
      <w:pPr>
        <w:pStyle w:val="ListParagraph"/>
        <w:numPr>
          <w:ilvl w:val="1"/>
          <w:numId w:val="27"/>
        </w:numPr>
        <w:tabs>
          <w:tab w:pos="1985" w:val="left" w:leader="none"/>
          <w:tab w:pos="1986" w:val="left" w:leader="none"/>
        </w:tabs>
        <w:spacing w:line="240" w:lineRule="auto" w:before="180" w:after="0"/>
        <w:ind w:left="1985" w:right="0" w:hanging="286"/>
        <w:jc w:val="left"/>
        <w:rPr>
          <w:sz w:val="20"/>
        </w:rPr>
      </w:pPr>
      <w:r>
        <w:rPr>
          <w:sz w:val="20"/>
        </w:rPr>
        <w:t>Sequence number of each received</w:t>
      </w:r>
      <w:r>
        <w:rPr>
          <w:spacing w:val="-8"/>
          <w:sz w:val="20"/>
        </w:rPr>
        <w:t> </w:t>
      </w:r>
      <w:r>
        <w:rPr>
          <w:sz w:val="20"/>
        </w:rPr>
        <w:t>packet</w:t>
      </w:r>
    </w:p>
    <w:p>
      <w:pPr>
        <w:pStyle w:val="ListParagraph"/>
        <w:numPr>
          <w:ilvl w:val="0"/>
          <w:numId w:val="27"/>
        </w:numPr>
        <w:tabs>
          <w:tab w:pos="1701" w:val="left" w:leader="none"/>
          <w:tab w:pos="1702" w:val="left" w:leader="none"/>
        </w:tabs>
        <w:spacing w:line="240" w:lineRule="auto" w:before="177" w:after="0"/>
        <w:ind w:left="1701" w:right="0" w:hanging="285"/>
        <w:jc w:val="left"/>
        <w:rPr>
          <w:sz w:val="20"/>
        </w:rPr>
      </w:pPr>
      <w:r>
        <w:rPr>
          <w:sz w:val="20"/>
        </w:rPr>
        <w:t>10000 samples are run for each setting on AWGN/Fader box to assess</w:t>
      </w:r>
      <w:r>
        <w:rPr>
          <w:spacing w:val="-23"/>
          <w:sz w:val="20"/>
        </w:rPr>
        <w:t> </w:t>
      </w:r>
      <w:r>
        <w:rPr>
          <w:sz w:val="20"/>
        </w:rPr>
        <w:t>performance</w:t>
      </w:r>
    </w:p>
    <w:p>
      <w:pPr>
        <w:spacing w:after="0" w:line="240" w:lineRule="auto"/>
        <w:jc w:val="left"/>
        <w:rPr>
          <w:sz w:val="20"/>
        </w:rPr>
        <w:sectPr>
          <w:headerReference w:type="default" r:id="rId229"/>
          <w:pgSz w:w="11910" w:h="16850"/>
          <w:pgMar w:header="852" w:footer="979" w:top="1040" w:bottom="1160" w:left="0" w:right="0"/>
        </w:sectPr>
      </w:pPr>
    </w:p>
    <w:p>
      <w:pPr>
        <w:pStyle w:val="BodyText"/>
        <w:rPr>
          <w:sz w:val="23"/>
        </w:rPr>
      </w:pPr>
    </w:p>
    <w:p>
      <w:pPr>
        <w:pStyle w:val="Heading7"/>
        <w:spacing w:before="93"/>
        <w:jc w:val="both"/>
      </w:pPr>
      <w:r>
        <w:rPr/>
        <w:t>Table 12: Test Configuration</w:t>
      </w:r>
    </w:p>
    <w:p>
      <w:pPr>
        <w:pStyle w:val="BodyText"/>
        <w:spacing w:before="2"/>
        <w:rPr>
          <w:b/>
          <w:sz w:val="16"/>
        </w:rPr>
      </w:pPr>
    </w:p>
    <w:tbl>
      <w:tblPr>
        <w:tblW w:w="0" w:type="auto"/>
        <w:jc w:val="left"/>
        <w:tblInd w:w="2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5"/>
        <w:gridCol w:w="2463"/>
        <w:gridCol w:w="2466"/>
      </w:tblGrid>
      <w:tr>
        <w:trPr>
          <w:trHeight w:val="216" w:hRule="exact"/>
        </w:trPr>
        <w:tc>
          <w:tcPr>
            <w:tcW w:w="2465" w:type="dxa"/>
            <w:shd w:val="clear" w:color="auto" w:fill="D9D9D9"/>
          </w:tcPr>
          <w:p>
            <w:pPr>
              <w:pStyle w:val="TableParagraph"/>
              <w:spacing w:line="201" w:lineRule="exact"/>
              <w:rPr>
                <w:b/>
                <w:sz w:val="18"/>
              </w:rPr>
            </w:pPr>
            <w:r>
              <w:rPr>
                <w:b/>
                <w:sz w:val="18"/>
              </w:rPr>
              <w:t>Configuration</w:t>
            </w:r>
          </w:p>
        </w:tc>
        <w:tc>
          <w:tcPr>
            <w:tcW w:w="2463" w:type="dxa"/>
            <w:shd w:val="clear" w:color="auto" w:fill="D9D9D9"/>
          </w:tcPr>
          <w:p>
            <w:pPr>
              <w:pStyle w:val="TableParagraph"/>
              <w:spacing w:line="201" w:lineRule="exact"/>
              <w:ind w:left="100"/>
              <w:rPr>
                <w:b/>
                <w:sz w:val="18"/>
              </w:rPr>
            </w:pPr>
            <w:r>
              <w:rPr>
                <w:b/>
                <w:sz w:val="18"/>
              </w:rPr>
              <w:t>C-V2X</w:t>
            </w:r>
          </w:p>
        </w:tc>
        <w:tc>
          <w:tcPr>
            <w:tcW w:w="2466" w:type="dxa"/>
            <w:shd w:val="clear" w:color="auto" w:fill="D9D9D9"/>
          </w:tcPr>
          <w:p>
            <w:pPr>
              <w:pStyle w:val="TableParagraph"/>
              <w:spacing w:line="201" w:lineRule="exact"/>
              <w:rPr>
                <w:b/>
                <w:sz w:val="18"/>
              </w:rPr>
            </w:pPr>
            <w:r>
              <w:rPr>
                <w:b/>
                <w:sz w:val="18"/>
              </w:rPr>
              <w:t>DSRC</w:t>
            </w:r>
          </w:p>
        </w:tc>
      </w:tr>
      <w:tr>
        <w:trPr>
          <w:trHeight w:val="218" w:hRule="exact"/>
        </w:trPr>
        <w:tc>
          <w:tcPr>
            <w:tcW w:w="2465" w:type="dxa"/>
          </w:tcPr>
          <w:p>
            <w:pPr>
              <w:pStyle w:val="TableParagraph"/>
              <w:rPr>
                <w:sz w:val="18"/>
              </w:rPr>
            </w:pPr>
            <w:r>
              <w:rPr>
                <w:sz w:val="18"/>
              </w:rPr>
              <w:t>AWGN</w:t>
            </w:r>
          </w:p>
        </w:tc>
        <w:tc>
          <w:tcPr>
            <w:tcW w:w="2463" w:type="dxa"/>
          </w:tcPr>
          <w:p>
            <w:pPr>
              <w:pStyle w:val="TableParagraph"/>
              <w:ind w:left="100"/>
              <w:rPr>
                <w:sz w:val="18"/>
              </w:rPr>
            </w:pPr>
            <w:r>
              <w:rPr>
                <w:sz w:val="18"/>
              </w:rPr>
              <w:t>AWGN/Fader Box</w:t>
            </w:r>
          </w:p>
        </w:tc>
        <w:tc>
          <w:tcPr>
            <w:tcW w:w="2466" w:type="dxa"/>
          </w:tcPr>
          <w:p>
            <w:pPr>
              <w:pStyle w:val="TableParagraph"/>
              <w:rPr>
                <w:sz w:val="18"/>
              </w:rPr>
            </w:pPr>
            <w:r>
              <w:rPr>
                <w:sz w:val="18"/>
              </w:rPr>
              <w:t>AWGN/Fader Box</w:t>
            </w:r>
          </w:p>
        </w:tc>
      </w:tr>
      <w:tr>
        <w:trPr>
          <w:trHeight w:val="216" w:hRule="exact"/>
        </w:trPr>
        <w:tc>
          <w:tcPr>
            <w:tcW w:w="2465" w:type="dxa"/>
          </w:tcPr>
          <w:p>
            <w:pPr>
              <w:pStyle w:val="TableParagraph"/>
              <w:rPr>
                <w:sz w:val="18"/>
              </w:rPr>
            </w:pPr>
            <w:r>
              <w:rPr>
                <w:sz w:val="18"/>
              </w:rPr>
              <w:t>Number of Samples</w:t>
            </w:r>
          </w:p>
        </w:tc>
        <w:tc>
          <w:tcPr>
            <w:tcW w:w="2463" w:type="dxa"/>
          </w:tcPr>
          <w:p>
            <w:pPr>
              <w:pStyle w:val="TableParagraph"/>
              <w:ind w:left="100"/>
              <w:rPr>
                <w:sz w:val="18"/>
              </w:rPr>
            </w:pPr>
            <w:r>
              <w:rPr>
                <w:sz w:val="18"/>
              </w:rPr>
              <w:t>10000</w:t>
            </w:r>
          </w:p>
        </w:tc>
        <w:tc>
          <w:tcPr>
            <w:tcW w:w="2466" w:type="dxa"/>
          </w:tcPr>
          <w:p>
            <w:pPr>
              <w:pStyle w:val="TableParagraph"/>
              <w:rPr>
                <w:sz w:val="18"/>
              </w:rPr>
            </w:pPr>
            <w:r>
              <w:rPr>
                <w:sz w:val="18"/>
              </w:rPr>
              <w:t>10000</w:t>
            </w:r>
          </w:p>
        </w:tc>
      </w:tr>
      <w:tr>
        <w:trPr>
          <w:trHeight w:val="218" w:hRule="exact"/>
        </w:trPr>
        <w:tc>
          <w:tcPr>
            <w:tcW w:w="2465" w:type="dxa"/>
          </w:tcPr>
          <w:p>
            <w:pPr>
              <w:pStyle w:val="TableParagraph"/>
              <w:rPr>
                <w:sz w:val="18"/>
              </w:rPr>
            </w:pPr>
            <w:r>
              <w:rPr>
                <w:sz w:val="18"/>
              </w:rPr>
              <w:t>HARQ</w:t>
            </w:r>
          </w:p>
        </w:tc>
        <w:tc>
          <w:tcPr>
            <w:tcW w:w="2463" w:type="dxa"/>
          </w:tcPr>
          <w:p>
            <w:pPr>
              <w:pStyle w:val="TableParagraph"/>
              <w:ind w:left="100"/>
              <w:rPr>
                <w:sz w:val="18"/>
              </w:rPr>
            </w:pPr>
            <w:r>
              <w:rPr>
                <w:sz w:val="18"/>
              </w:rPr>
              <w:t>Enabled/Disabled</w:t>
            </w:r>
          </w:p>
        </w:tc>
        <w:tc>
          <w:tcPr>
            <w:tcW w:w="2466" w:type="dxa"/>
          </w:tcPr>
          <w:p>
            <w:pPr>
              <w:pStyle w:val="TableParagraph"/>
              <w:rPr>
                <w:sz w:val="18"/>
              </w:rPr>
            </w:pPr>
            <w:r>
              <w:rPr>
                <w:sz w:val="18"/>
              </w:rPr>
              <w:t>NA</w:t>
            </w:r>
          </w:p>
        </w:tc>
      </w:tr>
    </w:tbl>
    <w:p>
      <w:pPr>
        <w:pStyle w:val="BodyText"/>
        <w:rPr>
          <w:b/>
          <w:sz w:val="22"/>
        </w:rPr>
      </w:pPr>
    </w:p>
    <w:p>
      <w:pPr>
        <w:pStyle w:val="BodyText"/>
        <w:spacing w:before="6"/>
        <w:rPr>
          <w:b/>
          <w:sz w:val="23"/>
        </w:rPr>
      </w:pPr>
    </w:p>
    <w:p>
      <w:pPr>
        <w:pStyle w:val="ListParagraph"/>
        <w:numPr>
          <w:ilvl w:val="3"/>
          <w:numId w:val="26"/>
        </w:numPr>
        <w:tabs>
          <w:tab w:pos="2552" w:val="left" w:leader="none"/>
        </w:tabs>
        <w:spacing w:line="240" w:lineRule="auto" w:before="0" w:after="0"/>
        <w:ind w:left="2551" w:right="0" w:hanging="1418"/>
        <w:jc w:val="both"/>
        <w:rPr>
          <w:sz w:val="24"/>
        </w:rPr>
      </w:pPr>
      <w:r>
        <w:rPr>
          <w:sz w:val="24"/>
        </w:rPr>
        <w:t>Test</w:t>
      </w:r>
      <w:r>
        <w:rPr>
          <w:spacing w:val="-8"/>
          <w:sz w:val="24"/>
        </w:rPr>
        <w:t> </w:t>
      </w:r>
      <w:r>
        <w:rPr>
          <w:sz w:val="24"/>
        </w:rPr>
        <w:t>Execution</w:t>
      </w:r>
    </w:p>
    <w:p>
      <w:pPr>
        <w:pStyle w:val="BodyText"/>
        <w:spacing w:before="181"/>
        <w:ind w:left="1416"/>
      </w:pPr>
      <w:r>
        <w:rPr/>
        <w:t>NOTE: Conduct tests at room temperature (21 deg Celsius +/- 5 deg).</w:t>
      </w:r>
    </w:p>
    <w:p>
      <w:pPr>
        <w:pStyle w:val="ListParagraph"/>
        <w:numPr>
          <w:ilvl w:val="4"/>
          <w:numId w:val="26"/>
        </w:numPr>
        <w:tabs>
          <w:tab w:pos="1702" w:val="left" w:leader="none"/>
        </w:tabs>
        <w:spacing w:line="240" w:lineRule="auto" w:before="180" w:after="0"/>
        <w:ind w:left="1702" w:right="0" w:hanging="286"/>
        <w:jc w:val="left"/>
        <w:rPr>
          <w:sz w:val="20"/>
        </w:rPr>
      </w:pPr>
      <w:r>
        <w:rPr>
          <w:sz w:val="20"/>
        </w:rPr>
        <w:t>Configure the AWGN/Fader Box to generate AWGN across the entire 10-MHz channel</w:t>
      </w:r>
      <w:r>
        <w:rPr>
          <w:spacing w:val="-26"/>
          <w:sz w:val="20"/>
        </w:rPr>
        <w:t> </w:t>
      </w:r>
      <w:r>
        <w:rPr>
          <w:sz w:val="20"/>
        </w:rPr>
        <w:t>172.</w:t>
      </w:r>
    </w:p>
    <w:p>
      <w:pPr>
        <w:pStyle w:val="ListParagraph"/>
        <w:numPr>
          <w:ilvl w:val="4"/>
          <w:numId w:val="26"/>
        </w:numPr>
        <w:tabs>
          <w:tab w:pos="1702" w:val="left" w:leader="none"/>
        </w:tabs>
        <w:spacing w:line="240" w:lineRule="auto" w:before="180" w:after="0"/>
        <w:ind w:left="1702" w:right="0" w:hanging="286"/>
        <w:jc w:val="left"/>
        <w:rPr>
          <w:sz w:val="20"/>
        </w:rPr>
      </w:pPr>
      <w:r>
        <w:rPr>
          <w:sz w:val="20"/>
        </w:rPr>
        <w:t>Configure the Transmit Device (Device 1) with the data stream of</w:t>
      </w:r>
      <w:r>
        <w:rPr>
          <w:spacing w:val="-23"/>
          <w:sz w:val="20"/>
        </w:rPr>
        <w:t> </w:t>
      </w:r>
      <w:r>
        <w:rPr>
          <w:sz w:val="20"/>
        </w:rPr>
        <w:t>interest:</w:t>
      </w:r>
    </w:p>
    <w:p>
      <w:pPr>
        <w:pStyle w:val="ListParagraph"/>
        <w:numPr>
          <w:ilvl w:val="5"/>
          <w:numId w:val="26"/>
        </w:numPr>
        <w:tabs>
          <w:tab w:pos="1986" w:val="left" w:leader="none"/>
        </w:tabs>
        <w:spacing w:line="240" w:lineRule="auto" w:before="180" w:after="0"/>
        <w:ind w:left="1985" w:right="0" w:hanging="286"/>
        <w:jc w:val="left"/>
        <w:rPr>
          <w:sz w:val="20"/>
        </w:rPr>
      </w:pPr>
      <w:r>
        <w:rPr>
          <w:sz w:val="20"/>
        </w:rPr>
        <w:t>Transmit power remains</w:t>
      </w:r>
      <w:r>
        <w:rPr>
          <w:spacing w:val="-11"/>
          <w:sz w:val="20"/>
        </w:rPr>
        <w:t> </w:t>
      </w:r>
      <w:r>
        <w:rPr>
          <w:sz w:val="20"/>
        </w:rPr>
        <w:t>constant.</w:t>
      </w:r>
    </w:p>
    <w:p>
      <w:pPr>
        <w:pStyle w:val="ListParagraph"/>
        <w:numPr>
          <w:ilvl w:val="5"/>
          <w:numId w:val="26"/>
        </w:numPr>
        <w:tabs>
          <w:tab w:pos="1986" w:val="left" w:leader="none"/>
        </w:tabs>
        <w:spacing w:line="240" w:lineRule="auto" w:before="179" w:after="0"/>
        <w:ind w:left="1985" w:right="1130" w:hanging="286"/>
        <w:jc w:val="both"/>
        <w:rPr>
          <w:sz w:val="20"/>
        </w:rPr>
      </w:pPr>
      <w:r>
        <w:rPr>
          <w:sz w:val="20"/>
        </w:rPr>
        <w:t>Send application layer message (e.g., BSM) periodically every 100 ms. Packet length shall be such that there is a one-to-one correspondence between packet and message; the packet size should remain constant throughout the</w:t>
      </w:r>
      <w:r>
        <w:rPr>
          <w:spacing w:val="-12"/>
          <w:sz w:val="20"/>
        </w:rPr>
        <w:t> </w:t>
      </w:r>
      <w:r>
        <w:rPr>
          <w:sz w:val="20"/>
        </w:rPr>
        <w:t>test.</w:t>
      </w:r>
    </w:p>
    <w:p>
      <w:pPr>
        <w:pStyle w:val="ListParagraph"/>
        <w:numPr>
          <w:ilvl w:val="4"/>
          <w:numId w:val="26"/>
        </w:numPr>
        <w:tabs>
          <w:tab w:pos="1702" w:val="left" w:leader="none"/>
        </w:tabs>
        <w:spacing w:line="240" w:lineRule="auto" w:before="179" w:after="0"/>
        <w:ind w:left="1702" w:right="0" w:hanging="286"/>
        <w:jc w:val="left"/>
        <w:rPr>
          <w:sz w:val="20"/>
        </w:rPr>
      </w:pPr>
      <w:r>
        <w:rPr>
          <w:sz w:val="20"/>
        </w:rPr>
        <w:t>Set the Signal Generator to produce zero AWGN power in the</w:t>
      </w:r>
      <w:r>
        <w:rPr>
          <w:spacing w:val="-28"/>
          <w:sz w:val="20"/>
        </w:rPr>
        <w:t> </w:t>
      </w:r>
      <w:r>
        <w:rPr>
          <w:sz w:val="20"/>
        </w:rPr>
        <w:t>channel.</w:t>
      </w:r>
    </w:p>
    <w:p>
      <w:pPr>
        <w:pStyle w:val="ListParagraph"/>
        <w:numPr>
          <w:ilvl w:val="4"/>
          <w:numId w:val="26"/>
        </w:numPr>
        <w:tabs>
          <w:tab w:pos="1702" w:val="left" w:leader="none"/>
        </w:tabs>
        <w:spacing w:line="240" w:lineRule="auto" w:before="179" w:after="0"/>
        <w:ind w:left="1702" w:right="1132" w:hanging="286"/>
        <w:jc w:val="left"/>
        <w:rPr>
          <w:sz w:val="20"/>
        </w:rPr>
      </w:pPr>
      <w:r>
        <w:rPr>
          <w:sz w:val="20"/>
        </w:rPr>
        <w:t>Set</w:t>
      </w:r>
      <w:r>
        <w:rPr>
          <w:spacing w:val="-3"/>
          <w:sz w:val="20"/>
        </w:rPr>
        <w:t> </w:t>
      </w:r>
      <w:r>
        <w:rPr>
          <w:sz w:val="20"/>
        </w:rPr>
        <w:t>the</w:t>
      </w:r>
      <w:r>
        <w:rPr>
          <w:spacing w:val="-2"/>
          <w:sz w:val="20"/>
        </w:rPr>
        <w:t> </w:t>
      </w:r>
      <w:r>
        <w:rPr>
          <w:sz w:val="20"/>
        </w:rPr>
        <w:t>Attenuator</w:t>
      </w:r>
      <w:r>
        <w:rPr>
          <w:spacing w:val="-1"/>
          <w:sz w:val="20"/>
        </w:rPr>
        <w:t> </w:t>
      </w:r>
      <w:r>
        <w:rPr>
          <w:sz w:val="20"/>
        </w:rPr>
        <w:t>to</w:t>
      </w:r>
      <w:r>
        <w:rPr>
          <w:spacing w:val="-3"/>
          <w:sz w:val="20"/>
        </w:rPr>
        <w:t> </w:t>
      </w:r>
      <w:r>
        <w:rPr>
          <w:sz w:val="20"/>
        </w:rPr>
        <w:t>an</w:t>
      </w:r>
      <w:r>
        <w:rPr>
          <w:spacing w:val="-3"/>
          <w:sz w:val="20"/>
        </w:rPr>
        <w:t> </w:t>
      </w:r>
      <w:r>
        <w:rPr>
          <w:sz w:val="20"/>
        </w:rPr>
        <w:t>attenuation</w:t>
      </w:r>
      <w:r>
        <w:rPr>
          <w:spacing w:val="-2"/>
          <w:sz w:val="20"/>
        </w:rPr>
        <w:t> </w:t>
      </w:r>
      <w:r>
        <w:rPr>
          <w:sz w:val="20"/>
        </w:rPr>
        <w:t>value</w:t>
      </w:r>
      <w:r>
        <w:rPr>
          <w:spacing w:val="-5"/>
          <w:sz w:val="20"/>
        </w:rPr>
        <w:t> </w:t>
      </w:r>
      <w:r>
        <w:rPr>
          <w:sz w:val="20"/>
        </w:rPr>
        <w:t>such</w:t>
      </w:r>
      <w:r>
        <w:rPr>
          <w:spacing w:val="-2"/>
          <w:sz w:val="20"/>
        </w:rPr>
        <w:t> </w:t>
      </w:r>
      <w:r>
        <w:rPr>
          <w:sz w:val="20"/>
        </w:rPr>
        <w:t>that</w:t>
      </w:r>
      <w:r>
        <w:rPr>
          <w:spacing w:val="-3"/>
          <w:sz w:val="20"/>
        </w:rPr>
        <w:t> </w:t>
      </w:r>
      <w:r>
        <w:rPr>
          <w:sz w:val="20"/>
        </w:rPr>
        <w:t>the</w:t>
      </w:r>
      <w:r>
        <w:rPr>
          <w:spacing w:val="-5"/>
          <w:sz w:val="20"/>
        </w:rPr>
        <w:t> </w:t>
      </w:r>
      <w:r>
        <w:rPr>
          <w:sz w:val="20"/>
        </w:rPr>
        <w:t>receive</w:t>
      </w:r>
      <w:r>
        <w:rPr>
          <w:spacing w:val="-5"/>
          <w:sz w:val="20"/>
        </w:rPr>
        <w:t> </w:t>
      </w:r>
      <w:r>
        <w:rPr>
          <w:sz w:val="20"/>
        </w:rPr>
        <w:t>signal</w:t>
      </w:r>
      <w:r>
        <w:rPr>
          <w:spacing w:val="2"/>
          <w:sz w:val="20"/>
        </w:rPr>
        <w:t> </w:t>
      </w:r>
      <w:r>
        <w:rPr>
          <w:sz w:val="20"/>
        </w:rPr>
        <w:t>power</w:t>
      </w:r>
      <w:r>
        <w:rPr>
          <w:spacing w:val="-4"/>
          <w:sz w:val="20"/>
        </w:rPr>
        <w:t> </w:t>
      </w:r>
      <w:r>
        <w:rPr>
          <w:sz w:val="20"/>
        </w:rPr>
        <w:t>measured</w:t>
      </w:r>
      <w:r>
        <w:rPr>
          <w:spacing w:val="-4"/>
          <w:sz w:val="20"/>
        </w:rPr>
        <w:t> </w:t>
      </w:r>
      <w:r>
        <w:rPr>
          <w:sz w:val="20"/>
        </w:rPr>
        <w:t>at</w:t>
      </w:r>
      <w:r>
        <w:rPr>
          <w:spacing w:val="-4"/>
          <w:sz w:val="20"/>
        </w:rPr>
        <w:t> </w:t>
      </w:r>
      <w:r>
        <w:rPr>
          <w:sz w:val="20"/>
        </w:rPr>
        <w:t>DUT</w:t>
      </w:r>
      <w:r>
        <w:rPr>
          <w:spacing w:val="-1"/>
          <w:sz w:val="20"/>
        </w:rPr>
        <w:t> </w:t>
      </w:r>
      <w:r>
        <w:rPr>
          <w:sz w:val="20"/>
        </w:rPr>
        <w:t>input</w:t>
      </w:r>
      <w:r>
        <w:rPr>
          <w:spacing w:val="-3"/>
          <w:sz w:val="20"/>
        </w:rPr>
        <w:t> </w:t>
      </w:r>
      <w:r>
        <w:rPr>
          <w:sz w:val="20"/>
        </w:rPr>
        <w:t>is 50 dBm per</w:t>
      </w:r>
      <w:r>
        <w:rPr>
          <w:spacing w:val="-6"/>
          <w:sz w:val="20"/>
        </w:rPr>
        <w:t> </w:t>
      </w:r>
      <w:r>
        <w:rPr>
          <w:sz w:val="20"/>
        </w:rPr>
        <w:t>Antenna.</w:t>
      </w:r>
    </w:p>
    <w:p>
      <w:pPr>
        <w:pStyle w:val="ListParagraph"/>
        <w:numPr>
          <w:ilvl w:val="4"/>
          <w:numId w:val="26"/>
        </w:numPr>
        <w:tabs>
          <w:tab w:pos="1702" w:val="left" w:leader="none"/>
        </w:tabs>
        <w:spacing w:line="240" w:lineRule="auto" w:before="179" w:after="0"/>
        <w:ind w:left="1702" w:right="1133" w:hanging="286"/>
        <w:jc w:val="left"/>
        <w:rPr>
          <w:sz w:val="20"/>
        </w:rPr>
      </w:pPr>
      <w:r>
        <w:rPr>
          <w:sz w:val="20"/>
        </w:rPr>
        <w:t>Adjust</w:t>
      </w:r>
      <w:r>
        <w:rPr>
          <w:spacing w:val="-14"/>
          <w:sz w:val="20"/>
        </w:rPr>
        <w:t> </w:t>
      </w:r>
      <w:r>
        <w:rPr>
          <w:sz w:val="20"/>
        </w:rPr>
        <w:t>the</w:t>
      </w:r>
      <w:r>
        <w:rPr>
          <w:spacing w:val="-12"/>
          <w:sz w:val="20"/>
        </w:rPr>
        <w:t> </w:t>
      </w:r>
      <w:r>
        <w:rPr>
          <w:sz w:val="20"/>
        </w:rPr>
        <w:t>power</w:t>
      </w:r>
      <w:r>
        <w:rPr>
          <w:spacing w:val="-13"/>
          <w:sz w:val="20"/>
        </w:rPr>
        <w:t> </w:t>
      </w:r>
      <w:r>
        <w:rPr>
          <w:sz w:val="20"/>
        </w:rPr>
        <w:t>of</w:t>
      </w:r>
      <w:r>
        <w:rPr>
          <w:spacing w:val="-12"/>
          <w:sz w:val="20"/>
        </w:rPr>
        <w:t> </w:t>
      </w:r>
      <w:r>
        <w:rPr>
          <w:sz w:val="20"/>
        </w:rPr>
        <w:t>the</w:t>
      </w:r>
      <w:r>
        <w:rPr>
          <w:spacing w:val="-15"/>
          <w:sz w:val="20"/>
        </w:rPr>
        <w:t> </w:t>
      </w:r>
      <w:r>
        <w:rPr>
          <w:sz w:val="20"/>
        </w:rPr>
        <w:t>noise</w:t>
      </w:r>
      <w:r>
        <w:rPr>
          <w:spacing w:val="-14"/>
          <w:sz w:val="20"/>
        </w:rPr>
        <w:t> </w:t>
      </w:r>
      <w:r>
        <w:rPr>
          <w:sz w:val="20"/>
        </w:rPr>
        <w:t>produced</w:t>
      </w:r>
      <w:r>
        <w:rPr>
          <w:spacing w:val="-14"/>
          <w:sz w:val="20"/>
        </w:rPr>
        <w:t> </w:t>
      </w:r>
      <w:r>
        <w:rPr>
          <w:sz w:val="20"/>
        </w:rPr>
        <w:t>by</w:t>
      </w:r>
      <w:r>
        <w:rPr>
          <w:spacing w:val="-17"/>
          <w:sz w:val="20"/>
        </w:rPr>
        <w:t> </w:t>
      </w:r>
      <w:r>
        <w:rPr>
          <w:sz w:val="20"/>
        </w:rPr>
        <w:t>the</w:t>
      </w:r>
      <w:r>
        <w:rPr>
          <w:spacing w:val="-14"/>
          <w:sz w:val="20"/>
        </w:rPr>
        <w:t> </w:t>
      </w:r>
      <w:r>
        <w:rPr>
          <w:sz w:val="20"/>
        </w:rPr>
        <w:t>Signal</w:t>
      </w:r>
      <w:r>
        <w:rPr>
          <w:spacing w:val="-15"/>
          <w:sz w:val="20"/>
        </w:rPr>
        <w:t> </w:t>
      </w:r>
      <w:r>
        <w:rPr>
          <w:sz w:val="20"/>
        </w:rPr>
        <w:t>Generator</w:t>
      </w:r>
      <w:r>
        <w:rPr>
          <w:spacing w:val="-13"/>
          <w:sz w:val="20"/>
        </w:rPr>
        <w:t> </w:t>
      </w:r>
      <w:r>
        <w:rPr>
          <w:sz w:val="20"/>
        </w:rPr>
        <w:t>to</w:t>
      </w:r>
      <w:r>
        <w:rPr>
          <w:spacing w:val="-14"/>
          <w:sz w:val="20"/>
        </w:rPr>
        <w:t> </w:t>
      </w:r>
      <w:r>
        <w:rPr>
          <w:sz w:val="20"/>
        </w:rPr>
        <w:t>exercise</w:t>
      </w:r>
      <w:r>
        <w:rPr>
          <w:spacing w:val="-14"/>
          <w:sz w:val="20"/>
        </w:rPr>
        <w:t> </w:t>
      </w:r>
      <w:r>
        <w:rPr>
          <w:sz w:val="20"/>
        </w:rPr>
        <w:t>performance</w:t>
      </w:r>
      <w:r>
        <w:rPr>
          <w:spacing w:val="-14"/>
          <w:sz w:val="20"/>
        </w:rPr>
        <w:t> </w:t>
      </w:r>
      <w:r>
        <w:rPr>
          <w:sz w:val="20"/>
        </w:rPr>
        <w:t>across</w:t>
      </w:r>
      <w:r>
        <w:rPr>
          <w:spacing w:val="-15"/>
          <w:sz w:val="20"/>
        </w:rPr>
        <w:t> </w:t>
      </w:r>
      <w:r>
        <w:rPr>
          <w:sz w:val="20"/>
        </w:rPr>
        <w:t>different levels of channel impairment as</w:t>
      </w:r>
      <w:r>
        <w:rPr>
          <w:spacing w:val="-18"/>
          <w:sz w:val="20"/>
        </w:rPr>
        <w:t> </w:t>
      </w:r>
      <w:r>
        <w:rPr>
          <w:sz w:val="20"/>
        </w:rPr>
        <w:t>follows:</w:t>
      </w:r>
    </w:p>
    <w:p>
      <w:pPr>
        <w:pStyle w:val="ListParagraph"/>
        <w:numPr>
          <w:ilvl w:val="5"/>
          <w:numId w:val="26"/>
        </w:numPr>
        <w:tabs>
          <w:tab w:pos="1986" w:val="left" w:leader="none"/>
        </w:tabs>
        <w:spacing w:line="240" w:lineRule="auto" w:before="177" w:after="0"/>
        <w:ind w:left="1985" w:right="0" w:hanging="286"/>
        <w:jc w:val="left"/>
        <w:rPr>
          <w:sz w:val="20"/>
        </w:rPr>
      </w:pPr>
      <w:r>
        <w:rPr>
          <w:sz w:val="20"/>
        </w:rPr>
        <w:t>Set the AWGN/Fader Box to produce 70 dBm of AWGN power in the</w:t>
      </w:r>
      <w:r>
        <w:rPr>
          <w:spacing w:val="-21"/>
          <w:sz w:val="20"/>
        </w:rPr>
        <w:t> </w:t>
      </w:r>
      <w:r>
        <w:rPr>
          <w:sz w:val="20"/>
        </w:rPr>
        <w:t>channel.</w:t>
      </w:r>
    </w:p>
    <w:p>
      <w:pPr>
        <w:pStyle w:val="ListParagraph"/>
        <w:numPr>
          <w:ilvl w:val="5"/>
          <w:numId w:val="26"/>
        </w:numPr>
        <w:tabs>
          <w:tab w:pos="1986" w:val="left" w:leader="none"/>
        </w:tabs>
        <w:spacing w:line="240" w:lineRule="auto" w:before="180" w:after="0"/>
        <w:ind w:left="1985" w:right="0" w:hanging="286"/>
        <w:jc w:val="left"/>
        <w:rPr>
          <w:sz w:val="20"/>
        </w:rPr>
      </w:pPr>
      <w:r>
        <w:rPr>
          <w:sz w:val="20"/>
        </w:rPr>
        <w:t>Measure/calculate PER at Device</w:t>
      </w:r>
      <w:r>
        <w:rPr>
          <w:spacing w:val="-11"/>
          <w:sz w:val="20"/>
        </w:rPr>
        <w:t> </w:t>
      </w:r>
      <w:r>
        <w:rPr>
          <w:sz w:val="20"/>
        </w:rPr>
        <w:t>2.</w:t>
      </w:r>
    </w:p>
    <w:p>
      <w:pPr>
        <w:pStyle w:val="ListParagraph"/>
        <w:numPr>
          <w:ilvl w:val="5"/>
          <w:numId w:val="26"/>
        </w:numPr>
        <w:tabs>
          <w:tab w:pos="1986" w:val="left" w:leader="none"/>
        </w:tabs>
        <w:spacing w:line="240" w:lineRule="auto" w:before="180" w:after="0"/>
        <w:ind w:left="1985" w:right="1139" w:hanging="286"/>
        <w:jc w:val="left"/>
        <w:rPr>
          <w:sz w:val="20"/>
        </w:rPr>
      </w:pPr>
      <w:r>
        <w:rPr>
          <w:sz w:val="20"/>
        </w:rPr>
        <w:t>Adjust the Signal Generator to increase the AWGN power in the channel (suggested step size 10 dBm until BLER</w:t>
      </w:r>
      <w:r>
        <w:rPr>
          <w:spacing w:val="-8"/>
          <w:sz w:val="20"/>
        </w:rPr>
        <w:t> </w:t>
      </w:r>
      <w:r>
        <w:rPr>
          <w:sz w:val="20"/>
        </w:rPr>
        <w:t>appears).</w:t>
      </w:r>
    </w:p>
    <w:p>
      <w:pPr>
        <w:pStyle w:val="ListParagraph"/>
        <w:numPr>
          <w:ilvl w:val="5"/>
          <w:numId w:val="26"/>
        </w:numPr>
        <w:tabs>
          <w:tab w:pos="1986" w:val="left" w:leader="none"/>
        </w:tabs>
        <w:spacing w:line="240" w:lineRule="auto" w:before="180" w:after="0"/>
        <w:ind w:left="1985" w:right="0" w:hanging="286"/>
        <w:jc w:val="left"/>
        <w:rPr>
          <w:sz w:val="20"/>
        </w:rPr>
      </w:pPr>
      <w:r>
        <w:rPr>
          <w:sz w:val="20"/>
        </w:rPr>
        <w:t>Once BLER appears, increase AWGN power with 0.1</w:t>
      </w:r>
      <w:r>
        <w:rPr>
          <w:spacing w:val="-15"/>
          <w:sz w:val="20"/>
        </w:rPr>
        <w:t> </w:t>
      </w:r>
      <w:r>
        <w:rPr>
          <w:sz w:val="20"/>
        </w:rPr>
        <w:t>dBm.</w:t>
      </w:r>
    </w:p>
    <w:p>
      <w:pPr>
        <w:pStyle w:val="ListParagraph"/>
        <w:numPr>
          <w:ilvl w:val="5"/>
          <w:numId w:val="26"/>
        </w:numPr>
        <w:tabs>
          <w:tab w:pos="1986" w:val="left" w:leader="none"/>
        </w:tabs>
        <w:spacing w:line="240" w:lineRule="auto" w:before="177" w:after="0"/>
        <w:ind w:left="1985" w:right="0" w:hanging="286"/>
        <w:jc w:val="left"/>
        <w:rPr>
          <w:sz w:val="20"/>
        </w:rPr>
      </w:pPr>
      <w:r>
        <w:rPr>
          <w:sz w:val="20"/>
        </w:rPr>
        <w:t>Measure/calculate PER at Device 2 (should be greater than</w:t>
      </w:r>
      <w:r>
        <w:rPr>
          <w:spacing w:val="-18"/>
          <w:sz w:val="20"/>
        </w:rPr>
        <w:t> </w:t>
      </w:r>
      <w:r>
        <w:rPr>
          <w:sz w:val="20"/>
        </w:rPr>
        <w:t>before).</w:t>
      </w:r>
    </w:p>
    <w:p>
      <w:pPr>
        <w:pStyle w:val="ListParagraph"/>
        <w:numPr>
          <w:ilvl w:val="5"/>
          <w:numId w:val="26"/>
        </w:numPr>
        <w:tabs>
          <w:tab w:pos="1986" w:val="left" w:leader="none"/>
        </w:tabs>
        <w:spacing w:line="240" w:lineRule="auto" w:before="180" w:after="0"/>
        <w:ind w:left="1985" w:right="0" w:hanging="286"/>
        <w:jc w:val="left"/>
        <w:rPr>
          <w:sz w:val="20"/>
        </w:rPr>
      </w:pPr>
      <w:r>
        <w:rPr>
          <w:sz w:val="20"/>
        </w:rPr>
        <w:t>Repeat steps d and e until PER reaches</w:t>
      </w:r>
      <w:r>
        <w:rPr>
          <w:spacing w:val="-15"/>
          <w:sz w:val="20"/>
        </w:rPr>
        <w:t> </w:t>
      </w:r>
      <w:r>
        <w:rPr>
          <w:sz w:val="20"/>
        </w:rPr>
        <w:t>100%.</w:t>
      </w:r>
    </w:p>
    <w:p>
      <w:pPr>
        <w:pStyle w:val="ListParagraph"/>
        <w:numPr>
          <w:ilvl w:val="4"/>
          <w:numId w:val="26"/>
        </w:numPr>
        <w:tabs>
          <w:tab w:pos="1417" w:val="left" w:leader="none"/>
        </w:tabs>
        <w:spacing w:line="240" w:lineRule="auto" w:before="180" w:after="0"/>
        <w:ind w:left="1416" w:right="0" w:hanging="283"/>
        <w:jc w:val="both"/>
        <w:rPr>
          <w:sz w:val="20"/>
        </w:rPr>
      </w:pPr>
      <w:r>
        <w:rPr>
          <w:sz w:val="20"/>
        </w:rPr>
        <w:t>Record to a log file these statistics on the Receive Device (Device 2) at every noise power</w:t>
      </w:r>
      <w:r>
        <w:rPr>
          <w:spacing w:val="-34"/>
          <w:sz w:val="20"/>
        </w:rPr>
        <w:t> </w:t>
      </w:r>
      <w:r>
        <w:rPr>
          <w:sz w:val="20"/>
        </w:rPr>
        <w:t>value:</w:t>
      </w:r>
    </w:p>
    <w:p>
      <w:pPr>
        <w:pStyle w:val="ListParagraph"/>
        <w:numPr>
          <w:ilvl w:val="0"/>
          <w:numId w:val="28"/>
        </w:numPr>
        <w:tabs>
          <w:tab w:pos="1701" w:val="left" w:leader="none"/>
          <w:tab w:pos="1702" w:val="left" w:leader="none"/>
        </w:tabs>
        <w:spacing w:line="240" w:lineRule="auto" w:before="180" w:after="0"/>
        <w:ind w:left="1701" w:right="0" w:hanging="285"/>
        <w:jc w:val="left"/>
        <w:rPr>
          <w:sz w:val="20"/>
        </w:rPr>
      </w:pPr>
      <w:r>
        <w:rPr>
          <w:sz w:val="20"/>
        </w:rPr>
        <w:t>OS timestamp for each Tx/Rx</w:t>
      </w:r>
      <w:r>
        <w:rPr>
          <w:spacing w:val="-7"/>
          <w:sz w:val="20"/>
        </w:rPr>
        <w:t> </w:t>
      </w:r>
      <w:r>
        <w:rPr>
          <w:sz w:val="20"/>
        </w:rPr>
        <w:t>packet.</w:t>
      </w:r>
    </w:p>
    <w:p>
      <w:pPr>
        <w:pStyle w:val="ListParagraph"/>
        <w:numPr>
          <w:ilvl w:val="0"/>
          <w:numId w:val="28"/>
        </w:numPr>
        <w:tabs>
          <w:tab w:pos="1701" w:val="left" w:leader="none"/>
          <w:tab w:pos="1702" w:val="left" w:leader="none"/>
        </w:tabs>
        <w:spacing w:line="240" w:lineRule="auto" w:before="180" w:after="0"/>
        <w:ind w:left="1701" w:right="0" w:hanging="285"/>
        <w:jc w:val="left"/>
        <w:rPr>
          <w:sz w:val="20"/>
        </w:rPr>
      </w:pPr>
      <w:r>
        <w:rPr>
          <w:sz w:val="20"/>
        </w:rPr>
        <w:t>Sequence number for each Tx/Rx</w:t>
      </w:r>
      <w:r>
        <w:rPr>
          <w:spacing w:val="-10"/>
          <w:sz w:val="20"/>
        </w:rPr>
        <w:t> </w:t>
      </w:r>
      <w:r>
        <w:rPr>
          <w:sz w:val="20"/>
        </w:rPr>
        <w:t>packet</w:t>
      </w:r>
    </w:p>
    <w:p>
      <w:pPr>
        <w:pStyle w:val="BodyText"/>
        <w:rPr>
          <w:sz w:val="26"/>
        </w:rPr>
      </w:pPr>
    </w:p>
    <w:p>
      <w:pPr>
        <w:pStyle w:val="ListParagraph"/>
        <w:numPr>
          <w:ilvl w:val="3"/>
          <w:numId w:val="26"/>
        </w:numPr>
        <w:tabs>
          <w:tab w:pos="2552" w:val="left" w:leader="none"/>
        </w:tabs>
        <w:spacing w:line="240" w:lineRule="auto" w:before="0" w:after="0"/>
        <w:ind w:left="2551" w:right="0" w:hanging="1418"/>
        <w:jc w:val="both"/>
        <w:rPr>
          <w:sz w:val="24"/>
        </w:rPr>
      </w:pPr>
      <w:r>
        <w:rPr>
          <w:sz w:val="24"/>
        </w:rPr>
        <w:t>Unique Tests to</w:t>
      </w:r>
      <w:r>
        <w:rPr>
          <w:spacing w:val="-9"/>
          <w:sz w:val="24"/>
        </w:rPr>
        <w:t> </w:t>
      </w:r>
      <w:r>
        <w:rPr>
          <w:sz w:val="24"/>
        </w:rPr>
        <w:t>Conduct</w:t>
      </w:r>
    </w:p>
    <w:p>
      <w:pPr>
        <w:pStyle w:val="BodyText"/>
        <w:spacing w:before="181"/>
        <w:ind w:left="1133"/>
        <w:jc w:val="both"/>
      </w:pPr>
      <w:r>
        <w:rPr/>
        <w:t>Run this test using:</w:t>
      </w:r>
    </w:p>
    <w:p>
      <w:pPr>
        <w:pStyle w:val="BodyText"/>
        <w:spacing w:before="177"/>
        <w:ind w:left="1416"/>
      </w:pPr>
      <w:r>
        <w:rPr/>
        <w:t>Two (2) C-V2X devices for the test</w:t>
      </w:r>
    </w:p>
    <w:p>
      <w:pPr>
        <w:pStyle w:val="BodyText"/>
        <w:spacing w:before="10"/>
        <w:rPr>
          <w:sz w:val="25"/>
        </w:rPr>
      </w:pPr>
    </w:p>
    <w:p>
      <w:pPr>
        <w:pStyle w:val="Heading5"/>
        <w:numPr>
          <w:ilvl w:val="3"/>
          <w:numId w:val="26"/>
        </w:numPr>
        <w:tabs>
          <w:tab w:pos="2552" w:val="left" w:leader="none"/>
        </w:tabs>
        <w:spacing w:line="240" w:lineRule="auto" w:before="1" w:after="0"/>
        <w:ind w:left="2551" w:right="0" w:hanging="1418"/>
        <w:jc w:val="both"/>
        <w:rPr>
          <w:rFonts w:ascii="Arial"/>
        </w:rPr>
      </w:pPr>
      <w:r>
        <w:rPr>
          <w:rFonts w:ascii="Arial"/>
        </w:rPr>
        <w:t>Required</w:t>
      </w:r>
      <w:r>
        <w:rPr>
          <w:rFonts w:ascii="Arial"/>
          <w:spacing w:val="-9"/>
        </w:rPr>
        <w:t> </w:t>
      </w:r>
      <w:r>
        <w:rPr>
          <w:rFonts w:ascii="Arial"/>
        </w:rPr>
        <w:t>Documentation</w:t>
      </w:r>
    </w:p>
    <w:p>
      <w:pPr>
        <w:pStyle w:val="BodyText"/>
        <w:spacing w:before="181"/>
        <w:ind w:left="1133" w:right="1128"/>
        <w:jc w:val="both"/>
      </w:pPr>
      <w:r>
        <w:rPr/>
        <w:t>Tables 13 through 18 show the data we collected from log files. IPG and latency values are captured for runs in which PER is &lt; 10%. Note that the IPG and latency values are rounded off to the nearest integer. Noise Power Spectral Density (PSD) is calculated from actual Noise power or from the knowledge of Signal power and SNR. PSD is calculated per Hz in terms of dBm and hence we also need to convert into a Logarithmic scale. For example, total noise power of -60 dBm for 10 MHz BW (~ 70 dB) is equivalent to -130 dBm PSD.</w:t>
      </w:r>
    </w:p>
    <w:p>
      <w:pPr>
        <w:spacing w:after="0"/>
        <w:jc w:val="both"/>
        <w:sectPr>
          <w:headerReference w:type="default" r:id="rId235"/>
          <w:pgSz w:w="11910" w:h="16850"/>
          <w:pgMar w:header="852" w:footer="979" w:top="1040" w:bottom="1160" w:left="0" w:right="0"/>
        </w:sectPr>
      </w:pPr>
    </w:p>
    <w:p>
      <w:pPr>
        <w:pStyle w:val="BodyText"/>
        <w:rPr>
          <w:sz w:val="23"/>
        </w:rPr>
      </w:pPr>
    </w:p>
    <w:p>
      <w:pPr>
        <w:pStyle w:val="Heading7"/>
        <w:spacing w:before="93"/>
      </w:pPr>
      <w:r>
        <w:rPr/>
        <w:t>Table 13: C-V2X Harq Enabled Results – PER</w:t>
      </w:r>
    </w:p>
    <w:p>
      <w:pPr>
        <w:pStyle w:val="BodyText"/>
        <w:spacing w:before="2"/>
        <w:rPr>
          <w:b/>
          <w:sz w:val="16"/>
        </w:rPr>
      </w:pPr>
    </w:p>
    <w:tbl>
      <w:tblPr>
        <w:tblW w:w="0" w:type="auto"/>
        <w:jc w:val="left"/>
        <w:tblInd w:w="2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2"/>
        <w:gridCol w:w="1796"/>
        <w:gridCol w:w="1801"/>
        <w:gridCol w:w="1709"/>
      </w:tblGrid>
      <w:tr>
        <w:trPr>
          <w:trHeight w:val="424" w:hRule="exact"/>
        </w:trPr>
        <w:tc>
          <w:tcPr>
            <w:tcW w:w="1712" w:type="dxa"/>
            <w:shd w:val="clear" w:color="auto" w:fill="D9D9D9"/>
          </w:tcPr>
          <w:p>
            <w:pPr>
              <w:pStyle w:val="TableParagraph"/>
              <w:spacing w:line="240" w:lineRule="auto"/>
              <w:ind w:right="101"/>
              <w:rPr>
                <w:b/>
                <w:sz w:val="18"/>
              </w:rPr>
            </w:pPr>
            <w:r>
              <w:rPr>
                <w:b/>
                <w:sz w:val="18"/>
              </w:rPr>
              <w:t>Signal Generator Setting</w:t>
            </w:r>
          </w:p>
        </w:tc>
        <w:tc>
          <w:tcPr>
            <w:tcW w:w="1796" w:type="dxa"/>
            <w:shd w:val="clear" w:color="auto" w:fill="D9D9D9"/>
          </w:tcPr>
          <w:p>
            <w:pPr>
              <w:pStyle w:val="TableParagraph"/>
              <w:spacing w:line="240" w:lineRule="auto"/>
              <w:rPr>
                <w:b/>
                <w:sz w:val="18"/>
              </w:rPr>
            </w:pPr>
            <w:r>
              <w:rPr>
                <w:b/>
                <w:sz w:val="18"/>
              </w:rPr>
              <w:t>No. of Transmitted pkts</w:t>
            </w:r>
          </w:p>
        </w:tc>
        <w:tc>
          <w:tcPr>
            <w:tcW w:w="1801" w:type="dxa"/>
            <w:shd w:val="clear" w:color="auto" w:fill="D9D9D9"/>
          </w:tcPr>
          <w:p>
            <w:pPr>
              <w:pStyle w:val="TableParagraph"/>
              <w:spacing w:line="240" w:lineRule="auto"/>
              <w:rPr>
                <w:b/>
                <w:sz w:val="18"/>
              </w:rPr>
            </w:pPr>
            <w:r>
              <w:rPr>
                <w:b/>
                <w:sz w:val="18"/>
              </w:rPr>
              <w:t>No. of Received pkts</w:t>
            </w:r>
          </w:p>
        </w:tc>
        <w:tc>
          <w:tcPr>
            <w:tcW w:w="1709" w:type="dxa"/>
            <w:shd w:val="clear" w:color="auto" w:fill="D9D9D9"/>
          </w:tcPr>
          <w:p>
            <w:pPr>
              <w:pStyle w:val="TableParagraph"/>
              <w:tabs>
                <w:tab w:pos="1438" w:val="left" w:leader="none"/>
              </w:tabs>
              <w:spacing w:line="240" w:lineRule="auto"/>
              <w:ind w:right="101"/>
              <w:rPr>
                <w:b/>
                <w:sz w:val="18"/>
              </w:rPr>
            </w:pPr>
            <w:r>
              <w:rPr>
                <w:b/>
                <w:sz w:val="18"/>
              </w:rPr>
              <w:t>Calculated</w:t>
              <w:tab/>
            </w:r>
            <w:r>
              <w:rPr>
                <w:b/>
                <w:spacing w:val="-1"/>
                <w:sz w:val="18"/>
              </w:rPr>
              <w:t>at </w:t>
            </w:r>
            <w:r>
              <w:rPr>
                <w:b/>
                <w:sz w:val="18"/>
              </w:rPr>
              <w:t>Receiver</w:t>
            </w:r>
          </w:p>
        </w:tc>
      </w:tr>
      <w:tr>
        <w:trPr>
          <w:trHeight w:val="424" w:hRule="exact"/>
        </w:trPr>
        <w:tc>
          <w:tcPr>
            <w:tcW w:w="1712" w:type="dxa"/>
            <w:shd w:val="clear" w:color="auto" w:fill="D9D9D9"/>
          </w:tcPr>
          <w:p>
            <w:pPr>
              <w:pStyle w:val="TableParagraph"/>
              <w:tabs>
                <w:tab w:pos="1228" w:val="left" w:leader="none"/>
              </w:tabs>
              <w:spacing w:line="240" w:lineRule="auto"/>
              <w:ind w:right="101"/>
              <w:rPr>
                <w:b/>
                <w:sz w:val="18"/>
              </w:rPr>
            </w:pPr>
            <w:r>
              <w:rPr>
                <w:b/>
                <w:sz w:val="18"/>
              </w:rPr>
              <w:t>Noise</w:t>
              <w:tab/>
              <w:t>PSD dBm/Hz</w:t>
            </w:r>
          </w:p>
        </w:tc>
        <w:tc>
          <w:tcPr>
            <w:tcW w:w="1796" w:type="dxa"/>
            <w:shd w:val="clear" w:color="auto" w:fill="D9D9D9"/>
          </w:tcPr>
          <w:p>
            <w:pPr>
              <w:pStyle w:val="TableParagraph"/>
              <w:spacing w:line="240" w:lineRule="auto" w:before="98"/>
              <w:rPr>
                <w:b/>
                <w:sz w:val="18"/>
              </w:rPr>
            </w:pPr>
            <w:r>
              <w:rPr>
                <w:b/>
                <w:sz w:val="18"/>
              </w:rPr>
              <w:t>Tx Device</w:t>
            </w:r>
          </w:p>
        </w:tc>
        <w:tc>
          <w:tcPr>
            <w:tcW w:w="1801" w:type="dxa"/>
            <w:shd w:val="clear" w:color="auto" w:fill="D9D9D9"/>
          </w:tcPr>
          <w:p>
            <w:pPr>
              <w:pStyle w:val="TableParagraph"/>
              <w:spacing w:line="240" w:lineRule="auto" w:before="98"/>
              <w:rPr>
                <w:b/>
                <w:sz w:val="18"/>
              </w:rPr>
            </w:pPr>
            <w:r>
              <w:rPr>
                <w:b/>
                <w:sz w:val="18"/>
              </w:rPr>
              <w:t>Rx Device</w:t>
            </w:r>
          </w:p>
        </w:tc>
        <w:tc>
          <w:tcPr>
            <w:tcW w:w="1709" w:type="dxa"/>
            <w:shd w:val="clear" w:color="auto" w:fill="D9D9D9"/>
          </w:tcPr>
          <w:p>
            <w:pPr>
              <w:pStyle w:val="TableParagraph"/>
              <w:spacing w:line="240" w:lineRule="auto" w:before="98"/>
              <w:rPr>
                <w:b/>
                <w:sz w:val="18"/>
              </w:rPr>
            </w:pPr>
            <w:r>
              <w:rPr>
                <w:b/>
                <w:sz w:val="18"/>
              </w:rPr>
              <w:t>PER %</w:t>
            </w:r>
          </w:p>
        </w:tc>
      </w:tr>
      <w:tr>
        <w:trPr>
          <w:trHeight w:val="218" w:hRule="exact"/>
        </w:trPr>
        <w:tc>
          <w:tcPr>
            <w:tcW w:w="1712" w:type="dxa"/>
          </w:tcPr>
          <w:p>
            <w:pPr>
              <w:pStyle w:val="TableParagraph"/>
              <w:rPr>
                <w:sz w:val="18"/>
              </w:rPr>
            </w:pPr>
            <w:r>
              <w:rPr>
                <w:sz w:val="18"/>
              </w:rPr>
              <w:t>-139.54</w:t>
            </w:r>
          </w:p>
        </w:tc>
        <w:tc>
          <w:tcPr>
            <w:tcW w:w="1796" w:type="dxa"/>
          </w:tcPr>
          <w:p>
            <w:pPr>
              <w:pStyle w:val="TableParagraph"/>
              <w:rPr>
                <w:sz w:val="18"/>
              </w:rPr>
            </w:pPr>
            <w:r>
              <w:rPr>
                <w:sz w:val="18"/>
              </w:rPr>
              <w:t>10000</w:t>
            </w:r>
          </w:p>
        </w:tc>
        <w:tc>
          <w:tcPr>
            <w:tcW w:w="1801" w:type="dxa"/>
          </w:tcPr>
          <w:p>
            <w:pPr>
              <w:pStyle w:val="TableParagraph"/>
              <w:rPr>
                <w:sz w:val="18"/>
              </w:rPr>
            </w:pPr>
            <w:r>
              <w:rPr>
                <w:sz w:val="18"/>
              </w:rPr>
              <w:t>10000</w:t>
            </w:r>
          </w:p>
        </w:tc>
        <w:tc>
          <w:tcPr>
            <w:tcW w:w="1709" w:type="dxa"/>
          </w:tcPr>
          <w:p>
            <w:pPr>
              <w:pStyle w:val="TableParagraph"/>
              <w:rPr>
                <w:sz w:val="18"/>
              </w:rPr>
            </w:pPr>
            <w:r>
              <w:rPr>
                <w:w w:val="99"/>
                <w:sz w:val="18"/>
              </w:rPr>
              <w:t>0</w:t>
            </w:r>
          </w:p>
        </w:tc>
      </w:tr>
      <w:tr>
        <w:trPr>
          <w:trHeight w:val="216" w:hRule="exact"/>
        </w:trPr>
        <w:tc>
          <w:tcPr>
            <w:tcW w:w="1712" w:type="dxa"/>
          </w:tcPr>
          <w:p>
            <w:pPr>
              <w:pStyle w:val="TableParagraph"/>
              <w:rPr>
                <w:sz w:val="18"/>
              </w:rPr>
            </w:pPr>
            <w:r>
              <w:rPr>
                <w:sz w:val="18"/>
              </w:rPr>
              <w:t>-129.54</w:t>
            </w:r>
          </w:p>
        </w:tc>
        <w:tc>
          <w:tcPr>
            <w:tcW w:w="1796" w:type="dxa"/>
          </w:tcPr>
          <w:p>
            <w:pPr>
              <w:pStyle w:val="TableParagraph"/>
              <w:rPr>
                <w:sz w:val="18"/>
              </w:rPr>
            </w:pPr>
            <w:r>
              <w:rPr>
                <w:sz w:val="18"/>
              </w:rPr>
              <w:t>10000</w:t>
            </w:r>
          </w:p>
        </w:tc>
        <w:tc>
          <w:tcPr>
            <w:tcW w:w="1801" w:type="dxa"/>
          </w:tcPr>
          <w:p>
            <w:pPr>
              <w:pStyle w:val="TableParagraph"/>
              <w:rPr>
                <w:sz w:val="18"/>
              </w:rPr>
            </w:pPr>
            <w:r>
              <w:rPr>
                <w:sz w:val="18"/>
              </w:rPr>
              <w:t>10000</w:t>
            </w:r>
          </w:p>
        </w:tc>
        <w:tc>
          <w:tcPr>
            <w:tcW w:w="1709" w:type="dxa"/>
          </w:tcPr>
          <w:p>
            <w:pPr>
              <w:pStyle w:val="TableParagraph"/>
              <w:rPr>
                <w:sz w:val="18"/>
              </w:rPr>
            </w:pPr>
            <w:r>
              <w:rPr>
                <w:w w:val="99"/>
                <w:sz w:val="18"/>
              </w:rPr>
              <w:t>0</w:t>
            </w:r>
          </w:p>
        </w:tc>
      </w:tr>
      <w:tr>
        <w:trPr>
          <w:trHeight w:val="216" w:hRule="exact"/>
        </w:trPr>
        <w:tc>
          <w:tcPr>
            <w:tcW w:w="1712" w:type="dxa"/>
          </w:tcPr>
          <w:p>
            <w:pPr>
              <w:pStyle w:val="TableParagraph"/>
              <w:rPr>
                <w:sz w:val="18"/>
              </w:rPr>
            </w:pPr>
            <w:r>
              <w:rPr>
                <w:sz w:val="18"/>
              </w:rPr>
              <w:t>-119.54</w:t>
            </w:r>
          </w:p>
        </w:tc>
        <w:tc>
          <w:tcPr>
            <w:tcW w:w="1796" w:type="dxa"/>
          </w:tcPr>
          <w:p>
            <w:pPr>
              <w:pStyle w:val="TableParagraph"/>
              <w:rPr>
                <w:sz w:val="18"/>
              </w:rPr>
            </w:pPr>
            <w:r>
              <w:rPr>
                <w:sz w:val="18"/>
              </w:rPr>
              <w:t>10000</w:t>
            </w:r>
          </w:p>
        </w:tc>
        <w:tc>
          <w:tcPr>
            <w:tcW w:w="1801" w:type="dxa"/>
          </w:tcPr>
          <w:p>
            <w:pPr>
              <w:pStyle w:val="TableParagraph"/>
              <w:rPr>
                <w:sz w:val="18"/>
              </w:rPr>
            </w:pPr>
            <w:r>
              <w:rPr>
                <w:sz w:val="18"/>
              </w:rPr>
              <w:t>10000</w:t>
            </w:r>
          </w:p>
        </w:tc>
        <w:tc>
          <w:tcPr>
            <w:tcW w:w="1709" w:type="dxa"/>
          </w:tcPr>
          <w:p>
            <w:pPr>
              <w:pStyle w:val="TableParagraph"/>
              <w:rPr>
                <w:sz w:val="18"/>
              </w:rPr>
            </w:pPr>
            <w:r>
              <w:rPr>
                <w:w w:val="99"/>
                <w:sz w:val="18"/>
              </w:rPr>
              <w:t>0</w:t>
            </w:r>
          </w:p>
        </w:tc>
      </w:tr>
      <w:tr>
        <w:trPr>
          <w:trHeight w:val="218" w:hRule="exact"/>
        </w:trPr>
        <w:tc>
          <w:tcPr>
            <w:tcW w:w="1712" w:type="dxa"/>
          </w:tcPr>
          <w:p>
            <w:pPr>
              <w:pStyle w:val="TableParagraph"/>
              <w:spacing w:line="240" w:lineRule="auto" w:before="1"/>
              <w:rPr>
                <w:sz w:val="18"/>
              </w:rPr>
            </w:pPr>
            <w:r>
              <w:rPr>
                <w:sz w:val="18"/>
              </w:rPr>
              <w:t>-111.54</w:t>
            </w:r>
          </w:p>
        </w:tc>
        <w:tc>
          <w:tcPr>
            <w:tcW w:w="1796" w:type="dxa"/>
          </w:tcPr>
          <w:p>
            <w:pPr>
              <w:pStyle w:val="TableParagraph"/>
              <w:spacing w:line="240" w:lineRule="auto" w:before="1"/>
              <w:rPr>
                <w:sz w:val="18"/>
              </w:rPr>
            </w:pPr>
            <w:r>
              <w:rPr>
                <w:sz w:val="18"/>
              </w:rPr>
              <w:t>10000</w:t>
            </w:r>
          </w:p>
        </w:tc>
        <w:tc>
          <w:tcPr>
            <w:tcW w:w="1801" w:type="dxa"/>
          </w:tcPr>
          <w:p>
            <w:pPr>
              <w:pStyle w:val="TableParagraph"/>
              <w:spacing w:line="240" w:lineRule="auto" w:before="1"/>
              <w:rPr>
                <w:sz w:val="18"/>
              </w:rPr>
            </w:pPr>
            <w:r>
              <w:rPr>
                <w:sz w:val="18"/>
              </w:rPr>
              <w:t>9922</w:t>
            </w:r>
          </w:p>
        </w:tc>
        <w:tc>
          <w:tcPr>
            <w:tcW w:w="1709" w:type="dxa"/>
          </w:tcPr>
          <w:p>
            <w:pPr>
              <w:pStyle w:val="TableParagraph"/>
              <w:spacing w:line="240" w:lineRule="auto" w:before="1"/>
              <w:rPr>
                <w:sz w:val="18"/>
              </w:rPr>
            </w:pPr>
            <w:r>
              <w:rPr>
                <w:sz w:val="18"/>
              </w:rPr>
              <w:t>0.78</w:t>
            </w:r>
          </w:p>
        </w:tc>
      </w:tr>
      <w:tr>
        <w:trPr>
          <w:trHeight w:val="216" w:hRule="exact"/>
        </w:trPr>
        <w:tc>
          <w:tcPr>
            <w:tcW w:w="1712" w:type="dxa"/>
          </w:tcPr>
          <w:p>
            <w:pPr>
              <w:pStyle w:val="TableParagraph"/>
              <w:rPr>
                <w:sz w:val="18"/>
              </w:rPr>
            </w:pPr>
            <w:r>
              <w:rPr>
                <w:sz w:val="18"/>
              </w:rPr>
              <w:t>-111.44</w:t>
            </w:r>
          </w:p>
        </w:tc>
        <w:tc>
          <w:tcPr>
            <w:tcW w:w="1796" w:type="dxa"/>
          </w:tcPr>
          <w:p>
            <w:pPr>
              <w:pStyle w:val="TableParagraph"/>
              <w:rPr>
                <w:sz w:val="18"/>
              </w:rPr>
            </w:pPr>
            <w:r>
              <w:rPr>
                <w:sz w:val="18"/>
              </w:rPr>
              <w:t>10000</w:t>
            </w:r>
          </w:p>
        </w:tc>
        <w:tc>
          <w:tcPr>
            <w:tcW w:w="1801" w:type="dxa"/>
          </w:tcPr>
          <w:p>
            <w:pPr>
              <w:pStyle w:val="TableParagraph"/>
              <w:rPr>
                <w:sz w:val="18"/>
              </w:rPr>
            </w:pPr>
            <w:r>
              <w:rPr>
                <w:sz w:val="18"/>
              </w:rPr>
              <w:t>9700</w:t>
            </w:r>
          </w:p>
        </w:tc>
        <w:tc>
          <w:tcPr>
            <w:tcW w:w="1709" w:type="dxa"/>
          </w:tcPr>
          <w:p>
            <w:pPr>
              <w:pStyle w:val="TableParagraph"/>
              <w:rPr>
                <w:sz w:val="18"/>
              </w:rPr>
            </w:pPr>
            <w:r>
              <w:rPr>
                <w:w w:val="99"/>
                <w:sz w:val="18"/>
              </w:rPr>
              <w:t>3</w:t>
            </w:r>
          </w:p>
        </w:tc>
      </w:tr>
      <w:tr>
        <w:trPr>
          <w:trHeight w:val="218" w:hRule="exact"/>
        </w:trPr>
        <w:tc>
          <w:tcPr>
            <w:tcW w:w="1712" w:type="dxa"/>
          </w:tcPr>
          <w:p>
            <w:pPr>
              <w:pStyle w:val="TableParagraph"/>
              <w:rPr>
                <w:sz w:val="18"/>
              </w:rPr>
            </w:pPr>
            <w:r>
              <w:rPr>
                <w:sz w:val="18"/>
              </w:rPr>
              <w:t>-111.34</w:t>
            </w:r>
          </w:p>
        </w:tc>
        <w:tc>
          <w:tcPr>
            <w:tcW w:w="1796" w:type="dxa"/>
          </w:tcPr>
          <w:p>
            <w:pPr>
              <w:pStyle w:val="TableParagraph"/>
              <w:rPr>
                <w:sz w:val="18"/>
              </w:rPr>
            </w:pPr>
            <w:r>
              <w:rPr>
                <w:sz w:val="18"/>
              </w:rPr>
              <w:t>10000</w:t>
            </w:r>
          </w:p>
        </w:tc>
        <w:tc>
          <w:tcPr>
            <w:tcW w:w="1801" w:type="dxa"/>
          </w:tcPr>
          <w:p>
            <w:pPr>
              <w:pStyle w:val="TableParagraph"/>
              <w:rPr>
                <w:sz w:val="18"/>
              </w:rPr>
            </w:pPr>
            <w:r>
              <w:rPr>
                <w:sz w:val="18"/>
              </w:rPr>
              <w:t>9383</w:t>
            </w:r>
          </w:p>
        </w:tc>
        <w:tc>
          <w:tcPr>
            <w:tcW w:w="1709" w:type="dxa"/>
          </w:tcPr>
          <w:p>
            <w:pPr>
              <w:pStyle w:val="TableParagraph"/>
              <w:rPr>
                <w:sz w:val="18"/>
              </w:rPr>
            </w:pPr>
            <w:r>
              <w:rPr>
                <w:sz w:val="18"/>
              </w:rPr>
              <w:t>6.17</w:t>
            </w:r>
          </w:p>
        </w:tc>
      </w:tr>
      <w:tr>
        <w:trPr>
          <w:trHeight w:val="216" w:hRule="exact"/>
        </w:trPr>
        <w:tc>
          <w:tcPr>
            <w:tcW w:w="1712" w:type="dxa"/>
          </w:tcPr>
          <w:p>
            <w:pPr>
              <w:pStyle w:val="TableParagraph"/>
              <w:rPr>
                <w:sz w:val="18"/>
              </w:rPr>
            </w:pPr>
            <w:r>
              <w:rPr>
                <w:sz w:val="18"/>
              </w:rPr>
              <w:t>-111.24</w:t>
            </w:r>
          </w:p>
        </w:tc>
        <w:tc>
          <w:tcPr>
            <w:tcW w:w="1796" w:type="dxa"/>
          </w:tcPr>
          <w:p>
            <w:pPr>
              <w:pStyle w:val="TableParagraph"/>
              <w:rPr>
                <w:sz w:val="18"/>
              </w:rPr>
            </w:pPr>
            <w:r>
              <w:rPr>
                <w:sz w:val="18"/>
              </w:rPr>
              <w:t>10000</w:t>
            </w:r>
          </w:p>
        </w:tc>
        <w:tc>
          <w:tcPr>
            <w:tcW w:w="1801" w:type="dxa"/>
          </w:tcPr>
          <w:p>
            <w:pPr>
              <w:pStyle w:val="TableParagraph"/>
              <w:rPr>
                <w:sz w:val="18"/>
              </w:rPr>
            </w:pPr>
            <w:r>
              <w:rPr>
                <w:sz w:val="18"/>
              </w:rPr>
              <w:t>9295</w:t>
            </w:r>
          </w:p>
        </w:tc>
        <w:tc>
          <w:tcPr>
            <w:tcW w:w="1709" w:type="dxa"/>
          </w:tcPr>
          <w:p>
            <w:pPr>
              <w:pStyle w:val="TableParagraph"/>
              <w:rPr>
                <w:sz w:val="18"/>
              </w:rPr>
            </w:pPr>
            <w:r>
              <w:rPr>
                <w:sz w:val="18"/>
              </w:rPr>
              <w:t>7.05</w:t>
            </w:r>
          </w:p>
        </w:tc>
      </w:tr>
      <w:tr>
        <w:trPr>
          <w:trHeight w:val="216" w:hRule="exact"/>
        </w:trPr>
        <w:tc>
          <w:tcPr>
            <w:tcW w:w="1712" w:type="dxa"/>
          </w:tcPr>
          <w:p>
            <w:pPr>
              <w:pStyle w:val="TableParagraph"/>
              <w:rPr>
                <w:sz w:val="18"/>
              </w:rPr>
            </w:pPr>
            <w:r>
              <w:rPr>
                <w:sz w:val="18"/>
              </w:rPr>
              <w:t>-111.14</w:t>
            </w:r>
          </w:p>
        </w:tc>
        <w:tc>
          <w:tcPr>
            <w:tcW w:w="1796" w:type="dxa"/>
          </w:tcPr>
          <w:p>
            <w:pPr>
              <w:pStyle w:val="TableParagraph"/>
              <w:rPr>
                <w:sz w:val="18"/>
              </w:rPr>
            </w:pPr>
            <w:r>
              <w:rPr>
                <w:sz w:val="18"/>
              </w:rPr>
              <w:t>10000</w:t>
            </w:r>
          </w:p>
        </w:tc>
        <w:tc>
          <w:tcPr>
            <w:tcW w:w="1801" w:type="dxa"/>
          </w:tcPr>
          <w:p>
            <w:pPr>
              <w:pStyle w:val="TableParagraph"/>
              <w:rPr>
                <w:sz w:val="18"/>
              </w:rPr>
            </w:pPr>
            <w:r>
              <w:rPr>
                <w:sz w:val="18"/>
              </w:rPr>
              <w:t>7983</w:t>
            </w:r>
          </w:p>
        </w:tc>
        <w:tc>
          <w:tcPr>
            <w:tcW w:w="1709" w:type="dxa"/>
          </w:tcPr>
          <w:p>
            <w:pPr>
              <w:pStyle w:val="TableParagraph"/>
              <w:rPr>
                <w:sz w:val="18"/>
              </w:rPr>
            </w:pPr>
            <w:r>
              <w:rPr>
                <w:sz w:val="18"/>
              </w:rPr>
              <w:t>20.17</w:t>
            </w:r>
          </w:p>
        </w:tc>
      </w:tr>
      <w:tr>
        <w:trPr>
          <w:trHeight w:val="218" w:hRule="exact"/>
        </w:trPr>
        <w:tc>
          <w:tcPr>
            <w:tcW w:w="1712" w:type="dxa"/>
          </w:tcPr>
          <w:p>
            <w:pPr>
              <w:pStyle w:val="TableParagraph"/>
              <w:spacing w:line="240" w:lineRule="auto" w:before="1"/>
              <w:rPr>
                <w:sz w:val="18"/>
              </w:rPr>
            </w:pPr>
            <w:r>
              <w:rPr>
                <w:sz w:val="18"/>
              </w:rPr>
              <w:t>-111.04</w:t>
            </w:r>
          </w:p>
        </w:tc>
        <w:tc>
          <w:tcPr>
            <w:tcW w:w="1796" w:type="dxa"/>
          </w:tcPr>
          <w:p>
            <w:pPr>
              <w:pStyle w:val="TableParagraph"/>
              <w:spacing w:line="240" w:lineRule="auto" w:before="1"/>
              <w:rPr>
                <w:sz w:val="18"/>
              </w:rPr>
            </w:pPr>
            <w:r>
              <w:rPr>
                <w:sz w:val="18"/>
              </w:rPr>
              <w:t>10000</w:t>
            </w:r>
          </w:p>
        </w:tc>
        <w:tc>
          <w:tcPr>
            <w:tcW w:w="1801" w:type="dxa"/>
          </w:tcPr>
          <w:p>
            <w:pPr>
              <w:pStyle w:val="TableParagraph"/>
              <w:spacing w:line="240" w:lineRule="auto" w:before="1"/>
              <w:rPr>
                <w:sz w:val="18"/>
              </w:rPr>
            </w:pPr>
            <w:r>
              <w:rPr>
                <w:sz w:val="18"/>
              </w:rPr>
              <w:t>7624</w:t>
            </w:r>
          </w:p>
        </w:tc>
        <w:tc>
          <w:tcPr>
            <w:tcW w:w="1709" w:type="dxa"/>
          </w:tcPr>
          <w:p>
            <w:pPr>
              <w:pStyle w:val="TableParagraph"/>
              <w:spacing w:line="240" w:lineRule="auto" w:before="1"/>
              <w:rPr>
                <w:sz w:val="18"/>
              </w:rPr>
            </w:pPr>
            <w:r>
              <w:rPr>
                <w:sz w:val="18"/>
              </w:rPr>
              <w:t>23.76</w:t>
            </w:r>
          </w:p>
        </w:tc>
      </w:tr>
      <w:tr>
        <w:trPr>
          <w:trHeight w:val="216" w:hRule="exact"/>
        </w:trPr>
        <w:tc>
          <w:tcPr>
            <w:tcW w:w="1712" w:type="dxa"/>
          </w:tcPr>
          <w:p>
            <w:pPr>
              <w:pStyle w:val="TableParagraph"/>
              <w:rPr>
                <w:sz w:val="18"/>
              </w:rPr>
            </w:pPr>
            <w:r>
              <w:rPr>
                <w:sz w:val="18"/>
              </w:rPr>
              <w:t>-110.94</w:t>
            </w:r>
          </w:p>
        </w:tc>
        <w:tc>
          <w:tcPr>
            <w:tcW w:w="1796" w:type="dxa"/>
          </w:tcPr>
          <w:p>
            <w:pPr>
              <w:pStyle w:val="TableParagraph"/>
              <w:rPr>
                <w:sz w:val="18"/>
              </w:rPr>
            </w:pPr>
            <w:r>
              <w:rPr>
                <w:sz w:val="18"/>
              </w:rPr>
              <w:t>10000</w:t>
            </w:r>
          </w:p>
        </w:tc>
        <w:tc>
          <w:tcPr>
            <w:tcW w:w="1801" w:type="dxa"/>
          </w:tcPr>
          <w:p>
            <w:pPr>
              <w:pStyle w:val="TableParagraph"/>
              <w:rPr>
                <w:sz w:val="18"/>
              </w:rPr>
            </w:pPr>
            <w:r>
              <w:rPr>
                <w:sz w:val="18"/>
              </w:rPr>
              <w:t>5597</w:t>
            </w:r>
          </w:p>
        </w:tc>
        <w:tc>
          <w:tcPr>
            <w:tcW w:w="1709" w:type="dxa"/>
          </w:tcPr>
          <w:p>
            <w:pPr>
              <w:pStyle w:val="TableParagraph"/>
              <w:rPr>
                <w:sz w:val="18"/>
              </w:rPr>
            </w:pPr>
            <w:r>
              <w:rPr>
                <w:sz w:val="18"/>
              </w:rPr>
              <w:t>44.03</w:t>
            </w:r>
          </w:p>
        </w:tc>
      </w:tr>
      <w:tr>
        <w:trPr>
          <w:trHeight w:val="219" w:hRule="exact"/>
        </w:trPr>
        <w:tc>
          <w:tcPr>
            <w:tcW w:w="1712" w:type="dxa"/>
          </w:tcPr>
          <w:p>
            <w:pPr>
              <w:pStyle w:val="TableParagraph"/>
              <w:rPr>
                <w:sz w:val="18"/>
              </w:rPr>
            </w:pPr>
            <w:r>
              <w:rPr>
                <w:sz w:val="18"/>
              </w:rPr>
              <w:t>-110.84</w:t>
            </w:r>
          </w:p>
        </w:tc>
        <w:tc>
          <w:tcPr>
            <w:tcW w:w="1796" w:type="dxa"/>
          </w:tcPr>
          <w:p>
            <w:pPr>
              <w:pStyle w:val="TableParagraph"/>
              <w:rPr>
                <w:sz w:val="18"/>
              </w:rPr>
            </w:pPr>
            <w:r>
              <w:rPr>
                <w:sz w:val="18"/>
              </w:rPr>
              <w:t>10000</w:t>
            </w:r>
          </w:p>
        </w:tc>
        <w:tc>
          <w:tcPr>
            <w:tcW w:w="1801" w:type="dxa"/>
          </w:tcPr>
          <w:p>
            <w:pPr>
              <w:pStyle w:val="TableParagraph"/>
              <w:rPr>
                <w:sz w:val="18"/>
              </w:rPr>
            </w:pPr>
            <w:r>
              <w:rPr>
                <w:sz w:val="18"/>
              </w:rPr>
              <w:t>1566</w:t>
            </w:r>
          </w:p>
        </w:tc>
        <w:tc>
          <w:tcPr>
            <w:tcW w:w="1709" w:type="dxa"/>
          </w:tcPr>
          <w:p>
            <w:pPr>
              <w:pStyle w:val="TableParagraph"/>
              <w:rPr>
                <w:sz w:val="18"/>
              </w:rPr>
            </w:pPr>
            <w:r>
              <w:rPr>
                <w:sz w:val="18"/>
              </w:rPr>
              <w:t>84.34</w:t>
            </w:r>
          </w:p>
        </w:tc>
      </w:tr>
      <w:tr>
        <w:trPr>
          <w:trHeight w:val="216" w:hRule="exact"/>
        </w:trPr>
        <w:tc>
          <w:tcPr>
            <w:tcW w:w="1712" w:type="dxa"/>
          </w:tcPr>
          <w:p>
            <w:pPr>
              <w:pStyle w:val="TableParagraph"/>
              <w:rPr>
                <w:sz w:val="18"/>
              </w:rPr>
            </w:pPr>
            <w:r>
              <w:rPr>
                <w:sz w:val="18"/>
              </w:rPr>
              <w:t>-110.44</w:t>
            </w:r>
          </w:p>
        </w:tc>
        <w:tc>
          <w:tcPr>
            <w:tcW w:w="1796" w:type="dxa"/>
          </w:tcPr>
          <w:p>
            <w:pPr>
              <w:pStyle w:val="TableParagraph"/>
              <w:rPr>
                <w:sz w:val="18"/>
              </w:rPr>
            </w:pPr>
            <w:r>
              <w:rPr>
                <w:sz w:val="18"/>
              </w:rPr>
              <w:t>10000</w:t>
            </w:r>
          </w:p>
        </w:tc>
        <w:tc>
          <w:tcPr>
            <w:tcW w:w="1801" w:type="dxa"/>
          </w:tcPr>
          <w:p>
            <w:pPr>
              <w:pStyle w:val="TableParagraph"/>
              <w:rPr>
                <w:sz w:val="18"/>
              </w:rPr>
            </w:pPr>
            <w:r>
              <w:rPr>
                <w:w w:val="99"/>
                <w:sz w:val="18"/>
              </w:rPr>
              <w:t>0</w:t>
            </w:r>
          </w:p>
        </w:tc>
        <w:tc>
          <w:tcPr>
            <w:tcW w:w="1709" w:type="dxa"/>
          </w:tcPr>
          <w:p>
            <w:pPr>
              <w:pStyle w:val="TableParagraph"/>
              <w:rPr>
                <w:sz w:val="18"/>
              </w:rPr>
            </w:pPr>
            <w:r>
              <w:rPr>
                <w:sz w:val="18"/>
              </w:rPr>
              <w:t>100</w:t>
            </w:r>
          </w:p>
        </w:tc>
      </w:tr>
    </w:tbl>
    <w:p>
      <w:pPr>
        <w:pStyle w:val="BodyText"/>
        <w:rPr>
          <w:b/>
          <w:sz w:val="22"/>
        </w:rPr>
      </w:pPr>
    </w:p>
    <w:p>
      <w:pPr>
        <w:pStyle w:val="BodyText"/>
        <w:spacing w:before="5"/>
        <w:rPr>
          <w:b/>
          <w:sz w:val="18"/>
        </w:rPr>
      </w:pPr>
    </w:p>
    <w:p>
      <w:pPr>
        <w:spacing w:before="0"/>
        <w:ind w:left="1133" w:right="0" w:firstLine="0"/>
        <w:jc w:val="left"/>
        <w:rPr>
          <w:b/>
          <w:sz w:val="20"/>
        </w:rPr>
      </w:pPr>
      <w:r>
        <w:rPr>
          <w:b/>
          <w:sz w:val="20"/>
        </w:rPr>
        <w:t>Table 14: C-V2X HARQ Enabled Results – IPG and Latency</w:t>
      </w:r>
    </w:p>
    <w:p>
      <w:pPr>
        <w:pStyle w:val="BodyText"/>
        <w:spacing w:before="1"/>
        <w:rPr>
          <w:b/>
          <w:sz w:val="16"/>
        </w:rPr>
      </w:pPr>
    </w:p>
    <w:tbl>
      <w:tblPr>
        <w:tblW w:w="0" w:type="auto"/>
        <w:jc w:val="left"/>
        <w:tblInd w:w="1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1"/>
        <w:gridCol w:w="1261"/>
        <w:gridCol w:w="1260"/>
        <w:gridCol w:w="1260"/>
        <w:gridCol w:w="1261"/>
        <w:gridCol w:w="1260"/>
        <w:gridCol w:w="1260"/>
      </w:tblGrid>
      <w:tr>
        <w:trPr>
          <w:trHeight w:val="631" w:hRule="exact"/>
        </w:trPr>
        <w:tc>
          <w:tcPr>
            <w:tcW w:w="1351" w:type="dxa"/>
            <w:shd w:val="clear" w:color="auto" w:fill="D9D9D9"/>
          </w:tcPr>
          <w:p>
            <w:pPr>
              <w:pStyle w:val="TableParagraph"/>
              <w:spacing w:line="240" w:lineRule="auto"/>
              <w:ind w:right="358"/>
              <w:rPr>
                <w:b/>
                <w:sz w:val="18"/>
              </w:rPr>
            </w:pPr>
            <w:r>
              <w:rPr>
                <w:b/>
                <w:sz w:val="18"/>
              </w:rPr>
              <w:t>Signal Generator Setting</w:t>
            </w:r>
          </w:p>
        </w:tc>
        <w:tc>
          <w:tcPr>
            <w:tcW w:w="1261" w:type="dxa"/>
            <w:shd w:val="clear" w:color="auto" w:fill="D9D9D9"/>
          </w:tcPr>
          <w:p>
            <w:pPr>
              <w:pStyle w:val="TableParagraph"/>
              <w:tabs>
                <w:tab w:pos="979" w:val="left" w:leader="none"/>
              </w:tabs>
              <w:spacing w:line="201" w:lineRule="exact"/>
              <w:rPr>
                <w:b/>
                <w:sz w:val="18"/>
              </w:rPr>
            </w:pPr>
            <w:r>
              <w:rPr>
                <w:b/>
                <w:sz w:val="18"/>
              </w:rPr>
              <w:t>No.</w:t>
              <w:tab/>
              <w:t>of</w:t>
            </w:r>
          </w:p>
          <w:p>
            <w:pPr>
              <w:pStyle w:val="TableParagraph"/>
              <w:spacing w:line="240" w:lineRule="auto"/>
              <w:ind w:right="97"/>
              <w:rPr>
                <w:b/>
                <w:sz w:val="18"/>
              </w:rPr>
            </w:pPr>
            <w:r>
              <w:rPr>
                <w:b/>
                <w:sz w:val="18"/>
              </w:rPr>
              <w:t>Transmitted pkts</w:t>
            </w:r>
          </w:p>
        </w:tc>
        <w:tc>
          <w:tcPr>
            <w:tcW w:w="1260" w:type="dxa"/>
            <w:shd w:val="clear" w:color="auto" w:fill="D9D9D9"/>
          </w:tcPr>
          <w:p>
            <w:pPr>
              <w:pStyle w:val="TableParagraph"/>
              <w:tabs>
                <w:tab w:pos="979" w:val="left" w:leader="none"/>
              </w:tabs>
              <w:spacing w:line="201" w:lineRule="exact"/>
              <w:rPr>
                <w:b/>
                <w:sz w:val="18"/>
              </w:rPr>
            </w:pPr>
            <w:r>
              <w:rPr>
                <w:b/>
                <w:sz w:val="18"/>
              </w:rPr>
              <w:t>No.</w:t>
              <w:tab/>
              <w:t>of</w:t>
            </w:r>
          </w:p>
          <w:p>
            <w:pPr>
              <w:pStyle w:val="TableParagraph"/>
              <w:spacing w:line="240" w:lineRule="auto"/>
              <w:ind w:right="337"/>
              <w:rPr>
                <w:b/>
                <w:sz w:val="18"/>
              </w:rPr>
            </w:pPr>
            <w:r>
              <w:rPr>
                <w:b/>
                <w:sz w:val="18"/>
              </w:rPr>
              <w:t>Received pkts</w:t>
            </w:r>
          </w:p>
        </w:tc>
        <w:tc>
          <w:tcPr>
            <w:tcW w:w="1260" w:type="dxa"/>
            <w:shd w:val="clear" w:color="auto" w:fill="D9D9D9"/>
          </w:tcPr>
          <w:p>
            <w:pPr>
              <w:pStyle w:val="TableParagraph"/>
              <w:spacing w:line="240" w:lineRule="auto"/>
              <w:ind w:right="166"/>
              <w:rPr>
                <w:b/>
                <w:sz w:val="18"/>
              </w:rPr>
            </w:pPr>
            <w:r>
              <w:rPr>
                <w:b/>
                <w:sz w:val="18"/>
              </w:rPr>
              <w:t>Calculated at Receiver</w:t>
            </w:r>
          </w:p>
        </w:tc>
        <w:tc>
          <w:tcPr>
            <w:tcW w:w="1261" w:type="dxa"/>
            <w:shd w:val="clear" w:color="auto" w:fill="D9D9D9"/>
          </w:tcPr>
          <w:p>
            <w:pPr>
              <w:pStyle w:val="TableParagraph"/>
              <w:spacing w:line="240" w:lineRule="auto"/>
              <w:ind w:right="167"/>
              <w:rPr>
                <w:b/>
                <w:sz w:val="18"/>
              </w:rPr>
            </w:pPr>
            <w:r>
              <w:rPr>
                <w:b/>
                <w:sz w:val="18"/>
              </w:rPr>
              <w:t>Calculated at Receiver</w:t>
            </w:r>
          </w:p>
        </w:tc>
        <w:tc>
          <w:tcPr>
            <w:tcW w:w="1260" w:type="dxa"/>
            <w:shd w:val="clear" w:color="auto" w:fill="D9D9D9"/>
          </w:tcPr>
          <w:p>
            <w:pPr>
              <w:pStyle w:val="TableParagraph"/>
              <w:spacing w:line="240" w:lineRule="auto"/>
              <w:ind w:right="166"/>
              <w:rPr>
                <w:b/>
                <w:sz w:val="18"/>
              </w:rPr>
            </w:pPr>
            <w:r>
              <w:rPr>
                <w:b/>
                <w:sz w:val="18"/>
              </w:rPr>
              <w:t>Calculated at Receiver</w:t>
            </w:r>
          </w:p>
        </w:tc>
        <w:tc>
          <w:tcPr>
            <w:tcW w:w="1260" w:type="dxa"/>
            <w:shd w:val="clear" w:color="auto" w:fill="D9D9D9"/>
          </w:tcPr>
          <w:p>
            <w:pPr>
              <w:pStyle w:val="TableParagraph"/>
              <w:spacing w:line="240" w:lineRule="auto"/>
              <w:ind w:right="167"/>
              <w:rPr>
                <w:b/>
                <w:sz w:val="18"/>
              </w:rPr>
            </w:pPr>
            <w:r>
              <w:rPr>
                <w:b/>
                <w:sz w:val="18"/>
              </w:rPr>
              <w:t>Calculated at Receiver</w:t>
            </w:r>
          </w:p>
        </w:tc>
      </w:tr>
      <w:tr>
        <w:trPr>
          <w:trHeight w:val="838" w:hRule="exact"/>
        </w:trPr>
        <w:tc>
          <w:tcPr>
            <w:tcW w:w="1351" w:type="dxa"/>
            <w:shd w:val="clear" w:color="auto" w:fill="D9D9D9"/>
          </w:tcPr>
          <w:p>
            <w:pPr>
              <w:pStyle w:val="TableParagraph"/>
              <w:tabs>
                <w:tab w:pos="868" w:val="left" w:leader="none"/>
              </w:tabs>
              <w:spacing w:line="240" w:lineRule="auto"/>
              <w:ind w:right="101"/>
              <w:rPr>
                <w:b/>
                <w:sz w:val="18"/>
              </w:rPr>
            </w:pPr>
            <w:r>
              <w:rPr>
                <w:b/>
                <w:sz w:val="18"/>
              </w:rPr>
              <w:t>Noise</w:t>
              <w:tab/>
              <w:t>PSD dBm/Hz</w:t>
            </w:r>
          </w:p>
        </w:tc>
        <w:tc>
          <w:tcPr>
            <w:tcW w:w="1261" w:type="dxa"/>
            <w:shd w:val="clear" w:color="auto" w:fill="D9D9D9"/>
          </w:tcPr>
          <w:p>
            <w:pPr>
              <w:pStyle w:val="TableParagraph"/>
              <w:spacing w:line="201" w:lineRule="exact"/>
              <w:rPr>
                <w:b/>
                <w:sz w:val="18"/>
              </w:rPr>
            </w:pPr>
            <w:r>
              <w:rPr>
                <w:b/>
                <w:sz w:val="18"/>
              </w:rPr>
              <w:t>Tx Device</w:t>
            </w:r>
          </w:p>
        </w:tc>
        <w:tc>
          <w:tcPr>
            <w:tcW w:w="1260" w:type="dxa"/>
            <w:shd w:val="clear" w:color="auto" w:fill="D9D9D9"/>
          </w:tcPr>
          <w:p>
            <w:pPr>
              <w:pStyle w:val="TableParagraph"/>
              <w:spacing w:line="201" w:lineRule="exact"/>
              <w:rPr>
                <w:b/>
                <w:sz w:val="18"/>
              </w:rPr>
            </w:pPr>
            <w:r>
              <w:rPr>
                <w:b/>
                <w:sz w:val="18"/>
              </w:rPr>
              <w:t>Rx Device</w:t>
            </w:r>
          </w:p>
        </w:tc>
        <w:tc>
          <w:tcPr>
            <w:tcW w:w="1260" w:type="dxa"/>
            <w:shd w:val="clear" w:color="auto" w:fill="D9D9D9"/>
          </w:tcPr>
          <w:p>
            <w:pPr>
              <w:pStyle w:val="TableParagraph"/>
              <w:spacing w:line="240" w:lineRule="auto"/>
              <w:ind w:right="266"/>
              <w:rPr>
                <w:b/>
                <w:sz w:val="18"/>
              </w:rPr>
            </w:pPr>
            <w:r>
              <w:rPr>
                <w:b/>
                <w:position w:val="-5"/>
                <w:sz w:val="18"/>
              </w:rPr>
              <w:t>95</w:t>
            </w:r>
            <w:r>
              <w:rPr>
                <w:b/>
                <w:sz w:val="12"/>
              </w:rPr>
              <w:t>th </w:t>
            </w:r>
            <w:r>
              <w:rPr>
                <w:b/>
                <w:sz w:val="18"/>
              </w:rPr>
              <w:t>Percentile IPG (ms)</w:t>
            </w:r>
          </w:p>
        </w:tc>
        <w:tc>
          <w:tcPr>
            <w:tcW w:w="1261" w:type="dxa"/>
            <w:shd w:val="clear" w:color="auto" w:fill="D9D9D9"/>
          </w:tcPr>
          <w:p>
            <w:pPr>
              <w:pStyle w:val="TableParagraph"/>
              <w:spacing w:line="201" w:lineRule="exact"/>
              <w:rPr>
                <w:b/>
                <w:sz w:val="18"/>
              </w:rPr>
            </w:pPr>
            <w:r>
              <w:rPr>
                <w:b/>
                <w:sz w:val="18"/>
              </w:rPr>
              <w:t>Mean IPG</w:t>
            </w:r>
          </w:p>
        </w:tc>
        <w:tc>
          <w:tcPr>
            <w:tcW w:w="1260" w:type="dxa"/>
            <w:shd w:val="clear" w:color="auto" w:fill="D9D9D9"/>
          </w:tcPr>
          <w:p>
            <w:pPr>
              <w:pStyle w:val="TableParagraph"/>
              <w:spacing w:line="240" w:lineRule="auto"/>
              <w:ind w:right="266"/>
              <w:rPr>
                <w:b/>
                <w:sz w:val="18"/>
              </w:rPr>
            </w:pPr>
            <w:r>
              <w:rPr>
                <w:b/>
                <w:sz w:val="18"/>
              </w:rPr>
              <w:t>95th Percentile Latency (ms)</w:t>
            </w:r>
          </w:p>
        </w:tc>
        <w:tc>
          <w:tcPr>
            <w:tcW w:w="1260" w:type="dxa"/>
            <w:shd w:val="clear" w:color="auto" w:fill="D9D9D9"/>
          </w:tcPr>
          <w:p>
            <w:pPr>
              <w:pStyle w:val="TableParagraph"/>
              <w:spacing w:line="240" w:lineRule="auto"/>
              <w:ind w:right="447"/>
              <w:rPr>
                <w:b/>
                <w:sz w:val="18"/>
              </w:rPr>
            </w:pPr>
            <w:r>
              <w:rPr>
                <w:b/>
                <w:sz w:val="18"/>
              </w:rPr>
              <w:t>Mean Latency</w:t>
            </w:r>
          </w:p>
        </w:tc>
      </w:tr>
      <w:tr>
        <w:trPr>
          <w:trHeight w:val="216" w:hRule="exact"/>
        </w:trPr>
        <w:tc>
          <w:tcPr>
            <w:tcW w:w="1351" w:type="dxa"/>
          </w:tcPr>
          <w:p>
            <w:pPr>
              <w:pStyle w:val="TableParagraph"/>
              <w:rPr>
                <w:sz w:val="18"/>
              </w:rPr>
            </w:pPr>
            <w:r>
              <w:rPr>
                <w:sz w:val="18"/>
              </w:rPr>
              <w:t>-139.54</w:t>
            </w:r>
          </w:p>
        </w:tc>
        <w:tc>
          <w:tcPr>
            <w:tcW w:w="1261" w:type="dxa"/>
          </w:tcPr>
          <w:p>
            <w:pPr>
              <w:pStyle w:val="TableParagraph"/>
              <w:rPr>
                <w:sz w:val="18"/>
              </w:rPr>
            </w:pPr>
            <w:r>
              <w:rPr>
                <w:sz w:val="18"/>
              </w:rPr>
              <w:t>10000</w:t>
            </w:r>
          </w:p>
        </w:tc>
        <w:tc>
          <w:tcPr>
            <w:tcW w:w="1260" w:type="dxa"/>
          </w:tcPr>
          <w:p>
            <w:pPr>
              <w:pStyle w:val="TableParagraph"/>
              <w:rPr>
                <w:sz w:val="18"/>
              </w:rPr>
            </w:pPr>
            <w:r>
              <w:rPr>
                <w:sz w:val="18"/>
              </w:rPr>
              <w:t>10000</w:t>
            </w:r>
          </w:p>
        </w:tc>
        <w:tc>
          <w:tcPr>
            <w:tcW w:w="1260" w:type="dxa"/>
          </w:tcPr>
          <w:p>
            <w:pPr>
              <w:pStyle w:val="TableParagraph"/>
              <w:rPr>
                <w:sz w:val="18"/>
              </w:rPr>
            </w:pPr>
            <w:r>
              <w:rPr>
                <w:sz w:val="18"/>
              </w:rPr>
              <w:t>106</w:t>
            </w:r>
          </w:p>
        </w:tc>
        <w:tc>
          <w:tcPr>
            <w:tcW w:w="1261" w:type="dxa"/>
          </w:tcPr>
          <w:p>
            <w:pPr>
              <w:pStyle w:val="TableParagraph"/>
              <w:rPr>
                <w:sz w:val="18"/>
              </w:rPr>
            </w:pPr>
            <w:r>
              <w:rPr>
                <w:sz w:val="18"/>
              </w:rPr>
              <w:t>100</w:t>
            </w:r>
          </w:p>
        </w:tc>
        <w:tc>
          <w:tcPr>
            <w:tcW w:w="1260" w:type="dxa"/>
          </w:tcPr>
          <w:p>
            <w:pPr>
              <w:pStyle w:val="TableParagraph"/>
              <w:ind w:left="153"/>
              <w:rPr>
                <w:sz w:val="18"/>
              </w:rPr>
            </w:pPr>
            <w:r>
              <w:rPr>
                <w:sz w:val="18"/>
              </w:rPr>
              <w:t>22</w:t>
            </w:r>
          </w:p>
        </w:tc>
        <w:tc>
          <w:tcPr>
            <w:tcW w:w="1260" w:type="dxa"/>
          </w:tcPr>
          <w:p>
            <w:pPr>
              <w:pStyle w:val="TableParagraph"/>
              <w:rPr>
                <w:sz w:val="18"/>
              </w:rPr>
            </w:pPr>
            <w:r>
              <w:rPr>
                <w:sz w:val="18"/>
              </w:rPr>
              <w:t>13</w:t>
            </w:r>
          </w:p>
        </w:tc>
      </w:tr>
      <w:tr>
        <w:trPr>
          <w:trHeight w:val="218" w:hRule="exact"/>
        </w:trPr>
        <w:tc>
          <w:tcPr>
            <w:tcW w:w="1351" w:type="dxa"/>
          </w:tcPr>
          <w:p>
            <w:pPr>
              <w:pStyle w:val="TableParagraph"/>
              <w:rPr>
                <w:sz w:val="18"/>
              </w:rPr>
            </w:pPr>
            <w:r>
              <w:rPr>
                <w:sz w:val="18"/>
              </w:rPr>
              <w:t>-129.54</w:t>
            </w:r>
          </w:p>
        </w:tc>
        <w:tc>
          <w:tcPr>
            <w:tcW w:w="1261" w:type="dxa"/>
          </w:tcPr>
          <w:p>
            <w:pPr>
              <w:pStyle w:val="TableParagraph"/>
              <w:rPr>
                <w:sz w:val="18"/>
              </w:rPr>
            </w:pPr>
            <w:r>
              <w:rPr>
                <w:sz w:val="18"/>
              </w:rPr>
              <w:t>10000</w:t>
            </w:r>
          </w:p>
        </w:tc>
        <w:tc>
          <w:tcPr>
            <w:tcW w:w="1260" w:type="dxa"/>
          </w:tcPr>
          <w:p>
            <w:pPr>
              <w:pStyle w:val="TableParagraph"/>
              <w:rPr>
                <w:sz w:val="18"/>
              </w:rPr>
            </w:pPr>
            <w:r>
              <w:rPr>
                <w:sz w:val="18"/>
              </w:rPr>
              <w:t>10000</w:t>
            </w:r>
          </w:p>
        </w:tc>
        <w:tc>
          <w:tcPr>
            <w:tcW w:w="1260" w:type="dxa"/>
          </w:tcPr>
          <w:p>
            <w:pPr>
              <w:pStyle w:val="TableParagraph"/>
              <w:rPr>
                <w:sz w:val="18"/>
              </w:rPr>
            </w:pPr>
            <w:r>
              <w:rPr>
                <w:sz w:val="18"/>
              </w:rPr>
              <w:t>106</w:t>
            </w:r>
          </w:p>
        </w:tc>
        <w:tc>
          <w:tcPr>
            <w:tcW w:w="1261" w:type="dxa"/>
          </w:tcPr>
          <w:p>
            <w:pPr>
              <w:pStyle w:val="TableParagraph"/>
              <w:rPr>
                <w:sz w:val="18"/>
              </w:rPr>
            </w:pPr>
            <w:r>
              <w:rPr>
                <w:sz w:val="18"/>
              </w:rPr>
              <w:t>100</w:t>
            </w:r>
          </w:p>
        </w:tc>
        <w:tc>
          <w:tcPr>
            <w:tcW w:w="1260" w:type="dxa"/>
          </w:tcPr>
          <w:p>
            <w:pPr>
              <w:pStyle w:val="TableParagraph"/>
              <w:ind w:left="153"/>
              <w:rPr>
                <w:sz w:val="18"/>
              </w:rPr>
            </w:pPr>
            <w:r>
              <w:rPr>
                <w:sz w:val="18"/>
              </w:rPr>
              <w:t>22</w:t>
            </w:r>
          </w:p>
        </w:tc>
        <w:tc>
          <w:tcPr>
            <w:tcW w:w="1260" w:type="dxa"/>
          </w:tcPr>
          <w:p>
            <w:pPr>
              <w:pStyle w:val="TableParagraph"/>
              <w:rPr>
                <w:sz w:val="18"/>
              </w:rPr>
            </w:pPr>
            <w:r>
              <w:rPr>
                <w:sz w:val="18"/>
              </w:rPr>
              <w:t>14</w:t>
            </w:r>
          </w:p>
        </w:tc>
      </w:tr>
      <w:tr>
        <w:trPr>
          <w:trHeight w:val="216" w:hRule="exact"/>
        </w:trPr>
        <w:tc>
          <w:tcPr>
            <w:tcW w:w="1351" w:type="dxa"/>
          </w:tcPr>
          <w:p>
            <w:pPr>
              <w:pStyle w:val="TableParagraph"/>
              <w:rPr>
                <w:sz w:val="18"/>
              </w:rPr>
            </w:pPr>
            <w:r>
              <w:rPr>
                <w:sz w:val="18"/>
              </w:rPr>
              <w:t>-119.54</w:t>
            </w:r>
          </w:p>
        </w:tc>
        <w:tc>
          <w:tcPr>
            <w:tcW w:w="1261" w:type="dxa"/>
          </w:tcPr>
          <w:p>
            <w:pPr>
              <w:pStyle w:val="TableParagraph"/>
              <w:rPr>
                <w:sz w:val="18"/>
              </w:rPr>
            </w:pPr>
            <w:r>
              <w:rPr>
                <w:sz w:val="18"/>
              </w:rPr>
              <w:t>10000</w:t>
            </w:r>
          </w:p>
        </w:tc>
        <w:tc>
          <w:tcPr>
            <w:tcW w:w="1260" w:type="dxa"/>
          </w:tcPr>
          <w:p>
            <w:pPr>
              <w:pStyle w:val="TableParagraph"/>
              <w:rPr>
                <w:sz w:val="18"/>
              </w:rPr>
            </w:pPr>
            <w:r>
              <w:rPr>
                <w:sz w:val="18"/>
              </w:rPr>
              <w:t>10000</w:t>
            </w:r>
          </w:p>
        </w:tc>
        <w:tc>
          <w:tcPr>
            <w:tcW w:w="1260" w:type="dxa"/>
          </w:tcPr>
          <w:p>
            <w:pPr>
              <w:pStyle w:val="TableParagraph"/>
              <w:rPr>
                <w:sz w:val="18"/>
              </w:rPr>
            </w:pPr>
            <w:r>
              <w:rPr>
                <w:sz w:val="18"/>
              </w:rPr>
              <w:t>106</w:t>
            </w:r>
          </w:p>
        </w:tc>
        <w:tc>
          <w:tcPr>
            <w:tcW w:w="1261" w:type="dxa"/>
          </w:tcPr>
          <w:p>
            <w:pPr>
              <w:pStyle w:val="TableParagraph"/>
              <w:rPr>
                <w:sz w:val="18"/>
              </w:rPr>
            </w:pPr>
            <w:r>
              <w:rPr>
                <w:sz w:val="18"/>
              </w:rPr>
              <w:t>100</w:t>
            </w:r>
          </w:p>
        </w:tc>
        <w:tc>
          <w:tcPr>
            <w:tcW w:w="1260" w:type="dxa"/>
          </w:tcPr>
          <w:p>
            <w:pPr>
              <w:pStyle w:val="TableParagraph"/>
              <w:ind w:left="153"/>
              <w:rPr>
                <w:sz w:val="18"/>
              </w:rPr>
            </w:pPr>
            <w:r>
              <w:rPr>
                <w:sz w:val="18"/>
              </w:rPr>
              <w:t>22</w:t>
            </w:r>
          </w:p>
        </w:tc>
        <w:tc>
          <w:tcPr>
            <w:tcW w:w="1260" w:type="dxa"/>
          </w:tcPr>
          <w:p>
            <w:pPr>
              <w:pStyle w:val="TableParagraph"/>
              <w:rPr>
                <w:sz w:val="18"/>
              </w:rPr>
            </w:pPr>
            <w:r>
              <w:rPr>
                <w:sz w:val="18"/>
              </w:rPr>
              <w:t>14</w:t>
            </w:r>
          </w:p>
        </w:tc>
      </w:tr>
      <w:tr>
        <w:trPr>
          <w:trHeight w:val="219" w:hRule="exact"/>
        </w:trPr>
        <w:tc>
          <w:tcPr>
            <w:tcW w:w="1351" w:type="dxa"/>
          </w:tcPr>
          <w:p>
            <w:pPr>
              <w:pStyle w:val="TableParagraph"/>
              <w:spacing w:line="207" w:lineRule="exact"/>
              <w:rPr>
                <w:sz w:val="18"/>
              </w:rPr>
            </w:pPr>
            <w:r>
              <w:rPr>
                <w:sz w:val="18"/>
              </w:rPr>
              <w:t>-111.54</w:t>
            </w:r>
          </w:p>
        </w:tc>
        <w:tc>
          <w:tcPr>
            <w:tcW w:w="1261" w:type="dxa"/>
          </w:tcPr>
          <w:p>
            <w:pPr>
              <w:pStyle w:val="TableParagraph"/>
              <w:spacing w:line="207" w:lineRule="exact"/>
              <w:rPr>
                <w:sz w:val="18"/>
              </w:rPr>
            </w:pPr>
            <w:r>
              <w:rPr>
                <w:sz w:val="18"/>
              </w:rPr>
              <w:t>10000</w:t>
            </w:r>
          </w:p>
        </w:tc>
        <w:tc>
          <w:tcPr>
            <w:tcW w:w="1260" w:type="dxa"/>
          </w:tcPr>
          <w:p>
            <w:pPr>
              <w:pStyle w:val="TableParagraph"/>
              <w:spacing w:line="207" w:lineRule="exact"/>
              <w:rPr>
                <w:sz w:val="18"/>
              </w:rPr>
            </w:pPr>
            <w:r>
              <w:rPr>
                <w:sz w:val="18"/>
              </w:rPr>
              <w:t>9922</w:t>
            </w:r>
          </w:p>
        </w:tc>
        <w:tc>
          <w:tcPr>
            <w:tcW w:w="1260" w:type="dxa"/>
          </w:tcPr>
          <w:p>
            <w:pPr>
              <w:pStyle w:val="TableParagraph"/>
              <w:spacing w:line="207" w:lineRule="exact"/>
              <w:rPr>
                <w:sz w:val="18"/>
              </w:rPr>
            </w:pPr>
            <w:r>
              <w:rPr>
                <w:sz w:val="18"/>
              </w:rPr>
              <w:t>106</w:t>
            </w:r>
          </w:p>
        </w:tc>
        <w:tc>
          <w:tcPr>
            <w:tcW w:w="1261" w:type="dxa"/>
          </w:tcPr>
          <w:p>
            <w:pPr>
              <w:pStyle w:val="TableParagraph"/>
              <w:spacing w:line="207" w:lineRule="exact"/>
              <w:rPr>
                <w:sz w:val="18"/>
              </w:rPr>
            </w:pPr>
            <w:r>
              <w:rPr>
                <w:sz w:val="18"/>
              </w:rPr>
              <w:t>101</w:t>
            </w:r>
          </w:p>
        </w:tc>
        <w:tc>
          <w:tcPr>
            <w:tcW w:w="1260" w:type="dxa"/>
          </w:tcPr>
          <w:p>
            <w:pPr>
              <w:pStyle w:val="TableParagraph"/>
              <w:spacing w:line="207" w:lineRule="exact"/>
              <w:ind w:left="153"/>
              <w:rPr>
                <w:sz w:val="18"/>
              </w:rPr>
            </w:pPr>
            <w:r>
              <w:rPr>
                <w:sz w:val="18"/>
              </w:rPr>
              <w:t>25</w:t>
            </w:r>
          </w:p>
        </w:tc>
        <w:tc>
          <w:tcPr>
            <w:tcW w:w="1260" w:type="dxa"/>
          </w:tcPr>
          <w:p>
            <w:pPr>
              <w:pStyle w:val="TableParagraph"/>
              <w:spacing w:line="207" w:lineRule="exact"/>
              <w:rPr>
                <w:sz w:val="18"/>
              </w:rPr>
            </w:pPr>
            <w:r>
              <w:rPr>
                <w:sz w:val="18"/>
              </w:rPr>
              <w:t>19</w:t>
            </w:r>
          </w:p>
        </w:tc>
      </w:tr>
      <w:tr>
        <w:trPr>
          <w:trHeight w:val="216" w:hRule="exact"/>
        </w:trPr>
        <w:tc>
          <w:tcPr>
            <w:tcW w:w="1351" w:type="dxa"/>
          </w:tcPr>
          <w:p>
            <w:pPr>
              <w:pStyle w:val="TableParagraph"/>
              <w:rPr>
                <w:sz w:val="18"/>
              </w:rPr>
            </w:pPr>
            <w:r>
              <w:rPr>
                <w:sz w:val="18"/>
              </w:rPr>
              <w:t>-111.44</w:t>
            </w:r>
          </w:p>
        </w:tc>
        <w:tc>
          <w:tcPr>
            <w:tcW w:w="1261" w:type="dxa"/>
          </w:tcPr>
          <w:p>
            <w:pPr>
              <w:pStyle w:val="TableParagraph"/>
              <w:rPr>
                <w:sz w:val="18"/>
              </w:rPr>
            </w:pPr>
            <w:r>
              <w:rPr>
                <w:sz w:val="18"/>
              </w:rPr>
              <w:t>10000</w:t>
            </w:r>
          </w:p>
        </w:tc>
        <w:tc>
          <w:tcPr>
            <w:tcW w:w="1260" w:type="dxa"/>
          </w:tcPr>
          <w:p>
            <w:pPr>
              <w:pStyle w:val="TableParagraph"/>
              <w:rPr>
                <w:sz w:val="18"/>
              </w:rPr>
            </w:pPr>
            <w:r>
              <w:rPr>
                <w:sz w:val="18"/>
              </w:rPr>
              <w:t>9700</w:t>
            </w:r>
          </w:p>
        </w:tc>
        <w:tc>
          <w:tcPr>
            <w:tcW w:w="1260" w:type="dxa"/>
          </w:tcPr>
          <w:p>
            <w:pPr>
              <w:pStyle w:val="TableParagraph"/>
              <w:rPr>
                <w:sz w:val="18"/>
              </w:rPr>
            </w:pPr>
            <w:r>
              <w:rPr>
                <w:sz w:val="18"/>
              </w:rPr>
              <w:t>110</w:t>
            </w:r>
          </w:p>
        </w:tc>
        <w:tc>
          <w:tcPr>
            <w:tcW w:w="1261" w:type="dxa"/>
          </w:tcPr>
          <w:p>
            <w:pPr>
              <w:pStyle w:val="TableParagraph"/>
              <w:rPr>
                <w:sz w:val="18"/>
              </w:rPr>
            </w:pPr>
            <w:r>
              <w:rPr>
                <w:sz w:val="18"/>
              </w:rPr>
              <w:t>103</w:t>
            </w:r>
          </w:p>
        </w:tc>
        <w:tc>
          <w:tcPr>
            <w:tcW w:w="1260" w:type="dxa"/>
          </w:tcPr>
          <w:p>
            <w:pPr>
              <w:pStyle w:val="TableParagraph"/>
              <w:ind w:left="153"/>
              <w:rPr>
                <w:sz w:val="18"/>
              </w:rPr>
            </w:pPr>
            <w:r>
              <w:rPr>
                <w:sz w:val="18"/>
              </w:rPr>
              <w:t>26</w:t>
            </w:r>
          </w:p>
        </w:tc>
        <w:tc>
          <w:tcPr>
            <w:tcW w:w="1260" w:type="dxa"/>
          </w:tcPr>
          <w:p>
            <w:pPr>
              <w:pStyle w:val="TableParagraph"/>
              <w:rPr>
                <w:sz w:val="18"/>
              </w:rPr>
            </w:pPr>
            <w:r>
              <w:rPr>
                <w:sz w:val="18"/>
              </w:rPr>
              <w:t>21</w:t>
            </w:r>
          </w:p>
        </w:tc>
      </w:tr>
      <w:tr>
        <w:trPr>
          <w:trHeight w:val="218" w:hRule="exact"/>
        </w:trPr>
        <w:tc>
          <w:tcPr>
            <w:tcW w:w="1351" w:type="dxa"/>
          </w:tcPr>
          <w:p>
            <w:pPr>
              <w:pStyle w:val="TableParagraph"/>
              <w:rPr>
                <w:sz w:val="18"/>
              </w:rPr>
            </w:pPr>
            <w:r>
              <w:rPr>
                <w:sz w:val="18"/>
              </w:rPr>
              <w:t>-111.34</w:t>
            </w:r>
          </w:p>
        </w:tc>
        <w:tc>
          <w:tcPr>
            <w:tcW w:w="1261" w:type="dxa"/>
          </w:tcPr>
          <w:p>
            <w:pPr>
              <w:pStyle w:val="TableParagraph"/>
              <w:rPr>
                <w:sz w:val="18"/>
              </w:rPr>
            </w:pPr>
            <w:r>
              <w:rPr>
                <w:sz w:val="18"/>
              </w:rPr>
              <w:t>10000</w:t>
            </w:r>
          </w:p>
        </w:tc>
        <w:tc>
          <w:tcPr>
            <w:tcW w:w="1260" w:type="dxa"/>
          </w:tcPr>
          <w:p>
            <w:pPr>
              <w:pStyle w:val="TableParagraph"/>
              <w:rPr>
                <w:sz w:val="18"/>
              </w:rPr>
            </w:pPr>
            <w:r>
              <w:rPr>
                <w:sz w:val="18"/>
              </w:rPr>
              <w:t>9383</w:t>
            </w:r>
          </w:p>
        </w:tc>
        <w:tc>
          <w:tcPr>
            <w:tcW w:w="1260" w:type="dxa"/>
          </w:tcPr>
          <w:p>
            <w:pPr>
              <w:pStyle w:val="TableParagraph"/>
              <w:rPr>
                <w:sz w:val="18"/>
              </w:rPr>
            </w:pPr>
            <w:r>
              <w:rPr>
                <w:sz w:val="18"/>
              </w:rPr>
              <w:t>113</w:t>
            </w:r>
          </w:p>
        </w:tc>
        <w:tc>
          <w:tcPr>
            <w:tcW w:w="1261" w:type="dxa"/>
          </w:tcPr>
          <w:p>
            <w:pPr>
              <w:pStyle w:val="TableParagraph"/>
              <w:rPr>
                <w:sz w:val="18"/>
              </w:rPr>
            </w:pPr>
            <w:r>
              <w:rPr>
                <w:sz w:val="18"/>
              </w:rPr>
              <w:t>106</w:t>
            </w:r>
          </w:p>
        </w:tc>
        <w:tc>
          <w:tcPr>
            <w:tcW w:w="1260" w:type="dxa"/>
          </w:tcPr>
          <w:p>
            <w:pPr>
              <w:pStyle w:val="TableParagraph"/>
              <w:ind w:left="153"/>
              <w:rPr>
                <w:sz w:val="18"/>
              </w:rPr>
            </w:pPr>
            <w:r>
              <w:rPr>
                <w:sz w:val="18"/>
              </w:rPr>
              <w:t>27</w:t>
            </w:r>
          </w:p>
        </w:tc>
        <w:tc>
          <w:tcPr>
            <w:tcW w:w="1260" w:type="dxa"/>
          </w:tcPr>
          <w:p>
            <w:pPr>
              <w:pStyle w:val="TableParagraph"/>
              <w:rPr>
                <w:sz w:val="18"/>
              </w:rPr>
            </w:pPr>
            <w:r>
              <w:rPr>
                <w:sz w:val="18"/>
              </w:rPr>
              <w:t>23</w:t>
            </w:r>
          </w:p>
        </w:tc>
      </w:tr>
    </w:tbl>
    <w:p>
      <w:pPr>
        <w:pStyle w:val="BodyText"/>
        <w:rPr>
          <w:b/>
          <w:sz w:val="22"/>
        </w:rPr>
      </w:pPr>
    </w:p>
    <w:p>
      <w:pPr>
        <w:pStyle w:val="BodyText"/>
        <w:spacing w:before="2"/>
        <w:rPr>
          <w:b/>
          <w:sz w:val="18"/>
        </w:rPr>
      </w:pPr>
    </w:p>
    <w:p>
      <w:pPr>
        <w:spacing w:before="1"/>
        <w:ind w:left="1133" w:right="0" w:firstLine="0"/>
        <w:jc w:val="left"/>
        <w:rPr>
          <w:b/>
          <w:sz w:val="20"/>
        </w:rPr>
      </w:pPr>
      <w:r>
        <w:rPr>
          <w:b/>
          <w:sz w:val="20"/>
        </w:rPr>
        <w:t>Table 15: C-V2X Harq Disabled Results – PER</w:t>
      </w:r>
    </w:p>
    <w:p>
      <w:pPr>
        <w:pStyle w:val="BodyText"/>
        <w:spacing w:before="1"/>
        <w:rPr>
          <w:b/>
          <w:sz w:val="16"/>
        </w:rPr>
      </w:pPr>
    </w:p>
    <w:tbl>
      <w:tblPr>
        <w:tblW w:w="0" w:type="auto"/>
        <w:jc w:val="left"/>
        <w:tblInd w:w="2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2"/>
        <w:gridCol w:w="1796"/>
        <w:gridCol w:w="1801"/>
        <w:gridCol w:w="1709"/>
      </w:tblGrid>
      <w:tr>
        <w:trPr>
          <w:trHeight w:val="425" w:hRule="exact"/>
        </w:trPr>
        <w:tc>
          <w:tcPr>
            <w:tcW w:w="1712" w:type="dxa"/>
            <w:shd w:val="clear" w:color="auto" w:fill="D9D9D9"/>
          </w:tcPr>
          <w:p>
            <w:pPr>
              <w:pStyle w:val="TableParagraph"/>
              <w:spacing w:line="242" w:lineRule="auto"/>
              <w:ind w:right="101"/>
              <w:rPr>
                <w:b/>
                <w:sz w:val="18"/>
              </w:rPr>
            </w:pPr>
            <w:r>
              <w:rPr>
                <w:b/>
                <w:sz w:val="18"/>
              </w:rPr>
              <w:t>Signal Generator Setting</w:t>
            </w:r>
          </w:p>
        </w:tc>
        <w:tc>
          <w:tcPr>
            <w:tcW w:w="1796" w:type="dxa"/>
            <w:shd w:val="clear" w:color="auto" w:fill="D9D9D9"/>
          </w:tcPr>
          <w:p>
            <w:pPr>
              <w:pStyle w:val="TableParagraph"/>
              <w:spacing w:line="242" w:lineRule="auto"/>
              <w:rPr>
                <w:b/>
                <w:sz w:val="18"/>
              </w:rPr>
            </w:pPr>
            <w:r>
              <w:rPr>
                <w:b/>
                <w:sz w:val="18"/>
              </w:rPr>
              <w:t>No. of Transmitted pkts</w:t>
            </w:r>
          </w:p>
        </w:tc>
        <w:tc>
          <w:tcPr>
            <w:tcW w:w="1801" w:type="dxa"/>
            <w:shd w:val="clear" w:color="auto" w:fill="D9D9D9"/>
          </w:tcPr>
          <w:p>
            <w:pPr>
              <w:pStyle w:val="TableParagraph"/>
              <w:spacing w:line="242" w:lineRule="auto"/>
              <w:rPr>
                <w:b/>
                <w:sz w:val="18"/>
              </w:rPr>
            </w:pPr>
            <w:r>
              <w:rPr>
                <w:b/>
                <w:sz w:val="18"/>
              </w:rPr>
              <w:t>No. of Received pkts</w:t>
            </w:r>
          </w:p>
        </w:tc>
        <w:tc>
          <w:tcPr>
            <w:tcW w:w="1709" w:type="dxa"/>
            <w:shd w:val="clear" w:color="auto" w:fill="D9D9D9"/>
          </w:tcPr>
          <w:p>
            <w:pPr>
              <w:pStyle w:val="TableParagraph"/>
              <w:tabs>
                <w:tab w:pos="1438" w:val="left" w:leader="none"/>
              </w:tabs>
              <w:spacing w:line="242" w:lineRule="auto"/>
              <w:ind w:right="101"/>
              <w:rPr>
                <w:b/>
                <w:sz w:val="18"/>
              </w:rPr>
            </w:pPr>
            <w:r>
              <w:rPr>
                <w:b/>
                <w:sz w:val="18"/>
              </w:rPr>
              <w:t>Calculated</w:t>
              <w:tab/>
            </w:r>
            <w:r>
              <w:rPr>
                <w:b/>
                <w:spacing w:val="-1"/>
                <w:sz w:val="18"/>
              </w:rPr>
              <w:t>at </w:t>
            </w:r>
            <w:r>
              <w:rPr>
                <w:b/>
                <w:sz w:val="18"/>
              </w:rPr>
              <w:t>Receiver</w:t>
            </w:r>
          </w:p>
        </w:tc>
      </w:tr>
      <w:tr>
        <w:trPr>
          <w:trHeight w:val="422" w:hRule="exact"/>
        </w:trPr>
        <w:tc>
          <w:tcPr>
            <w:tcW w:w="1712" w:type="dxa"/>
            <w:shd w:val="clear" w:color="auto" w:fill="D9D9D9"/>
          </w:tcPr>
          <w:p>
            <w:pPr>
              <w:pStyle w:val="TableParagraph"/>
              <w:tabs>
                <w:tab w:pos="1228" w:val="left" w:leader="none"/>
              </w:tabs>
              <w:spacing w:line="240" w:lineRule="auto"/>
              <w:ind w:right="101"/>
              <w:rPr>
                <w:b/>
                <w:sz w:val="18"/>
              </w:rPr>
            </w:pPr>
            <w:r>
              <w:rPr>
                <w:b/>
                <w:sz w:val="18"/>
              </w:rPr>
              <w:t>Noise</w:t>
              <w:tab/>
              <w:t>PSD dBm/Hz</w:t>
            </w:r>
          </w:p>
        </w:tc>
        <w:tc>
          <w:tcPr>
            <w:tcW w:w="1796" w:type="dxa"/>
            <w:shd w:val="clear" w:color="auto" w:fill="D9D9D9"/>
          </w:tcPr>
          <w:p>
            <w:pPr>
              <w:pStyle w:val="TableParagraph"/>
              <w:spacing w:line="240" w:lineRule="auto" w:before="97"/>
              <w:rPr>
                <w:b/>
                <w:sz w:val="18"/>
              </w:rPr>
            </w:pPr>
            <w:r>
              <w:rPr>
                <w:b/>
                <w:sz w:val="18"/>
              </w:rPr>
              <w:t>Tx Device</w:t>
            </w:r>
          </w:p>
        </w:tc>
        <w:tc>
          <w:tcPr>
            <w:tcW w:w="1801" w:type="dxa"/>
            <w:shd w:val="clear" w:color="auto" w:fill="D9D9D9"/>
          </w:tcPr>
          <w:p>
            <w:pPr>
              <w:pStyle w:val="TableParagraph"/>
              <w:spacing w:line="240" w:lineRule="auto" w:before="97"/>
              <w:rPr>
                <w:b/>
                <w:sz w:val="18"/>
              </w:rPr>
            </w:pPr>
            <w:r>
              <w:rPr>
                <w:b/>
                <w:sz w:val="18"/>
              </w:rPr>
              <w:t>Rx Device</w:t>
            </w:r>
          </w:p>
        </w:tc>
        <w:tc>
          <w:tcPr>
            <w:tcW w:w="1709" w:type="dxa"/>
            <w:shd w:val="clear" w:color="auto" w:fill="D9D9D9"/>
          </w:tcPr>
          <w:p>
            <w:pPr>
              <w:pStyle w:val="TableParagraph"/>
              <w:spacing w:line="240" w:lineRule="auto" w:before="97"/>
              <w:rPr>
                <w:b/>
                <w:sz w:val="18"/>
              </w:rPr>
            </w:pPr>
            <w:r>
              <w:rPr>
                <w:b/>
                <w:sz w:val="18"/>
              </w:rPr>
              <w:t>PER %</w:t>
            </w:r>
          </w:p>
        </w:tc>
      </w:tr>
      <w:tr>
        <w:trPr>
          <w:trHeight w:val="218" w:hRule="exact"/>
        </w:trPr>
        <w:tc>
          <w:tcPr>
            <w:tcW w:w="1712" w:type="dxa"/>
          </w:tcPr>
          <w:p>
            <w:pPr>
              <w:pStyle w:val="TableParagraph"/>
              <w:spacing w:line="240" w:lineRule="auto" w:before="1"/>
              <w:rPr>
                <w:sz w:val="18"/>
              </w:rPr>
            </w:pPr>
            <w:r>
              <w:rPr>
                <w:sz w:val="18"/>
              </w:rPr>
              <w:t>-139.54</w:t>
            </w:r>
          </w:p>
        </w:tc>
        <w:tc>
          <w:tcPr>
            <w:tcW w:w="1796" w:type="dxa"/>
          </w:tcPr>
          <w:p>
            <w:pPr>
              <w:pStyle w:val="TableParagraph"/>
              <w:spacing w:line="240" w:lineRule="auto" w:before="1"/>
              <w:rPr>
                <w:sz w:val="18"/>
              </w:rPr>
            </w:pPr>
            <w:r>
              <w:rPr>
                <w:sz w:val="18"/>
              </w:rPr>
              <w:t>10000</w:t>
            </w:r>
          </w:p>
        </w:tc>
        <w:tc>
          <w:tcPr>
            <w:tcW w:w="1801" w:type="dxa"/>
          </w:tcPr>
          <w:p>
            <w:pPr>
              <w:pStyle w:val="TableParagraph"/>
              <w:spacing w:line="240" w:lineRule="auto" w:before="1"/>
              <w:rPr>
                <w:sz w:val="18"/>
              </w:rPr>
            </w:pPr>
            <w:r>
              <w:rPr>
                <w:sz w:val="18"/>
              </w:rPr>
              <w:t>9999</w:t>
            </w:r>
          </w:p>
        </w:tc>
        <w:tc>
          <w:tcPr>
            <w:tcW w:w="1709" w:type="dxa"/>
          </w:tcPr>
          <w:p>
            <w:pPr>
              <w:pStyle w:val="TableParagraph"/>
              <w:spacing w:line="240" w:lineRule="auto" w:before="1"/>
              <w:rPr>
                <w:sz w:val="18"/>
              </w:rPr>
            </w:pPr>
            <w:r>
              <w:rPr>
                <w:sz w:val="18"/>
              </w:rPr>
              <w:t>0.01</w:t>
            </w:r>
          </w:p>
        </w:tc>
      </w:tr>
      <w:tr>
        <w:trPr>
          <w:trHeight w:val="216" w:hRule="exact"/>
        </w:trPr>
        <w:tc>
          <w:tcPr>
            <w:tcW w:w="1712" w:type="dxa"/>
          </w:tcPr>
          <w:p>
            <w:pPr>
              <w:pStyle w:val="TableParagraph"/>
              <w:rPr>
                <w:sz w:val="18"/>
              </w:rPr>
            </w:pPr>
            <w:r>
              <w:rPr>
                <w:sz w:val="18"/>
              </w:rPr>
              <w:t>-129.54</w:t>
            </w:r>
          </w:p>
        </w:tc>
        <w:tc>
          <w:tcPr>
            <w:tcW w:w="1796" w:type="dxa"/>
          </w:tcPr>
          <w:p>
            <w:pPr>
              <w:pStyle w:val="TableParagraph"/>
              <w:rPr>
                <w:sz w:val="18"/>
              </w:rPr>
            </w:pPr>
            <w:r>
              <w:rPr>
                <w:sz w:val="18"/>
              </w:rPr>
              <w:t>10000</w:t>
            </w:r>
          </w:p>
        </w:tc>
        <w:tc>
          <w:tcPr>
            <w:tcW w:w="1801" w:type="dxa"/>
          </w:tcPr>
          <w:p>
            <w:pPr>
              <w:pStyle w:val="TableParagraph"/>
              <w:rPr>
                <w:sz w:val="18"/>
              </w:rPr>
            </w:pPr>
            <w:r>
              <w:rPr>
                <w:sz w:val="18"/>
              </w:rPr>
              <w:t>10000</w:t>
            </w:r>
          </w:p>
        </w:tc>
        <w:tc>
          <w:tcPr>
            <w:tcW w:w="1709" w:type="dxa"/>
          </w:tcPr>
          <w:p>
            <w:pPr>
              <w:pStyle w:val="TableParagraph"/>
              <w:rPr>
                <w:sz w:val="18"/>
              </w:rPr>
            </w:pPr>
            <w:r>
              <w:rPr>
                <w:w w:val="99"/>
                <w:sz w:val="18"/>
              </w:rPr>
              <w:t>0</w:t>
            </w:r>
          </w:p>
        </w:tc>
      </w:tr>
      <w:tr>
        <w:trPr>
          <w:trHeight w:val="218" w:hRule="exact"/>
        </w:trPr>
        <w:tc>
          <w:tcPr>
            <w:tcW w:w="1712" w:type="dxa"/>
          </w:tcPr>
          <w:p>
            <w:pPr>
              <w:pStyle w:val="TableParagraph"/>
              <w:rPr>
                <w:sz w:val="18"/>
              </w:rPr>
            </w:pPr>
            <w:r>
              <w:rPr>
                <w:sz w:val="18"/>
              </w:rPr>
              <w:t>-119.54</w:t>
            </w:r>
          </w:p>
        </w:tc>
        <w:tc>
          <w:tcPr>
            <w:tcW w:w="1796" w:type="dxa"/>
          </w:tcPr>
          <w:p>
            <w:pPr>
              <w:pStyle w:val="TableParagraph"/>
              <w:rPr>
                <w:sz w:val="18"/>
              </w:rPr>
            </w:pPr>
            <w:r>
              <w:rPr>
                <w:sz w:val="18"/>
              </w:rPr>
              <w:t>10000</w:t>
            </w:r>
          </w:p>
        </w:tc>
        <w:tc>
          <w:tcPr>
            <w:tcW w:w="1801" w:type="dxa"/>
          </w:tcPr>
          <w:p>
            <w:pPr>
              <w:pStyle w:val="TableParagraph"/>
              <w:rPr>
                <w:sz w:val="18"/>
              </w:rPr>
            </w:pPr>
            <w:r>
              <w:rPr>
                <w:sz w:val="18"/>
              </w:rPr>
              <w:t>9998</w:t>
            </w:r>
          </w:p>
        </w:tc>
        <w:tc>
          <w:tcPr>
            <w:tcW w:w="1709" w:type="dxa"/>
          </w:tcPr>
          <w:p>
            <w:pPr>
              <w:pStyle w:val="TableParagraph"/>
              <w:rPr>
                <w:sz w:val="18"/>
              </w:rPr>
            </w:pPr>
            <w:r>
              <w:rPr>
                <w:sz w:val="18"/>
              </w:rPr>
              <w:t>0.02</w:t>
            </w:r>
          </w:p>
        </w:tc>
      </w:tr>
      <w:tr>
        <w:trPr>
          <w:trHeight w:val="216" w:hRule="exact"/>
        </w:trPr>
        <w:tc>
          <w:tcPr>
            <w:tcW w:w="1712" w:type="dxa"/>
          </w:tcPr>
          <w:p>
            <w:pPr>
              <w:pStyle w:val="TableParagraph"/>
              <w:rPr>
                <w:sz w:val="18"/>
              </w:rPr>
            </w:pPr>
            <w:r>
              <w:rPr>
                <w:sz w:val="18"/>
              </w:rPr>
              <w:t>-114.44</w:t>
            </w:r>
          </w:p>
        </w:tc>
        <w:tc>
          <w:tcPr>
            <w:tcW w:w="1796" w:type="dxa"/>
          </w:tcPr>
          <w:p>
            <w:pPr>
              <w:pStyle w:val="TableParagraph"/>
              <w:rPr>
                <w:sz w:val="18"/>
              </w:rPr>
            </w:pPr>
            <w:r>
              <w:rPr>
                <w:sz w:val="18"/>
              </w:rPr>
              <w:t>10000</w:t>
            </w:r>
          </w:p>
        </w:tc>
        <w:tc>
          <w:tcPr>
            <w:tcW w:w="1801" w:type="dxa"/>
          </w:tcPr>
          <w:p>
            <w:pPr>
              <w:pStyle w:val="TableParagraph"/>
              <w:rPr>
                <w:sz w:val="18"/>
              </w:rPr>
            </w:pPr>
            <w:r>
              <w:rPr>
                <w:sz w:val="18"/>
              </w:rPr>
              <w:t>9954</w:t>
            </w:r>
          </w:p>
        </w:tc>
        <w:tc>
          <w:tcPr>
            <w:tcW w:w="1709" w:type="dxa"/>
          </w:tcPr>
          <w:p>
            <w:pPr>
              <w:pStyle w:val="TableParagraph"/>
              <w:rPr>
                <w:sz w:val="18"/>
              </w:rPr>
            </w:pPr>
            <w:r>
              <w:rPr>
                <w:sz w:val="18"/>
              </w:rPr>
              <w:t>0.46</w:t>
            </w:r>
          </w:p>
        </w:tc>
      </w:tr>
      <w:tr>
        <w:trPr>
          <w:trHeight w:val="218" w:hRule="exact"/>
        </w:trPr>
        <w:tc>
          <w:tcPr>
            <w:tcW w:w="1712" w:type="dxa"/>
          </w:tcPr>
          <w:p>
            <w:pPr>
              <w:pStyle w:val="TableParagraph"/>
              <w:rPr>
                <w:sz w:val="18"/>
              </w:rPr>
            </w:pPr>
            <w:r>
              <w:rPr>
                <w:sz w:val="18"/>
              </w:rPr>
              <w:t>-114.34</w:t>
            </w:r>
          </w:p>
        </w:tc>
        <w:tc>
          <w:tcPr>
            <w:tcW w:w="1796" w:type="dxa"/>
          </w:tcPr>
          <w:p>
            <w:pPr>
              <w:pStyle w:val="TableParagraph"/>
              <w:rPr>
                <w:sz w:val="18"/>
              </w:rPr>
            </w:pPr>
            <w:r>
              <w:rPr>
                <w:sz w:val="18"/>
              </w:rPr>
              <w:t>10000</w:t>
            </w:r>
          </w:p>
        </w:tc>
        <w:tc>
          <w:tcPr>
            <w:tcW w:w="1801" w:type="dxa"/>
          </w:tcPr>
          <w:p>
            <w:pPr>
              <w:pStyle w:val="TableParagraph"/>
              <w:rPr>
                <w:sz w:val="18"/>
              </w:rPr>
            </w:pPr>
            <w:r>
              <w:rPr>
                <w:sz w:val="18"/>
              </w:rPr>
              <w:t>9475</w:t>
            </w:r>
          </w:p>
        </w:tc>
        <w:tc>
          <w:tcPr>
            <w:tcW w:w="1709" w:type="dxa"/>
          </w:tcPr>
          <w:p>
            <w:pPr>
              <w:pStyle w:val="TableParagraph"/>
              <w:rPr>
                <w:sz w:val="18"/>
              </w:rPr>
            </w:pPr>
            <w:r>
              <w:rPr>
                <w:sz w:val="18"/>
              </w:rPr>
              <w:t>5.25</w:t>
            </w:r>
          </w:p>
        </w:tc>
      </w:tr>
      <w:tr>
        <w:trPr>
          <w:trHeight w:val="217" w:hRule="exact"/>
        </w:trPr>
        <w:tc>
          <w:tcPr>
            <w:tcW w:w="1712" w:type="dxa"/>
          </w:tcPr>
          <w:p>
            <w:pPr>
              <w:pStyle w:val="TableParagraph"/>
              <w:spacing w:line="207" w:lineRule="exact"/>
              <w:rPr>
                <w:sz w:val="18"/>
              </w:rPr>
            </w:pPr>
            <w:r>
              <w:rPr>
                <w:sz w:val="18"/>
              </w:rPr>
              <w:t>-114.24</w:t>
            </w:r>
          </w:p>
        </w:tc>
        <w:tc>
          <w:tcPr>
            <w:tcW w:w="1796" w:type="dxa"/>
          </w:tcPr>
          <w:p>
            <w:pPr>
              <w:pStyle w:val="TableParagraph"/>
              <w:spacing w:line="207" w:lineRule="exact"/>
              <w:rPr>
                <w:sz w:val="18"/>
              </w:rPr>
            </w:pPr>
            <w:r>
              <w:rPr>
                <w:sz w:val="18"/>
              </w:rPr>
              <w:t>10000</w:t>
            </w:r>
          </w:p>
        </w:tc>
        <w:tc>
          <w:tcPr>
            <w:tcW w:w="1801" w:type="dxa"/>
          </w:tcPr>
          <w:p>
            <w:pPr>
              <w:pStyle w:val="TableParagraph"/>
              <w:spacing w:line="207" w:lineRule="exact"/>
              <w:rPr>
                <w:sz w:val="18"/>
              </w:rPr>
            </w:pPr>
            <w:r>
              <w:rPr>
                <w:sz w:val="18"/>
              </w:rPr>
              <w:t>9266</w:t>
            </w:r>
          </w:p>
        </w:tc>
        <w:tc>
          <w:tcPr>
            <w:tcW w:w="1709" w:type="dxa"/>
          </w:tcPr>
          <w:p>
            <w:pPr>
              <w:pStyle w:val="TableParagraph"/>
              <w:spacing w:line="207" w:lineRule="exact"/>
              <w:rPr>
                <w:sz w:val="18"/>
              </w:rPr>
            </w:pPr>
            <w:r>
              <w:rPr>
                <w:sz w:val="18"/>
              </w:rPr>
              <w:t>7.34</w:t>
            </w:r>
          </w:p>
        </w:tc>
      </w:tr>
      <w:tr>
        <w:trPr>
          <w:trHeight w:val="216" w:hRule="exact"/>
        </w:trPr>
        <w:tc>
          <w:tcPr>
            <w:tcW w:w="1712" w:type="dxa"/>
          </w:tcPr>
          <w:p>
            <w:pPr>
              <w:pStyle w:val="TableParagraph"/>
              <w:rPr>
                <w:sz w:val="18"/>
              </w:rPr>
            </w:pPr>
            <w:r>
              <w:rPr>
                <w:sz w:val="18"/>
              </w:rPr>
              <w:t>-114.14</w:t>
            </w:r>
          </w:p>
        </w:tc>
        <w:tc>
          <w:tcPr>
            <w:tcW w:w="1796" w:type="dxa"/>
          </w:tcPr>
          <w:p>
            <w:pPr>
              <w:pStyle w:val="TableParagraph"/>
              <w:rPr>
                <w:sz w:val="18"/>
              </w:rPr>
            </w:pPr>
            <w:r>
              <w:rPr>
                <w:sz w:val="18"/>
              </w:rPr>
              <w:t>10000</w:t>
            </w:r>
          </w:p>
        </w:tc>
        <w:tc>
          <w:tcPr>
            <w:tcW w:w="1801" w:type="dxa"/>
          </w:tcPr>
          <w:p>
            <w:pPr>
              <w:pStyle w:val="TableParagraph"/>
              <w:rPr>
                <w:sz w:val="18"/>
              </w:rPr>
            </w:pPr>
            <w:r>
              <w:rPr>
                <w:sz w:val="18"/>
              </w:rPr>
              <w:t>8308</w:t>
            </w:r>
          </w:p>
        </w:tc>
        <w:tc>
          <w:tcPr>
            <w:tcW w:w="1709" w:type="dxa"/>
          </w:tcPr>
          <w:p>
            <w:pPr>
              <w:pStyle w:val="TableParagraph"/>
              <w:rPr>
                <w:sz w:val="18"/>
              </w:rPr>
            </w:pPr>
            <w:r>
              <w:rPr>
                <w:sz w:val="18"/>
              </w:rPr>
              <w:t>16.92</w:t>
            </w:r>
          </w:p>
        </w:tc>
      </w:tr>
      <w:tr>
        <w:trPr>
          <w:trHeight w:val="218" w:hRule="exact"/>
        </w:trPr>
        <w:tc>
          <w:tcPr>
            <w:tcW w:w="1712" w:type="dxa"/>
          </w:tcPr>
          <w:p>
            <w:pPr>
              <w:pStyle w:val="TableParagraph"/>
              <w:spacing w:line="240" w:lineRule="auto" w:before="1"/>
              <w:rPr>
                <w:sz w:val="18"/>
              </w:rPr>
            </w:pPr>
            <w:r>
              <w:rPr>
                <w:sz w:val="18"/>
              </w:rPr>
              <w:t>-114.04</w:t>
            </w:r>
          </w:p>
        </w:tc>
        <w:tc>
          <w:tcPr>
            <w:tcW w:w="1796" w:type="dxa"/>
          </w:tcPr>
          <w:p>
            <w:pPr>
              <w:pStyle w:val="TableParagraph"/>
              <w:spacing w:line="240" w:lineRule="auto" w:before="1"/>
              <w:rPr>
                <w:sz w:val="18"/>
              </w:rPr>
            </w:pPr>
            <w:r>
              <w:rPr>
                <w:sz w:val="18"/>
              </w:rPr>
              <w:t>10000</w:t>
            </w:r>
          </w:p>
        </w:tc>
        <w:tc>
          <w:tcPr>
            <w:tcW w:w="1801" w:type="dxa"/>
          </w:tcPr>
          <w:p>
            <w:pPr>
              <w:pStyle w:val="TableParagraph"/>
              <w:spacing w:line="240" w:lineRule="auto" w:before="1"/>
              <w:rPr>
                <w:sz w:val="18"/>
              </w:rPr>
            </w:pPr>
            <w:r>
              <w:rPr>
                <w:sz w:val="18"/>
              </w:rPr>
              <w:t>7421</w:t>
            </w:r>
          </w:p>
        </w:tc>
        <w:tc>
          <w:tcPr>
            <w:tcW w:w="1709" w:type="dxa"/>
          </w:tcPr>
          <w:p>
            <w:pPr>
              <w:pStyle w:val="TableParagraph"/>
              <w:spacing w:line="240" w:lineRule="auto" w:before="1"/>
              <w:rPr>
                <w:sz w:val="18"/>
              </w:rPr>
            </w:pPr>
            <w:r>
              <w:rPr>
                <w:sz w:val="18"/>
              </w:rPr>
              <w:t>25.79</w:t>
            </w:r>
          </w:p>
        </w:tc>
      </w:tr>
      <w:tr>
        <w:trPr>
          <w:trHeight w:val="216" w:hRule="exact"/>
        </w:trPr>
        <w:tc>
          <w:tcPr>
            <w:tcW w:w="1712" w:type="dxa"/>
          </w:tcPr>
          <w:p>
            <w:pPr>
              <w:pStyle w:val="TableParagraph"/>
              <w:rPr>
                <w:sz w:val="18"/>
              </w:rPr>
            </w:pPr>
            <w:r>
              <w:rPr>
                <w:sz w:val="18"/>
              </w:rPr>
              <w:t>-113.94</w:t>
            </w:r>
          </w:p>
        </w:tc>
        <w:tc>
          <w:tcPr>
            <w:tcW w:w="1796" w:type="dxa"/>
          </w:tcPr>
          <w:p>
            <w:pPr>
              <w:pStyle w:val="TableParagraph"/>
              <w:rPr>
                <w:sz w:val="18"/>
              </w:rPr>
            </w:pPr>
            <w:r>
              <w:rPr>
                <w:sz w:val="18"/>
              </w:rPr>
              <w:t>10000</w:t>
            </w:r>
          </w:p>
        </w:tc>
        <w:tc>
          <w:tcPr>
            <w:tcW w:w="1801" w:type="dxa"/>
          </w:tcPr>
          <w:p>
            <w:pPr>
              <w:pStyle w:val="TableParagraph"/>
              <w:rPr>
                <w:sz w:val="18"/>
              </w:rPr>
            </w:pPr>
            <w:r>
              <w:rPr>
                <w:sz w:val="18"/>
              </w:rPr>
              <w:t>5054</w:t>
            </w:r>
          </w:p>
        </w:tc>
        <w:tc>
          <w:tcPr>
            <w:tcW w:w="1709" w:type="dxa"/>
          </w:tcPr>
          <w:p>
            <w:pPr>
              <w:pStyle w:val="TableParagraph"/>
              <w:rPr>
                <w:sz w:val="18"/>
              </w:rPr>
            </w:pPr>
            <w:r>
              <w:rPr>
                <w:sz w:val="18"/>
              </w:rPr>
              <w:t>49.46</w:t>
            </w:r>
          </w:p>
        </w:tc>
      </w:tr>
      <w:tr>
        <w:trPr>
          <w:trHeight w:val="218" w:hRule="exact"/>
        </w:trPr>
        <w:tc>
          <w:tcPr>
            <w:tcW w:w="1712" w:type="dxa"/>
          </w:tcPr>
          <w:p>
            <w:pPr>
              <w:pStyle w:val="TableParagraph"/>
              <w:rPr>
                <w:sz w:val="18"/>
              </w:rPr>
            </w:pPr>
            <w:r>
              <w:rPr>
                <w:sz w:val="18"/>
              </w:rPr>
              <w:t>-113.84</w:t>
            </w:r>
          </w:p>
        </w:tc>
        <w:tc>
          <w:tcPr>
            <w:tcW w:w="1796" w:type="dxa"/>
          </w:tcPr>
          <w:p>
            <w:pPr>
              <w:pStyle w:val="TableParagraph"/>
              <w:rPr>
                <w:sz w:val="18"/>
              </w:rPr>
            </w:pPr>
            <w:r>
              <w:rPr>
                <w:sz w:val="18"/>
              </w:rPr>
              <w:t>10000</w:t>
            </w:r>
          </w:p>
        </w:tc>
        <w:tc>
          <w:tcPr>
            <w:tcW w:w="1801" w:type="dxa"/>
          </w:tcPr>
          <w:p>
            <w:pPr>
              <w:pStyle w:val="TableParagraph"/>
              <w:rPr>
                <w:sz w:val="18"/>
              </w:rPr>
            </w:pPr>
            <w:r>
              <w:rPr>
                <w:sz w:val="18"/>
              </w:rPr>
              <w:t>1365</w:t>
            </w:r>
          </w:p>
        </w:tc>
        <w:tc>
          <w:tcPr>
            <w:tcW w:w="1709" w:type="dxa"/>
          </w:tcPr>
          <w:p>
            <w:pPr>
              <w:pStyle w:val="TableParagraph"/>
              <w:rPr>
                <w:sz w:val="18"/>
              </w:rPr>
            </w:pPr>
            <w:r>
              <w:rPr>
                <w:sz w:val="18"/>
              </w:rPr>
              <w:t>86.35</w:t>
            </w:r>
          </w:p>
        </w:tc>
      </w:tr>
      <w:tr>
        <w:trPr>
          <w:trHeight w:val="216" w:hRule="exact"/>
        </w:trPr>
        <w:tc>
          <w:tcPr>
            <w:tcW w:w="1712" w:type="dxa"/>
          </w:tcPr>
          <w:p>
            <w:pPr>
              <w:pStyle w:val="TableParagraph"/>
              <w:rPr>
                <w:sz w:val="18"/>
              </w:rPr>
            </w:pPr>
            <w:r>
              <w:rPr>
                <w:sz w:val="18"/>
              </w:rPr>
              <w:t>-113.34</w:t>
            </w:r>
          </w:p>
        </w:tc>
        <w:tc>
          <w:tcPr>
            <w:tcW w:w="1796" w:type="dxa"/>
          </w:tcPr>
          <w:p>
            <w:pPr>
              <w:pStyle w:val="TableParagraph"/>
              <w:rPr>
                <w:sz w:val="18"/>
              </w:rPr>
            </w:pPr>
            <w:r>
              <w:rPr>
                <w:sz w:val="18"/>
              </w:rPr>
              <w:t>10000</w:t>
            </w:r>
          </w:p>
        </w:tc>
        <w:tc>
          <w:tcPr>
            <w:tcW w:w="1801" w:type="dxa"/>
          </w:tcPr>
          <w:p>
            <w:pPr>
              <w:pStyle w:val="TableParagraph"/>
              <w:rPr>
                <w:sz w:val="18"/>
              </w:rPr>
            </w:pPr>
            <w:r>
              <w:rPr>
                <w:w w:val="99"/>
                <w:sz w:val="18"/>
              </w:rPr>
              <w:t>0</w:t>
            </w:r>
          </w:p>
        </w:tc>
        <w:tc>
          <w:tcPr>
            <w:tcW w:w="1709" w:type="dxa"/>
          </w:tcPr>
          <w:p>
            <w:pPr>
              <w:pStyle w:val="TableParagraph"/>
              <w:rPr>
                <w:sz w:val="18"/>
              </w:rPr>
            </w:pPr>
            <w:r>
              <w:rPr>
                <w:sz w:val="18"/>
              </w:rPr>
              <w:t>100</w:t>
            </w:r>
          </w:p>
        </w:tc>
      </w:tr>
    </w:tbl>
    <w:p>
      <w:pPr>
        <w:spacing w:after="0"/>
        <w:rPr>
          <w:sz w:val="18"/>
        </w:rPr>
        <w:sectPr>
          <w:headerReference w:type="default" r:id="rId236"/>
          <w:pgSz w:w="11910" w:h="16850"/>
          <w:pgMar w:header="852" w:footer="979" w:top="1040" w:bottom="1160" w:left="0" w:right="0"/>
        </w:sectPr>
      </w:pPr>
    </w:p>
    <w:p>
      <w:pPr>
        <w:pStyle w:val="BodyText"/>
        <w:rPr>
          <w:b/>
          <w:sz w:val="23"/>
        </w:rPr>
      </w:pPr>
    </w:p>
    <w:p>
      <w:pPr>
        <w:pStyle w:val="Heading7"/>
        <w:spacing w:before="93"/>
      </w:pPr>
      <w:r>
        <w:rPr/>
        <w:t>Table 16: C-V2X HARQ Disabled Results – IPG and Latency</w:t>
      </w:r>
    </w:p>
    <w:p>
      <w:pPr>
        <w:pStyle w:val="BodyText"/>
        <w:spacing w:before="2"/>
        <w:rPr>
          <w:b/>
          <w:sz w:val="16"/>
        </w:rPr>
      </w:pPr>
    </w:p>
    <w:tbl>
      <w:tblPr>
        <w:tblW w:w="0" w:type="auto"/>
        <w:jc w:val="left"/>
        <w:tblInd w:w="1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1"/>
        <w:gridCol w:w="1261"/>
        <w:gridCol w:w="1260"/>
        <w:gridCol w:w="1260"/>
        <w:gridCol w:w="1261"/>
        <w:gridCol w:w="1260"/>
        <w:gridCol w:w="1260"/>
      </w:tblGrid>
      <w:tr>
        <w:trPr>
          <w:trHeight w:val="631" w:hRule="exact"/>
        </w:trPr>
        <w:tc>
          <w:tcPr>
            <w:tcW w:w="1351" w:type="dxa"/>
            <w:shd w:val="clear" w:color="auto" w:fill="D9D9D9"/>
          </w:tcPr>
          <w:p>
            <w:pPr>
              <w:pStyle w:val="TableParagraph"/>
              <w:spacing w:line="240" w:lineRule="auto"/>
              <w:ind w:right="358"/>
              <w:rPr>
                <w:b/>
                <w:sz w:val="18"/>
              </w:rPr>
            </w:pPr>
            <w:r>
              <w:rPr>
                <w:b/>
                <w:sz w:val="18"/>
              </w:rPr>
              <w:t>Signal Generator Setting</w:t>
            </w:r>
          </w:p>
        </w:tc>
        <w:tc>
          <w:tcPr>
            <w:tcW w:w="1261" w:type="dxa"/>
            <w:shd w:val="clear" w:color="auto" w:fill="D9D9D9"/>
          </w:tcPr>
          <w:p>
            <w:pPr>
              <w:pStyle w:val="TableParagraph"/>
              <w:tabs>
                <w:tab w:pos="979" w:val="left" w:leader="none"/>
              </w:tabs>
              <w:spacing w:line="201" w:lineRule="exact"/>
              <w:rPr>
                <w:b/>
                <w:sz w:val="18"/>
              </w:rPr>
            </w:pPr>
            <w:r>
              <w:rPr>
                <w:b/>
                <w:sz w:val="18"/>
              </w:rPr>
              <w:t>No.</w:t>
              <w:tab/>
              <w:t>of</w:t>
            </w:r>
          </w:p>
          <w:p>
            <w:pPr>
              <w:pStyle w:val="TableParagraph"/>
              <w:spacing w:line="240" w:lineRule="auto"/>
              <w:ind w:right="97"/>
              <w:rPr>
                <w:b/>
                <w:sz w:val="18"/>
              </w:rPr>
            </w:pPr>
            <w:r>
              <w:rPr>
                <w:b/>
                <w:sz w:val="18"/>
              </w:rPr>
              <w:t>Transmitted pkts</w:t>
            </w:r>
          </w:p>
        </w:tc>
        <w:tc>
          <w:tcPr>
            <w:tcW w:w="1260" w:type="dxa"/>
            <w:shd w:val="clear" w:color="auto" w:fill="D9D9D9"/>
          </w:tcPr>
          <w:p>
            <w:pPr>
              <w:pStyle w:val="TableParagraph"/>
              <w:tabs>
                <w:tab w:pos="979" w:val="left" w:leader="none"/>
              </w:tabs>
              <w:spacing w:line="201" w:lineRule="exact"/>
              <w:rPr>
                <w:b/>
                <w:sz w:val="18"/>
              </w:rPr>
            </w:pPr>
            <w:r>
              <w:rPr>
                <w:b/>
                <w:sz w:val="18"/>
              </w:rPr>
              <w:t>No.</w:t>
              <w:tab/>
              <w:t>of</w:t>
            </w:r>
          </w:p>
          <w:p>
            <w:pPr>
              <w:pStyle w:val="TableParagraph"/>
              <w:spacing w:line="240" w:lineRule="auto"/>
              <w:ind w:right="337"/>
              <w:rPr>
                <w:b/>
                <w:sz w:val="18"/>
              </w:rPr>
            </w:pPr>
            <w:r>
              <w:rPr>
                <w:b/>
                <w:sz w:val="18"/>
              </w:rPr>
              <w:t>Received pkts</w:t>
            </w:r>
          </w:p>
        </w:tc>
        <w:tc>
          <w:tcPr>
            <w:tcW w:w="1260" w:type="dxa"/>
            <w:shd w:val="clear" w:color="auto" w:fill="D9D9D9"/>
          </w:tcPr>
          <w:p>
            <w:pPr>
              <w:pStyle w:val="TableParagraph"/>
              <w:spacing w:line="240" w:lineRule="auto"/>
              <w:ind w:right="166"/>
              <w:rPr>
                <w:b/>
                <w:sz w:val="18"/>
              </w:rPr>
            </w:pPr>
            <w:r>
              <w:rPr>
                <w:b/>
                <w:sz w:val="18"/>
              </w:rPr>
              <w:t>Calculated at Receiver</w:t>
            </w:r>
          </w:p>
        </w:tc>
        <w:tc>
          <w:tcPr>
            <w:tcW w:w="1261" w:type="dxa"/>
            <w:shd w:val="clear" w:color="auto" w:fill="D9D9D9"/>
          </w:tcPr>
          <w:p>
            <w:pPr>
              <w:pStyle w:val="TableParagraph"/>
              <w:spacing w:line="240" w:lineRule="auto"/>
              <w:ind w:right="167"/>
              <w:rPr>
                <w:b/>
                <w:sz w:val="18"/>
              </w:rPr>
            </w:pPr>
            <w:r>
              <w:rPr>
                <w:b/>
                <w:sz w:val="18"/>
              </w:rPr>
              <w:t>Calculated at Receiver</w:t>
            </w:r>
          </w:p>
        </w:tc>
        <w:tc>
          <w:tcPr>
            <w:tcW w:w="1260" w:type="dxa"/>
            <w:shd w:val="clear" w:color="auto" w:fill="D9D9D9"/>
          </w:tcPr>
          <w:p>
            <w:pPr>
              <w:pStyle w:val="TableParagraph"/>
              <w:spacing w:line="240" w:lineRule="auto"/>
              <w:ind w:right="166"/>
              <w:rPr>
                <w:b/>
                <w:sz w:val="18"/>
              </w:rPr>
            </w:pPr>
            <w:r>
              <w:rPr>
                <w:b/>
                <w:sz w:val="18"/>
              </w:rPr>
              <w:t>Calculated at Receiver</w:t>
            </w:r>
          </w:p>
        </w:tc>
        <w:tc>
          <w:tcPr>
            <w:tcW w:w="1260" w:type="dxa"/>
            <w:shd w:val="clear" w:color="auto" w:fill="D9D9D9"/>
          </w:tcPr>
          <w:p>
            <w:pPr>
              <w:pStyle w:val="TableParagraph"/>
              <w:spacing w:line="240" w:lineRule="auto"/>
              <w:ind w:right="167"/>
              <w:rPr>
                <w:b/>
                <w:sz w:val="18"/>
              </w:rPr>
            </w:pPr>
            <w:r>
              <w:rPr>
                <w:b/>
                <w:sz w:val="18"/>
              </w:rPr>
              <w:t>Calculated at Receiver</w:t>
            </w:r>
          </w:p>
        </w:tc>
      </w:tr>
      <w:tr>
        <w:trPr>
          <w:trHeight w:val="838" w:hRule="exact"/>
        </w:trPr>
        <w:tc>
          <w:tcPr>
            <w:tcW w:w="1351" w:type="dxa"/>
            <w:shd w:val="clear" w:color="auto" w:fill="D9D9D9"/>
          </w:tcPr>
          <w:p>
            <w:pPr>
              <w:pStyle w:val="TableParagraph"/>
              <w:tabs>
                <w:tab w:pos="868" w:val="left" w:leader="none"/>
              </w:tabs>
              <w:spacing w:line="240" w:lineRule="auto"/>
              <w:ind w:right="101"/>
              <w:rPr>
                <w:b/>
                <w:sz w:val="18"/>
              </w:rPr>
            </w:pPr>
            <w:r>
              <w:rPr>
                <w:b/>
                <w:sz w:val="18"/>
              </w:rPr>
              <w:t>Noise</w:t>
              <w:tab/>
              <w:t>PSD dBm/Hz</w:t>
            </w:r>
          </w:p>
        </w:tc>
        <w:tc>
          <w:tcPr>
            <w:tcW w:w="1261" w:type="dxa"/>
            <w:shd w:val="clear" w:color="auto" w:fill="D9D9D9"/>
          </w:tcPr>
          <w:p>
            <w:pPr>
              <w:pStyle w:val="TableParagraph"/>
              <w:spacing w:line="201" w:lineRule="exact"/>
              <w:rPr>
                <w:b/>
                <w:sz w:val="18"/>
              </w:rPr>
            </w:pPr>
            <w:r>
              <w:rPr>
                <w:b/>
                <w:sz w:val="18"/>
              </w:rPr>
              <w:t>Tx Device</w:t>
            </w:r>
          </w:p>
        </w:tc>
        <w:tc>
          <w:tcPr>
            <w:tcW w:w="1260" w:type="dxa"/>
            <w:shd w:val="clear" w:color="auto" w:fill="D9D9D9"/>
          </w:tcPr>
          <w:p>
            <w:pPr>
              <w:pStyle w:val="TableParagraph"/>
              <w:spacing w:line="201" w:lineRule="exact"/>
              <w:rPr>
                <w:b/>
                <w:sz w:val="18"/>
              </w:rPr>
            </w:pPr>
            <w:r>
              <w:rPr>
                <w:b/>
                <w:sz w:val="18"/>
              </w:rPr>
              <w:t>Rx Device</w:t>
            </w:r>
          </w:p>
        </w:tc>
        <w:tc>
          <w:tcPr>
            <w:tcW w:w="1260" w:type="dxa"/>
            <w:shd w:val="clear" w:color="auto" w:fill="D9D9D9"/>
          </w:tcPr>
          <w:p>
            <w:pPr>
              <w:pStyle w:val="TableParagraph"/>
              <w:spacing w:line="240" w:lineRule="auto"/>
              <w:ind w:right="266"/>
              <w:rPr>
                <w:b/>
                <w:sz w:val="18"/>
              </w:rPr>
            </w:pPr>
            <w:r>
              <w:rPr>
                <w:b/>
                <w:position w:val="-5"/>
                <w:sz w:val="18"/>
              </w:rPr>
              <w:t>95</w:t>
            </w:r>
            <w:r>
              <w:rPr>
                <w:b/>
                <w:sz w:val="12"/>
              </w:rPr>
              <w:t>th </w:t>
            </w:r>
            <w:r>
              <w:rPr>
                <w:b/>
                <w:sz w:val="18"/>
              </w:rPr>
              <w:t>Percentile IPG (ms)</w:t>
            </w:r>
          </w:p>
        </w:tc>
        <w:tc>
          <w:tcPr>
            <w:tcW w:w="1261" w:type="dxa"/>
            <w:shd w:val="clear" w:color="auto" w:fill="D9D9D9"/>
          </w:tcPr>
          <w:p>
            <w:pPr>
              <w:pStyle w:val="TableParagraph"/>
              <w:spacing w:line="201" w:lineRule="exact"/>
              <w:rPr>
                <w:b/>
                <w:sz w:val="18"/>
              </w:rPr>
            </w:pPr>
            <w:r>
              <w:rPr>
                <w:b/>
                <w:sz w:val="18"/>
              </w:rPr>
              <w:t>Mean IPG</w:t>
            </w:r>
          </w:p>
        </w:tc>
        <w:tc>
          <w:tcPr>
            <w:tcW w:w="1260" w:type="dxa"/>
            <w:shd w:val="clear" w:color="auto" w:fill="D9D9D9"/>
          </w:tcPr>
          <w:p>
            <w:pPr>
              <w:pStyle w:val="TableParagraph"/>
              <w:spacing w:line="240" w:lineRule="auto"/>
              <w:ind w:right="266"/>
              <w:rPr>
                <w:b/>
                <w:sz w:val="18"/>
              </w:rPr>
            </w:pPr>
            <w:r>
              <w:rPr>
                <w:b/>
                <w:sz w:val="18"/>
              </w:rPr>
              <w:t>95th Percentile Latency (ms)</w:t>
            </w:r>
          </w:p>
        </w:tc>
        <w:tc>
          <w:tcPr>
            <w:tcW w:w="1260" w:type="dxa"/>
            <w:shd w:val="clear" w:color="auto" w:fill="D9D9D9"/>
          </w:tcPr>
          <w:p>
            <w:pPr>
              <w:pStyle w:val="TableParagraph"/>
              <w:spacing w:line="240" w:lineRule="auto"/>
              <w:ind w:right="447"/>
              <w:rPr>
                <w:b/>
                <w:sz w:val="18"/>
              </w:rPr>
            </w:pPr>
            <w:r>
              <w:rPr>
                <w:b/>
                <w:sz w:val="18"/>
              </w:rPr>
              <w:t>Mean Latency</w:t>
            </w:r>
          </w:p>
        </w:tc>
      </w:tr>
      <w:tr>
        <w:trPr>
          <w:trHeight w:val="216" w:hRule="exact"/>
        </w:trPr>
        <w:tc>
          <w:tcPr>
            <w:tcW w:w="1351" w:type="dxa"/>
          </w:tcPr>
          <w:p>
            <w:pPr>
              <w:pStyle w:val="TableParagraph"/>
              <w:rPr>
                <w:sz w:val="18"/>
              </w:rPr>
            </w:pPr>
            <w:r>
              <w:rPr>
                <w:sz w:val="18"/>
              </w:rPr>
              <w:t>-139.54</w:t>
            </w:r>
          </w:p>
        </w:tc>
        <w:tc>
          <w:tcPr>
            <w:tcW w:w="1261" w:type="dxa"/>
          </w:tcPr>
          <w:p>
            <w:pPr>
              <w:pStyle w:val="TableParagraph"/>
              <w:rPr>
                <w:sz w:val="18"/>
              </w:rPr>
            </w:pPr>
            <w:r>
              <w:rPr>
                <w:sz w:val="18"/>
              </w:rPr>
              <w:t>10000</w:t>
            </w:r>
          </w:p>
        </w:tc>
        <w:tc>
          <w:tcPr>
            <w:tcW w:w="1260" w:type="dxa"/>
          </w:tcPr>
          <w:p>
            <w:pPr>
              <w:pStyle w:val="TableParagraph"/>
              <w:rPr>
                <w:sz w:val="18"/>
              </w:rPr>
            </w:pPr>
            <w:r>
              <w:rPr>
                <w:sz w:val="18"/>
              </w:rPr>
              <w:t>9999</w:t>
            </w:r>
          </w:p>
        </w:tc>
        <w:tc>
          <w:tcPr>
            <w:tcW w:w="1260" w:type="dxa"/>
          </w:tcPr>
          <w:p>
            <w:pPr>
              <w:pStyle w:val="TableParagraph"/>
              <w:rPr>
                <w:sz w:val="18"/>
              </w:rPr>
            </w:pPr>
            <w:r>
              <w:rPr>
                <w:sz w:val="18"/>
              </w:rPr>
              <w:t>105</w:t>
            </w:r>
          </w:p>
        </w:tc>
        <w:tc>
          <w:tcPr>
            <w:tcW w:w="1261" w:type="dxa"/>
          </w:tcPr>
          <w:p>
            <w:pPr>
              <w:pStyle w:val="TableParagraph"/>
              <w:rPr>
                <w:sz w:val="18"/>
              </w:rPr>
            </w:pPr>
            <w:r>
              <w:rPr>
                <w:sz w:val="18"/>
              </w:rPr>
              <w:t>100</w:t>
            </w:r>
          </w:p>
        </w:tc>
        <w:tc>
          <w:tcPr>
            <w:tcW w:w="1260" w:type="dxa"/>
          </w:tcPr>
          <w:p>
            <w:pPr>
              <w:pStyle w:val="TableParagraph"/>
              <w:rPr>
                <w:sz w:val="18"/>
              </w:rPr>
            </w:pPr>
            <w:r>
              <w:rPr>
                <w:sz w:val="18"/>
              </w:rPr>
              <w:t>24</w:t>
            </w:r>
          </w:p>
        </w:tc>
        <w:tc>
          <w:tcPr>
            <w:tcW w:w="1260" w:type="dxa"/>
          </w:tcPr>
          <w:p>
            <w:pPr>
              <w:pStyle w:val="TableParagraph"/>
              <w:rPr>
                <w:sz w:val="18"/>
              </w:rPr>
            </w:pPr>
            <w:r>
              <w:rPr>
                <w:sz w:val="18"/>
              </w:rPr>
              <w:t>15</w:t>
            </w:r>
          </w:p>
        </w:tc>
      </w:tr>
      <w:tr>
        <w:trPr>
          <w:trHeight w:val="218" w:hRule="exact"/>
        </w:trPr>
        <w:tc>
          <w:tcPr>
            <w:tcW w:w="1351" w:type="dxa"/>
          </w:tcPr>
          <w:p>
            <w:pPr>
              <w:pStyle w:val="TableParagraph"/>
              <w:rPr>
                <w:sz w:val="18"/>
              </w:rPr>
            </w:pPr>
            <w:r>
              <w:rPr>
                <w:sz w:val="18"/>
              </w:rPr>
              <w:t>-129.54</w:t>
            </w:r>
          </w:p>
        </w:tc>
        <w:tc>
          <w:tcPr>
            <w:tcW w:w="1261" w:type="dxa"/>
          </w:tcPr>
          <w:p>
            <w:pPr>
              <w:pStyle w:val="TableParagraph"/>
              <w:rPr>
                <w:sz w:val="18"/>
              </w:rPr>
            </w:pPr>
            <w:r>
              <w:rPr>
                <w:sz w:val="18"/>
              </w:rPr>
              <w:t>10000</w:t>
            </w:r>
          </w:p>
        </w:tc>
        <w:tc>
          <w:tcPr>
            <w:tcW w:w="1260" w:type="dxa"/>
          </w:tcPr>
          <w:p>
            <w:pPr>
              <w:pStyle w:val="TableParagraph"/>
              <w:rPr>
                <w:sz w:val="18"/>
              </w:rPr>
            </w:pPr>
            <w:r>
              <w:rPr>
                <w:sz w:val="18"/>
              </w:rPr>
              <w:t>10000</w:t>
            </w:r>
          </w:p>
        </w:tc>
        <w:tc>
          <w:tcPr>
            <w:tcW w:w="1260" w:type="dxa"/>
          </w:tcPr>
          <w:p>
            <w:pPr>
              <w:pStyle w:val="TableParagraph"/>
              <w:rPr>
                <w:sz w:val="18"/>
              </w:rPr>
            </w:pPr>
            <w:r>
              <w:rPr>
                <w:sz w:val="18"/>
              </w:rPr>
              <w:t>105</w:t>
            </w:r>
          </w:p>
        </w:tc>
        <w:tc>
          <w:tcPr>
            <w:tcW w:w="1261" w:type="dxa"/>
          </w:tcPr>
          <w:p>
            <w:pPr>
              <w:pStyle w:val="TableParagraph"/>
              <w:rPr>
                <w:sz w:val="18"/>
              </w:rPr>
            </w:pPr>
            <w:r>
              <w:rPr>
                <w:sz w:val="18"/>
              </w:rPr>
              <w:t>100</w:t>
            </w:r>
          </w:p>
        </w:tc>
        <w:tc>
          <w:tcPr>
            <w:tcW w:w="1260" w:type="dxa"/>
          </w:tcPr>
          <w:p>
            <w:pPr>
              <w:pStyle w:val="TableParagraph"/>
              <w:rPr>
                <w:sz w:val="18"/>
              </w:rPr>
            </w:pPr>
            <w:r>
              <w:rPr>
                <w:sz w:val="18"/>
              </w:rPr>
              <w:t>24</w:t>
            </w:r>
          </w:p>
        </w:tc>
        <w:tc>
          <w:tcPr>
            <w:tcW w:w="1260" w:type="dxa"/>
          </w:tcPr>
          <w:p>
            <w:pPr>
              <w:pStyle w:val="TableParagraph"/>
              <w:rPr>
                <w:sz w:val="18"/>
              </w:rPr>
            </w:pPr>
            <w:r>
              <w:rPr>
                <w:sz w:val="18"/>
              </w:rPr>
              <w:t>15</w:t>
            </w:r>
          </w:p>
        </w:tc>
      </w:tr>
      <w:tr>
        <w:trPr>
          <w:trHeight w:val="216" w:hRule="exact"/>
        </w:trPr>
        <w:tc>
          <w:tcPr>
            <w:tcW w:w="1351" w:type="dxa"/>
          </w:tcPr>
          <w:p>
            <w:pPr>
              <w:pStyle w:val="TableParagraph"/>
              <w:rPr>
                <w:sz w:val="18"/>
              </w:rPr>
            </w:pPr>
            <w:r>
              <w:rPr>
                <w:sz w:val="18"/>
              </w:rPr>
              <w:t>-119.54</w:t>
            </w:r>
          </w:p>
        </w:tc>
        <w:tc>
          <w:tcPr>
            <w:tcW w:w="1261" w:type="dxa"/>
          </w:tcPr>
          <w:p>
            <w:pPr>
              <w:pStyle w:val="TableParagraph"/>
              <w:rPr>
                <w:sz w:val="18"/>
              </w:rPr>
            </w:pPr>
            <w:r>
              <w:rPr>
                <w:sz w:val="18"/>
              </w:rPr>
              <w:t>10000</w:t>
            </w:r>
          </w:p>
        </w:tc>
        <w:tc>
          <w:tcPr>
            <w:tcW w:w="1260" w:type="dxa"/>
          </w:tcPr>
          <w:p>
            <w:pPr>
              <w:pStyle w:val="TableParagraph"/>
              <w:rPr>
                <w:sz w:val="18"/>
              </w:rPr>
            </w:pPr>
            <w:r>
              <w:rPr>
                <w:sz w:val="18"/>
              </w:rPr>
              <w:t>9998</w:t>
            </w:r>
          </w:p>
        </w:tc>
        <w:tc>
          <w:tcPr>
            <w:tcW w:w="1260" w:type="dxa"/>
          </w:tcPr>
          <w:p>
            <w:pPr>
              <w:pStyle w:val="TableParagraph"/>
              <w:rPr>
                <w:sz w:val="18"/>
              </w:rPr>
            </w:pPr>
            <w:r>
              <w:rPr>
                <w:sz w:val="18"/>
              </w:rPr>
              <w:t>105</w:t>
            </w:r>
          </w:p>
        </w:tc>
        <w:tc>
          <w:tcPr>
            <w:tcW w:w="1261" w:type="dxa"/>
          </w:tcPr>
          <w:p>
            <w:pPr>
              <w:pStyle w:val="TableParagraph"/>
              <w:rPr>
                <w:sz w:val="18"/>
              </w:rPr>
            </w:pPr>
            <w:r>
              <w:rPr>
                <w:sz w:val="18"/>
              </w:rPr>
              <w:t>100</w:t>
            </w:r>
          </w:p>
        </w:tc>
        <w:tc>
          <w:tcPr>
            <w:tcW w:w="1260" w:type="dxa"/>
          </w:tcPr>
          <w:p>
            <w:pPr>
              <w:pStyle w:val="TableParagraph"/>
              <w:rPr>
                <w:sz w:val="18"/>
              </w:rPr>
            </w:pPr>
            <w:r>
              <w:rPr>
                <w:sz w:val="18"/>
              </w:rPr>
              <w:t>24</w:t>
            </w:r>
          </w:p>
        </w:tc>
        <w:tc>
          <w:tcPr>
            <w:tcW w:w="1260" w:type="dxa"/>
          </w:tcPr>
          <w:p>
            <w:pPr>
              <w:pStyle w:val="TableParagraph"/>
              <w:rPr>
                <w:sz w:val="18"/>
              </w:rPr>
            </w:pPr>
            <w:r>
              <w:rPr>
                <w:sz w:val="18"/>
              </w:rPr>
              <w:t>15</w:t>
            </w:r>
          </w:p>
        </w:tc>
      </w:tr>
      <w:tr>
        <w:trPr>
          <w:trHeight w:val="216" w:hRule="exact"/>
        </w:trPr>
        <w:tc>
          <w:tcPr>
            <w:tcW w:w="1351" w:type="dxa"/>
          </w:tcPr>
          <w:p>
            <w:pPr>
              <w:pStyle w:val="TableParagraph"/>
              <w:rPr>
                <w:sz w:val="18"/>
              </w:rPr>
            </w:pPr>
            <w:r>
              <w:rPr>
                <w:sz w:val="18"/>
              </w:rPr>
              <w:t>-114.44</w:t>
            </w:r>
          </w:p>
        </w:tc>
        <w:tc>
          <w:tcPr>
            <w:tcW w:w="1261" w:type="dxa"/>
          </w:tcPr>
          <w:p>
            <w:pPr>
              <w:pStyle w:val="TableParagraph"/>
              <w:rPr>
                <w:sz w:val="18"/>
              </w:rPr>
            </w:pPr>
            <w:r>
              <w:rPr>
                <w:sz w:val="18"/>
              </w:rPr>
              <w:t>10000</w:t>
            </w:r>
          </w:p>
        </w:tc>
        <w:tc>
          <w:tcPr>
            <w:tcW w:w="1260" w:type="dxa"/>
          </w:tcPr>
          <w:p>
            <w:pPr>
              <w:pStyle w:val="TableParagraph"/>
              <w:rPr>
                <w:sz w:val="18"/>
              </w:rPr>
            </w:pPr>
            <w:r>
              <w:rPr>
                <w:sz w:val="18"/>
              </w:rPr>
              <w:t>9954</w:t>
            </w:r>
          </w:p>
        </w:tc>
        <w:tc>
          <w:tcPr>
            <w:tcW w:w="1260" w:type="dxa"/>
          </w:tcPr>
          <w:p>
            <w:pPr>
              <w:pStyle w:val="TableParagraph"/>
              <w:rPr>
                <w:sz w:val="18"/>
              </w:rPr>
            </w:pPr>
            <w:r>
              <w:rPr>
                <w:sz w:val="18"/>
              </w:rPr>
              <w:t>106</w:t>
            </w:r>
          </w:p>
        </w:tc>
        <w:tc>
          <w:tcPr>
            <w:tcW w:w="1261" w:type="dxa"/>
          </w:tcPr>
          <w:p>
            <w:pPr>
              <w:pStyle w:val="TableParagraph"/>
              <w:rPr>
                <w:sz w:val="18"/>
              </w:rPr>
            </w:pPr>
            <w:r>
              <w:rPr>
                <w:sz w:val="18"/>
              </w:rPr>
              <w:t>100</w:t>
            </w:r>
          </w:p>
        </w:tc>
        <w:tc>
          <w:tcPr>
            <w:tcW w:w="1260" w:type="dxa"/>
          </w:tcPr>
          <w:p>
            <w:pPr>
              <w:pStyle w:val="TableParagraph"/>
              <w:rPr>
                <w:sz w:val="18"/>
              </w:rPr>
            </w:pPr>
            <w:r>
              <w:rPr>
                <w:sz w:val="18"/>
              </w:rPr>
              <w:t>24</w:t>
            </w:r>
          </w:p>
        </w:tc>
        <w:tc>
          <w:tcPr>
            <w:tcW w:w="1260" w:type="dxa"/>
          </w:tcPr>
          <w:p>
            <w:pPr>
              <w:pStyle w:val="TableParagraph"/>
              <w:rPr>
                <w:sz w:val="18"/>
              </w:rPr>
            </w:pPr>
            <w:r>
              <w:rPr>
                <w:sz w:val="18"/>
              </w:rPr>
              <w:t>15</w:t>
            </w:r>
          </w:p>
        </w:tc>
      </w:tr>
      <w:tr>
        <w:trPr>
          <w:trHeight w:val="218" w:hRule="exact"/>
        </w:trPr>
        <w:tc>
          <w:tcPr>
            <w:tcW w:w="1351" w:type="dxa"/>
          </w:tcPr>
          <w:p>
            <w:pPr>
              <w:pStyle w:val="TableParagraph"/>
              <w:spacing w:line="240" w:lineRule="auto" w:before="1"/>
              <w:rPr>
                <w:sz w:val="18"/>
              </w:rPr>
            </w:pPr>
            <w:r>
              <w:rPr>
                <w:sz w:val="18"/>
              </w:rPr>
              <w:t>-114.34</w:t>
            </w:r>
          </w:p>
        </w:tc>
        <w:tc>
          <w:tcPr>
            <w:tcW w:w="1261" w:type="dxa"/>
          </w:tcPr>
          <w:p>
            <w:pPr>
              <w:pStyle w:val="TableParagraph"/>
              <w:spacing w:line="240" w:lineRule="auto" w:before="1"/>
              <w:rPr>
                <w:sz w:val="18"/>
              </w:rPr>
            </w:pPr>
            <w:r>
              <w:rPr>
                <w:sz w:val="18"/>
              </w:rPr>
              <w:t>10000</w:t>
            </w:r>
          </w:p>
        </w:tc>
        <w:tc>
          <w:tcPr>
            <w:tcW w:w="1260" w:type="dxa"/>
          </w:tcPr>
          <w:p>
            <w:pPr>
              <w:pStyle w:val="TableParagraph"/>
              <w:spacing w:line="240" w:lineRule="auto" w:before="1"/>
              <w:rPr>
                <w:sz w:val="18"/>
              </w:rPr>
            </w:pPr>
            <w:r>
              <w:rPr>
                <w:sz w:val="18"/>
              </w:rPr>
              <w:t>9475</w:t>
            </w:r>
          </w:p>
        </w:tc>
        <w:tc>
          <w:tcPr>
            <w:tcW w:w="1260" w:type="dxa"/>
          </w:tcPr>
          <w:p>
            <w:pPr>
              <w:pStyle w:val="TableParagraph"/>
              <w:spacing w:line="240" w:lineRule="auto" w:before="1"/>
              <w:rPr>
                <w:sz w:val="18"/>
              </w:rPr>
            </w:pPr>
            <w:r>
              <w:rPr>
                <w:sz w:val="18"/>
              </w:rPr>
              <w:t>117</w:t>
            </w:r>
          </w:p>
        </w:tc>
        <w:tc>
          <w:tcPr>
            <w:tcW w:w="1261" w:type="dxa"/>
          </w:tcPr>
          <w:p>
            <w:pPr>
              <w:pStyle w:val="TableParagraph"/>
              <w:spacing w:line="240" w:lineRule="auto" w:before="1"/>
              <w:rPr>
                <w:sz w:val="18"/>
              </w:rPr>
            </w:pPr>
            <w:r>
              <w:rPr>
                <w:sz w:val="18"/>
              </w:rPr>
              <w:t>105</w:t>
            </w:r>
          </w:p>
        </w:tc>
        <w:tc>
          <w:tcPr>
            <w:tcW w:w="1260" w:type="dxa"/>
          </w:tcPr>
          <w:p>
            <w:pPr>
              <w:pStyle w:val="TableParagraph"/>
              <w:spacing w:line="240" w:lineRule="auto" w:before="1"/>
              <w:rPr>
                <w:sz w:val="18"/>
              </w:rPr>
            </w:pPr>
            <w:r>
              <w:rPr>
                <w:sz w:val="18"/>
              </w:rPr>
              <w:t>28</w:t>
            </w:r>
          </w:p>
        </w:tc>
        <w:tc>
          <w:tcPr>
            <w:tcW w:w="1260" w:type="dxa"/>
          </w:tcPr>
          <w:p>
            <w:pPr>
              <w:pStyle w:val="TableParagraph"/>
              <w:spacing w:line="240" w:lineRule="auto" w:before="1"/>
              <w:rPr>
                <w:sz w:val="18"/>
              </w:rPr>
            </w:pPr>
            <w:r>
              <w:rPr>
                <w:sz w:val="18"/>
              </w:rPr>
              <w:t>20</w:t>
            </w:r>
          </w:p>
        </w:tc>
      </w:tr>
    </w:tbl>
    <w:p>
      <w:pPr>
        <w:pStyle w:val="BodyText"/>
        <w:rPr>
          <w:b/>
          <w:sz w:val="22"/>
        </w:rPr>
      </w:pPr>
    </w:p>
    <w:p>
      <w:pPr>
        <w:pStyle w:val="BodyText"/>
        <w:spacing w:before="5"/>
        <w:rPr>
          <w:b/>
          <w:sz w:val="18"/>
        </w:rPr>
      </w:pPr>
    </w:p>
    <w:p>
      <w:pPr>
        <w:spacing w:before="0"/>
        <w:ind w:left="1133" w:right="0" w:firstLine="0"/>
        <w:jc w:val="left"/>
        <w:rPr>
          <w:b/>
          <w:sz w:val="20"/>
        </w:rPr>
      </w:pPr>
      <w:r>
        <w:rPr>
          <w:b/>
          <w:sz w:val="20"/>
        </w:rPr>
        <w:t>Table 17: DSRC Results – PER</w:t>
      </w:r>
    </w:p>
    <w:p>
      <w:pPr>
        <w:pStyle w:val="BodyText"/>
        <w:spacing w:before="2"/>
        <w:rPr>
          <w:b/>
          <w:sz w:val="16"/>
        </w:rPr>
      </w:pPr>
    </w:p>
    <w:tbl>
      <w:tblPr>
        <w:tblW w:w="0" w:type="auto"/>
        <w:jc w:val="left"/>
        <w:tblInd w:w="2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2"/>
        <w:gridCol w:w="1796"/>
        <w:gridCol w:w="1801"/>
        <w:gridCol w:w="1709"/>
      </w:tblGrid>
      <w:tr>
        <w:trPr>
          <w:trHeight w:val="424" w:hRule="exact"/>
        </w:trPr>
        <w:tc>
          <w:tcPr>
            <w:tcW w:w="1712" w:type="dxa"/>
            <w:shd w:val="clear" w:color="auto" w:fill="D9D9D9"/>
          </w:tcPr>
          <w:p>
            <w:pPr>
              <w:pStyle w:val="TableParagraph"/>
              <w:spacing w:line="240" w:lineRule="auto"/>
              <w:ind w:right="101"/>
              <w:rPr>
                <w:b/>
                <w:sz w:val="18"/>
              </w:rPr>
            </w:pPr>
            <w:r>
              <w:rPr>
                <w:b/>
                <w:sz w:val="18"/>
              </w:rPr>
              <w:t>Signal Generator Setting</w:t>
            </w:r>
          </w:p>
        </w:tc>
        <w:tc>
          <w:tcPr>
            <w:tcW w:w="1796" w:type="dxa"/>
            <w:shd w:val="clear" w:color="auto" w:fill="D9D9D9"/>
          </w:tcPr>
          <w:p>
            <w:pPr>
              <w:pStyle w:val="TableParagraph"/>
              <w:spacing w:line="240" w:lineRule="auto"/>
              <w:rPr>
                <w:b/>
                <w:sz w:val="18"/>
              </w:rPr>
            </w:pPr>
            <w:r>
              <w:rPr>
                <w:b/>
                <w:sz w:val="18"/>
              </w:rPr>
              <w:t>No. of Transmitted pkts</w:t>
            </w:r>
          </w:p>
        </w:tc>
        <w:tc>
          <w:tcPr>
            <w:tcW w:w="1801" w:type="dxa"/>
            <w:shd w:val="clear" w:color="auto" w:fill="D9D9D9"/>
          </w:tcPr>
          <w:p>
            <w:pPr>
              <w:pStyle w:val="TableParagraph"/>
              <w:spacing w:line="240" w:lineRule="auto"/>
              <w:rPr>
                <w:b/>
                <w:sz w:val="18"/>
              </w:rPr>
            </w:pPr>
            <w:r>
              <w:rPr>
                <w:b/>
                <w:sz w:val="18"/>
              </w:rPr>
              <w:t>No. of Received pkts</w:t>
            </w:r>
          </w:p>
        </w:tc>
        <w:tc>
          <w:tcPr>
            <w:tcW w:w="1709" w:type="dxa"/>
            <w:shd w:val="clear" w:color="auto" w:fill="D9D9D9"/>
          </w:tcPr>
          <w:p>
            <w:pPr>
              <w:pStyle w:val="TableParagraph"/>
              <w:tabs>
                <w:tab w:pos="1438" w:val="left" w:leader="none"/>
              </w:tabs>
              <w:spacing w:line="240" w:lineRule="auto"/>
              <w:ind w:right="101"/>
              <w:rPr>
                <w:b/>
                <w:sz w:val="18"/>
              </w:rPr>
            </w:pPr>
            <w:r>
              <w:rPr>
                <w:b/>
                <w:sz w:val="18"/>
              </w:rPr>
              <w:t>Calculated</w:t>
              <w:tab/>
            </w:r>
            <w:r>
              <w:rPr>
                <w:b/>
                <w:spacing w:val="-1"/>
                <w:sz w:val="18"/>
              </w:rPr>
              <w:t>at </w:t>
            </w:r>
            <w:r>
              <w:rPr>
                <w:b/>
                <w:sz w:val="18"/>
              </w:rPr>
              <w:t>Receiver</w:t>
            </w:r>
          </w:p>
        </w:tc>
      </w:tr>
      <w:tr>
        <w:trPr>
          <w:trHeight w:val="424" w:hRule="exact"/>
        </w:trPr>
        <w:tc>
          <w:tcPr>
            <w:tcW w:w="1712" w:type="dxa"/>
            <w:shd w:val="clear" w:color="auto" w:fill="D9D9D9"/>
          </w:tcPr>
          <w:p>
            <w:pPr>
              <w:pStyle w:val="TableParagraph"/>
              <w:tabs>
                <w:tab w:pos="1228" w:val="left" w:leader="none"/>
              </w:tabs>
              <w:spacing w:line="240" w:lineRule="auto"/>
              <w:ind w:right="100"/>
              <w:rPr>
                <w:b/>
                <w:sz w:val="18"/>
              </w:rPr>
            </w:pPr>
            <w:r>
              <w:rPr>
                <w:b/>
                <w:sz w:val="18"/>
              </w:rPr>
              <w:t>Noise</w:t>
              <w:tab/>
              <w:t>PSD dBm/Hz</w:t>
            </w:r>
          </w:p>
        </w:tc>
        <w:tc>
          <w:tcPr>
            <w:tcW w:w="1796" w:type="dxa"/>
            <w:shd w:val="clear" w:color="auto" w:fill="D9D9D9"/>
          </w:tcPr>
          <w:p>
            <w:pPr>
              <w:pStyle w:val="TableParagraph"/>
              <w:spacing w:line="240" w:lineRule="auto" w:before="98"/>
              <w:rPr>
                <w:b/>
                <w:sz w:val="18"/>
              </w:rPr>
            </w:pPr>
            <w:r>
              <w:rPr>
                <w:b/>
                <w:sz w:val="18"/>
              </w:rPr>
              <w:t>Tx Device</w:t>
            </w:r>
          </w:p>
        </w:tc>
        <w:tc>
          <w:tcPr>
            <w:tcW w:w="1801" w:type="dxa"/>
            <w:shd w:val="clear" w:color="auto" w:fill="D9D9D9"/>
          </w:tcPr>
          <w:p>
            <w:pPr>
              <w:pStyle w:val="TableParagraph"/>
              <w:spacing w:line="240" w:lineRule="auto" w:before="98"/>
              <w:rPr>
                <w:b/>
                <w:sz w:val="18"/>
              </w:rPr>
            </w:pPr>
            <w:r>
              <w:rPr>
                <w:b/>
                <w:sz w:val="18"/>
              </w:rPr>
              <w:t>Rx Device</w:t>
            </w:r>
          </w:p>
        </w:tc>
        <w:tc>
          <w:tcPr>
            <w:tcW w:w="1709" w:type="dxa"/>
            <w:shd w:val="clear" w:color="auto" w:fill="D9D9D9"/>
          </w:tcPr>
          <w:p>
            <w:pPr>
              <w:pStyle w:val="TableParagraph"/>
              <w:spacing w:line="240" w:lineRule="auto" w:before="98"/>
              <w:rPr>
                <w:b/>
                <w:sz w:val="18"/>
              </w:rPr>
            </w:pPr>
            <w:r>
              <w:rPr>
                <w:b/>
                <w:sz w:val="18"/>
              </w:rPr>
              <w:t>PER %</w:t>
            </w:r>
          </w:p>
        </w:tc>
      </w:tr>
      <w:tr>
        <w:trPr>
          <w:trHeight w:val="216" w:hRule="exact"/>
        </w:trPr>
        <w:tc>
          <w:tcPr>
            <w:tcW w:w="1712" w:type="dxa"/>
          </w:tcPr>
          <w:p>
            <w:pPr>
              <w:pStyle w:val="TableParagraph"/>
              <w:rPr>
                <w:sz w:val="18"/>
              </w:rPr>
            </w:pPr>
            <w:r>
              <w:rPr>
                <w:sz w:val="18"/>
              </w:rPr>
              <w:t>-140</w:t>
            </w:r>
          </w:p>
        </w:tc>
        <w:tc>
          <w:tcPr>
            <w:tcW w:w="1796" w:type="dxa"/>
          </w:tcPr>
          <w:p>
            <w:pPr>
              <w:pStyle w:val="TableParagraph"/>
              <w:rPr>
                <w:sz w:val="18"/>
              </w:rPr>
            </w:pPr>
            <w:r>
              <w:rPr>
                <w:sz w:val="18"/>
              </w:rPr>
              <w:t>10000</w:t>
            </w:r>
          </w:p>
        </w:tc>
        <w:tc>
          <w:tcPr>
            <w:tcW w:w="1801" w:type="dxa"/>
          </w:tcPr>
          <w:p>
            <w:pPr>
              <w:pStyle w:val="TableParagraph"/>
              <w:rPr>
                <w:sz w:val="18"/>
              </w:rPr>
            </w:pPr>
            <w:r>
              <w:rPr>
                <w:sz w:val="18"/>
              </w:rPr>
              <w:t>9983</w:t>
            </w:r>
          </w:p>
        </w:tc>
        <w:tc>
          <w:tcPr>
            <w:tcW w:w="1709" w:type="dxa"/>
          </w:tcPr>
          <w:p>
            <w:pPr>
              <w:pStyle w:val="TableParagraph"/>
              <w:rPr>
                <w:sz w:val="18"/>
              </w:rPr>
            </w:pPr>
            <w:r>
              <w:rPr>
                <w:sz w:val="18"/>
              </w:rPr>
              <w:t>0.17</w:t>
            </w:r>
          </w:p>
        </w:tc>
      </w:tr>
      <w:tr>
        <w:trPr>
          <w:trHeight w:val="218" w:hRule="exact"/>
        </w:trPr>
        <w:tc>
          <w:tcPr>
            <w:tcW w:w="1712" w:type="dxa"/>
          </w:tcPr>
          <w:p>
            <w:pPr>
              <w:pStyle w:val="TableParagraph"/>
              <w:spacing w:line="240" w:lineRule="auto" w:before="1"/>
              <w:rPr>
                <w:sz w:val="18"/>
              </w:rPr>
            </w:pPr>
            <w:r>
              <w:rPr>
                <w:sz w:val="18"/>
              </w:rPr>
              <w:t>-135</w:t>
            </w:r>
          </w:p>
        </w:tc>
        <w:tc>
          <w:tcPr>
            <w:tcW w:w="1796" w:type="dxa"/>
          </w:tcPr>
          <w:p>
            <w:pPr>
              <w:pStyle w:val="TableParagraph"/>
              <w:spacing w:line="240" w:lineRule="auto" w:before="1"/>
              <w:rPr>
                <w:sz w:val="18"/>
              </w:rPr>
            </w:pPr>
            <w:r>
              <w:rPr>
                <w:sz w:val="18"/>
              </w:rPr>
              <w:t>10000</w:t>
            </w:r>
          </w:p>
        </w:tc>
        <w:tc>
          <w:tcPr>
            <w:tcW w:w="1801" w:type="dxa"/>
          </w:tcPr>
          <w:p>
            <w:pPr>
              <w:pStyle w:val="TableParagraph"/>
              <w:spacing w:line="240" w:lineRule="auto" w:before="1"/>
              <w:rPr>
                <w:sz w:val="18"/>
              </w:rPr>
            </w:pPr>
            <w:r>
              <w:rPr>
                <w:sz w:val="18"/>
              </w:rPr>
              <w:t>9981</w:t>
            </w:r>
          </w:p>
        </w:tc>
        <w:tc>
          <w:tcPr>
            <w:tcW w:w="1709" w:type="dxa"/>
          </w:tcPr>
          <w:p>
            <w:pPr>
              <w:pStyle w:val="TableParagraph"/>
              <w:spacing w:line="240" w:lineRule="auto" w:before="1"/>
              <w:rPr>
                <w:sz w:val="18"/>
              </w:rPr>
            </w:pPr>
            <w:r>
              <w:rPr>
                <w:sz w:val="18"/>
              </w:rPr>
              <w:t>0.19</w:t>
            </w:r>
          </w:p>
        </w:tc>
      </w:tr>
      <w:tr>
        <w:trPr>
          <w:trHeight w:val="216" w:hRule="exact"/>
        </w:trPr>
        <w:tc>
          <w:tcPr>
            <w:tcW w:w="1712" w:type="dxa"/>
          </w:tcPr>
          <w:p>
            <w:pPr>
              <w:pStyle w:val="TableParagraph"/>
              <w:rPr>
                <w:sz w:val="18"/>
              </w:rPr>
            </w:pPr>
            <w:r>
              <w:rPr>
                <w:sz w:val="18"/>
              </w:rPr>
              <w:t>-130</w:t>
            </w:r>
          </w:p>
        </w:tc>
        <w:tc>
          <w:tcPr>
            <w:tcW w:w="1796" w:type="dxa"/>
          </w:tcPr>
          <w:p>
            <w:pPr>
              <w:pStyle w:val="TableParagraph"/>
              <w:rPr>
                <w:sz w:val="18"/>
              </w:rPr>
            </w:pPr>
            <w:r>
              <w:rPr>
                <w:sz w:val="18"/>
              </w:rPr>
              <w:t>10000</w:t>
            </w:r>
          </w:p>
        </w:tc>
        <w:tc>
          <w:tcPr>
            <w:tcW w:w="1801" w:type="dxa"/>
          </w:tcPr>
          <w:p>
            <w:pPr>
              <w:pStyle w:val="TableParagraph"/>
              <w:rPr>
                <w:sz w:val="18"/>
              </w:rPr>
            </w:pPr>
            <w:r>
              <w:rPr>
                <w:sz w:val="18"/>
              </w:rPr>
              <w:t>9952</w:t>
            </w:r>
          </w:p>
        </w:tc>
        <w:tc>
          <w:tcPr>
            <w:tcW w:w="1709" w:type="dxa"/>
          </w:tcPr>
          <w:p>
            <w:pPr>
              <w:pStyle w:val="TableParagraph"/>
              <w:rPr>
                <w:sz w:val="18"/>
              </w:rPr>
            </w:pPr>
            <w:r>
              <w:rPr>
                <w:sz w:val="18"/>
              </w:rPr>
              <w:t>0.48</w:t>
            </w:r>
          </w:p>
        </w:tc>
      </w:tr>
      <w:tr>
        <w:trPr>
          <w:trHeight w:val="218" w:hRule="exact"/>
        </w:trPr>
        <w:tc>
          <w:tcPr>
            <w:tcW w:w="1712" w:type="dxa"/>
          </w:tcPr>
          <w:p>
            <w:pPr>
              <w:pStyle w:val="TableParagraph"/>
              <w:rPr>
                <w:sz w:val="18"/>
              </w:rPr>
            </w:pPr>
            <w:r>
              <w:rPr>
                <w:sz w:val="18"/>
              </w:rPr>
              <w:t>-127</w:t>
            </w:r>
          </w:p>
        </w:tc>
        <w:tc>
          <w:tcPr>
            <w:tcW w:w="1796" w:type="dxa"/>
          </w:tcPr>
          <w:p>
            <w:pPr>
              <w:pStyle w:val="TableParagraph"/>
              <w:rPr>
                <w:sz w:val="18"/>
              </w:rPr>
            </w:pPr>
            <w:r>
              <w:rPr>
                <w:sz w:val="18"/>
              </w:rPr>
              <w:t>10000</w:t>
            </w:r>
          </w:p>
        </w:tc>
        <w:tc>
          <w:tcPr>
            <w:tcW w:w="1801" w:type="dxa"/>
          </w:tcPr>
          <w:p>
            <w:pPr>
              <w:pStyle w:val="TableParagraph"/>
              <w:rPr>
                <w:sz w:val="18"/>
              </w:rPr>
            </w:pPr>
            <w:r>
              <w:rPr>
                <w:sz w:val="18"/>
              </w:rPr>
              <w:t>9955</w:t>
            </w:r>
          </w:p>
        </w:tc>
        <w:tc>
          <w:tcPr>
            <w:tcW w:w="1709" w:type="dxa"/>
          </w:tcPr>
          <w:p>
            <w:pPr>
              <w:pStyle w:val="TableParagraph"/>
              <w:rPr>
                <w:sz w:val="18"/>
              </w:rPr>
            </w:pPr>
            <w:r>
              <w:rPr>
                <w:sz w:val="18"/>
              </w:rPr>
              <w:t>0.45</w:t>
            </w:r>
          </w:p>
        </w:tc>
      </w:tr>
      <w:tr>
        <w:trPr>
          <w:trHeight w:val="216" w:hRule="exact"/>
        </w:trPr>
        <w:tc>
          <w:tcPr>
            <w:tcW w:w="1712" w:type="dxa"/>
          </w:tcPr>
          <w:p>
            <w:pPr>
              <w:pStyle w:val="TableParagraph"/>
              <w:rPr>
                <w:sz w:val="18"/>
              </w:rPr>
            </w:pPr>
            <w:r>
              <w:rPr>
                <w:sz w:val="18"/>
              </w:rPr>
              <w:t>-126</w:t>
            </w:r>
          </w:p>
        </w:tc>
        <w:tc>
          <w:tcPr>
            <w:tcW w:w="1796" w:type="dxa"/>
          </w:tcPr>
          <w:p>
            <w:pPr>
              <w:pStyle w:val="TableParagraph"/>
              <w:rPr>
                <w:sz w:val="18"/>
              </w:rPr>
            </w:pPr>
            <w:r>
              <w:rPr>
                <w:sz w:val="18"/>
              </w:rPr>
              <w:t>10000</w:t>
            </w:r>
          </w:p>
        </w:tc>
        <w:tc>
          <w:tcPr>
            <w:tcW w:w="1801" w:type="dxa"/>
          </w:tcPr>
          <w:p>
            <w:pPr>
              <w:pStyle w:val="TableParagraph"/>
              <w:rPr>
                <w:sz w:val="18"/>
              </w:rPr>
            </w:pPr>
            <w:r>
              <w:rPr>
                <w:sz w:val="18"/>
              </w:rPr>
              <w:t>9852</w:t>
            </w:r>
          </w:p>
        </w:tc>
        <w:tc>
          <w:tcPr>
            <w:tcW w:w="1709" w:type="dxa"/>
          </w:tcPr>
          <w:p>
            <w:pPr>
              <w:pStyle w:val="TableParagraph"/>
              <w:rPr>
                <w:sz w:val="18"/>
              </w:rPr>
            </w:pPr>
            <w:r>
              <w:rPr>
                <w:sz w:val="18"/>
              </w:rPr>
              <w:t>1.48</w:t>
            </w:r>
          </w:p>
        </w:tc>
      </w:tr>
      <w:tr>
        <w:trPr>
          <w:trHeight w:val="216" w:hRule="exact"/>
        </w:trPr>
        <w:tc>
          <w:tcPr>
            <w:tcW w:w="1712" w:type="dxa"/>
          </w:tcPr>
          <w:p>
            <w:pPr>
              <w:pStyle w:val="TableParagraph"/>
              <w:rPr>
                <w:sz w:val="18"/>
              </w:rPr>
            </w:pPr>
            <w:r>
              <w:rPr>
                <w:sz w:val="18"/>
              </w:rPr>
              <w:t>-125.5</w:t>
            </w:r>
          </w:p>
        </w:tc>
        <w:tc>
          <w:tcPr>
            <w:tcW w:w="1796" w:type="dxa"/>
          </w:tcPr>
          <w:p>
            <w:pPr>
              <w:pStyle w:val="TableParagraph"/>
              <w:rPr>
                <w:sz w:val="18"/>
              </w:rPr>
            </w:pPr>
            <w:r>
              <w:rPr>
                <w:sz w:val="18"/>
              </w:rPr>
              <w:t>10000</w:t>
            </w:r>
          </w:p>
        </w:tc>
        <w:tc>
          <w:tcPr>
            <w:tcW w:w="1801" w:type="dxa"/>
          </w:tcPr>
          <w:p>
            <w:pPr>
              <w:pStyle w:val="TableParagraph"/>
              <w:rPr>
                <w:sz w:val="18"/>
              </w:rPr>
            </w:pPr>
            <w:r>
              <w:rPr>
                <w:sz w:val="18"/>
              </w:rPr>
              <w:t>9520</w:t>
            </w:r>
          </w:p>
        </w:tc>
        <w:tc>
          <w:tcPr>
            <w:tcW w:w="1709" w:type="dxa"/>
          </w:tcPr>
          <w:p>
            <w:pPr>
              <w:pStyle w:val="TableParagraph"/>
              <w:rPr>
                <w:sz w:val="18"/>
              </w:rPr>
            </w:pPr>
            <w:r>
              <w:rPr>
                <w:sz w:val="18"/>
              </w:rPr>
              <w:t>4.8</w:t>
            </w:r>
          </w:p>
        </w:tc>
      </w:tr>
      <w:tr>
        <w:trPr>
          <w:trHeight w:val="218" w:hRule="exact"/>
        </w:trPr>
        <w:tc>
          <w:tcPr>
            <w:tcW w:w="1712" w:type="dxa"/>
          </w:tcPr>
          <w:p>
            <w:pPr>
              <w:pStyle w:val="TableParagraph"/>
              <w:spacing w:line="240" w:lineRule="auto" w:before="1"/>
              <w:rPr>
                <w:sz w:val="18"/>
              </w:rPr>
            </w:pPr>
            <w:r>
              <w:rPr>
                <w:sz w:val="18"/>
              </w:rPr>
              <w:t>-125</w:t>
            </w:r>
          </w:p>
        </w:tc>
        <w:tc>
          <w:tcPr>
            <w:tcW w:w="1796" w:type="dxa"/>
          </w:tcPr>
          <w:p>
            <w:pPr>
              <w:pStyle w:val="TableParagraph"/>
              <w:spacing w:line="240" w:lineRule="auto" w:before="1"/>
              <w:rPr>
                <w:sz w:val="18"/>
              </w:rPr>
            </w:pPr>
            <w:r>
              <w:rPr>
                <w:sz w:val="18"/>
              </w:rPr>
              <w:t>10000</w:t>
            </w:r>
          </w:p>
        </w:tc>
        <w:tc>
          <w:tcPr>
            <w:tcW w:w="1801" w:type="dxa"/>
          </w:tcPr>
          <w:p>
            <w:pPr>
              <w:pStyle w:val="TableParagraph"/>
              <w:spacing w:line="240" w:lineRule="auto" w:before="1"/>
              <w:rPr>
                <w:sz w:val="18"/>
              </w:rPr>
            </w:pPr>
            <w:r>
              <w:rPr>
                <w:sz w:val="18"/>
              </w:rPr>
              <w:t>8674</w:t>
            </w:r>
          </w:p>
        </w:tc>
        <w:tc>
          <w:tcPr>
            <w:tcW w:w="1709" w:type="dxa"/>
          </w:tcPr>
          <w:p>
            <w:pPr>
              <w:pStyle w:val="TableParagraph"/>
              <w:spacing w:line="240" w:lineRule="auto" w:before="1"/>
              <w:rPr>
                <w:sz w:val="18"/>
              </w:rPr>
            </w:pPr>
            <w:r>
              <w:rPr>
                <w:sz w:val="18"/>
              </w:rPr>
              <w:t>13.26</w:t>
            </w:r>
          </w:p>
        </w:tc>
      </w:tr>
      <w:tr>
        <w:trPr>
          <w:trHeight w:val="216" w:hRule="exact"/>
        </w:trPr>
        <w:tc>
          <w:tcPr>
            <w:tcW w:w="1712" w:type="dxa"/>
          </w:tcPr>
          <w:p>
            <w:pPr>
              <w:pStyle w:val="TableParagraph"/>
              <w:rPr>
                <w:sz w:val="18"/>
              </w:rPr>
            </w:pPr>
            <w:r>
              <w:rPr>
                <w:sz w:val="18"/>
              </w:rPr>
              <w:t>-124.5</w:t>
            </w:r>
          </w:p>
        </w:tc>
        <w:tc>
          <w:tcPr>
            <w:tcW w:w="1796" w:type="dxa"/>
          </w:tcPr>
          <w:p>
            <w:pPr>
              <w:pStyle w:val="TableParagraph"/>
              <w:rPr>
                <w:sz w:val="18"/>
              </w:rPr>
            </w:pPr>
            <w:r>
              <w:rPr>
                <w:sz w:val="18"/>
              </w:rPr>
              <w:t>10000</w:t>
            </w:r>
          </w:p>
        </w:tc>
        <w:tc>
          <w:tcPr>
            <w:tcW w:w="1801" w:type="dxa"/>
          </w:tcPr>
          <w:p>
            <w:pPr>
              <w:pStyle w:val="TableParagraph"/>
              <w:rPr>
                <w:sz w:val="18"/>
              </w:rPr>
            </w:pPr>
            <w:r>
              <w:rPr>
                <w:sz w:val="18"/>
              </w:rPr>
              <w:t>7810</w:t>
            </w:r>
          </w:p>
        </w:tc>
        <w:tc>
          <w:tcPr>
            <w:tcW w:w="1709" w:type="dxa"/>
          </w:tcPr>
          <w:p>
            <w:pPr>
              <w:pStyle w:val="TableParagraph"/>
              <w:rPr>
                <w:sz w:val="18"/>
              </w:rPr>
            </w:pPr>
            <w:r>
              <w:rPr>
                <w:sz w:val="18"/>
              </w:rPr>
              <w:t>21.9</w:t>
            </w:r>
          </w:p>
        </w:tc>
      </w:tr>
      <w:tr>
        <w:trPr>
          <w:trHeight w:val="218" w:hRule="exact"/>
        </w:trPr>
        <w:tc>
          <w:tcPr>
            <w:tcW w:w="1712" w:type="dxa"/>
          </w:tcPr>
          <w:p>
            <w:pPr>
              <w:pStyle w:val="TableParagraph"/>
              <w:rPr>
                <w:sz w:val="18"/>
              </w:rPr>
            </w:pPr>
            <w:r>
              <w:rPr>
                <w:sz w:val="18"/>
              </w:rPr>
              <w:t>-124</w:t>
            </w:r>
          </w:p>
        </w:tc>
        <w:tc>
          <w:tcPr>
            <w:tcW w:w="1796" w:type="dxa"/>
          </w:tcPr>
          <w:p>
            <w:pPr>
              <w:pStyle w:val="TableParagraph"/>
              <w:rPr>
                <w:sz w:val="18"/>
              </w:rPr>
            </w:pPr>
            <w:r>
              <w:rPr>
                <w:sz w:val="18"/>
              </w:rPr>
              <w:t>10000</w:t>
            </w:r>
          </w:p>
        </w:tc>
        <w:tc>
          <w:tcPr>
            <w:tcW w:w="1801" w:type="dxa"/>
          </w:tcPr>
          <w:p>
            <w:pPr>
              <w:pStyle w:val="TableParagraph"/>
              <w:rPr>
                <w:sz w:val="18"/>
              </w:rPr>
            </w:pPr>
            <w:r>
              <w:rPr>
                <w:sz w:val="18"/>
              </w:rPr>
              <w:t>4693</w:t>
            </w:r>
          </w:p>
        </w:tc>
        <w:tc>
          <w:tcPr>
            <w:tcW w:w="1709" w:type="dxa"/>
          </w:tcPr>
          <w:p>
            <w:pPr>
              <w:pStyle w:val="TableParagraph"/>
              <w:rPr>
                <w:sz w:val="18"/>
              </w:rPr>
            </w:pPr>
            <w:r>
              <w:rPr>
                <w:sz w:val="18"/>
              </w:rPr>
              <w:t>53.07</w:t>
            </w:r>
          </w:p>
        </w:tc>
      </w:tr>
      <w:tr>
        <w:trPr>
          <w:trHeight w:val="216" w:hRule="exact"/>
        </w:trPr>
        <w:tc>
          <w:tcPr>
            <w:tcW w:w="1712" w:type="dxa"/>
          </w:tcPr>
          <w:p>
            <w:pPr>
              <w:pStyle w:val="TableParagraph"/>
              <w:rPr>
                <w:sz w:val="18"/>
              </w:rPr>
            </w:pPr>
            <w:r>
              <w:rPr>
                <w:sz w:val="18"/>
              </w:rPr>
              <w:t>-123.5</w:t>
            </w:r>
          </w:p>
        </w:tc>
        <w:tc>
          <w:tcPr>
            <w:tcW w:w="1796" w:type="dxa"/>
          </w:tcPr>
          <w:p>
            <w:pPr>
              <w:pStyle w:val="TableParagraph"/>
              <w:rPr>
                <w:sz w:val="18"/>
              </w:rPr>
            </w:pPr>
            <w:r>
              <w:rPr>
                <w:sz w:val="18"/>
              </w:rPr>
              <w:t>10000</w:t>
            </w:r>
          </w:p>
        </w:tc>
        <w:tc>
          <w:tcPr>
            <w:tcW w:w="1801" w:type="dxa"/>
          </w:tcPr>
          <w:p>
            <w:pPr>
              <w:pStyle w:val="TableParagraph"/>
              <w:rPr>
                <w:sz w:val="18"/>
              </w:rPr>
            </w:pPr>
            <w:r>
              <w:rPr>
                <w:sz w:val="18"/>
              </w:rPr>
              <w:t>2284</w:t>
            </w:r>
          </w:p>
        </w:tc>
        <w:tc>
          <w:tcPr>
            <w:tcW w:w="1709" w:type="dxa"/>
          </w:tcPr>
          <w:p>
            <w:pPr>
              <w:pStyle w:val="TableParagraph"/>
              <w:rPr>
                <w:sz w:val="18"/>
              </w:rPr>
            </w:pPr>
            <w:r>
              <w:rPr>
                <w:sz w:val="18"/>
              </w:rPr>
              <w:t>77.16</w:t>
            </w:r>
          </w:p>
        </w:tc>
      </w:tr>
      <w:tr>
        <w:trPr>
          <w:trHeight w:val="219" w:hRule="exact"/>
        </w:trPr>
        <w:tc>
          <w:tcPr>
            <w:tcW w:w="1712" w:type="dxa"/>
          </w:tcPr>
          <w:p>
            <w:pPr>
              <w:pStyle w:val="TableParagraph"/>
              <w:spacing w:line="207" w:lineRule="exact"/>
              <w:rPr>
                <w:sz w:val="18"/>
              </w:rPr>
            </w:pPr>
            <w:r>
              <w:rPr>
                <w:sz w:val="18"/>
              </w:rPr>
              <w:t>-123</w:t>
            </w:r>
          </w:p>
        </w:tc>
        <w:tc>
          <w:tcPr>
            <w:tcW w:w="1796" w:type="dxa"/>
          </w:tcPr>
          <w:p>
            <w:pPr>
              <w:pStyle w:val="TableParagraph"/>
              <w:spacing w:line="207" w:lineRule="exact"/>
              <w:rPr>
                <w:sz w:val="18"/>
              </w:rPr>
            </w:pPr>
            <w:r>
              <w:rPr>
                <w:sz w:val="18"/>
              </w:rPr>
              <w:t>10000</w:t>
            </w:r>
          </w:p>
        </w:tc>
        <w:tc>
          <w:tcPr>
            <w:tcW w:w="1801" w:type="dxa"/>
          </w:tcPr>
          <w:p>
            <w:pPr>
              <w:pStyle w:val="TableParagraph"/>
              <w:spacing w:line="207" w:lineRule="exact"/>
              <w:rPr>
                <w:sz w:val="18"/>
              </w:rPr>
            </w:pPr>
            <w:r>
              <w:rPr>
                <w:sz w:val="18"/>
              </w:rPr>
              <w:t>399</w:t>
            </w:r>
          </w:p>
        </w:tc>
        <w:tc>
          <w:tcPr>
            <w:tcW w:w="1709" w:type="dxa"/>
          </w:tcPr>
          <w:p>
            <w:pPr>
              <w:pStyle w:val="TableParagraph"/>
              <w:spacing w:line="207" w:lineRule="exact"/>
              <w:rPr>
                <w:sz w:val="18"/>
              </w:rPr>
            </w:pPr>
            <w:r>
              <w:rPr>
                <w:sz w:val="18"/>
              </w:rPr>
              <w:t>96.01</w:t>
            </w:r>
          </w:p>
        </w:tc>
      </w:tr>
      <w:tr>
        <w:trPr>
          <w:trHeight w:val="216" w:hRule="exact"/>
        </w:trPr>
        <w:tc>
          <w:tcPr>
            <w:tcW w:w="1712" w:type="dxa"/>
          </w:tcPr>
          <w:p>
            <w:pPr>
              <w:pStyle w:val="TableParagraph"/>
              <w:rPr>
                <w:sz w:val="18"/>
              </w:rPr>
            </w:pPr>
            <w:r>
              <w:rPr>
                <w:sz w:val="18"/>
              </w:rPr>
              <w:t>-122</w:t>
            </w:r>
          </w:p>
        </w:tc>
        <w:tc>
          <w:tcPr>
            <w:tcW w:w="1796" w:type="dxa"/>
          </w:tcPr>
          <w:p>
            <w:pPr>
              <w:pStyle w:val="TableParagraph"/>
              <w:rPr>
                <w:sz w:val="18"/>
              </w:rPr>
            </w:pPr>
            <w:r>
              <w:rPr>
                <w:sz w:val="18"/>
              </w:rPr>
              <w:t>10000</w:t>
            </w:r>
          </w:p>
        </w:tc>
        <w:tc>
          <w:tcPr>
            <w:tcW w:w="1801" w:type="dxa"/>
          </w:tcPr>
          <w:p>
            <w:pPr>
              <w:pStyle w:val="TableParagraph"/>
              <w:rPr>
                <w:sz w:val="18"/>
              </w:rPr>
            </w:pPr>
            <w:r>
              <w:rPr>
                <w:w w:val="99"/>
                <w:sz w:val="18"/>
              </w:rPr>
              <w:t>0</w:t>
            </w:r>
          </w:p>
        </w:tc>
        <w:tc>
          <w:tcPr>
            <w:tcW w:w="1709" w:type="dxa"/>
          </w:tcPr>
          <w:p>
            <w:pPr>
              <w:pStyle w:val="TableParagraph"/>
              <w:rPr>
                <w:sz w:val="18"/>
              </w:rPr>
            </w:pPr>
            <w:r>
              <w:rPr>
                <w:sz w:val="18"/>
              </w:rPr>
              <w:t>100</w:t>
            </w:r>
          </w:p>
        </w:tc>
      </w:tr>
    </w:tbl>
    <w:p>
      <w:pPr>
        <w:pStyle w:val="BodyText"/>
        <w:rPr>
          <w:b/>
          <w:sz w:val="22"/>
        </w:rPr>
      </w:pPr>
    </w:p>
    <w:p>
      <w:pPr>
        <w:pStyle w:val="BodyText"/>
        <w:spacing w:before="5"/>
        <w:rPr>
          <w:b/>
          <w:sz w:val="18"/>
        </w:rPr>
      </w:pPr>
    </w:p>
    <w:p>
      <w:pPr>
        <w:spacing w:before="0"/>
        <w:ind w:left="1133" w:right="0" w:firstLine="0"/>
        <w:jc w:val="left"/>
        <w:rPr>
          <w:b/>
          <w:sz w:val="20"/>
        </w:rPr>
      </w:pPr>
      <w:r>
        <w:rPr>
          <w:b/>
          <w:sz w:val="20"/>
        </w:rPr>
        <w:t>Table 18: DSRC Results – IPG and Latency</w:t>
      </w:r>
    </w:p>
    <w:p>
      <w:pPr>
        <w:pStyle w:val="BodyText"/>
        <w:spacing w:before="1"/>
        <w:rPr>
          <w:b/>
          <w:sz w:val="16"/>
        </w:rPr>
      </w:pPr>
    </w:p>
    <w:tbl>
      <w:tblPr>
        <w:tblW w:w="0" w:type="auto"/>
        <w:jc w:val="left"/>
        <w:tblInd w:w="1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1"/>
        <w:gridCol w:w="1261"/>
        <w:gridCol w:w="1260"/>
        <w:gridCol w:w="1260"/>
        <w:gridCol w:w="1261"/>
        <w:gridCol w:w="1260"/>
        <w:gridCol w:w="1260"/>
      </w:tblGrid>
      <w:tr>
        <w:trPr>
          <w:trHeight w:val="631" w:hRule="exact"/>
        </w:trPr>
        <w:tc>
          <w:tcPr>
            <w:tcW w:w="1351" w:type="dxa"/>
            <w:shd w:val="clear" w:color="auto" w:fill="D9D9D9"/>
          </w:tcPr>
          <w:p>
            <w:pPr>
              <w:pStyle w:val="TableParagraph"/>
              <w:spacing w:line="240" w:lineRule="auto"/>
              <w:ind w:right="358"/>
              <w:rPr>
                <w:b/>
                <w:sz w:val="18"/>
              </w:rPr>
            </w:pPr>
            <w:r>
              <w:rPr>
                <w:b/>
                <w:sz w:val="18"/>
              </w:rPr>
              <w:t>Signal Generator Setting</w:t>
            </w:r>
          </w:p>
        </w:tc>
        <w:tc>
          <w:tcPr>
            <w:tcW w:w="1261" w:type="dxa"/>
            <w:shd w:val="clear" w:color="auto" w:fill="D9D9D9"/>
          </w:tcPr>
          <w:p>
            <w:pPr>
              <w:pStyle w:val="TableParagraph"/>
              <w:tabs>
                <w:tab w:pos="979" w:val="left" w:leader="none"/>
              </w:tabs>
              <w:spacing w:line="201" w:lineRule="exact"/>
              <w:rPr>
                <w:b/>
                <w:sz w:val="18"/>
              </w:rPr>
            </w:pPr>
            <w:r>
              <w:rPr>
                <w:b/>
                <w:sz w:val="18"/>
              </w:rPr>
              <w:t>No.</w:t>
              <w:tab/>
              <w:t>of</w:t>
            </w:r>
          </w:p>
          <w:p>
            <w:pPr>
              <w:pStyle w:val="TableParagraph"/>
              <w:spacing w:line="240" w:lineRule="auto"/>
              <w:ind w:right="97"/>
              <w:rPr>
                <w:b/>
                <w:sz w:val="18"/>
              </w:rPr>
            </w:pPr>
            <w:r>
              <w:rPr>
                <w:b/>
                <w:sz w:val="18"/>
              </w:rPr>
              <w:t>Transmitted pkts</w:t>
            </w:r>
          </w:p>
        </w:tc>
        <w:tc>
          <w:tcPr>
            <w:tcW w:w="1260" w:type="dxa"/>
            <w:shd w:val="clear" w:color="auto" w:fill="D9D9D9"/>
          </w:tcPr>
          <w:p>
            <w:pPr>
              <w:pStyle w:val="TableParagraph"/>
              <w:tabs>
                <w:tab w:pos="979" w:val="left" w:leader="none"/>
              </w:tabs>
              <w:spacing w:line="201" w:lineRule="exact"/>
              <w:rPr>
                <w:b/>
                <w:sz w:val="18"/>
              </w:rPr>
            </w:pPr>
            <w:r>
              <w:rPr>
                <w:b/>
                <w:sz w:val="18"/>
              </w:rPr>
              <w:t>No.</w:t>
              <w:tab/>
              <w:t>of</w:t>
            </w:r>
          </w:p>
          <w:p>
            <w:pPr>
              <w:pStyle w:val="TableParagraph"/>
              <w:spacing w:line="240" w:lineRule="auto"/>
              <w:ind w:right="337"/>
              <w:rPr>
                <w:b/>
                <w:sz w:val="18"/>
              </w:rPr>
            </w:pPr>
            <w:r>
              <w:rPr>
                <w:b/>
                <w:sz w:val="18"/>
              </w:rPr>
              <w:t>Received pkts</w:t>
            </w:r>
          </w:p>
        </w:tc>
        <w:tc>
          <w:tcPr>
            <w:tcW w:w="1260" w:type="dxa"/>
            <w:shd w:val="clear" w:color="auto" w:fill="D9D9D9"/>
          </w:tcPr>
          <w:p>
            <w:pPr>
              <w:pStyle w:val="TableParagraph"/>
              <w:spacing w:line="240" w:lineRule="auto"/>
              <w:ind w:right="166"/>
              <w:rPr>
                <w:b/>
                <w:sz w:val="18"/>
              </w:rPr>
            </w:pPr>
            <w:r>
              <w:rPr>
                <w:b/>
                <w:sz w:val="18"/>
              </w:rPr>
              <w:t>Calculated at Receiver</w:t>
            </w:r>
          </w:p>
        </w:tc>
        <w:tc>
          <w:tcPr>
            <w:tcW w:w="1261" w:type="dxa"/>
            <w:shd w:val="clear" w:color="auto" w:fill="D9D9D9"/>
          </w:tcPr>
          <w:p>
            <w:pPr>
              <w:pStyle w:val="TableParagraph"/>
              <w:spacing w:line="240" w:lineRule="auto"/>
              <w:ind w:right="167"/>
              <w:rPr>
                <w:b/>
                <w:sz w:val="18"/>
              </w:rPr>
            </w:pPr>
            <w:r>
              <w:rPr>
                <w:b/>
                <w:sz w:val="18"/>
              </w:rPr>
              <w:t>Calculated at Receiver</w:t>
            </w:r>
          </w:p>
        </w:tc>
        <w:tc>
          <w:tcPr>
            <w:tcW w:w="1260" w:type="dxa"/>
            <w:shd w:val="clear" w:color="auto" w:fill="D9D9D9"/>
          </w:tcPr>
          <w:p>
            <w:pPr>
              <w:pStyle w:val="TableParagraph"/>
              <w:spacing w:line="240" w:lineRule="auto"/>
              <w:ind w:right="166"/>
              <w:rPr>
                <w:b/>
                <w:sz w:val="18"/>
              </w:rPr>
            </w:pPr>
            <w:r>
              <w:rPr>
                <w:b/>
                <w:sz w:val="18"/>
              </w:rPr>
              <w:t>Calculated at Receiver</w:t>
            </w:r>
          </w:p>
        </w:tc>
        <w:tc>
          <w:tcPr>
            <w:tcW w:w="1260" w:type="dxa"/>
            <w:shd w:val="clear" w:color="auto" w:fill="D9D9D9"/>
          </w:tcPr>
          <w:p>
            <w:pPr>
              <w:pStyle w:val="TableParagraph"/>
              <w:spacing w:line="240" w:lineRule="auto"/>
              <w:ind w:right="167"/>
              <w:rPr>
                <w:b/>
                <w:sz w:val="18"/>
              </w:rPr>
            </w:pPr>
            <w:r>
              <w:rPr>
                <w:b/>
                <w:sz w:val="18"/>
              </w:rPr>
              <w:t>Calculated at Receiver</w:t>
            </w:r>
          </w:p>
        </w:tc>
      </w:tr>
      <w:tr>
        <w:trPr>
          <w:trHeight w:val="838" w:hRule="exact"/>
        </w:trPr>
        <w:tc>
          <w:tcPr>
            <w:tcW w:w="1351" w:type="dxa"/>
            <w:shd w:val="clear" w:color="auto" w:fill="D9D9D9"/>
          </w:tcPr>
          <w:p>
            <w:pPr>
              <w:pStyle w:val="TableParagraph"/>
              <w:tabs>
                <w:tab w:pos="868" w:val="left" w:leader="none"/>
              </w:tabs>
              <w:spacing w:line="240" w:lineRule="auto"/>
              <w:ind w:right="101"/>
              <w:rPr>
                <w:b/>
                <w:sz w:val="18"/>
              </w:rPr>
            </w:pPr>
            <w:r>
              <w:rPr>
                <w:b/>
                <w:sz w:val="18"/>
              </w:rPr>
              <w:t>Noise</w:t>
              <w:tab/>
              <w:t>PSD dBm/Hz</w:t>
            </w:r>
          </w:p>
        </w:tc>
        <w:tc>
          <w:tcPr>
            <w:tcW w:w="1261" w:type="dxa"/>
            <w:shd w:val="clear" w:color="auto" w:fill="D9D9D9"/>
          </w:tcPr>
          <w:p>
            <w:pPr>
              <w:pStyle w:val="TableParagraph"/>
              <w:spacing w:line="201" w:lineRule="exact"/>
              <w:rPr>
                <w:b/>
                <w:sz w:val="18"/>
              </w:rPr>
            </w:pPr>
            <w:r>
              <w:rPr>
                <w:b/>
                <w:sz w:val="18"/>
              </w:rPr>
              <w:t>Tx Device</w:t>
            </w:r>
          </w:p>
        </w:tc>
        <w:tc>
          <w:tcPr>
            <w:tcW w:w="1260" w:type="dxa"/>
            <w:shd w:val="clear" w:color="auto" w:fill="D9D9D9"/>
          </w:tcPr>
          <w:p>
            <w:pPr>
              <w:pStyle w:val="TableParagraph"/>
              <w:spacing w:line="201" w:lineRule="exact"/>
              <w:rPr>
                <w:b/>
                <w:sz w:val="18"/>
              </w:rPr>
            </w:pPr>
            <w:r>
              <w:rPr>
                <w:b/>
                <w:sz w:val="18"/>
              </w:rPr>
              <w:t>Rx Device</w:t>
            </w:r>
          </w:p>
        </w:tc>
        <w:tc>
          <w:tcPr>
            <w:tcW w:w="1260" w:type="dxa"/>
            <w:shd w:val="clear" w:color="auto" w:fill="D9D9D9"/>
          </w:tcPr>
          <w:p>
            <w:pPr>
              <w:pStyle w:val="TableParagraph"/>
              <w:spacing w:line="240" w:lineRule="auto"/>
              <w:ind w:right="266"/>
              <w:rPr>
                <w:b/>
                <w:sz w:val="18"/>
              </w:rPr>
            </w:pPr>
            <w:r>
              <w:rPr>
                <w:b/>
                <w:position w:val="-5"/>
                <w:sz w:val="18"/>
              </w:rPr>
              <w:t>95</w:t>
            </w:r>
            <w:r>
              <w:rPr>
                <w:b/>
                <w:sz w:val="12"/>
              </w:rPr>
              <w:t>th </w:t>
            </w:r>
            <w:r>
              <w:rPr>
                <w:b/>
                <w:sz w:val="18"/>
              </w:rPr>
              <w:t>Percentile IPG (ms)</w:t>
            </w:r>
          </w:p>
        </w:tc>
        <w:tc>
          <w:tcPr>
            <w:tcW w:w="1261" w:type="dxa"/>
            <w:shd w:val="clear" w:color="auto" w:fill="D9D9D9"/>
          </w:tcPr>
          <w:p>
            <w:pPr>
              <w:pStyle w:val="TableParagraph"/>
              <w:spacing w:line="201" w:lineRule="exact"/>
              <w:rPr>
                <w:b/>
                <w:sz w:val="18"/>
              </w:rPr>
            </w:pPr>
            <w:r>
              <w:rPr>
                <w:b/>
                <w:sz w:val="18"/>
              </w:rPr>
              <w:t>Mean IPG</w:t>
            </w:r>
          </w:p>
        </w:tc>
        <w:tc>
          <w:tcPr>
            <w:tcW w:w="1260" w:type="dxa"/>
            <w:shd w:val="clear" w:color="auto" w:fill="D9D9D9"/>
          </w:tcPr>
          <w:p>
            <w:pPr>
              <w:pStyle w:val="TableParagraph"/>
              <w:spacing w:line="240" w:lineRule="auto"/>
              <w:ind w:right="266"/>
              <w:rPr>
                <w:b/>
                <w:sz w:val="18"/>
              </w:rPr>
            </w:pPr>
            <w:r>
              <w:rPr>
                <w:b/>
                <w:sz w:val="18"/>
              </w:rPr>
              <w:t>95th Percentile Latency (ms)</w:t>
            </w:r>
          </w:p>
        </w:tc>
        <w:tc>
          <w:tcPr>
            <w:tcW w:w="1260" w:type="dxa"/>
            <w:shd w:val="clear" w:color="auto" w:fill="D9D9D9"/>
          </w:tcPr>
          <w:p>
            <w:pPr>
              <w:pStyle w:val="TableParagraph"/>
              <w:spacing w:line="240" w:lineRule="auto"/>
              <w:ind w:right="447"/>
              <w:rPr>
                <w:b/>
                <w:sz w:val="18"/>
              </w:rPr>
            </w:pPr>
            <w:r>
              <w:rPr>
                <w:b/>
                <w:sz w:val="18"/>
              </w:rPr>
              <w:t>Mean Latency</w:t>
            </w:r>
          </w:p>
        </w:tc>
      </w:tr>
      <w:tr>
        <w:trPr>
          <w:trHeight w:val="216" w:hRule="exact"/>
        </w:trPr>
        <w:tc>
          <w:tcPr>
            <w:tcW w:w="1351" w:type="dxa"/>
          </w:tcPr>
          <w:p>
            <w:pPr>
              <w:pStyle w:val="TableParagraph"/>
              <w:rPr>
                <w:sz w:val="18"/>
              </w:rPr>
            </w:pPr>
            <w:r>
              <w:rPr>
                <w:sz w:val="18"/>
              </w:rPr>
              <w:t>-140</w:t>
            </w:r>
          </w:p>
        </w:tc>
        <w:tc>
          <w:tcPr>
            <w:tcW w:w="1261" w:type="dxa"/>
          </w:tcPr>
          <w:p>
            <w:pPr>
              <w:pStyle w:val="TableParagraph"/>
              <w:rPr>
                <w:sz w:val="18"/>
              </w:rPr>
            </w:pPr>
            <w:r>
              <w:rPr>
                <w:sz w:val="18"/>
              </w:rPr>
              <w:t>10000</w:t>
            </w:r>
          </w:p>
        </w:tc>
        <w:tc>
          <w:tcPr>
            <w:tcW w:w="1260" w:type="dxa"/>
          </w:tcPr>
          <w:p>
            <w:pPr>
              <w:pStyle w:val="TableParagraph"/>
              <w:rPr>
                <w:sz w:val="18"/>
              </w:rPr>
            </w:pPr>
            <w:r>
              <w:rPr>
                <w:sz w:val="18"/>
              </w:rPr>
              <w:t>9983</w:t>
            </w:r>
          </w:p>
        </w:tc>
        <w:tc>
          <w:tcPr>
            <w:tcW w:w="1260" w:type="dxa"/>
          </w:tcPr>
          <w:p>
            <w:pPr>
              <w:pStyle w:val="TableParagraph"/>
              <w:rPr>
                <w:sz w:val="18"/>
              </w:rPr>
            </w:pPr>
            <w:r>
              <w:rPr>
                <w:sz w:val="18"/>
              </w:rPr>
              <w:t>108</w:t>
            </w:r>
          </w:p>
        </w:tc>
        <w:tc>
          <w:tcPr>
            <w:tcW w:w="1261" w:type="dxa"/>
          </w:tcPr>
          <w:p>
            <w:pPr>
              <w:pStyle w:val="TableParagraph"/>
              <w:rPr>
                <w:sz w:val="18"/>
              </w:rPr>
            </w:pPr>
            <w:r>
              <w:rPr>
                <w:sz w:val="18"/>
              </w:rPr>
              <w:t>100</w:t>
            </w:r>
          </w:p>
        </w:tc>
        <w:tc>
          <w:tcPr>
            <w:tcW w:w="1260" w:type="dxa"/>
          </w:tcPr>
          <w:p>
            <w:pPr>
              <w:pStyle w:val="TableParagraph"/>
              <w:rPr>
                <w:sz w:val="18"/>
              </w:rPr>
            </w:pPr>
            <w:r>
              <w:rPr>
                <w:sz w:val="18"/>
              </w:rPr>
              <w:t>18</w:t>
            </w:r>
          </w:p>
        </w:tc>
        <w:tc>
          <w:tcPr>
            <w:tcW w:w="1260" w:type="dxa"/>
          </w:tcPr>
          <w:p>
            <w:pPr>
              <w:pStyle w:val="TableParagraph"/>
              <w:rPr>
                <w:sz w:val="18"/>
              </w:rPr>
            </w:pPr>
            <w:r>
              <w:rPr>
                <w:sz w:val="18"/>
              </w:rPr>
              <w:t>16</w:t>
            </w:r>
          </w:p>
        </w:tc>
      </w:tr>
      <w:tr>
        <w:trPr>
          <w:trHeight w:val="218" w:hRule="exact"/>
        </w:trPr>
        <w:tc>
          <w:tcPr>
            <w:tcW w:w="1351" w:type="dxa"/>
          </w:tcPr>
          <w:p>
            <w:pPr>
              <w:pStyle w:val="TableParagraph"/>
              <w:rPr>
                <w:sz w:val="18"/>
              </w:rPr>
            </w:pPr>
            <w:r>
              <w:rPr>
                <w:sz w:val="18"/>
              </w:rPr>
              <w:t>-135</w:t>
            </w:r>
          </w:p>
        </w:tc>
        <w:tc>
          <w:tcPr>
            <w:tcW w:w="1261" w:type="dxa"/>
          </w:tcPr>
          <w:p>
            <w:pPr>
              <w:pStyle w:val="TableParagraph"/>
              <w:rPr>
                <w:sz w:val="18"/>
              </w:rPr>
            </w:pPr>
            <w:r>
              <w:rPr>
                <w:sz w:val="18"/>
              </w:rPr>
              <w:t>10000</w:t>
            </w:r>
          </w:p>
        </w:tc>
        <w:tc>
          <w:tcPr>
            <w:tcW w:w="1260" w:type="dxa"/>
          </w:tcPr>
          <w:p>
            <w:pPr>
              <w:pStyle w:val="TableParagraph"/>
              <w:rPr>
                <w:sz w:val="18"/>
              </w:rPr>
            </w:pPr>
            <w:r>
              <w:rPr>
                <w:sz w:val="18"/>
              </w:rPr>
              <w:t>9981</w:t>
            </w:r>
          </w:p>
        </w:tc>
        <w:tc>
          <w:tcPr>
            <w:tcW w:w="1260" w:type="dxa"/>
          </w:tcPr>
          <w:p>
            <w:pPr>
              <w:pStyle w:val="TableParagraph"/>
              <w:rPr>
                <w:sz w:val="18"/>
              </w:rPr>
            </w:pPr>
            <w:r>
              <w:rPr>
                <w:sz w:val="18"/>
              </w:rPr>
              <w:t>108</w:t>
            </w:r>
          </w:p>
        </w:tc>
        <w:tc>
          <w:tcPr>
            <w:tcW w:w="1261" w:type="dxa"/>
          </w:tcPr>
          <w:p>
            <w:pPr>
              <w:pStyle w:val="TableParagraph"/>
              <w:rPr>
                <w:sz w:val="18"/>
              </w:rPr>
            </w:pPr>
            <w:r>
              <w:rPr>
                <w:sz w:val="18"/>
              </w:rPr>
              <w:t>100</w:t>
            </w:r>
          </w:p>
        </w:tc>
        <w:tc>
          <w:tcPr>
            <w:tcW w:w="1260" w:type="dxa"/>
          </w:tcPr>
          <w:p>
            <w:pPr>
              <w:pStyle w:val="TableParagraph"/>
              <w:rPr>
                <w:sz w:val="18"/>
              </w:rPr>
            </w:pPr>
            <w:r>
              <w:rPr>
                <w:sz w:val="18"/>
              </w:rPr>
              <w:t>18</w:t>
            </w:r>
          </w:p>
        </w:tc>
        <w:tc>
          <w:tcPr>
            <w:tcW w:w="1260" w:type="dxa"/>
          </w:tcPr>
          <w:p>
            <w:pPr>
              <w:pStyle w:val="TableParagraph"/>
              <w:rPr>
                <w:sz w:val="18"/>
              </w:rPr>
            </w:pPr>
            <w:r>
              <w:rPr>
                <w:sz w:val="18"/>
              </w:rPr>
              <w:t>16</w:t>
            </w:r>
          </w:p>
        </w:tc>
      </w:tr>
      <w:tr>
        <w:trPr>
          <w:trHeight w:val="216" w:hRule="exact"/>
        </w:trPr>
        <w:tc>
          <w:tcPr>
            <w:tcW w:w="1351" w:type="dxa"/>
          </w:tcPr>
          <w:p>
            <w:pPr>
              <w:pStyle w:val="TableParagraph"/>
              <w:rPr>
                <w:sz w:val="18"/>
              </w:rPr>
            </w:pPr>
            <w:r>
              <w:rPr>
                <w:sz w:val="18"/>
              </w:rPr>
              <w:t>-130</w:t>
            </w:r>
          </w:p>
        </w:tc>
        <w:tc>
          <w:tcPr>
            <w:tcW w:w="1261" w:type="dxa"/>
          </w:tcPr>
          <w:p>
            <w:pPr>
              <w:pStyle w:val="TableParagraph"/>
              <w:rPr>
                <w:sz w:val="18"/>
              </w:rPr>
            </w:pPr>
            <w:r>
              <w:rPr>
                <w:sz w:val="18"/>
              </w:rPr>
              <w:t>10000</w:t>
            </w:r>
          </w:p>
        </w:tc>
        <w:tc>
          <w:tcPr>
            <w:tcW w:w="1260" w:type="dxa"/>
          </w:tcPr>
          <w:p>
            <w:pPr>
              <w:pStyle w:val="TableParagraph"/>
              <w:rPr>
                <w:sz w:val="18"/>
              </w:rPr>
            </w:pPr>
            <w:r>
              <w:rPr>
                <w:sz w:val="18"/>
              </w:rPr>
              <w:t>9952</w:t>
            </w:r>
          </w:p>
        </w:tc>
        <w:tc>
          <w:tcPr>
            <w:tcW w:w="1260" w:type="dxa"/>
          </w:tcPr>
          <w:p>
            <w:pPr>
              <w:pStyle w:val="TableParagraph"/>
              <w:rPr>
                <w:sz w:val="18"/>
              </w:rPr>
            </w:pPr>
            <w:r>
              <w:rPr>
                <w:sz w:val="18"/>
              </w:rPr>
              <w:t>107</w:t>
            </w:r>
          </w:p>
        </w:tc>
        <w:tc>
          <w:tcPr>
            <w:tcW w:w="1261" w:type="dxa"/>
          </w:tcPr>
          <w:p>
            <w:pPr>
              <w:pStyle w:val="TableParagraph"/>
              <w:rPr>
                <w:sz w:val="18"/>
              </w:rPr>
            </w:pPr>
            <w:r>
              <w:rPr>
                <w:sz w:val="18"/>
              </w:rPr>
              <w:t>100</w:t>
            </w:r>
          </w:p>
        </w:tc>
        <w:tc>
          <w:tcPr>
            <w:tcW w:w="1260" w:type="dxa"/>
          </w:tcPr>
          <w:p>
            <w:pPr>
              <w:pStyle w:val="TableParagraph"/>
              <w:rPr>
                <w:sz w:val="18"/>
              </w:rPr>
            </w:pPr>
            <w:r>
              <w:rPr>
                <w:sz w:val="18"/>
              </w:rPr>
              <w:t>18</w:t>
            </w:r>
          </w:p>
        </w:tc>
        <w:tc>
          <w:tcPr>
            <w:tcW w:w="1260" w:type="dxa"/>
          </w:tcPr>
          <w:p>
            <w:pPr>
              <w:pStyle w:val="TableParagraph"/>
              <w:rPr>
                <w:sz w:val="18"/>
              </w:rPr>
            </w:pPr>
            <w:r>
              <w:rPr>
                <w:sz w:val="18"/>
              </w:rPr>
              <w:t>16</w:t>
            </w:r>
          </w:p>
        </w:tc>
      </w:tr>
      <w:tr>
        <w:trPr>
          <w:trHeight w:val="217" w:hRule="exact"/>
        </w:trPr>
        <w:tc>
          <w:tcPr>
            <w:tcW w:w="1351" w:type="dxa"/>
          </w:tcPr>
          <w:p>
            <w:pPr>
              <w:pStyle w:val="TableParagraph"/>
              <w:spacing w:line="207" w:lineRule="exact"/>
              <w:rPr>
                <w:sz w:val="18"/>
              </w:rPr>
            </w:pPr>
            <w:r>
              <w:rPr>
                <w:sz w:val="18"/>
              </w:rPr>
              <w:t>-127</w:t>
            </w:r>
          </w:p>
        </w:tc>
        <w:tc>
          <w:tcPr>
            <w:tcW w:w="1261" w:type="dxa"/>
          </w:tcPr>
          <w:p>
            <w:pPr>
              <w:pStyle w:val="TableParagraph"/>
              <w:spacing w:line="207" w:lineRule="exact"/>
              <w:rPr>
                <w:sz w:val="18"/>
              </w:rPr>
            </w:pPr>
            <w:r>
              <w:rPr>
                <w:sz w:val="18"/>
              </w:rPr>
              <w:t>10000</w:t>
            </w:r>
          </w:p>
        </w:tc>
        <w:tc>
          <w:tcPr>
            <w:tcW w:w="1260" w:type="dxa"/>
          </w:tcPr>
          <w:p>
            <w:pPr>
              <w:pStyle w:val="TableParagraph"/>
              <w:spacing w:line="207" w:lineRule="exact"/>
              <w:rPr>
                <w:sz w:val="18"/>
              </w:rPr>
            </w:pPr>
            <w:r>
              <w:rPr>
                <w:sz w:val="18"/>
              </w:rPr>
              <w:t>9955</w:t>
            </w:r>
          </w:p>
        </w:tc>
        <w:tc>
          <w:tcPr>
            <w:tcW w:w="1260" w:type="dxa"/>
          </w:tcPr>
          <w:p>
            <w:pPr>
              <w:pStyle w:val="TableParagraph"/>
              <w:spacing w:line="207" w:lineRule="exact"/>
              <w:rPr>
                <w:sz w:val="18"/>
              </w:rPr>
            </w:pPr>
            <w:r>
              <w:rPr>
                <w:sz w:val="18"/>
              </w:rPr>
              <w:t>108</w:t>
            </w:r>
          </w:p>
        </w:tc>
        <w:tc>
          <w:tcPr>
            <w:tcW w:w="1261" w:type="dxa"/>
          </w:tcPr>
          <w:p>
            <w:pPr>
              <w:pStyle w:val="TableParagraph"/>
              <w:spacing w:line="207" w:lineRule="exact"/>
              <w:rPr>
                <w:sz w:val="18"/>
              </w:rPr>
            </w:pPr>
            <w:r>
              <w:rPr>
                <w:sz w:val="18"/>
              </w:rPr>
              <w:t>100</w:t>
            </w:r>
          </w:p>
        </w:tc>
        <w:tc>
          <w:tcPr>
            <w:tcW w:w="1260" w:type="dxa"/>
          </w:tcPr>
          <w:p>
            <w:pPr>
              <w:pStyle w:val="TableParagraph"/>
              <w:spacing w:line="207" w:lineRule="exact"/>
              <w:rPr>
                <w:sz w:val="18"/>
              </w:rPr>
            </w:pPr>
            <w:r>
              <w:rPr>
                <w:sz w:val="18"/>
              </w:rPr>
              <w:t>19</w:t>
            </w:r>
          </w:p>
        </w:tc>
        <w:tc>
          <w:tcPr>
            <w:tcW w:w="1260" w:type="dxa"/>
          </w:tcPr>
          <w:p>
            <w:pPr>
              <w:pStyle w:val="TableParagraph"/>
              <w:spacing w:line="207" w:lineRule="exact"/>
              <w:rPr>
                <w:sz w:val="18"/>
              </w:rPr>
            </w:pPr>
            <w:r>
              <w:rPr>
                <w:sz w:val="18"/>
              </w:rPr>
              <w:t>16</w:t>
            </w:r>
          </w:p>
        </w:tc>
      </w:tr>
      <w:tr>
        <w:trPr>
          <w:trHeight w:val="218" w:hRule="exact"/>
        </w:trPr>
        <w:tc>
          <w:tcPr>
            <w:tcW w:w="1351" w:type="dxa"/>
          </w:tcPr>
          <w:p>
            <w:pPr>
              <w:pStyle w:val="TableParagraph"/>
              <w:spacing w:line="240" w:lineRule="auto" w:before="1"/>
              <w:rPr>
                <w:sz w:val="18"/>
              </w:rPr>
            </w:pPr>
            <w:r>
              <w:rPr>
                <w:sz w:val="18"/>
              </w:rPr>
              <w:t>-126</w:t>
            </w:r>
          </w:p>
        </w:tc>
        <w:tc>
          <w:tcPr>
            <w:tcW w:w="1261" w:type="dxa"/>
          </w:tcPr>
          <w:p>
            <w:pPr>
              <w:pStyle w:val="TableParagraph"/>
              <w:spacing w:line="240" w:lineRule="auto" w:before="1"/>
              <w:rPr>
                <w:sz w:val="18"/>
              </w:rPr>
            </w:pPr>
            <w:r>
              <w:rPr>
                <w:sz w:val="18"/>
              </w:rPr>
              <w:t>10000</w:t>
            </w:r>
          </w:p>
        </w:tc>
        <w:tc>
          <w:tcPr>
            <w:tcW w:w="1260" w:type="dxa"/>
          </w:tcPr>
          <w:p>
            <w:pPr>
              <w:pStyle w:val="TableParagraph"/>
              <w:spacing w:line="240" w:lineRule="auto" w:before="1"/>
              <w:rPr>
                <w:sz w:val="18"/>
              </w:rPr>
            </w:pPr>
            <w:r>
              <w:rPr>
                <w:sz w:val="18"/>
              </w:rPr>
              <w:t>9852</w:t>
            </w:r>
          </w:p>
        </w:tc>
        <w:tc>
          <w:tcPr>
            <w:tcW w:w="1260" w:type="dxa"/>
          </w:tcPr>
          <w:p>
            <w:pPr>
              <w:pStyle w:val="TableParagraph"/>
              <w:spacing w:line="240" w:lineRule="auto" w:before="1"/>
              <w:rPr>
                <w:sz w:val="18"/>
              </w:rPr>
            </w:pPr>
            <w:r>
              <w:rPr>
                <w:sz w:val="18"/>
              </w:rPr>
              <w:t>108</w:t>
            </w:r>
          </w:p>
        </w:tc>
        <w:tc>
          <w:tcPr>
            <w:tcW w:w="1261" w:type="dxa"/>
          </w:tcPr>
          <w:p>
            <w:pPr>
              <w:pStyle w:val="TableParagraph"/>
              <w:spacing w:line="240" w:lineRule="auto" w:before="1"/>
              <w:rPr>
                <w:sz w:val="18"/>
              </w:rPr>
            </w:pPr>
            <w:r>
              <w:rPr>
                <w:sz w:val="18"/>
              </w:rPr>
              <w:t>101</w:t>
            </w:r>
          </w:p>
        </w:tc>
        <w:tc>
          <w:tcPr>
            <w:tcW w:w="1260" w:type="dxa"/>
          </w:tcPr>
          <w:p>
            <w:pPr>
              <w:pStyle w:val="TableParagraph"/>
              <w:spacing w:line="240" w:lineRule="auto" w:before="1"/>
              <w:rPr>
                <w:sz w:val="18"/>
              </w:rPr>
            </w:pPr>
            <w:r>
              <w:rPr>
                <w:sz w:val="18"/>
              </w:rPr>
              <w:t>19</w:t>
            </w:r>
          </w:p>
        </w:tc>
        <w:tc>
          <w:tcPr>
            <w:tcW w:w="1260" w:type="dxa"/>
          </w:tcPr>
          <w:p>
            <w:pPr>
              <w:pStyle w:val="TableParagraph"/>
              <w:spacing w:line="240" w:lineRule="auto" w:before="1"/>
              <w:rPr>
                <w:sz w:val="18"/>
              </w:rPr>
            </w:pPr>
            <w:r>
              <w:rPr>
                <w:sz w:val="18"/>
              </w:rPr>
              <w:t>16</w:t>
            </w:r>
          </w:p>
        </w:tc>
      </w:tr>
      <w:tr>
        <w:trPr>
          <w:trHeight w:val="216" w:hRule="exact"/>
        </w:trPr>
        <w:tc>
          <w:tcPr>
            <w:tcW w:w="1351" w:type="dxa"/>
          </w:tcPr>
          <w:p>
            <w:pPr>
              <w:pStyle w:val="TableParagraph"/>
              <w:rPr>
                <w:sz w:val="18"/>
              </w:rPr>
            </w:pPr>
            <w:r>
              <w:rPr>
                <w:sz w:val="18"/>
              </w:rPr>
              <w:t>-125.5</w:t>
            </w:r>
          </w:p>
        </w:tc>
        <w:tc>
          <w:tcPr>
            <w:tcW w:w="1261" w:type="dxa"/>
          </w:tcPr>
          <w:p>
            <w:pPr>
              <w:pStyle w:val="TableParagraph"/>
              <w:rPr>
                <w:sz w:val="18"/>
              </w:rPr>
            </w:pPr>
            <w:r>
              <w:rPr>
                <w:sz w:val="18"/>
              </w:rPr>
              <w:t>10000</w:t>
            </w:r>
          </w:p>
        </w:tc>
        <w:tc>
          <w:tcPr>
            <w:tcW w:w="1260" w:type="dxa"/>
          </w:tcPr>
          <w:p>
            <w:pPr>
              <w:pStyle w:val="TableParagraph"/>
              <w:rPr>
                <w:sz w:val="18"/>
              </w:rPr>
            </w:pPr>
            <w:r>
              <w:rPr>
                <w:sz w:val="18"/>
              </w:rPr>
              <w:t>9520</w:t>
            </w:r>
          </w:p>
        </w:tc>
        <w:tc>
          <w:tcPr>
            <w:tcW w:w="1260" w:type="dxa"/>
          </w:tcPr>
          <w:p>
            <w:pPr>
              <w:pStyle w:val="TableParagraph"/>
              <w:rPr>
                <w:sz w:val="18"/>
              </w:rPr>
            </w:pPr>
            <w:r>
              <w:rPr>
                <w:sz w:val="18"/>
              </w:rPr>
              <w:t>109</w:t>
            </w:r>
          </w:p>
        </w:tc>
        <w:tc>
          <w:tcPr>
            <w:tcW w:w="1261" w:type="dxa"/>
          </w:tcPr>
          <w:p>
            <w:pPr>
              <w:pStyle w:val="TableParagraph"/>
              <w:rPr>
                <w:sz w:val="18"/>
              </w:rPr>
            </w:pPr>
            <w:r>
              <w:rPr>
                <w:sz w:val="18"/>
              </w:rPr>
              <w:t>105</w:t>
            </w:r>
          </w:p>
        </w:tc>
        <w:tc>
          <w:tcPr>
            <w:tcW w:w="1260" w:type="dxa"/>
          </w:tcPr>
          <w:p>
            <w:pPr>
              <w:pStyle w:val="TableParagraph"/>
              <w:rPr>
                <w:sz w:val="18"/>
              </w:rPr>
            </w:pPr>
            <w:r>
              <w:rPr>
                <w:sz w:val="18"/>
              </w:rPr>
              <w:t>19</w:t>
            </w:r>
          </w:p>
        </w:tc>
        <w:tc>
          <w:tcPr>
            <w:tcW w:w="1260" w:type="dxa"/>
          </w:tcPr>
          <w:p>
            <w:pPr>
              <w:pStyle w:val="TableParagraph"/>
              <w:rPr>
                <w:sz w:val="18"/>
              </w:rPr>
            </w:pPr>
            <w:r>
              <w:rPr>
                <w:sz w:val="18"/>
              </w:rPr>
              <w:t>17</w:t>
            </w:r>
          </w:p>
        </w:tc>
      </w:tr>
    </w:tbl>
    <w:p>
      <w:pPr>
        <w:spacing w:after="0"/>
        <w:rPr>
          <w:sz w:val="18"/>
        </w:rPr>
        <w:sectPr>
          <w:headerReference w:type="default" r:id="rId237"/>
          <w:footerReference w:type="default" r:id="rId238"/>
          <w:pgSz w:w="11910" w:h="16850"/>
          <w:pgMar w:header="852" w:footer="979" w:top="1040" w:bottom="1160" w:left="0" w:right="0"/>
        </w:sectPr>
      </w:pPr>
    </w:p>
    <w:p>
      <w:pPr>
        <w:pStyle w:val="BodyText"/>
        <w:rPr>
          <w:b/>
        </w:rPr>
      </w:pPr>
      <w:r>
        <w:rPr/>
        <w:pict>
          <v:shape style="position:absolute;margin-left:93.220001pt;margin-top:197.622452pt;width:12pt;height:17.5pt;mso-position-horizontal-relative:page;mso-position-vertical-relative:page;z-index:5608" type="#_x0000_t202" filled="false" stroked="false">
            <v:textbox inset="0,0,0,0" style="layout-flow:vertical;mso-layout-flow-alt:bottom-to-top">
              <w:txbxContent>
                <w:p>
                  <w:pPr>
                    <w:pStyle w:val="BodyText"/>
                    <w:spacing w:line="223" w:lineRule="exact"/>
                    <w:ind w:left="20"/>
                    <w:rPr>
                      <w:rFonts w:ascii="Calibri"/>
                    </w:rPr>
                  </w:pPr>
                  <w:r>
                    <w:rPr>
                      <w:rFonts w:ascii="Calibri"/>
                      <w:color w:val="585858"/>
                      <w:w w:val="99"/>
                    </w:rPr>
                    <w:t>P</w:t>
                  </w:r>
                  <w:r>
                    <w:rPr>
                      <w:rFonts w:ascii="Calibri"/>
                      <w:color w:val="585858"/>
                      <w:spacing w:val="1"/>
                      <w:w w:val="99"/>
                    </w:rPr>
                    <w:t>E</w:t>
                  </w:r>
                  <w:r>
                    <w:rPr>
                      <w:rFonts w:ascii="Calibri"/>
                      <w:color w:val="585858"/>
                      <w:w w:val="99"/>
                    </w:rPr>
                    <w:t>R</w:t>
                  </w:r>
                </w:p>
              </w:txbxContent>
            </v:textbox>
            <w10:wrap type="none"/>
          </v:shape>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25"/>
        </w:rPr>
      </w:pPr>
    </w:p>
    <w:p>
      <w:pPr>
        <w:pStyle w:val="Heading4"/>
        <w:tabs>
          <w:tab w:pos="2491" w:val="left" w:leader="none"/>
          <w:tab w:pos="3460" w:val="left" w:leader="none"/>
          <w:tab w:pos="4568" w:val="left" w:leader="none"/>
          <w:tab w:pos="5324" w:val="left" w:leader="none"/>
          <w:tab w:pos="6439" w:val="left" w:leader="none"/>
          <w:tab w:pos="7326" w:val="left" w:leader="none"/>
          <w:tab w:pos="8605" w:val="left" w:leader="none"/>
          <w:tab w:pos="9723" w:val="left" w:leader="none"/>
        </w:tabs>
        <w:spacing w:before="92"/>
      </w:pPr>
      <w:r>
        <w:rPr/>
        <w:pict>
          <v:group style="position:absolute;margin-left:56.275002pt;margin-top:-295.609161pt;width:471.45pt;height:285.350pt;mso-position-horizontal-relative:page;mso-position-vertical-relative:paragraph;z-index:5512" coordorigin="1126,-5912" coordsize="9429,5707">
            <v:shape style="position:absolute;left:0;top:8767;width:7472;height:754" coordorigin="0,8767" coordsize="7472,754" path="m2633,-1810l10105,-1810m2633,-2012l10105,-2012m2633,-2158l10105,-2158m2633,-2269l10105,-2269m2633,-2360l10105,-2360m2633,-2439l10105,-2439m2633,-2504l10105,-2504m2633,-2564l10105,-2564e" filled="false" stroked="true" strokeweight=".75pt" strokecolor="#f1f1f1">
              <v:path arrowok="t"/>
              <v:stroke dashstyle="solid"/>
            </v:shape>
            <v:line style="position:absolute" from="2633,-2617" to="10105,-2617" stroked="true" strokeweight=".75pt" strokecolor="#d9d9d9">
              <v:stroke dashstyle="solid"/>
            </v:line>
            <v:shape style="position:absolute;left:0;top:7612;width:7472;height:754" coordorigin="0,7612" coordsize="7472,754" path="m2633,-2965l10105,-2965m2633,-3169l10105,-3169m2633,-3313l10105,-3313m2633,-3425l10105,-3425m2633,-3517l10105,-3517m2633,-3593l10105,-3593m2633,-3661l10105,-3661m2633,-3718l10105,-3718e" filled="false" stroked="true" strokeweight=".75pt" strokecolor="#f1f1f1">
              <v:path arrowok="t"/>
              <v:stroke dashstyle="solid"/>
            </v:shape>
            <v:line style="position:absolute" from="2633,-3771" to="10105,-3771" stroked="true" strokeweight=".75pt" strokecolor="#d9d9d9">
              <v:stroke dashstyle="solid"/>
            </v:line>
            <v:shape style="position:absolute;left:0;top:6455;width:7472;height:756" coordorigin="0,6455" coordsize="7472,756" path="m2633,-4119l10105,-4119m2633,-4323l10105,-4323m2633,-4467l10105,-4467m2633,-4580l10105,-4580m2633,-4671l10105,-4671m2633,-4748l10105,-4748m2633,-4815l10105,-4815m2633,-4875l10105,-4875e" filled="false" stroked="true" strokeweight=".75pt" strokecolor="#f1f1f1">
              <v:path arrowok="t"/>
              <v:stroke dashstyle="solid"/>
            </v:shape>
            <v:line style="position:absolute" from="2633,-4927" to="10105,-4927" stroked="true" strokeweight=".75pt" strokecolor="#d9d9d9">
              <v:stroke dashstyle="solid"/>
            </v:line>
            <v:shape style="position:absolute;left:0;top:9520;width:7032;height:3466" coordorigin="0,9520" coordsize="7032,3466" path="m2854,-4927l2854,-1462m3293,-4927l3293,-1462m3732,-4927l3732,-1462m4171,-4927l4171,-1462m4610,-4927l4610,-1462m5052,-4927l5052,-1462m5491,-4927l5491,-1462m5930,-4927l5930,-1462m6370,-4927l6370,-1462m6809,-4927l6809,-1462m7248,-4927l7248,-1462m7687,-4927l7687,-1462m8126,-4927l8126,-1462m8568,-4927l8568,-1462m9007,-4927l9007,-1462m9446,-4927l9446,-1462m9886,-4927l9886,-1462e" filled="false" stroked="true" strokeweight=".75pt" strokecolor="#f1f1f1">
              <v:path arrowok="t"/>
              <v:stroke dashstyle="solid"/>
            </v:shape>
            <v:shape style="position:absolute;left:0;top:9520;width:7472;height:3466" coordorigin="0,9520" coordsize="7472,3466" path="m2633,-4927l2633,-1462m3072,-4927l3072,-1462m3514,-4927l3514,-1462m3953,-4927l3953,-1462m4392,-4927l4392,-1462m4831,-4927l4831,-1462m5270,-4927l5270,-1462m5710,-4927l5710,-1462m6149,-4927l6149,-1462m6590,-4927l6590,-1462m7030,-4927l7030,-1462m7469,-4927l7469,-1462m7908,-4927l7908,-1462m8347,-4927l8347,-1462m8786,-4927l8786,-1462m9226,-4927l9226,-1462m9665,-4927l9665,-1462m10105,-4927l10105,-1462e" filled="false" stroked="true" strokeweight=".75pt" strokecolor="#d9d9d9">
              <v:path arrowok="t"/>
              <v:stroke dashstyle="solid"/>
            </v:shape>
            <v:line style="position:absolute" from="2633,-1462" to="10105,-1462" stroked="true" strokeweight=".75pt" strokecolor="#d9d9d9">
              <v:stroke dashstyle="solid"/>
            </v:line>
            <v:shape style="position:absolute;left:9429;top:-4927;width:484;height:2435" coordorigin="9429,-4927" coordsize="484,2435" path="m9429,-2492l9473,-3169,9516,-3531,9562,-3596,9605,-4124,9648,-4205,9691,-4515,9737,-4841,9912,-4927e" filled="false" stroked="true" strokeweight="2.25pt" strokecolor="#ec7c30">
              <v:path arrowok="t"/>
              <v:stroke dashstyle="solid"/>
            </v:shape>
            <v:shape style="position:absolute;left:9372;top:-2549;width:115;height:115" type="#_x0000_t75" stroked="false">
              <v:imagedata r:id="rId203" o:title=""/>
            </v:shape>
            <v:shape style="position:absolute;left:9415;top:-3226;width:115;height:115" type="#_x0000_t75" stroked="false">
              <v:imagedata r:id="rId215" o:title=""/>
            </v:shape>
            <v:shape style="position:absolute;left:9459;top:-3653;width:161;height:180" type="#_x0000_t75" stroked="false">
              <v:imagedata r:id="rId241" o:title=""/>
            </v:shape>
            <v:shape style="position:absolute;left:9547;top:-4263;width:158;height:197" type="#_x0000_t75" stroked="false">
              <v:imagedata r:id="rId242" o:title=""/>
            </v:shape>
            <v:shape style="position:absolute;left:9634;top:-4573;width:115;height:115" type="#_x0000_t75" stroked="false">
              <v:imagedata r:id="rId203" o:title=""/>
            </v:shape>
            <v:shape style="position:absolute;left:9679;top:-4899;width:115;height:115" type="#_x0000_t75" stroked="false">
              <v:imagedata r:id="rId210" o:title=""/>
            </v:shape>
            <v:shape style="position:absolute;left:9855;top:-4985;width:115;height:115" type="#_x0000_t75" stroked="false">
              <v:imagedata r:id="rId203" o:title=""/>
            </v:shape>
            <v:shape style="position:absolute;left:2633;top:-4927;width:2198;height:2711" coordorigin="2633,-4927" coordsize="2198,2711" path="m2633,-2216l3072,-2813,3293,-3404,3514,-3913,3732,-4165,3953,-4609,4171,-4798,4392,-4906,4831,-4927e" filled="false" stroked="true" strokeweight="2.25pt" strokecolor="#4471c4">
              <v:path arrowok="t"/>
              <v:stroke dashstyle="solid"/>
            </v:shape>
            <v:shape style="position:absolute;left:2575;top:-2273;width:115;height:115" type="#_x0000_t75" stroked="false">
              <v:imagedata r:id="rId196" o:title=""/>
            </v:shape>
            <v:shape style="position:absolute;left:3015;top:-2871;width:115;height:115" type="#_x0000_t75" stroked="false">
              <v:imagedata r:id="rId197" o:title=""/>
            </v:shape>
            <v:shape style="position:absolute;left:3235;top:-3461;width:115;height:115" type="#_x0000_t75" stroked="false">
              <v:imagedata r:id="rId196" o:title=""/>
            </v:shape>
            <v:shape style="position:absolute;left:3456;top:-3970;width:115;height:115" type="#_x0000_t75" stroked="false">
              <v:imagedata r:id="rId199" o:title=""/>
            </v:shape>
            <v:shape style="position:absolute;left:3675;top:-4222;width:115;height:115" type="#_x0000_t75" stroked="false">
              <v:imagedata r:id="rId197" o:title=""/>
            </v:shape>
            <v:shape style="position:absolute;left:3895;top:-4666;width:115;height:115" type="#_x0000_t75" stroked="false">
              <v:imagedata r:id="rId213" o:title=""/>
            </v:shape>
            <v:shape style="position:absolute;left:4114;top:-4856;width:115;height:115" type="#_x0000_t75" stroked="false">
              <v:imagedata r:id="rId199" o:title=""/>
            </v:shape>
            <v:shape style="position:absolute;left:4335;top:-4964;width:115;height:115" type="#_x0000_t75" stroked="false">
              <v:imagedata r:id="rId197" o:title=""/>
            </v:shape>
            <v:shape style="position:absolute;left:4774;top:-4985;width:115;height:115" type="#_x0000_t75" stroked="false">
              <v:imagedata r:id="rId197" o:title=""/>
            </v:shape>
            <v:shape style="position:absolute;left:8154;top:-4927;width:484;height:2700" coordorigin="8154,-4927" coordsize="484,2700" path="m8154,-2227l8198,-3449,8242,-3617,8285,-4035,8330,-4246,8374,-4575,8417,-4853,8637,-4927e" filled="false" stroked="true" strokeweight="2.25pt" strokecolor="#6fac46">
              <v:path arrowok="t"/>
              <v:stroke dashstyle="solid"/>
            </v:shape>
            <v:shape style="position:absolute;left:8095;top:-2285;width:115;height:115" type="#_x0000_t75" stroked="false">
              <v:imagedata r:id="rId243" o:title=""/>
            </v:shape>
            <v:shape style="position:absolute;left:8141;top:-3507;width:115;height:115" type="#_x0000_t75" stroked="false">
              <v:imagedata r:id="rId244" o:title=""/>
            </v:shape>
            <v:shape style="position:absolute;left:8184;top:-3675;width:115;height:115" type="#_x0000_t75" stroked="false">
              <v:imagedata r:id="rId244" o:title=""/>
            </v:shape>
            <v:shape style="position:absolute;left:8227;top:-4093;width:115;height:115" type="#_x0000_t75" stroked="false">
              <v:imagedata r:id="rId245" o:title=""/>
            </v:shape>
            <v:shape style="position:absolute;left:8273;top:-4304;width:115;height:115" type="#_x0000_t75" stroked="false">
              <v:imagedata r:id="rId245" o:title=""/>
            </v:shape>
            <v:shape style="position:absolute;left:8316;top:-4633;width:115;height:115" type="#_x0000_t75" stroked="false">
              <v:imagedata r:id="rId245" o:title=""/>
            </v:shape>
            <v:shape style="position:absolute;left:8359;top:-4911;width:115;height:115" type="#_x0000_t75" stroked="false">
              <v:imagedata r:id="rId246" o:title=""/>
            </v:shape>
            <v:shape style="position:absolute;left:8580;top:-4985;width:115;height:115" type="#_x0000_t75" stroked="false">
              <v:imagedata r:id="rId247" o:title=""/>
            </v:shape>
            <v:shape style="position:absolute;left:4898;top:-3918;width:429;height:116" type="#_x0000_t75" stroked="false">
              <v:imagedata r:id="rId248" o:title=""/>
            </v:shape>
            <v:shape style="position:absolute;left:4898;top:-3611;width:429;height:116" type="#_x0000_t75" stroked="false">
              <v:imagedata r:id="rId249" o:title=""/>
            </v:shape>
            <v:shape style="position:absolute;left:4898;top:-3301;width:429;height:116" type="#_x0000_t75" stroked="false">
              <v:imagedata r:id="rId250" o:title=""/>
            </v:shape>
            <v:rect style="position:absolute;left:1133;top:-5905;width:9414;height:5692" filled="false" stroked="true" strokeweight=".75pt" strokecolor="#d9d9d9">
              <v:stroke dashstyle="solid"/>
            </v:rect>
            <v:shape style="position:absolute;left:4585;top:-5579;width:2480;height:221" type="#_x0000_t202" filled="false" stroked="false">
              <v:textbox inset="0,0,0,0">
                <w:txbxContent>
                  <w:p>
                    <w:pPr>
                      <w:spacing w:line="221" w:lineRule="exact" w:before="0"/>
                      <w:ind w:left="0" w:right="0" w:firstLine="0"/>
                      <w:jc w:val="left"/>
                      <w:rPr>
                        <w:rFonts w:ascii="Calibri"/>
                        <w:sz w:val="22"/>
                      </w:rPr>
                    </w:pPr>
                    <w:r>
                      <w:rPr>
                        <w:rFonts w:ascii="Calibri"/>
                        <w:color w:val="585858"/>
                        <w:sz w:val="22"/>
                      </w:rPr>
                      <w:t>PER Vs Noise PSD (dBm/Hz)</w:t>
                    </w:r>
                  </w:p>
                </w:txbxContent>
              </v:textbox>
              <w10:wrap type="none"/>
            </v:shape>
            <v:shape style="position:absolute;left:2194;top:-5011;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100</w:t>
                    </w:r>
                  </w:p>
                </w:txbxContent>
              </v:textbox>
              <w10:wrap type="none"/>
            </v:shape>
            <v:shape style="position:absolute;left:2285;top:-3856;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w:t>
                    </w:r>
                  </w:p>
                </w:txbxContent>
              </v:textbox>
              <w10:wrap type="none"/>
            </v:shape>
            <v:shape style="position:absolute;left:5346;top:-3943;width:1372;height:799" type="#_x0000_t202" filled="false" stroked="false">
              <v:textbox inset="0,0,0,0">
                <w:txbxContent>
                  <w:p>
                    <w:pPr>
                      <w:spacing w:line="183" w:lineRule="exact" w:before="0"/>
                      <w:ind w:left="0" w:right="0" w:firstLine="0"/>
                      <w:jc w:val="left"/>
                      <w:rPr>
                        <w:rFonts w:ascii="Calibri"/>
                        <w:sz w:val="18"/>
                      </w:rPr>
                    </w:pPr>
                    <w:r>
                      <w:rPr>
                        <w:rFonts w:ascii="Calibri"/>
                        <w:color w:val="585858"/>
                        <w:sz w:val="18"/>
                      </w:rPr>
                      <w:t>CV2X_With_HARQ</w:t>
                    </w:r>
                  </w:p>
                  <w:p>
                    <w:pPr>
                      <w:spacing w:line="310" w:lineRule="atLeast" w:before="0"/>
                      <w:ind w:left="0" w:right="143" w:firstLine="0"/>
                      <w:jc w:val="left"/>
                      <w:rPr>
                        <w:rFonts w:ascii="Calibri"/>
                        <w:sz w:val="18"/>
                      </w:rPr>
                    </w:pPr>
                    <w:r>
                      <w:rPr>
                        <w:rFonts w:ascii="Calibri"/>
                        <w:color w:val="585858"/>
                        <w:sz w:val="18"/>
                      </w:rPr>
                      <w:t>DSRC CV2X_No_HARQ</w:t>
                    </w:r>
                  </w:p>
                </w:txbxContent>
              </v:textbox>
              <w10:wrap type="none"/>
            </v:shape>
            <v:shape style="position:absolute;left:2376;top:-2701;width:11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w:t>
                    </w:r>
                  </w:p>
                </w:txbxContent>
              </v:textbox>
              <w10:wrap type="none"/>
            </v:shape>
            <v:shape style="position:absolute;left:2240;top:-1545;width:248;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0,1</w:t>
                    </w:r>
                  </w:p>
                </w:txbxContent>
              </v:textbox>
              <w10:wrap type="none"/>
            </v:shape>
            <v:shape style="position:absolute;left:2470;top:-1311;width:7823;height:484" type="#_x0000_t202" filled="false" stroked="false">
              <v:textbox inset="0,0,0,0">
                <w:txbxContent>
                  <w:p>
                    <w:pPr>
                      <w:spacing w:line="183" w:lineRule="exact" w:before="0"/>
                      <w:ind w:left="231" w:right="249" w:firstLine="0"/>
                      <w:jc w:val="center"/>
                      <w:rPr>
                        <w:rFonts w:ascii="Calibri"/>
                        <w:sz w:val="18"/>
                      </w:rPr>
                    </w:pPr>
                    <w:r>
                      <w:rPr>
                        <w:rFonts w:ascii="Calibri"/>
                        <w:color w:val="585858"/>
                        <w:sz w:val="18"/>
                      </w:rPr>
                      <w:t>-127  -126  -125  -124  -123  -122  -121  -120  -119  -118  -117  -116  -115  -114  -113  -112  -111  -110</w:t>
                    </w:r>
                  </w:p>
                  <w:p>
                    <w:pPr>
                      <w:spacing w:line="240" w:lineRule="exact" w:before="60"/>
                      <w:ind w:left="229" w:right="249" w:firstLine="0"/>
                      <w:jc w:val="center"/>
                      <w:rPr>
                        <w:rFonts w:ascii="Calibri"/>
                        <w:sz w:val="20"/>
                      </w:rPr>
                    </w:pPr>
                    <w:r>
                      <w:rPr>
                        <w:rFonts w:ascii="Calibri"/>
                        <w:color w:val="585858"/>
                        <w:sz w:val="20"/>
                      </w:rPr>
                      <w:t>Noise_PSD (dBm/Hz)</w:t>
                    </w:r>
                  </w:p>
                </w:txbxContent>
              </v:textbox>
              <w10:wrap type="none"/>
            </v:shape>
            <w10:wrap type="none"/>
          </v:group>
        </w:pict>
      </w:r>
      <w:r>
        <w:rPr/>
        <w:pict>
          <v:group style="position:absolute;margin-left:56.275002pt;margin-top:18.190853pt;width:422pt;height:347.35pt;mso-position-horizontal-relative:page;mso-position-vertical-relative:paragraph;z-index:-502480" coordorigin="1126,364" coordsize="8440,6947">
            <v:shape style="position:absolute;left:0;top:8601;width:6687;height:920" coordorigin="0,8601" coordsize="6687,920" path="m2476,5359l9163,5359m2476,5111l9163,5111m2476,4936l9163,4936m2476,4799l9163,4799m2476,4687l9163,4687m2476,4593l9163,4593m2476,4511l9163,4511m2476,4439l9163,4439e" filled="false" stroked="true" strokeweight=".75pt" strokecolor="#f1f1f1">
              <v:path arrowok="t"/>
              <v:stroke dashstyle="solid"/>
            </v:shape>
            <v:line style="position:absolute" from="2476,4375" to="9163,4375" stroked="true" strokeweight=".75pt" strokecolor="#d9d9d9">
              <v:stroke dashstyle="solid"/>
            </v:line>
            <v:shape style="position:absolute;left:0;top:12321;width:5900;height:1420" coordorigin="0,12321" coordsize="5900,1420" path="m2674,4362l2674,5782m3065,4362l3065,5782m3458,4362l3458,5782m3852,4362l3852,5782m4246,4362l4246,5782m4639,4362l4639,5782m5033,4362l5033,5782m5426,4362l5426,5782m5820,4362l5820,5782m6214,4362l6214,5782m6607,4362l6607,5782m6998,4362l6998,5782m7392,4362l7392,5782m7786,4362l7786,5782m8179,4362l8179,5782m8573,4362l8573,5782e" filled="false" stroked="true" strokeweight=".75pt" strokecolor="#f1f1f1">
              <v:path arrowok="t"/>
              <v:stroke dashstyle="solid"/>
            </v:shape>
            <v:shape style="position:absolute;left:0;top:7195;width:6687;height:920" coordorigin="0,7195" coordsize="6687,920" path="m2476,3952l9163,3952m2476,3705l9163,3705m2476,3527l9163,3527m2476,3393l9163,3393m2476,3280l9163,3280m2476,3187l9163,3187m2476,3105l9163,3105m2476,3033l9163,3033e" filled="false" stroked="true" strokeweight=".75pt" strokecolor="#f1f1f1">
              <v:path arrowok="t"/>
              <v:stroke dashstyle="solid"/>
            </v:shape>
            <v:line style="position:absolute" from="2476,2968" to="9163,2968" stroked="true" strokeweight=".75pt" strokecolor="#d9d9d9">
              <v:stroke dashstyle="solid"/>
            </v:line>
            <v:shape style="position:absolute;left:0;top:5788;width:6687;height:920" coordorigin="0,5788" coordsize="6687,920" path="m2476,2546l9163,2546m2476,2296l9163,2296m2476,2121l9163,2121m2476,1984l9163,1984m2476,1874l9163,1874m2476,1780l9163,1780m2476,1699l9163,1699m2476,1627l9163,1627e" filled="false" stroked="true" strokeweight=".75pt" strokecolor="#f1f1f1">
              <v:path arrowok="t"/>
              <v:stroke dashstyle="solid"/>
            </v:shape>
            <v:line style="position:absolute" from="2476,1562" to="9163,1562" stroked="true" strokeweight=".75pt" strokecolor="#d9d9d9">
              <v:stroke dashstyle="solid"/>
            </v:line>
            <v:shape style="position:absolute;left:0;top:9520;width:6293;height:4221" coordorigin="0,9520" coordsize="6293,4221" path="m2674,1562l2674,4278m3065,1562l3065,4278m3458,1562l3458,4278m3852,1562l3852,4278m4246,1562l4246,4278m4639,1562l4639,4278m5033,1562l5033,4278m5426,1562l5426,4278m5820,1562l5820,4278m6214,1562l6214,4278m6607,1562l6607,4278m6998,1562l6998,4278m7392,1562l7392,4278m7786,1562l7786,4278m8179,1562l8179,4278m8573,1562l8573,4278m8966,1562l8966,5782e" filled="false" stroked="true" strokeweight=".75pt" strokecolor="#f1f1f1">
              <v:path arrowok="t"/>
              <v:stroke dashstyle="solid"/>
            </v:shape>
            <v:shape style="position:absolute;left:0;top:9520;width:6687;height:4221" coordorigin="0,9520" coordsize="6687,4221" path="m2476,1562l2476,4278m2476,4362l2476,5782m2868,1562l2868,4278m2868,4362l2868,5782m3262,1562l3262,4278m3262,4362l3262,5782m3655,1562l3655,4278m3655,4362l3655,5782m4049,1562l4049,4278m4049,4362l4049,5782m4442,1562l4442,4278m4442,4362l4442,5782m4836,1562l4836,4278m4836,4362l4836,5782m5230,1562l5230,4278m5230,4362l5230,5782m5623,1562l5623,4278m5623,4362l5623,5782m6017,1562l6017,4278m6017,4362l6017,5782m6410,1562l6410,4278m6410,4362l6410,5782m6802,1562l6802,4278m6802,4362l6802,5782m7195,1562l7195,4278m7195,4362l7195,5782m7589,1562l7589,4278m7589,4362l7589,5782m7982,1562l7982,4278m7982,4362l7982,5782m8376,1562l8376,4278m8376,4362l8376,5782m8770,1562l8770,5782m9163,1562l9163,5782e" filled="false" stroked="true" strokeweight=".75pt" strokecolor="#d9d9d9">
              <v:path arrowok="t"/>
              <v:stroke dashstyle="solid"/>
            </v:shape>
            <v:line style="position:absolute" from="2476,5782" to="9163,5782" stroked="true" strokeweight=".75pt" strokecolor="#d9d9d9">
              <v:stroke dashstyle="solid"/>
            </v:line>
            <v:shape style="position:absolute;left:2474;top:4323;width:592;height:7" coordorigin="2474,4323" coordsize="592,7" path="m2474,4329l2477,4329,2868,4329,3066,4323e" filled="false" stroked="true" strokeweight="2.25pt" strokecolor="#ec7c30">
              <v:path arrowok="t"/>
              <v:stroke dashstyle="solid"/>
            </v:shape>
            <v:shape style="position:absolute;left:2419;top:4271;width:115;height:115" type="#_x0000_t75" stroked="false">
              <v:imagedata r:id="rId210" o:title=""/>
            </v:shape>
            <v:shape style="position:absolute;left:2811;top:4271;width:115;height:115" type="#_x0000_t75" stroked="false">
              <v:imagedata r:id="rId210" o:title=""/>
            </v:shape>
            <v:shape style="position:absolute;left:3007;top:4264;width:115;height:115" type="#_x0000_t75" stroked="false">
              <v:imagedata r:id="rId210" o:title=""/>
            </v:shape>
            <v:line style="position:absolute" from="2474,4320" to="8636,4320" stroked="true" strokeweight="1.95pt" strokecolor="#4471c4">
              <v:stroke dashstyle="solid"/>
            </v:line>
            <v:shape style="position:absolute;left:5352;top:4281;width:115;height:115" type="#_x0000_t75" stroked="false">
              <v:imagedata r:id="rId199" o:title=""/>
            </v:shape>
            <v:shape style="position:absolute;left:8499;top:4243;width:194;height:154" type="#_x0000_t75" stroked="false">
              <v:imagedata r:id="rId251" o:title=""/>
            </v:shape>
            <v:shape style="position:absolute;left:2474;top:4279;width:4982;height:66" coordorigin="2474,4279" coordsize="4982,66" path="m2474,4345l5410,4345,7416,4339,7456,4279e" filled="false" stroked="true" strokeweight="2.25pt" strokecolor="#6fac46">
              <v:path arrowok="t"/>
              <v:stroke dashstyle="solid"/>
            </v:shape>
            <v:shape style="position:absolute;left:5352;top:4288;width:115;height:115" type="#_x0000_t75" stroked="false">
              <v:imagedata r:id="rId252" o:title=""/>
            </v:shape>
            <v:shape style="position:absolute;left:7359;top:4221;width:156;height:175" type="#_x0000_t75" stroked="false">
              <v:imagedata r:id="rId253" o:title=""/>
            </v:shape>
            <v:shape style="position:absolute;left:7026;top:1746;width:429;height:116" type="#_x0000_t75" stroked="false">
              <v:imagedata r:id="rId254" o:title=""/>
            </v:shape>
            <v:shape style="position:absolute;left:7026;top:2073;width:429;height:116" type="#_x0000_t75" stroked="false">
              <v:imagedata r:id="rId255" o:title=""/>
            </v:shape>
            <v:shape style="position:absolute;left:7026;top:2399;width:429;height:116" type="#_x0000_t75" stroked="false">
              <v:imagedata r:id="rId256" o:title=""/>
            </v:shape>
            <v:shape style="position:absolute;left:1133;top:371;width:8425;height:6932" type="#_x0000_t202" filled="false" stroked="true" strokeweight=".75pt" strokecolor="#d9d9d9">
              <v:textbox inset="0,0,0,0">
                <w:txbxContent>
                  <w:p>
                    <w:pPr>
                      <w:spacing w:line="240" w:lineRule="auto" w:before="9"/>
                      <w:rPr>
                        <w:b/>
                        <w:sz w:val="39"/>
                      </w:rPr>
                    </w:pPr>
                  </w:p>
                  <w:p>
                    <w:pPr>
                      <w:spacing w:before="0"/>
                      <w:ind w:left="2167" w:right="0" w:firstLine="0"/>
                      <w:jc w:val="left"/>
                      <w:rPr>
                        <w:rFonts w:ascii="Calibri"/>
                        <w:sz w:val="28"/>
                      </w:rPr>
                    </w:pPr>
                    <w:r>
                      <w:rPr>
                        <w:rFonts w:ascii="Calibri"/>
                        <w:color w:val="585858"/>
                        <w:sz w:val="28"/>
                      </w:rPr>
                      <w:t>C-V2X vs DSRC 95 Percentile IPG</w:t>
                    </w:r>
                  </w:p>
                  <w:p>
                    <w:pPr>
                      <w:spacing w:line="240" w:lineRule="auto" w:before="10"/>
                      <w:rPr>
                        <w:b/>
                        <w:sz w:val="22"/>
                      </w:rPr>
                    </w:pPr>
                  </w:p>
                  <w:p>
                    <w:pPr>
                      <w:spacing w:before="0"/>
                      <w:ind w:left="701" w:right="7227" w:firstLine="0"/>
                      <w:jc w:val="center"/>
                      <w:rPr>
                        <w:rFonts w:ascii="Calibri"/>
                        <w:sz w:val="18"/>
                      </w:rPr>
                    </w:pPr>
                    <w:r>
                      <w:rPr>
                        <w:rFonts w:ascii="Calibri"/>
                        <w:color w:val="585858"/>
                        <w:sz w:val="18"/>
                      </w:rPr>
                      <w:t>10000</w:t>
                    </w:r>
                  </w:p>
                  <w:p>
                    <w:pPr>
                      <w:spacing w:before="24"/>
                      <w:ind w:left="0" w:right="1688" w:firstLine="0"/>
                      <w:jc w:val="right"/>
                      <w:rPr>
                        <w:rFonts w:ascii="Calibri"/>
                        <w:sz w:val="18"/>
                      </w:rPr>
                    </w:pPr>
                    <w:r>
                      <w:rPr>
                        <w:rFonts w:ascii="Calibri"/>
                        <w:color w:val="585858"/>
                        <w:sz w:val="18"/>
                      </w:rPr>
                      <w:t>DSRC</w:t>
                    </w:r>
                  </w:p>
                  <w:p>
                    <w:pPr>
                      <w:spacing w:line="355" w:lineRule="auto" w:before="106"/>
                      <w:ind w:left="6333" w:right="718" w:firstLine="0"/>
                      <w:jc w:val="left"/>
                      <w:rPr>
                        <w:rFonts w:ascii="Calibri"/>
                        <w:sz w:val="18"/>
                      </w:rPr>
                    </w:pPr>
                    <w:r>
                      <w:rPr>
                        <w:rFonts w:ascii="Calibri"/>
                        <w:color w:val="585858"/>
                        <w:sz w:val="18"/>
                      </w:rPr>
                      <w:t>CV2X_With_HARQ CV2X_No_HARQ</w:t>
                    </w:r>
                  </w:p>
                  <w:p>
                    <w:pPr>
                      <w:spacing w:line="240" w:lineRule="auto" w:before="1"/>
                      <w:rPr>
                        <w:b/>
                        <w:sz w:val="16"/>
                      </w:rPr>
                    </w:pPr>
                  </w:p>
                  <w:p>
                    <w:pPr>
                      <w:spacing w:before="0"/>
                      <w:ind w:left="701" w:right="7136" w:firstLine="0"/>
                      <w:jc w:val="center"/>
                      <w:rPr>
                        <w:rFonts w:ascii="Calibri"/>
                        <w:sz w:val="18"/>
                      </w:rPr>
                    </w:pPr>
                    <w:r>
                      <w:rPr>
                        <w:rFonts w:ascii="Calibri"/>
                        <w:color w:val="585858"/>
                        <w:sz w:val="18"/>
                      </w:rPr>
                      <w:t>1000</w:t>
                    </w: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before="151"/>
                      <w:ind w:left="701" w:right="7045" w:firstLine="0"/>
                      <w:jc w:val="center"/>
                      <w:rPr>
                        <w:rFonts w:ascii="Calibri"/>
                        <w:sz w:val="18"/>
                      </w:rPr>
                    </w:pPr>
                    <w:r>
                      <w:rPr>
                        <w:rFonts w:ascii="Calibri"/>
                        <w:color w:val="585858"/>
                        <w:sz w:val="18"/>
                      </w:rPr>
                      <w:t>100</w:t>
                    </w: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before="152"/>
                      <w:ind w:left="701" w:right="6955" w:firstLine="0"/>
                      <w:jc w:val="center"/>
                      <w:rPr>
                        <w:rFonts w:ascii="Calibri"/>
                        <w:sz w:val="18"/>
                      </w:rPr>
                    </w:pPr>
                    <w:r>
                      <w:rPr>
                        <w:rFonts w:ascii="Calibri"/>
                        <w:color w:val="585858"/>
                        <w:sz w:val="18"/>
                      </w:rPr>
                      <w:t>10</w:t>
                    </w:r>
                  </w:p>
                  <w:p>
                    <w:pPr>
                      <w:spacing w:before="14"/>
                      <w:ind w:left="1362" w:right="412" w:firstLine="0"/>
                      <w:jc w:val="center"/>
                      <w:rPr>
                        <w:rFonts w:ascii="Calibri"/>
                        <w:sz w:val="18"/>
                      </w:rPr>
                    </w:pPr>
                    <w:r>
                      <w:rPr>
                        <w:rFonts w:ascii="Calibri"/>
                        <w:color w:val="585858"/>
                        <w:sz w:val="18"/>
                      </w:rPr>
                      <w:t>-127 -126 -125 -124 -123 -122 -121 -120 -119 -118 -117 -116 -115 -114 -113 -112 -111 -110</w:t>
                    </w:r>
                  </w:p>
                  <w:p>
                    <w:pPr>
                      <w:spacing w:before="60"/>
                      <w:ind w:left="1359" w:right="412" w:firstLine="0"/>
                      <w:jc w:val="center"/>
                      <w:rPr>
                        <w:rFonts w:ascii="Calibri"/>
                        <w:sz w:val="20"/>
                      </w:rPr>
                    </w:pPr>
                    <w:r>
                      <w:rPr>
                        <w:rFonts w:ascii="Calibri"/>
                        <w:color w:val="585858"/>
                        <w:sz w:val="20"/>
                      </w:rPr>
                      <w:t>Noise_PSD (dBm/Hz)</w:t>
                    </w:r>
                  </w:p>
                </w:txbxContent>
              </v:textbox>
              <v:stroke dashstyle="solid"/>
              <w10:wrap type="none"/>
            </v:shape>
            <w10:wrap type="none"/>
          </v:group>
        </w:pict>
      </w:r>
      <w:r>
        <w:rPr/>
        <w:pict>
          <v:shape style="position:absolute;margin-left:78.458pt;margin-top:165.640121pt;width:12pt;height:36pt;mso-position-horizontal-relative:page;mso-position-vertical-relative:paragraph;z-index:5584" type="#_x0000_t202" filled="false" stroked="false">
            <v:textbox inset="0,0,0,0" style="layout-flow:vertical;mso-layout-flow-alt:bottom-to-top">
              <w:txbxContent>
                <w:p>
                  <w:pPr>
                    <w:pStyle w:val="BodyText"/>
                    <w:spacing w:line="223" w:lineRule="exact"/>
                    <w:ind w:left="20" w:right="-155"/>
                    <w:rPr>
                      <w:rFonts w:ascii="Calibri"/>
                    </w:rPr>
                  </w:pPr>
                  <w:r>
                    <w:rPr>
                      <w:rFonts w:ascii="Calibri"/>
                      <w:color w:val="585858"/>
                      <w:w w:val="99"/>
                    </w:rPr>
                    <w:t>IPG</w:t>
                  </w:r>
                  <w:r>
                    <w:rPr>
                      <w:rFonts w:ascii="Calibri"/>
                      <w:color w:val="585858"/>
                      <w:spacing w:val="-1"/>
                    </w:rPr>
                    <w:t> </w:t>
                  </w:r>
                  <w:r>
                    <w:rPr>
                      <w:rFonts w:ascii="Calibri"/>
                      <w:color w:val="585858"/>
                      <w:spacing w:val="-1"/>
                      <w:w w:val="99"/>
                    </w:rPr>
                    <w:t>(ms</w:t>
                  </w:r>
                  <w:r>
                    <w:rPr>
                      <w:rFonts w:ascii="Calibri"/>
                      <w:color w:val="585858"/>
                      <w:w w:val="99"/>
                    </w:rPr>
                    <w:t>)</w:t>
                  </w:r>
                </w:p>
              </w:txbxContent>
            </v:textbox>
            <w10:wrap type="none"/>
          </v:shape>
        </w:pict>
      </w:r>
      <w:r>
        <w:rPr/>
        <w:t>Figure</w:t>
        <w:tab/>
        <w:t>21:</w:t>
        <w:tab/>
        <w:t>7-11</w:t>
        <w:tab/>
        <w:t>–</w:t>
        <w:tab/>
        <w:t>PER</w:t>
        <w:tab/>
        <w:t>vs</w:t>
        <w:tab/>
        <w:t>Noise</w:t>
        <w:tab/>
        <w:t>PSD</w:t>
        <w:tab/>
        <w:t>(dBm/Hz)</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6"/>
        <w:rPr>
          <w:b/>
          <w:sz w:val="33"/>
        </w:rPr>
      </w:pPr>
    </w:p>
    <w:p>
      <w:pPr>
        <w:spacing w:before="0"/>
        <w:ind w:left="1133" w:right="0" w:firstLine="0"/>
        <w:jc w:val="left"/>
        <w:rPr>
          <w:b/>
          <w:sz w:val="24"/>
        </w:rPr>
      </w:pPr>
      <w:r>
        <w:rPr>
          <w:b/>
          <w:sz w:val="24"/>
        </w:rPr>
        <w:t>Figure 22: 7.2.3 – 95th Percentile IPG</w:t>
      </w:r>
    </w:p>
    <w:p>
      <w:pPr>
        <w:spacing w:after="0"/>
        <w:jc w:val="left"/>
        <w:rPr>
          <w:sz w:val="24"/>
        </w:rPr>
        <w:sectPr>
          <w:headerReference w:type="default" r:id="rId239"/>
          <w:footerReference w:type="default" r:id="rId240"/>
          <w:pgSz w:w="11910" w:h="16850"/>
          <w:pgMar w:header="852" w:footer="979" w:top="1040" w:bottom="1160" w:left="0" w:right="0"/>
          <w:pgNumType w:start="41"/>
        </w:sectPr>
      </w:pPr>
    </w:p>
    <w:p>
      <w:pPr>
        <w:pStyle w:val="BodyText"/>
        <w:rPr>
          <w:b/>
        </w:rPr>
      </w:pPr>
      <w:r>
        <w:rPr/>
        <w:pict>
          <v:shape style="position:absolute;margin-left:95.040001pt;margin-top:192.804001pt;width:12pt;height:53.4pt;mso-position-horizontal-relative:page;mso-position-vertical-relative:page;z-index:5896" type="#_x0000_t202" filled="false" stroked="false">
            <v:textbox inset="0,0,0,0" style="layout-flow:vertical;mso-layout-flow-alt:bottom-to-top">
              <w:txbxContent>
                <w:p>
                  <w:pPr>
                    <w:pStyle w:val="BodyText"/>
                    <w:spacing w:line="223" w:lineRule="exact"/>
                    <w:ind w:left="20" w:right="-424"/>
                    <w:rPr>
                      <w:rFonts w:ascii="Calibri"/>
                    </w:rPr>
                  </w:pPr>
                  <w:r>
                    <w:rPr>
                      <w:rFonts w:ascii="Calibri"/>
                      <w:color w:val="585858"/>
                      <w:spacing w:val="-1"/>
                      <w:w w:val="99"/>
                    </w:rPr>
                    <w:t>L</w:t>
                  </w:r>
                  <w:r>
                    <w:rPr>
                      <w:rFonts w:ascii="Calibri"/>
                      <w:color w:val="585858"/>
                      <w:w w:val="99"/>
                    </w:rPr>
                    <w:t>atency</w:t>
                  </w:r>
                  <w:r>
                    <w:rPr>
                      <w:rFonts w:ascii="Calibri"/>
                      <w:color w:val="585858"/>
                    </w:rPr>
                    <w:t> </w:t>
                  </w:r>
                  <w:r>
                    <w:rPr>
                      <w:rFonts w:ascii="Calibri"/>
                      <w:color w:val="585858"/>
                      <w:spacing w:val="-1"/>
                      <w:w w:val="99"/>
                    </w:rPr>
                    <w:t>(m</w:t>
                  </w:r>
                  <w:r>
                    <w:rPr>
                      <w:rFonts w:ascii="Calibri"/>
                      <w:color w:val="585858"/>
                      <w:spacing w:val="-2"/>
                      <w:w w:val="99"/>
                    </w:rPr>
                    <w:t>s</w:t>
                  </w:r>
                  <w:r>
                    <w:rPr>
                      <w:rFonts w:ascii="Calibri"/>
                      <w:color w:val="585858"/>
                      <w:w w:val="99"/>
                    </w:rPr>
                    <w:t>)</w:t>
                  </w:r>
                </w:p>
              </w:txbxContent>
            </v:textbox>
            <w10:wrap type="none"/>
          </v:shape>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22"/>
        </w:rPr>
      </w:pPr>
    </w:p>
    <w:p>
      <w:pPr>
        <w:pStyle w:val="Heading4"/>
        <w:tabs>
          <w:tab w:pos="2757" w:val="left" w:leader="none"/>
          <w:tab w:pos="3993" w:val="left" w:leader="none"/>
          <w:tab w:pos="5422" w:val="left" w:leader="none"/>
          <w:tab w:pos="6445" w:val="left" w:leader="none"/>
          <w:tab w:pos="7829" w:val="left" w:leader="none"/>
          <w:tab w:pos="9867" w:val="left" w:leader="none"/>
        </w:tabs>
      </w:pPr>
      <w:r>
        <w:rPr/>
        <w:pict>
          <v:group style="position:absolute;margin-left:56.275002pt;margin-top:-328.769135pt;width:468.75pt;height:313pt;mso-position-horizontal-relative:page;mso-position-vertical-relative:paragraph;z-index:5656" coordorigin="1126,-6575" coordsize="9375,6260">
            <v:shape style="position:absolute;left:0;top:6373;width:7430;height:2484" coordorigin="0,6373" coordsize="7430,2484" path="m2625,-2838l10054,-2838m2625,-3508l10054,-3508m2625,-3983l10054,-3983m2625,-4350l10054,-4350m2625,-4653l10054,-4653m2625,-4907l10054,-4907m2625,-5128l10054,-5128m2625,-5322l10054,-5322e" filled="false" stroked="true" strokeweight=".75pt" strokecolor="#f1f1f1">
              <v:path arrowok="t"/>
              <v:stroke dashstyle="solid"/>
            </v:shape>
            <v:line style="position:absolute" from="2625,-5495" to="10054,-5495" stroked="true" strokeweight=".75pt" strokecolor="#d9d9d9">
              <v:stroke dashstyle="solid"/>
            </v:line>
            <v:shape style="position:absolute;left:0;top:8857;width:6992;height:3802" coordorigin="0,8857" coordsize="6992,3802" path="m2844,-5495l2844,-1693m3281,-5495l3281,-1693m3718,-5495l3718,-1693m4154,-5495l4154,-1693m4591,-5495l4591,-1693m5028,-5495l5028,-1693m5465,-5495l5465,-1693m5902,-5495l5902,-1693m6338,-5495l6338,-1693m6778,-5495l6778,-1693m7214,-5495l7214,-1693m7651,-5495l7651,-1693m8088,-5495l8088,-1693m8525,-5495l8525,-1693m8962,-5495l8962,-1693m9398,-5495l9398,-1693m9835,-5495l9835,-1693e" filled="false" stroked="true" strokeweight=".75pt" strokecolor="#f1f1f1">
              <v:path arrowok="t"/>
              <v:stroke dashstyle="solid"/>
            </v:shape>
            <v:shape style="position:absolute;left:0;top:8857;width:7430;height:3802" coordorigin="0,8857" coordsize="7430,3802" path="m2625,-5495l2625,-1693m3062,-5495l3062,-1693m3499,-5495l3499,-1693m3936,-5495l3936,-1693m4373,-5495l4373,-1693m4810,-5495l4810,-1693m5246,-5495l5246,-1693m5683,-5495l5683,-1693m6120,-5495l6120,-1693m6557,-5495l6557,-1693m6996,-5495l6996,-1693m7433,-5495l7433,-1693m7870,-5495l7870,-1693m8306,-5495l8306,-1693m8743,-5495l8743,-1693m9180,-5495l9180,-1693m9617,-5495l9617,-1693m10054,-5495l10054,-1693e" filled="false" stroked="true" strokeweight=".75pt" strokecolor="#d9d9d9">
              <v:path arrowok="t"/>
              <v:stroke dashstyle="solid"/>
            </v:shape>
            <v:line style="position:absolute" from="2625,-1693" to="10054,-1693" stroked="true" strokeweight=".75pt" strokecolor="#d9d9d9">
              <v:stroke dashstyle="solid"/>
            </v:line>
            <v:shape style="position:absolute;left:2623;top:-2753;width:658;height:2" coordorigin="2623,-2753" coordsize="658,1" path="m2623,-2753l2626,-2753,3062,-2753,3280,-2753e" filled="false" stroked="true" strokeweight="2.25pt" strokecolor="#ec7c30">
              <v:path arrowok="t"/>
              <v:stroke dashstyle="solid"/>
            </v:shape>
            <v:shape style="position:absolute;left:2568;top:-2812;width:115;height:115" type="#_x0000_t75" stroked="false">
              <v:imagedata r:id="rId215" o:title=""/>
            </v:shape>
            <v:shape style="position:absolute;left:3005;top:-2812;width:115;height:115" type="#_x0000_t75" stroked="false">
              <v:imagedata r:id="rId210" o:title=""/>
            </v:shape>
            <v:shape style="position:absolute;left:3223;top:-2812;width:115;height:115" type="#_x0000_t75" stroked="false">
              <v:imagedata r:id="rId210" o:title=""/>
            </v:shape>
            <v:shape style="position:absolute;left:2623;top:-3333;width:6846;height:339" coordorigin="2623,-3333" coordsize="6846,339" path="m2623,-2995l5885,-2995,9382,-3205,9425,-3270,9468,-3333e" filled="false" stroked="true" strokeweight="2.25pt" strokecolor="#4471c4">
              <v:path arrowok="t"/>
              <v:stroke dashstyle="solid"/>
            </v:shape>
            <v:shape style="position:absolute;left:5827;top:-3052;width:115;height:115" type="#_x0000_t75" stroked="false">
              <v:imagedata r:id="rId199" o:title=""/>
            </v:shape>
            <v:shape style="position:absolute;left:9324;top:-3390;width:202;height:242" type="#_x0000_t75" stroked="false">
              <v:imagedata r:id="rId258" o:title=""/>
            </v:shape>
            <v:shape style="position:absolute;left:2623;top:-3393;width:5535;height:255" coordorigin="2623,-3393" coordsize="5535,255" path="m2623,-3139l5885,-3139,8114,-3139,8157,-3393e" filled="false" stroked="true" strokeweight="2.25pt" strokecolor="#6fac46">
              <v:path arrowok="t"/>
              <v:stroke dashstyle="solid"/>
            </v:shape>
            <v:shape style="position:absolute;left:5827;top:-3196;width:115;height:115" type="#_x0000_t75" stroked="false">
              <v:imagedata r:id="rId259" o:title=""/>
            </v:shape>
            <v:shape style="position:absolute;left:8057;top:-3196;width:115;height:115" type="#_x0000_t75" stroked="false">
              <v:imagedata r:id="rId244" o:title=""/>
            </v:shape>
            <v:shape style="position:absolute;left:8100;top:-3450;width:115;height:115" type="#_x0000_t75" stroked="false">
              <v:imagedata r:id="rId260" o:title=""/>
            </v:shape>
            <v:shape style="position:absolute;left:7888;top:-5342;width:429;height:116" type="#_x0000_t75" stroked="false">
              <v:imagedata r:id="rId261" o:title=""/>
            </v:shape>
            <v:shape style="position:absolute;left:7888;top:-4972;width:429;height:116" type="#_x0000_t75" stroked="false">
              <v:imagedata r:id="rId262" o:title=""/>
            </v:shape>
            <v:shape style="position:absolute;left:7888;top:-4600;width:429;height:116" type="#_x0000_t75" stroked="false">
              <v:imagedata r:id="rId263" o:title=""/>
            </v:shape>
            <v:shape style="position:absolute;left:1133;top:-6568;width:9360;height:6245" type="#_x0000_t202" filled="false" stroked="true" strokeweight=".75pt" strokecolor="#d9d9d9">
              <v:textbox inset="0,0,0,0">
                <w:txbxContent>
                  <w:p>
                    <w:pPr>
                      <w:spacing w:line="240" w:lineRule="auto" w:before="6"/>
                      <w:rPr>
                        <w:b/>
                        <w:sz w:val="32"/>
                      </w:rPr>
                    </w:pPr>
                  </w:p>
                  <w:p>
                    <w:pPr>
                      <w:spacing w:before="1"/>
                      <w:ind w:left="2716" w:right="0" w:firstLine="0"/>
                      <w:jc w:val="left"/>
                      <w:rPr>
                        <w:rFonts w:ascii="Calibri"/>
                        <w:sz w:val="28"/>
                      </w:rPr>
                    </w:pPr>
                    <w:r>
                      <w:rPr>
                        <w:rFonts w:ascii="Calibri"/>
                        <w:color w:val="585858"/>
                        <w:sz w:val="28"/>
                      </w:rPr>
                      <w:t>C-V2X vs DSRC 95 Percentile Latency</w:t>
                    </w:r>
                  </w:p>
                  <w:p>
                    <w:pPr>
                      <w:spacing w:line="216" w:lineRule="exact" w:before="227"/>
                      <w:ind w:left="1044" w:right="0" w:firstLine="0"/>
                      <w:jc w:val="left"/>
                      <w:rPr>
                        <w:rFonts w:ascii="Calibri"/>
                        <w:sz w:val="18"/>
                      </w:rPr>
                    </w:pPr>
                    <w:r>
                      <w:rPr>
                        <w:rFonts w:ascii="Calibri"/>
                        <w:color w:val="585858"/>
                        <w:sz w:val="18"/>
                      </w:rPr>
                      <w:t>100</w:t>
                    </w:r>
                  </w:p>
                  <w:p>
                    <w:pPr>
                      <w:spacing w:line="216" w:lineRule="exact" w:before="0"/>
                      <w:ind w:left="0" w:right="1759" w:firstLine="0"/>
                      <w:jc w:val="right"/>
                      <w:rPr>
                        <w:rFonts w:ascii="Calibri"/>
                        <w:sz w:val="18"/>
                      </w:rPr>
                    </w:pPr>
                    <w:r>
                      <w:rPr>
                        <w:rFonts w:ascii="Calibri"/>
                        <w:color w:val="585858"/>
                        <w:sz w:val="18"/>
                      </w:rPr>
                      <w:t>DSRC</w:t>
                    </w:r>
                  </w:p>
                  <w:p>
                    <w:pPr>
                      <w:spacing w:line="405" w:lineRule="auto" w:before="152"/>
                      <w:ind w:left="7197" w:right="789" w:firstLine="0"/>
                      <w:jc w:val="left"/>
                      <w:rPr>
                        <w:rFonts w:ascii="Calibri"/>
                        <w:sz w:val="18"/>
                      </w:rPr>
                    </w:pPr>
                    <w:r>
                      <w:rPr>
                        <w:rFonts w:ascii="Calibri"/>
                        <w:color w:val="585858"/>
                        <w:sz w:val="18"/>
                      </w:rPr>
                      <w:t>CV2X_With_HARQ CV2X_No_HARQ</w:t>
                    </w: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4"/>
                      <w:rPr>
                        <w:b/>
                        <w:sz w:val="17"/>
                      </w:rPr>
                    </w:pPr>
                  </w:p>
                  <w:p>
                    <w:pPr>
                      <w:spacing w:before="0"/>
                      <w:ind w:left="1135" w:right="0" w:firstLine="0"/>
                      <w:jc w:val="left"/>
                      <w:rPr>
                        <w:rFonts w:ascii="Calibri"/>
                        <w:sz w:val="18"/>
                      </w:rPr>
                    </w:pPr>
                    <w:r>
                      <w:rPr>
                        <w:rFonts w:ascii="Calibri"/>
                        <w:color w:val="585858"/>
                        <w:sz w:val="18"/>
                      </w:rPr>
                      <w:t>10</w:t>
                    </w:r>
                  </w:p>
                  <w:p>
                    <w:pPr>
                      <w:spacing w:before="13"/>
                      <w:ind w:left="1536" w:right="481" w:firstLine="0"/>
                      <w:jc w:val="center"/>
                      <w:rPr>
                        <w:rFonts w:ascii="Calibri"/>
                        <w:sz w:val="18"/>
                      </w:rPr>
                    </w:pPr>
                    <w:r>
                      <w:rPr>
                        <w:rFonts w:ascii="Calibri"/>
                        <w:color w:val="585858"/>
                        <w:sz w:val="18"/>
                      </w:rPr>
                      <w:t>-127  -126  -125  -124  -123  -122  -121  -120  -119  -118  -117  -116  -115  -114  -113  -112  -111  -110</w:t>
                    </w:r>
                  </w:p>
                  <w:p>
                    <w:pPr>
                      <w:spacing w:before="59"/>
                      <w:ind w:left="1535" w:right="481" w:firstLine="0"/>
                      <w:jc w:val="center"/>
                      <w:rPr>
                        <w:rFonts w:ascii="Calibri"/>
                        <w:sz w:val="20"/>
                      </w:rPr>
                    </w:pPr>
                    <w:r>
                      <w:rPr>
                        <w:rFonts w:ascii="Calibri"/>
                        <w:color w:val="585858"/>
                        <w:sz w:val="20"/>
                      </w:rPr>
                      <w:t>Noise_PSD (dBm/Hz)</w:t>
                    </w:r>
                  </w:p>
                </w:txbxContent>
              </v:textbox>
              <v:stroke dashstyle="solid"/>
              <w10:wrap type="none"/>
            </v:shape>
            <w10:wrap type="none"/>
          </v:group>
        </w:pict>
      </w:r>
      <w:r>
        <w:rPr/>
        <w:pict>
          <v:group style="position:absolute;margin-left:56.275002pt;margin-top:13.529856pt;width:448.5pt;height:332.6pt;mso-position-horizontal-relative:page;mso-position-vertical-relative:paragraph;z-index:-502192" coordorigin="1126,271" coordsize="8970,6652">
            <v:shape style="position:absolute;left:0;top:7791;width:7108;height:1066" coordorigin="0,7791" coordsize="7108,1066" path="m2560,4967l9668,4967m2560,4681l9668,4681m2560,4477l9668,4477m2560,4319l9668,4319m2560,4189l9668,4189m2560,4081l9668,4081m2560,3985l9668,3985m2560,3901l9668,3901e" filled="false" stroked="true" strokeweight=".75pt" strokecolor="#f1f1f1">
              <v:path arrowok="t"/>
              <v:stroke dashstyle="solid"/>
            </v:shape>
            <v:line style="position:absolute" from="2560,3827" to="9668,3827" stroked="true" strokeweight=".75pt" strokecolor="#d9d9d9">
              <v:stroke dashstyle="solid"/>
            </v:line>
            <v:shape style="position:absolute;left:0;top:6162;width:7108;height:1066" coordorigin="0,6162" coordsize="7108,1066" path="m2560,3337l9668,3337m2560,3049l9668,3049m2560,2845l9668,2845m2560,2687l9668,2687m2560,2557l9668,2557m2560,2449l9668,2449m2560,2355l9668,2355m2560,2271l9668,2271e" filled="false" stroked="true" strokeweight=".75pt" strokecolor="#f1f1f1">
              <v:path arrowok="t"/>
              <v:stroke dashstyle="solid"/>
            </v:shape>
            <v:line style="position:absolute" from="2560,2196" to="9668,2196" stroked="true" strokeweight=".75pt" strokecolor="#d9d9d9">
              <v:stroke dashstyle="solid"/>
            </v:line>
            <v:shape style="position:absolute;left:0;top:5308;width:7108;height:288" coordorigin="0,5308" coordsize="7108,288" path="m2560,1705l9668,1705m2560,1418l9668,1418e" filled="false" stroked="true" strokeweight=".75pt" strokecolor="#f1f1f1">
              <v:path arrowok="t"/>
              <v:stroke dashstyle="solid"/>
            </v:shape>
            <v:shape style="position:absolute;left:0;top:8857;width:6689;height:4041" coordorigin="0,8857" coordsize="6689,4041" path="m2770,1418l2770,5459m3187,1418l3187,5459m3605,1418l3605,5459m4025,1418l4025,5459m4442,1418l4442,5459m4860,1418l4860,5459m5278,1418l5278,5459m5695,1418l5695,5459m6115,1418l6115,5459m6533,1418l6533,5459m6950,1418l6950,5459m7368,1418l7368,5459m7786,1418l7786,5459m8206,1418l8206,5459m8623,1418l8623,5459m9041,1418l9041,5459m9458,1418l9458,5459e" filled="false" stroked="true" strokeweight=".75pt" strokecolor="#f1f1f1">
              <v:path arrowok="t"/>
              <v:stroke dashstyle="solid"/>
            </v:shape>
            <v:shape style="position:absolute;left:0;top:8857;width:7108;height:4041" coordorigin="0,8857" coordsize="7108,4041" path="m2560,1418l2560,5459m2978,1418l2978,5459m3396,1418l3396,5459m3814,1418l3814,5459m4234,1418l4234,5459m4651,1418l4651,5459m5069,1418l5069,5459m5486,1418l5486,5459m5904,1418l5904,5459m6324,1418l6324,5459m6742,1418l6742,5459m7159,1418l7159,5459m7577,1418l7577,5459m7994,1418l7994,5459m8414,1418l8414,5459m8832,1418l8832,5459m9250,1418l9250,5459m9668,1418l9668,5459e" filled="false" stroked="true" strokeweight=".75pt" strokecolor="#d9d9d9">
              <v:path arrowok="t"/>
              <v:stroke dashstyle="solid"/>
            </v:shape>
            <v:line style="position:absolute" from="2560,5459" to="9668,5459" stroked="true" strokeweight=".75pt" strokecolor="#d9d9d9">
              <v:stroke dashstyle="solid"/>
            </v:line>
            <v:shape style="position:absolute;left:2558;top:3793;width:629;height:35" coordorigin="2558,3793" coordsize="629,35" path="m2558,3827l2561,3827,2978,3819,3187,3793e" filled="false" stroked="true" strokeweight="2.25pt" strokecolor="#ec7c30">
              <v:path arrowok="t"/>
              <v:stroke dashstyle="solid"/>
            </v:shape>
            <v:shape style="position:absolute;left:2503;top:3770;width:115;height:115" type="#_x0000_t75" stroked="false">
              <v:imagedata r:id="rId203" o:title=""/>
            </v:shape>
            <v:shape style="position:absolute;left:2921;top:3763;width:115;height:115" type="#_x0000_t75" stroked="false">
              <v:imagedata r:id="rId202" o:title=""/>
            </v:shape>
            <v:shape style="position:absolute;left:3130;top:3737;width:115;height:115" type="#_x0000_t75" stroked="false">
              <v:imagedata r:id="rId215" o:title=""/>
            </v:shape>
            <v:shape style="position:absolute;left:2558;top:3786;width:6550;height:42" coordorigin="2558,3786" coordsize="6550,42" path="m2558,3827l5678,3827,9024,3819,9065,3807,9108,3786e" filled="false" stroked="true" strokeweight="2.25pt" strokecolor="#4471c4">
              <v:path arrowok="t"/>
              <v:stroke dashstyle="solid"/>
            </v:shape>
            <v:shape style="position:absolute;left:5621;top:3770;width:115;height:115" type="#_x0000_t75" stroked="false">
              <v:imagedata r:id="rId196" o:title=""/>
            </v:shape>
            <v:shape style="position:absolute;left:8967;top:3729;width:199;height:149" type="#_x0000_t75" stroked="false">
              <v:imagedata r:id="rId264" o:title=""/>
            </v:shape>
            <v:line style="position:absolute" from="2558,3810" to="7853,3810" stroked="true" strokeweight="1.73pt" strokecolor="#6fac46">
              <v:stroke dashstyle="solid"/>
            </v:line>
            <v:shape style="position:absolute;left:5621;top:3770;width:115;height:115" type="#_x0000_t75" stroked="false">
              <v:imagedata r:id="rId244" o:title=""/>
            </v:shape>
            <v:shape style="position:absolute;left:7755;top:3737;width:156;height:149" type="#_x0000_t75" stroked="false">
              <v:imagedata r:id="rId265" o:title=""/>
            </v:shape>
            <v:shape style="position:absolute;left:6922;top:1659;width:429;height:116" type="#_x0000_t75" stroked="false">
              <v:imagedata r:id="rId266" o:title=""/>
            </v:shape>
            <v:shape style="position:absolute;left:6922;top:2038;width:429;height:116" type="#_x0000_t75" stroked="false">
              <v:imagedata r:id="rId267" o:title=""/>
            </v:shape>
            <v:shape style="position:absolute;left:6922;top:2415;width:429;height:116" type="#_x0000_t75" stroked="false">
              <v:imagedata r:id="rId268" o:title=""/>
            </v:shape>
            <v:rect style="position:absolute;left:1133;top:278;width:8955;height:6637" filled="false" stroked="true" strokeweight=".75pt" strokecolor="#d9d9d9">
              <v:stroke dashstyle="solid"/>
            </v:rect>
            <v:shape style="position:absolute;left:4015;top:739;width:2840;height:281" type="#_x0000_t202" filled="false" stroked="false">
              <v:textbox inset="0,0,0,0">
                <w:txbxContent>
                  <w:p>
                    <w:pPr>
                      <w:spacing w:line="281" w:lineRule="exact" w:before="0"/>
                      <w:ind w:left="0" w:right="0" w:firstLine="0"/>
                      <w:jc w:val="left"/>
                      <w:rPr>
                        <w:rFonts w:ascii="Calibri"/>
                        <w:sz w:val="28"/>
                      </w:rPr>
                    </w:pPr>
                    <w:r>
                      <w:rPr>
                        <w:rFonts w:ascii="Calibri"/>
                        <w:color w:val="585858"/>
                        <w:sz w:val="28"/>
                      </w:rPr>
                      <w:t>C-V2X vs DSRC Mean IPG</w:t>
                    </w:r>
                  </w:p>
                </w:txbxContent>
              </v:textbox>
              <w10:wrap type="none"/>
            </v:shape>
            <v:shape style="position:absolute;left:7370;top:1636;width:407;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DSRC</w:t>
                    </w:r>
                  </w:p>
                </w:txbxContent>
              </v:textbox>
              <w10:wrap type="none"/>
            </v:shape>
            <v:shape style="position:absolute;left:2029;top:2113;width:385;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1000</w:t>
                    </w:r>
                  </w:p>
                </w:txbxContent>
              </v:textbox>
              <w10:wrap type="none"/>
            </v:shape>
            <v:shape style="position:absolute;left:7370;top:2014;width:1372;height:559" type="#_x0000_t202" filled="false" stroked="false">
              <v:textbox inset="0,0,0,0">
                <w:txbxContent>
                  <w:p>
                    <w:pPr>
                      <w:spacing w:line="183" w:lineRule="exact" w:before="0"/>
                      <w:ind w:left="0" w:right="0" w:firstLine="0"/>
                      <w:jc w:val="left"/>
                      <w:rPr>
                        <w:rFonts w:ascii="Calibri"/>
                        <w:sz w:val="18"/>
                      </w:rPr>
                    </w:pPr>
                    <w:r>
                      <w:rPr>
                        <w:rFonts w:ascii="Calibri"/>
                        <w:color w:val="585858"/>
                        <w:sz w:val="18"/>
                      </w:rPr>
                      <w:t>CV2X_With_HARQ</w:t>
                    </w:r>
                  </w:p>
                  <w:p>
                    <w:pPr>
                      <w:spacing w:line="216" w:lineRule="exact" w:before="158"/>
                      <w:ind w:left="0" w:right="0" w:firstLine="0"/>
                      <w:jc w:val="left"/>
                      <w:rPr>
                        <w:rFonts w:ascii="Calibri"/>
                        <w:sz w:val="18"/>
                      </w:rPr>
                    </w:pPr>
                    <w:r>
                      <w:rPr>
                        <w:rFonts w:ascii="Calibri"/>
                        <w:color w:val="585858"/>
                        <w:sz w:val="18"/>
                      </w:rPr>
                      <w:t>CV2X_No_HARQ</w:t>
                    </w:r>
                  </w:p>
                </w:txbxContent>
              </v:textbox>
              <w10:wrap type="none"/>
            </v:shape>
            <v:shape style="position:absolute;left:2120;top:3745;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100</w:t>
                    </w:r>
                  </w:p>
                </w:txbxContent>
              </v:textbox>
              <w10:wrap type="none"/>
            </v:shape>
            <v:shape style="position:absolute;left:2211;top:5376;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w:t>
                    </w:r>
                  </w:p>
                </w:txbxContent>
              </v:textbox>
              <w10:wrap type="none"/>
            </v:shape>
            <v:shape style="position:absolute;left:2397;top:5610;width:7459;height:484" type="#_x0000_t202" filled="false" stroked="false">
              <v:textbox inset="0,0,0,0">
                <w:txbxContent>
                  <w:p>
                    <w:pPr>
                      <w:spacing w:line="183" w:lineRule="exact" w:before="0"/>
                      <w:ind w:left="-1" w:right="18" w:firstLine="0"/>
                      <w:jc w:val="center"/>
                      <w:rPr>
                        <w:rFonts w:ascii="Calibri"/>
                        <w:sz w:val="18"/>
                      </w:rPr>
                    </w:pPr>
                    <w:r>
                      <w:rPr>
                        <w:rFonts w:ascii="Calibri"/>
                        <w:color w:val="585858"/>
                        <w:sz w:val="18"/>
                      </w:rPr>
                      <w:t>-127  -126  -125  -124  -123  -122  -121  -120  -119  -118  -117  -116  -115  -114  -113  -112  -111     -110</w:t>
                    </w:r>
                  </w:p>
                  <w:p>
                    <w:pPr>
                      <w:spacing w:line="240" w:lineRule="exact" w:before="60"/>
                      <w:ind w:left="2854" w:right="2877" w:firstLine="0"/>
                      <w:jc w:val="center"/>
                      <w:rPr>
                        <w:rFonts w:ascii="Calibri"/>
                        <w:sz w:val="20"/>
                      </w:rPr>
                    </w:pPr>
                    <w:r>
                      <w:rPr>
                        <w:rFonts w:ascii="Calibri"/>
                        <w:color w:val="585858"/>
                        <w:sz w:val="20"/>
                      </w:rPr>
                      <w:t>Noise_PSD</w:t>
                    </w:r>
                    <w:r>
                      <w:rPr>
                        <w:rFonts w:ascii="Calibri"/>
                        <w:color w:val="585858"/>
                        <w:spacing w:val="-11"/>
                        <w:sz w:val="20"/>
                      </w:rPr>
                      <w:t> </w:t>
                    </w:r>
                    <w:r>
                      <w:rPr>
                        <w:rFonts w:ascii="Calibri"/>
                        <w:color w:val="585858"/>
                        <w:sz w:val="20"/>
                      </w:rPr>
                      <w:t>(dBm/Hz)</w:t>
                    </w:r>
                  </w:p>
                </w:txbxContent>
              </v:textbox>
              <w10:wrap type="none"/>
            </v:shape>
            <w10:wrap type="none"/>
          </v:group>
        </w:pict>
      </w:r>
      <w:r>
        <w:rPr/>
        <w:pict>
          <v:shape style="position:absolute;margin-left:87.223999pt;margin-top:141.109619pt;width:12pt;height:61.9pt;mso-position-horizontal-relative:page;mso-position-vertical-relative:paragraph;z-index:5872" type="#_x0000_t202" filled="false" stroked="false">
            <v:textbox inset="0,0,0,0" style="layout-flow:vertical;mso-layout-flow-alt:bottom-to-top">
              <w:txbxContent>
                <w:p>
                  <w:pPr>
                    <w:pStyle w:val="BodyText"/>
                    <w:spacing w:line="223" w:lineRule="exact"/>
                    <w:ind w:left="20" w:right="-269"/>
                    <w:rPr>
                      <w:rFonts w:ascii="Calibri"/>
                    </w:rPr>
                  </w:pPr>
                  <w:r>
                    <w:rPr>
                      <w:rFonts w:ascii="Calibri"/>
                      <w:color w:val="585858"/>
                      <w:w w:val="99"/>
                    </w:rPr>
                    <w:t>M</w:t>
                  </w:r>
                  <w:r>
                    <w:rPr>
                      <w:rFonts w:ascii="Calibri"/>
                      <w:color w:val="585858"/>
                      <w:spacing w:val="-2"/>
                      <w:w w:val="99"/>
                    </w:rPr>
                    <w:t>e</w:t>
                  </w:r>
                  <w:r>
                    <w:rPr>
                      <w:rFonts w:ascii="Calibri"/>
                      <w:color w:val="585858"/>
                      <w:w w:val="99"/>
                    </w:rPr>
                    <w:t>an</w:t>
                  </w:r>
                  <w:r>
                    <w:rPr>
                      <w:rFonts w:ascii="Calibri"/>
                      <w:color w:val="585858"/>
                    </w:rPr>
                    <w:t> </w:t>
                  </w:r>
                  <w:r>
                    <w:rPr>
                      <w:rFonts w:ascii="Calibri"/>
                      <w:color w:val="585858"/>
                      <w:w w:val="99"/>
                    </w:rPr>
                    <w:t>IPG</w:t>
                  </w:r>
                  <w:r>
                    <w:rPr>
                      <w:rFonts w:ascii="Calibri"/>
                      <w:color w:val="585858"/>
                      <w:spacing w:val="2"/>
                    </w:rPr>
                    <w:t> </w:t>
                  </w:r>
                  <w:r>
                    <w:rPr>
                      <w:rFonts w:ascii="Calibri"/>
                      <w:color w:val="585858"/>
                      <w:spacing w:val="-1"/>
                      <w:w w:val="99"/>
                    </w:rPr>
                    <w:t>(</w:t>
                  </w:r>
                  <w:r>
                    <w:rPr>
                      <w:rFonts w:ascii="Calibri"/>
                      <w:color w:val="585858"/>
                      <w:spacing w:val="-2"/>
                      <w:w w:val="99"/>
                    </w:rPr>
                    <w:t>ms</w:t>
                  </w:r>
                  <w:r>
                    <w:rPr>
                      <w:rFonts w:ascii="Calibri"/>
                      <w:color w:val="585858"/>
                      <w:w w:val="99"/>
                    </w:rPr>
                    <w:t>)</w:t>
                  </w:r>
                </w:p>
              </w:txbxContent>
            </v:textbox>
            <w10:wrap type="none"/>
          </v:shape>
        </w:pict>
      </w:r>
      <w:r>
        <w:rPr/>
        <w:t>Figure</w:t>
        <w:tab/>
        <w:t>23:</w:t>
        <w:tab/>
        <w:t>7.2.3</w:t>
        <w:tab/>
        <w:t>–</w:t>
        <w:tab/>
        <w:t>95th</w:t>
        <w:tab/>
        <w:t>Percentile</w:t>
        <w:tab/>
        <w:t>Latency</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33"/>
        </w:rPr>
      </w:pPr>
    </w:p>
    <w:p>
      <w:pPr>
        <w:spacing w:before="0"/>
        <w:ind w:left="1133" w:right="0" w:firstLine="0"/>
        <w:jc w:val="left"/>
        <w:rPr>
          <w:b/>
          <w:sz w:val="24"/>
        </w:rPr>
      </w:pPr>
      <w:r>
        <w:rPr>
          <w:b/>
          <w:sz w:val="24"/>
        </w:rPr>
        <w:t>Figure 24: 7.2.3 – Mean IPG</w:t>
      </w:r>
    </w:p>
    <w:p>
      <w:pPr>
        <w:spacing w:after="0"/>
        <w:jc w:val="left"/>
        <w:rPr>
          <w:sz w:val="24"/>
        </w:rPr>
        <w:sectPr>
          <w:headerReference w:type="default" r:id="rId257"/>
          <w:pgSz w:w="11910" w:h="16850"/>
          <w:pgMar w:header="852" w:footer="979" w:top="1040" w:bottom="1160" w:left="0" w:right="0"/>
        </w:sectPr>
      </w:pPr>
    </w:p>
    <w:p>
      <w:pPr>
        <w:pStyle w:val="BodyText"/>
        <w:rPr>
          <w:b/>
        </w:rPr>
      </w:pPr>
      <w:r>
        <w:rPr/>
        <w:pict>
          <v:shape style="position:absolute;margin-left:94.540001pt;margin-top:196.087509pt;width:12pt;height:79.150pt;mso-position-horizontal-relative:page;mso-position-vertical-relative:page;z-index:6064" type="#_x0000_t202" filled="false" stroked="false">
            <v:textbox inset="0,0,0,0" style="layout-flow:vertical;mso-layout-flow-alt:bottom-to-top">
              <w:txbxContent>
                <w:p>
                  <w:pPr>
                    <w:pStyle w:val="BodyText"/>
                    <w:spacing w:line="223" w:lineRule="exact"/>
                    <w:ind w:left="20" w:right="-424"/>
                    <w:rPr>
                      <w:rFonts w:ascii="Calibri"/>
                    </w:rPr>
                  </w:pPr>
                  <w:r>
                    <w:rPr>
                      <w:rFonts w:ascii="Calibri"/>
                      <w:color w:val="585858"/>
                      <w:w w:val="99"/>
                    </w:rPr>
                    <w:t>M</w:t>
                  </w:r>
                  <w:r>
                    <w:rPr>
                      <w:rFonts w:ascii="Calibri"/>
                      <w:color w:val="585858"/>
                      <w:spacing w:val="-1"/>
                      <w:w w:val="99"/>
                    </w:rPr>
                    <w:t>e</w:t>
                  </w:r>
                  <w:r>
                    <w:rPr>
                      <w:rFonts w:ascii="Calibri"/>
                      <w:color w:val="585858"/>
                      <w:w w:val="99"/>
                    </w:rPr>
                    <w:t>an</w:t>
                  </w:r>
                  <w:r>
                    <w:rPr>
                      <w:rFonts w:ascii="Calibri"/>
                      <w:color w:val="585858"/>
                      <w:spacing w:val="1"/>
                    </w:rPr>
                    <w:t> </w:t>
                  </w:r>
                  <w:r>
                    <w:rPr>
                      <w:rFonts w:ascii="Calibri"/>
                      <w:color w:val="585858"/>
                      <w:w w:val="99"/>
                    </w:rPr>
                    <w:t>Lat</w:t>
                  </w:r>
                  <w:r>
                    <w:rPr>
                      <w:rFonts w:ascii="Calibri"/>
                      <w:color w:val="585858"/>
                      <w:spacing w:val="-1"/>
                      <w:w w:val="99"/>
                    </w:rPr>
                    <w:t>e</w:t>
                  </w:r>
                  <w:r>
                    <w:rPr>
                      <w:rFonts w:ascii="Calibri"/>
                      <w:color w:val="585858"/>
                      <w:w w:val="99"/>
                    </w:rPr>
                    <w:t>ncy</w:t>
                  </w:r>
                  <w:r>
                    <w:rPr>
                      <w:rFonts w:ascii="Calibri"/>
                      <w:color w:val="585858"/>
                    </w:rPr>
                    <w:t> </w:t>
                  </w:r>
                  <w:r>
                    <w:rPr>
                      <w:rFonts w:ascii="Calibri"/>
                      <w:color w:val="585858"/>
                      <w:spacing w:val="-1"/>
                      <w:w w:val="99"/>
                    </w:rPr>
                    <w:t>(m</w:t>
                  </w:r>
                  <w:r>
                    <w:rPr>
                      <w:rFonts w:ascii="Calibri"/>
                      <w:color w:val="585858"/>
                      <w:spacing w:val="-2"/>
                      <w:w w:val="99"/>
                    </w:rPr>
                    <w:t>s</w:t>
                  </w:r>
                  <w:r>
                    <w:rPr>
                      <w:rFonts w:ascii="Calibri"/>
                      <w:color w:val="585858"/>
                      <w:w w:val="99"/>
                    </w:rPr>
                    <w:t>)</w:t>
                  </w:r>
                </w:p>
              </w:txbxContent>
            </v:textbox>
            <w10:wrap type="none"/>
          </v:shape>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after="1"/>
        <w:rPr>
          <w:b/>
          <w:sz w:val="14"/>
        </w:rPr>
      </w:pPr>
    </w:p>
    <w:tbl>
      <w:tblPr>
        <w:tblW w:w="0" w:type="auto"/>
        <w:jc w:val="left"/>
        <w:tblInd w:w="260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217"/>
        <w:gridCol w:w="216"/>
        <w:gridCol w:w="218"/>
        <w:gridCol w:w="216"/>
        <w:gridCol w:w="218"/>
        <w:gridCol w:w="216"/>
        <w:gridCol w:w="218"/>
        <w:gridCol w:w="216"/>
        <w:gridCol w:w="216"/>
        <w:gridCol w:w="218"/>
        <w:gridCol w:w="216"/>
        <w:gridCol w:w="218"/>
        <w:gridCol w:w="216"/>
        <w:gridCol w:w="218"/>
        <w:gridCol w:w="216"/>
        <w:gridCol w:w="216"/>
        <w:gridCol w:w="218"/>
        <w:gridCol w:w="216"/>
        <w:gridCol w:w="218"/>
        <w:gridCol w:w="216"/>
        <w:gridCol w:w="218"/>
        <w:gridCol w:w="216"/>
        <w:gridCol w:w="216"/>
        <w:gridCol w:w="218"/>
        <w:gridCol w:w="216"/>
        <w:gridCol w:w="218"/>
        <w:gridCol w:w="216"/>
        <w:gridCol w:w="218"/>
        <w:gridCol w:w="216"/>
        <w:gridCol w:w="216"/>
        <w:gridCol w:w="218"/>
        <w:gridCol w:w="216"/>
        <w:gridCol w:w="218"/>
        <w:gridCol w:w="216"/>
      </w:tblGrid>
      <w:tr>
        <w:trPr>
          <w:trHeight w:val="95" w:hRule="exact"/>
        </w:trPr>
        <w:tc>
          <w:tcPr>
            <w:tcW w:w="217" w:type="dxa"/>
            <w:tcBorders>
              <w:bottom w:val="single" w:sz="6" w:space="0" w:color="F1F1F1"/>
              <w:right w:val="single" w:sz="6" w:space="0" w:color="F1F1F1"/>
            </w:tcBorders>
          </w:tcPr>
          <w:p>
            <w:pPr/>
          </w:p>
        </w:tc>
        <w:tc>
          <w:tcPr>
            <w:tcW w:w="216" w:type="dxa"/>
            <w:tcBorders>
              <w:left w:val="single" w:sz="6" w:space="0" w:color="F1F1F1"/>
              <w:bottom w:val="single" w:sz="6" w:space="0" w:color="F1F1F1"/>
            </w:tcBorders>
          </w:tcPr>
          <w:p>
            <w:pPr/>
          </w:p>
        </w:tc>
        <w:tc>
          <w:tcPr>
            <w:tcW w:w="218" w:type="dxa"/>
            <w:tcBorders>
              <w:bottom w:val="single" w:sz="6" w:space="0" w:color="F1F1F1"/>
              <w:right w:val="single" w:sz="6" w:space="0" w:color="F1F1F1"/>
            </w:tcBorders>
          </w:tcPr>
          <w:p>
            <w:pPr/>
          </w:p>
        </w:tc>
        <w:tc>
          <w:tcPr>
            <w:tcW w:w="216" w:type="dxa"/>
            <w:tcBorders>
              <w:left w:val="single" w:sz="6" w:space="0" w:color="F1F1F1"/>
              <w:bottom w:val="single" w:sz="6" w:space="0" w:color="F1F1F1"/>
            </w:tcBorders>
          </w:tcPr>
          <w:p>
            <w:pPr/>
          </w:p>
        </w:tc>
        <w:tc>
          <w:tcPr>
            <w:tcW w:w="218" w:type="dxa"/>
            <w:tcBorders>
              <w:bottom w:val="single" w:sz="6" w:space="0" w:color="F1F1F1"/>
              <w:right w:val="single" w:sz="6" w:space="0" w:color="F1F1F1"/>
            </w:tcBorders>
          </w:tcPr>
          <w:p>
            <w:pPr/>
          </w:p>
        </w:tc>
        <w:tc>
          <w:tcPr>
            <w:tcW w:w="216" w:type="dxa"/>
            <w:tcBorders>
              <w:left w:val="single" w:sz="6" w:space="0" w:color="F1F1F1"/>
              <w:bottom w:val="single" w:sz="6" w:space="0" w:color="F1F1F1"/>
            </w:tcBorders>
          </w:tcPr>
          <w:p>
            <w:pPr/>
          </w:p>
        </w:tc>
        <w:tc>
          <w:tcPr>
            <w:tcW w:w="218" w:type="dxa"/>
            <w:tcBorders>
              <w:bottom w:val="single" w:sz="6" w:space="0" w:color="F1F1F1"/>
              <w:right w:val="single" w:sz="6" w:space="0" w:color="F1F1F1"/>
            </w:tcBorders>
          </w:tcPr>
          <w:p>
            <w:pPr/>
          </w:p>
        </w:tc>
        <w:tc>
          <w:tcPr>
            <w:tcW w:w="216" w:type="dxa"/>
            <w:tcBorders>
              <w:left w:val="single" w:sz="6" w:space="0" w:color="F1F1F1"/>
              <w:bottom w:val="single" w:sz="6" w:space="0" w:color="F1F1F1"/>
            </w:tcBorders>
          </w:tcPr>
          <w:p>
            <w:pPr/>
          </w:p>
        </w:tc>
        <w:tc>
          <w:tcPr>
            <w:tcW w:w="216" w:type="dxa"/>
            <w:tcBorders>
              <w:bottom w:val="single" w:sz="6" w:space="0" w:color="F1F1F1"/>
              <w:right w:val="single" w:sz="6" w:space="0" w:color="F1F1F1"/>
            </w:tcBorders>
          </w:tcPr>
          <w:p>
            <w:pPr/>
          </w:p>
        </w:tc>
        <w:tc>
          <w:tcPr>
            <w:tcW w:w="218" w:type="dxa"/>
            <w:tcBorders>
              <w:left w:val="single" w:sz="6" w:space="0" w:color="F1F1F1"/>
              <w:bottom w:val="single" w:sz="6" w:space="0" w:color="F1F1F1"/>
            </w:tcBorders>
          </w:tcPr>
          <w:p>
            <w:pPr/>
          </w:p>
        </w:tc>
        <w:tc>
          <w:tcPr>
            <w:tcW w:w="216" w:type="dxa"/>
            <w:tcBorders>
              <w:bottom w:val="single" w:sz="6" w:space="0" w:color="F1F1F1"/>
              <w:right w:val="single" w:sz="6" w:space="0" w:color="F1F1F1"/>
            </w:tcBorders>
          </w:tcPr>
          <w:p>
            <w:pPr/>
          </w:p>
        </w:tc>
        <w:tc>
          <w:tcPr>
            <w:tcW w:w="218" w:type="dxa"/>
            <w:tcBorders>
              <w:left w:val="single" w:sz="6" w:space="0" w:color="F1F1F1"/>
              <w:bottom w:val="single" w:sz="6" w:space="0" w:color="F1F1F1"/>
            </w:tcBorders>
          </w:tcPr>
          <w:p>
            <w:pPr/>
          </w:p>
        </w:tc>
        <w:tc>
          <w:tcPr>
            <w:tcW w:w="216" w:type="dxa"/>
            <w:tcBorders>
              <w:bottom w:val="single" w:sz="6" w:space="0" w:color="F1F1F1"/>
              <w:right w:val="single" w:sz="6" w:space="0" w:color="F1F1F1"/>
            </w:tcBorders>
          </w:tcPr>
          <w:p>
            <w:pPr/>
          </w:p>
        </w:tc>
        <w:tc>
          <w:tcPr>
            <w:tcW w:w="218" w:type="dxa"/>
            <w:tcBorders>
              <w:left w:val="single" w:sz="6" w:space="0" w:color="F1F1F1"/>
              <w:bottom w:val="single" w:sz="6" w:space="0" w:color="F1F1F1"/>
            </w:tcBorders>
          </w:tcPr>
          <w:p>
            <w:pPr/>
          </w:p>
        </w:tc>
        <w:tc>
          <w:tcPr>
            <w:tcW w:w="216" w:type="dxa"/>
            <w:tcBorders>
              <w:bottom w:val="single" w:sz="6" w:space="0" w:color="F1F1F1"/>
              <w:right w:val="single" w:sz="6" w:space="0" w:color="F1F1F1"/>
            </w:tcBorders>
          </w:tcPr>
          <w:p>
            <w:pPr/>
          </w:p>
        </w:tc>
        <w:tc>
          <w:tcPr>
            <w:tcW w:w="216" w:type="dxa"/>
            <w:tcBorders>
              <w:left w:val="single" w:sz="6" w:space="0" w:color="F1F1F1"/>
              <w:bottom w:val="single" w:sz="6" w:space="0" w:color="F1F1F1"/>
            </w:tcBorders>
          </w:tcPr>
          <w:p>
            <w:pPr/>
          </w:p>
        </w:tc>
        <w:tc>
          <w:tcPr>
            <w:tcW w:w="218" w:type="dxa"/>
            <w:tcBorders>
              <w:bottom w:val="single" w:sz="6" w:space="0" w:color="F1F1F1"/>
              <w:right w:val="single" w:sz="6" w:space="0" w:color="F1F1F1"/>
            </w:tcBorders>
          </w:tcPr>
          <w:p>
            <w:pPr/>
          </w:p>
        </w:tc>
        <w:tc>
          <w:tcPr>
            <w:tcW w:w="216" w:type="dxa"/>
            <w:tcBorders>
              <w:left w:val="single" w:sz="6" w:space="0" w:color="F1F1F1"/>
              <w:bottom w:val="single" w:sz="6" w:space="0" w:color="F1F1F1"/>
            </w:tcBorders>
          </w:tcPr>
          <w:p>
            <w:pPr/>
          </w:p>
        </w:tc>
        <w:tc>
          <w:tcPr>
            <w:tcW w:w="218" w:type="dxa"/>
            <w:tcBorders>
              <w:bottom w:val="single" w:sz="6" w:space="0" w:color="F1F1F1"/>
              <w:right w:val="single" w:sz="6" w:space="0" w:color="F1F1F1"/>
            </w:tcBorders>
          </w:tcPr>
          <w:p>
            <w:pPr/>
          </w:p>
        </w:tc>
        <w:tc>
          <w:tcPr>
            <w:tcW w:w="216" w:type="dxa"/>
            <w:tcBorders>
              <w:left w:val="single" w:sz="6" w:space="0" w:color="F1F1F1"/>
              <w:bottom w:val="single" w:sz="6" w:space="0" w:color="F1F1F1"/>
            </w:tcBorders>
          </w:tcPr>
          <w:p>
            <w:pPr/>
          </w:p>
        </w:tc>
        <w:tc>
          <w:tcPr>
            <w:tcW w:w="218" w:type="dxa"/>
            <w:tcBorders>
              <w:bottom w:val="single" w:sz="6" w:space="0" w:color="F1F1F1"/>
              <w:right w:val="single" w:sz="6" w:space="0" w:color="F1F1F1"/>
            </w:tcBorders>
          </w:tcPr>
          <w:p>
            <w:pPr/>
          </w:p>
        </w:tc>
        <w:tc>
          <w:tcPr>
            <w:tcW w:w="216" w:type="dxa"/>
            <w:tcBorders>
              <w:left w:val="single" w:sz="6" w:space="0" w:color="F1F1F1"/>
              <w:bottom w:val="single" w:sz="6" w:space="0" w:color="F1F1F1"/>
            </w:tcBorders>
          </w:tcPr>
          <w:p>
            <w:pPr/>
          </w:p>
        </w:tc>
        <w:tc>
          <w:tcPr>
            <w:tcW w:w="216" w:type="dxa"/>
            <w:tcBorders>
              <w:bottom w:val="single" w:sz="6" w:space="0" w:color="F1F1F1"/>
              <w:right w:val="single" w:sz="6" w:space="0" w:color="F1F1F1"/>
            </w:tcBorders>
          </w:tcPr>
          <w:p>
            <w:pPr/>
          </w:p>
        </w:tc>
        <w:tc>
          <w:tcPr>
            <w:tcW w:w="218" w:type="dxa"/>
            <w:tcBorders>
              <w:left w:val="single" w:sz="6" w:space="0" w:color="F1F1F1"/>
              <w:bottom w:val="single" w:sz="6" w:space="0" w:color="F1F1F1"/>
            </w:tcBorders>
          </w:tcPr>
          <w:p>
            <w:pPr/>
          </w:p>
        </w:tc>
        <w:tc>
          <w:tcPr>
            <w:tcW w:w="216" w:type="dxa"/>
            <w:tcBorders>
              <w:bottom w:val="single" w:sz="6" w:space="0" w:color="F1F1F1"/>
              <w:right w:val="single" w:sz="6" w:space="0" w:color="F1F1F1"/>
            </w:tcBorders>
          </w:tcPr>
          <w:p>
            <w:pPr/>
          </w:p>
        </w:tc>
        <w:tc>
          <w:tcPr>
            <w:tcW w:w="218" w:type="dxa"/>
            <w:tcBorders>
              <w:left w:val="single" w:sz="6" w:space="0" w:color="F1F1F1"/>
              <w:bottom w:val="single" w:sz="6" w:space="0" w:color="F1F1F1"/>
            </w:tcBorders>
          </w:tcPr>
          <w:p>
            <w:pPr/>
          </w:p>
        </w:tc>
        <w:tc>
          <w:tcPr>
            <w:tcW w:w="216" w:type="dxa"/>
            <w:tcBorders>
              <w:bottom w:val="single" w:sz="6" w:space="0" w:color="F1F1F1"/>
              <w:right w:val="single" w:sz="6" w:space="0" w:color="F1F1F1"/>
            </w:tcBorders>
          </w:tcPr>
          <w:p>
            <w:pPr/>
          </w:p>
        </w:tc>
        <w:tc>
          <w:tcPr>
            <w:tcW w:w="218" w:type="dxa"/>
            <w:tcBorders>
              <w:left w:val="single" w:sz="6" w:space="0" w:color="F1F1F1"/>
              <w:bottom w:val="single" w:sz="6" w:space="0" w:color="F1F1F1"/>
            </w:tcBorders>
          </w:tcPr>
          <w:p>
            <w:pPr/>
          </w:p>
        </w:tc>
        <w:tc>
          <w:tcPr>
            <w:tcW w:w="216" w:type="dxa"/>
            <w:tcBorders>
              <w:bottom w:val="single" w:sz="6" w:space="0" w:color="F1F1F1"/>
              <w:right w:val="single" w:sz="6" w:space="0" w:color="F1F1F1"/>
            </w:tcBorders>
          </w:tcPr>
          <w:p>
            <w:pPr/>
          </w:p>
        </w:tc>
        <w:tc>
          <w:tcPr>
            <w:tcW w:w="216" w:type="dxa"/>
            <w:tcBorders>
              <w:left w:val="single" w:sz="6" w:space="0" w:color="F1F1F1"/>
              <w:bottom w:val="single" w:sz="6" w:space="0" w:color="F1F1F1"/>
            </w:tcBorders>
          </w:tcPr>
          <w:p>
            <w:pPr/>
          </w:p>
        </w:tc>
        <w:tc>
          <w:tcPr>
            <w:tcW w:w="218" w:type="dxa"/>
            <w:tcBorders>
              <w:bottom w:val="single" w:sz="6" w:space="0" w:color="F1F1F1"/>
              <w:right w:val="single" w:sz="6" w:space="0" w:color="F1F1F1"/>
            </w:tcBorders>
          </w:tcPr>
          <w:p>
            <w:pPr/>
          </w:p>
        </w:tc>
        <w:tc>
          <w:tcPr>
            <w:tcW w:w="216" w:type="dxa"/>
            <w:tcBorders>
              <w:left w:val="single" w:sz="6" w:space="0" w:color="F1F1F1"/>
              <w:bottom w:val="single" w:sz="6" w:space="0" w:color="F1F1F1"/>
            </w:tcBorders>
          </w:tcPr>
          <w:p>
            <w:pPr/>
          </w:p>
        </w:tc>
        <w:tc>
          <w:tcPr>
            <w:tcW w:w="218" w:type="dxa"/>
            <w:tcBorders>
              <w:bottom w:val="single" w:sz="6" w:space="0" w:color="F1F1F1"/>
              <w:right w:val="single" w:sz="6" w:space="0" w:color="F1F1F1"/>
            </w:tcBorders>
          </w:tcPr>
          <w:p>
            <w:pPr/>
          </w:p>
        </w:tc>
        <w:tc>
          <w:tcPr>
            <w:tcW w:w="216" w:type="dxa"/>
            <w:tcBorders>
              <w:left w:val="single" w:sz="6" w:space="0" w:color="F1F1F1"/>
              <w:bottom w:val="single" w:sz="6" w:space="0" w:color="F1F1F1"/>
            </w:tcBorders>
          </w:tcPr>
          <w:p>
            <w:pPr/>
          </w:p>
        </w:tc>
      </w:tr>
      <w:tr>
        <w:trPr>
          <w:trHeight w:val="108" w:hRule="exact"/>
        </w:trPr>
        <w:tc>
          <w:tcPr>
            <w:tcW w:w="217"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Style w:val="TableParagraph"/>
              <w:spacing w:line="133" w:lineRule="exact"/>
              <w:ind w:left="53"/>
              <w:rPr>
                <w:rFonts w:ascii="Calibri"/>
                <w:sz w:val="18"/>
              </w:rPr>
            </w:pPr>
            <w:r>
              <w:rPr>
                <w:rFonts w:ascii="Calibri"/>
                <w:color w:val="585858"/>
                <w:spacing w:val="-1"/>
                <w:sz w:val="18"/>
              </w:rPr>
              <w:t>D</w:t>
            </w:r>
          </w:p>
        </w:tc>
        <w:tc>
          <w:tcPr>
            <w:tcW w:w="218" w:type="dxa"/>
            <w:tcBorders>
              <w:top w:val="single" w:sz="6" w:space="0" w:color="F1F1F1"/>
              <w:left w:val="single" w:sz="6" w:space="0" w:color="F1F1F1"/>
              <w:bottom w:val="single" w:sz="6" w:space="0" w:color="F1F1F1"/>
            </w:tcBorders>
          </w:tcPr>
          <w:p>
            <w:pPr>
              <w:pStyle w:val="TableParagraph"/>
              <w:spacing w:line="133" w:lineRule="exact"/>
              <w:ind w:left="-52" w:right="-21"/>
              <w:jc w:val="right"/>
              <w:rPr>
                <w:rFonts w:ascii="Calibri"/>
                <w:sz w:val="18"/>
              </w:rPr>
            </w:pPr>
            <w:r>
              <w:rPr>
                <w:rFonts w:ascii="Calibri"/>
                <w:color w:val="585858"/>
                <w:spacing w:val="-1"/>
                <w:sz w:val="18"/>
              </w:rPr>
              <w:t>SRC</w:t>
            </w: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r>
      <w:tr>
        <w:trPr>
          <w:trHeight w:val="122" w:hRule="exact"/>
        </w:trPr>
        <w:tc>
          <w:tcPr>
            <w:tcW w:w="217"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r>
      <w:tr>
        <w:trPr>
          <w:trHeight w:val="142" w:hRule="exact"/>
        </w:trPr>
        <w:tc>
          <w:tcPr>
            <w:tcW w:w="217"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r>
      <w:tr>
        <w:trPr>
          <w:trHeight w:val="168" w:hRule="exact"/>
        </w:trPr>
        <w:tc>
          <w:tcPr>
            <w:tcW w:w="217"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Style w:val="TableParagraph"/>
              <w:spacing w:line="149" w:lineRule="exact"/>
              <w:ind w:left="53" w:right="-51"/>
              <w:rPr>
                <w:rFonts w:ascii="Calibri"/>
                <w:sz w:val="18"/>
              </w:rPr>
            </w:pPr>
            <w:r>
              <w:rPr>
                <w:rFonts w:ascii="Calibri"/>
                <w:color w:val="585858"/>
                <w:spacing w:val="-1"/>
                <w:sz w:val="18"/>
              </w:rPr>
              <w:t>CV</w:t>
            </w:r>
          </w:p>
        </w:tc>
        <w:tc>
          <w:tcPr>
            <w:tcW w:w="218" w:type="dxa"/>
            <w:tcBorders>
              <w:top w:val="single" w:sz="6" w:space="0" w:color="F1F1F1"/>
              <w:left w:val="single" w:sz="6" w:space="0" w:color="F1F1F1"/>
              <w:bottom w:val="single" w:sz="6" w:space="0" w:color="F1F1F1"/>
            </w:tcBorders>
          </w:tcPr>
          <w:p>
            <w:pPr>
              <w:pStyle w:val="TableParagraph"/>
              <w:spacing w:line="149" w:lineRule="exact"/>
              <w:ind w:left="-52" w:right="-18"/>
              <w:jc w:val="right"/>
              <w:rPr>
                <w:rFonts w:ascii="Calibri"/>
                <w:sz w:val="18"/>
              </w:rPr>
            </w:pPr>
            <w:r>
              <w:rPr>
                <w:rFonts w:ascii="Calibri"/>
                <w:color w:val="585858"/>
                <w:sz w:val="18"/>
              </w:rPr>
              <w:t>2X</w:t>
            </w:r>
          </w:p>
        </w:tc>
        <w:tc>
          <w:tcPr>
            <w:tcW w:w="216" w:type="dxa"/>
            <w:tcBorders>
              <w:top w:val="single" w:sz="6" w:space="0" w:color="F1F1F1"/>
              <w:bottom w:val="single" w:sz="6" w:space="0" w:color="F1F1F1"/>
              <w:right w:val="single" w:sz="6" w:space="0" w:color="F1F1F1"/>
            </w:tcBorders>
          </w:tcPr>
          <w:p>
            <w:pPr>
              <w:pStyle w:val="TableParagraph"/>
              <w:spacing w:line="149" w:lineRule="exact"/>
              <w:ind w:left="0" w:right="-51"/>
              <w:jc w:val="center"/>
              <w:rPr>
                <w:rFonts w:ascii="Calibri"/>
                <w:sz w:val="18"/>
              </w:rPr>
            </w:pPr>
            <w:r>
              <w:rPr>
                <w:rFonts w:ascii="Calibri"/>
                <w:color w:val="585858"/>
                <w:sz w:val="18"/>
              </w:rPr>
              <w:t>_W</w:t>
            </w:r>
          </w:p>
        </w:tc>
        <w:tc>
          <w:tcPr>
            <w:tcW w:w="216" w:type="dxa"/>
            <w:tcBorders>
              <w:top w:val="single" w:sz="6" w:space="0" w:color="F1F1F1"/>
              <w:left w:val="single" w:sz="6" w:space="0" w:color="F1F1F1"/>
              <w:bottom w:val="single" w:sz="6" w:space="0" w:color="F1F1F1"/>
            </w:tcBorders>
          </w:tcPr>
          <w:p>
            <w:pPr>
              <w:pStyle w:val="TableParagraph"/>
              <w:spacing w:line="149" w:lineRule="exact"/>
              <w:ind w:left="36" w:right="-31"/>
              <w:rPr>
                <w:rFonts w:ascii="Calibri"/>
                <w:sz w:val="18"/>
              </w:rPr>
            </w:pPr>
            <w:r>
              <w:rPr>
                <w:rFonts w:ascii="Calibri"/>
                <w:color w:val="585858"/>
                <w:spacing w:val="-1"/>
                <w:sz w:val="18"/>
              </w:rPr>
              <w:t>ith</w:t>
            </w:r>
          </w:p>
        </w:tc>
        <w:tc>
          <w:tcPr>
            <w:tcW w:w="218" w:type="dxa"/>
            <w:tcBorders>
              <w:top w:val="single" w:sz="6" w:space="0" w:color="F1F1F1"/>
              <w:bottom w:val="single" w:sz="6" w:space="0" w:color="F1F1F1"/>
              <w:right w:val="single" w:sz="6" w:space="0" w:color="F1F1F1"/>
            </w:tcBorders>
          </w:tcPr>
          <w:p>
            <w:pPr>
              <w:pStyle w:val="TableParagraph"/>
              <w:spacing w:line="149" w:lineRule="exact"/>
              <w:ind w:left="14" w:right="-15"/>
              <w:rPr>
                <w:rFonts w:ascii="Calibri"/>
                <w:sz w:val="18"/>
              </w:rPr>
            </w:pPr>
            <w:r>
              <w:rPr>
                <w:rFonts w:ascii="Calibri"/>
                <w:color w:val="585858"/>
                <w:sz w:val="18"/>
              </w:rPr>
              <w:t>_H</w:t>
            </w:r>
          </w:p>
        </w:tc>
        <w:tc>
          <w:tcPr>
            <w:tcW w:w="216" w:type="dxa"/>
            <w:tcBorders>
              <w:top w:val="single" w:sz="6" w:space="0" w:color="F1F1F1"/>
              <w:left w:val="single" w:sz="6" w:space="0" w:color="F1F1F1"/>
              <w:bottom w:val="single" w:sz="6" w:space="0" w:color="F1F1F1"/>
            </w:tcBorders>
          </w:tcPr>
          <w:p>
            <w:pPr>
              <w:pStyle w:val="TableParagraph"/>
              <w:spacing w:line="149" w:lineRule="exact"/>
              <w:ind w:left="-3"/>
              <w:rPr>
                <w:rFonts w:ascii="Calibri"/>
                <w:sz w:val="18"/>
              </w:rPr>
            </w:pPr>
            <w:r>
              <w:rPr>
                <w:rFonts w:ascii="Calibri"/>
                <w:color w:val="585858"/>
                <w:sz w:val="18"/>
              </w:rPr>
              <w:t>AR</w:t>
            </w:r>
          </w:p>
        </w:tc>
        <w:tc>
          <w:tcPr>
            <w:tcW w:w="218" w:type="dxa"/>
            <w:tcBorders>
              <w:top w:val="single" w:sz="6" w:space="0" w:color="F1F1F1"/>
              <w:bottom w:val="single" w:sz="6" w:space="0" w:color="F1F1F1"/>
              <w:right w:val="single" w:sz="6" w:space="0" w:color="F1F1F1"/>
            </w:tcBorders>
          </w:tcPr>
          <w:p>
            <w:pPr>
              <w:pStyle w:val="TableParagraph"/>
              <w:spacing w:line="149" w:lineRule="exact"/>
              <w:ind w:left="-17"/>
              <w:rPr>
                <w:rFonts w:ascii="Calibri"/>
                <w:sz w:val="18"/>
              </w:rPr>
            </w:pPr>
            <w:r>
              <w:rPr>
                <w:rFonts w:ascii="Calibri"/>
                <w:color w:val="585858"/>
                <w:sz w:val="18"/>
              </w:rPr>
              <w:t>Q</w:t>
            </w:r>
          </w:p>
        </w:tc>
        <w:tc>
          <w:tcPr>
            <w:tcW w:w="216" w:type="dxa"/>
            <w:tcBorders>
              <w:top w:val="single" w:sz="6" w:space="0" w:color="F1F1F1"/>
              <w:left w:val="single" w:sz="6" w:space="0" w:color="F1F1F1"/>
              <w:bottom w:val="single" w:sz="6" w:space="0" w:color="F1F1F1"/>
            </w:tcBorders>
          </w:tcPr>
          <w:p>
            <w:pPr/>
          </w:p>
        </w:tc>
      </w:tr>
      <w:tr>
        <w:trPr>
          <w:trHeight w:val="204" w:hRule="exact"/>
        </w:trPr>
        <w:tc>
          <w:tcPr>
            <w:tcW w:w="217"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r>
      <w:tr>
        <w:trPr>
          <w:trHeight w:val="262" w:hRule="exact"/>
        </w:trPr>
        <w:tc>
          <w:tcPr>
            <w:tcW w:w="217"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Style w:val="TableParagraph"/>
              <w:spacing w:line="132" w:lineRule="exact"/>
              <w:ind w:left="53" w:right="-51"/>
              <w:rPr>
                <w:rFonts w:ascii="Calibri"/>
                <w:sz w:val="18"/>
              </w:rPr>
            </w:pPr>
            <w:r>
              <w:rPr>
                <w:rFonts w:ascii="Calibri"/>
                <w:color w:val="585858"/>
                <w:spacing w:val="-1"/>
                <w:sz w:val="18"/>
              </w:rPr>
              <w:t>CV</w:t>
            </w:r>
          </w:p>
        </w:tc>
        <w:tc>
          <w:tcPr>
            <w:tcW w:w="218" w:type="dxa"/>
            <w:tcBorders>
              <w:top w:val="single" w:sz="6" w:space="0" w:color="F1F1F1"/>
              <w:left w:val="single" w:sz="6" w:space="0" w:color="F1F1F1"/>
              <w:bottom w:val="single" w:sz="6" w:space="0" w:color="F1F1F1"/>
            </w:tcBorders>
          </w:tcPr>
          <w:p>
            <w:pPr>
              <w:pStyle w:val="TableParagraph"/>
              <w:spacing w:line="132" w:lineRule="exact"/>
              <w:ind w:left="-52" w:right="-18"/>
              <w:jc w:val="right"/>
              <w:rPr>
                <w:rFonts w:ascii="Calibri"/>
                <w:sz w:val="18"/>
              </w:rPr>
            </w:pPr>
            <w:r>
              <w:rPr>
                <w:rFonts w:ascii="Calibri"/>
                <w:color w:val="585858"/>
                <w:sz w:val="18"/>
              </w:rPr>
              <w:t>2X</w:t>
            </w:r>
          </w:p>
        </w:tc>
        <w:tc>
          <w:tcPr>
            <w:tcW w:w="216" w:type="dxa"/>
            <w:tcBorders>
              <w:top w:val="single" w:sz="6" w:space="0" w:color="F1F1F1"/>
              <w:bottom w:val="single" w:sz="6" w:space="0" w:color="F1F1F1"/>
              <w:right w:val="single" w:sz="6" w:space="0" w:color="F1F1F1"/>
            </w:tcBorders>
          </w:tcPr>
          <w:p>
            <w:pPr>
              <w:pStyle w:val="TableParagraph"/>
              <w:spacing w:line="132" w:lineRule="exact"/>
              <w:ind w:left="0" w:right="-7"/>
              <w:jc w:val="center"/>
              <w:rPr>
                <w:rFonts w:ascii="Calibri"/>
                <w:sz w:val="18"/>
              </w:rPr>
            </w:pPr>
            <w:r>
              <w:rPr>
                <w:rFonts w:ascii="Calibri"/>
                <w:color w:val="585858"/>
                <w:sz w:val="18"/>
              </w:rPr>
              <w:t>_N</w:t>
            </w:r>
          </w:p>
        </w:tc>
        <w:tc>
          <w:tcPr>
            <w:tcW w:w="216" w:type="dxa"/>
            <w:tcBorders>
              <w:top w:val="single" w:sz="6" w:space="0" w:color="F1F1F1"/>
              <w:left w:val="single" w:sz="6" w:space="0" w:color="F1F1F1"/>
              <w:bottom w:val="single" w:sz="6" w:space="0" w:color="F1F1F1"/>
            </w:tcBorders>
          </w:tcPr>
          <w:p>
            <w:pPr>
              <w:pStyle w:val="TableParagraph"/>
              <w:spacing w:line="132" w:lineRule="exact"/>
              <w:ind w:left="-10"/>
              <w:rPr>
                <w:rFonts w:ascii="Calibri"/>
                <w:sz w:val="18"/>
              </w:rPr>
            </w:pPr>
            <w:r>
              <w:rPr>
                <w:rFonts w:ascii="Calibri"/>
                <w:color w:val="585858"/>
                <w:sz w:val="18"/>
              </w:rPr>
              <w:t>o_</w:t>
            </w:r>
          </w:p>
        </w:tc>
        <w:tc>
          <w:tcPr>
            <w:tcW w:w="218" w:type="dxa"/>
            <w:tcBorders>
              <w:top w:val="single" w:sz="6" w:space="0" w:color="F1F1F1"/>
              <w:bottom w:val="single" w:sz="6" w:space="0" w:color="F1F1F1"/>
              <w:right w:val="single" w:sz="6" w:space="0" w:color="F1F1F1"/>
            </w:tcBorders>
          </w:tcPr>
          <w:p>
            <w:pPr>
              <w:pStyle w:val="TableParagraph"/>
              <w:spacing w:line="132" w:lineRule="exact"/>
              <w:ind w:left="-41"/>
              <w:rPr>
                <w:rFonts w:ascii="Calibri"/>
                <w:sz w:val="18"/>
              </w:rPr>
            </w:pPr>
            <w:r>
              <w:rPr>
                <w:rFonts w:ascii="Calibri"/>
                <w:color w:val="585858"/>
                <w:sz w:val="18"/>
              </w:rPr>
              <w:t>HA</w:t>
            </w:r>
          </w:p>
        </w:tc>
        <w:tc>
          <w:tcPr>
            <w:tcW w:w="216" w:type="dxa"/>
            <w:tcBorders>
              <w:top w:val="single" w:sz="6" w:space="0" w:color="F1F1F1"/>
              <w:left w:val="single" w:sz="6" w:space="0" w:color="F1F1F1"/>
              <w:bottom w:val="single" w:sz="6" w:space="0" w:color="F1F1F1"/>
            </w:tcBorders>
          </w:tcPr>
          <w:p>
            <w:pPr>
              <w:pStyle w:val="TableParagraph"/>
              <w:spacing w:line="132" w:lineRule="exact"/>
              <w:ind w:left="-44"/>
              <w:rPr>
                <w:rFonts w:ascii="Calibri"/>
                <w:sz w:val="18"/>
              </w:rPr>
            </w:pPr>
            <w:r>
              <w:rPr>
                <w:rFonts w:ascii="Calibri"/>
                <w:color w:val="585858"/>
                <w:sz w:val="18"/>
              </w:rPr>
              <w:t>RQ</w:t>
            </w: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r>
      <w:tr>
        <w:trPr>
          <w:trHeight w:val="372" w:hRule="exact"/>
        </w:trPr>
        <w:tc>
          <w:tcPr>
            <w:tcW w:w="217"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r>
      <w:tr>
        <w:trPr>
          <w:trHeight w:val="634" w:hRule="exact"/>
        </w:trPr>
        <w:tc>
          <w:tcPr>
            <w:tcW w:w="217" w:type="dxa"/>
            <w:tcBorders>
              <w:top w:val="single" w:sz="6" w:space="0" w:color="F1F1F1"/>
              <w:right w:val="single" w:sz="6" w:space="0" w:color="F1F1F1"/>
            </w:tcBorders>
          </w:tcPr>
          <w:p>
            <w:pPr/>
          </w:p>
        </w:tc>
        <w:tc>
          <w:tcPr>
            <w:tcW w:w="216" w:type="dxa"/>
            <w:tcBorders>
              <w:top w:val="single" w:sz="6" w:space="0" w:color="F1F1F1"/>
              <w:left w:val="single" w:sz="6" w:space="0" w:color="F1F1F1"/>
            </w:tcBorders>
          </w:tcPr>
          <w:p>
            <w:pPr/>
          </w:p>
        </w:tc>
        <w:tc>
          <w:tcPr>
            <w:tcW w:w="218" w:type="dxa"/>
            <w:tcBorders>
              <w:top w:val="single" w:sz="6" w:space="0" w:color="F1F1F1"/>
              <w:right w:val="single" w:sz="6" w:space="0" w:color="F1F1F1"/>
            </w:tcBorders>
          </w:tcPr>
          <w:p>
            <w:pPr/>
          </w:p>
        </w:tc>
        <w:tc>
          <w:tcPr>
            <w:tcW w:w="216" w:type="dxa"/>
            <w:tcBorders>
              <w:top w:val="single" w:sz="6" w:space="0" w:color="F1F1F1"/>
              <w:left w:val="single" w:sz="6" w:space="0" w:color="F1F1F1"/>
            </w:tcBorders>
          </w:tcPr>
          <w:p>
            <w:pPr/>
          </w:p>
        </w:tc>
        <w:tc>
          <w:tcPr>
            <w:tcW w:w="218" w:type="dxa"/>
            <w:tcBorders>
              <w:top w:val="single" w:sz="6" w:space="0" w:color="F1F1F1"/>
              <w:right w:val="single" w:sz="6" w:space="0" w:color="F1F1F1"/>
            </w:tcBorders>
          </w:tcPr>
          <w:p>
            <w:pPr/>
          </w:p>
        </w:tc>
        <w:tc>
          <w:tcPr>
            <w:tcW w:w="216" w:type="dxa"/>
            <w:tcBorders>
              <w:top w:val="single" w:sz="6" w:space="0" w:color="F1F1F1"/>
              <w:left w:val="single" w:sz="6" w:space="0" w:color="F1F1F1"/>
            </w:tcBorders>
          </w:tcPr>
          <w:p>
            <w:pPr/>
          </w:p>
        </w:tc>
        <w:tc>
          <w:tcPr>
            <w:tcW w:w="218" w:type="dxa"/>
            <w:tcBorders>
              <w:top w:val="single" w:sz="6" w:space="0" w:color="F1F1F1"/>
              <w:right w:val="single" w:sz="6" w:space="0" w:color="F1F1F1"/>
            </w:tcBorders>
          </w:tcPr>
          <w:p>
            <w:pPr/>
          </w:p>
        </w:tc>
        <w:tc>
          <w:tcPr>
            <w:tcW w:w="216" w:type="dxa"/>
            <w:tcBorders>
              <w:top w:val="single" w:sz="6" w:space="0" w:color="F1F1F1"/>
              <w:left w:val="single" w:sz="6" w:space="0" w:color="F1F1F1"/>
            </w:tcBorders>
          </w:tcPr>
          <w:p>
            <w:pPr/>
          </w:p>
        </w:tc>
        <w:tc>
          <w:tcPr>
            <w:tcW w:w="216" w:type="dxa"/>
            <w:tcBorders>
              <w:top w:val="single" w:sz="6" w:space="0" w:color="F1F1F1"/>
              <w:right w:val="single" w:sz="6" w:space="0" w:color="F1F1F1"/>
            </w:tcBorders>
          </w:tcPr>
          <w:p>
            <w:pPr/>
          </w:p>
        </w:tc>
        <w:tc>
          <w:tcPr>
            <w:tcW w:w="218" w:type="dxa"/>
            <w:tcBorders>
              <w:top w:val="single" w:sz="6" w:space="0" w:color="F1F1F1"/>
              <w:left w:val="single" w:sz="6" w:space="0" w:color="F1F1F1"/>
            </w:tcBorders>
          </w:tcPr>
          <w:p>
            <w:pPr/>
          </w:p>
        </w:tc>
        <w:tc>
          <w:tcPr>
            <w:tcW w:w="216" w:type="dxa"/>
            <w:tcBorders>
              <w:top w:val="single" w:sz="6" w:space="0" w:color="F1F1F1"/>
              <w:right w:val="single" w:sz="6" w:space="0" w:color="F1F1F1"/>
            </w:tcBorders>
          </w:tcPr>
          <w:p>
            <w:pPr/>
          </w:p>
        </w:tc>
        <w:tc>
          <w:tcPr>
            <w:tcW w:w="218" w:type="dxa"/>
            <w:tcBorders>
              <w:top w:val="single" w:sz="6" w:space="0" w:color="F1F1F1"/>
              <w:left w:val="single" w:sz="6" w:space="0" w:color="F1F1F1"/>
            </w:tcBorders>
          </w:tcPr>
          <w:p>
            <w:pPr/>
          </w:p>
        </w:tc>
        <w:tc>
          <w:tcPr>
            <w:tcW w:w="216" w:type="dxa"/>
            <w:tcBorders>
              <w:top w:val="single" w:sz="6" w:space="0" w:color="F1F1F1"/>
              <w:right w:val="single" w:sz="6" w:space="0" w:color="F1F1F1"/>
            </w:tcBorders>
          </w:tcPr>
          <w:p>
            <w:pPr/>
          </w:p>
        </w:tc>
        <w:tc>
          <w:tcPr>
            <w:tcW w:w="218" w:type="dxa"/>
            <w:tcBorders>
              <w:top w:val="single" w:sz="6" w:space="0" w:color="F1F1F1"/>
              <w:left w:val="single" w:sz="6" w:space="0" w:color="F1F1F1"/>
            </w:tcBorders>
          </w:tcPr>
          <w:p>
            <w:pPr/>
          </w:p>
        </w:tc>
        <w:tc>
          <w:tcPr>
            <w:tcW w:w="216" w:type="dxa"/>
            <w:tcBorders>
              <w:top w:val="single" w:sz="6" w:space="0" w:color="F1F1F1"/>
              <w:right w:val="single" w:sz="6" w:space="0" w:color="F1F1F1"/>
            </w:tcBorders>
          </w:tcPr>
          <w:p>
            <w:pPr/>
          </w:p>
        </w:tc>
        <w:tc>
          <w:tcPr>
            <w:tcW w:w="216" w:type="dxa"/>
            <w:tcBorders>
              <w:top w:val="single" w:sz="6" w:space="0" w:color="F1F1F1"/>
              <w:left w:val="single" w:sz="6" w:space="0" w:color="F1F1F1"/>
            </w:tcBorders>
          </w:tcPr>
          <w:p>
            <w:pPr/>
          </w:p>
        </w:tc>
        <w:tc>
          <w:tcPr>
            <w:tcW w:w="218" w:type="dxa"/>
            <w:tcBorders>
              <w:top w:val="single" w:sz="6" w:space="0" w:color="F1F1F1"/>
              <w:right w:val="single" w:sz="6" w:space="0" w:color="F1F1F1"/>
            </w:tcBorders>
          </w:tcPr>
          <w:p>
            <w:pPr/>
          </w:p>
        </w:tc>
        <w:tc>
          <w:tcPr>
            <w:tcW w:w="216" w:type="dxa"/>
            <w:tcBorders>
              <w:top w:val="single" w:sz="6" w:space="0" w:color="F1F1F1"/>
              <w:left w:val="single" w:sz="6" w:space="0" w:color="F1F1F1"/>
            </w:tcBorders>
          </w:tcPr>
          <w:p>
            <w:pPr/>
          </w:p>
        </w:tc>
        <w:tc>
          <w:tcPr>
            <w:tcW w:w="218" w:type="dxa"/>
            <w:tcBorders>
              <w:top w:val="single" w:sz="6" w:space="0" w:color="F1F1F1"/>
              <w:right w:val="single" w:sz="6" w:space="0" w:color="F1F1F1"/>
            </w:tcBorders>
          </w:tcPr>
          <w:p>
            <w:pPr/>
          </w:p>
        </w:tc>
        <w:tc>
          <w:tcPr>
            <w:tcW w:w="216" w:type="dxa"/>
            <w:tcBorders>
              <w:top w:val="single" w:sz="6" w:space="0" w:color="F1F1F1"/>
              <w:left w:val="single" w:sz="6" w:space="0" w:color="F1F1F1"/>
            </w:tcBorders>
          </w:tcPr>
          <w:p>
            <w:pPr/>
          </w:p>
        </w:tc>
        <w:tc>
          <w:tcPr>
            <w:tcW w:w="218" w:type="dxa"/>
            <w:tcBorders>
              <w:top w:val="single" w:sz="6" w:space="0" w:color="F1F1F1"/>
              <w:right w:val="single" w:sz="6" w:space="0" w:color="F1F1F1"/>
            </w:tcBorders>
          </w:tcPr>
          <w:p>
            <w:pPr/>
          </w:p>
        </w:tc>
        <w:tc>
          <w:tcPr>
            <w:tcW w:w="216" w:type="dxa"/>
            <w:tcBorders>
              <w:top w:val="single" w:sz="6" w:space="0" w:color="F1F1F1"/>
              <w:left w:val="single" w:sz="6" w:space="0" w:color="F1F1F1"/>
            </w:tcBorders>
          </w:tcPr>
          <w:p>
            <w:pPr/>
          </w:p>
        </w:tc>
        <w:tc>
          <w:tcPr>
            <w:tcW w:w="216" w:type="dxa"/>
            <w:tcBorders>
              <w:top w:val="single" w:sz="6" w:space="0" w:color="F1F1F1"/>
              <w:right w:val="single" w:sz="6" w:space="0" w:color="F1F1F1"/>
            </w:tcBorders>
          </w:tcPr>
          <w:p>
            <w:pPr/>
          </w:p>
        </w:tc>
        <w:tc>
          <w:tcPr>
            <w:tcW w:w="218" w:type="dxa"/>
            <w:tcBorders>
              <w:top w:val="single" w:sz="6" w:space="0" w:color="F1F1F1"/>
              <w:left w:val="single" w:sz="6" w:space="0" w:color="F1F1F1"/>
            </w:tcBorders>
          </w:tcPr>
          <w:p>
            <w:pPr/>
          </w:p>
        </w:tc>
        <w:tc>
          <w:tcPr>
            <w:tcW w:w="216" w:type="dxa"/>
            <w:tcBorders>
              <w:top w:val="single" w:sz="6" w:space="0" w:color="F1F1F1"/>
              <w:right w:val="single" w:sz="6" w:space="0" w:color="F1F1F1"/>
            </w:tcBorders>
          </w:tcPr>
          <w:p>
            <w:pPr/>
          </w:p>
        </w:tc>
        <w:tc>
          <w:tcPr>
            <w:tcW w:w="218" w:type="dxa"/>
            <w:tcBorders>
              <w:top w:val="single" w:sz="6" w:space="0" w:color="F1F1F1"/>
              <w:left w:val="single" w:sz="6" w:space="0" w:color="F1F1F1"/>
            </w:tcBorders>
          </w:tcPr>
          <w:p>
            <w:pPr/>
          </w:p>
        </w:tc>
        <w:tc>
          <w:tcPr>
            <w:tcW w:w="216" w:type="dxa"/>
            <w:tcBorders>
              <w:top w:val="single" w:sz="6" w:space="0" w:color="F1F1F1"/>
              <w:right w:val="single" w:sz="6" w:space="0" w:color="F1F1F1"/>
            </w:tcBorders>
          </w:tcPr>
          <w:p>
            <w:pPr/>
          </w:p>
        </w:tc>
        <w:tc>
          <w:tcPr>
            <w:tcW w:w="218" w:type="dxa"/>
            <w:tcBorders>
              <w:top w:val="single" w:sz="6" w:space="0" w:color="F1F1F1"/>
              <w:left w:val="single" w:sz="6" w:space="0" w:color="F1F1F1"/>
            </w:tcBorders>
          </w:tcPr>
          <w:p>
            <w:pPr/>
          </w:p>
        </w:tc>
        <w:tc>
          <w:tcPr>
            <w:tcW w:w="216" w:type="dxa"/>
            <w:tcBorders>
              <w:top w:val="single" w:sz="6" w:space="0" w:color="F1F1F1"/>
              <w:right w:val="single" w:sz="6" w:space="0" w:color="F1F1F1"/>
            </w:tcBorders>
          </w:tcPr>
          <w:p>
            <w:pPr/>
          </w:p>
        </w:tc>
        <w:tc>
          <w:tcPr>
            <w:tcW w:w="216" w:type="dxa"/>
            <w:tcBorders>
              <w:top w:val="single" w:sz="6" w:space="0" w:color="F1F1F1"/>
              <w:left w:val="single" w:sz="6" w:space="0" w:color="F1F1F1"/>
            </w:tcBorders>
          </w:tcPr>
          <w:p>
            <w:pPr/>
          </w:p>
        </w:tc>
        <w:tc>
          <w:tcPr>
            <w:tcW w:w="218" w:type="dxa"/>
            <w:tcBorders>
              <w:top w:val="single" w:sz="6" w:space="0" w:color="F1F1F1"/>
              <w:right w:val="single" w:sz="6" w:space="0" w:color="F1F1F1"/>
            </w:tcBorders>
          </w:tcPr>
          <w:p>
            <w:pPr/>
          </w:p>
        </w:tc>
        <w:tc>
          <w:tcPr>
            <w:tcW w:w="216" w:type="dxa"/>
            <w:tcBorders>
              <w:top w:val="single" w:sz="6" w:space="0" w:color="F1F1F1"/>
              <w:left w:val="single" w:sz="6" w:space="0" w:color="F1F1F1"/>
            </w:tcBorders>
          </w:tcPr>
          <w:p>
            <w:pPr/>
          </w:p>
        </w:tc>
        <w:tc>
          <w:tcPr>
            <w:tcW w:w="218" w:type="dxa"/>
            <w:tcBorders>
              <w:top w:val="single" w:sz="6" w:space="0" w:color="F1F1F1"/>
              <w:right w:val="single" w:sz="6" w:space="0" w:color="F1F1F1"/>
            </w:tcBorders>
          </w:tcPr>
          <w:p>
            <w:pPr/>
          </w:p>
        </w:tc>
        <w:tc>
          <w:tcPr>
            <w:tcW w:w="216" w:type="dxa"/>
            <w:tcBorders>
              <w:top w:val="single" w:sz="6" w:space="0" w:color="F1F1F1"/>
              <w:left w:val="single" w:sz="6" w:space="0" w:color="F1F1F1"/>
            </w:tcBorders>
          </w:tcPr>
          <w:p>
            <w:pPr/>
          </w:p>
        </w:tc>
      </w:tr>
      <w:tr>
        <w:trPr>
          <w:trHeight w:val="96" w:hRule="exact"/>
        </w:trPr>
        <w:tc>
          <w:tcPr>
            <w:tcW w:w="217" w:type="dxa"/>
            <w:tcBorders>
              <w:bottom w:val="single" w:sz="6" w:space="0" w:color="F1F1F1"/>
              <w:right w:val="single" w:sz="6" w:space="0" w:color="F1F1F1"/>
            </w:tcBorders>
          </w:tcPr>
          <w:p>
            <w:pPr/>
          </w:p>
        </w:tc>
        <w:tc>
          <w:tcPr>
            <w:tcW w:w="216" w:type="dxa"/>
            <w:tcBorders>
              <w:left w:val="single" w:sz="6" w:space="0" w:color="F1F1F1"/>
              <w:bottom w:val="single" w:sz="6" w:space="0" w:color="F1F1F1"/>
            </w:tcBorders>
          </w:tcPr>
          <w:p>
            <w:pPr/>
          </w:p>
        </w:tc>
        <w:tc>
          <w:tcPr>
            <w:tcW w:w="218" w:type="dxa"/>
            <w:tcBorders>
              <w:bottom w:val="single" w:sz="6" w:space="0" w:color="F1F1F1"/>
              <w:right w:val="single" w:sz="6" w:space="0" w:color="F1F1F1"/>
            </w:tcBorders>
          </w:tcPr>
          <w:p>
            <w:pPr/>
          </w:p>
        </w:tc>
        <w:tc>
          <w:tcPr>
            <w:tcW w:w="216" w:type="dxa"/>
            <w:tcBorders>
              <w:left w:val="single" w:sz="6" w:space="0" w:color="F1F1F1"/>
              <w:bottom w:val="single" w:sz="6" w:space="0" w:color="F1F1F1"/>
            </w:tcBorders>
          </w:tcPr>
          <w:p>
            <w:pPr/>
          </w:p>
        </w:tc>
        <w:tc>
          <w:tcPr>
            <w:tcW w:w="218" w:type="dxa"/>
            <w:tcBorders>
              <w:bottom w:val="single" w:sz="6" w:space="0" w:color="F1F1F1"/>
              <w:right w:val="single" w:sz="6" w:space="0" w:color="F1F1F1"/>
            </w:tcBorders>
          </w:tcPr>
          <w:p>
            <w:pPr/>
          </w:p>
        </w:tc>
        <w:tc>
          <w:tcPr>
            <w:tcW w:w="216" w:type="dxa"/>
            <w:tcBorders>
              <w:left w:val="single" w:sz="6" w:space="0" w:color="F1F1F1"/>
              <w:bottom w:val="single" w:sz="6" w:space="0" w:color="F1F1F1"/>
            </w:tcBorders>
          </w:tcPr>
          <w:p>
            <w:pPr/>
          </w:p>
        </w:tc>
        <w:tc>
          <w:tcPr>
            <w:tcW w:w="218" w:type="dxa"/>
            <w:tcBorders>
              <w:bottom w:val="single" w:sz="6" w:space="0" w:color="F1F1F1"/>
              <w:right w:val="single" w:sz="6" w:space="0" w:color="F1F1F1"/>
            </w:tcBorders>
          </w:tcPr>
          <w:p>
            <w:pPr/>
          </w:p>
        </w:tc>
        <w:tc>
          <w:tcPr>
            <w:tcW w:w="216" w:type="dxa"/>
            <w:tcBorders>
              <w:left w:val="single" w:sz="6" w:space="0" w:color="F1F1F1"/>
              <w:bottom w:val="single" w:sz="6" w:space="0" w:color="F1F1F1"/>
            </w:tcBorders>
          </w:tcPr>
          <w:p>
            <w:pPr/>
          </w:p>
        </w:tc>
        <w:tc>
          <w:tcPr>
            <w:tcW w:w="216" w:type="dxa"/>
            <w:tcBorders>
              <w:bottom w:val="single" w:sz="6" w:space="0" w:color="F1F1F1"/>
              <w:right w:val="single" w:sz="6" w:space="0" w:color="F1F1F1"/>
            </w:tcBorders>
          </w:tcPr>
          <w:p>
            <w:pPr/>
          </w:p>
        </w:tc>
        <w:tc>
          <w:tcPr>
            <w:tcW w:w="218" w:type="dxa"/>
            <w:tcBorders>
              <w:left w:val="single" w:sz="6" w:space="0" w:color="F1F1F1"/>
              <w:bottom w:val="single" w:sz="6" w:space="0" w:color="F1F1F1"/>
            </w:tcBorders>
          </w:tcPr>
          <w:p>
            <w:pPr/>
          </w:p>
        </w:tc>
        <w:tc>
          <w:tcPr>
            <w:tcW w:w="216" w:type="dxa"/>
            <w:tcBorders>
              <w:bottom w:val="single" w:sz="6" w:space="0" w:color="F1F1F1"/>
              <w:right w:val="single" w:sz="6" w:space="0" w:color="F1F1F1"/>
            </w:tcBorders>
          </w:tcPr>
          <w:p>
            <w:pPr/>
          </w:p>
        </w:tc>
        <w:tc>
          <w:tcPr>
            <w:tcW w:w="218" w:type="dxa"/>
            <w:tcBorders>
              <w:left w:val="single" w:sz="6" w:space="0" w:color="F1F1F1"/>
              <w:bottom w:val="single" w:sz="6" w:space="0" w:color="F1F1F1"/>
            </w:tcBorders>
          </w:tcPr>
          <w:p>
            <w:pPr/>
          </w:p>
        </w:tc>
        <w:tc>
          <w:tcPr>
            <w:tcW w:w="216" w:type="dxa"/>
            <w:tcBorders>
              <w:bottom w:val="single" w:sz="6" w:space="0" w:color="F1F1F1"/>
              <w:right w:val="single" w:sz="6" w:space="0" w:color="F1F1F1"/>
            </w:tcBorders>
          </w:tcPr>
          <w:p>
            <w:pPr/>
          </w:p>
        </w:tc>
        <w:tc>
          <w:tcPr>
            <w:tcW w:w="218" w:type="dxa"/>
            <w:tcBorders>
              <w:left w:val="single" w:sz="6" w:space="0" w:color="F1F1F1"/>
              <w:bottom w:val="single" w:sz="6" w:space="0" w:color="F1F1F1"/>
            </w:tcBorders>
          </w:tcPr>
          <w:p>
            <w:pPr/>
          </w:p>
        </w:tc>
        <w:tc>
          <w:tcPr>
            <w:tcW w:w="216" w:type="dxa"/>
            <w:tcBorders>
              <w:bottom w:val="single" w:sz="6" w:space="0" w:color="F1F1F1"/>
              <w:right w:val="single" w:sz="6" w:space="0" w:color="F1F1F1"/>
            </w:tcBorders>
          </w:tcPr>
          <w:p>
            <w:pPr/>
          </w:p>
        </w:tc>
        <w:tc>
          <w:tcPr>
            <w:tcW w:w="216" w:type="dxa"/>
            <w:tcBorders>
              <w:left w:val="single" w:sz="6" w:space="0" w:color="F1F1F1"/>
              <w:bottom w:val="single" w:sz="6" w:space="0" w:color="F1F1F1"/>
            </w:tcBorders>
          </w:tcPr>
          <w:p>
            <w:pPr/>
          </w:p>
        </w:tc>
        <w:tc>
          <w:tcPr>
            <w:tcW w:w="218" w:type="dxa"/>
            <w:tcBorders>
              <w:bottom w:val="single" w:sz="6" w:space="0" w:color="F1F1F1"/>
              <w:right w:val="single" w:sz="6" w:space="0" w:color="F1F1F1"/>
            </w:tcBorders>
          </w:tcPr>
          <w:p>
            <w:pPr/>
          </w:p>
        </w:tc>
        <w:tc>
          <w:tcPr>
            <w:tcW w:w="216" w:type="dxa"/>
            <w:tcBorders>
              <w:left w:val="single" w:sz="6" w:space="0" w:color="F1F1F1"/>
              <w:bottom w:val="single" w:sz="6" w:space="0" w:color="F1F1F1"/>
            </w:tcBorders>
          </w:tcPr>
          <w:p>
            <w:pPr/>
          </w:p>
        </w:tc>
        <w:tc>
          <w:tcPr>
            <w:tcW w:w="218" w:type="dxa"/>
            <w:tcBorders>
              <w:bottom w:val="single" w:sz="6" w:space="0" w:color="F1F1F1"/>
              <w:right w:val="single" w:sz="6" w:space="0" w:color="F1F1F1"/>
            </w:tcBorders>
          </w:tcPr>
          <w:p>
            <w:pPr/>
          </w:p>
        </w:tc>
        <w:tc>
          <w:tcPr>
            <w:tcW w:w="216" w:type="dxa"/>
            <w:tcBorders>
              <w:left w:val="single" w:sz="6" w:space="0" w:color="F1F1F1"/>
              <w:bottom w:val="single" w:sz="6" w:space="0" w:color="F1F1F1"/>
            </w:tcBorders>
          </w:tcPr>
          <w:p>
            <w:pPr/>
          </w:p>
        </w:tc>
        <w:tc>
          <w:tcPr>
            <w:tcW w:w="218" w:type="dxa"/>
            <w:tcBorders>
              <w:bottom w:val="single" w:sz="6" w:space="0" w:color="F1F1F1"/>
              <w:right w:val="single" w:sz="6" w:space="0" w:color="F1F1F1"/>
            </w:tcBorders>
          </w:tcPr>
          <w:p>
            <w:pPr/>
          </w:p>
        </w:tc>
        <w:tc>
          <w:tcPr>
            <w:tcW w:w="216" w:type="dxa"/>
            <w:tcBorders>
              <w:left w:val="single" w:sz="6" w:space="0" w:color="F1F1F1"/>
              <w:bottom w:val="single" w:sz="6" w:space="0" w:color="F1F1F1"/>
            </w:tcBorders>
          </w:tcPr>
          <w:p>
            <w:pPr/>
          </w:p>
        </w:tc>
        <w:tc>
          <w:tcPr>
            <w:tcW w:w="216" w:type="dxa"/>
            <w:tcBorders>
              <w:bottom w:val="single" w:sz="6" w:space="0" w:color="F1F1F1"/>
              <w:right w:val="single" w:sz="6" w:space="0" w:color="F1F1F1"/>
            </w:tcBorders>
          </w:tcPr>
          <w:p>
            <w:pPr/>
          </w:p>
        </w:tc>
        <w:tc>
          <w:tcPr>
            <w:tcW w:w="218" w:type="dxa"/>
            <w:tcBorders>
              <w:left w:val="single" w:sz="6" w:space="0" w:color="F1F1F1"/>
              <w:bottom w:val="single" w:sz="6" w:space="0" w:color="F1F1F1"/>
            </w:tcBorders>
          </w:tcPr>
          <w:p>
            <w:pPr/>
          </w:p>
        </w:tc>
        <w:tc>
          <w:tcPr>
            <w:tcW w:w="216" w:type="dxa"/>
            <w:tcBorders>
              <w:bottom w:val="single" w:sz="6" w:space="0" w:color="F1F1F1"/>
              <w:right w:val="single" w:sz="6" w:space="0" w:color="F1F1F1"/>
            </w:tcBorders>
          </w:tcPr>
          <w:p>
            <w:pPr/>
          </w:p>
        </w:tc>
        <w:tc>
          <w:tcPr>
            <w:tcW w:w="218" w:type="dxa"/>
            <w:tcBorders>
              <w:left w:val="single" w:sz="6" w:space="0" w:color="F1F1F1"/>
              <w:bottom w:val="single" w:sz="6" w:space="0" w:color="F1F1F1"/>
            </w:tcBorders>
          </w:tcPr>
          <w:p>
            <w:pPr/>
          </w:p>
        </w:tc>
        <w:tc>
          <w:tcPr>
            <w:tcW w:w="216" w:type="dxa"/>
            <w:tcBorders>
              <w:bottom w:val="single" w:sz="6" w:space="0" w:color="F1F1F1"/>
              <w:right w:val="single" w:sz="6" w:space="0" w:color="F1F1F1"/>
            </w:tcBorders>
          </w:tcPr>
          <w:p>
            <w:pPr/>
          </w:p>
        </w:tc>
        <w:tc>
          <w:tcPr>
            <w:tcW w:w="218" w:type="dxa"/>
            <w:tcBorders>
              <w:left w:val="single" w:sz="6" w:space="0" w:color="F1F1F1"/>
              <w:bottom w:val="single" w:sz="6" w:space="0" w:color="F1F1F1"/>
            </w:tcBorders>
          </w:tcPr>
          <w:p>
            <w:pPr/>
          </w:p>
        </w:tc>
        <w:tc>
          <w:tcPr>
            <w:tcW w:w="216" w:type="dxa"/>
            <w:tcBorders>
              <w:bottom w:val="single" w:sz="6" w:space="0" w:color="F1F1F1"/>
              <w:right w:val="single" w:sz="6" w:space="0" w:color="F1F1F1"/>
            </w:tcBorders>
          </w:tcPr>
          <w:p>
            <w:pPr/>
          </w:p>
        </w:tc>
        <w:tc>
          <w:tcPr>
            <w:tcW w:w="216" w:type="dxa"/>
            <w:tcBorders>
              <w:left w:val="single" w:sz="6" w:space="0" w:color="F1F1F1"/>
              <w:bottom w:val="single" w:sz="6" w:space="0" w:color="F1F1F1"/>
            </w:tcBorders>
          </w:tcPr>
          <w:p>
            <w:pPr/>
          </w:p>
        </w:tc>
        <w:tc>
          <w:tcPr>
            <w:tcW w:w="218" w:type="dxa"/>
            <w:tcBorders>
              <w:bottom w:val="single" w:sz="6" w:space="0" w:color="F1F1F1"/>
              <w:right w:val="single" w:sz="6" w:space="0" w:color="F1F1F1"/>
            </w:tcBorders>
          </w:tcPr>
          <w:p>
            <w:pPr/>
          </w:p>
        </w:tc>
        <w:tc>
          <w:tcPr>
            <w:tcW w:w="216" w:type="dxa"/>
            <w:tcBorders>
              <w:left w:val="single" w:sz="6" w:space="0" w:color="F1F1F1"/>
              <w:bottom w:val="single" w:sz="6" w:space="0" w:color="F1F1F1"/>
            </w:tcBorders>
          </w:tcPr>
          <w:p>
            <w:pPr/>
          </w:p>
        </w:tc>
        <w:tc>
          <w:tcPr>
            <w:tcW w:w="218" w:type="dxa"/>
            <w:tcBorders>
              <w:bottom w:val="single" w:sz="6" w:space="0" w:color="F1F1F1"/>
              <w:right w:val="single" w:sz="6" w:space="0" w:color="F1F1F1"/>
            </w:tcBorders>
          </w:tcPr>
          <w:p>
            <w:pPr/>
          </w:p>
        </w:tc>
        <w:tc>
          <w:tcPr>
            <w:tcW w:w="216" w:type="dxa"/>
            <w:tcBorders>
              <w:left w:val="single" w:sz="6" w:space="0" w:color="F1F1F1"/>
              <w:bottom w:val="single" w:sz="6" w:space="0" w:color="F1F1F1"/>
            </w:tcBorders>
          </w:tcPr>
          <w:p>
            <w:pPr/>
          </w:p>
        </w:tc>
      </w:tr>
      <w:tr>
        <w:trPr>
          <w:trHeight w:val="108" w:hRule="exact"/>
        </w:trPr>
        <w:tc>
          <w:tcPr>
            <w:tcW w:w="217"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r>
      <w:tr>
        <w:trPr>
          <w:trHeight w:val="122" w:hRule="exact"/>
        </w:trPr>
        <w:tc>
          <w:tcPr>
            <w:tcW w:w="217"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r>
      <w:tr>
        <w:trPr>
          <w:trHeight w:val="142" w:hRule="exact"/>
        </w:trPr>
        <w:tc>
          <w:tcPr>
            <w:tcW w:w="217"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r>
      <w:tr>
        <w:trPr>
          <w:trHeight w:val="168" w:hRule="exact"/>
        </w:trPr>
        <w:tc>
          <w:tcPr>
            <w:tcW w:w="217"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r>
      <w:tr>
        <w:trPr>
          <w:trHeight w:val="204" w:hRule="exact"/>
        </w:trPr>
        <w:tc>
          <w:tcPr>
            <w:tcW w:w="217"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r>
      <w:tr>
        <w:trPr>
          <w:trHeight w:val="262" w:hRule="exact"/>
        </w:trPr>
        <w:tc>
          <w:tcPr>
            <w:tcW w:w="217"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r>
      <w:tr>
        <w:trPr>
          <w:trHeight w:val="372" w:hRule="exact"/>
        </w:trPr>
        <w:tc>
          <w:tcPr>
            <w:tcW w:w="217"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8" w:type="dxa"/>
            <w:tcBorders>
              <w:top w:val="single" w:sz="6" w:space="0" w:color="F1F1F1"/>
              <w:left w:val="single" w:sz="6" w:space="0" w:color="F1F1F1"/>
              <w:bottom w:val="single" w:sz="6" w:space="0" w:color="F1F1F1"/>
            </w:tcBorders>
          </w:tcPr>
          <w:p>
            <w:pPr/>
          </w:p>
        </w:tc>
        <w:tc>
          <w:tcPr>
            <w:tcW w:w="216"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c>
          <w:tcPr>
            <w:tcW w:w="218" w:type="dxa"/>
            <w:tcBorders>
              <w:top w:val="single" w:sz="6" w:space="0" w:color="F1F1F1"/>
              <w:bottom w:val="single" w:sz="6" w:space="0" w:color="F1F1F1"/>
              <w:right w:val="single" w:sz="6" w:space="0" w:color="F1F1F1"/>
            </w:tcBorders>
          </w:tcPr>
          <w:p>
            <w:pPr/>
          </w:p>
        </w:tc>
        <w:tc>
          <w:tcPr>
            <w:tcW w:w="216" w:type="dxa"/>
            <w:tcBorders>
              <w:top w:val="single" w:sz="6" w:space="0" w:color="F1F1F1"/>
              <w:left w:val="single" w:sz="6" w:space="0" w:color="F1F1F1"/>
              <w:bottom w:val="single" w:sz="6" w:space="0" w:color="F1F1F1"/>
            </w:tcBorders>
          </w:tcPr>
          <w:p>
            <w:pPr/>
          </w:p>
        </w:tc>
      </w:tr>
      <w:tr>
        <w:trPr>
          <w:trHeight w:val="634" w:hRule="exact"/>
        </w:trPr>
        <w:tc>
          <w:tcPr>
            <w:tcW w:w="217" w:type="dxa"/>
            <w:tcBorders>
              <w:top w:val="single" w:sz="6" w:space="0" w:color="F1F1F1"/>
              <w:right w:val="single" w:sz="6" w:space="0" w:color="F1F1F1"/>
            </w:tcBorders>
          </w:tcPr>
          <w:p>
            <w:pPr/>
          </w:p>
        </w:tc>
        <w:tc>
          <w:tcPr>
            <w:tcW w:w="216" w:type="dxa"/>
            <w:tcBorders>
              <w:top w:val="single" w:sz="6" w:space="0" w:color="F1F1F1"/>
              <w:left w:val="single" w:sz="6" w:space="0" w:color="F1F1F1"/>
            </w:tcBorders>
          </w:tcPr>
          <w:p>
            <w:pPr/>
          </w:p>
        </w:tc>
        <w:tc>
          <w:tcPr>
            <w:tcW w:w="218" w:type="dxa"/>
            <w:tcBorders>
              <w:top w:val="single" w:sz="6" w:space="0" w:color="F1F1F1"/>
              <w:right w:val="single" w:sz="6" w:space="0" w:color="F1F1F1"/>
            </w:tcBorders>
          </w:tcPr>
          <w:p>
            <w:pPr/>
          </w:p>
        </w:tc>
        <w:tc>
          <w:tcPr>
            <w:tcW w:w="216" w:type="dxa"/>
            <w:tcBorders>
              <w:top w:val="single" w:sz="6" w:space="0" w:color="F1F1F1"/>
              <w:left w:val="single" w:sz="6" w:space="0" w:color="F1F1F1"/>
            </w:tcBorders>
          </w:tcPr>
          <w:p>
            <w:pPr/>
          </w:p>
        </w:tc>
        <w:tc>
          <w:tcPr>
            <w:tcW w:w="218" w:type="dxa"/>
            <w:tcBorders>
              <w:top w:val="single" w:sz="6" w:space="0" w:color="F1F1F1"/>
              <w:right w:val="single" w:sz="6" w:space="0" w:color="F1F1F1"/>
            </w:tcBorders>
          </w:tcPr>
          <w:p>
            <w:pPr/>
          </w:p>
        </w:tc>
        <w:tc>
          <w:tcPr>
            <w:tcW w:w="216" w:type="dxa"/>
            <w:tcBorders>
              <w:top w:val="single" w:sz="6" w:space="0" w:color="F1F1F1"/>
              <w:left w:val="single" w:sz="6" w:space="0" w:color="F1F1F1"/>
            </w:tcBorders>
          </w:tcPr>
          <w:p>
            <w:pPr/>
          </w:p>
        </w:tc>
        <w:tc>
          <w:tcPr>
            <w:tcW w:w="218" w:type="dxa"/>
            <w:tcBorders>
              <w:top w:val="single" w:sz="6" w:space="0" w:color="F1F1F1"/>
              <w:right w:val="single" w:sz="6" w:space="0" w:color="F1F1F1"/>
            </w:tcBorders>
          </w:tcPr>
          <w:p>
            <w:pPr/>
          </w:p>
        </w:tc>
        <w:tc>
          <w:tcPr>
            <w:tcW w:w="216" w:type="dxa"/>
            <w:tcBorders>
              <w:top w:val="single" w:sz="6" w:space="0" w:color="F1F1F1"/>
              <w:left w:val="single" w:sz="6" w:space="0" w:color="F1F1F1"/>
            </w:tcBorders>
          </w:tcPr>
          <w:p>
            <w:pPr/>
          </w:p>
        </w:tc>
        <w:tc>
          <w:tcPr>
            <w:tcW w:w="216" w:type="dxa"/>
            <w:tcBorders>
              <w:top w:val="single" w:sz="6" w:space="0" w:color="F1F1F1"/>
              <w:right w:val="single" w:sz="6" w:space="0" w:color="F1F1F1"/>
            </w:tcBorders>
          </w:tcPr>
          <w:p>
            <w:pPr/>
          </w:p>
        </w:tc>
        <w:tc>
          <w:tcPr>
            <w:tcW w:w="218" w:type="dxa"/>
            <w:tcBorders>
              <w:top w:val="single" w:sz="6" w:space="0" w:color="F1F1F1"/>
              <w:left w:val="single" w:sz="6" w:space="0" w:color="F1F1F1"/>
            </w:tcBorders>
          </w:tcPr>
          <w:p>
            <w:pPr/>
          </w:p>
        </w:tc>
        <w:tc>
          <w:tcPr>
            <w:tcW w:w="216" w:type="dxa"/>
            <w:tcBorders>
              <w:top w:val="single" w:sz="6" w:space="0" w:color="F1F1F1"/>
              <w:right w:val="single" w:sz="6" w:space="0" w:color="F1F1F1"/>
            </w:tcBorders>
          </w:tcPr>
          <w:p>
            <w:pPr/>
          </w:p>
        </w:tc>
        <w:tc>
          <w:tcPr>
            <w:tcW w:w="218" w:type="dxa"/>
            <w:tcBorders>
              <w:top w:val="single" w:sz="6" w:space="0" w:color="F1F1F1"/>
              <w:left w:val="single" w:sz="6" w:space="0" w:color="F1F1F1"/>
            </w:tcBorders>
          </w:tcPr>
          <w:p>
            <w:pPr/>
          </w:p>
        </w:tc>
        <w:tc>
          <w:tcPr>
            <w:tcW w:w="216" w:type="dxa"/>
            <w:tcBorders>
              <w:top w:val="single" w:sz="6" w:space="0" w:color="F1F1F1"/>
              <w:right w:val="single" w:sz="6" w:space="0" w:color="F1F1F1"/>
            </w:tcBorders>
          </w:tcPr>
          <w:p>
            <w:pPr/>
          </w:p>
        </w:tc>
        <w:tc>
          <w:tcPr>
            <w:tcW w:w="218" w:type="dxa"/>
            <w:tcBorders>
              <w:top w:val="single" w:sz="6" w:space="0" w:color="F1F1F1"/>
              <w:left w:val="single" w:sz="6" w:space="0" w:color="F1F1F1"/>
            </w:tcBorders>
          </w:tcPr>
          <w:p>
            <w:pPr/>
          </w:p>
        </w:tc>
        <w:tc>
          <w:tcPr>
            <w:tcW w:w="216" w:type="dxa"/>
            <w:tcBorders>
              <w:top w:val="single" w:sz="6" w:space="0" w:color="F1F1F1"/>
              <w:right w:val="single" w:sz="6" w:space="0" w:color="F1F1F1"/>
            </w:tcBorders>
          </w:tcPr>
          <w:p>
            <w:pPr/>
          </w:p>
        </w:tc>
        <w:tc>
          <w:tcPr>
            <w:tcW w:w="216" w:type="dxa"/>
            <w:tcBorders>
              <w:top w:val="single" w:sz="6" w:space="0" w:color="F1F1F1"/>
              <w:left w:val="single" w:sz="6" w:space="0" w:color="F1F1F1"/>
            </w:tcBorders>
          </w:tcPr>
          <w:p>
            <w:pPr/>
          </w:p>
        </w:tc>
        <w:tc>
          <w:tcPr>
            <w:tcW w:w="218" w:type="dxa"/>
            <w:tcBorders>
              <w:top w:val="single" w:sz="6" w:space="0" w:color="F1F1F1"/>
              <w:right w:val="single" w:sz="6" w:space="0" w:color="F1F1F1"/>
            </w:tcBorders>
          </w:tcPr>
          <w:p>
            <w:pPr/>
          </w:p>
        </w:tc>
        <w:tc>
          <w:tcPr>
            <w:tcW w:w="216" w:type="dxa"/>
            <w:tcBorders>
              <w:top w:val="single" w:sz="6" w:space="0" w:color="F1F1F1"/>
              <w:left w:val="single" w:sz="6" w:space="0" w:color="F1F1F1"/>
            </w:tcBorders>
          </w:tcPr>
          <w:p>
            <w:pPr/>
          </w:p>
        </w:tc>
        <w:tc>
          <w:tcPr>
            <w:tcW w:w="218" w:type="dxa"/>
            <w:tcBorders>
              <w:top w:val="single" w:sz="6" w:space="0" w:color="F1F1F1"/>
              <w:right w:val="single" w:sz="6" w:space="0" w:color="F1F1F1"/>
            </w:tcBorders>
          </w:tcPr>
          <w:p>
            <w:pPr/>
          </w:p>
        </w:tc>
        <w:tc>
          <w:tcPr>
            <w:tcW w:w="216" w:type="dxa"/>
            <w:tcBorders>
              <w:top w:val="single" w:sz="6" w:space="0" w:color="F1F1F1"/>
              <w:left w:val="single" w:sz="6" w:space="0" w:color="F1F1F1"/>
            </w:tcBorders>
          </w:tcPr>
          <w:p>
            <w:pPr/>
          </w:p>
        </w:tc>
        <w:tc>
          <w:tcPr>
            <w:tcW w:w="218" w:type="dxa"/>
            <w:tcBorders>
              <w:top w:val="single" w:sz="6" w:space="0" w:color="F1F1F1"/>
              <w:right w:val="single" w:sz="6" w:space="0" w:color="F1F1F1"/>
            </w:tcBorders>
          </w:tcPr>
          <w:p>
            <w:pPr/>
          </w:p>
        </w:tc>
        <w:tc>
          <w:tcPr>
            <w:tcW w:w="216" w:type="dxa"/>
            <w:tcBorders>
              <w:top w:val="single" w:sz="6" w:space="0" w:color="F1F1F1"/>
              <w:left w:val="single" w:sz="6" w:space="0" w:color="F1F1F1"/>
            </w:tcBorders>
          </w:tcPr>
          <w:p>
            <w:pPr/>
          </w:p>
        </w:tc>
        <w:tc>
          <w:tcPr>
            <w:tcW w:w="216" w:type="dxa"/>
            <w:tcBorders>
              <w:top w:val="single" w:sz="6" w:space="0" w:color="F1F1F1"/>
              <w:right w:val="single" w:sz="6" w:space="0" w:color="F1F1F1"/>
            </w:tcBorders>
          </w:tcPr>
          <w:p>
            <w:pPr/>
          </w:p>
        </w:tc>
        <w:tc>
          <w:tcPr>
            <w:tcW w:w="218" w:type="dxa"/>
            <w:tcBorders>
              <w:top w:val="single" w:sz="6" w:space="0" w:color="F1F1F1"/>
              <w:left w:val="single" w:sz="6" w:space="0" w:color="F1F1F1"/>
            </w:tcBorders>
          </w:tcPr>
          <w:p>
            <w:pPr/>
          </w:p>
        </w:tc>
        <w:tc>
          <w:tcPr>
            <w:tcW w:w="216" w:type="dxa"/>
            <w:tcBorders>
              <w:top w:val="single" w:sz="6" w:space="0" w:color="F1F1F1"/>
              <w:right w:val="single" w:sz="6" w:space="0" w:color="F1F1F1"/>
            </w:tcBorders>
          </w:tcPr>
          <w:p>
            <w:pPr/>
          </w:p>
        </w:tc>
        <w:tc>
          <w:tcPr>
            <w:tcW w:w="218" w:type="dxa"/>
            <w:tcBorders>
              <w:top w:val="single" w:sz="6" w:space="0" w:color="F1F1F1"/>
              <w:left w:val="single" w:sz="6" w:space="0" w:color="F1F1F1"/>
            </w:tcBorders>
          </w:tcPr>
          <w:p>
            <w:pPr/>
          </w:p>
        </w:tc>
        <w:tc>
          <w:tcPr>
            <w:tcW w:w="216" w:type="dxa"/>
            <w:tcBorders>
              <w:top w:val="single" w:sz="6" w:space="0" w:color="F1F1F1"/>
              <w:right w:val="single" w:sz="6" w:space="0" w:color="F1F1F1"/>
            </w:tcBorders>
          </w:tcPr>
          <w:p>
            <w:pPr/>
          </w:p>
        </w:tc>
        <w:tc>
          <w:tcPr>
            <w:tcW w:w="218" w:type="dxa"/>
            <w:tcBorders>
              <w:top w:val="single" w:sz="6" w:space="0" w:color="F1F1F1"/>
              <w:left w:val="single" w:sz="6" w:space="0" w:color="F1F1F1"/>
            </w:tcBorders>
          </w:tcPr>
          <w:p>
            <w:pPr/>
          </w:p>
        </w:tc>
        <w:tc>
          <w:tcPr>
            <w:tcW w:w="216" w:type="dxa"/>
            <w:tcBorders>
              <w:top w:val="single" w:sz="6" w:space="0" w:color="F1F1F1"/>
              <w:right w:val="single" w:sz="6" w:space="0" w:color="F1F1F1"/>
            </w:tcBorders>
          </w:tcPr>
          <w:p>
            <w:pPr/>
          </w:p>
        </w:tc>
        <w:tc>
          <w:tcPr>
            <w:tcW w:w="216" w:type="dxa"/>
            <w:tcBorders>
              <w:top w:val="single" w:sz="6" w:space="0" w:color="F1F1F1"/>
              <w:left w:val="single" w:sz="6" w:space="0" w:color="F1F1F1"/>
            </w:tcBorders>
          </w:tcPr>
          <w:p>
            <w:pPr/>
          </w:p>
        </w:tc>
        <w:tc>
          <w:tcPr>
            <w:tcW w:w="218" w:type="dxa"/>
            <w:tcBorders>
              <w:top w:val="single" w:sz="6" w:space="0" w:color="F1F1F1"/>
              <w:right w:val="single" w:sz="6" w:space="0" w:color="F1F1F1"/>
            </w:tcBorders>
          </w:tcPr>
          <w:p>
            <w:pPr/>
          </w:p>
        </w:tc>
        <w:tc>
          <w:tcPr>
            <w:tcW w:w="216" w:type="dxa"/>
            <w:tcBorders>
              <w:top w:val="single" w:sz="6" w:space="0" w:color="F1F1F1"/>
              <w:left w:val="single" w:sz="6" w:space="0" w:color="F1F1F1"/>
            </w:tcBorders>
          </w:tcPr>
          <w:p>
            <w:pPr/>
          </w:p>
        </w:tc>
        <w:tc>
          <w:tcPr>
            <w:tcW w:w="218" w:type="dxa"/>
            <w:tcBorders>
              <w:top w:val="single" w:sz="6" w:space="0" w:color="F1F1F1"/>
              <w:right w:val="single" w:sz="6" w:space="0" w:color="F1F1F1"/>
            </w:tcBorders>
          </w:tcPr>
          <w:p>
            <w:pPr/>
          </w:p>
        </w:tc>
        <w:tc>
          <w:tcPr>
            <w:tcW w:w="216" w:type="dxa"/>
            <w:tcBorders>
              <w:top w:val="single" w:sz="6" w:space="0" w:color="F1F1F1"/>
              <w:left w:val="single" w:sz="6" w:space="0" w:color="F1F1F1"/>
            </w:tcBorders>
          </w:tcPr>
          <w:p>
            <w:pP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Heading4"/>
        <w:spacing w:before="208"/>
        <w:jc w:val="both"/>
      </w:pPr>
      <w:r>
        <w:rPr/>
        <w:pict>
          <v:group style="position:absolute;margin-left:56.275002pt;margin-top:-351.38913pt;width:465.6pt;height:346.85pt;mso-position-horizontal-relative:page;mso-position-vertical-relative:paragraph;z-index:-502000" coordorigin="1126,-7028" coordsize="9312,6937">
            <v:shape style="position:absolute;left:2614;top:-4210;width:653;height:56" coordorigin="2614,-4210" coordsize="653,56" path="m2614,-4155l2616,-4155,3048,-4155,3266,-4210e" filled="false" stroked="true" strokeweight="2.25pt" strokecolor="#ec7c30">
              <v:path arrowok="t"/>
              <v:stroke dashstyle="solid"/>
            </v:shape>
            <v:shape style="position:absolute;left:2559;top:-4212;width:115;height:115" type="#_x0000_t75" stroked="false">
              <v:imagedata r:id="rId202" o:title=""/>
            </v:shape>
            <v:shape style="position:absolute;left:2991;top:-4212;width:115;height:115" type="#_x0000_t75" stroked="false">
              <v:imagedata r:id="rId203" o:title=""/>
            </v:shape>
            <v:shape style="position:absolute;left:3209;top:-4267;width:115;height:115" type="#_x0000_t75" stroked="false">
              <v:imagedata r:id="rId210" o:title=""/>
            </v:shape>
            <v:shape style="position:absolute;left:2614;top:-4487;width:6799;height:455" coordorigin="2614,-4487" coordsize="6799,455" path="m2614,-4032l5854,-4032,9326,-4313,9370,-4404,9412,-4487e" filled="false" stroked="true" strokeweight="2.25pt" strokecolor="#4471c4">
              <v:path arrowok="t"/>
              <v:stroke dashstyle="solid"/>
            </v:shape>
            <v:shape style="position:absolute;left:9269;top:-4543;width:202;height:288" type="#_x0000_t75" stroked="false">
              <v:imagedata r:id="rId270" o:title=""/>
            </v:shape>
            <v:shape style="position:absolute;left:2614;top:-4359;width:5497;height:264" coordorigin="2614,-4359" coordsize="5497,264" path="m2614,-4096l5854,-4096,8066,-4096,8110,-4359e" filled="false" stroked="true" strokeweight="2.25pt" strokecolor="#6fac46">
              <v:path arrowok="t"/>
              <v:stroke dashstyle="solid"/>
            </v:shape>
            <v:shape style="position:absolute;left:5796;top:-4152;width:115;height:178" type="#_x0000_t75" stroked="false">
              <v:imagedata r:id="rId271" o:title=""/>
            </v:shape>
            <v:shape style="position:absolute;left:8009;top:-4152;width:115;height:115" type="#_x0000_t75" stroked="false">
              <v:imagedata r:id="rId272" o:title=""/>
            </v:shape>
            <v:shape style="position:absolute;left:8052;top:-4416;width:115;height:115" type="#_x0000_t75" stroked="false">
              <v:imagedata r:id="rId273" o:title=""/>
            </v:shape>
            <v:shape style="position:absolute;left:7871;top:-5720;width:429;height:116" type="#_x0000_t75" stroked="false">
              <v:imagedata r:id="rId274" o:title=""/>
            </v:shape>
            <v:shape style="position:absolute;left:7871;top:-5367;width:429;height:116" type="#_x0000_t75" stroked="false">
              <v:imagedata r:id="rId275" o:title=""/>
            </v:shape>
            <v:shape style="position:absolute;left:7871;top:-5012;width:429;height:116" type="#_x0000_t75" stroked="false">
              <v:imagedata r:id="rId276" o:title=""/>
            </v:shape>
            <v:rect style="position:absolute;left:1133;top:-7020;width:9297;height:6922" filled="false" stroked="true" strokeweight=".75pt" strokecolor="#d9d9d9">
              <v:stroke dashstyle="solid"/>
            </v:rect>
            <v:shape style="position:absolute;left:4277;top:-6565;width:3320;height:281" type="#_x0000_t202" filled="false" stroked="false">
              <v:textbox inset="0,0,0,0">
                <w:txbxContent>
                  <w:p>
                    <w:pPr>
                      <w:spacing w:line="281" w:lineRule="exact" w:before="0"/>
                      <w:ind w:left="0" w:right="0" w:firstLine="0"/>
                      <w:jc w:val="left"/>
                      <w:rPr>
                        <w:rFonts w:ascii="Calibri"/>
                        <w:sz w:val="28"/>
                      </w:rPr>
                    </w:pPr>
                    <w:r>
                      <w:rPr>
                        <w:rFonts w:ascii="Calibri"/>
                        <w:color w:val="585858"/>
                        <w:sz w:val="28"/>
                      </w:rPr>
                      <w:t>C-V2X vs DSRC Mean Latency</w:t>
                    </w:r>
                  </w:p>
                </w:txbxContent>
              </v:textbox>
              <w10:wrap type="none"/>
            </v:shape>
            <v:shape style="position:absolute;left:2175;top:-5915;width:294;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100</w:t>
                    </w:r>
                  </w:p>
                </w:txbxContent>
              </v:textbox>
              <w10:wrap type="none"/>
            </v:shape>
            <v:shape style="position:absolute;left:2266;top:-3808;width:203;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10</w:t>
                    </w:r>
                  </w:p>
                </w:txbxContent>
              </v:textbox>
              <w10:wrap type="none"/>
            </v:shape>
            <v:shape style="position:absolute;left:2357;top:-1700;width:11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w:t>
                    </w:r>
                  </w:p>
                </w:txbxContent>
              </v:textbox>
              <w10:wrap type="none"/>
            </v:shape>
            <v:shape style="position:absolute;left:2451;top:-1467;width:7731;height:484" type="#_x0000_t202" filled="false" stroked="false">
              <v:textbox inset="0,0,0,0">
                <w:txbxContent>
                  <w:p>
                    <w:pPr>
                      <w:spacing w:line="183" w:lineRule="exact" w:before="0"/>
                      <w:ind w:left="185" w:right="203" w:firstLine="0"/>
                      <w:jc w:val="center"/>
                      <w:rPr>
                        <w:rFonts w:ascii="Calibri"/>
                        <w:sz w:val="18"/>
                      </w:rPr>
                    </w:pPr>
                    <w:r>
                      <w:rPr>
                        <w:rFonts w:ascii="Calibri"/>
                        <w:color w:val="585858"/>
                        <w:sz w:val="18"/>
                      </w:rPr>
                      <w:t>-127  -126  -125  -124  -123  -122  -121  -120  -119  -118  -117  -116  -115  -114  -113  -112  -111  -110</w:t>
                    </w:r>
                  </w:p>
                  <w:p>
                    <w:pPr>
                      <w:spacing w:line="240" w:lineRule="exact" w:before="60"/>
                      <w:ind w:left="181" w:right="203" w:firstLine="0"/>
                      <w:jc w:val="center"/>
                      <w:rPr>
                        <w:rFonts w:ascii="Calibri"/>
                        <w:sz w:val="20"/>
                      </w:rPr>
                    </w:pPr>
                    <w:r>
                      <w:rPr>
                        <w:rFonts w:ascii="Calibri"/>
                        <w:color w:val="585858"/>
                        <w:sz w:val="20"/>
                      </w:rPr>
                      <w:t>Noise_PSD (dBm/Hz)</w:t>
                    </w:r>
                  </w:p>
                </w:txbxContent>
              </v:textbox>
              <w10:wrap type="none"/>
            </v:shape>
            <w10:wrap type="none"/>
          </v:group>
        </w:pict>
      </w:r>
      <w:r>
        <w:rPr/>
        <w:t>Figure 25: 7.2.3 – Mean Latency</w:t>
      </w:r>
    </w:p>
    <w:p>
      <w:pPr>
        <w:pStyle w:val="BodyText"/>
        <w:rPr>
          <w:b/>
          <w:sz w:val="26"/>
        </w:rPr>
      </w:pPr>
    </w:p>
    <w:p>
      <w:pPr>
        <w:pStyle w:val="BodyText"/>
        <w:spacing w:before="11"/>
        <w:rPr>
          <w:b/>
          <w:sz w:val="25"/>
        </w:rPr>
      </w:pPr>
    </w:p>
    <w:p>
      <w:pPr>
        <w:pStyle w:val="Heading5"/>
        <w:numPr>
          <w:ilvl w:val="3"/>
          <w:numId w:val="26"/>
        </w:numPr>
        <w:tabs>
          <w:tab w:pos="2552" w:val="left" w:leader="none"/>
        </w:tabs>
        <w:spacing w:line="240" w:lineRule="auto" w:before="0" w:after="0"/>
        <w:ind w:left="2551" w:right="0" w:hanging="1418"/>
        <w:jc w:val="both"/>
        <w:rPr>
          <w:rFonts w:ascii="Arial"/>
        </w:rPr>
      </w:pPr>
      <w:r>
        <w:rPr>
          <w:rFonts w:ascii="Arial"/>
        </w:rPr>
        <w:t>Evaluation</w:t>
      </w:r>
      <w:r>
        <w:rPr>
          <w:rFonts w:ascii="Arial"/>
          <w:spacing w:val="-5"/>
        </w:rPr>
        <w:t> </w:t>
      </w:r>
      <w:r>
        <w:rPr>
          <w:rFonts w:ascii="Arial"/>
        </w:rPr>
        <w:t>Criteria</w:t>
      </w:r>
    </w:p>
    <w:p>
      <w:pPr>
        <w:pStyle w:val="BodyText"/>
        <w:spacing w:before="181"/>
        <w:ind w:left="1133"/>
        <w:jc w:val="both"/>
      </w:pPr>
      <w:r>
        <w:rPr/>
        <w:t>Evaluation criteria assess the performance across the noise power range.</w:t>
      </w:r>
    </w:p>
    <w:p>
      <w:pPr>
        <w:pStyle w:val="BodyText"/>
        <w:spacing w:before="11"/>
        <w:rPr>
          <w:sz w:val="25"/>
        </w:rPr>
      </w:pPr>
    </w:p>
    <w:p>
      <w:pPr>
        <w:pStyle w:val="Heading5"/>
        <w:numPr>
          <w:ilvl w:val="3"/>
          <w:numId w:val="26"/>
        </w:numPr>
        <w:tabs>
          <w:tab w:pos="2552" w:val="left" w:leader="none"/>
        </w:tabs>
        <w:spacing w:line="240" w:lineRule="auto" w:before="0" w:after="0"/>
        <w:ind w:left="2551" w:right="0" w:hanging="1418"/>
        <w:jc w:val="both"/>
        <w:rPr>
          <w:rFonts w:ascii="Arial"/>
        </w:rPr>
      </w:pPr>
      <w:r>
        <w:rPr>
          <w:rFonts w:ascii="Arial"/>
        </w:rPr>
        <w:t>Key</w:t>
      </w:r>
      <w:r>
        <w:rPr>
          <w:rFonts w:ascii="Arial"/>
          <w:spacing w:val="-8"/>
        </w:rPr>
        <w:t> </w:t>
      </w:r>
      <w:r>
        <w:rPr>
          <w:rFonts w:ascii="Arial"/>
        </w:rPr>
        <w:t>Takeaway</w:t>
      </w:r>
    </w:p>
    <w:p>
      <w:pPr>
        <w:pStyle w:val="BodyText"/>
        <w:spacing w:before="181"/>
        <w:ind w:left="1133" w:right="1132"/>
        <w:jc w:val="both"/>
      </w:pPr>
      <w:r>
        <w:rPr/>
        <w:t>This</w:t>
      </w:r>
      <w:r>
        <w:rPr>
          <w:spacing w:val="-9"/>
        </w:rPr>
        <w:t> </w:t>
      </w:r>
      <w:r>
        <w:rPr/>
        <w:t>test</w:t>
      </w:r>
      <w:r>
        <w:rPr>
          <w:spacing w:val="-10"/>
        </w:rPr>
        <w:t> </w:t>
      </w:r>
      <w:r>
        <w:rPr/>
        <w:t>examined</w:t>
      </w:r>
      <w:r>
        <w:rPr>
          <w:spacing w:val="-8"/>
        </w:rPr>
        <w:t> </w:t>
      </w:r>
      <w:r>
        <w:rPr/>
        <w:t>and</w:t>
      </w:r>
      <w:r>
        <w:rPr>
          <w:spacing w:val="-10"/>
        </w:rPr>
        <w:t> </w:t>
      </w:r>
      <w:r>
        <w:rPr/>
        <w:t>compared</w:t>
      </w:r>
      <w:r>
        <w:rPr>
          <w:spacing w:val="-11"/>
        </w:rPr>
        <w:t> </w:t>
      </w:r>
      <w:r>
        <w:rPr/>
        <w:t>the</w:t>
      </w:r>
      <w:r>
        <w:rPr>
          <w:spacing w:val="-11"/>
        </w:rPr>
        <w:t> </w:t>
      </w:r>
      <w:r>
        <w:rPr/>
        <w:t>communication</w:t>
      </w:r>
      <w:r>
        <w:rPr>
          <w:spacing w:val="-8"/>
        </w:rPr>
        <w:t> </w:t>
      </w:r>
      <w:r>
        <w:rPr/>
        <w:t>reliability</w:t>
      </w:r>
      <w:r>
        <w:rPr>
          <w:spacing w:val="-11"/>
        </w:rPr>
        <w:t> </w:t>
      </w:r>
      <w:r>
        <w:rPr/>
        <w:t>of</w:t>
      </w:r>
      <w:r>
        <w:rPr>
          <w:spacing w:val="-8"/>
        </w:rPr>
        <w:t> </w:t>
      </w:r>
      <w:r>
        <w:rPr/>
        <w:t>V2X</w:t>
      </w:r>
      <w:r>
        <w:rPr>
          <w:spacing w:val="-9"/>
        </w:rPr>
        <w:t> </w:t>
      </w:r>
      <w:r>
        <w:rPr/>
        <w:t>technologies</w:t>
      </w:r>
      <w:r>
        <w:rPr>
          <w:spacing w:val="-9"/>
        </w:rPr>
        <w:t> </w:t>
      </w:r>
      <w:r>
        <w:rPr/>
        <w:t>at</w:t>
      </w:r>
      <w:r>
        <w:rPr>
          <w:spacing w:val="-8"/>
        </w:rPr>
        <w:t> </w:t>
      </w:r>
      <w:r>
        <w:rPr/>
        <w:t>varying</w:t>
      </w:r>
      <w:r>
        <w:rPr>
          <w:spacing w:val="-9"/>
        </w:rPr>
        <w:t> </w:t>
      </w:r>
      <w:r>
        <w:rPr/>
        <w:t>levels</w:t>
      </w:r>
      <w:r>
        <w:rPr>
          <w:spacing w:val="-9"/>
        </w:rPr>
        <w:t> </w:t>
      </w:r>
      <w:r>
        <w:rPr/>
        <w:t>of</w:t>
      </w:r>
      <w:r>
        <w:rPr>
          <w:spacing w:val="-8"/>
        </w:rPr>
        <w:t> </w:t>
      </w:r>
      <w:r>
        <w:rPr/>
        <w:t>added channel noise. The test emulates deployments with other users in the environment, either within communication range or outside of it, that produce the over-the-air noise background. This configuration complements section 7.2.2 where path loss is modelled without added channel</w:t>
      </w:r>
      <w:r>
        <w:rPr>
          <w:spacing w:val="-29"/>
        </w:rPr>
        <w:t> </w:t>
      </w:r>
      <w:r>
        <w:rPr/>
        <w:t>noise.</w:t>
      </w:r>
    </w:p>
    <w:p>
      <w:pPr>
        <w:pStyle w:val="BodyText"/>
        <w:spacing w:before="180"/>
        <w:ind w:left="1133" w:right="1128"/>
        <w:jc w:val="both"/>
      </w:pPr>
      <w:r>
        <w:rPr/>
        <w:t>The results show a significant (about 14 dB) reliability advantage of C-V2X over DSRC. The performance advantage in this experiment is consistent with the performance in section 7.2.2.</w:t>
      </w:r>
    </w:p>
    <w:p>
      <w:pPr>
        <w:pStyle w:val="BodyText"/>
        <w:spacing w:before="180"/>
        <w:ind w:left="1133" w:right="1131"/>
        <w:jc w:val="both"/>
      </w:pPr>
      <w:r>
        <w:rPr/>
        <w:t>Because the experiments in this section are conducted far above the thermal noise floor, the noise figures of the radio devices do not play a role. Confirming the observations in section 7.2.2, therefore, establishes that the performance difference presented there cannot be attributed to any possible device noise figure differences.</w:t>
      </w:r>
    </w:p>
    <w:p>
      <w:pPr>
        <w:pStyle w:val="BodyText"/>
        <w:spacing w:before="180"/>
        <w:ind w:left="1133" w:right="1135"/>
        <w:jc w:val="both"/>
      </w:pPr>
      <w:r>
        <w:rPr/>
        <w:t>Together with section 7.2.2, this section establishes that C-V2X has superior performance over DSRC in the presence of path loss and channel noise.</w:t>
      </w:r>
    </w:p>
    <w:p>
      <w:pPr>
        <w:spacing w:after="0"/>
        <w:jc w:val="both"/>
        <w:sectPr>
          <w:headerReference w:type="default" r:id="rId269"/>
          <w:pgSz w:w="11910" w:h="16850"/>
          <w:pgMar w:header="852" w:footer="979" w:top="1040" w:bottom="1160" w:left="0" w:right="0"/>
        </w:sectPr>
      </w:pPr>
    </w:p>
    <w:p>
      <w:pPr>
        <w:pStyle w:val="BodyText"/>
      </w:pPr>
    </w:p>
    <w:p>
      <w:pPr>
        <w:pStyle w:val="BodyText"/>
      </w:pPr>
    </w:p>
    <w:p>
      <w:pPr>
        <w:pStyle w:val="BodyText"/>
        <w:spacing w:before="11"/>
        <w:rPr>
          <w:sz w:val="18"/>
        </w:rPr>
      </w:pPr>
    </w:p>
    <w:p>
      <w:pPr>
        <w:pStyle w:val="BodyText"/>
        <w:spacing w:before="92"/>
        <w:ind w:left="1133" w:right="1129"/>
        <w:jc w:val="both"/>
      </w:pPr>
      <w:r>
        <w:rPr/>
        <w:t>Again, we expect this performance advantage to translate into meaningful improvements for V2X safety applications. Communication range will be improved. More importantly, coverage dead spots created by obstructions</w:t>
      </w:r>
      <w:r>
        <w:rPr>
          <w:spacing w:val="-8"/>
        </w:rPr>
        <w:t> </w:t>
      </w:r>
      <w:r>
        <w:rPr/>
        <w:t>such</w:t>
      </w:r>
      <w:r>
        <w:rPr>
          <w:spacing w:val="-7"/>
        </w:rPr>
        <w:t> </w:t>
      </w:r>
      <w:r>
        <w:rPr/>
        <w:t>as</w:t>
      </w:r>
      <w:r>
        <w:rPr>
          <w:spacing w:val="-8"/>
        </w:rPr>
        <w:t> </w:t>
      </w:r>
      <w:r>
        <w:rPr/>
        <w:t>buildings,</w:t>
      </w:r>
      <w:r>
        <w:rPr>
          <w:spacing w:val="-9"/>
        </w:rPr>
        <w:t> </w:t>
      </w:r>
      <w:r>
        <w:rPr/>
        <w:t>other</w:t>
      </w:r>
      <w:r>
        <w:rPr>
          <w:spacing w:val="-6"/>
        </w:rPr>
        <w:t> </w:t>
      </w:r>
      <w:r>
        <w:rPr/>
        <w:t>vehicles,</w:t>
      </w:r>
      <w:r>
        <w:rPr>
          <w:spacing w:val="-7"/>
        </w:rPr>
        <w:t> </w:t>
      </w:r>
      <w:r>
        <w:rPr/>
        <w:t>foliage,</w:t>
      </w:r>
      <w:r>
        <w:rPr>
          <w:spacing w:val="-7"/>
        </w:rPr>
        <w:t> </w:t>
      </w:r>
      <w:r>
        <w:rPr/>
        <w:t>etc.</w:t>
      </w:r>
      <w:r>
        <w:rPr>
          <w:spacing w:val="-9"/>
        </w:rPr>
        <w:t> </w:t>
      </w:r>
      <w:r>
        <w:rPr/>
        <w:t>can</w:t>
      </w:r>
      <w:r>
        <w:rPr>
          <w:spacing w:val="-7"/>
        </w:rPr>
        <w:t> </w:t>
      </w:r>
      <w:r>
        <w:rPr/>
        <w:t>be</w:t>
      </w:r>
      <w:r>
        <w:rPr>
          <w:spacing w:val="-10"/>
        </w:rPr>
        <w:t> </w:t>
      </w:r>
      <w:r>
        <w:rPr/>
        <w:t>significantly</w:t>
      </w:r>
      <w:r>
        <w:rPr>
          <w:spacing w:val="-13"/>
        </w:rPr>
        <w:t> </w:t>
      </w:r>
      <w:r>
        <w:rPr/>
        <w:t>mitigated</w:t>
      </w:r>
      <w:r>
        <w:rPr>
          <w:spacing w:val="-5"/>
        </w:rPr>
        <w:t> </w:t>
      </w:r>
      <w:r>
        <w:rPr/>
        <w:t>with</w:t>
      </w:r>
      <w:r>
        <w:rPr>
          <w:spacing w:val="-10"/>
        </w:rPr>
        <w:t> </w:t>
      </w:r>
      <w:r>
        <w:rPr/>
        <w:t>C-V2X.</w:t>
      </w:r>
      <w:r>
        <w:rPr>
          <w:spacing w:val="-7"/>
        </w:rPr>
        <w:t> </w:t>
      </w:r>
      <w:r>
        <w:rPr/>
        <w:t>Note</w:t>
      </w:r>
      <w:r>
        <w:rPr>
          <w:spacing w:val="-8"/>
        </w:rPr>
        <w:t> </w:t>
      </w:r>
      <w:r>
        <w:rPr/>
        <w:t>that non-line-of-sight (NLOS) conditions created by obstructions are the most relevant scenarios for V2X technologies</w:t>
      </w:r>
      <w:r>
        <w:rPr>
          <w:spacing w:val="-6"/>
        </w:rPr>
        <w:t> </w:t>
      </w:r>
      <w:r>
        <w:rPr/>
        <w:t>as</w:t>
      </w:r>
      <w:r>
        <w:rPr>
          <w:spacing w:val="-6"/>
        </w:rPr>
        <w:t> </w:t>
      </w:r>
      <w:r>
        <w:rPr/>
        <w:t>existing</w:t>
      </w:r>
      <w:r>
        <w:rPr>
          <w:spacing w:val="-7"/>
        </w:rPr>
        <w:t> </w:t>
      </w:r>
      <w:r>
        <w:rPr/>
        <w:t>sensing</w:t>
      </w:r>
      <w:r>
        <w:rPr>
          <w:spacing w:val="-7"/>
        </w:rPr>
        <w:t> </w:t>
      </w:r>
      <w:r>
        <w:rPr/>
        <w:t>techniques</w:t>
      </w:r>
      <w:r>
        <w:rPr>
          <w:spacing w:val="-6"/>
        </w:rPr>
        <w:t> </w:t>
      </w:r>
      <w:r>
        <w:rPr/>
        <w:t>such</w:t>
      </w:r>
      <w:r>
        <w:rPr>
          <w:spacing w:val="-7"/>
        </w:rPr>
        <w:t> </w:t>
      </w:r>
      <w:r>
        <w:rPr/>
        <w:t>as</w:t>
      </w:r>
      <w:r>
        <w:rPr>
          <w:spacing w:val="-6"/>
        </w:rPr>
        <w:t> </w:t>
      </w:r>
      <w:r>
        <w:rPr/>
        <w:t>LiDAR</w:t>
      </w:r>
      <w:r>
        <w:rPr>
          <w:spacing w:val="-6"/>
        </w:rPr>
        <w:t> </w:t>
      </w:r>
      <w:r>
        <w:rPr/>
        <w:t>or</w:t>
      </w:r>
      <w:r>
        <w:rPr>
          <w:spacing w:val="-6"/>
        </w:rPr>
        <w:t> </w:t>
      </w:r>
      <w:r>
        <w:rPr/>
        <w:t>radar</w:t>
      </w:r>
      <w:r>
        <w:rPr>
          <w:spacing w:val="-6"/>
        </w:rPr>
        <w:t> </w:t>
      </w:r>
      <w:r>
        <w:rPr/>
        <w:t>do</w:t>
      </w:r>
      <w:r>
        <w:rPr>
          <w:spacing w:val="-7"/>
        </w:rPr>
        <w:t> </w:t>
      </w:r>
      <w:r>
        <w:rPr/>
        <w:t>not</w:t>
      </w:r>
      <w:r>
        <w:rPr>
          <w:spacing w:val="-4"/>
        </w:rPr>
        <w:t> </w:t>
      </w:r>
      <w:r>
        <w:rPr/>
        <w:t>work</w:t>
      </w:r>
      <w:r>
        <w:rPr>
          <w:spacing w:val="5"/>
        </w:rPr>
        <w:t> </w:t>
      </w:r>
      <w:r>
        <w:rPr/>
        <w:t>well</w:t>
      </w:r>
      <w:r>
        <w:rPr>
          <w:spacing w:val="-5"/>
        </w:rPr>
        <w:t> </w:t>
      </w:r>
      <w:r>
        <w:rPr/>
        <w:t>under</w:t>
      </w:r>
      <w:r>
        <w:rPr>
          <w:spacing w:val="-6"/>
        </w:rPr>
        <w:t> </w:t>
      </w:r>
      <w:r>
        <w:rPr/>
        <w:t>NLOS</w:t>
      </w:r>
      <w:r>
        <w:rPr>
          <w:spacing w:val="-7"/>
        </w:rPr>
        <w:t> </w:t>
      </w:r>
      <w:r>
        <w:rPr/>
        <w:t>conditions.</w:t>
      </w:r>
    </w:p>
    <w:p>
      <w:pPr>
        <w:pStyle w:val="BodyText"/>
        <w:spacing w:before="1"/>
        <w:rPr>
          <w:sz w:val="31"/>
        </w:rPr>
      </w:pPr>
    </w:p>
    <w:p>
      <w:pPr>
        <w:pStyle w:val="Heading2"/>
        <w:numPr>
          <w:ilvl w:val="1"/>
          <w:numId w:val="29"/>
        </w:numPr>
        <w:tabs>
          <w:tab w:pos="2267" w:val="left" w:leader="none"/>
        </w:tabs>
        <w:spacing w:line="240" w:lineRule="auto" w:before="0" w:after="0"/>
        <w:ind w:left="2266" w:right="0" w:hanging="1133"/>
        <w:jc w:val="both"/>
      </w:pPr>
      <w:bookmarkStart w:name="_bookmark137" w:id="205"/>
      <w:bookmarkEnd w:id="205"/>
      <w:r>
        <w:rPr/>
      </w:r>
      <w:bookmarkStart w:name="_bookmark137" w:id="206"/>
      <w:bookmarkEnd w:id="206"/>
      <w:r>
        <w:rPr/>
        <w:t>Interfe</w:t>
      </w:r>
      <w:r>
        <w:rPr/>
        <w:t>rence Lab</w:t>
      </w:r>
      <w:r>
        <w:rPr>
          <w:spacing w:val="-5"/>
        </w:rPr>
        <w:t> </w:t>
      </w:r>
      <w:r>
        <w:rPr/>
        <w:t>Tests</w:t>
      </w:r>
    </w:p>
    <w:p>
      <w:pPr>
        <w:pStyle w:val="Heading7"/>
        <w:spacing w:before="179"/>
        <w:jc w:val="both"/>
      </w:pPr>
      <w:r>
        <w:rPr/>
        <w:t>Adjacent/Non-Adjacent Channel Interference Lab Test</w:t>
      </w:r>
    </w:p>
    <w:p>
      <w:pPr>
        <w:pStyle w:val="BodyText"/>
        <w:spacing w:before="183"/>
        <w:ind w:left="1133"/>
        <w:jc w:val="both"/>
      </w:pPr>
      <w:r>
        <w:rPr/>
        <w:t>The following test cases were performed.</w:t>
      </w:r>
    </w:p>
    <w:p>
      <w:pPr>
        <w:pStyle w:val="ListParagraph"/>
        <w:numPr>
          <w:ilvl w:val="2"/>
          <w:numId w:val="29"/>
        </w:numPr>
        <w:tabs>
          <w:tab w:pos="1701" w:val="left" w:leader="none"/>
          <w:tab w:pos="1702" w:val="left" w:leader="none"/>
        </w:tabs>
        <w:spacing w:line="240" w:lineRule="auto" w:before="180" w:after="0"/>
        <w:ind w:left="1701" w:right="0" w:hanging="285"/>
        <w:jc w:val="left"/>
        <w:rPr>
          <w:sz w:val="20"/>
        </w:rPr>
      </w:pPr>
      <w:r>
        <w:rPr>
          <w:sz w:val="20"/>
        </w:rPr>
        <w:t>Intra-System Interference</w:t>
      </w:r>
      <w:r>
        <w:rPr>
          <w:spacing w:val="-12"/>
          <w:sz w:val="20"/>
        </w:rPr>
        <w:t> </w:t>
      </w:r>
      <w:r>
        <w:rPr>
          <w:sz w:val="20"/>
        </w:rPr>
        <w:t>Testing</w:t>
      </w:r>
    </w:p>
    <w:p>
      <w:pPr>
        <w:pStyle w:val="ListParagraph"/>
        <w:numPr>
          <w:ilvl w:val="3"/>
          <w:numId w:val="29"/>
        </w:numPr>
        <w:tabs>
          <w:tab w:pos="1985" w:val="left" w:leader="none"/>
          <w:tab w:pos="1986" w:val="left" w:leader="none"/>
        </w:tabs>
        <w:spacing w:line="240" w:lineRule="auto" w:before="180" w:after="0"/>
        <w:ind w:left="1985" w:right="0" w:hanging="286"/>
        <w:jc w:val="left"/>
        <w:rPr>
          <w:sz w:val="20"/>
        </w:rPr>
      </w:pPr>
      <w:r>
        <w:rPr>
          <w:sz w:val="20"/>
        </w:rPr>
        <w:t>Hidden Node Scenario (section</w:t>
      </w:r>
      <w:r>
        <w:rPr>
          <w:spacing w:val="-13"/>
          <w:sz w:val="20"/>
        </w:rPr>
        <w:t> </w:t>
      </w:r>
      <w:r>
        <w:rPr>
          <w:sz w:val="20"/>
        </w:rPr>
        <w:t>7.3.1)</w:t>
      </w:r>
    </w:p>
    <w:p>
      <w:pPr>
        <w:pStyle w:val="ListParagraph"/>
        <w:numPr>
          <w:ilvl w:val="3"/>
          <w:numId w:val="29"/>
        </w:numPr>
        <w:tabs>
          <w:tab w:pos="1985" w:val="left" w:leader="none"/>
          <w:tab w:pos="1986" w:val="left" w:leader="none"/>
        </w:tabs>
        <w:spacing w:line="240" w:lineRule="auto" w:before="180" w:after="0"/>
        <w:ind w:left="1985" w:right="0" w:hanging="286"/>
        <w:jc w:val="left"/>
        <w:rPr>
          <w:sz w:val="20"/>
        </w:rPr>
      </w:pPr>
      <w:r>
        <w:rPr>
          <w:sz w:val="20"/>
        </w:rPr>
        <w:t>Interference caused by Near-Far Effect (section</w:t>
      </w:r>
      <w:r>
        <w:rPr>
          <w:spacing w:val="-18"/>
          <w:sz w:val="20"/>
        </w:rPr>
        <w:t> </w:t>
      </w:r>
      <w:r>
        <w:rPr>
          <w:sz w:val="20"/>
        </w:rPr>
        <w:t>7.3.2)</w:t>
      </w:r>
    </w:p>
    <w:p>
      <w:pPr>
        <w:pStyle w:val="BodyText"/>
        <w:spacing w:before="178"/>
        <w:ind w:left="1133" w:right="1136"/>
      </w:pPr>
      <w:r>
        <w:rPr/>
        <w:t>The procedures are described as C-V2X test procedures; however, it is straightforward to convert them to another V2X point-to-point radio technology (e.g., IEEE 802.11p).</w:t>
      </w:r>
    </w:p>
    <w:p>
      <w:pPr>
        <w:pStyle w:val="BodyText"/>
        <w:rPr>
          <w:sz w:val="26"/>
        </w:rPr>
      </w:pPr>
    </w:p>
    <w:p>
      <w:pPr>
        <w:pStyle w:val="ListParagraph"/>
        <w:numPr>
          <w:ilvl w:val="2"/>
          <w:numId w:val="30"/>
        </w:numPr>
        <w:tabs>
          <w:tab w:pos="2267" w:val="left" w:leader="none"/>
        </w:tabs>
        <w:spacing w:line="240" w:lineRule="auto" w:before="0" w:after="0"/>
        <w:ind w:left="2266" w:right="0" w:hanging="1133"/>
        <w:jc w:val="both"/>
        <w:rPr>
          <w:sz w:val="28"/>
        </w:rPr>
      </w:pPr>
      <w:bookmarkStart w:name="_bookmark138" w:id="207"/>
      <w:bookmarkEnd w:id="207"/>
      <w:r>
        <w:rPr/>
      </w:r>
      <w:bookmarkStart w:name="_bookmark138" w:id="208"/>
      <w:bookmarkEnd w:id="208"/>
      <w:r>
        <w:rPr>
          <w:sz w:val="28"/>
        </w:rPr>
        <w:t>H</w:t>
      </w:r>
      <w:r>
        <w:rPr>
          <w:sz w:val="28"/>
        </w:rPr>
        <w:t>idden Node</w:t>
      </w:r>
      <w:r>
        <w:rPr>
          <w:spacing w:val="-3"/>
          <w:sz w:val="28"/>
        </w:rPr>
        <w:t> </w:t>
      </w:r>
      <w:r>
        <w:rPr>
          <w:sz w:val="28"/>
        </w:rPr>
        <w:t>Scenario</w:t>
      </w:r>
    </w:p>
    <w:p>
      <w:pPr>
        <w:pStyle w:val="BodyText"/>
        <w:spacing w:before="10"/>
        <w:rPr>
          <w:sz w:val="25"/>
        </w:rPr>
      </w:pPr>
    </w:p>
    <w:p>
      <w:pPr>
        <w:pStyle w:val="Heading5"/>
        <w:numPr>
          <w:ilvl w:val="3"/>
          <w:numId w:val="30"/>
        </w:numPr>
        <w:tabs>
          <w:tab w:pos="2552" w:val="left" w:leader="none"/>
        </w:tabs>
        <w:spacing w:line="240" w:lineRule="auto" w:before="0" w:after="0"/>
        <w:ind w:left="2551" w:right="0" w:hanging="1418"/>
        <w:jc w:val="both"/>
        <w:rPr>
          <w:rFonts w:ascii="Arial"/>
        </w:rPr>
      </w:pPr>
      <w:r>
        <w:rPr>
          <w:rFonts w:ascii="Arial"/>
        </w:rPr>
        <w:t>Background</w:t>
      </w:r>
    </w:p>
    <w:p>
      <w:pPr>
        <w:pStyle w:val="BodyText"/>
        <w:spacing w:before="181"/>
        <w:ind w:left="1133" w:right="1131"/>
        <w:jc w:val="both"/>
      </w:pPr>
      <w:r>
        <w:rPr/>
        <w:t>This test assesses the performance of a V2X device during a resource collision scenario (hidden node phenomenon). The hidden node scenario is reproducible in a highly congested environment, for example, OBUs</w:t>
      </w:r>
      <w:r>
        <w:rPr>
          <w:spacing w:val="-9"/>
        </w:rPr>
        <w:t> </w:t>
      </w:r>
      <w:r>
        <w:rPr/>
        <w:t>located</w:t>
      </w:r>
      <w:r>
        <w:rPr>
          <w:spacing w:val="-8"/>
        </w:rPr>
        <w:t> </w:t>
      </w:r>
      <w:r>
        <w:rPr/>
        <w:t>at</w:t>
      </w:r>
      <w:r>
        <w:rPr>
          <w:spacing w:val="-8"/>
        </w:rPr>
        <w:t> </w:t>
      </w:r>
      <w:r>
        <w:rPr/>
        <w:t>opposite</w:t>
      </w:r>
      <w:r>
        <w:rPr>
          <w:spacing w:val="-8"/>
        </w:rPr>
        <w:t> </w:t>
      </w:r>
      <w:r>
        <w:rPr/>
        <w:t>edges</w:t>
      </w:r>
      <w:r>
        <w:rPr>
          <w:spacing w:val="-7"/>
        </w:rPr>
        <w:t> </w:t>
      </w:r>
      <w:r>
        <w:rPr/>
        <w:t>of</w:t>
      </w:r>
      <w:r>
        <w:rPr>
          <w:spacing w:val="-8"/>
        </w:rPr>
        <w:t> </w:t>
      </w:r>
      <w:r>
        <w:rPr/>
        <w:t>one</w:t>
      </w:r>
      <w:r>
        <w:rPr>
          <w:spacing w:val="-8"/>
        </w:rPr>
        <w:t> </w:t>
      </w:r>
      <w:r>
        <w:rPr/>
        <w:t>OBU’s</w:t>
      </w:r>
      <w:r>
        <w:rPr>
          <w:spacing w:val="-9"/>
        </w:rPr>
        <w:t> </w:t>
      </w:r>
      <w:r>
        <w:rPr/>
        <w:t>communication</w:t>
      </w:r>
      <w:r>
        <w:rPr>
          <w:spacing w:val="-9"/>
        </w:rPr>
        <w:t> </w:t>
      </w:r>
      <w:r>
        <w:rPr/>
        <w:t>range.</w:t>
      </w:r>
      <w:r>
        <w:rPr>
          <w:spacing w:val="-8"/>
        </w:rPr>
        <w:t> </w:t>
      </w:r>
      <w:r>
        <w:rPr/>
        <w:t>Those</w:t>
      </w:r>
      <w:r>
        <w:rPr>
          <w:spacing w:val="-10"/>
        </w:rPr>
        <w:t> </w:t>
      </w:r>
      <w:r>
        <w:rPr/>
        <w:t>transmitter</w:t>
      </w:r>
      <w:r>
        <w:rPr>
          <w:spacing w:val="-9"/>
        </w:rPr>
        <w:t> </w:t>
      </w:r>
      <w:r>
        <w:rPr/>
        <w:t>devices</w:t>
      </w:r>
      <w:r>
        <w:rPr>
          <w:spacing w:val="-9"/>
        </w:rPr>
        <w:t> </w:t>
      </w:r>
      <w:r>
        <w:rPr/>
        <w:t>cannot</w:t>
      </w:r>
      <w:r>
        <w:rPr>
          <w:spacing w:val="-8"/>
        </w:rPr>
        <w:t> </w:t>
      </w:r>
      <w:r>
        <w:rPr/>
        <w:t>sense each</w:t>
      </w:r>
      <w:r>
        <w:rPr>
          <w:spacing w:val="-5"/>
        </w:rPr>
        <w:t> </w:t>
      </w:r>
      <w:r>
        <w:rPr/>
        <w:t>other</w:t>
      </w:r>
      <w:r>
        <w:rPr>
          <w:spacing w:val="-4"/>
        </w:rPr>
        <w:t> </w:t>
      </w:r>
      <w:r>
        <w:rPr/>
        <w:t>and</w:t>
      </w:r>
      <w:r>
        <w:rPr>
          <w:spacing w:val="-5"/>
        </w:rPr>
        <w:t> </w:t>
      </w:r>
      <w:r>
        <w:rPr/>
        <w:t>can</w:t>
      </w:r>
      <w:r>
        <w:rPr>
          <w:spacing w:val="-5"/>
        </w:rPr>
        <w:t> </w:t>
      </w:r>
      <w:r>
        <w:rPr/>
        <w:t>transmit</w:t>
      </w:r>
      <w:r>
        <w:rPr>
          <w:spacing w:val="-4"/>
        </w:rPr>
        <w:t> </w:t>
      </w:r>
      <w:r>
        <w:rPr/>
        <w:t>on</w:t>
      </w:r>
      <w:r>
        <w:rPr>
          <w:spacing w:val="-5"/>
        </w:rPr>
        <w:t> </w:t>
      </w:r>
      <w:r>
        <w:rPr/>
        <w:t>the</w:t>
      </w:r>
      <w:r>
        <w:rPr>
          <w:spacing w:val="-5"/>
        </w:rPr>
        <w:t> </w:t>
      </w:r>
      <w:r>
        <w:rPr/>
        <w:t>same</w:t>
      </w:r>
      <w:r>
        <w:rPr>
          <w:spacing w:val="-5"/>
        </w:rPr>
        <w:t> </w:t>
      </w:r>
      <w:r>
        <w:rPr/>
        <w:t>subframe</w:t>
      </w:r>
      <w:r>
        <w:rPr>
          <w:spacing w:val="-5"/>
        </w:rPr>
        <w:t> </w:t>
      </w:r>
      <w:r>
        <w:rPr/>
        <w:t>to</w:t>
      </w:r>
      <w:r>
        <w:rPr>
          <w:spacing w:val="-5"/>
        </w:rPr>
        <w:t> </w:t>
      </w:r>
      <w:r>
        <w:rPr/>
        <w:t>the</w:t>
      </w:r>
      <w:r>
        <w:rPr>
          <w:spacing w:val="-5"/>
        </w:rPr>
        <w:t> </w:t>
      </w:r>
      <w:r>
        <w:rPr/>
        <w:t>OBU</w:t>
      </w:r>
      <w:r>
        <w:rPr>
          <w:spacing w:val="-2"/>
        </w:rPr>
        <w:t> </w:t>
      </w:r>
      <w:r>
        <w:rPr/>
        <w:t>in</w:t>
      </w:r>
      <w:r>
        <w:rPr>
          <w:spacing w:val="-5"/>
        </w:rPr>
        <w:t> </w:t>
      </w:r>
      <w:r>
        <w:rPr/>
        <w:t>the</w:t>
      </w:r>
      <w:r>
        <w:rPr>
          <w:spacing w:val="-5"/>
        </w:rPr>
        <w:t> </w:t>
      </w:r>
      <w:r>
        <w:rPr/>
        <w:t>middle</w:t>
      </w:r>
      <w:r>
        <w:rPr>
          <w:spacing w:val="-2"/>
        </w:rPr>
        <w:t> </w:t>
      </w:r>
      <w:r>
        <w:rPr/>
        <w:t>which</w:t>
      </w:r>
      <w:r>
        <w:rPr>
          <w:spacing w:val="-2"/>
        </w:rPr>
        <w:t> </w:t>
      </w:r>
      <w:r>
        <w:rPr/>
        <w:t>produces</w:t>
      </w:r>
      <w:r>
        <w:rPr>
          <w:spacing w:val="-4"/>
        </w:rPr>
        <w:t> </w:t>
      </w:r>
      <w:r>
        <w:rPr/>
        <w:t>a</w:t>
      </w:r>
      <w:r>
        <w:rPr>
          <w:spacing w:val="-5"/>
        </w:rPr>
        <w:t> </w:t>
      </w:r>
      <w:r>
        <w:rPr/>
        <w:t>collision</w:t>
      </w:r>
      <w:r>
        <w:rPr>
          <w:spacing w:val="-5"/>
        </w:rPr>
        <w:t> </w:t>
      </w:r>
      <w:r>
        <w:rPr/>
        <w:t>at</w:t>
      </w:r>
      <w:r>
        <w:rPr>
          <w:spacing w:val="-2"/>
        </w:rPr>
        <w:t> </w:t>
      </w:r>
      <w:r>
        <w:rPr/>
        <w:t>the latter</w:t>
      </w:r>
      <w:r>
        <w:rPr>
          <w:spacing w:val="-7"/>
        </w:rPr>
        <w:t> </w:t>
      </w:r>
      <w:r>
        <w:rPr/>
        <w:t>device.</w:t>
      </w:r>
    </w:p>
    <w:p>
      <w:pPr>
        <w:pStyle w:val="BodyText"/>
        <w:spacing w:before="11"/>
        <w:rPr>
          <w:sz w:val="25"/>
        </w:rPr>
      </w:pPr>
    </w:p>
    <w:p>
      <w:pPr>
        <w:pStyle w:val="Heading5"/>
        <w:numPr>
          <w:ilvl w:val="3"/>
          <w:numId w:val="30"/>
        </w:numPr>
        <w:tabs>
          <w:tab w:pos="2552" w:val="left" w:leader="none"/>
        </w:tabs>
        <w:spacing w:line="240" w:lineRule="auto" w:before="0" w:after="0"/>
        <w:ind w:left="2551" w:right="0" w:hanging="1418"/>
        <w:jc w:val="both"/>
        <w:rPr>
          <w:rFonts w:ascii="Arial"/>
        </w:rPr>
      </w:pPr>
      <w:r>
        <w:rPr>
          <w:rFonts w:ascii="Arial"/>
        </w:rPr>
        <w:t>Assumptions</w:t>
      </w:r>
    </w:p>
    <w:p>
      <w:pPr>
        <w:pStyle w:val="BodyText"/>
        <w:spacing w:before="181"/>
        <w:ind w:left="1133" w:right="1161"/>
      </w:pPr>
      <w:r>
        <w:rPr/>
        <w:t>Lab setup with cabled or over-the-air RF environment: The test case is specified with a cabled environment in section 7.3.1.3, but it can also be adapted to an RF laboratory</w:t>
      </w:r>
      <w:r>
        <w:rPr>
          <w:spacing w:val="-19"/>
        </w:rPr>
        <w:t> </w:t>
      </w:r>
      <w:r>
        <w:rPr/>
        <w:t>environment.</w:t>
      </w:r>
    </w:p>
    <w:p>
      <w:pPr>
        <w:pStyle w:val="BodyText"/>
        <w:spacing w:before="180"/>
        <w:ind w:left="1133" w:right="1136"/>
      </w:pPr>
      <w:r>
        <w:rPr/>
        <w:t>The operating system time of all the transmitter and receiver boxes is synchronized to a common clock (e.g., GPS) with an error of no more than 1 ms.</w:t>
      </w:r>
    </w:p>
    <w:p>
      <w:pPr>
        <w:pStyle w:val="BodyText"/>
        <w:spacing w:before="180"/>
        <w:ind w:left="1133"/>
        <w:jc w:val="both"/>
      </w:pPr>
      <w:r>
        <w:rPr/>
        <w:t>All devices operate in the same channel (e.g., 172).</w:t>
      </w:r>
    </w:p>
    <w:p>
      <w:pPr>
        <w:pStyle w:val="BodyText"/>
        <w:spacing w:before="8"/>
        <w:rPr>
          <w:sz w:val="25"/>
        </w:rPr>
      </w:pPr>
    </w:p>
    <w:p>
      <w:pPr>
        <w:pStyle w:val="Heading5"/>
        <w:numPr>
          <w:ilvl w:val="3"/>
          <w:numId w:val="30"/>
        </w:numPr>
        <w:tabs>
          <w:tab w:pos="2552" w:val="left" w:leader="none"/>
        </w:tabs>
        <w:spacing w:line="240" w:lineRule="auto" w:before="1" w:after="0"/>
        <w:ind w:left="2551" w:right="0" w:hanging="1418"/>
        <w:jc w:val="both"/>
        <w:rPr>
          <w:rFonts w:ascii="Arial"/>
        </w:rPr>
      </w:pPr>
      <w:r>
        <w:rPr>
          <w:rFonts w:ascii="Arial"/>
        </w:rPr>
        <w:t>Setup</w:t>
      </w:r>
    </w:p>
    <w:p>
      <w:pPr>
        <w:pStyle w:val="BodyText"/>
        <w:spacing w:before="182"/>
        <w:ind w:left="1133"/>
        <w:jc w:val="both"/>
      </w:pPr>
      <w:r>
        <w:rPr/>
        <w:t>Two different configurations run the hidden node test scenario.</w:t>
      </w:r>
    </w:p>
    <w:p>
      <w:pPr>
        <w:pStyle w:val="Heading7"/>
        <w:spacing w:before="178"/>
        <w:jc w:val="both"/>
      </w:pPr>
      <w:r>
        <w:rPr/>
        <w:t>Configuration1 – Without congesting devices</w:t>
      </w:r>
    </w:p>
    <w:p>
      <w:pPr>
        <w:pStyle w:val="BodyText"/>
        <w:spacing w:before="183"/>
        <w:ind w:left="1133"/>
        <w:jc w:val="both"/>
      </w:pPr>
      <w:r>
        <w:rPr/>
        <w:t>We consider three devices (DUT1, DUT2, DUT3) in the setup in Figure 26.</w:t>
      </w:r>
    </w:p>
    <w:p>
      <w:pPr>
        <w:pStyle w:val="ListParagraph"/>
        <w:numPr>
          <w:ilvl w:val="0"/>
          <w:numId w:val="31"/>
        </w:numPr>
        <w:tabs>
          <w:tab w:pos="1701" w:val="left" w:leader="none"/>
          <w:tab w:pos="1702" w:val="left" w:leader="none"/>
        </w:tabs>
        <w:spacing w:line="240" w:lineRule="auto" w:before="180" w:after="0"/>
        <w:ind w:left="1702" w:right="0" w:hanging="286"/>
        <w:jc w:val="left"/>
        <w:rPr>
          <w:sz w:val="20"/>
        </w:rPr>
      </w:pPr>
      <w:r>
        <w:rPr>
          <w:sz w:val="20"/>
        </w:rPr>
        <w:t>Settings on Device 1</w:t>
      </w:r>
      <w:r>
        <w:rPr>
          <w:spacing w:val="-6"/>
          <w:sz w:val="20"/>
        </w:rPr>
        <w:t> </w:t>
      </w:r>
      <w:r>
        <w:rPr>
          <w:sz w:val="20"/>
        </w:rPr>
        <w:t>(DUT1):</w:t>
      </w:r>
    </w:p>
    <w:p>
      <w:pPr>
        <w:pStyle w:val="ListParagraph"/>
        <w:numPr>
          <w:ilvl w:val="1"/>
          <w:numId w:val="31"/>
        </w:numPr>
        <w:tabs>
          <w:tab w:pos="1985" w:val="left" w:leader="none"/>
          <w:tab w:pos="1986" w:val="left" w:leader="none"/>
        </w:tabs>
        <w:spacing w:line="240" w:lineRule="auto" w:before="180" w:after="0"/>
        <w:ind w:left="1985" w:right="0" w:hanging="286"/>
        <w:jc w:val="left"/>
        <w:rPr>
          <w:sz w:val="20"/>
        </w:rPr>
      </w:pPr>
      <w:r>
        <w:rPr>
          <w:sz w:val="20"/>
        </w:rPr>
        <w:t>SPS-based transmit flow with a periodicity of 100</w:t>
      </w:r>
      <w:r>
        <w:rPr>
          <w:spacing w:val="-18"/>
          <w:sz w:val="20"/>
        </w:rPr>
        <w:t> </w:t>
      </w:r>
      <w:r>
        <w:rPr>
          <w:sz w:val="20"/>
        </w:rPr>
        <w:t>ms</w:t>
      </w:r>
    </w:p>
    <w:p>
      <w:pPr>
        <w:pStyle w:val="ListParagraph"/>
        <w:numPr>
          <w:ilvl w:val="1"/>
          <w:numId w:val="31"/>
        </w:numPr>
        <w:tabs>
          <w:tab w:pos="1985" w:val="left" w:leader="none"/>
          <w:tab w:pos="1986" w:val="left" w:leader="none"/>
        </w:tabs>
        <w:spacing w:line="240" w:lineRule="auto" w:before="180" w:after="0"/>
        <w:ind w:left="1985" w:right="0" w:hanging="286"/>
        <w:jc w:val="left"/>
        <w:rPr>
          <w:sz w:val="20"/>
        </w:rPr>
      </w:pPr>
      <w:r>
        <w:rPr>
          <w:sz w:val="20"/>
        </w:rPr>
        <w:t>Transmit with bandwidth of 10</w:t>
      </w:r>
      <w:r>
        <w:rPr>
          <w:spacing w:val="-14"/>
          <w:sz w:val="20"/>
        </w:rPr>
        <w:t> </w:t>
      </w:r>
      <w:r>
        <w:rPr>
          <w:sz w:val="20"/>
        </w:rPr>
        <w:t>MHz.</w:t>
      </w:r>
    </w:p>
    <w:p>
      <w:pPr>
        <w:spacing w:after="0" w:line="240" w:lineRule="auto"/>
        <w:jc w:val="left"/>
        <w:rPr>
          <w:sz w:val="20"/>
        </w:rPr>
        <w:sectPr>
          <w:headerReference w:type="default" r:id="rId277"/>
          <w:pgSz w:w="11910" w:h="16850"/>
          <w:pgMar w:header="852" w:footer="979" w:top="1040" w:bottom="1160" w:left="0" w:right="0"/>
        </w:sectPr>
      </w:pPr>
    </w:p>
    <w:p>
      <w:pPr>
        <w:pStyle w:val="BodyText"/>
      </w:pPr>
    </w:p>
    <w:p>
      <w:pPr>
        <w:pStyle w:val="BodyText"/>
      </w:pPr>
    </w:p>
    <w:p>
      <w:pPr>
        <w:pStyle w:val="BodyText"/>
        <w:spacing w:before="11"/>
        <w:rPr>
          <w:sz w:val="18"/>
        </w:rPr>
      </w:pPr>
    </w:p>
    <w:p>
      <w:pPr>
        <w:pStyle w:val="ListParagraph"/>
        <w:numPr>
          <w:ilvl w:val="0"/>
          <w:numId w:val="31"/>
        </w:numPr>
        <w:tabs>
          <w:tab w:pos="1701" w:val="left" w:leader="none"/>
          <w:tab w:pos="1702" w:val="left" w:leader="none"/>
        </w:tabs>
        <w:spacing w:line="240" w:lineRule="auto" w:before="92" w:after="0"/>
        <w:ind w:left="1701" w:right="0" w:hanging="285"/>
        <w:jc w:val="left"/>
        <w:rPr>
          <w:sz w:val="20"/>
        </w:rPr>
      </w:pPr>
      <w:r>
        <w:rPr>
          <w:sz w:val="20"/>
        </w:rPr>
        <w:t>Settings on Device 2</w:t>
      </w:r>
      <w:r>
        <w:rPr>
          <w:spacing w:val="-6"/>
          <w:sz w:val="20"/>
        </w:rPr>
        <w:t> </w:t>
      </w:r>
      <w:r>
        <w:rPr>
          <w:sz w:val="20"/>
        </w:rPr>
        <w:t>(DUT2):</w:t>
      </w:r>
    </w:p>
    <w:p>
      <w:pPr>
        <w:pStyle w:val="ListParagraph"/>
        <w:numPr>
          <w:ilvl w:val="1"/>
          <w:numId w:val="31"/>
        </w:numPr>
        <w:tabs>
          <w:tab w:pos="1985" w:val="left" w:leader="none"/>
          <w:tab w:pos="1986" w:val="left" w:leader="none"/>
        </w:tabs>
        <w:spacing w:line="240" w:lineRule="auto" w:before="179" w:after="0"/>
        <w:ind w:left="1985" w:right="1142" w:hanging="286"/>
        <w:jc w:val="left"/>
        <w:rPr>
          <w:sz w:val="20"/>
        </w:rPr>
      </w:pPr>
      <w:r>
        <w:rPr>
          <w:sz w:val="20"/>
        </w:rPr>
        <w:t>SPS-based transmit flow with a periodicity of 100 ms (Note: equivalent to setting a periodic stream at 100 ms period for other</w:t>
      </w:r>
      <w:r>
        <w:rPr>
          <w:spacing w:val="-14"/>
          <w:sz w:val="20"/>
        </w:rPr>
        <w:t> </w:t>
      </w:r>
      <w:r>
        <w:rPr>
          <w:sz w:val="20"/>
        </w:rPr>
        <w:t>technologies).</w:t>
      </w:r>
    </w:p>
    <w:p>
      <w:pPr>
        <w:pStyle w:val="ListParagraph"/>
        <w:numPr>
          <w:ilvl w:val="1"/>
          <w:numId w:val="31"/>
        </w:numPr>
        <w:tabs>
          <w:tab w:pos="1985" w:val="left" w:leader="none"/>
          <w:tab w:pos="1986" w:val="left" w:leader="none"/>
        </w:tabs>
        <w:spacing w:line="240" w:lineRule="auto" w:before="179" w:after="0"/>
        <w:ind w:left="1985" w:right="0" w:hanging="286"/>
        <w:jc w:val="left"/>
        <w:rPr>
          <w:sz w:val="20"/>
        </w:rPr>
      </w:pPr>
      <w:r>
        <w:rPr>
          <w:sz w:val="20"/>
        </w:rPr>
        <w:t>Transmit with bandwidth of 10</w:t>
      </w:r>
      <w:r>
        <w:rPr>
          <w:spacing w:val="-14"/>
          <w:sz w:val="20"/>
        </w:rPr>
        <w:t> </w:t>
      </w:r>
      <w:r>
        <w:rPr>
          <w:sz w:val="20"/>
        </w:rPr>
        <w:t>MHz.</w:t>
      </w:r>
    </w:p>
    <w:p>
      <w:pPr>
        <w:pStyle w:val="BodyText"/>
        <w:spacing w:before="179"/>
        <w:ind w:left="1133" w:right="1136"/>
      </w:pPr>
      <w:r>
        <w:rPr/>
        <w:t>DUT1</w:t>
      </w:r>
      <w:r>
        <w:rPr>
          <w:spacing w:val="-14"/>
        </w:rPr>
        <w:t> </w:t>
      </w:r>
      <w:r>
        <w:rPr/>
        <w:t>and</w:t>
      </w:r>
      <w:r>
        <w:rPr>
          <w:spacing w:val="-14"/>
        </w:rPr>
        <w:t> </w:t>
      </w:r>
      <w:r>
        <w:rPr/>
        <w:t>DUT2</w:t>
      </w:r>
      <w:r>
        <w:rPr>
          <w:spacing w:val="-14"/>
        </w:rPr>
        <w:t> </w:t>
      </w:r>
      <w:r>
        <w:rPr/>
        <w:t>are</w:t>
      </w:r>
      <w:r>
        <w:rPr>
          <w:spacing w:val="-11"/>
        </w:rPr>
        <w:t> </w:t>
      </w:r>
      <w:r>
        <w:rPr/>
        <w:t>isolated</w:t>
      </w:r>
      <w:r>
        <w:rPr>
          <w:spacing w:val="-14"/>
        </w:rPr>
        <w:t> </w:t>
      </w:r>
      <w:r>
        <w:rPr/>
        <w:t>from</w:t>
      </w:r>
      <w:r>
        <w:rPr>
          <w:spacing w:val="-11"/>
        </w:rPr>
        <w:t> </w:t>
      </w:r>
      <w:r>
        <w:rPr/>
        <w:t>each</w:t>
      </w:r>
      <w:r>
        <w:rPr>
          <w:spacing w:val="-14"/>
        </w:rPr>
        <w:t> </w:t>
      </w:r>
      <w:r>
        <w:rPr/>
        <w:t>other</w:t>
      </w:r>
      <w:r>
        <w:rPr>
          <w:spacing w:val="-13"/>
        </w:rPr>
        <w:t> </w:t>
      </w:r>
      <w:r>
        <w:rPr/>
        <w:t>such</w:t>
      </w:r>
      <w:r>
        <w:rPr>
          <w:spacing w:val="-14"/>
        </w:rPr>
        <w:t> </w:t>
      </w:r>
      <w:r>
        <w:rPr/>
        <w:t>that</w:t>
      </w:r>
      <w:r>
        <w:rPr>
          <w:spacing w:val="-12"/>
        </w:rPr>
        <w:t> </w:t>
      </w:r>
      <w:r>
        <w:rPr/>
        <w:t>both</w:t>
      </w:r>
      <w:r>
        <w:rPr>
          <w:spacing w:val="-14"/>
        </w:rPr>
        <w:t> </w:t>
      </w:r>
      <w:r>
        <w:rPr/>
        <w:t>the</w:t>
      </w:r>
      <w:r>
        <w:rPr>
          <w:spacing w:val="-15"/>
        </w:rPr>
        <w:t> </w:t>
      </w:r>
      <w:r>
        <w:rPr/>
        <w:t>transmit</w:t>
      </w:r>
      <w:r>
        <w:rPr>
          <w:spacing w:val="-14"/>
        </w:rPr>
        <w:t> </w:t>
      </w:r>
      <w:r>
        <w:rPr/>
        <w:t>devices</w:t>
      </w:r>
      <w:r>
        <w:rPr>
          <w:spacing w:val="-13"/>
        </w:rPr>
        <w:t> </w:t>
      </w:r>
      <w:r>
        <w:rPr/>
        <w:t>(DUT1</w:t>
      </w:r>
      <w:r>
        <w:rPr>
          <w:spacing w:val="-14"/>
        </w:rPr>
        <w:t> </w:t>
      </w:r>
      <w:r>
        <w:rPr/>
        <w:t>and</w:t>
      </w:r>
      <w:r>
        <w:rPr>
          <w:spacing w:val="-14"/>
        </w:rPr>
        <w:t> </w:t>
      </w:r>
      <w:r>
        <w:rPr/>
        <w:t>DUT2)</w:t>
      </w:r>
      <w:r>
        <w:rPr>
          <w:spacing w:val="-13"/>
        </w:rPr>
        <w:t> </w:t>
      </w:r>
      <w:r>
        <w:rPr/>
        <w:t>are</w:t>
      </w:r>
      <w:r>
        <w:rPr>
          <w:spacing w:val="-14"/>
        </w:rPr>
        <w:t> </w:t>
      </w:r>
      <w:r>
        <w:rPr/>
        <w:t>unable to decode each other’s</w:t>
      </w:r>
      <w:r>
        <w:rPr>
          <w:spacing w:val="-8"/>
        </w:rPr>
        <w:t> </w:t>
      </w:r>
      <w:r>
        <w:rPr/>
        <w:t>transmissions.</w:t>
      </w:r>
    </w:p>
    <w:p>
      <w:pPr>
        <w:pStyle w:val="ListParagraph"/>
        <w:numPr>
          <w:ilvl w:val="0"/>
          <w:numId w:val="31"/>
        </w:numPr>
        <w:tabs>
          <w:tab w:pos="1701" w:val="left" w:leader="none"/>
          <w:tab w:pos="1702" w:val="left" w:leader="none"/>
        </w:tabs>
        <w:spacing w:line="240" w:lineRule="auto" w:before="179" w:after="0"/>
        <w:ind w:left="1701" w:right="0" w:hanging="285"/>
        <w:jc w:val="left"/>
        <w:rPr>
          <w:sz w:val="20"/>
        </w:rPr>
      </w:pPr>
      <w:r>
        <w:rPr>
          <w:sz w:val="20"/>
        </w:rPr>
        <w:t>Settings on Device 3</w:t>
      </w:r>
      <w:r>
        <w:rPr>
          <w:spacing w:val="-6"/>
          <w:sz w:val="20"/>
        </w:rPr>
        <w:t> </w:t>
      </w:r>
      <w:r>
        <w:rPr>
          <w:sz w:val="20"/>
        </w:rPr>
        <w:t>(DUT3):</w:t>
      </w:r>
    </w:p>
    <w:p>
      <w:pPr>
        <w:pStyle w:val="ListParagraph"/>
        <w:numPr>
          <w:ilvl w:val="1"/>
          <w:numId w:val="31"/>
        </w:numPr>
        <w:tabs>
          <w:tab w:pos="1985" w:val="left" w:leader="none"/>
          <w:tab w:pos="1986" w:val="left" w:leader="none"/>
        </w:tabs>
        <w:spacing w:line="240" w:lineRule="auto" w:before="179" w:after="0"/>
        <w:ind w:left="1985" w:right="0" w:hanging="286"/>
        <w:jc w:val="left"/>
        <w:rPr>
          <w:sz w:val="20"/>
        </w:rPr>
      </w:pPr>
      <w:r>
        <w:rPr>
          <w:sz w:val="20"/>
        </w:rPr>
        <w:t>Configured to receive on ITS band of 10</w:t>
      </w:r>
      <w:r>
        <w:rPr>
          <w:spacing w:val="-14"/>
          <w:sz w:val="20"/>
        </w:rPr>
        <w:t> </w:t>
      </w:r>
      <w:r>
        <w:rPr>
          <w:sz w:val="20"/>
        </w:rPr>
        <w:t>MHz</w:t>
      </w:r>
    </w:p>
    <w:p>
      <w:pPr>
        <w:pStyle w:val="ListParagraph"/>
        <w:numPr>
          <w:ilvl w:val="1"/>
          <w:numId w:val="31"/>
        </w:numPr>
        <w:tabs>
          <w:tab w:pos="1985" w:val="left" w:leader="none"/>
          <w:tab w:pos="1986" w:val="left" w:leader="none"/>
        </w:tabs>
        <w:spacing w:line="240" w:lineRule="auto" w:before="177" w:after="0"/>
        <w:ind w:left="1985" w:right="0" w:hanging="286"/>
        <w:jc w:val="left"/>
        <w:rPr>
          <w:sz w:val="20"/>
        </w:rPr>
      </w:pPr>
      <w:r>
        <w:rPr>
          <w:sz w:val="20"/>
        </w:rPr>
        <w:t>All measurements of receiving side performance are done on this</w:t>
      </w:r>
      <w:r>
        <w:rPr>
          <w:spacing w:val="-15"/>
          <w:sz w:val="20"/>
        </w:rPr>
        <w:t> </w:t>
      </w:r>
      <w:r>
        <w:rPr>
          <w:sz w:val="20"/>
        </w:rPr>
        <w:t>device.</w:t>
      </w:r>
    </w:p>
    <w:p>
      <w:pPr>
        <w:pStyle w:val="ListParagraph"/>
        <w:numPr>
          <w:ilvl w:val="0"/>
          <w:numId w:val="31"/>
        </w:numPr>
        <w:tabs>
          <w:tab w:pos="1701" w:val="left" w:leader="none"/>
          <w:tab w:pos="1702" w:val="left" w:leader="none"/>
        </w:tabs>
        <w:spacing w:line="240" w:lineRule="auto" w:before="180" w:after="0"/>
        <w:ind w:left="1701" w:right="0" w:hanging="285"/>
        <w:jc w:val="left"/>
        <w:rPr>
          <w:sz w:val="20"/>
        </w:rPr>
      </w:pPr>
      <w:r>
        <w:rPr>
          <w:sz w:val="20"/>
        </w:rPr>
        <w:t>Variable attenuators VA1, VA2 are set to 50 dB</w:t>
      </w:r>
      <w:r>
        <w:rPr>
          <w:spacing w:val="-16"/>
          <w:sz w:val="20"/>
        </w:rPr>
        <w:t> </w:t>
      </w:r>
      <w:r>
        <w:rPr>
          <w:sz w:val="20"/>
        </w:rPr>
        <w:t>attenuation.</w:t>
      </w:r>
    </w:p>
    <w:p>
      <w:pPr>
        <w:pStyle w:val="ListParagraph"/>
        <w:numPr>
          <w:ilvl w:val="0"/>
          <w:numId w:val="31"/>
        </w:numPr>
        <w:tabs>
          <w:tab w:pos="1701" w:val="left" w:leader="none"/>
          <w:tab w:pos="1702" w:val="left" w:leader="none"/>
        </w:tabs>
        <w:spacing w:line="240" w:lineRule="auto" w:before="179" w:after="0"/>
        <w:ind w:left="1701" w:right="0" w:hanging="285"/>
        <w:jc w:val="left"/>
        <w:rPr>
          <w:sz w:val="20"/>
        </w:rPr>
      </w:pPr>
      <w:r>
        <w:rPr>
          <w:sz w:val="20"/>
        </w:rPr>
        <w:t>Data Collection at</w:t>
      </w:r>
      <w:r>
        <w:rPr>
          <w:spacing w:val="-5"/>
          <w:sz w:val="20"/>
        </w:rPr>
        <w:t> </w:t>
      </w:r>
      <w:r>
        <w:rPr>
          <w:sz w:val="20"/>
        </w:rPr>
        <w:t>DUT1:</w:t>
      </w:r>
    </w:p>
    <w:p>
      <w:pPr>
        <w:pStyle w:val="ListParagraph"/>
        <w:numPr>
          <w:ilvl w:val="1"/>
          <w:numId w:val="31"/>
        </w:numPr>
        <w:tabs>
          <w:tab w:pos="1985" w:val="left" w:leader="none"/>
          <w:tab w:pos="1986" w:val="left" w:leader="none"/>
        </w:tabs>
        <w:spacing w:line="240" w:lineRule="auto" w:before="179" w:after="0"/>
        <w:ind w:left="1985" w:right="0" w:hanging="286"/>
        <w:jc w:val="left"/>
        <w:rPr>
          <w:sz w:val="20"/>
        </w:rPr>
      </w:pPr>
      <w:r>
        <w:rPr>
          <w:sz w:val="20"/>
        </w:rPr>
        <w:t>OS timestamp for each transmitted</w:t>
      </w:r>
      <w:r>
        <w:rPr>
          <w:spacing w:val="-14"/>
          <w:sz w:val="20"/>
        </w:rPr>
        <w:t> </w:t>
      </w:r>
      <w:r>
        <w:rPr>
          <w:sz w:val="20"/>
        </w:rPr>
        <w:t>packet</w:t>
      </w:r>
    </w:p>
    <w:p>
      <w:pPr>
        <w:pStyle w:val="ListParagraph"/>
        <w:numPr>
          <w:ilvl w:val="1"/>
          <w:numId w:val="31"/>
        </w:numPr>
        <w:tabs>
          <w:tab w:pos="1985" w:val="left" w:leader="none"/>
          <w:tab w:pos="1986" w:val="left" w:leader="none"/>
        </w:tabs>
        <w:spacing w:line="240" w:lineRule="auto" w:before="179" w:after="0"/>
        <w:ind w:left="1985" w:right="0" w:hanging="286"/>
        <w:jc w:val="left"/>
        <w:rPr>
          <w:sz w:val="20"/>
        </w:rPr>
      </w:pPr>
      <w:r>
        <w:rPr>
          <w:sz w:val="20"/>
        </w:rPr>
        <w:t>Sequence number of each transmitted</w:t>
      </w:r>
      <w:r>
        <w:rPr>
          <w:spacing w:val="-9"/>
          <w:sz w:val="20"/>
        </w:rPr>
        <w:t> </w:t>
      </w:r>
      <w:r>
        <w:rPr>
          <w:sz w:val="20"/>
        </w:rPr>
        <w:t>packet</w:t>
      </w:r>
    </w:p>
    <w:p>
      <w:pPr>
        <w:pStyle w:val="ListParagraph"/>
        <w:numPr>
          <w:ilvl w:val="0"/>
          <w:numId w:val="31"/>
        </w:numPr>
        <w:tabs>
          <w:tab w:pos="1701" w:val="left" w:leader="none"/>
          <w:tab w:pos="1702" w:val="left" w:leader="none"/>
        </w:tabs>
        <w:spacing w:line="240" w:lineRule="auto" w:before="179" w:after="0"/>
        <w:ind w:left="1701" w:right="0" w:hanging="285"/>
        <w:jc w:val="left"/>
        <w:rPr>
          <w:sz w:val="20"/>
        </w:rPr>
      </w:pPr>
      <w:r>
        <w:rPr>
          <w:sz w:val="20"/>
        </w:rPr>
        <w:t>Data Collection at</w:t>
      </w:r>
      <w:r>
        <w:rPr>
          <w:spacing w:val="-5"/>
          <w:sz w:val="20"/>
        </w:rPr>
        <w:t> </w:t>
      </w:r>
      <w:r>
        <w:rPr>
          <w:sz w:val="20"/>
        </w:rPr>
        <w:t>DUT2:</w:t>
      </w:r>
    </w:p>
    <w:p>
      <w:pPr>
        <w:pStyle w:val="ListParagraph"/>
        <w:numPr>
          <w:ilvl w:val="1"/>
          <w:numId w:val="31"/>
        </w:numPr>
        <w:tabs>
          <w:tab w:pos="1985" w:val="left" w:leader="none"/>
          <w:tab w:pos="1986" w:val="left" w:leader="none"/>
        </w:tabs>
        <w:spacing w:line="240" w:lineRule="auto" w:before="177" w:after="0"/>
        <w:ind w:left="1985" w:right="0" w:hanging="286"/>
        <w:jc w:val="left"/>
        <w:rPr>
          <w:sz w:val="20"/>
        </w:rPr>
      </w:pPr>
      <w:r>
        <w:rPr>
          <w:sz w:val="20"/>
        </w:rPr>
        <w:t>OS timestamp for each transmitted</w:t>
      </w:r>
      <w:r>
        <w:rPr>
          <w:spacing w:val="-14"/>
          <w:sz w:val="20"/>
        </w:rPr>
        <w:t> </w:t>
      </w:r>
      <w:r>
        <w:rPr>
          <w:sz w:val="20"/>
        </w:rPr>
        <w:t>packet</w:t>
      </w:r>
    </w:p>
    <w:p>
      <w:pPr>
        <w:pStyle w:val="ListParagraph"/>
        <w:numPr>
          <w:ilvl w:val="1"/>
          <w:numId w:val="31"/>
        </w:numPr>
        <w:tabs>
          <w:tab w:pos="1985" w:val="left" w:leader="none"/>
          <w:tab w:pos="1986" w:val="left" w:leader="none"/>
        </w:tabs>
        <w:spacing w:line="240" w:lineRule="auto" w:before="180" w:after="0"/>
        <w:ind w:left="1985" w:right="0" w:hanging="286"/>
        <w:jc w:val="left"/>
        <w:rPr>
          <w:sz w:val="20"/>
        </w:rPr>
      </w:pPr>
      <w:r>
        <w:rPr>
          <w:sz w:val="20"/>
        </w:rPr>
        <w:t>Sequence number of each transmitted</w:t>
      </w:r>
      <w:r>
        <w:rPr>
          <w:spacing w:val="-9"/>
          <w:sz w:val="20"/>
        </w:rPr>
        <w:t> </w:t>
      </w:r>
      <w:r>
        <w:rPr>
          <w:sz w:val="20"/>
        </w:rPr>
        <w:t>packet</w:t>
      </w:r>
    </w:p>
    <w:p>
      <w:pPr>
        <w:pStyle w:val="ListParagraph"/>
        <w:numPr>
          <w:ilvl w:val="0"/>
          <w:numId w:val="31"/>
        </w:numPr>
        <w:tabs>
          <w:tab w:pos="1701" w:val="left" w:leader="none"/>
          <w:tab w:pos="1702" w:val="left" w:leader="none"/>
        </w:tabs>
        <w:spacing w:line="240" w:lineRule="auto" w:before="180" w:after="0"/>
        <w:ind w:left="1701" w:right="0" w:hanging="285"/>
        <w:jc w:val="left"/>
        <w:rPr>
          <w:sz w:val="20"/>
        </w:rPr>
      </w:pPr>
      <w:r>
        <w:rPr>
          <w:sz w:val="20"/>
        </w:rPr>
        <w:t>Data Collection at</w:t>
      </w:r>
      <w:r>
        <w:rPr>
          <w:spacing w:val="-5"/>
          <w:sz w:val="20"/>
        </w:rPr>
        <w:t> </w:t>
      </w:r>
      <w:r>
        <w:rPr>
          <w:sz w:val="20"/>
        </w:rPr>
        <w:t>DUT3:</w:t>
      </w:r>
    </w:p>
    <w:p>
      <w:pPr>
        <w:pStyle w:val="ListParagraph"/>
        <w:numPr>
          <w:ilvl w:val="1"/>
          <w:numId w:val="31"/>
        </w:numPr>
        <w:tabs>
          <w:tab w:pos="1985" w:val="left" w:leader="none"/>
          <w:tab w:pos="1986" w:val="left" w:leader="none"/>
        </w:tabs>
        <w:spacing w:line="240" w:lineRule="auto" w:before="180" w:after="0"/>
        <w:ind w:left="1985" w:right="0" w:hanging="286"/>
        <w:jc w:val="left"/>
        <w:rPr>
          <w:sz w:val="20"/>
        </w:rPr>
      </w:pPr>
      <w:r>
        <w:rPr>
          <w:sz w:val="20"/>
        </w:rPr>
        <w:t>OS timestamp for each received</w:t>
      </w:r>
      <w:r>
        <w:rPr>
          <w:spacing w:val="-11"/>
          <w:sz w:val="20"/>
        </w:rPr>
        <w:t> </w:t>
      </w:r>
      <w:r>
        <w:rPr>
          <w:sz w:val="20"/>
        </w:rPr>
        <w:t>packet</w:t>
      </w:r>
    </w:p>
    <w:p>
      <w:pPr>
        <w:pStyle w:val="ListParagraph"/>
        <w:numPr>
          <w:ilvl w:val="1"/>
          <w:numId w:val="31"/>
        </w:numPr>
        <w:tabs>
          <w:tab w:pos="1985" w:val="left" w:leader="none"/>
          <w:tab w:pos="1986" w:val="left" w:leader="none"/>
        </w:tabs>
        <w:spacing w:line="240" w:lineRule="auto" w:before="180" w:after="0"/>
        <w:ind w:left="1985" w:right="0" w:hanging="286"/>
        <w:jc w:val="left"/>
        <w:rPr>
          <w:sz w:val="20"/>
        </w:rPr>
      </w:pPr>
      <w:r>
        <w:rPr>
          <w:sz w:val="20"/>
        </w:rPr>
        <w:t>Sequence number of each received</w:t>
      </w:r>
      <w:r>
        <w:rPr>
          <w:spacing w:val="-8"/>
          <w:sz w:val="20"/>
        </w:rPr>
        <w:t> </w:t>
      </w:r>
      <w:r>
        <w:rPr>
          <w:sz w:val="20"/>
        </w:rPr>
        <w:t>packet</w:t>
      </w:r>
    </w:p>
    <w:p>
      <w:pPr>
        <w:spacing w:after="0" w:line="240" w:lineRule="auto"/>
        <w:jc w:val="left"/>
        <w:rPr>
          <w:sz w:val="20"/>
        </w:rPr>
        <w:sectPr>
          <w:headerReference w:type="default" r:id="rId278"/>
          <w:pgSz w:w="11910" w:h="16850"/>
          <w:pgMar w:header="852" w:footer="979" w:top="1040" w:bottom="1160" w:left="0" w:right="0"/>
        </w:sectPr>
      </w:pPr>
    </w:p>
    <w:p>
      <w:pPr>
        <w:pStyle w:val="BodyText"/>
      </w:pPr>
    </w:p>
    <w:p>
      <w:pPr>
        <w:pStyle w:val="BodyText"/>
      </w:pPr>
    </w:p>
    <w:p>
      <w:pPr>
        <w:pStyle w:val="BodyText"/>
      </w:pPr>
    </w:p>
    <w:p>
      <w:pPr>
        <w:pStyle w:val="BodyText"/>
      </w:pPr>
    </w:p>
    <w:p>
      <w:pPr>
        <w:pStyle w:val="BodyText"/>
      </w:pPr>
    </w:p>
    <w:p>
      <w:pPr>
        <w:pStyle w:val="BodyText"/>
        <w:spacing w:before="8"/>
        <w:rPr>
          <w:sz w:val="10"/>
        </w:rPr>
      </w:pPr>
    </w:p>
    <w:p>
      <w:pPr>
        <w:pStyle w:val="BodyText"/>
        <w:ind w:left="1128"/>
      </w:pPr>
      <w:r>
        <w:rPr/>
        <w:pict>
          <v:group style="width:435.65pt;height:454.65pt;mso-position-horizontal-relative:char;mso-position-vertical-relative:line" coordorigin="0,0" coordsize="8713,9093">
            <v:shape style="position:absolute;left:3573;top:9;width:2090;height:1185" coordorigin="3573,9" coordsize="2090,1185" path="m4617,9l4522,12,4430,19,4340,31,4253,47,4170,67,4090,90,4015,118,3944,149,3879,183,3818,220,3764,260,3715,303,3673,348,3610,444,3577,548,3573,602,3577,656,3610,759,3673,856,3715,901,3764,943,3818,984,3879,1021,3944,1055,4015,1086,4090,1113,4170,1137,4253,1157,4340,1173,4430,1185,4522,1192,4617,1194,4713,1192,4805,1185,4895,1173,4982,1157,5065,1137,5145,1113,5220,1086,5291,1055,5356,1021,5417,984,5471,943,5520,901,5562,856,5625,759,5658,656,5662,602,5658,548,5625,444,5562,348,5520,303,5471,260,5417,220,5356,183,5291,149,5220,118,5145,90,5065,67,4982,47,4895,31,4805,19,4713,12,4617,9xe" filled="true" fillcolor="#8faadc" stroked="false">
              <v:path arrowok="t"/>
              <v:fill type="solid"/>
            </v:shape>
            <v:shape style="position:absolute;left:3573;top:9;width:2090;height:1185" coordorigin="3573,9" coordsize="2090,1185" path="m3573,602l3589,495,3638,395,3715,303,3764,260,3818,220,3879,183,3944,149,4015,118,4090,90,4170,67,4253,47,4340,31,4430,19,4522,12,4617,9,4713,12,4805,19,4895,31,4982,47,5065,67,5145,90,5220,118,5291,149,5356,183,5417,220,5471,260,5520,303,5562,348,5625,444,5658,548,5662,602,5658,656,5625,759,5562,856,5520,901,5471,943,5417,984,5356,1021,5291,1055,5220,1086,5145,1113,5065,1137,4982,1157,4895,1173,4805,1185,4713,1192,4617,1194,4522,1192,4430,1185,4340,1173,4253,1157,4170,1137,4090,1113,4015,1086,3944,1055,3879,1021,3818,984,3764,943,3715,901,3673,856,3610,759,3577,656,3573,602xe" filled="false" stroked="true" strokeweight=".902893pt" strokecolor="#8faadc">
              <v:path arrowok="t"/>
              <v:stroke dashstyle="solid"/>
            </v:shape>
            <v:line style="position:absolute" from="4623,1163" to="4623,1366" stroked="true" strokeweight=".45187pt" strokecolor="#4471c4">
              <v:stroke dashstyle="solid"/>
            </v:line>
            <v:line style="position:absolute" from="4615,1352" to="10,1372" stroked="true" strokeweight=".45131pt" strokecolor="#4471c4">
              <v:stroke dashstyle="solid"/>
            </v:line>
            <v:line style="position:absolute" from="5,1415" to="47,9059" stroked="true" strokeweight=".45187pt" strokecolor="#4471c4">
              <v:stroke dashstyle="solid"/>
            </v:line>
            <v:rect style="position:absolute;left:556;top:4784;width:1525;height:481" filled="true" fillcolor="#4471c4" stroked="false">
              <v:fill type="solid"/>
            </v:rect>
            <v:rect style="position:absolute;left:556;top:4784;width:1525;height:481" filled="false" stroked="true" strokeweight=".902722pt" strokecolor="#2e528f">
              <v:stroke dashstyle="solid"/>
            </v:rect>
            <v:line style="position:absolute" from="1566,5279" to="1566,5761" stroked="true" strokeweight=".45187pt" strokecolor="#4471c4">
              <v:stroke dashstyle="solid"/>
            </v:line>
            <v:line style="position:absolute" from="900,5290" to="900,5761" stroked="true" strokeweight=".45187pt" strokecolor="#4471c4">
              <v:stroke dashstyle="solid"/>
            </v:line>
            <v:line style="position:absolute" from="1333,3546" to="1348,4916" stroked="true" strokeweight=".45187pt" strokecolor="#4471c4">
              <v:stroke dashstyle="solid"/>
            </v:line>
            <v:rect style="position:absolute;left:355;top:5761;width:1934;height:1031" filled="true" fillcolor="#6f2f9f" stroked="false">
              <v:fill type="solid"/>
            </v:rect>
            <v:rect style="position:absolute;left:355;top:5761;width:1934;height:1031" filled="false" stroked="true" strokeweight=".902868pt" strokecolor="#2e528f">
              <v:stroke dashstyle="solid"/>
            </v:rect>
            <v:line style="position:absolute" from="3248,3473" to="1304,3516" stroked="true" strokeweight=".451311pt" strokecolor="#4471c4">
              <v:stroke dashstyle="solid"/>
            </v:line>
            <v:line style="position:absolute" from="3270,3482" to="3270,4533" stroked="true" strokeweight=".45187pt" strokecolor="#4471c4">
              <v:stroke dashstyle="solid"/>
            </v:line>
            <v:line style="position:absolute" from="3955,4529" to="3227,4529" stroked="true" strokeweight=".45131pt" strokecolor="#4471c4">
              <v:stroke dashstyle="solid"/>
            </v:line>
            <v:line style="position:absolute" from="3977,4511" to="3977,4996" stroked="true" strokeweight=".45187pt" strokecolor="#4471c4">
              <v:stroke dashstyle="solid"/>
            </v:line>
            <v:rect style="position:absolute;left:6973;top:4820;width:1525;height:481" filled="true" fillcolor="#4471c4" stroked="false">
              <v:fill type="solid"/>
            </v:rect>
            <v:rect style="position:absolute;left:6973;top:4820;width:1525;height:481" filled="false" stroked="true" strokeweight=".902722pt" strokecolor="#2e528f">
              <v:stroke dashstyle="solid"/>
            </v:rect>
            <v:rect style="position:absolute;left:6769;top:5764;width:1934;height:1029" filled="true" fillcolor="#6f2f9f" stroked="false">
              <v:fill type="solid"/>
            </v:rect>
            <v:rect style="position:absolute;left:6769;top:5764;width:1934;height:1029" filled="false" stroked="true" strokeweight=".902868pt" strokecolor="#2e528f">
              <v:stroke dashstyle="solid"/>
            </v:rect>
            <v:line style="position:absolute" from="7296,5242" to="7296,5767" stroked="true" strokeweight=".45187pt" strokecolor="#4471c4">
              <v:stroke dashstyle="solid"/>
            </v:line>
            <v:line style="position:absolute" from="8204,5238" to="8204,5802" stroked="true" strokeweight=".45187pt" strokecolor="#4471c4">
              <v:stroke dashstyle="solid"/>
            </v:line>
            <v:line style="position:absolute" from="7786,3532" to="7800,4917" stroked="true" strokeweight=".45187pt" strokecolor="#4471c4">
              <v:stroke dashstyle="solid"/>
            </v:line>
            <v:line style="position:absolute" from="7816,3532" to="5952,3560" stroked="true" strokeweight=".451311pt" strokecolor="#4471c4">
              <v:stroke dashstyle="solid"/>
            </v:line>
            <v:line style="position:absolute" from="5940,3543" to="5940,4593" stroked="true" strokeweight=".45187pt" strokecolor="#4471c4">
              <v:stroke dashstyle="solid"/>
            </v:line>
            <v:line style="position:absolute" from="5940,4532" to="5213,4532" stroked="true" strokeweight=".45131pt" strokecolor="#4471c4">
              <v:stroke dashstyle="solid"/>
            </v:line>
            <v:line style="position:absolute" from="5192,4534" to="5192,5018" stroked="true" strokeweight=".45187pt" strokecolor="#4471c4">
              <v:stroke dashstyle="solid"/>
            </v:line>
            <v:rect style="position:absolute;left:3817;top:5037;width:1525;height:481" filled="true" fillcolor="#4471c4" stroked="false">
              <v:fill type="solid"/>
            </v:rect>
            <v:rect style="position:absolute;left:3817;top:5037;width:1525;height:481" filled="false" stroked="true" strokeweight=".902722pt" strokecolor="#2e528f">
              <v:stroke dashstyle="solid"/>
            </v:rect>
            <v:rect style="position:absolute;left:3756;top:5908;width:1525;height:478" filled="true" fillcolor="#4471c4" stroked="false">
              <v:fill type="solid"/>
            </v:rect>
            <v:rect style="position:absolute;left:3756;top:5908;width:1525;height:478" filled="false" stroked="true" strokeweight=".902721pt" strokecolor="#2e528f">
              <v:stroke dashstyle="solid"/>
            </v:rect>
            <v:line style="position:absolute" from="4564,5423" to="4564,5948" stroked="true" strokeweight=".45187pt" strokecolor="#4471c4">
              <v:stroke dashstyle="solid"/>
            </v:line>
            <v:rect style="position:absolute;left:3573;top:7158;width:1936;height:1031" filled="true" fillcolor="#6f2f9f" stroked="false">
              <v:fill type="solid"/>
            </v:rect>
            <v:rect style="position:absolute;left:3573;top:7158;width:1936;height:1031" filled="false" stroked="true" strokeweight=".902868pt" strokecolor="#2e528f">
              <v:stroke dashstyle="solid"/>
            </v:rect>
            <v:line style="position:absolute" from="3975,6384" to="3975,7217" stroked="true" strokeweight=".45187pt" strokecolor="#4471c4">
              <v:stroke dashstyle="solid"/>
            </v:line>
            <v:line style="position:absolute" from="4935,6353" to="4935,7186" stroked="true" strokeweight=".45187pt" strokecolor="#4471c4">
              <v:stroke dashstyle="solid"/>
            </v:line>
            <v:line style="position:absolute" from="1248,6732" to="1262,9073" stroked="true" strokeweight=".45187pt" strokecolor="#4471c4">
              <v:stroke dashstyle="solid"/>
            </v:line>
            <v:line style="position:absolute" from="7943,6732" to="7929,9073" stroked="true" strokeweight=".45187pt" strokecolor="#4471c4">
              <v:stroke dashstyle="solid"/>
            </v:line>
            <v:line style="position:absolute" from="4524,8185" to="4524,9088" stroked="true" strokeweight=".45187pt" strokecolor="#4471c4">
              <v:stroke dashstyle="solid"/>
            </v:line>
            <v:line style="position:absolute" from="7955,9074" to="5,9074" stroked="true" strokeweight=".45131pt" strokecolor="#4471c4">
              <v:stroke dashstyle="solid"/>
            </v:line>
            <v:shape style="position:absolute;left:556;top:4802;width:1526;height:481" type="#_x0000_t202" filled="false" stroked="false">
              <v:textbox inset="0,0,0,0">
                <w:txbxContent>
                  <w:p>
                    <w:pPr>
                      <w:spacing w:before="65"/>
                      <w:ind w:left="574" w:right="574" w:firstLine="0"/>
                      <w:jc w:val="center"/>
                      <w:rPr>
                        <w:rFonts w:ascii="Calibri"/>
                        <w:sz w:val="22"/>
                      </w:rPr>
                    </w:pPr>
                    <w:r>
                      <w:rPr>
                        <w:rFonts w:ascii="Calibri"/>
                        <w:color w:val="FFFFFF"/>
                        <w:w w:val="105"/>
                        <w:sz w:val="22"/>
                      </w:rPr>
                      <w:t>1x2</w:t>
                    </w:r>
                  </w:p>
                </w:txbxContent>
              </v:textbox>
              <w10:wrap type="none"/>
            </v:shape>
            <v:shape style="position:absolute;left:6973;top:4802;width:1526;height:481" type="#_x0000_t202" filled="false" stroked="false">
              <v:textbox inset="0,0,0,0">
                <w:txbxContent>
                  <w:p>
                    <w:pPr>
                      <w:spacing w:before="101"/>
                      <w:ind w:left="575" w:right="572" w:firstLine="0"/>
                      <w:jc w:val="center"/>
                      <w:rPr>
                        <w:rFonts w:ascii="Calibri"/>
                        <w:sz w:val="22"/>
                      </w:rPr>
                    </w:pPr>
                    <w:r>
                      <w:rPr>
                        <w:rFonts w:ascii="Calibri"/>
                        <w:color w:val="FFFFFF"/>
                        <w:w w:val="105"/>
                        <w:sz w:val="22"/>
                      </w:rPr>
                      <w:t>1x2</w:t>
                    </w:r>
                  </w:p>
                </w:txbxContent>
              </v:textbox>
              <w10:wrap type="none"/>
            </v:shape>
            <v:shape style="position:absolute;left:3786;top:5037;width:1556;height:481" type="#_x0000_t202" filled="false" stroked="false">
              <v:textbox inset="0,0,0,0">
                <w:txbxContent>
                  <w:p>
                    <w:pPr>
                      <w:spacing w:before="83"/>
                      <w:ind w:left="606" w:right="574" w:firstLine="0"/>
                      <w:jc w:val="center"/>
                      <w:rPr>
                        <w:rFonts w:ascii="Calibri"/>
                        <w:sz w:val="22"/>
                      </w:rPr>
                    </w:pPr>
                    <w:r>
                      <w:rPr>
                        <w:rFonts w:ascii="Calibri"/>
                        <w:color w:val="FFFFFF"/>
                        <w:w w:val="105"/>
                        <w:sz w:val="22"/>
                      </w:rPr>
                      <w:t>2x1</w:t>
                    </w:r>
                  </w:p>
                </w:txbxContent>
              </v:textbox>
              <w10:wrap type="none"/>
            </v:shape>
            <v:shape style="position:absolute;left:355;top:5763;width:1934;height:1031" type="#_x0000_t202" filled="false" stroked="false">
              <v:textbox inset="0,0,0,0">
                <w:txbxContent>
                  <w:p>
                    <w:pPr>
                      <w:spacing w:before="242"/>
                      <w:ind w:left="363" w:right="0" w:firstLine="0"/>
                      <w:jc w:val="left"/>
                      <w:rPr>
                        <w:rFonts w:ascii="Calibri"/>
                        <w:sz w:val="30"/>
                      </w:rPr>
                    </w:pPr>
                    <w:r>
                      <w:rPr>
                        <w:rFonts w:ascii="Calibri"/>
                        <w:color w:val="FFFFFF"/>
                        <w:sz w:val="30"/>
                      </w:rPr>
                      <w:t>DUT1 (Tx)</w:t>
                    </w:r>
                  </w:p>
                </w:txbxContent>
              </v:textbox>
              <w10:wrap type="none"/>
            </v:shape>
            <v:shape style="position:absolute;left:6769;top:5763;width:1934;height:1031" type="#_x0000_t202" filled="false" stroked="false">
              <v:textbox inset="0,0,0,0">
                <w:txbxContent>
                  <w:p>
                    <w:pPr>
                      <w:spacing w:before="245"/>
                      <w:ind w:left="365" w:right="0" w:firstLine="0"/>
                      <w:jc w:val="left"/>
                      <w:rPr>
                        <w:rFonts w:ascii="Calibri"/>
                        <w:sz w:val="30"/>
                      </w:rPr>
                    </w:pPr>
                    <w:r>
                      <w:rPr>
                        <w:rFonts w:ascii="Calibri"/>
                        <w:color w:val="FFFFFF"/>
                        <w:sz w:val="30"/>
                      </w:rPr>
                      <w:t>DUT2 (Tx)</w:t>
                    </w:r>
                  </w:p>
                </w:txbxContent>
              </v:textbox>
              <w10:wrap type="none"/>
            </v:shape>
            <v:shape style="position:absolute;left:3786;top:5908;width:1451;height:479" type="#_x0000_t202" filled="false" stroked="false">
              <v:textbox inset="0,0,0,0">
                <w:txbxContent>
                  <w:p>
                    <w:pPr>
                      <w:spacing w:before="83"/>
                      <w:ind w:left="545" w:right="530" w:firstLine="0"/>
                      <w:jc w:val="center"/>
                      <w:rPr>
                        <w:rFonts w:ascii="Calibri"/>
                        <w:sz w:val="22"/>
                      </w:rPr>
                    </w:pPr>
                    <w:r>
                      <w:rPr>
                        <w:rFonts w:ascii="Calibri"/>
                        <w:color w:val="FFFFFF"/>
                        <w:w w:val="105"/>
                        <w:sz w:val="22"/>
                      </w:rPr>
                      <w:t>1x2</w:t>
                    </w:r>
                  </w:p>
                </w:txbxContent>
              </v:textbox>
              <w10:wrap type="none"/>
            </v:shape>
            <v:shape style="position:absolute;left:3573;top:7158;width:1937;height:1032" type="#_x0000_t202" filled="false" stroked="false">
              <v:textbox inset="0,0,0,0">
                <w:txbxContent>
                  <w:p>
                    <w:pPr>
                      <w:spacing w:before="244"/>
                      <w:ind w:left="357" w:right="0" w:firstLine="0"/>
                      <w:jc w:val="left"/>
                      <w:rPr>
                        <w:rFonts w:ascii="Calibri"/>
                        <w:sz w:val="30"/>
                      </w:rPr>
                    </w:pPr>
                    <w:r>
                      <w:rPr>
                        <w:rFonts w:ascii="Calibri"/>
                        <w:color w:val="FFFFFF"/>
                        <w:sz w:val="30"/>
                      </w:rPr>
                      <w:t>DUT3 (Rx)</w:t>
                    </w:r>
                  </w:p>
                </w:txbxContent>
              </v:textbox>
              <w10:wrap type="none"/>
            </v:shape>
            <v:shape style="position:absolute;left:4200;top:322;width:857;height:698" type="#_x0000_t202" filled="false" stroked="false">
              <v:textbox inset="0,0,0,0">
                <w:txbxContent>
                  <w:p>
                    <w:pPr>
                      <w:spacing w:line="306" w:lineRule="exact" w:before="0"/>
                      <w:ind w:left="0" w:right="14" w:firstLine="0"/>
                      <w:jc w:val="center"/>
                      <w:rPr>
                        <w:rFonts w:ascii="Calibri"/>
                        <w:sz w:val="30"/>
                      </w:rPr>
                    </w:pPr>
                    <w:r>
                      <w:rPr>
                        <w:rFonts w:ascii="Calibri"/>
                        <w:color w:val="FFFFFF"/>
                        <w:sz w:val="30"/>
                      </w:rPr>
                      <w:t>GPS</w:t>
                    </w:r>
                  </w:p>
                  <w:p>
                    <w:pPr>
                      <w:spacing w:line="361" w:lineRule="exact" w:before="31"/>
                      <w:ind w:left="0" w:right="18" w:firstLine="0"/>
                      <w:jc w:val="center"/>
                      <w:rPr>
                        <w:rFonts w:ascii="Calibri"/>
                        <w:sz w:val="30"/>
                      </w:rPr>
                    </w:pPr>
                    <w:r>
                      <w:rPr>
                        <w:rFonts w:ascii="Calibri"/>
                        <w:color w:val="FFFFFF"/>
                        <w:sz w:val="30"/>
                      </w:rPr>
                      <w:t>Source</w:t>
                    </w:r>
                  </w:p>
                </w:txbxContent>
              </v:textbox>
              <w10:wrap type="none"/>
            </v:shape>
            <v:shape style="position:absolute;left:2215;top:3302;width:830;height:404" type="#_x0000_t202" filled="true" fillcolor="#00af50" stroked="true" strokeweight=".902836pt" strokecolor="#2e528f">
              <v:textbox inset="0,0,0,0">
                <w:txbxContent>
                  <w:p>
                    <w:pPr>
                      <w:spacing w:before="73"/>
                      <w:ind w:left="192" w:right="0" w:firstLine="0"/>
                      <w:jc w:val="left"/>
                      <w:rPr>
                        <w:rFonts w:ascii="Calibri"/>
                        <w:sz w:val="22"/>
                      </w:rPr>
                    </w:pPr>
                    <w:r>
                      <w:rPr>
                        <w:rFonts w:ascii="Calibri"/>
                        <w:color w:val="FFFFFF"/>
                        <w:w w:val="105"/>
                        <w:sz w:val="22"/>
                      </w:rPr>
                      <w:t>VA 1</w:t>
                    </w:r>
                  </w:p>
                </w:txbxContent>
              </v:textbox>
              <v:fill type="solid"/>
              <v:stroke dashstyle="solid"/>
              <w10:wrap type="none"/>
            </v:shape>
            <v:shape style="position:absolute;left:6241;top:3275;width:830;height:404" type="#_x0000_t202" filled="true" fillcolor="#00af50" stroked="true" strokeweight=".902836pt" strokecolor="#2e528f">
              <v:textbox inset="0,0,0,0">
                <w:txbxContent>
                  <w:p>
                    <w:pPr>
                      <w:spacing w:before="73"/>
                      <w:ind w:left="193" w:right="0" w:firstLine="0"/>
                      <w:jc w:val="left"/>
                      <w:rPr>
                        <w:rFonts w:ascii="Calibri"/>
                        <w:sz w:val="22"/>
                      </w:rPr>
                    </w:pPr>
                    <w:r>
                      <w:rPr>
                        <w:rFonts w:ascii="Calibri"/>
                        <w:color w:val="FFFFFF"/>
                        <w:w w:val="105"/>
                        <w:sz w:val="22"/>
                      </w:rPr>
                      <w:t>VA 2</w:t>
                    </w:r>
                  </w:p>
                </w:txbxContent>
              </v:textbox>
              <v:fill type="solid"/>
              <v:stroke dashstyle="solid"/>
              <w10:wrap type="none"/>
            </v:shape>
          </v:group>
        </w:pict>
      </w:r>
      <w:r>
        <w:rPr/>
      </w:r>
    </w:p>
    <w:p>
      <w:pPr>
        <w:pStyle w:val="BodyText"/>
        <w:spacing w:before="1"/>
        <w:rPr>
          <w:sz w:val="9"/>
        </w:rPr>
      </w:pPr>
    </w:p>
    <w:p>
      <w:pPr>
        <w:spacing w:before="95"/>
        <w:ind w:left="1133" w:right="0" w:firstLine="0"/>
        <w:jc w:val="left"/>
        <w:rPr>
          <w:sz w:val="18"/>
        </w:rPr>
      </w:pPr>
      <w:r>
        <w:rPr>
          <w:sz w:val="18"/>
        </w:rPr>
        <w:t>*1x2 and 2x1 above are splitter/combiners and VA is the variable attenuator</w:t>
      </w:r>
    </w:p>
    <w:p>
      <w:pPr>
        <w:spacing w:before="116"/>
        <w:ind w:left="1133" w:right="1136" w:firstLine="0"/>
        <w:jc w:val="left"/>
        <w:rPr>
          <w:b/>
          <w:sz w:val="24"/>
        </w:rPr>
      </w:pPr>
      <w:r>
        <w:rPr>
          <w:b/>
          <w:sz w:val="24"/>
        </w:rPr>
        <w:t>Figure 26: Hidden Node Scenario Test Setup (Configuration1- Without Congesting devices)</w:t>
      </w:r>
    </w:p>
    <w:p>
      <w:pPr>
        <w:pStyle w:val="BodyText"/>
        <w:rPr>
          <w:b/>
          <w:sz w:val="26"/>
        </w:rPr>
      </w:pPr>
    </w:p>
    <w:p>
      <w:pPr>
        <w:pStyle w:val="BodyText"/>
        <w:spacing w:before="10"/>
        <w:rPr>
          <w:b/>
        </w:rPr>
      </w:pPr>
    </w:p>
    <w:p>
      <w:pPr>
        <w:pStyle w:val="Heading7"/>
      </w:pPr>
      <w:r>
        <w:rPr/>
        <w:t>Table 19: Test Configuration</w:t>
      </w:r>
    </w:p>
    <w:p>
      <w:pPr>
        <w:pStyle w:val="BodyText"/>
        <w:spacing w:before="1"/>
        <w:rPr>
          <w:b/>
          <w:sz w:val="16"/>
        </w:rPr>
      </w:pPr>
    </w:p>
    <w:tbl>
      <w:tblPr>
        <w:tblW w:w="0" w:type="auto"/>
        <w:jc w:val="left"/>
        <w:tblInd w:w="2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5"/>
        <w:gridCol w:w="2463"/>
        <w:gridCol w:w="2466"/>
      </w:tblGrid>
      <w:tr>
        <w:trPr>
          <w:trHeight w:val="216" w:hRule="exact"/>
        </w:trPr>
        <w:tc>
          <w:tcPr>
            <w:tcW w:w="2465" w:type="dxa"/>
            <w:shd w:val="clear" w:color="auto" w:fill="D9D9D9"/>
          </w:tcPr>
          <w:p>
            <w:pPr>
              <w:pStyle w:val="TableParagraph"/>
              <w:spacing w:line="201" w:lineRule="exact"/>
              <w:rPr>
                <w:b/>
                <w:sz w:val="18"/>
              </w:rPr>
            </w:pPr>
            <w:r>
              <w:rPr>
                <w:b/>
                <w:sz w:val="18"/>
              </w:rPr>
              <w:t>Configuration</w:t>
            </w:r>
          </w:p>
        </w:tc>
        <w:tc>
          <w:tcPr>
            <w:tcW w:w="2463" w:type="dxa"/>
            <w:shd w:val="clear" w:color="auto" w:fill="D9D9D9"/>
          </w:tcPr>
          <w:p>
            <w:pPr>
              <w:pStyle w:val="TableParagraph"/>
              <w:spacing w:line="201" w:lineRule="exact"/>
              <w:ind w:left="100"/>
              <w:rPr>
                <w:b/>
                <w:sz w:val="18"/>
              </w:rPr>
            </w:pPr>
            <w:r>
              <w:rPr>
                <w:b/>
                <w:sz w:val="18"/>
              </w:rPr>
              <w:t>C-V2X</w:t>
            </w:r>
          </w:p>
        </w:tc>
        <w:tc>
          <w:tcPr>
            <w:tcW w:w="2466" w:type="dxa"/>
            <w:shd w:val="clear" w:color="auto" w:fill="D9D9D9"/>
          </w:tcPr>
          <w:p>
            <w:pPr>
              <w:pStyle w:val="TableParagraph"/>
              <w:spacing w:line="201" w:lineRule="exact"/>
              <w:rPr>
                <w:b/>
                <w:sz w:val="18"/>
              </w:rPr>
            </w:pPr>
            <w:r>
              <w:rPr>
                <w:b/>
                <w:sz w:val="18"/>
              </w:rPr>
              <w:t>DSRC</w:t>
            </w:r>
          </w:p>
        </w:tc>
      </w:tr>
      <w:tr>
        <w:trPr>
          <w:trHeight w:val="216" w:hRule="exact"/>
        </w:trPr>
        <w:tc>
          <w:tcPr>
            <w:tcW w:w="2465" w:type="dxa"/>
          </w:tcPr>
          <w:p>
            <w:pPr>
              <w:pStyle w:val="TableParagraph"/>
              <w:rPr>
                <w:sz w:val="18"/>
              </w:rPr>
            </w:pPr>
            <w:r>
              <w:rPr>
                <w:sz w:val="18"/>
              </w:rPr>
              <w:t>Number of Samples</w:t>
            </w:r>
          </w:p>
        </w:tc>
        <w:tc>
          <w:tcPr>
            <w:tcW w:w="2463" w:type="dxa"/>
          </w:tcPr>
          <w:p>
            <w:pPr>
              <w:pStyle w:val="TableParagraph"/>
              <w:ind w:left="100"/>
              <w:rPr>
                <w:sz w:val="18"/>
              </w:rPr>
            </w:pPr>
            <w:r>
              <w:rPr>
                <w:sz w:val="18"/>
              </w:rPr>
              <w:t>6000</w:t>
            </w:r>
          </w:p>
        </w:tc>
        <w:tc>
          <w:tcPr>
            <w:tcW w:w="2466" w:type="dxa"/>
          </w:tcPr>
          <w:p>
            <w:pPr>
              <w:pStyle w:val="TableParagraph"/>
              <w:rPr>
                <w:sz w:val="18"/>
              </w:rPr>
            </w:pPr>
            <w:r>
              <w:rPr>
                <w:sz w:val="18"/>
              </w:rPr>
              <w:t>6000</w:t>
            </w:r>
          </w:p>
        </w:tc>
      </w:tr>
      <w:tr>
        <w:trPr>
          <w:trHeight w:val="218" w:hRule="exact"/>
        </w:trPr>
        <w:tc>
          <w:tcPr>
            <w:tcW w:w="2465" w:type="dxa"/>
          </w:tcPr>
          <w:p>
            <w:pPr>
              <w:pStyle w:val="TableParagraph"/>
              <w:spacing w:line="240" w:lineRule="auto" w:before="1"/>
              <w:rPr>
                <w:sz w:val="18"/>
              </w:rPr>
            </w:pPr>
            <w:r>
              <w:rPr>
                <w:sz w:val="18"/>
              </w:rPr>
              <w:t>HARQ</w:t>
            </w:r>
          </w:p>
        </w:tc>
        <w:tc>
          <w:tcPr>
            <w:tcW w:w="2463" w:type="dxa"/>
          </w:tcPr>
          <w:p>
            <w:pPr>
              <w:pStyle w:val="TableParagraph"/>
              <w:spacing w:line="240" w:lineRule="auto" w:before="1"/>
              <w:ind w:left="100"/>
              <w:rPr>
                <w:sz w:val="18"/>
              </w:rPr>
            </w:pPr>
            <w:r>
              <w:rPr>
                <w:sz w:val="18"/>
              </w:rPr>
              <w:t>Enabled</w:t>
            </w:r>
          </w:p>
        </w:tc>
        <w:tc>
          <w:tcPr>
            <w:tcW w:w="2466" w:type="dxa"/>
          </w:tcPr>
          <w:p>
            <w:pPr>
              <w:pStyle w:val="TableParagraph"/>
              <w:spacing w:line="240" w:lineRule="auto" w:before="1"/>
              <w:rPr>
                <w:sz w:val="18"/>
              </w:rPr>
            </w:pPr>
            <w:r>
              <w:rPr>
                <w:sz w:val="18"/>
              </w:rPr>
              <w:t>NA</w:t>
            </w:r>
          </w:p>
        </w:tc>
      </w:tr>
    </w:tbl>
    <w:p>
      <w:pPr>
        <w:spacing w:after="0" w:line="240" w:lineRule="auto"/>
        <w:rPr>
          <w:sz w:val="18"/>
        </w:rPr>
        <w:sectPr>
          <w:headerReference w:type="default" r:id="rId279"/>
          <w:pgSz w:w="11910" w:h="16850"/>
          <w:pgMar w:header="852" w:footer="979" w:top="1040" w:bottom="1160" w:left="0" w:right="0"/>
        </w:sectPr>
      </w:pPr>
    </w:p>
    <w:p>
      <w:pPr>
        <w:pStyle w:val="BodyText"/>
        <w:rPr>
          <w:b/>
          <w:sz w:val="23"/>
        </w:rPr>
      </w:pPr>
    </w:p>
    <w:p>
      <w:pPr>
        <w:pStyle w:val="Heading7"/>
        <w:spacing w:before="93"/>
      </w:pPr>
      <w:r>
        <w:rPr/>
        <w:t>Configuration 2 – With Congesting devices</w:t>
      </w:r>
    </w:p>
    <w:p>
      <w:pPr>
        <w:pStyle w:val="BodyText"/>
        <w:spacing w:before="183"/>
        <w:ind w:left="1133"/>
      </w:pPr>
      <w:r>
        <w:rPr/>
        <w:t>We consider five devices (DUT1, DUT2, DUT3, two Congesting Devices) in the setup in Figure 17.</w:t>
      </w:r>
    </w:p>
    <w:p>
      <w:pPr>
        <w:pStyle w:val="ListParagraph"/>
        <w:numPr>
          <w:ilvl w:val="0"/>
          <w:numId w:val="31"/>
        </w:numPr>
        <w:tabs>
          <w:tab w:pos="1701" w:val="left" w:leader="none"/>
          <w:tab w:pos="1702" w:val="left" w:leader="none"/>
        </w:tabs>
        <w:spacing w:line="240" w:lineRule="auto" w:before="180" w:after="0"/>
        <w:ind w:left="1701" w:right="0" w:hanging="285"/>
        <w:jc w:val="left"/>
        <w:rPr>
          <w:sz w:val="20"/>
        </w:rPr>
      </w:pPr>
      <w:r>
        <w:rPr>
          <w:sz w:val="20"/>
        </w:rPr>
        <w:t>Settings on Device 1</w:t>
      </w:r>
      <w:r>
        <w:rPr>
          <w:spacing w:val="-6"/>
          <w:sz w:val="20"/>
        </w:rPr>
        <w:t> </w:t>
      </w:r>
      <w:r>
        <w:rPr>
          <w:sz w:val="20"/>
        </w:rPr>
        <w:t>(DUT1):</w:t>
      </w:r>
    </w:p>
    <w:p>
      <w:pPr>
        <w:pStyle w:val="ListParagraph"/>
        <w:numPr>
          <w:ilvl w:val="1"/>
          <w:numId w:val="31"/>
        </w:numPr>
        <w:tabs>
          <w:tab w:pos="1985" w:val="left" w:leader="none"/>
          <w:tab w:pos="1986" w:val="left" w:leader="none"/>
        </w:tabs>
        <w:spacing w:line="240" w:lineRule="auto" w:before="178" w:after="0"/>
        <w:ind w:left="1985" w:right="0" w:hanging="286"/>
        <w:jc w:val="left"/>
        <w:rPr>
          <w:sz w:val="20"/>
        </w:rPr>
      </w:pPr>
      <w:r>
        <w:rPr>
          <w:sz w:val="20"/>
        </w:rPr>
        <w:t>SPS-based transmit flow with a periodicity of 100</w:t>
      </w:r>
      <w:r>
        <w:rPr>
          <w:spacing w:val="-17"/>
          <w:sz w:val="20"/>
        </w:rPr>
        <w:t> </w:t>
      </w:r>
      <w:r>
        <w:rPr>
          <w:sz w:val="20"/>
        </w:rPr>
        <w:t>ms.</w:t>
      </w:r>
    </w:p>
    <w:p>
      <w:pPr>
        <w:pStyle w:val="ListParagraph"/>
        <w:numPr>
          <w:ilvl w:val="1"/>
          <w:numId w:val="31"/>
        </w:numPr>
        <w:tabs>
          <w:tab w:pos="1985" w:val="left" w:leader="none"/>
          <w:tab w:pos="1986" w:val="left" w:leader="none"/>
        </w:tabs>
        <w:spacing w:line="240" w:lineRule="auto" w:before="180" w:after="0"/>
        <w:ind w:left="1985" w:right="0" w:hanging="286"/>
        <w:jc w:val="left"/>
        <w:rPr>
          <w:sz w:val="20"/>
        </w:rPr>
      </w:pPr>
      <w:r>
        <w:rPr>
          <w:sz w:val="20"/>
        </w:rPr>
        <w:t>Transmit on Channel 172 with bandwidth of 10</w:t>
      </w:r>
      <w:r>
        <w:rPr>
          <w:spacing w:val="-19"/>
          <w:sz w:val="20"/>
        </w:rPr>
        <w:t> </w:t>
      </w:r>
      <w:r>
        <w:rPr>
          <w:sz w:val="20"/>
        </w:rPr>
        <w:t>Mhz.</w:t>
      </w:r>
    </w:p>
    <w:p>
      <w:pPr>
        <w:pStyle w:val="ListParagraph"/>
        <w:numPr>
          <w:ilvl w:val="0"/>
          <w:numId w:val="31"/>
        </w:numPr>
        <w:tabs>
          <w:tab w:pos="1701" w:val="left" w:leader="none"/>
          <w:tab w:pos="1702" w:val="left" w:leader="none"/>
        </w:tabs>
        <w:spacing w:line="240" w:lineRule="auto" w:before="180" w:after="0"/>
        <w:ind w:left="1701" w:right="0" w:hanging="285"/>
        <w:jc w:val="left"/>
        <w:rPr>
          <w:sz w:val="20"/>
        </w:rPr>
      </w:pPr>
      <w:r>
        <w:rPr>
          <w:sz w:val="20"/>
        </w:rPr>
        <w:t>Settings on Device 2</w:t>
      </w:r>
      <w:r>
        <w:rPr>
          <w:spacing w:val="-6"/>
          <w:sz w:val="20"/>
        </w:rPr>
        <w:t> </w:t>
      </w:r>
      <w:r>
        <w:rPr>
          <w:sz w:val="20"/>
        </w:rPr>
        <w:t>(DUT2):</w:t>
      </w:r>
    </w:p>
    <w:p>
      <w:pPr>
        <w:pStyle w:val="ListParagraph"/>
        <w:numPr>
          <w:ilvl w:val="1"/>
          <w:numId w:val="31"/>
        </w:numPr>
        <w:tabs>
          <w:tab w:pos="1985" w:val="left" w:leader="none"/>
          <w:tab w:pos="1986" w:val="left" w:leader="none"/>
        </w:tabs>
        <w:spacing w:line="240" w:lineRule="auto" w:before="180" w:after="0"/>
        <w:ind w:left="1985" w:right="1139" w:hanging="286"/>
        <w:jc w:val="left"/>
        <w:rPr>
          <w:sz w:val="20"/>
        </w:rPr>
      </w:pPr>
      <w:r>
        <w:rPr>
          <w:sz w:val="20"/>
        </w:rPr>
        <w:t>SPS-based transmit flow with a periodicity of 100 ms (Note: equivalent to setting a periodic stream at 100 ms period for other</w:t>
      </w:r>
      <w:r>
        <w:rPr>
          <w:spacing w:val="-14"/>
          <w:sz w:val="20"/>
        </w:rPr>
        <w:t> </w:t>
      </w:r>
      <w:r>
        <w:rPr>
          <w:sz w:val="20"/>
        </w:rPr>
        <w:t>technologies).</w:t>
      </w:r>
    </w:p>
    <w:p>
      <w:pPr>
        <w:pStyle w:val="ListParagraph"/>
        <w:numPr>
          <w:ilvl w:val="1"/>
          <w:numId w:val="31"/>
        </w:numPr>
        <w:tabs>
          <w:tab w:pos="1985" w:val="left" w:leader="none"/>
          <w:tab w:pos="1986" w:val="left" w:leader="none"/>
        </w:tabs>
        <w:spacing w:line="240" w:lineRule="auto" w:before="180" w:after="0"/>
        <w:ind w:left="1985" w:right="0" w:hanging="286"/>
        <w:jc w:val="left"/>
        <w:rPr>
          <w:sz w:val="20"/>
        </w:rPr>
      </w:pPr>
      <w:r>
        <w:rPr>
          <w:sz w:val="20"/>
        </w:rPr>
        <w:t>Transmit on Channel 172 with bandwidth of 10</w:t>
      </w:r>
      <w:r>
        <w:rPr>
          <w:spacing w:val="-19"/>
          <w:sz w:val="20"/>
        </w:rPr>
        <w:t> </w:t>
      </w:r>
      <w:r>
        <w:rPr>
          <w:sz w:val="20"/>
        </w:rPr>
        <w:t>Mhz.</w:t>
      </w:r>
    </w:p>
    <w:p>
      <w:pPr>
        <w:pStyle w:val="ListParagraph"/>
        <w:numPr>
          <w:ilvl w:val="0"/>
          <w:numId w:val="31"/>
        </w:numPr>
        <w:tabs>
          <w:tab w:pos="1701" w:val="left" w:leader="none"/>
          <w:tab w:pos="1702" w:val="left" w:leader="none"/>
        </w:tabs>
        <w:spacing w:line="240" w:lineRule="auto" w:before="178" w:after="0"/>
        <w:ind w:left="1702" w:right="1126" w:hanging="286"/>
        <w:jc w:val="left"/>
        <w:rPr>
          <w:sz w:val="20"/>
        </w:rPr>
      </w:pPr>
      <w:r>
        <w:rPr>
          <w:sz w:val="20"/>
        </w:rPr>
        <w:t>DUT1 and DUT2 are isolated from each other such that both the transmit devices (DUT1 and </w:t>
      </w:r>
      <w:r>
        <w:rPr>
          <w:spacing w:val="2"/>
          <w:sz w:val="20"/>
        </w:rPr>
        <w:t>DUT2) </w:t>
      </w:r>
      <w:r>
        <w:rPr>
          <w:sz w:val="20"/>
        </w:rPr>
        <w:t>are unable to decode each other’s</w:t>
      </w:r>
      <w:r>
        <w:rPr>
          <w:spacing w:val="-11"/>
          <w:sz w:val="20"/>
        </w:rPr>
        <w:t> </w:t>
      </w:r>
      <w:r>
        <w:rPr>
          <w:sz w:val="20"/>
        </w:rPr>
        <w:t>transmissions.</w:t>
      </w:r>
    </w:p>
    <w:p>
      <w:pPr>
        <w:pStyle w:val="ListParagraph"/>
        <w:numPr>
          <w:ilvl w:val="0"/>
          <w:numId w:val="31"/>
        </w:numPr>
        <w:tabs>
          <w:tab w:pos="1701" w:val="left" w:leader="none"/>
          <w:tab w:pos="1702" w:val="left" w:leader="none"/>
        </w:tabs>
        <w:spacing w:line="240" w:lineRule="auto" w:before="179" w:after="0"/>
        <w:ind w:left="1701" w:right="0" w:hanging="285"/>
        <w:jc w:val="left"/>
        <w:rPr>
          <w:sz w:val="20"/>
        </w:rPr>
      </w:pPr>
      <w:r>
        <w:rPr>
          <w:sz w:val="20"/>
        </w:rPr>
        <w:t>Settings on Device 3</w:t>
      </w:r>
      <w:r>
        <w:rPr>
          <w:spacing w:val="-6"/>
          <w:sz w:val="20"/>
        </w:rPr>
        <w:t> </w:t>
      </w:r>
      <w:r>
        <w:rPr>
          <w:sz w:val="20"/>
        </w:rPr>
        <w:t>(DUT3):</w:t>
      </w:r>
    </w:p>
    <w:p>
      <w:pPr>
        <w:pStyle w:val="ListParagraph"/>
        <w:numPr>
          <w:ilvl w:val="1"/>
          <w:numId w:val="31"/>
        </w:numPr>
        <w:tabs>
          <w:tab w:pos="1985" w:val="left" w:leader="none"/>
          <w:tab w:pos="1986" w:val="left" w:leader="none"/>
        </w:tabs>
        <w:spacing w:line="240" w:lineRule="auto" w:before="179" w:after="0"/>
        <w:ind w:left="1985" w:right="0" w:hanging="286"/>
        <w:jc w:val="left"/>
        <w:rPr>
          <w:sz w:val="20"/>
        </w:rPr>
      </w:pPr>
      <w:r>
        <w:rPr>
          <w:sz w:val="20"/>
        </w:rPr>
        <w:t>Configured to receive transmissions on Channel</w:t>
      </w:r>
      <w:r>
        <w:rPr>
          <w:spacing w:val="-18"/>
          <w:sz w:val="20"/>
        </w:rPr>
        <w:t> </w:t>
      </w:r>
      <w:r>
        <w:rPr>
          <w:sz w:val="20"/>
        </w:rPr>
        <w:t>172.</w:t>
      </w:r>
    </w:p>
    <w:p>
      <w:pPr>
        <w:pStyle w:val="ListParagraph"/>
        <w:numPr>
          <w:ilvl w:val="1"/>
          <w:numId w:val="31"/>
        </w:numPr>
        <w:tabs>
          <w:tab w:pos="1985" w:val="left" w:leader="none"/>
          <w:tab w:pos="1986" w:val="left" w:leader="none"/>
        </w:tabs>
        <w:spacing w:line="240" w:lineRule="auto" w:before="179" w:after="0"/>
        <w:ind w:left="1985" w:right="0" w:hanging="286"/>
        <w:jc w:val="left"/>
        <w:rPr>
          <w:sz w:val="20"/>
        </w:rPr>
      </w:pPr>
      <w:r>
        <w:rPr>
          <w:sz w:val="20"/>
        </w:rPr>
        <w:t>All measurements of receiving side performance are done on this</w:t>
      </w:r>
      <w:r>
        <w:rPr>
          <w:spacing w:val="-22"/>
          <w:sz w:val="20"/>
        </w:rPr>
        <w:t> </w:t>
      </w:r>
      <w:r>
        <w:rPr>
          <w:sz w:val="20"/>
        </w:rPr>
        <w:t>device.</w:t>
      </w:r>
    </w:p>
    <w:p>
      <w:pPr>
        <w:pStyle w:val="ListParagraph"/>
        <w:numPr>
          <w:ilvl w:val="0"/>
          <w:numId w:val="31"/>
        </w:numPr>
        <w:tabs>
          <w:tab w:pos="1701" w:val="left" w:leader="none"/>
          <w:tab w:pos="1702" w:val="left" w:leader="none"/>
        </w:tabs>
        <w:spacing w:line="240" w:lineRule="auto" w:before="179" w:after="0"/>
        <w:ind w:left="1701" w:right="0" w:hanging="285"/>
        <w:jc w:val="left"/>
        <w:rPr>
          <w:sz w:val="20"/>
        </w:rPr>
      </w:pPr>
      <w:r>
        <w:rPr>
          <w:sz w:val="20"/>
        </w:rPr>
        <w:t>Settings on Device:  Congesting Device 1, Congesting Device</w:t>
      </w:r>
      <w:r>
        <w:rPr>
          <w:spacing w:val="-14"/>
          <w:sz w:val="20"/>
        </w:rPr>
        <w:t> </w:t>
      </w:r>
      <w:r>
        <w:rPr>
          <w:sz w:val="20"/>
        </w:rPr>
        <w:t>2:</w:t>
      </w:r>
    </w:p>
    <w:p>
      <w:pPr>
        <w:pStyle w:val="ListParagraph"/>
        <w:numPr>
          <w:ilvl w:val="1"/>
          <w:numId w:val="31"/>
        </w:numPr>
        <w:tabs>
          <w:tab w:pos="1985" w:val="left" w:leader="none"/>
          <w:tab w:pos="1986" w:val="left" w:leader="none"/>
        </w:tabs>
        <w:spacing w:line="240" w:lineRule="auto" w:before="177" w:after="0"/>
        <w:ind w:left="1985" w:right="0" w:hanging="286"/>
        <w:jc w:val="left"/>
        <w:rPr>
          <w:sz w:val="20"/>
        </w:rPr>
      </w:pPr>
      <w:r>
        <w:rPr>
          <w:sz w:val="20"/>
        </w:rPr>
        <w:t>C-V2X</w:t>
      </w:r>
      <w:r>
        <w:rPr>
          <w:spacing w:val="-10"/>
          <w:sz w:val="20"/>
        </w:rPr>
        <w:t> </w:t>
      </w:r>
      <w:r>
        <w:rPr>
          <w:sz w:val="20"/>
        </w:rPr>
        <w:t>configuration:</w:t>
      </w:r>
    </w:p>
    <w:p>
      <w:pPr>
        <w:pStyle w:val="ListParagraph"/>
        <w:numPr>
          <w:ilvl w:val="2"/>
          <w:numId w:val="31"/>
        </w:numPr>
        <w:tabs>
          <w:tab w:pos="2268" w:val="left" w:leader="none"/>
          <w:tab w:pos="2269" w:val="left" w:leader="none"/>
        </w:tabs>
        <w:spacing w:line="240" w:lineRule="auto" w:before="180" w:after="0"/>
        <w:ind w:left="2268" w:right="1141" w:hanging="283"/>
        <w:jc w:val="left"/>
        <w:rPr>
          <w:sz w:val="20"/>
        </w:rPr>
      </w:pPr>
      <w:r>
        <w:rPr>
          <w:sz w:val="20"/>
        </w:rPr>
        <w:t>Configured</w:t>
      </w:r>
      <w:r>
        <w:rPr>
          <w:spacing w:val="-13"/>
          <w:sz w:val="20"/>
        </w:rPr>
        <w:t> </w:t>
      </w:r>
      <w:r>
        <w:rPr>
          <w:sz w:val="20"/>
        </w:rPr>
        <w:t>to</w:t>
      </w:r>
      <w:r>
        <w:rPr>
          <w:spacing w:val="-13"/>
          <w:sz w:val="20"/>
        </w:rPr>
        <w:t> </w:t>
      </w:r>
      <w:r>
        <w:rPr>
          <w:sz w:val="20"/>
        </w:rPr>
        <w:t>continuously</w:t>
      </w:r>
      <w:r>
        <w:rPr>
          <w:spacing w:val="-16"/>
          <w:sz w:val="20"/>
        </w:rPr>
        <w:t> </w:t>
      </w:r>
      <w:r>
        <w:rPr>
          <w:sz w:val="20"/>
        </w:rPr>
        <w:t>transmit</w:t>
      </w:r>
      <w:r>
        <w:rPr>
          <w:spacing w:val="-13"/>
          <w:sz w:val="20"/>
        </w:rPr>
        <w:t> </w:t>
      </w:r>
      <w:r>
        <w:rPr>
          <w:sz w:val="20"/>
        </w:rPr>
        <w:t>on</w:t>
      </w:r>
      <w:r>
        <w:rPr>
          <w:spacing w:val="-13"/>
          <w:sz w:val="20"/>
        </w:rPr>
        <w:t> </w:t>
      </w:r>
      <w:r>
        <w:rPr>
          <w:sz w:val="20"/>
        </w:rPr>
        <w:t>Channel</w:t>
      </w:r>
      <w:r>
        <w:rPr>
          <w:spacing w:val="-11"/>
          <w:sz w:val="20"/>
        </w:rPr>
        <w:t> </w:t>
      </w:r>
      <w:r>
        <w:rPr>
          <w:sz w:val="20"/>
        </w:rPr>
        <w:t>172</w:t>
      </w:r>
      <w:r>
        <w:rPr>
          <w:spacing w:val="-9"/>
          <w:sz w:val="20"/>
        </w:rPr>
        <w:t> </w:t>
      </w:r>
      <w:r>
        <w:rPr>
          <w:sz w:val="20"/>
        </w:rPr>
        <w:t>with</w:t>
      </w:r>
      <w:r>
        <w:rPr>
          <w:spacing w:val="-13"/>
          <w:sz w:val="20"/>
        </w:rPr>
        <w:t> </w:t>
      </w:r>
      <w:r>
        <w:rPr>
          <w:sz w:val="20"/>
        </w:rPr>
        <w:t>bandwidth</w:t>
      </w:r>
      <w:r>
        <w:rPr>
          <w:spacing w:val="-10"/>
          <w:sz w:val="20"/>
        </w:rPr>
        <w:t> </w:t>
      </w:r>
      <w:r>
        <w:rPr>
          <w:sz w:val="20"/>
        </w:rPr>
        <w:t>of</w:t>
      </w:r>
      <w:r>
        <w:rPr>
          <w:spacing w:val="-11"/>
          <w:sz w:val="20"/>
        </w:rPr>
        <w:t> </w:t>
      </w:r>
      <w:r>
        <w:rPr>
          <w:sz w:val="20"/>
        </w:rPr>
        <w:t>10</w:t>
      </w:r>
      <w:r>
        <w:rPr>
          <w:spacing w:val="-11"/>
          <w:sz w:val="20"/>
        </w:rPr>
        <w:t> </w:t>
      </w:r>
      <w:r>
        <w:rPr>
          <w:sz w:val="20"/>
        </w:rPr>
        <w:t>MHz</w:t>
      </w:r>
      <w:r>
        <w:rPr>
          <w:spacing w:val="-11"/>
          <w:sz w:val="20"/>
        </w:rPr>
        <w:t> </w:t>
      </w:r>
      <w:r>
        <w:rPr>
          <w:sz w:val="20"/>
        </w:rPr>
        <w:t>to</w:t>
      </w:r>
      <w:r>
        <w:rPr>
          <w:spacing w:val="-11"/>
          <w:sz w:val="20"/>
        </w:rPr>
        <w:t> </w:t>
      </w:r>
      <w:r>
        <w:rPr>
          <w:sz w:val="20"/>
        </w:rPr>
        <w:t>achieve</w:t>
      </w:r>
      <w:r>
        <w:rPr>
          <w:spacing w:val="-10"/>
          <w:sz w:val="20"/>
        </w:rPr>
        <w:t> </w:t>
      </w:r>
      <w:r>
        <w:rPr>
          <w:sz w:val="20"/>
        </w:rPr>
        <w:t>desired CBR.</w:t>
      </w:r>
    </w:p>
    <w:p>
      <w:pPr>
        <w:pStyle w:val="ListParagraph"/>
        <w:numPr>
          <w:ilvl w:val="2"/>
          <w:numId w:val="31"/>
        </w:numPr>
        <w:tabs>
          <w:tab w:pos="2268" w:val="left" w:leader="none"/>
          <w:tab w:pos="2269" w:val="left" w:leader="none"/>
        </w:tabs>
        <w:spacing w:line="240" w:lineRule="auto" w:before="180" w:after="0"/>
        <w:ind w:left="2268" w:right="0" w:hanging="283"/>
        <w:jc w:val="left"/>
        <w:rPr>
          <w:sz w:val="20"/>
        </w:rPr>
      </w:pPr>
      <w:r>
        <w:rPr>
          <w:sz w:val="20"/>
        </w:rPr>
        <w:t>Each device is configured to achieve ~ 80%</w:t>
      </w:r>
      <w:r>
        <w:rPr>
          <w:spacing w:val="-19"/>
          <w:sz w:val="20"/>
        </w:rPr>
        <w:t> </w:t>
      </w:r>
      <w:r>
        <w:rPr>
          <w:sz w:val="20"/>
        </w:rPr>
        <w:t>CBR.</w:t>
      </w:r>
    </w:p>
    <w:p>
      <w:pPr>
        <w:pStyle w:val="ListParagraph"/>
        <w:numPr>
          <w:ilvl w:val="1"/>
          <w:numId w:val="31"/>
        </w:numPr>
        <w:tabs>
          <w:tab w:pos="1985" w:val="left" w:leader="none"/>
          <w:tab w:pos="1986" w:val="left" w:leader="none"/>
        </w:tabs>
        <w:spacing w:line="240" w:lineRule="auto" w:before="179" w:after="0"/>
        <w:ind w:left="1985" w:right="0" w:hanging="286"/>
        <w:jc w:val="left"/>
        <w:rPr>
          <w:sz w:val="20"/>
        </w:rPr>
      </w:pPr>
      <w:r>
        <w:rPr>
          <w:sz w:val="20"/>
        </w:rPr>
        <w:t>DSRC</w:t>
      </w:r>
      <w:r>
        <w:rPr>
          <w:spacing w:val="-8"/>
          <w:sz w:val="20"/>
        </w:rPr>
        <w:t> </w:t>
      </w:r>
      <w:r>
        <w:rPr>
          <w:sz w:val="20"/>
        </w:rPr>
        <w:t>configuration:</w:t>
      </w:r>
    </w:p>
    <w:p>
      <w:pPr>
        <w:pStyle w:val="ListParagraph"/>
        <w:numPr>
          <w:ilvl w:val="2"/>
          <w:numId w:val="31"/>
        </w:numPr>
        <w:tabs>
          <w:tab w:pos="2268" w:val="left" w:leader="none"/>
          <w:tab w:pos="2269" w:val="left" w:leader="none"/>
        </w:tabs>
        <w:spacing w:line="240" w:lineRule="auto" w:before="179" w:after="0"/>
        <w:ind w:left="2268" w:right="1133" w:hanging="283"/>
        <w:jc w:val="left"/>
        <w:rPr>
          <w:sz w:val="20"/>
        </w:rPr>
      </w:pPr>
      <w:r>
        <w:rPr>
          <w:sz w:val="20"/>
        </w:rPr>
        <w:t>Configured to continuously transmit on Channel 172, a fixed-packet size to achieve the desired congestion</w:t>
      </w:r>
      <w:r>
        <w:rPr>
          <w:spacing w:val="-6"/>
          <w:sz w:val="20"/>
        </w:rPr>
        <w:t> </w:t>
      </w:r>
      <w:r>
        <w:rPr>
          <w:sz w:val="20"/>
        </w:rPr>
        <w:t>level.</w:t>
      </w:r>
    </w:p>
    <w:p>
      <w:pPr>
        <w:pStyle w:val="ListParagraph"/>
        <w:numPr>
          <w:ilvl w:val="2"/>
          <w:numId w:val="31"/>
        </w:numPr>
        <w:tabs>
          <w:tab w:pos="2268" w:val="left" w:leader="none"/>
          <w:tab w:pos="2269" w:val="left" w:leader="none"/>
        </w:tabs>
        <w:spacing w:line="240" w:lineRule="auto" w:before="179" w:after="0"/>
        <w:ind w:left="2268" w:right="0" w:hanging="283"/>
        <w:jc w:val="left"/>
        <w:rPr>
          <w:sz w:val="20"/>
        </w:rPr>
      </w:pPr>
      <w:r>
        <w:rPr>
          <w:sz w:val="20"/>
        </w:rPr>
        <w:t>Each device is configured to create ~ 80%</w:t>
      </w:r>
      <w:r>
        <w:rPr>
          <w:spacing w:val="-14"/>
          <w:sz w:val="20"/>
        </w:rPr>
        <w:t> </w:t>
      </w:r>
      <w:r>
        <w:rPr>
          <w:sz w:val="20"/>
        </w:rPr>
        <w:t>CBR.</w:t>
      </w:r>
    </w:p>
    <w:p>
      <w:pPr>
        <w:pStyle w:val="ListParagraph"/>
        <w:numPr>
          <w:ilvl w:val="0"/>
          <w:numId w:val="31"/>
        </w:numPr>
        <w:tabs>
          <w:tab w:pos="1701" w:val="left" w:leader="none"/>
          <w:tab w:pos="1702" w:val="left" w:leader="none"/>
        </w:tabs>
        <w:spacing w:line="240" w:lineRule="auto" w:before="179" w:after="0"/>
        <w:ind w:left="1702" w:right="1139" w:hanging="286"/>
        <w:jc w:val="left"/>
        <w:rPr>
          <w:sz w:val="20"/>
        </w:rPr>
      </w:pPr>
      <w:r>
        <w:rPr>
          <w:sz w:val="20"/>
        </w:rPr>
        <w:t>On</w:t>
      </w:r>
      <w:r>
        <w:rPr>
          <w:spacing w:val="-15"/>
          <w:sz w:val="20"/>
        </w:rPr>
        <w:t> </w:t>
      </w:r>
      <w:r>
        <w:rPr>
          <w:sz w:val="20"/>
        </w:rPr>
        <w:t>C-V2X</w:t>
      </w:r>
      <w:r>
        <w:rPr>
          <w:spacing w:val="-14"/>
          <w:sz w:val="20"/>
        </w:rPr>
        <w:t> </w:t>
      </w:r>
      <w:r>
        <w:rPr>
          <w:sz w:val="20"/>
        </w:rPr>
        <w:t>Transmit</w:t>
      </w:r>
      <w:r>
        <w:rPr>
          <w:spacing w:val="-15"/>
          <w:sz w:val="20"/>
        </w:rPr>
        <w:t> </w:t>
      </w:r>
      <w:r>
        <w:rPr>
          <w:sz w:val="20"/>
        </w:rPr>
        <w:t>devices</w:t>
      </w:r>
      <w:r>
        <w:rPr>
          <w:spacing w:val="-12"/>
          <w:sz w:val="20"/>
        </w:rPr>
        <w:t> </w:t>
      </w:r>
      <w:r>
        <w:rPr>
          <w:sz w:val="20"/>
        </w:rPr>
        <w:t>DUT1</w:t>
      </w:r>
      <w:r>
        <w:rPr>
          <w:spacing w:val="-15"/>
          <w:sz w:val="20"/>
        </w:rPr>
        <w:t> </w:t>
      </w:r>
      <w:r>
        <w:rPr>
          <w:sz w:val="20"/>
        </w:rPr>
        <w:t>and</w:t>
      </w:r>
      <w:r>
        <w:rPr>
          <w:spacing w:val="-13"/>
          <w:sz w:val="20"/>
        </w:rPr>
        <w:t> </w:t>
      </w:r>
      <w:r>
        <w:rPr>
          <w:sz w:val="20"/>
        </w:rPr>
        <w:t>DUT2,</w:t>
      </w:r>
      <w:r>
        <w:rPr>
          <w:spacing w:val="-15"/>
          <w:sz w:val="20"/>
        </w:rPr>
        <w:t> </w:t>
      </w:r>
      <w:r>
        <w:rPr>
          <w:sz w:val="20"/>
        </w:rPr>
        <w:t>HARQ</w:t>
      </w:r>
      <w:r>
        <w:rPr>
          <w:spacing w:val="-11"/>
          <w:sz w:val="20"/>
        </w:rPr>
        <w:t> </w:t>
      </w:r>
      <w:r>
        <w:rPr>
          <w:sz w:val="20"/>
        </w:rPr>
        <w:t>is</w:t>
      </w:r>
      <w:r>
        <w:rPr>
          <w:spacing w:val="-11"/>
          <w:sz w:val="20"/>
        </w:rPr>
        <w:t> </w:t>
      </w:r>
      <w:r>
        <w:rPr>
          <w:sz w:val="20"/>
        </w:rPr>
        <w:t>disabled</w:t>
      </w:r>
      <w:r>
        <w:rPr>
          <w:spacing w:val="-13"/>
          <w:sz w:val="20"/>
        </w:rPr>
        <w:t> </w:t>
      </w:r>
      <w:r>
        <w:rPr>
          <w:sz w:val="20"/>
        </w:rPr>
        <w:t>(because</w:t>
      </w:r>
      <w:r>
        <w:rPr>
          <w:spacing w:val="-13"/>
          <w:sz w:val="20"/>
        </w:rPr>
        <w:t> </w:t>
      </w:r>
      <w:r>
        <w:rPr>
          <w:sz w:val="20"/>
        </w:rPr>
        <w:t>DUT1</w:t>
      </w:r>
      <w:r>
        <w:rPr>
          <w:spacing w:val="-15"/>
          <w:sz w:val="20"/>
        </w:rPr>
        <w:t> </w:t>
      </w:r>
      <w:r>
        <w:rPr>
          <w:sz w:val="20"/>
        </w:rPr>
        <w:t>and</w:t>
      </w:r>
      <w:r>
        <w:rPr>
          <w:spacing w:val="-15"/>
          <w:sz w:val="20"/>
        </w:rPr>
        <w:t> </w:t>
      </w:r>
      <w:r>
        <w:rPr>
          <w:sz w:val="20"/>
        </w:rPr>
        <w:t>DUT2</w:t>
      </w:r>
      <w:r>
        <w:rPr>
          <w:spacing w:val="-13"/>
          <w:sz w:val="20"/>
        </w:rPr>
        <w:t> </w:t>
      </w:r>
      <w:r>
        <w:rPr>
          <w:sz w:val="20"/>
        </w:rPr>
        <w:t>will</w:t>
      </w:r>
      <w:r>
        <w:rPr>
          <w:spacing w:val="-14"/>
          <w:sz w:val="20"/>
        </w:rPr>
        <w:t> </w:t>
      </w:r>
      <w:r>
        <w:rPr>
          <w:sz w:val="20"/>
        </w:rPr>
        <w:t>observe congestion).</w:t>
      </w:r>
    </w:p>
    <w:p>
      <w:pPr>
        <w:pStyle w:val="ListParagraph"/>
        <w:numPr>
          <w:ilvl w:val="0"/>
          <w:numId w:val="31"/>
        </w:numPr>
        <w:tabs>
          <w:tab w:pos="1701" w:val="left" w:leader="none"/>
          <w:tab w:pos="1702" w:val="left" w:leader="none"/>
        </w:tabs>
        <w:spacing w:line="240" w:lineRule="auto" w:before="179" w:after="0"/>
        <w:ind w:left="1701" w:right="0" w:hanging="285"/>
        <w:jc w:val="left"/>
        <w:rPr>
          <w:sz w:val="20"/>
        </w:rPr>
      </w:pPr>
      <w:r>
        <w:rPr>
          <w:sz w:val="20"/>
        </w:rPr>
        <w:t>Variable attenuators VA1, VA2, VA3 and VA4 are set to 50 dB</w:t>
      </w:r>
      <w:r>
        <w:rPr>
          <w:spacing w:val="-20"/>
          <w:sz w:val="20"/>
        </w:rPr>
        <w:t> </w:t>
      </w:r>
      <w:r>
        <w:rPr>
          <w:sz w:val="20"/>
        </w:rPr>
        <w:t>attenuation.</w:t>
      </w:r>
    </w:p>
    <w:p>
      <w:pPr>
        <w:pStyle w:val="ListParagraph"/>
        <w:numPr>
          <w:ilvl w:val="0"/>
          <w:numId w:val="31"/>
        </w:numPr>
        <w:tabs>
          <w:tab w:pos="1701" w:val="left" w:leader="none"/>
          <w:tab w:pos="1702" w:val="left" w:leader="none"/>
        </w:tabs>
        <w:spacing w:line="240" w:lineRule="auto" w:before="177" w:after="0"/>
        <w:ind w:left="1701" w:right="0" w:hanging="285"/>
        <w:jc w:val="left"/>
        <w:rPr>
          <w:sz w:val="20"/>
        </w:rPr>
      </w:pPr>
      <w:r>
        <w:rPr>
          <w:sz w:val="20"/>
        </w:rPr>
        <w:t>Data Collection at</w:t>
      </w:r>
      <w:r>
        <w:rPr>
          <w:spacing w:val="-5"/>
          <w:sz w:val="20"/>
        </w:rPr>
        <w:t> </w:t>
      </w:r>
      <w:r>
        <w:rPr>
          <w:sz w:val="20"/>
        </w:rPr>
        <w:t>DUT1:</w:t>
      </w:r>
    </w:p>
    <w:p>
      <w:pPr>
        <w:pStyle w:val="ListParagraph"/>
        <w:numPr>
          <w:ilvl w:val="1"/>
          <w:numId w:val="31"/>
        </w:numPr>
        <w:tabs>
          <w:tab w:pos="1985" w:val="left" w:leader="none"/>
          <w:tab w:pos="1986" w:val="left" w:leader="none"/>
        </w:tabs>
        <w:spacing w:line="240" w:lineRule="auto" w:before="180" w:after="0"/>
        <w:ind w:left="1985" w:right="0" w:hanging="286"/>
        <w:jc w:val="left"/>
        <w:rPr>
          <w:sz w:val="20"/>
        </w:rPr>
      </w:pPr>
      <w:r>
        <w:rPr>
          <w:sz w:val="20"/>
        </w:rPr>
        <w:t>OS timestamp for each transmitted</w:t>
      </w:r>
      <w:r>
        <w:rPr>
          <w:spacing w:val="-14"/>
          <w:sz w:val="20"/>
        </w:rPr>
        <w:t> </w:t>
      </w:r>
      <w:r>
        <w:rPr>
          <w:sz w:val="20"/>
        </w:rPr>
        <w:t>packet</w:t>
      </w:r>
    </w:p>
    <w:p>
      <w:pPr>
        <w:pStyle w:val="ListParagraph"/>
        <w:numPr>
          <w:ilvl w:val="1"/>
          <w:numId w:val="31"/>
        </w:numPr>
        <w:tabs>
          <w:tab w:pos="1985" w:val="left" w:leader="none"/>
          <w:tab w:pos="1986" w:val="left" w:leader="none"/>
        </w:tabs>
        <w:spacing w:line="240" w:lineRule="auto" w:before="181" w:after="0"/>
        <w:ind w:left="1985" w:right="0" w:hanging="286"/>
        <w:jc w:val="left"/>
        <w:rPr>
          <w:sz w:val="20"/>
        </w:rPr>
      </w:pPr>
      <w:r>
        <w:rPr>
          <w:sz w:val="20"/>
        </w:rPr>
        <w:t>Sequence number of each transmitted</w:t>
      </w:r>
      <w:r>
        <w:rPr>
          <w:spacing w:val="-9"/>
          <w:sz w:val="20"/>
        </w:rPr>
        <w:t> </w:t>
      </w:r>
      <w:r>
        <w:rPr>
          <w:sz w:val="20"/>
        </w:rPr>
        <w:t>packet</w:t>
      </w:r>
    </w:p>
    <w:p>
      <w:pPr>
        <w:pStyle w:val="ListParagraph"/>
        <w:numPr>
          <w:ilvl w:val="0"/>
          <w:numId w:val="31"/>
        </w:numPr>
        <w:tabs>
          <w:tab w:pos="1701" w:val="left" w:leader="none"/>
          <w:tab w:pos="1702" w:val="left" w:leader="none"/>
        </w:tabs>
        <w:spacing w:line="240" w:lineRule="auto" w:before="180" w:after="0"/>
        <w:ind w:left="1701" w:right="0" w:hanging="285"/>
        <w:jc w:val="left"/>
        <w:rPr>
          <w:sz w:val="20"/>
        </w:rPr>
      </w:pPr>
      <w:r>
        <w:rPr>
          <w:sz w:val="20"/>
        </w:rPr>
        <w:t>Data Collection at</w:t>
      </w:r>
      <w:r>
        <w:rPr>
          <w:spacing w:val="-5"/>
          <w:sz w:val="20"/>
        </w:rPr>
        <w:t> </w:t>
      </w:r>
      <w:r>
        <w:rPr>
          <w:sz w:val="20"/>
        </w:rPr>
        <w:t>DUT2:</w:t>
      </w:r>
    </w:p>
    <w:p>
      <w:pPr>
        <w:pStyle w:val="ListParagraph"/>
        <w:numPr>
          <w:ilvl w:val="1"/>
          <w:numId w:val="31"/>
        </w:numPr>
        <w:tabs>
          <w:tab w:pos="1985" w:val="left" w:leader="none"/>
          <w:tab w:pos="1986" w:val="left" w:leader="none"/>
        </w:tabs>
        <w:spacing w:line="240" w:lineRule="auto" w:before="180" w:after="0"/>
        <w:ind w:left="1985" w:right="0" w:hanging="286"/>
        <w:jc w:val="left"/>
        <w:rPr>
          <w:sz w:val="20"/>
        </w:rPr>
      </w:pPr>
      <w:r>
        <w:rPr>
          <w:sz w:val="20"/>
        </w:rPr>
        <w:t>OS timestamp for each transmitted</w:t>
      </w:r>
      <w:r>
        <w:rPr>
          <w:spacing w:val="-14"/>
          <w:sz w:val="20"/>
        </w:rPr>
        <w:t> </w:t>
      </w:r>
      <w:r>
        <w:rPr>
          <w:sz w:val="20"/>
        </w:rPr>
        <w:t>packet</w:t>
      </w:r>
    </w:p>
    <w:p>
      <w:pPr>
        <w:pStyle w:val="ListParagraph"/>
        <w:numPr>
          <w:ilvl w:val="1"/>
          <w:numId w:val="31"/>
        </w:numPr>
        <w:tabs>
          <w:tab w:pos="1985" w:val="left" w:leader="none"/>
          <w:tab w:pos="1986" w:val="left" w:leader="none"/>
        </w:tabs>
        <w:spacing w:line="240" w:lineRule="auto" w:before="180" w:after="0"/>
        <w:ind w:left="1985" w:right="0" w:hanging="286"/>
        <w:jc w:val="left"/>
        <w:rPr>
          <w:sz w:val="20"/>
        </w:rPr>
      </w:pPr>
      <w:r>
        <w:rPr>
          <w:sz w:val="20"/>
        </w:rPr>
        <w:t>Sequence number of each transmitted</w:t>
      </w:r>
      <w:r>
        <w:rPr>
          <w:spacing w:val="-9"/>
          <w:sz w:val="20"/>
        </w:rPr>
        <w:t> </w:t>
      </w:r>
      <w:r>
        <w:rPr>
          <w:sz w:val="20"/>
        </w:rPr>
        <w:t>packet</w:t>
      </w:r>
    </w:p>
    <w:p>
      <w:pPr>
        <w:pStyle w:val="ListParagraph"/>
        <w:numPr>
          <w:ilvl w:val="0"/>
          <w:numId w:val="31"/>
        </w:numPr>
        <w:tabs>
          <w:tab w:pos="1702" w:val="left" w:leader="none"/>
        </w:tabs>
        <w:spacing w:line="240" w:lineRule="auto" w:before="177" w:after="0"/>
        <w:ind w:left="1701" w:right="0" w:hanging="230"/>
        <w:jc w:val="left"/>
        <w:rPr>
          <w:sz w:val="20"/>
        </w:rPr>
      </w:pPr>
      <w:r>
        <w:rPr>
          <w:sz w:val="20"/>
        </w:rPr>
        <w:t>Data Collection at</w:t>
      </w:r>
      <w:r>
        <w:rPr>
          <w:spacing w:val="-5"/>
          <w:sz w:val="20"/>
        </w:rPr>
        <w:t> </w:t>
      </w:r>
      <w:r>
        <w:rPr>
          <w:sz w:val="20"/>
        </w:rPr>
        <w:t>DUT3:</w:t>
      </w:r>
    </w:p>
    <w:p>
      <w:pPr>
        <w:pStyle w:val="ListParagraph"/>
        <w:numPr>
          <w:ilvl w:val="1"/>
          <w:numId w:val="31"/>
        </w:numPr>
        <w:tabs>
          <w:tab w:pos="1985" w:val="left" w:leader="none"/>
          <w:tab w:pos="1986" w:val="left" w:leader="none"/>
        </w:tabs>
        <w:spacing w:line="240" w:lineRule="auto" w:before="180" w:after="0"/>
        <w:ind w:left="1985" w:right="0" w:hanging="286"/>
        <w:jc w:val="left"/>
        <w:rPr>
          <w:sz w:val="20"/>
        </w:rPr>
      </w:pPr>
      <w:r>
        <w:rPr>
          <w:sz w:val="20"/>
        </w:rPr>
        <w:t>OS timestamp for each received</w:t>
      </w:r>
      <w:r>
        <w:rPr>
          <w:spacing w:val="-11"/>
          <w:sz w:val="20"/>
        </w:rPr>
        <w:t> </w:t>
      </w:r>
      <w:r>
        <w:rPr>
          <w:sz w:val="20"/>
        </w:rPr>
        <w:t>packet</w:t>
      </w:r>
    </w:p>
    <w:p>
      <w:pPr>
        <w:pStyle w:val="ListParagraph"/>
        <w:numPr>
          <w:ilvl w:val="1"/>
          <w:numId w:val="31"/>
        </w:numPr>
        <w:tabs>
          <w:tab w:pos="1985" w:val="left" w:leader="none"/>
          <w:tab w:pos="1986" w:val="left" w:leader="none"/>
        </w:tabs>
        <w:spacing w:line="240" w:lineRule="auto" w:before="180" w:after="0"/>
        <w:ind w:left="1985" w:right="0" w:hanging="286"/>
        <w:jc w:val="left"/>
        <w:rPr>
          <w:sz w:val="20"/>
        </w:rPr>
      </w:pPr>
      <w:r>
        <w:rPr>
          <w:sz w:val="20"/>
        </w:rPr>
        <w:t>Sequence number of each received</w:t>
      </w:r>
      <w:r>
        <w:rPr>
          <w:spacing w:val="-8"/>
          <w:sz w:val="20"/>
        </w:rPr>
        <w:t> </w:t>
      </w:r>
      <w:r>
        <w:rPr>
          <w:sz w:val="20"/>
        </w:rPr>
        <w:t>packet</w:t>
      </w:r>
    </w:p>
    <w:p>
      <w:pPr>
        <w:spacing w:after="0" w:line="240" w:lineRule="auto"/>
        <w:jc w:val="left"/>
        <w:rPr>
          <w:sz w:val="20"/>
        </w:rPr>
        <w:sectPr>
          <w:headerReference w:type="default" r:id="rId280"/>
          <w:pgSz w:w="11910" w:h="16850"/>
          <w:pgMar w:header="852" w:footer="979" w:top="1040" w:bottom="1160" w:left="0" w:right="0"/>
        </w:sectPr>
      </w:pPr>
    </w:p>
    <w:p>
      <w:pPr>
        <w:pStyle w:val="BodyText"/>
      </w:pPr>
      <w:r>
        <w:rPr/>
        <w:pict>
          <v:line style="position:absolute;mso-position-horizontal-relative:page;mso-position-vertical-relative:page;z-index:-501232" from="147.016586pt,218.876602pt" to="147.673320pt,252.963528pt" stroked="true" strokeweight=".420309pt" strokecolor="#4471c4">
            <v:stroke dashstyle="solid"/>
            <w10:wrap type="none"/>
          </v:line>
        </w:pict>
      </w:r>
    </w:p>
    <w:p>
      <w:pPr>
        <w:pStyle w:val="BodyText"/>
      </w:pPr>
    </w:p>
    <w:p>
      <w:pPr>
        <w:pStyle w:val="BodyText"/>
      </w:pPr>
    </w:p>
    <w:p>
      <w:pPr>
        <w:pStyle w:val="BodyText"/>
        <w:spacing w:before="1"/>
        <w:rPr>
          <w:sz w:val="29"/>
        </w:rPr>
      </w:pPr>
    </w:p>
    <w:p>
      <w:pPr>
        <w:pStyle w:val="BodyText"/>
        <w:ind w:left="1128"/>
      </w:pPr>
      <w:r>
        <w:rPr/>
        <w:pict>
          <v:group style="width:405pt;height:485.75pt;mso-position-horizontal-relative:char;mso-position-vertical-relative:line" coordorigin="0,0" coordsize="8100,9715">
            <v:shape style="position:absolute;left:3319;top:9;width:1944;height:1102" coordorigin="3319,9" coordsize="1944,1102" path="m4291,9l4197,11,4106,18,4018,31,3933,47,3852,68,3775,92,3702,121,3635,153,3573,188,3517,226,3467,267,3423,311,3357,405,3323,506,3319,559,3323,612,3357,714,3423,808,3467,851,3517,892,3573,931,3635,966,3702,998,3775,1026,3852,1051,3933,1071,4018,1088,4106,1100,4197,1107,4291,1110,4384,1107,4475,1100,4563,1088,4648,1071,4729,1051,4806,1026,4879,998,4946,966,5008,931,5065,892,5115,851,5158,808,5224,714,5258,612,5263,559,5258,506,5224,405,5158,311,5115,267,5065,226,5008,188,4946,153,4879,121,4806,92,4729,68,4648,47,4563,31,4475,18,4384,11,4291,9xe" filled="true" fillcolor="#8faadc" stroked="false">
              <v:path arrowok="t"/>
              <v:fill type="solid"/>
            </v:shape>
            <v:shape style="position:absolute;left:3319;top:9;width:1944;height:1102" coordorigin="3319,9" coordsize="1944,1102" path="m3319,559l3336,455,3387,357,3467,267,3517,226,3573,188,3635,153,3702,121,3775,92,3852,68,3933,47,4018,31,4106,18,4197,11,4291,9,4384,11,4475,18,4563,31,4648,47,4729,68,4806,92,4879,121,4946,153,5008,188,5065,226,5115,267,5158,311,5224,405,5258,506,5263,559,5258,612,5224,714,5158,808,5115,851,5065,892,5008,931,4946,966,4879,998,4806,1026,4729,1051,4648,1071,4563,1088,4475,1100,4384,1107,4291,1110,4197,1107,4106,1100,4018,1088,3933,1071,3852,1051,3775,1026,3702,998,3635,966,3573,931,3517,892,3467,851,3423,808,3357,714,3323,612,3319,559xe" filled="false" stroked="true" strokeweight=".839441pt" strokecolor="#8faadc">
              <v:path arrowok="t"/>
              <v:stroke dashstyle="solid"/>
            </v:shape>
            <v:line style="position:absolute" from="4296,1080" to="4296,1269" stroked="true" strokeweight=".42031pt" strokecolor="#4471c4">
              <v:stroke dashstyle="solid"/>
            </v:line>
            <v:line style="position:absolute" from="4288,1257" to="4,1275" stroked="true" strokeweight=".419531pt" strokecolor="#4471c4">
              <v:stroke dashstyle="solid"/>
            </v:line>
            <v:line style="position:absolute" from="5,1311" to="79,9689" stroked="true" strokeweight=".42031pt" strokecolor="#4471c4">
              <v:stroke dashstyle="solid"/>
            </v:line>
            <v:line style="position:absolute" from="7419,9689" to="99,9708" stroked="true" strokeweight=".419531pt" strokecolor="#4471c4">
              <v:stroke dashstyle="solid"/>
            </v:line>
            <v:line style="position:absolute" from="2470,4292" to="828,4316" stroked="true" strokeweight=".419532pt" strokecolor="#4471c4">
              <v:stroke dashstyle="solid"/>
            </v:line>
            <v:rect style="position:absolute;left:513;top:5234;width:1419;height:445" filled="true" fillcolor="#4471c4" stroked="false">
              <v:fill type="solid"/>
            </v:rect>
            <v:rect style="position:absolute;left:513;top:5234;width:1419;height:445" filled="false" stroked="true" strokeweight=".839202pt" strokecolor="#2e528f">
              <v:stroke dashstyle="solid"/>
            </v:rect>
            <v:line style="position:absolute" from="833,4298" to="833,5274" stroked="true" strokeweight=".42031pt" strokecolor="#4471c4">
              <v:stroke dashstyle="solid"/>
            </v:line>
            <v:rect style="position:absolute;left:513;top:6020;width:1419;height:445" filled="true" fillcolor="#4471c4" stroked="false">
              <v:fill type="solid"/>
            </v:rect>
            <v:rect style="position:absolute;left:513;top:6020;width:1419;height:445" filled="false" stroked="true" strokeweight=".839202pt" strokecolor="#2e528f">
              <v:stroke dashstyle="solid"/>
            </v:rect>
            <v:line style="position:absolute" from="1452,6478" to="1452,6929" stroked="true" strokeweight=".42031pt" strokecolor="#4471c4">
              <v:stroke dashstyle="solid"/>
            </v:line>
            <v:line style="position:absolute" from="833,6488" to="833,6929" stroked="true" strokeweight=".42031pt" strokecolor="#4471c4">
              <v:stroke dashstyle="solid"/>
            </v:line>
            <v:line style="position:absolute" from="1249,5653" to="1249,6141" stroked="true" strokeweight=".42031pt" strokecolor="#4471c4">
              <v:stroke dashstyle="solid"/>
            </v:line>
            <v:rect style="position:absolute;left:326;top:6929;width:1799;height:957" filled="true" fillcolor="#6f2f9f" stroked="false">
              <v:fill type="solid"/>
            </v:rect>
            <v:rect style="position:absolute;left:326;top:6929;width:1799;height:957" filled="false" stroked="true" strokeweight=".839406pt" strokecolor="#2e528f">
              <v:stroke dashstyle="solid"/>
            </v:rect>
            <v:line style="position:absolute" from="1661,4787" to="1661,5237" stroked="true" strokeweight=".42031pt" strokecolor="#4471c4">
              <v:stroke dashstyle="solid"/>
            </v:line>
            <v:line style="position:absolute" from="1679,4806" to="2056,4806" stroked="true" strokeweight=".419531pt" strokecolor="#4471c4">
              <v:stroke dashstyle="solid"/>
            </v:line>
            <v:line style="position:absolute" from="1152,7831" to="1152,9708" stroked="true" strokeweight=".42031pt" strokecolor="#4471c4">
              <v:stroke dashstyle="solid"/>
            </v:line>
            <v:line style="position:absolute" from="7571,4265" to="6446,4265" stroked="true" strokeweight=".419531pt" strokecolor="#4471c4">
              <v:stroke dashstyle="solid"/>
            </v:line>
            <v:rect style="position:absolute;left:6519;top:5276;width:1419;height:447" filled="true" fillcolor="#4471c4" stroked="false">
              <v:fill type="solid"/>
            </v:rect>
            <v:rect style="position:absolute;left:6519;top:5276;width:1419;height:447" filled="false" stroked="true" strokeweight=".839203pt" strokecolor="#2e528f">
              <v:stroke dashstyle="solid"/>
            </v:rect>
            <v:rect style="position:absolute;left:6481;top:6054;width:1419;height:445" filled="true" fillcolor="#4471c4" stroked="false">
              <v:fill type="solid"/>
            </v:rect>
            <v:rect style="position:absolute;left:6481;top:6054;width:1419;height:445" filled="false" stroked="true" strokeweight=".839202pt" strokecolor="#2e528f">
              <v:stroke dashstyle="solid"/>
            </v:rect>
            <v:rect style="position:absolute;left:6292;top:6929;width:1799;height:959" filled="true" fillcolor="#6f2f9f" stroked="false">
              <v:fill type="solid"/>
            </v:rect>
            <v:rect style="position:absolute;left:6292;top:6929;width:1799;height:959" filled="false" stroked="true" strokeweight=".839407pt" strokecolor="#2e528f">
              <v:stroke dashstyle="solid"/>
            </v:rect>
            <v:line style="position:absolute" from="6782,6444" to="6782,6932" stroked="true" strokeweight=".42031pt" strokecolor="#4471c4">
              <v:stroke dashstyle="solid"/>
            </v:line>
            <v:line style="position:absolute" from="7627,6442" to="7627,6966" stroked="true" strokeweight=".42031pt" strokecolor="#4471c4">
              <v:stroke dashstyle="solid"/>
            </v:line>
            <v:line style="position:absolute" from="7253,5653" to="7253,6141" stroked="true" strokeweight=".42031pt" strokecolor="#4471c4">
              <v:stroke dashstyle="solid"/>
            </v:line>
            <v:line style="position:absolute" from="7589,4260" to="7589,5293" stroked="true" strokeweight=".42031pt" strokecolor="#4471c4">
              <v:stroke dashstyle="solid"/>
            </v:line>
            <v:line style="position:absolute" from="6895,4865" to="6895,5315" stroked="true" strokeweight=".42031pt" strokecolor="#4471c4">
              <v:stroke dashstyle="solid"/>
            </v:line>
            <v:line style="position:absolute" from="6572,4881" to="6893,4881" stroked="true" strokeweight=".419531pt" strokecolor="#4471c4">
              <v:stroke dashstyle="solid"/>
            </v:line>
            <v:line style="position:absolute" from="7381,7833" to="7381,9710" stroked="true" strokeweight=".42031pt" strokecolor="#4471c4">
              <v:stroke dashstyle="solid"/>
            </v:line>
            <v:line style="position:absolute" from="2827,4806" to="3015,4806" stroked="true" strokeweight=".419531pt" strokecolor="#4471c4">
              <v:stroke dashstyle="solid"/>
            </v:line>
            <v:line style="position:absolute" from="3037,4808" to="3037,5784" stroked="true" strokeweight=".42031pt" strokecolor="#4471c4">
              <v:stroke dashstyle="solid"/>
            </v:line>
            <v:line style="position:absolute" from="3674,5783" to="2997,5783" stroked="true" strokeweight=".419531pt" strokecolor="#4471c4">
              <v:stroke dashstyle="solid"/>
            </v:line>
            <v:line style="position:absolute" from="3695,5767" to="3695,6217" stroked="true" strokeweight=".42031pt" strokecolor="#4471c4">
              <v:stroke dashstyle="solid"/>
            </v:line>
            <v:line style="position:absolute" from="5525,4881" to="5801,4881" stroked="true" strokeweight=".419531pt" strokecolor="#4471c4">
              <v:stroke dashstyle="solid"/>
            </v:line>
            <v:line style="position:absolute" from="5521,4867" to="5521,5843" stroked="true" strokeweight=".42031pt" strokecolor="#4471c4">
              <v:stroke dashstyle="solid"/>
            </v:line>
            <v:line style="position:absolute" from="5521,5785" to="4844,5785" stroked="true" strokeweight=".419531pt" strokecolor="#4471c4">
              <v:stroke dashstyle="solid"/>
            </v:line>
            <v:line style="position:absolute" from="4825,5785" to="4825,6236" stroked="true" strokeweight=".42031pt" strokecolor="#4471c4">
              <v:stroke dashstyle="solid"/>
            </v:line>
            <v:rect style="position:absolute;left:3546;top:6255;width:1419;height:445" filled="true" fillcolor="#4471c4" stroked="false">
              <v:fill type="solid"/>
            </v:rect>
            <v:rect style="position:absolute;left:3546;top:6255;width:1419;height:445" filled="false" stroked="true" strokeweight=".839202pt" strokecolor="#2e528f">
              <v:stroke dashstyle="solid"/>
            </v:rect>
            <v:rect style="position:absolute;left:3489;top:7063;width:1419;height:447" filled="true" fillcolor="#4471c4" stroked="false">
              <v:fill type="solid"/>
            </v:rect>
            <v:rect style="position:absolute;left:3489;top:7063;width:1419;height:447" filled="false" stroked="true" strokeweight=".839203pt" strokecolor="#2e528f">
              <v:stroke dashstyle="solid"/>
            </v:rect>
            <v:line style="position:absolute" from="4241,6612" to="4241,7100" stroked="true" strokeweight=".42031pt" strokecolor="#4471c4">
              <v:stroke dashstyle="solid"/>
            </v:line>
            <v:rect style="position:absolute;left:3319;top:8227;width:1801;height:957" filled="true" fillcolor="#6f2f9f" stroked="false">
              <v:fill type="solid"/>
            </v:rect>
            <v:rect style="position:absolute;left:3319;top:8227;width:1801;height:957" filled="false" stroked="true" strokeweight=".839405pt" strokecolor="#2e528f">
              <v:stroke dashstyle="solid"/>
            </v:rect>
            <v:line style="position:absolute" from="3693,7506" to="3693,8280" stroked="true" strokeweight=".42031pt" strokecolor="#4471c4">
              <v:stroke dashstyle="solid"/>
            </v:line>
            <v:line style="position:absolute" from="4586,7476" to="4586,8251" stroked="true" strokeweight=".42031pt" strokecolor="#4471c4">
              <v:stroke dashstyle="solid"/>
            </v:line>
            <v:line style="position:absolute" from="4201,9184" to="4201,9671" stroked="true" strokeweight=".42031pt" strokecolor="#4471c4">
              <v:stroke dashstyle="solid"/>
            </v:line>
            <v:rect style="position:absolute;left:5670;top:4103;width:771;height:373" filled="true" fillcolor="#00af50" stroked="false">
              <v:fill type="solid"/>
            </v:rect>
            <v:rect style="position:absolute;left:5670;top:4103;width:771;height:373" filled="false" stroked="true" strokeweight=".839358pt" strokecolor="#2e528f">
              <v:stroke dashstyle="solid"/>
            </v:rect>
            <v:rect style="position:absolute;left:2056;top:4642;width:771;height:373" filled="true" fillcolor="#00af50" stroked="false">
              <v:fill type="solid"/>
            </v:rect>
            <v:rect style="position:absolute;left:2056;top:4642;width:771;height:373" filled="false" stroked="true" strokeweight=".839358pt" strokecolor="#2e528f">
              <v:stroke dashstyle="solid"/>
            </v:rect>
            <v:rect style="position:absolute;left:5801;top:4615;width:771;height:375" filled="true" fillcolor="#00af50" stroked="false">
              <v:fill type="solid"/>
            </v:rect>
            <v:rect style="position:absolute;left:5801;top:4615;width:771;height:375" filled="false" stroked="true" strokeweight=".839361pt" strokecolor="#2e528f">
              <v:stroke dashstyle="solid"/>
            </v:rect>
            <v:rect style="position:absolute;left:5321;top:1496;width:1772;height:814" filled="true" fillcolor="#ec7c30" stroked="false">
              <v:fill type="solid"/>
            </v:rect>
            <v:rect style="position:absolute;left:5321;top:1496;width:1772;height:814" filled="false" stroked="true" strokeweight=".839334pt" strokecolor="#2e528f">
              <v:stroke dashstyle="solid"/>
            </v:rect>
            <v:line style="position:absolute" from="2182,1223" to="2195,1525" stroked="true" strokeweight=".420308pt" strokecolor="#4471c4">
              <v:stroke dashstyle="solid"/>
            </v:line>
            <v:line style="position:absolute" from="6135,1250" to="4296,1242" stroked="true" strokeweight=".419531pt" strokecolor="#4471c4">
              <v:stroke dashstyle="solid"/>
            </v:line>
            <v:line style="position:absolute" from="6135,1242" to="6135,1478" stroked="true" strokeweight=".42031pt" strokecolor="#4471c4">
              <v:stroke dashstyle="solid"/>
            </v:line>
            <v:line style="position:absolute" from="2549,2312" to="2563,2993" stroked="true" strokeweight=".420309pt" strokecolor="#4471c4">
              <v:stroke dashstyle="solid"/>
            </v:line>
            <v:line style="position:absolute" from="2129,3413" to="2142,4095" stroked="true" strokeweight=".420309pt" strokecolor="#4471c4">
              <v:stroke dashstyle="solid"/>
            </v:line>
            <v:line style="position:absolute" from="5742,2339" to="5755,3021" stroked="true" strokeweight=".420309pt" strokecolor="#4471c4">
              <v:stroke dashstyle="solid"/>
            </v:line>
            <v:line style="position:absolute" from="6515,2312" to="6528,2993" stroked="true" strokeweight=".420309pt" strokecolor="#4471c4">
              <v:stroke dashstyle="solid"/>
            </v:line>
            <v:line style="position:absolute" from="6082,3465" to="6095,4121" stroked="true" strokeweight=".420309pt" strokecolor="#4471c4">
              <v:stroke dashstyle="solid"/>
            </v:line>
            <v:shape style="position:absolute;left:5321;top:1496;width:1772;height:814" type="#_x0000_t202" filled="false" stroked="false">
              <v:textbox inset="0,0,0,0">
                <w:txbxContent>
                  <w:p>
                    <w:pPr>
                      <w:spacing w:line="264" w:lineRule="auto" w:before="78"/>
                      <w:ind w:left="464" w:right="0" w:hanging="131"/>
                      <w:jc w:val="left"/>
                      <w:rPr>
                        <w:rFonts w:ascii="Calibri"/>
                        <w:sz w:val="24"/>
                      </w:rPr>
                    </w:pPr>
                    <w:r>
                      <w:rPr>
                        <w:rFonts w:ascii="Calibri"/>
                        <w:color w:val="FFFFFF"/>
                        <w:sz w:val="24"/>
                      </w:rPr>
                      <w:t>Congesting Device 2</w:t>
                    </w:r>
                  </w:p>
                </w:txbxContent>
              </v:textbox>
              <w10:wrap type="none"/>
            </v:shape>
            <v:shape style="position:absolute;left:3902;top:299;width:799;height:647" type="#_x0000_t202" filled="false" stroked="false">
              <v:textbox inset="0,0,0,0">
                <w:txbxContent>
                  <w:p>
                    <w:pPr>
                      <w:spacing w:line="284" w:lineRule="exact" w:before="0"/>
                      <w:ind w:left="0" w:right="14" w:firstLine="0"/>
                      <w:jc w:val="center"/>
                      <w:rPr>
                        <w:rFonts w:ascii="Calibri"/>
                        <w:sz w:val="28"/>
                      </w:rPr>
                    </w:pPr>
                    <w:r>
                      <w:rPr>
                        <w:rFonts w:ascii="Calibri"/>
                        <w:color w:val="FFFFFF"/>
                        <w:sz w:val="28"/>
                      </w:rPr>
                      <w:t>GPS</w:t>
                    </w:r>
                  </w:p>
                  <w:p>
                    <w:pPr>
                      <w:spacing w:line="336" w:lineRule="exact" w:before="25"/>
                      <w:ind w:left="0" w:right="18" w:firstLine="0"/>
                      <w:jc w:val="center"/>
                      <w:rPr>
                        <w:rFonts w:ascii="Calibri"/>
                        <w:sz w:val="28"/>
                      </w:rPr>
                    </w:pPr>
                    <w:r>
                      <w:rPr>
                        <w:rFonts w:ascii="Calibri"/>
                        <w:color w:val="FFFFFF"/>
                        <w:sz w:val="28"/>
                      </w:rPr>
                      <w:t>Source</w:t>
                    </w:r>
                  </w:p>
                </w:txbxContent>
              </v:textbox>
              <w10:wrap type="none"/>
            </v:shape>
            <v:shape style="position:absolute;left:5859;top:4217;width:417;height:210" type="#_x0000_t202" filled="false" stroked="false">
              <v:textbox inset="0,0,0,0">
                <w:txbxContent>
                  <w:p>
                    <w:pPr>
                      <w:spacing w:line="210" w:lineRule="exact" w:before="0"/>
                      <w:ind w:left="0" w:right="0" w:firstLine="0"/>
                      <w:jc w:val="left"/>
                      <w:rPr>
                        <w:rFonts w:ascii="Calibri"/>
                        <w:sz w:val="21"/>
                      </w:rPr>
                    </w:pPr>
                    <w:r>
                      <w:rPr>
                        <w:rFonts w:ascii="Calibri"/>
                        <w:color w:val="FFFFFF"/>
                        <w:sz w:val="21"/>
                      </w:rPr>
                      <w:t>VA 2</w:t>
                    </w:r>
                  </w:p>
                </w:txbxContent>
              </v:textbox>
              <w10:wrap type="none"/>
            </v:shape>
            <v:shape style="position:absolute;left:2244;top:4756;width:417;height:210" type="#_x0000_t202" filled="false" stroked="false">
              <v:textbox inset="0,0,0,0">
                <w:txbxContent>
                  <w:p>
                    <w:pPr>
                      <w:spacing w:line="210" w:lineRule="exact" w:before="0"/>
                      <w:ind w:left="0" w:right="0" w:firstLine="0"/>
                      <w:jc w:val="left"/>
                      <w:rPr>
                        <w:rFonts w:ascii="Calibri"/>
                        <w:sz w:val="21"/>
                      </w:rPr>
                    </w:pPr>
                    <w:r>
                      <w:rPr>
                        <w:rFonts w:ascii="Calibri"/>
                        <w:color w:val="FFFFFF"/>
                        <w:sz w:val="21"/>
                      </w:rPr>
                      <w:t>VA 3</w:t>
                    </w:r>
                  </w:p>
                </w:txbxContent>
              </v:textbox>
              <w10:wrap type="none"/>
            </v:shape>
            <v:shape style="position:absolute;left:5989;top:4731;width:417;height:210" type="#_x0000_t202" filled="false" stroked="false">
              <v:textbox inset="0,0,0,0">
                <w:txbxContent>
                  <w:p>
                    <w:pPr>
                      <w:spacing w:line="210" w:lineRule="exact" w:before="0"/>
                      <w:ind w:left="0" w:right="0" w:firstLine="0"/>
                      <w:jc w:val="left"/>
                      <w:rPr>
                        <w:rFonts w:ascii="Calibri"/>
                        <w:sz w:val="21"/>
                      </w:rPr>
                    </w:pPr>
                    <w:r>
                      <w:rPr>
                        <w:rFonts w:ascii="Calibri"/>
                        <w:color w:val="FFFFFF"/>
                        <w:sz w:val="21"/>
                      </w:rPr>
                      <w:t>VA 4</w:t>
                    </w:r>
                  </w:p>
                </w:txbxContent>
              </v:textbox>
              <w10:wrap type="none"/>
            </v:shape>
            <v:shape style="position:absolute;left:1070;top:5348;width:325;height:210" type="#_x0000_t202" filled="false" stroked="false">
              <v:textbox inset="0,0,0,0">
                <w:txbxContent>
                  <w:p>
                    <w:pPr>
                      <w:spacing w:line="210" w:lineRule="exact" w:before="0"/>
                      <w:ind w:left="0" w:right="0" w:firstLine="0"/>
                      <w:jc w:val="left"/>
                      <w:rPr>
                        <w:rFonts w:ascii="Calibri"/>
                        <w:sz w:val="21"/>
                      </w:rPr>
                    </w:pPr>
                    <w:r>
                      <w:rPr>
                        <w:rFonts w:ascii="Calibri"/>
                        <w:color w:val="FFFFFF"/>
                        <w:sz w:val="21"/>
                      </w:rPr>
                      <w:t>2x1</w:t>
                    </w:r>
                  </w:p>
                </w:txbxContent>
              </v:textbox>
              <w10:wrap type="none"/>
            </v:shape>
            <v:shape style="position:absolute;left:7078;top:5390;width:325;height:210" type="#_x0000_t202" filled="false" stroked="false">
              <v:textbox inset="0,0,0,0">
                <w:txbxContent>
                  <w:p>
                    <w:pPr>
                      <w:spacing w:line="210" w:lineRule="exact" w:before="0"/>
                      <w:ind w:left="0" w:right="0" w:firstLine="0"/>
                      <w:jc w:val="left"/>
                      <w:rPr>
                        <w:rFonts w:ascii="Calibri"/>
                        <w:sz w:val="21"/>
                      </w:rPr>
                    </w:pPr>
                    <w:r>
                      <w:rPr>
                        <w:rFonts w:ascii="Calibri"/>
                        <w:color w:val="FFFFFF"/>
                        <w:sz w:val="21"/>
                      </w:rPr>
                      <w:t>2x1</w:t>
                    </w:r>
                  </w:p>
                </w:txbxContent>
              </v:textbox>
              <w10:wrap type="none"/>
            </v:shape>
            <v:shape style="position:absolute;left:1070;top:6135;width:325;height:210" type="#_x0000_t202" filled="false" stroked="false">
              <v:textbox inset="0,0,0,0">
                <w:txbxContent>
                  <w:p>
                    <w:pPr>
                      <w:spacing w:line="210" w:lineRule="exact" w:before="0"/>
                      <w:ind w:left="0" w:right="0" w:firstLine="0"/>
                      <w:jc w:val="left"/>
                      <w:rPr>
                        <w:rFonts w:ascii="Calibri"/>
                        <w:sz w:val="21"/>
                      </w:rPr>
                    </w:pPr>
                    <w:r>
                      <w:rPr>
                        <w:rFonts w:ascii="Calibri"/>
                        <w:color w:val="FFFFFF"/>
                        <w:sz w:val="21"/>
                      </w:rPr>
                      <w:t>1x2</w:t>
                    </w:r>
                  </w:p>
                </w:txbxContent>
              </v:textbox>
              <w10:wrap type="none"/>
            </v:shape>
            <v:shape style="position:absolute;left:7040;top:6168;width:325;height:210" type="#_x0000_t202" filled="false" stroked="false">
              <v:textbox inset="0,0,0,0">
                <w:txbxContent>
                  <w:p>
                    <w:pPr>
                      <w:spacing w:line="210" w:lineRule="exact" w:before="0"/>
                      <w:ind w:left="0" w:right="0" w:firstLine="0"/>
                      <w:jc w:val="left"/>
                      <w:rPr>
                        <w:rFonts w:ascii="Calibri"/>
                        <w:sz w:val="21"/>
                      </w:rPr>
                    </w:pPr>
                    <w:r>
                      <w:rPr>
                        <w:rFonts w:ascii="Calibri"/>
                        <w:color w:val="FFFFFF"/>
                        <w:sz w:val="21"/>
                      </w:rPr>
                      <w:t>1x2</w:t>
                    </w:r>
                  </w:p>
                </w:txbxContent>
              </v:textbox>
              <w10:wrap type="none"/>
            </v:shape>
            <v:shape style="position:absolute;left:4104;top:6369;width:325;height:210" type="#_x0000_t202" filled="false" stroked="false">
              <v:textbox inset="0,0,0,0">
                <w:txbxContent>
                  <w:p>
                    <w:pPr>
                      <w:spacing w:line="210" w:lineRule="exact" w:before="0"/>
                      <w:ind w:left="0" w:right="0" w:firstLine="0"/>
                      <w:jc w:val="left"/>
                      <w:rPr>
                        <w:rFonts w:ascii="Calibri"/>
                        <w:sz w:val="21"/>
                      </w:rPr>
                    </w:pPr>
                    <w:r>
                      <w:rPr>
                        <w:rFonts w:ascii="Calibri"/>
                        <w:color w:val="FFFFFF"/>
                        <w:sz w:val="21"/>
                      </w:rPr>
                      <w:t>2x1</w:t>
                    </w:r>
                  </w:p>
                </w:txbxContent>
              </v:textbox>
              <w10:wrap type="none"/>
            </v:shape>
            <v:shape style="position:absolute;left:664;top:7211;width:1141;height:279" type="#_x0000_t202" filled="false" stroked="false">
              <v:textbox inset="0,0,0,0">
                <w:txbxContent>
                  <w:p>
                    <w:pPr>
                      <w:spacing w:line="279" w:lineRule="exact" w:before="0"/>
                      <w:ind w:left="0" w:right="0" w:firstLine="0"/>
                      <w:jc w:val="left"/>
                      <w:rPr>
                        <w:rFonts w:ascii="Calibri"/>
                        <w:sz w:val="28"/>
                      </w:rPr>
                    </w:pPr>
                    <w:r>
                      <w:rPr>
                        <w:rFonts w:ascii="Calibri"/>
                        <w:color w:val="FFFFFF"/>
                        <w:sz w:val="28"/>
                      </w:rPr>
                      <w:t>DUT1 (Tx)</w:t>
                    </w:r>
                  </w:p>
                </w:txbxContent>
              </v:textbox>
              <w10:wrap type="none"/>
            </v:shape>
            <v:shape style="position:absolute;left:4047;top:7177;width:325;height:210" type="#_x0000_t202" filled="false" stroked="false">
              <v:textbox inset="0,0,0,0">
                <w:txbxContent>
                  <w:p>
                    <w:pPr>
                      <w:spacing w:line="210" w:lineRule="exact" w:before="0"/>
                      <w:ind w:left="0" w:right="0" w:firstLine="0"/>
                      <w:jc w:val="left"/>
                      <w:rPr>
                        <w:rFonts w:ascii="Calibri"/>
                        <w:sz w:val="21"/>
                      </w:rPr>
                    </w:pPr>
                    <w:r>
                      <w:rPr>
                        <w:rFonts w:ascii="Calibri"/>
                        <w:color w:val="FFFFFF"/>
                        <w:sz w:val="21"/>
                      </w:rPr>
                      <w:t>1x2</w:t>
                    </w:r>
                  </w:p>
                </w:txbxContent>
              </v:textbox>
              <w10:wrap type="none"/>
            </v:shape>
            <v:shape style="position:absolute;left:6633;top:7211;width:1141;height:279" type="#_x0000_t202" filled="false" stroked="false">
              <v:textbox inset="0,0,0,0">
                <w:txbxContent>
                  <w:p>
                    <w:pPr>
                      <w:spacing w:line="279" w:lineRule="exact" w:before="0"/>
                      <w:ind w:left="0" w:right="0" w:firstLine="0"/>
                      <w:jc w:val="left"/>
                      <w:rPr>
                        <w:rFonts w:ascii="Calibri"/>
                        <w:sz w:val="28"/>
                      </w:rPr>
                    </w:pPr>
                    <w:r>
                      <w:rPr>
                        <w:rFonts w:ascii="Calibri"/>
                        <w:color w:val="FFFFFF"/>
                        <w:sz w:val="28"/>
                      </w:rPr>
                      <w:t>DUT2 (Tx)</w:t>
                    </w:r>
                  </w:p>
                </w:txbxContent>
              </v:textbox>
              <w10:wrap type="none"/>
            </v:shape>
            <v:shape style="position:absolute;left:3652;top:8510;width:1157;height:279" type="#_x0000_t202" filled="false" stroked="false">
              <v:textbox inset="0,0,0,0">
                <w:txbxContent>
                  <w:p>
                    <w:pPr>
                      <w:spacing w:line="279" w:lineRule="exact" w:before="0"/>
                      <w:ind w:left="0" w:right="0" w:firstLine="0"/>
                      <w:jc w:val="left"/>
                      <w:rPr>
                        <w:rFonts w:ascii="Calibri"/>
                        <w:sz w:val="28"/>
                      </w:rPr>
                    </w:pPr>
                    <w:r>
                      <w:rPr>
                        <w:rFonts w:ascii="Calibri"/>
                        <w:color w:val="FFFFFF"/>
                        <w:sz w:val="28"/>
                      </w:rPr>
                      <w:t>DUT3 (Rx)</w:t>
                    </w:r>
                  </w:p>
                </w:txbxContent>
              </v:textbox>
              <w10:wrap type="none"/>
            </v:shape>
            <v:shape style="position:absolute;left:1406;top:1496;width:1774;height:814" type="#_x0000_t202" filled="true" fillcolor="#ec7c30" stroked="true" strokeweight=".839334pt" strokecolor="#2e528f">
              <v:textbox inset="0,0,0,0">
                <w:txbxContent>
                  <w:p>
                    <w:pPr>
                      <w:spacing w:line="264" w:lineRule="auto" w:before="70"/>
                      <w:ind w:left="454" w:right="0" w:hanging="103"/>
                      <w:jc w:val="left"/>
                      <w:rPr>
                        <w:rFonts w:ascii="Calibri"/>
                        <w:sz w:val="24"/>
                      </w:rPr>
                    </w:pPr>
                    <w:r>
                      <w:rPr>
                        <w:rFonts w:ascii="Calibri"/>
                        <w:color w:val="FFFFFF"/>
                        <w:sz w:val="24"/>
                      </w:rPr>
                      <w:t>Congesting Device 1</w:t>
                    </w:r>
                  </w:p>
                </w:txbxContent>
              </v:textbox>
              <v:fill type="solid"/>
              <v:stroke dashstyle="solid"/>
              <w10:wrap type="none"/>
            </v:shape>
            <v:shape style="position:absolute;left:1499;top:2968;width:1419;height:445" type="#_x0000_t202" filled="true" fillcolor="#4471c4" stroked="true" strokeweight=".839203pt" strokecolor="#2e528f">
              <v:textbox inset="0,0,0,0">
                <w:txbxContent>
                  <w:p>
                    <w:pPr>
                      <w:spacing w:before="62"/>
                      <w:ind w:left="534" w:right="534" w:firstLine="0"/>
                      <w:jc w:val="center"/>
                      <w:rPr>
                        <w:rFonts w:ascii="Calibri"/>
                        <w:sz w:val="21"/>
                      </w:rPr>
                    </w:pPr>
                    <w:r>
                      <w:rPr>
                        <w:rFonts w:ascii="Calibri"/>
                        <w:color w:val="FFFFFF"/>
                        <w:sz w:val="21"/>
                      </w:rPr>
                      <w:t>2x1</w:t>
                    </w:r>
                  </w:p>
                </w:txbxContent>
              </v:textbox>
              <v:fill type="solid"/>
              <v:stroke dashstyle="solid"/>
              <w10:wrap type="none"/>
            </v:shape>
            <v:shape style="position:absolute;left:5473;top:3019;width:1419;height:447" type="#_x0000_t202" filled="true" fillcolor="#4471c4" stroked="true" strokeweight=".839204pt" strokecolor="#2e528f">
              <v:textbox inset="0,0,0,0">
                <w:txbxContent>
                  <w:p>
                    <w:pPr>
                      <w:spacing w:before="62"/>
                      <w:ind w:left="537" w:right="530" w:firstLine="0"/>
                      <w:jc w:val="center"/>
                      <w:rPr>
                        <w:rFonts w:ascii="Calibri"/>
                        <w:sz w:val="21"/>
                      </w:rPr>
                    </w:pPr>
                    <w:r>
                      <w:rPr>
                        <w:rFonts w:ascii="Calibri"/>
                        <w:color w:val="FFFFFF"/>
                        <w:sz w:val="21"/>
                      </w:rPr>
                      <w:t>2x1</w:t>
                    </w:r>
                  </w:p>
                </w:txbxContent>
              </v:textbox>
              <v:fill type="solid"/>
              <v:stroke dashstyle="solid"/>
              <w10:wrap type="none"/>
            </v:shape>
            <v:shape style="position:absolute;left:1717;top:4112;width:772;height:374" type="#_x0000_t202" filled="true" fillcolor="#00af50" stroked="true" strokeweight=".839359pt" strokecolor="#2e528f">
              <v:textbox inset="0,0,0,0">
                <w:txbxContent>
                  <w:p>
                    <w:pPr>
                      <w:spacing w:before="62"/>
                      <w:ind w:left="178" w:right="0" w:firstLine="0"/>
                      <w:jc w:val="left"/>
                      <w:rPr>
                        <w:rFonts w:ascii="Calibri"/>
                        <w:sz w:val="21"/>
                      </w:rPr>
                    </w:pPr>
                    <w:r>
                      <w:rPr>
                        <w:rFonts w:ascii="Calibri"/>
                        <w:color w:val="FFFFFF"/>
                        <w:sz w:val="21"/>
                      </w:rPr>
                      <w:t>VA 1</w:t>
                    </w:r>
                  </w:p>
                </w:txbxContent>
              </v:textbox>
              <v:fill type="solid"/>
              <v:stroke dashstyle="solid"/>
              <w10:wrap type="none"/>
            </v:shape>
          </v:group>
        </w:pict>
      </w:r>
      <w:r>
        <w:rPr/>
      </w:r>
    </w:p>
    <w:p>
      <w:pPr>
        <w:pStyle w:val="BodyText"/>
      </w:pPr>
    </w:p>
    <w:p>
      <w:pPr>
        <w:pStyle w:val="BodyText"/>
      </w:pPr>
    </w:p>
    <w:p>
      <w:pPr>
        <w:pStyle w:val="BodyText"/>
        <w:spacing w:before="10"/>
        <w:rPr>
          <w:sz w:val="21"/>
        </w:rPr>
      </w:pPr>
    </w:p>
    <w:p>
      <w:pPr>
        <w:spacing w:before="94"/>
        <w:ind w:left="1133" w:right="0" w:firstLine="0"/>
        <w:jc w:val="left"/>
        <w:rPr>
          <w:sz w:val="18"/>
        </w:rPr>
      </w:pPr>
      <w:r>
        <w:rPr>
          <w:sz w:val="18"/>
        </w:rPr>
        <w:t>*1x2 and 2x1 above are splitter/combiners and VA is the variable attenuator</w:t>
      </w:r>
    </w:p>
    <w:p>
      <w:pPr>
        <w:pStyle w:val="Heading4"/>
        <w:spacing w:before="115"/>
        <w:ind w:right="1136"/>
      </w:pPr>
      <w:r>
        <w:rPr/>
        <w:t>Figure 27: Hidden Node Scenario Test Setup (Configuration2 – With Congesting devices)</w:t>
      </w:r>
    </w:p>
    <w:p>
      <w:pPr>
        <w:pStyle w:val="BodyText"/>
        <w:rPr>
          <w:b/>
          <w:sz w:val="26"/>
        </w:rPr>
      </w:pPr>
    </w:p>
    <w:p>
      <w:pPr>
        <w:pStyle w:val="BodyText"/>
        <w:spacing w:before="9"/>
        <w:rPr>
          <w:b/>
        </w:rPr>
      </w:pPr>
    </w:p>
    <w:p>
      <w:pPr>
        <w:pStyle w:val="Heading7"/>
        <w:spacing w:before="1"/>
      </w:pPr>
      <w:r>
        <w:rPr/>
        <w:t>Table 20: Test Configuration</w:t>
      </w:r>
    </w:p>
    <w:p>
      <w:pPr>
        <w:pStyle w:val="BodyText"/>
        <w:spacing w:before="1"/>
        <w:rPr>
          <w:b/>
          <w:sz w:val="16"/>
        </w:rPr>
      </w:pPr>
    </w:p>
    <w:tbl>
      <w:tblPr>
        <w:tblW w:w="0" w:type="auto"/>
        <w:jc w:val="left"/>
        <w:tblInd w:w="2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5"/>
        <w:gridCol w:w="2463"/>
        <w:gridCol w:w="2466"/>
      </w:tblGrid>
      <w:tr>
        <w:trPr>
          <w:trHeight w:val="218" w:hRule="exact"/>
        </w:trPr>
        <w:tc>
          <w:tcPr>
            <w:tcW w:w="2465" w:type="dxa"/>
            <w:shd w:val="clear" w:color="auto" w:fill="D9D9D9"/>
          </w:tcPr>
          <w:p>
            <w:pPr>
              <w:pStyle w:val="TableParagraph"/>
              <w:spacing w:line="201" w:lineRule="exact"/>
              <w:rPr>
                <w:b/>
                <w:sz w:val="18"/>
              </w:rPr>
            </w:pPr>
            <w:r>
              <w:rPr>
                <w:b/>
                <w:sz w:val="18"/>
              </w:rPr>
              <w:t>Configuration</w:t>
            </w:r>
          </w:p>
        </w:tc>
        <w:tc>
          <w:tcPr>
            <w:tcW w:w="2463" w:type="dxa"/>
            <w:shd w:val="clear" w:color="auto" w:fill="D9D9D9"/>
          </w:tcPr>
          <w:p>
            <w:pPr>
              <w:pStyle w:val="TableParagraph"/>
              <w:spacing w:line="201" w:lineRule="exact"/>
              <w:ind w:left="100"/>
              <w:rPr>
                <w:b/>
                <w:sz w:val="18"/>
              </w:rPr>
            </w:pPr>
            <w:r>
              <w:rPr>
                <w:b/>
                <w:sz w:val="18"/>
              </w:rPr>
              <w:t>C-V2X</w:t>
            </w:r>
          </w:p>
        </w:tc>
        <w:tc>
          <w:tcPr>
            <w:tcW w:w="2466" w:type="dxa"/>
            <w:shd w:val="clear" w:color="auto" w:fill="D9D9D9"/>
          </w:tcPr>
          <w:p>
            <w:pPr>
              <w:pStyle w:val="TableParagraph"/>
              <w:spacing w:line="201" w:lineRule="exact"/>
              <w:rPr>
                <w:b/>
                <w:sz w:val="18"/>
              </w:rPr>
            </w:pPr>
            <w:r>
              <w:rPr>
                <w:b/>
                <w:sz w:val="18"/>
              </w:rPr>
              <w:t>DSRC</w:t>
            </w:r>
          </w:p>
        </w:tc>
      </w:tr>
      <w:tr>
        <w:trPr>
          <w:trHeight w:val="216" w:hRule="exact"/>
        </w:trPr>
        <w:tc>
          <w:tcPr>
            <w:tcW w:w="2465" w:type="dxa"/>
          </w:tcPr>
          <w:p>
            <w:pPr>
              <w:pStyle w:val="TableParagraph"/>
              <w:rPr>
                <w:sz w:val="18"/>
              </w:rPr>
            </w:pPr>
            <w:r>
              <w:rPr>
                <w:sz w:val="18"/>
              </w:rPr>
              <w:t>Number of Samples</w:t>
            </w:r>
          </w:p>
        </w:tc>
        <w:tc>
          <w:tcPr>
            <w:tcW w:w="2463" w:type="dxa"/>
          </w:tcPr>
          <w:p>
            <w:pPr>
              <w:pStyle w:val="TableParagraph"/>
              <w:ind w:left="100"/>
              <w:rPr>
                <w:sz w:val="18"/>
              </w:rPr>
            </w:pPr>
            <w:r>
              <w:rPr>
                <w:sz w:val="18"/>
              </w:rPr>
              <w:t>6000</w:t>
            </w:r>
          </w:p>
        </w:tc>
        <w:tc>
          <w:tcPr>
            <w:tcW w:w="2466" w:type="dxa"/>
          </w:tcPr>
          <w:p>
            <w:pPr>
              <w:pStyle w:val="TableParagraph"/>
              <w:rPr>
                <w:sz w:val="18"/>
              </w:rPr>
            </w:pPr>
            <w:r>
              <w:rPr>
                <w:sz w:val="18"/>
              </w:rPr>
              <w:t>6000</w:t>
            </w:r>
          </w:p>
        </w:tc>
      </w:tr>
      <w:tr>
        <w:trPr>
          <w:trHeight w:val="218" w:hRule="exact"/>
        </w:trPr>
        <w:tc>
          <w:tcPr>
            <w:tcW w:w="2465" w:type="dxa"/>
          </w:tcPr>
          <w:p>
            <w:pPr>
              <w:pStyle w:val="TableParagraph"/>
              <w:rPr>
                <w:sz w:val="18"/>
              </w:rPr>
            </w:pPr>
            <w:r>
              <w:rPr>
                <w:sz w:val="18"/>
              </w:rPr>
              <w:t>HARQ</w:t>
            </w:r>
          </w:p>
        </w:tc>
        <w:tc>
          <w:tcPr>
            <w:tcW w:w="2463" w:type="dxa"/>
          </w:tcPr>
          <w:p>
            <w:pPr>
              <w:pStyle w:val="TableParagraph"/>
              <w:ind w:left="100"/>
              <w:rPr>
                <w:sz w:val="18"/>
              </w:rPr>
            </w:pPr>
            <w:r>
              <w:rPr>
                <w:sz w:val="18"/>
              </w:rPr>
              <w:t>Disabled</w:t>
            </w:r>
          </w:p>
        </w:tc>
        <w:tc>
          <w:tcPr>
            <w:tcW w:w="2466" w:type="dxa"/>
          </w:tcPr>
          <w:p>
            <w:pPr>
              <w:pStyle w:val="TableParagraph"/>
              <w:rPr>
                <w:sz w:val="18"/>
              </w:rPr>
            </w:pPr>
            <w:r>
              <w:rPr>
                <w:sz w:val="18"/>
              </w:rPr>
              <w:t>NA</w:t>
            </w:r>
          </w:p>
        </w:tc>
      </w:tr>
    </w:tbl>
    <w:p>
      <w:pPr>
        <w:spacing w:after="0"/>
        <w:rPr>
          <w:sz w:val="18"/>
        </w:rPr>
        <w:sectPr>
          <w:headerReference w:type="default" r:id="rId281"/>
          <w:pgSz w:w="11910" w:h="16850"/>
          <w:pgMar w:header="852" w:footer="979" w:top="1040" w:bottom="1160" w:left="0" w:right="0"/>
        </w:sectPr>
      </w:pPr>
    </w:p>
    <w:p>
      <w:pPr>
        <w:pStyle w:val="BodyText"/>
        <w:spacing w:before="1"/>
        <w:rPr>
          <w:b/>
          <w:sz w:val="23"/>
        </w:rPr>
      </w:pPr>
    </w:p>
    <w:p>
      <w:pPr>
        <w:pStyle w:val="ListParagraph"/>
        <w:numPr>
          <w:ilvl w:val="3"/>
          <w:numId w:val="30"/>
        </w:numPr>
        <w:tabs>
          <w:tab w:pos="2551" w:val="left" w:leader="none"/>
          <w:tab w:pos="2552" w:val="left" w:leader="none"/>
        </w:tabs>
        <w:spacing w:line="240" w:lineRule="auto" w:before="93" w:after="0"/>
        <w:ind w:left="2551" w:right="0" w:hanging="1418"/>
        <w:jc w:val="left"/>
        <w:rPr>
          <w:sz w:val="24"/>
        </w:rPr>
      </w:pPr>
      <w:r>
        <w:rPr>
          <w:sz w:val="24"/>
        </w:rPr>
        <w:t>Test</w:t>
      </w:r>
      <w:r>
        <w:rPr>
          <w:spacing w:val="-8"/>
          <w:sz w:val="24"/>
        </w:rPr>
        <w:t> </w:t>
      </w:r>
      <w:r>
        <w:rPr>
          <w:sz w:val="24"/>
        </w:rPr>
        <w:t>Execution</w:t>
      </w:r>
    </w:p>
    <w:p>
      <w:pPr>
        <w:pStyle w:val="ListParagraph"/>
        <w:numPr>
          <w:ilvl w:val="4"/>
          <w:numId w:val="30"/>
        </w:numPr>
        <w:tabs>
          <w:tab w:pos="1702" w:val="left" w:leader="none"/>
        </w:tabs>
        <w:spacing w:line="240" w:lineRule="auto" w:before="182" w:after="0"/>
        <w:ind w:left="1702" w:right="0" w:hanging="286"/>
        <w:jc w:val="left"/>
        <w:rPr>
          <w:sz w:val="20"/>
        </w:rPr>
      </w:pPr>
      <w:r>
        <w:rPr>
          <w:sz w:val="20"/>
        </w:rPr>
        <w:t>Transmit power of Device 1 and Device 2 remains constant at 21 dBm throughout the</w:t>
      </w:r>
      <w:r>
        <w:rPr>
          <w:spacing w:val="-20"/>
          <w:sz w:val="20"/>
        </w:rPr>
        <w:t> </w:t>
      </w:r>
      <w:r>
        <w:rPr>
          <w:sz w:val="20"/>
        </w:rPr>
        <w:t>test.</w:t>
      </w:r>
    </w:p>
    <w:p>
      <w:pPr>
        <w:pStyle w:val="ListParagraph"/>
        <w:numPr>
          <w:ilvl w:val="4"/>
          <w:numId w:val="30"/>
        </w:numPr>
        <w:tabs>
          <w:tab w:pos="1702" w:val="left" w:leader="none"/>
        </w:tabs>
        <w:spacing w:line="240" w:lineRule="auto" w:before="180" w:after="0"/>
        <w:ind w:left="1702" w:right="1141" w:hanging="286"/>
        <w:jc w:val="left"/>
        <w:rPr>
          <w:sz w:val="20"/>
        </w:rPr>
      </w:pPr>
      <w:r>
        <w:rPr>
          <w:sz w:val="20"/>
        </w:rPr>
        <w:t>Set the attenuator value to 50 dB between Device 1 (DUT1) and Device 3 (DUT3) and 50 dB between Device 2 (DUT2) and Device 3</w:t>
      </w:r>
      <w:r>
        <w:rPr>
          <w:spacing w:val="-10"/>
          <w:sz w:val="20"/>
        </w:rPr>
        <w:t> </w:t>
      </w:r>
      <w:r>
        <w:rPr>
          <w:sz w:val="20"/>
        </w:rPr>
        <w:t>(DUT3).</w:t>
      </w:r>
    </w:p>
    <w:p>
      <w:pPr>
        <w:pStyle w:val="ListParagraph"/>
        <w:numPr>
          <w:ilvl w:val="4"/>
          <w:numId w:val="30"/>
        </w:numPr>
        <w:tabs>
          <w:tab w:pos="1702" w:val="left" w:leader="none"/>
        </w:tabs>
        <w:spacing w:line="240" w:lineRule="auto" w:before="177" w:after="0"/>
        <w:ind w:left="1702" w:right="1136" w:hanging="286"/>
        <w:jc w:val="both"/>
        <w:rPr>
          <w:sz w:val="20"/>
        </w:rPr>
      </w:pPr>
      <w:r>
        <w:rPr>
          <w:sz w:val="20"/>
        </w:rPr>
        <w:t>Calculate the insertion loss between Device 2 (DUT2) and Device 3 (DUT3) and Device 1 (DUT1) and Device</w:t>
      </w:r>
      <w:r>
        <w:rPr>
          <w:spacing w:val="-8"/>
          <w:sz w:val="20"/>
        </w:rPr>
        <w:t> </w:t>
      </w:r>
      <w:r>
        <w:rPr>
          <w:sz w:val="20"/>
        </w:rPr>
        <w:t>3</w:t>
      </w:r>
      <w:r>
        <w:rPr>
          <w:spacing w:val="-8"/>
          <w:sz w:val="20"/>
        </w:rPr>
        <w:t> </w:t>
      </w:r>
      <w:r>
        <w:rPr>
          <w:sz w:val="20"/>
        </w:rPr>
        <w:t>(DUT3).</w:t>
      </w:r>
      <w:r>
        <w:rPr>
          <w:spacing w:val="-7"/>
          <w:sz w:val="20"/>
        </w:rPr>
        <w:t> </w:t>
      </w:r>
      <w:r>
        <w:rPr>
          <w:sz w:val="20"/>
        </w:rPr>
        <w:t>This</w:t>
      </w:r>
      <w:r>
        <w:rPr>
          <w:spacing w:val="-7"/>
          <w:sz w:val="20"/>
        </w:rPr>
        <w:t> </w:t>
      </w:r>
      <w:r>
        <w:rPr>
          <w:sz w:val="20"/>
        </w:rPr>
        <w:t>value</w:t>
      </w:r>
      <w:r>
        <w:rPr>
          <w:spacing w:val="-8"/>
          <w:sz w:val="20"/>
        </w:rPr>
        <w:t> </w:t>
      </w:r>
      <w:r>
        <w:rPr>
          <w:sz w:val="20"/>
        </w:rPr>
        <w:t>is</w:t>
      </w:r>
      <w:r>
        <w:rPr>
          <w:spacing w:val="-7"/>
          <w:sz w:val="20"/>
        </w:rPr>
        <w:t> </w:t>
      </w:r>
      <w:r>
        <w:rPr>
          <w:sz w:val="20"/>
        </w:rPr>
        <w:t>the</w:t>
      </w:r>
      <w:r>
        <w:rPr>
          <w:spacing w:val="-6"/>
          <w:sz w:val="20"/>
        </w:rPr>
        <w:t> </w:t>
      </w:r>
      <w:r>
        <w:rPr>
          <w:sz w:val="20"/>
        </w:rPr>
        <w:t>fixed</w:t>
      </w:r>
      <w:r>
        <w:rPr>
          <w:spacing w:val="-8"/>
          <w:sz w:val="20"/>
        </w:rPr>
        <w:t> </w:t>
      </w:r>
      <w:r>
        <w:rPr>
          <w:sz w:val="20"/>
        </w:rPr>
        <w:t>insertion</w:t>
      </w:r>
      <w:r>
        <w:rPr>
          <w:spacing w:val="-8"/>
          <w:sz w:val="20"/>
        </w:rPr>
        <w:t> </w:t>
      </w:r>
      <w:r>
        <w:rPr>
          <w:sz w:val="20"/>
        </w:rPr>
        <w:t>loss</w:t>
      </w:r>
      <w:r>
        <w:rPr>
          <w:spacing w:val="-7"/>
          <w:sz w:val="20"/>
        </w:rPr>
        <w:t> </w:t>
      </w:r>
      <w:r>
        <w:rPr>
          <w:sz w:val="20"/>
        </w:rPr>
        <w:t>of</w:t>
      </w:r>
      <w:r>
        <w:rPr>
          <w:spacing w:val="-6"/>
          <w:sz w:val="20"/>
        </w:rPr>
        <w:t> </w:t>
      </w:r>
      <w:r>
        <w:rPr>
          <w:sz w:val="20"/>
        </w:rPr>
        <w:t>the</w:t>
      </w:r>
      <w:r>
        <w:rPr>
          <w:spacing w:val="-8"/>
          <w:sz w:val="20"/>
        </w:rPr>
        <w:t> </w:t>
      </w:r>
      <w:r>
        <w:rPr>
          <w:sz w:val="20"/>
        </w:rPr>
        <w:t>cables/attenuator/combiner</w:t>
      </w:r>
      <w:r>
        <w:rPr>
          <w:spacing w:val="-7"/>
          <w:sz w:val="20"/>
        </w:rPr>
        <w:t> </w:t>
      </w:r>
      <w:r>
        <w:rPr>
          <w:sz w:val="20"/>
        </w:rPr>
        <w:t>setup</w:t>
      </w:r>
      <w:r>
        <w:rPr>
          <w:spacing w:val="-8"/>
          <w:sz w:val="20"/>
        </w:rPr>
        <w:t> </w:t>
      </w:r>
      <w:r>
        <w:rPr>
          <w:sz w:val="20"/>
        </w:rPr>
        <w:t>for</w:t>
      </w:r>
      <w:r>
        <w:rPr>
          <w:spacing w:val="-7"/>
          <w:sz w:val="20"/>
        </w:rPr>
        <w:t> </w:t>
      </w:r>
      <w:r>
        <w:rPr>
          <w:sz w:val="20"/>
        </w:rPr>
        <w:t>these devices.</w:t>
      </w:r>
    </w:p>
    <w:p>
      <w:pPr>
        <w:pStyle w:val="ListParagraph"/>
        <w:numPr>
          <w:ilvl w:val="4"/>
          <w:numId w:val="30"/>
        </w:numPr>
        <w:tabs>
          <w:tab w:pos="1702" w:val="left" w:leader="none"/>
        </w:tabs>
        <w:spacing w:line="240" w:lineRule="auto" w:before="179" w:after="0"/>
        <w:ind w:left="1702" w:right="1136" w:hanging="286"/>
        <w:jc w:val="left"/>
        <w:rPr>
          <w:sz w:val="20"/>
        </w:rPr>
      </w:pPr>
      <w:r>
        <w:rPr>
          <w:sz w:val="20"/>
        </w:rPr>
        <w:t>After</w:t>
      </w:r>
      <w:r>
        <w:rPr>
          <w:spacing w:val="-7"/>
          <w:sz w:val="20"/>
        </w:rPr>
        <w:t> </w:t>
      </w:r>
      <w:r>
        <w:rPr>
          <w:sz w:val="20"/>
        </w:rPr>
        <w:t>setting</w:t>
      </w:r>
      <w:r>
        <w:rPr>
          <w:spacing w:val="-8"/>
          <w:sz w:val="20"/>
        </w:rPr>
        <w:t> </w:t>
      </w:r>
      <w:r>
        <w:rPr>
          <w:sz w:val="20"/>
        </w:rPr>
        <w:t>the</w:t>
      </w:r>
      <w:r>
        <w:rPr>
          <w:spacing w:val="-8"/>
          <w:sz w:val="20"/>
        </w:rPr>
        <w:t> </w:t>
      </w:r>
      <w:r>
        <w:rPr>
          <w:sz w:val="20"/>
        </w:rPr>
        <w:t>attenuator</w:t>
      </w:r>
      <w:r>
        <w:rPr>
          <w:spacing w:val="-7"/>
          <w:sz w:val="20"/>
        </w:rPr>
        <w:t> </w:t>
      </w:r>
      <w:r>
        <w:rPr>
          <w:sz w:val="20"/>
        </w:rPr>
        <w:t>to</w:t>
      </w:r>
      <w:r>
        <w:rPr>
          <w:spacing w:val="-8"/>
          <w:sz w:val="20"/>
        </w:rPr>
        <w:t> </w:t>
      </w:r>
      <w:r>
        <w:rPr>
          <w:sz w:val="20"/>
        </w:rPr>
        <w:t>these</w:t>
      </w:r>
      <w:r>
        <w:rPr>
          <w:spacing w:val="-6"/>
          <w:sz w:val="20"/>
        </w:rPr>
        <w:t> </w:t>
      </w:r>
      <w:r>
        <w:rPr>
          <w:sz w:val="20"/>
        </w:rPr>
        <w:t>values,</w:t>
      </w:r>
      <w:r>
        <w:rPr>
          <w:spacing w:val="-8"/>
          <w:sz w:val="20"/>
        </w:rPr>
        <w:t> </w:t>
      </w:r>
      <w:r>
        <w:rPr>
          <w:sz w:val="20"/>
        </w:rPr>
        <w:t>ensure</w:t>
      </w:r>
      <w:r>
        <w:rPr>
          <w:spacing w:val="-7"/>
          <w:sz w:val="20"/>
        </w:rPr>
        <w:t> </w:t>
      </w:r>
      <w:r>
        <w:rPr>
          <w:sz w:val="20"/>
        </w:rPr>
        <w:t>that</w:t>
      </w:r>
      <w:r>
        <w:rPr>
          <w:spacing w:val="-6"/>
          <w:sz w:val="20"/>
        </w:rPr>
        <w:t> </w:t>
      </w:r>
      <w:r>
        <w:rPr>
          <w:sz w:val="20"/>
        </w:rPr>
        <w:t>transmissions</w:t>
      </w:r>
      <w:r>
        <w:rPr>
          <w:spacing w:val="-9"/>
          <w:sz w:val="20"/>
        </w:rPr>
        <w:t> </w:t>
      </w:r>
      <w:r>
        <w:rPr>
          <w:sz w:val="20"/>
        </w:rPr>
        <w:t>from</w:t>
      </w:r>
      <w:r>
        <w:rPr>
          <w:spacing w:val="-4"/>
          <w:sz w:val="20"/>
        </w:rPr>
        <w:t> </w:t>
      </w:r>
      <w:r>
        <w:rPr>
          <w:sz w:val="20"/>
        </w:rPr>
        <w:t>Device</w:t>
      </w:r>
      <w:r>
        <w:rPr>
          <w:spacing w:val="-6"/>
          <w:sz w:val="20"/>
        </w:rPr>
        <w:t> </w:t>
      </w:r>
      <w:r>
        <w:rPr>
          <w:sz w:val="20"/>
        </w:rPr>
        <w:t>1(DUT1)</w:t>
      </w:r>
      <w:r>
        <w:rPr>
          <w:spacing w:val="-7"/>
          <w:sz w:val="20"/>
        </w:rPr>
        <w:t> </w:t>
      </w:r>
      <w:r>
        <w:rPr>
          <w:sz w:val="20"/>
        </w:rPr>
        <w:t>and</w:t>
      </w:r>
      <w:r>
        <w:rPr>
          <w:spacing w:val="-8"/>
          <w:sz w:val="20"/>
        </w:rPr>
        <w:t> </w:t>
      </w:r>
      <w:r>
        <w:rPr>
          <w:sz w:val="20"/>
        </w:rPr>
        <w:t>Device 2 (DUT2) are isolated such that they cannot decode each other’s</w:t>
      </w:r>
      <w:r>
        <w:rPr>
          <w:spacing w:val="-20"/>
          <w:sz w:val="20"/>
        </w:rPr>
        <w:t> </w:t>
      </w:r>
      <w:r>
        <w:rPr>
          <w:sz w:val="20"/>
        </w:rPr>
        <w:t>transmissions.</w:t>
      </w:r>
    </w:p>
    <w:p>
      <w:pPr>
        <w:pStyle w:val="ListParagraph"/>
        <w:numPr>
          <w:ilvl w:val="4"/>
          <w:numId w:val="30"/>
        </w:numPr>
        <w:tabs>
          <w:tab w:pos="1702" w:val="left" w:leader="none"/>
        </w:tabs>
        <w:spacing w:line="240" w:lineRule="auto" w:before="179" w:after="0"/>
        <w:ind w:left="1702" w:right="1141" w:hanging="286"/>
        <w:jc w:val="left"/>
        <w:rPr>
          <w:sz w:val="20"/>
        </w:rPr>
      </w:pPr>
      <w:r>
        <w:rPr>
          <w:sz w:val="20"/>
        </w:rPr>
        <w:t>For Configuration2 (with congesting devices), turn on congesting devices and check the average CBR/CBP at Tx</w:t>
      </w:r>
      <w:r>
        <w:rPr>
          <w:spacing w:val="-7"/>
          <w:sz w:val="20"/>
        </w:rPr>
        <w:t> </w:t>
      </w:r>
      <w:r>
        <w:rPr>
          <w:sz w:val="20"/>
        </w:rPr>
        <w:t>devices.</w:t>
      </w:r>
    </w:p>
    <w:p>
      <w:pPr>
        <w:pStyle w:val="ListParagraph"/>
        <w:numPr>
          <w:ilvl w:val="4"/>
          <w:numId w:val="30"/>
        </w:numPr>
        <w:tabs>
          <w:tab w:pos="1702" w:val="left" w:leader="none"/>
        </w:tabs>
        <w:spacing w:line="240" w:lineRule="auto" w:before="180" w:after="0"/>
        <w:ind w:left="1702" w:right="0" w:hanging="286"/>
        <w:jc w:val="left"/>
        <w:rPr>
          <w:sz w:val="20"/>
        </w:rPr>
      </w:pPr>
      <w:r>
        <w:rPr>
          <w:sz w:val="20"/>
        </w:rPr>
        <w:t>Turn on Device</w:t>
      </w:r>
      <w:r>
        <w:rPr>
          <w:spacing w:val="-5"/>
          <w:sz w:val="20"/>
        </w:rPr>
        <w:t> </w:t>
      </w:r>
      <w:r>
        <w:rPr>
          <w:sz w:val="20"/>
        </w:rPr>
        <w:t>3.</w:t>
      </w:r>
    </w:p>
    <w:p>
      <w:pPr>
        <w:pStyle w:val="ListParagraph"/>
        <w:numPr>
          <w:ilvl w:val="4"/>
          <w:numId w:val="30"/>
        </w:numPr>
        <w:tabs>
          <w:tab w:pos="1702" w:val="left" w:leader="none"/>
        </w:tabs>
        <w:spacing w:line="240" w:lineRule="auto" w:before="180" w:after="0"/>
        <w:ind w:left="1702" w:right="0" w:hanging="286"/>
        <w:jc w:val="left"/>
        <w:rPr>
          <w:sz w:val="20"/>
        </w:rPr>
      </w:pPr>
      <w:r>
        <w:rPr>
          <w:sz w:val="20"/>
        </w:rPr>
        <w:t>Record these statistics on all the C-V2X devices for a period of 10</w:t>
      </w:r>
      <w:r>
        <w:rPr>
          <w:spacing w:val="-22"/>
          <w:sz w:val="20"/>
        </w:rPr>
        <w:t> </w:t>
      </w:r>
      <w:r>
        <w:rPr>
          <w:sz w:val="20"/>
        </w:rPr>
        <w:t>minutes:</w:t>
      </w:r>
    </w:p>
    <w:p>
      <w:pPr>
        <w:pStyle w:val="ListParagraph"/>
        <w:numPr>
          <w:ilvl w:val="5"/>
          <w:numId w:val="30"/>
        </w:numPr>
        <w:tabs>
          <w:tab w:pos="1985" w:val="left" w:leader="none"/>
          <w:tab w:pos="1986" w:val="left" w:leader="none"/>
        </w:tabs>
        <w:spacing w:line="240" w:lineRule="auto" w:before="180" w:after="0"/>
        <w:ind w:left="1985" w:right="0" w:hanging="286"/>
        <w:jc w:val="left"/>
        <w:rPr>
          <w:sz w:val="20"/>
        </w:rPr>
      </w:pPr>
      <w:r>
        <w:rPr>
          <w:sz w:val="20"/>
        </w:rPr>
        <w:t>Device 1 and Device</w:t>
      </w:r>
      <w:r>
        <w:rPr>
          <w:spacing w:val="-8"/>
          <w:sz w:val="20"/>
        </w:rPr>
        <w:t> </w:t>
      </w:r>
      <w:r>
        <w:rPr>
          <w:sz w:val="20"/>
        </w:rPr>
        <w:t>2:</w:t>
      </w:r>
    </w:p>
    <w:p>
      <w:pPr>
        <w:pStyle w:val="ListParagraph"/>
        <w:numPr>
          <w:ilvl w:val="6"/>
          <w:numId w:val="30"/>
        </w:numPr>
        <w:tabs>
          <w:tab w:pos="2268" w:val="left" w:leader="none"/>
          <w:tab w:pos="2269" w:val="left" w:leader="none"/>
        </w:tabs>
        <w:spacing w:line="240" w:lineRule="auto" w:before="180" w:after="0"/>
        <w:ind w:left="2268" w:right="0" w:hanging="283"/>
        <w:jc w:val="left"/>
        <w:rPr>
          <w:sz w:val="20"/>
        </w:rPr>
      </w:pPr>
      <w:r>
        <w:rPr>
          <w:sz w:val="20"/>
        </w:rPr>
        <w:t>OS timestamp for each Tx</w:t>
      </w:r>
      <w:r>
        <w:rPr>
          <w:spacing w:val="-8"/>
          <w:sz w:val="20"/>
        </w:rPr>
        <w:t> </w:t>
      </w:r>
      <w:r>
        <w:rPr>
          <w:sz w:val="20"/>
        </w:rPr>
        <w:t>packet</w:t>
      </w:r>
    </w:p>
    <w:p>
      <w:pPr>
        <w:pStyle w:val="ListParagraph"/>
        <w:numPr>
          <w:ilvl w:val="6"/>
          <w:numId w:val="30"/>
        </w:numPr>
        <w:tabs>
          <w:tab w:pos="2268" w:val="left" w:leader="none"/>
          <w:tab w:pos="2269" w:val="left" w:leader="none"/>
        </w:tabs>
        <w:spacing w:line="240" w:lineRule="auto" w:before="180" w:after="0"/>
        <w:ind w:left="2268" w:right="0" w:hanging="283"/>
        <w:jc w:val="left"/>
        <w:rPr>
          <w:sz w:val="20"/>
        </w:rPr>
      </w:pPr>
      <w:r>
        <w:rPr>
          <w:sz w:val="20"/>
        </w:rPr>
        <w:t>Sequence number of each Tx</w:t>
      </w:r>
      <w:r>
        <w:rPr>
          <w:spacing w:val="-6"/>
          <w:sz w:val="20"/>
        </w:rPr>
        <w:t> </w:t>
      </w:r>
      <w:r>
        <w:rPr>
          <w:sz w:val="20"/>
        </w:rPr>
        <w:t>packet</w:t>
      </w:r>
    </w:p>
    <w:p>
      <w:pPr>
        <w:pStyle w:val="ListParagraph"/>
        <w:numPr>
          <w:ilvl w:val="5"/>
          <w:numId w:val="30"/>
        </w:numPr>
        <w:tabs>
          <w:tab w:pos="1985" w:val="left" w:leader="none"/>
          <w:tab w:pos="1986" w:val="left" w:leader="none"/>
        </w:tabs>
        <w:spacing w:line="240" w:lineRule="auto" w:before="177" w:after="0"/>
        <w:ind w:left="1985" w:right="0" w:hanging="283"/>
        <w:jc w:val="left"/>
        <w:rPr>
          <w:sz w:val="20"/>
        </w:rPr>
      </w:pPr>
      <w:r>
        <w:rPr>
          <w:sz w:val="20"/>
        </w:rPr>
        <w:t>Device</w:t>
      </w:r>
      <w:r>
        <w:rPr>
          <w:spacing w:val="-6"/>
          <w:sz w:val="20"/>
        </w:rPr>
        <w:t> </w:t>
      </w:r>
      <w:r>
        <w:rPr>
          <w:sz w:val="20"/>
        </w:rPr>
        <w:t>3:</w:t>
      </w:r>
    </w:p>
    <w:p>
      <w:pPr>
        <w:pStyle w:val="ListParagraph"/>
        <w:numPr>
          <w:ilvl w:val="6"/>
          <w:numId w:val="30"/>
        </w:numPr>
        <w:tabs>
          <w:tab w:pos="2268" w:val="left" w:leader="none"/>
          <w:tab w:pos="2269" w:val="left" w:leader="none"/>
        </w:tabs>
        <w:spacing w:line="240" w:lineRule="auto" w:before="179" w:after="0"/>
        <w:ind w:left="2268" w:right="0" w:hanging="283"/>
        <w:jc w:val="left"/>
        <w:rPr>
          <w:sz w:val="20"/>
        </w:rPr>
      </w:pPr>
      <w:r>
        <w:rPr>
          <w:sz w:val="20"/>
        </w:rPr>
        <w:t>OS timestamp for each Rx</w:t>
      </w:r>
      <w:r>
        <w:rPr>
          <w:spacing w:val="-9"/>
          <w:sz w:val="20"/>
        </w:rPr>
        <w:t> </w:t>
      </w:r>
      <w:r>
        <w:rPr>
          <w:sz w:val="20"/>
        </w:rPr>
        <w:t>packet</w:t>
      </w:r>
    </w:p>
    <w:p>
      <w:pPr>
        <w:pStyle w:val="ListParagraph"/>
        <w:numPr>
          <w:ilvl w:val="6"/>
          <w:numId w:val="30"/>
        </w:numPr>
        <w:tabs>
          <w:tab w:pos="2268" w:val="left" w:leader="none"/>
          <w:tab w:pos="2269" w:val="left" w:leader="none"/>
        </w:tabs>
        <w:spacing w:line="240" w:lineRule="auto" w:before="179" w:after="0"/>
        <w:ind w:left="2268" w:right="0" w:hanging="283"/>
        <w:jc w:val="left"/>
        <w:rPr>
          <w:sz w:val="20"/>
        </w:rPr>
      </w:pPr>
      <w:r>
        <w:rPr>
          <w:sz w:val="20"/>
        </w:rPr>
        <w:t>Sequence number of each Rx</w:t>
      </w:r>
      <w:r>
        <w:rPr>
          <w:spacing w:val="-5"/>
          <w:sz w:val="20"/>
        </w:rPr>
        <w:t> </w:t>
      </w:r>
      <w:r>
        <w:rPr>
          <w:sz w:val="20"/>
        </w:rPr>
        <w:t>packet</w:t>
      </w:r>
    </w:p>
    <w:p>
      <w:pPr>
        <w:pStyle w:val="ListParagraph"/>
        <w:numPr>
          <w:ilvl w:val="6"/>
          <w:numId w:val="30"/>
        </w:numPr>
        <w:tabs>
          <w:tab w:pos="2268" w:val="left" w:leader="none"/>
          <w:tab w:pos="2269" w:val="left" w:leader="none"/>
        </w:tabs>
        <w:spacing w:line="240" w:lineRule="auto" w:before="180" w:after="0"/>
        <w:ind w:left="2268" w:right="0" w:hanging="283"/>
        <w:jc w:val="left"/>
        <w:rPr>
          <w:sz w:val="20"/>
        </w:rPr>
      </w:pPr>
      <w:r>
        <w:rPr>
          <w:sz w:val="20"/>
        </w:rPr>
        <w:t>Receive signal power for each Rx</w:t>
      </w:r>
      <w:r>
        <w:rPr>
          <w:spacing w:val="-15"/>
          <w:sz w:val="20"/>
        </w:rPr>
        <w:t> </w:t>
      </w:r>
      <w:r>
        <w:rPr>
          <w:sz w:val="20"/>
        </w:rPr>
        <w:t>packet</w:t>
      </w:r>
    </w:p>
    <w:p>
      <w:pPr>
        <w:pStyle w:val="ListParagraph"/>
        <w:numPr>
          <w:ilvl w:val="4"/>
          <w:numId w:val="30"/>
        </w:numPr>
        <w:tabs>
          <w:tab w:pos="1702" w:val="left" w:leader="none"/>
        </w:tabs>
        <w:spacing w:line="240" w:lineRule="auto" w:before="180" w:after="0"/>
        <w:ind w:left="1702" w:right="0" w:hanging="286"/>
        <w:jc w:val="left"/>
        <w:rPr>
          <w:sz w:val="20"/>
        </w:rPr>
      </w:pPr>
      <w:r>
        <w:rPr>
          <w:sz w:val="20"/>
        </w:rPr>
        <w:t>Repeat step 7 for a total of 10</w:t>
      </w:r>
      <w:r>
        <w:rPr>
          <w:spacing w:val="-10"/>
          <w:sz w:val="20"/>
        </w:rPr>
        <w:t> </w:t>
      </w:r>
      <w:r>
        <w:rPr>
          <w:sz w:val="20"/>
        </w:rPr>
        <w:t>executions.</w:t>
      </w:r>
    </w:p>
    <w:p>
      <w:pPr>
        <w:spacing w:after="0" w:line="240" w:lineRule="auto"/>
        <w:jc w:val="left"/>
        <w:rPr>
          <w:sz w:val="20"/>
        </w:rPr>
        <w:sectPr>
          <w:headerReference w:type="default" r:id="rId282"/>
          <w:pgSz w:w="11910" w:h="16850"/>
          <w:pgMar w:header="852" w:footer="979" w:top="1040" w:bottom="1160" w:left="0" w:right="0"/>
        </w:sectPr>
      </w:pPr>
    </w:p>
    <w:p>
      <w:pPr>
        <w:pStyle w:val="BodyText"/>
        <w:spacing w:before="1"/>
        <w:rPr>
          <w:sz w:val="23"/>
        </w:rPr>
      </w:pPr>
    </w:p>
    <w:p>
      <w:pPr>
        <w:pStyle w:val="Heading5"/>
        <w:numPr>
          <w:ilvl w:val="3"/>
          <w:numId w:val="30"/>
        </w:numPr>
        <w:tabs>
          <w:tab w:pos="2551" w:val="left" w:leader="none"/>
          <w:tab w:pos="2552" w:val="left" w:leader="none"/>
        </w:tabs>
        <w:spacing w:line="240" w:lineRule="auto" w:before="93" w:after="0"/>
        <w:ind w:left="2551" w:right="0" w:hanging="1418"/>
        <w:jc w:val="left"/>
        <w:rPr>
          <w:rFonts w:ascii="Arial"/>
        </w:rPr>
      </w:pPr>
      <w:r>
        <w:rPr>
          <w:rFonts w:ascii="Arial"/>
        </w:rPr>
        <w:t>Required</w:t>
      </w:r>
      <w:r>
        <w:rPr>
          <w:rFonts w:ascii="Arial"/>
          <w:spacing w:val="-9"/>
        </w:rPr>
        <w:t> </w:t>
      </w:r>
      <w:r>
        <w:rPr>
          <w:rFonts w:ascii="Arial"/>
        </w:rPr>
        <w:t>Documentation</w:t>
      </w:r>
    </w:p>
    <w:p>
      <w:pPr>
        <w:pStyle w:val="BodyText"/>
        <w:spacing w:before="9"/>
      </w:pPr>
    </w:p>
    <w:p>
      <w:pPr>
        <w:pStyle w:val="Heading7"/>
      </w:pPr>
      <w:r>
        <w:rPr/>
        <w:t>Table 21: C-V2X Results with configuration 1 (no congesting device)</w:t>
      </w:r>
    </w:p>
    <w:p>
      <w:pPr>
        <w:pStyle w:val="BodyText"/>
        <w:spacing w:after="1"/>
        <w:rPr>
          <w:b/>
          <w:sz w:val="16"/>
        </w:rPr>
      </w:pPr>
    </w:p>
    <w:tbl>
      <w:tblPr>
        <w:tblW w:w="0" w:type="auto"/>
        <w:jc w:val="left"/>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1"/>
        <w:gridCol w:w="1496"/>
        <w:gridCol w:w="1380"/>
        <w:gridCol w:w="1500"/>
        <w:gridCol w:w="1441"/>
        <w:gridCol w:w="1260"/>
        <w:gridCol w:w="1164"/>
      </w:tblGrid>
      <w:tr>
        <w:trPr>
          <w:trHeight w:val="520" w:hRule="exact"/>
        </w:trPr>
        <w:tc>
          <w:tcPr>
            <w:tcW w:w="1111" w:type="dxa"/>
            <w:vMerge w:val="restart"/>
            <w:shd w:val="clear" w:color="auto" w:fill="D9D9D9"/>
          </w:tcPr>
          <w:p>
            <w:pPr>
              <w:pStyle w:val="TableParagraph"/>
              <w:spacing w:line="201" w:lineRule="exact"/>
              <w:rPr>
                <w:b/>
                <w:sz w:val="18"/>
              </w:rPr>
            </w:pPr>
            <w:r>
              <w:rPr>
                <w:b/>
                <w:sz w:val="18"/>
              </w:rPr>
              <w:t>Execution</w:t>
            </w:r>
          </w:p>
          <w:p>
            <w:pPr>
              <w:pStyle w:val="TableParagraph"/>
              <w:spacing w:line="207" w:lineRule="exact"/>
              <w:rPr>
                <w:b/>
                <w:sz w:val="18"/>
              </w:rPr>
            </w:pPr>
            <w:r>
              <w:rPr>
                <w:b/>
                <w:w w:val="99"/>
                <w:sz w:val="18"/>
              </w:rPr>
              <w:t>#</w:t>
            </w:r>
          </w:p>
        </w:tc>
        <w:tc>
          <w:tcPr>
            <w:tcW w:w="2876" w:type="dxa"/>
            <w:gridSpan w:val="2"/>
            <w:shd w:val="clear" w:color="auto" w:fill="D9D9D9"/>
          </w:tcPr>
          <w:p>
            <w:pPr>
              <w:pStyle w:val="TableParagraph"/>
              <w:spacing w:line="201" w:lineRule="exact"/>
              <w:rPr>
                <w:b/>
                <w:sz w:val="18"/>
              </w:rPr>
            </w:pPr>
            <w:r>
              <w:rPr>
                <w:b/>
                <w:sz w:val="18"/>
              </w:rPr>
              <w:t>No. of Transmitted pkts</w:t>
            </w:r>
          </w:p>
        </w:tc>
        <w:tc>
          <w:tcPr>
            <w:tcW w:w="2941" w:type="dxa"/>
            <w:gridSpan w:val="2"/>
            <w:shd w:val="clear" w:color="auto" w:fill="D9D9D9"/>
          </w:tcPr>
          <w:p>
            <w:pPr>
              <w:pStyle w:val="TableParagraph"/>
              <w:spacing w:line="201" w:lineRule="exact"/>
              <w:rPr>
                <w:b/>
                <w:sz w:val="18"/>
              </w:rPr>
            </w:pPr>
            <w:r>
              <w:rPr>
                <w:b/>
                <w:sz w:val="18"/>
              </w:rPr>
              <w:t>No. of Received pkts</w:t>
            </w:r>
          </w:p>
        </w:tc>
        <w:tc>
          <w:tcPr>
            <w:tcW w:w="2424" w:type="dxa"/>
            <w:gridSpan w:val="2"/>
            <w:vMerge w:val="restart"/>
            <w:shd w:val="clear" w:color="auto" w:fill="D9D9D9"/>
          </w:tcPr>
          <w:p>
            <w:pPr>
              <w:pStyle w:val="TableParagraph"/>
              <w:tabs>
                <w:tab w:pos="678" w:val="left" w:leader="none"/>
                <w:tab w:pos="2153" w:val="left" w:leader="none"/>
              </w:tabs>
              <w:spacing w:line="240" w:lineRule="auto"/>
              <w:ind w:right="100"/>
              <w:rPr>
                <w:b/>
                <w:sz w:val="18"/>
              </w:rPr>
            </w:pPr>
            <w:r>
              <w:rPr>
                <w:b/>
                <w:sz w:val="18"/>
              </w:rPr>
              <w:t>PER</w:t>
              <w:tab/>
              <w:t>%  </w:t>
            </w:r>
            <w:r>
              <w:rPr>
                <w:b/>
                <w:spacing w:val="47"/>
                <w:sz w:val="18"/>
              </w:rPr>
              <w:t> </w:t>
            </w:r>
            <w:r>
              <w:rPr>
                <w:b/>
                <w:sz w:val="18"/>
              </w:rPr>
              <w:t>Calculated</w:t>
              <w:tab/>
              <w:t>at</w:t>
            </w:r>
            <w:r>
              <w:rPr>
                <w:b/>
                <w:w w:val="99"/>
                <w:sz w:val="18"/>
              </w:rPr>
              <w:t> </w:t>
            </w:r>
            <w:r>
              <w:rPr>
                <w:b/>
                <w:sz w:val="18"/>
              </w:rPr>
              <w:t>Receiver (Device</w:t>
            </w:r>
            <w:r>
              <w:rPr>
                <w:b/>
                <w:spacing w:val="-5"/>
                <w:sz w:val="18"/>
              </w:rPr>
              <w:t> </w:t>
            </w:r>
            <w:r>
              <w:rPr>
                <w:b/>
                <w:sz w:val="18"/>
              </w:rPr>
              <w:t>3)</w:t>
            </w:r>
          </w:p>
        </w:tc>
      </w:tr>
      <w:tr>
        <w:trPr>
          <w:trHeight w:val="520" w:hRule="exact"/>
        </w:trPr>
        <w:tc>
          <w:tcPr>
            <w:tcW w:w="1111" w:type="dxa"/>
            <w:vMerge/>
            <w:shd w:val="clear" w:color="auto" w:fill="D9D9D9"/>
          </w:tcPr>
          <w:p>
            <w:pPr/>
          </w:p>
        </w:tc>
        <w:tc>
          <w:tcPr>
            <w:tcW w:w="2876" w:type="dxa"/>
            <w:gridSpan w:val="2"/>
            <w:shd w:val="clear" w:color="auto" w:fill="D9D9D9"/>
          </w:tcPr>
          <w:p>
            <w:pPr>
              <w:pStyle w:val="TableParagraph"/>
              <w:spacing w:line="203" w:lineRule="exact"/>
              <w:rPr>
                <w:b/>
                <w:sz w:val="18"/>
              </w:rPr>
            </w:pPr>
            <w:r>
              <w:rPr>
                <w:b/>
                <w:sz w:val="18"/>
              </w:rPr>
              <w:t>(total for the 10 min test)</w:t>
            </w:r>
          </w:p>
        </w:tc>
        <w:tc>
          <w:tcPr>
            <w:tcW w:w="2941" w:type="dxa"/>
            <w:gridSpan w:val="2"/>
            <w:shd w:val="clear" w:color="auto" w:fill="D9D9D9"/>
          </w:tcPr>
          <w:p>
            <w:pPr>
              <w:pStyle w:val="TableParagraph"/>
              <w:spacing w:line="203" w:lineRule="exact"/>
              <w:rPr>
                <w:b/>
                <w:sz w:val="18"/>
              </w:rPr>
            </w:pPr>
            <w:r>
              <w:rPr>
                <w:b/>
                <w:sz w:val="18"/>
              </w:rPr>
              <w:t>(total for the 10-min test)</w:t>
            </w:r>
          </w:p>
        </w:tc>
        <w:tc>
          <w:tcPr>
            <w:tcW w:w="2424" w:type="dxa"/>
            <w:gridSpan w:val="2"/>
            <w:vMerge/>
            <w:shd w:val="clear" w:color="auto" w:fill="D9D9D9"/>
          </w:tcPr>
          <w:p>
            <w:pPr/>
          </w:p>
        </w:tc>
      </w:tr>
      <w:tr>
        <w:trPr>
          <w:trHeight w:val="914" w:hRule="exact"/>
        </w:trPr>
        <w:tc>
          <w:tcPr>
            <w:tcW w:w="1111" w:type="dxa"/>
            <w:vMerge/>
            <w:shd w:val="clear" w:color="auto" w:fill="D9D9D9"/>
          </w:tcPr>
          <w:p>
            <w:pPr/>
          </w:p>
        </w:tc>
        <w:tc>
          <w:tcPr>
            <w:tcW w:w="1496" w:type="dxa"/>
            <w:shd w:val="clear" w:color="auto" w:fill="D9D9D9"/>
          </w:tcPr>
          <w:p>
            <w:pPr>
              <w:pStyle w:val="TableParagraph"/>
              <w:spacing w:line="242" w:lineRule="auto"/>
              <w:ind w:right="603"/>
              <w:rPr>
                <w:b/>
                <w:sz w:val="18"/>
              </w:rPr>
            </w:pPr>
            <w:r>
              <w:rPr>
                <w:b/>
                <w:sz w:val="18"/>
              </w:rPr>
              <w:t>Transmit Device 1</w:t>
            </w:r>
          </w:p>
        </w:tc>
        <w:tc>
          <w:tcPr>
            <w:tcW w:w="1380" w:type="dxa"/>
            <w:shd w:val="clear" w:color="auto" w:fill="D9D9D9"/>
          </w:tcPr>
          <w:p>
            <w:pPr>
              <w:pStyle w:val="TableParagraph"/>
              <w:spacing w:line="242" w:lineRule="auto"/>
              <w:ind w:right="487"/>
              <w:rPr>
                <w:b/>
                <w:sz w:val="18"/>
              </w:rPr>
            </w:pPr>
            <w:r>
              <w:rPr>
                <w:b/>
                <w:sz w:val="18"/>
              </w:rPr>
              <w:t>Transmit Device 2</w:t>
            </w:r>
          </w:p>
        </w:tc>
        <w:tc>
          <w:tcPr>
            <w:tcW w:w="1500" w:type="dxa"/>
            <w:shd w:val="clear" w:color="auto" w:fill="D9D9D9"/>
          </w:tcPr>
          <w:p>
            <w:pPr>
              <w:pStyle w:val="TableParagraph"/>
              <w:tabs>
                <w:tab w:pos="1228" w:val="left" w:leader="none"/>
              </w:tabs>
              <w:spacing w:line="242" w:lineRule="auto"/>
              <w:ind w:right="100"/>
              <w:rPr>
                <w:b/>
                <w:sz w:val="18"/>
              </w:rPr>
            </w:pPr>
            <w:r>
              <w:rPr>
                <w:b/>
                <w:sz w:val="18"/>
              </w:rPr>
              <w:t>Received</w:t>
              <w:tab/>
              <w:t>at Device  3</w:t>
            </w:r>
            <w:r>
              <w:rPr>
                <w:b/>
                <w:spacing w:val="49"/>
                <w:sz w:val="18"/>
              </w:rPr>
              <w:t> </w:t>
            </w:r>
            <w:r>
              <w:rPr>
                <w:b/>
                <w:sz w:val="18"/>
              </w:rPr>
              <w:t>from</w:t>
            </w:r>
          </w:p>
          <w:p>
            <w:pPr>
              <w:pStyle w:val="TableParagraph"/>
              <w:spacing w:line="204" w:lineRule="exact" w:before="5"/>
              <w:rPr>
                <w:b/>
                <w:sz w:val="18"/>
              </w:rPr>
            </w:pPr>
            <w:r>
              <w:rPr>
                <w:b/>
                <w:sz w:val="18"/>
              </w:rPr>
              <w:t>Device 1</w:t>
            </w:r>
          </w:p>
        </w:tc>
        <w:tc>
          <w:tcPr>
            <w:tcW w:w="1441" w:type="dxa"/>
            <w:shd w:val="clear" w:color="auto" w:fill="D9D9D9"/>
          </w:tcPr>
          <w:p>
            <w:pPr>
              <w:pStyle w:val="TableParagraph"/>
              <w:tabs>
                <w:tab w:pos="1168" w:val="left" w:leader="none"/>
              </w:tabs>
              <w:spacing w:line="242" w:lineRule="auto"/>
              <w:ind w:right="100"/>
              <w:rPr>
                <w:b/>
                <w:sz w:val="18"/>
              </w:rPr>
            </w:pPr>
            <w:r>
              <w:rPr>
                <w:b/>
                <w:sz w:val="18"/>
              </w:rPr>
              <w:t>Received</w:t>
              <w:tab/>
              <w:t>at Device 3</w:t>
            </w:r>
            <w:r>
              <w:rPr>
                <w:b/>
                <w:spacing w:val="41"/>
                <w:sz w:val="18"/>
              </w:rPr>
              <w:t> </w:t>
            </w:r>
            <w:r>
              <w:rPr>
                <w:b/>
                <w:sz w:val="18"/>
              </w:rPr>
              <w:t>from</w:t>
            </w:r>
          </w:p>
          <w:p>
            <w:pPr>
              <w:pStyle w:val="TableParagraph"/>
              <w:spacing w:line="204" w:lineRule="exact" w:before="5"/>
              <w:rPr>
                <w:b/>
                <w:sz w:val="18"/>
              </w:rPr>
            </w:pPr>
            <w:r>
              <w:rPr>
                <w:b/>
                <w:sz w:val="18"/>
              </w:rPr>
              <w:t>Device 2</w:t>
            </w:r>
          </w:p>
        </w:tc>
        <w:tc>
          <w:tcPr>
            <w:tcW w:w="1260" w:type="dxa"/>
            <w:shd w:val="clear" w:color="auto" w:fill="D9D9D9"/>
          </w:tcPr>
          <w:p>
            <w:pPr>
              <w:pStyle w:val="TableParagraph"/>
              <w:spacing w:line="240" w:lineRule="auto"/>
              <w:ind w:right="396"/>
              <w:rPr>
                <w:b/>
                <w:sz w:val="18"/>
              </w:rPr>
            </w:pPr>
            <w:r>
              <w:rPr>
                <w:b/>
                <w:sz w:val="18"/>
              </w:rPr>
              <w:t>For Packets from Device 1</w:t>
            </w:r>
          </w:p>
        </w:tc>
        <w:tc>
          <w:tcPr>
            <w:tcW w:w="1164" w:type="dxa"/>
            <w:shd w:val="clear" w:color="auto" w:fill="D9D9D9"/>
          </w:tcPr>
          <w:p>
            <w:pPr>
              <w:pStyle w:val="TableParagraph"/>
              <w:spacing w:line="240" w:lineRule="auto"/>
              <w:ind w:right="301"/>
              <w:rPr>
                <w:b/>
                <w:sz w:val="18"/>
              </w:rPr>
            </w:pPr>
            <w:r>
              <w:rPr>
                <w:b/>
                <w:sz w:val="18"/>
              </w:rPr>
              <w:t>For Packets from Device 2</w:t>
            </w:r>
          </w:p>
        </w:tc>
      </w:tr>
      <w:tr>
        <w:trPr>
          <w:trHeight w:val="312" w:hRule="exact"/>
        </w:trPr>
        <w:tc>
          <w:tcPr>
            <w:tcW w:w="1111" w:type="dxa"/>
          </w:tcPr>
          <w:p>
            <w:pPr>
              <w:pStyle w:val="TableParagraph"/>
              <w:spacing w:line="204" w:lineRule="exact"/>
              <w:rPr>
                <w:b/>
                <w:sz w:val="18"/>
              </w:rPr>
            </w:pPr>
            <w:r>
              <w:rPr>
                <w:b/>
                <w:w w:val="99"/>
                <w:sz w:val="18"/>
              </w:rPr>
              <w:t>1</w:t>
            </w:r>
          </w:p>
        </w:tc>
        <w:tc>
          <w:tcPr>
            <w:tcW w:w="1496" w:type="dxa"/>
          </w:tcPr>
          <w:p>
            <w:pPr>
              <w:pStyle w:val="TableParagraph"/>
              <w:spacing w:line="204" w:lineRule="exact"/>
              <w:rPr>
                <w:b/>
                <w:sz w:val="18"/>
              </w:rPr>
            </w:pPr>
            <w:r>
              <w:rPr>
                <w:b/>
                <w:sz w:val="18"/>
              </w:rPr>
              <w:t>6000</w:t>
            </w:r>
          </w:p>
        </w:tc>
        <w:tc>
          <w:tcPr>
            <w:tcW w:w="1380" w:type="dxa"/>
          </w:tcPr>
          <w:p>
            <w:pPr>
              <w:pStyle w:val="TableParagraph"/>
              <w:spacing w:line="204" w:lineRule="exact"/>
              <w:rPr>
                <w:b/>
                <w:sz w:val="18"/>
              </w:rPr>
            </w:pPr>
            <w:r>
              <w:rPr>
                <w:b/>
                <w:sz w:val="18"/>
              </w:rPr>
              <w:t>6000</w:t>
            </w:r>
          </w:p>
        </w:tc>
        <w:tc>
          <w:tcPr>
            <w:tcW w:w="1500" w:type="dxa"/>
          </w:tcPr>
          <w:p>
            <w:pPr>
              <w:pStyle w:val="TableParagraph"/>
              <w:spacing w:line="240" w:lineRule="auto" w:before="1"/>
              <w:rPr>
                <w:sz w:val="18"/>
              </w:rPr>
            </w:pPr>
            <w:r>
              <w:rPr>
                <w:sz w:val="18"/>
              </w:rPr>
              <w:t>5992</w:t>
            </w:r>
          </w:p>
        </w:tc>
        <w:tc>
          <w:tcPr>
            <w:tcW w:w="1441" w:type="dxa"/>
          </w:tcPr>
          <w:p>
            <w:pPr>
              <w:pStyle w:val="TableParagraph"/>
              <w:spacing w:line="240" w:lineRule="auto" w:before="1"/>
              <w:rPr>
                <w:sz w:val="18"/>
              </w:rPr>
            </w:pPr>
            <w:r>
              <w:rPr>
                <w:sz w:val="18"/>
              </w:rPr>
              <w:t>5966</w:t>
            </w:r>
          </w:p>
        </w:tc>
        <w:tc>
          <w:tcPr>
            <w:tcW w:w="1260" w:type="dxa"/>
          </w:tcPr>
          <w:p>
            <w:pPr>
              <w:pStyle w:val="TableParagraph"/>
              <w:spacing w:line="240" w:lineRule="auto" w:before="1"/>
              <w:rPr>
                <w:sz w:val="18"/>
              </w:rPr>
            </w:pPr>
            <w:r>
              <w:rPr>
                <w:sz w:val="18"/>
              </w:rPr>
              <w:t>0.13</w:t>
            </w:r>
          </w:p>
        </w:tc>
        <w:tc>
          <w:tcPr>
            <w:tcW w:w="1164" w:type="dxa"/>
          </w:tcPr>
          <w:p>
            <w:pPr>
              <w:pStyle w:val="TableParagraph"/>
              <w:spacing w:line="240" w:lineRule="auto" w:before="1"/>
              <w:rPr>
                <w:sz w:val="18"/>
              </w:rPr>
            </w:pPr>
            <w:r>
              <w:rPr>
                <w:sz w:val="18"/>
              </w:rPr>
              <w:t>0.57</w:t>
            </w:r>
          </w:p>
        </w:tc>
      </w:tr>
      <w:tr>
        <w:trPr>
          <w:trHeight w:val="310" w:hRule="exact"/>
        </w:trPr>
        <w:tc>
          <w:tcPr>
            <w:tcW w:w="1111" w:type="dxa"/>
          </w:tcPr>
          <w:p>
            <w:pPr>
              <w:pStyle w:val="TableParagraph"/>
              <w:spacing w:line="201" w:lineRule="exact"/>
              <w:rPr>
                <w:b/>
                <w:sz w:val="18"/>
              </w:rPr>
            </w:pPr>
            <w:r>
              <w:rPr>
                <w:b/>
                <w:w w:val="99"/>
                <w:sz w:val="18"/>
              </w:rPr>
              <w:t>2</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6000</w:t>
            </w:r>
          </w:p>
        </w:tc>
        <w:tc>
          <w:tcPr>
            <w:tcW w:w="1441" w:type="dxa"/>
          </w:tcPr>
          <w:p>
            <w:pPr>
              <w:pStyle w:val="TableParagraph"/>
              <w:rPr>
                <w:sz w:val="18"/>
              </w:rPr>
            </w:pPr>
            <w:r>
              <w:rPr>
                <w:sz w:val="18"/>
              </w:rPr>
              <w:t>5999</w:t>
            </w:r>
          </w:p>
        </w:tc>
        <w:tc>
          <w:tcPr>
            <w:tcW w:w="1260" w:type="dxa"/>
          </w:tcPr>
          <w:p>
            <w:pPr>
              <w:pStyle w:val="TableParagraph"/>
              <w:rPr>
                <w:sz w:val="18"/>
              </w:rPr>
            </w:pPr>
            <w:r>
              <w:rPr>
                <w:sz w:val="18"/>
              </w:rPr>
              <w:t>0.00</w:t>
            </w:r>
          </w:p>
        </w:tc>
        <w:tc>
          <w:tcPr>
            <w:tcW w:w="1164" w:type="dxa"/>
          </w:tcPr>
          <w:p>
            <w:pPr>
              <w:pStyle w:val="TableParagraph"/>
              <w:rPr>
                <w:sz w:val="18"/>
              </w:rPr>
            </w:pPr>
            <w:r>
              <w:rPr>
                <w:sz w:val="18"/>
              </w:rPr>
              <w:t>0.02</w:t>
            </w:r>
          </w:p>
        </w:tc>
      </w:tr>
      <w:tr>
        <w:trPr>
          <w:trHeight w:val="310" w:hRule="exact"/>
        </w:trPr>
        <w:tc>
          <w:tcPr>
            <w:tcW w:w="1111" w:type="dxa"/>
          </w:tcPr>
          <w:p>
            <w:pPr>
              <w:pStyle w:val="TableParagraph"/>
              <w:spacing w:line="202" w:lineRule="exact"/>
              <w:rPr>
                <w:b/>
                <w:sz w:val="18"/>
              </w:rPr>
            </w:pPr>
            <w:r>
              <w:rPr>
                <w:b/>
                <w:w w:val="99"/>
                <w:sz w:val="18"/>
              </w:rPr>
              <w:t>3</w:t>
            </w:r>
          </w:p>
        </w:tc>
        <w:tc>
          <w:tcPr>
            <w:tcW w:w="1496" w:type="dxa"/>
          </w:tcPr>
          <w:p>
            <w:pPr>
              <w:pStyle w:val="TableParagraph"/>
              <w:spacing w:line="202" w:lineRule="exact"/>
              <w:rPr>
                <w:b/>
                <w:sz w:val="18"/>
              </w:rPr>
            </w:pPr>
            <w:r>
              <w:rPr>
                <w:b/>
                <w:sz w:val="18"/>
              </w:rPr>
              <w:t>6000</w:t>
            </w:r>
          </w:p>
        </w:tc>
        <w:tc>
          <w:tcPr>
            <w:tcW w:w="1380" w:type="dxa"/>
          </w:tcPr>
          <w:p>
            <w:pPr>
              <w:pStyle w:val="TableParagraph"/>
              <w:spacing w:line="202" w:lineRule="exact"/>
              <w:rPr>
                <w:b/>
                <w:sz w:val="18"/>
              </w:rPr>
            </w:pPr>
            <w:r>
              <w:rPr>
                <w:b/>
                <w:sz w:val="18"/>
              </w:rPr>
              <w:t>6000</w:t>
            </w:r>
          </w:p>
        </w:tc>
        <w:tc>
          <w:tcPr>
            <w:tcW w:w="1500" w:type="dxa"/>
          </w:tcPr>
          <w:p>
            <w:pPr>
              <w:pStyle w:val="TableParagraph"/>
              <w:spacing w:line="207" w:lineRule="exact"/>
              <w:rPr>
                <w:sz w:val="18"/>
              </w:rPr>
            </w:pPr>
            <w:r>
              <w:rPr>
                <w:sz w:val="18"/>
              </w:rPr>
              <w:t>5999</w:t>
            </w:r>
          </w:p>
        </w:tc>
        <w:tc>
          <w:tcPr>
            <w:tcW w:w="1441" w:type="dxa"/>
          </w:tcPr>
          <w:p>
            <w:pPr>
              <w:pStyle w:val="TableParagraph"/>
              <w:spacing w:line="207" w:lineRule="exact"/>
              <w:rPr>
                <w:sz w:val="18"/>
              </w:rPr>
            </w:pPr>
            <w:r>
              <w:rPr>
                <w:sz w:val="18"/>
              </w:rPr>
              <w:t>5989</w:t>
            </w:r>
          </w:p>
        </w:tc>
        <w:tc>
          <w:tcPr>
            <w:tcW w:w="1260" w:type="dxa"/>
          </w:tcPr>
          <w:p>
            <w:pPr>
              <w:pStyle w:val="TableParagraph"/>
              <w:spacing w:line="207" w:lineRule="exact"/>
              <w:rPr>
                <w:sz w:val="18"/>
              </w:rPr>
            </w:pPr>
            <w:r>
              <w:rPr>
                <w:sz w:val="18"/>
              </w:rPr>
              <w:t>0.02</w:t>
            </w:r>
          </w:p>
        </w:tc>
        <w:tc>
          <w:tcPr>
            <w:tcW w:w="1164" w:type="dxa"/>
          </w:tcPr>
          <w:p>
            <w:pPr>
              <w:pStyle w:val="TableParagraph"/>
              <w:spacing w:line="207" w:lineRule="exact"/>
              <w:rPr>
                <w:sz w:val="18"/>
              </w:rPr>
            </w:pPr>
            <w:r>
              <w:rPr>
                <w:sz w:val="18"/>
              </w:rPr>
              <w:t>0.18</w:t>
            </w:r>
          </w:p>
        </w:tc>
      </w:tr>
      <w:tr>
        <w:trPr>
          <w:trHeight w:val="310" w:hRule="exact"/>
        </w:trPr>
        <w:tc>
          <w:tcPr>
            <w:tcW w:w="1111" w:type="dxa"/>
          </w:tcPr>
          <w:p>
            <w:pPr>
              <w:pStyle w:val="TableParagraph"/>
              <w:spacing w:line="201" w:lineRule="exact"/>
              <w:rPr>
                <w:b/>
                <w:sz w:val="18"/>
              </w:rPr>
            </w:pPr>
            <w:r>
              <w:rPr>
                <w:b/>
                <w:w w:val="99"/>
                <w:sz w:val="18"/>
              </w:rPr>
              <w:t>4</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6000</w:t>
            </w:r>
          </w:p>
        </w:tc>
        <w:tc>
          <w:tcPr>
            <w:tcW w:w="1441" w:type="dxa"/>
          </w:tcPr>
          <w:p>
            <w:pPr>
              <w:pStyle w:val="TableParagraph"/>
              <w:rPr>
                <w:sz w:val="18"/>
              </w:rPr>
            </w:pPr>
            <w:r>
              <w:rPr>
                <w:sz w:val="18"/>
              </w:rPr>
              <w:t>6000</w:t>
            </w:r>
          </w:p>
        </w:tc>
        <w:tc>
          <w:tcPr>
            <w:tcW w:w="1260" w:type="dxa"/>
          </w:tcPr>
          <w:p>
            <w:pPr>
              <w:pStyle w:val="TableParagraph"/>
              <w:rPr>
                <w:sz w:val="18"/>
              </w:rPr>
            </w:pPr>
            <w:r>
              <w:rPr>
                <w:sz w:val="18"/>
              </w:rPr>
              <w:t>0.00</w:t>
            </w:r>
          </w:p>
        </w:tc>
        <w:tc>
          <w:tcPr>
            <w:tcW w:w="1164" w:type="dxa"/>
          </w:tcPr>
          <w:p>
            <w:pPr>
              <w:pStyle w:val="TableParagraph"/>
              <w:rPr>
                <w:sz w:val="18"/>
              </w:rPr>
            </w:pPr>
            <w:r>
              <w:rPr>
                <w:sz w:val="18"/>
              </w:rPr>
              <w:t>0.00</w:t>
            </w:r>
          </w:p>
        </w:tc>
      </w:tr>
      <w:tr>
        <w:trPr>
          <w:trHeight w:val="310" w:hRule="exact"/>
        </w:trPr>
        <w:tc>
          <w:tcPr>
            <w:tcW w:w="1111" w:type="dxa"/>
          </w:tcPr>
          <w:p>
            <w:pPr>
              <w:pStyle w:val="TableParagraph"/>
              <w:spacing w:line="201" w:lineRule="exact"/>
              <w:rPr>
                <w:b/>
                <w:sz w:val="18"/>
              </w:rPr>
            </w:pPr>
            <w:r>
              <w:rPr>
                <w:b/>
                <w:w w:val="99"/>
                <w:sz w:val="18"/>
              </w:rPr>
              <w:t>5</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5993</w:t>
            </w:r>
          </w:p>
        </w:tc>
        <w:tc>
          <w:tcPr>
            <w:tcW w:w="1441" w:type="dxa"/>
          </w:tcPr>
          <w:p>
            <w:pPr>
              <w:pStyle w:val="TableParagraph"/>
              <w:rPr>
                <w:sz w:val="18"/>
              </w:rPr>
            </w:pPr>
            <w:r>
              <w:rPr>
                <w:sz w:val="18"/>
              </w:rPr>
              <w:t>5992</w:t>
            </w:r>
          </w:p>
        </w:tc>
        <w:tc>
          <w:tcPr>
            <w:tcW w:w="1260" w:type="dxa"/>
          </w:tcPr>
          <w:p>
            <w:pPr>
              <w:pStyle w:val="TableParagraph"/>
              <w:rPr>
                <w:sz w:val="18"/>
              </w:rPr>
            </w:pPr>
            <w:r>
              <w:rPr>
                <w:sz w:val="18"/>
              </w:rPr>
              <w:t>0.12</w:t>
            </w:r>
          </w:p>
        </w:tc>
        <w:tc>
          <w:tcPr>
            <w:tcW w:w="1164" w:type="dxa"/>
          </w:tcPr>
          <w:p>
            <w:pPr>
              <w:pStyle w:val="TableParagraph"/>
              <w:rPr>
                <w:sz w:val="18"/>
              </w:rPr>
            </w:pPr>
            <w:r>
              <w:rPr>
                <w:sz w:val="18"/>
              </w:rPr>
              <w:t>0.13</w:t>
            </w:r>
          </w:p>
        </w:tc>
      </w:tr>
      <w:tr>
        <w:trPr>
          <w:trHeight w:val="310" w:hRule="exact"/>
        </w:trPr>
        <w:tc>
          <w:tcPr>
            <w:tcW w:w="1111" w:type="dxa"/>
          </w:tcPr>
          <w:p>
            <w:pPr>
              <w:pStyle w:val="TableParagraph"/>
              <w:spacing w:line="201" w:lineRule="exact"/>
              <w:rPr>
                <w:b/>
                <w:sz w:val="18"/>
              </w:rPr>
            </w:pPr>
            <w:r>
              <w:rPr>
                <w:b/>
                <w:w w:val="99"/>
                <w:sz w:val="18"/>
              </w:rPr>
              <w:t>6</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5998</w:t>
            </w:r>
          </w:p>
        </w:tc>
        <w:tc>
          <w:tcPr>
            <w:tcW w:w="1441" w:type="dxa"/>
          </w:tcPr>
          <w:p>
            <w:pPr>
              <w:pStyle w:val="TableParagraph"/>
              <w:rPr>
                <w:sz w:val="18"/>
              </w:rPr>
            </w:pPr>
            <w:r>
              <w:rPr>
                <w:sz w:val="18"/>
              </w:rPr>
              <w:t>5978</w:t>
            </w:r>
          </w:p>
        </w:tc>
        <w:tc>
          <w:tcPr>
            <w:tcW w:w="1260" w:type="dxa"/>
          </w:tcPr>
          <w:p>
            <w:pPr>
              <w:pStyle w:val="TableParagraph"/>
              <w:rPr>
                <w:sz w:val="18"/>
              </w:rPr>
            </w:pPr>
            <w:r>
              <w:rPr>
                <w:sz w:val="18"/>
              </w:rPr>
              <w:t>0.03</w:t>
            </w:r>
          </w:p>
        </w:tc>
        <w:tc>
          <w:tcPr>
            <w:tcW w:w="1164" w:type="dxa"/>
          </w:tcPr>
          <w:p>
            <w:pPr>
              <w:pStyle w:val="TableParagraph"/>
              <w:rPr>
                <w:sz w:val="18"/>
              </w:rPr>
            </w:pPr>
            <w:r>
              <w:rPr>
                <w:sz w:val="18"/>
              </w:rPr>
              <w:t>0.37</w:t>
            </w:r>
          </w:p>
        </w:tc>
      </w:tr>
      <w:tr>
        <w:trPr>
          <w:trHeight w:val="312" w:hRule="exact"/>
        </w:trPr>
        <w:tc>
          <w:tcPr>
            <w:tcW w:w="1111" w:type="dxa"/>
          </w:tcPr>
          <w:p>
            <w:pPr>
              <w:pStyle w:val="TableParagraph"/>
              <w:spacing w:line="204" w:lineRule="exact"/>
              <w:rPr>
                <w:b/>
                <w:sz w:val="18"/>
              </w:rPr>
            </w:pPr>
            <w:r>
              <w:rPr>
                <w:b/>
                <w:w w:val="99"/>
                <w:sz w:val="18"/>
              </w:rPr>
              <w:t>7</w:t>
            </w:r>
          </w:p>
        </w:tc>
        <w:tc>
          <w:tcPr>
            <w:tcW w:w="1496" w:type="dxa"/>
          </w:tcPr>
          <w:p>
            <w:pPr>
              <w:pStyle w:val="TableParagraph"/>
              <w:spacing w:line="204" w:lineRule="exact"/>
              <w:rPr>
                <w:b/>
                <w:sz w:val="18"/>
              </w:rPr>
            </w:pPr>
            <w:r>
              <w:rPr>
                <w:b/>
                <w:sz w:val="18"/>
              </w:rPr>
              <w:t>6000</w:t>
            </w:r>
          </w:p>
        </w:tc>
        <w:tc>
          <w:tcPr>
            <w:tcW w:w="1380" w:type="dxa"/>
          </w:tcPr>
          <w:p>
            <w:pPr>
              <w:pStyle w:val="TableParagraph"/>
              <w:spacing w:line="204" w:lineRule="exact"/>
              <w:rPr>
                <w:b/>
                <w:sz w:val="18"/>
              </w:rPr>
            </w:pPr>
            <w:r>
              <w:rPr>
                <w:b/>
                <w:sz w:val="18"/>
              </w:rPr>
              <w:t>6000</w:t>
            </w:r>
          </w:p>
        </w:tc>
        <w:tc>
          <w:tcPr>
            <w:tcW w:w="1500" w:type="dxa"/>
          </w:tcPr>
          <w:p>
            <w:pPr>
              <w:pStyle w:val="TableParagraph"/>
              <w:spacing w:line="240" w:lineRule="auto" w:before="1"/>
              <w:rPr>
                <w:sz w:val="18"/>
              </w:rPr>
            </w:pPr>
            <w:r>
              <w:rPr>
                <w:sz w:val="18"/>
              </w:rPr>
              <w:t>6000</w:t>
            </w:r>
          </w:p>
        </w:tc>
        <w:tc>
          <w:tcPr>
            <w:tcW w:w="1441" w:type="dxa"/>
          </w:tcPr>
          <w:p>
            <w:pPr>
              <w:pStyle w:val="TableParagraph"/>
              <w:spacing w:line="240" w:lineRule="auto" w:before="1"/>
              <w:rPr>
                <w:sz w:val="18"/>
              </w:rPr>
            </w:pPr>
            <w:r>
              <w:rPr>
                <w:sz w:val="18"/>
              </w:rPr>
              <w:t>6000</w:t>
            </w:r>
          </w:p>
        </w:tc>
        <w:tc>
          <w:tcPr>
            <w:tcW w:w="1260" w:type="dxa"/>
          </w:tcPr>
          <w:p>
            <w:pPr>
              <w:pStyle w:val="TableParagraph"/>
              <w:spacing w:line="240" w:lineRule="auto" w:before="1"/>
              <w:rPr>
                <w:sz w:val="18"/>
              </w:rPr>
            </w:pPr>
            <w:r>
              <w:rPr>
                <w:sz w:val="18"/>
              </w:rPr>
              <w:t>0.00</w:t>
            </w:r>
          </w:p>
        </w:tc>
        <w:tc>
          <w:tcPr>
            <w:tcW w:w="1164" w:type="dxa"/>
          </w:tcPr>
          <w:p>
            <w:pPr>
              <w:pStyle w:val="TableParagraph"/>
              <w:spacing w:line="240" w:lineRule="auto" w:before="1"/>
              <w:rPr>
                <w:sz w:val="18"/>
              </w:rPr>
            </w:pPr>
            <w:r>
              <w:rPr>
                <w:sz w:val="18"/>
              </w:rPr>
              <w:t>0.00</w:t>
            </w:r>
          </w:p>
        </w:tc>
      </w:tr>
      <w:tr>
        <w:trPr>
          <w:trHeight w:val="310" w:hRule="exact"/>
        </w:trPr>
        <w:tc>
          <w:tcPr>
            <w:tcW w:w="1111" w:type="dxa"/>
          </w:tcPr>
          <w:p>
            <w:pPr>
              <w:pStyle w:val="TableParagraph"/>
              <w:spacing w:line="201" w:lineRule="exact"/>
              <w:rPr>
                <w:b/>
                <w:sz w:val="18"/>
              </w:rPr>
            </w:pPr>
            <w:r>
              <w:rPr>
                <w:b/>
                <w:w w:val="99"/>
                <w:sz w:val="18"/>
              </w:rPr>
              <w:t>8</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6000</w:t>
            </w:r>
          </w:p>
        </w:tc>
        <w:tc>
          <w:tcPr>
            <w:tcW w:w="1441" w:type="dxa"/>
          </w:tcPr>
          <w:p>
            <w:pPr>
              <w:pStyle w:val="TableParagraph"/>
              <w:rPr>
                <w:sz w:val="18"/>
              </w:rPr>
            </w:pPr>
            <w:r>
              <w:rPr>
                <w:sz w:val="18"/>
              </w:rPr>
              <w:t>5998</w:t>
            </w:r>
          </w:p>
        </w:tc>
        <w:tc>
          <w:tcPr>
            <w:tcW w:w="1260" w:type="dxa"/>
          </w:tcPr>
          <w:p>
            <w:pPr>
              <w:pStyle w:val="TableParagraph"/>
              <w:rPr>
                <w:sz w:val="18"/>
              </w:rPr>
            </w:pPr>
            <w:r>
              <w:rPr>
                <w:sz w:val="18"/>
              </w:rPr>
              <w:t>0.00</w:t>
            </w:r>
          </w:p>
        </w:tc>
        <w:tc>
          <w:tcPr>
            <w:tcW w:w="1164" w:type="dxa"/>
          </w:tcPr>
          <w:p>
            <w:pPr>
              <w:pStyle w:val="TableParagraph"/>
              <w:rPr>
                <w:sz w:val="18"/>
              </w:rPr>
            </w:pPr>
            <w:r>
              <w:rPr>
                <w:sz w:val="18"/>
              </w:rPr>
              <w:t>0.03</w:t>
            </w:r>
          </w:p>
        </w:tc>
      </w:tr>
      <w:tr>
        <w:trPr>
          <w:trHeight w:val="310" w:hRule="exact"/>
        </w:trPr>
        <w:tc>
          <w:tcPr>
            <w:tcW w:w="1111" w:type="dxa"/>
          </w:tcPr>
          <w:p>
            <w:pPr>
              <w:pStyle w:val="TableParagraph"/>
              <w:spacing w:line="201" w:lineRule="exact"/>
              <w:rPr>
                <w:b/>
                <w:sz w:val="18"/>
              </w:rPr>
            </w:pPr>
            <w:r>
              <w:rPr>
                <w:b/>
                <w:w w:val="99"/>
                <w:sz w:val="18"/>
              </w:rPr>
              <w:t>9</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5999</w:t>
            </w:r>
          </w:p>
        </w:tc>
        <w:tc>
          <w:tcPr>
            <w:tcW w:w="1441" w:type="dxa"/>
          </w:tcPr>
          <w:p>
            <w:pPr>
              <w:pStyle w:val="TableParagraph"/>
              <w:rPr>
                <w:sz w:val="18"/>
              </w:rPr>
            </w:pPr>
            <w:r>
              <w:rPr>
                <w:sz w:val="18"/>
              </w:rPr>
              <w:t>5999</w:t>
            </w:r>
          </w:p>
        </w:tc>
        <w:tc>
          <w:tcPr>
            <w:tcW w:w="1260" w:type="dxa"/>
          </w:tcPr>
          <w:p>
            <w:pPr>
              <w:pStyle w:val="TableParagraph"/>
              <w:rPr>
                <w:sz w:val="18"/>
              </w:rPr>
            </w:pPr>
            <w:r>
              <w:rPr>
                <w:sz w:val="18"/>
              </w:rPr>
              <w:t>0.02</w:t>
            </w:r>
          </w:p>
        </w:tc>
        <w:tc>
          <w:tcPr>
            <w:tcW w:w="1164" w:type="dxa"/>
          </w:tcPr>
          <w:p>
            <w:pPr>
              <w:pStyle w:val="TableParagraph"/>
              <w:rPr>
                <w:sz w:val="18"/>
              </w:rPr>
            </w:pPr>
            <w:r>
              <w:rPr>
                <w:sz w:val="18"/>
              </w:rPr>
              <w:t>0.02</w:t>
            </w:r>
          </w:p>
        </w:tc>
      </w:tr>
      <w:tr>
        <w:trPr>
          <w:trHeight w:val="310" w:hRule="exact"/>
        </w:trPr>
        <w:tc>
          <w:tcPr>
            <w:tcW w:w="1111" w:type="dxa"/>
          </w:tcPr>
          <w:p>
            <w:pPr>
              <w:pStyle w:val="TableParagraph"/>
              <w:spacing w:line="201" w:lineRule="exact"/>
              <w:rPr>
                <w:b/>
                <w:sz w:val="18"/>
              </w:rPr>
            </w:pPr>
            <w:r>
              <w:rPr>
                <w:b/>
                <w:sz w:val="18"/>
              </w:rPr>
              <w:t>10</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5998</w:t>
            </w:r>
          </w:p>
        </w:tc>
        <w:tc>
          <w:tcPr>
            <w:tcW w:w="1441" w:type="dxa"/>
          </w:tcPr>
          <w:p>
            <w:pPr>
              <w:pStyle w:val="TableParagraph"/>
              <w:rPr>
                <w:sz w:val="18"/>
              </w:rPr>
            </w:pPr>
            <w:r>
              <w:rPr>
                <w:sz w:val="18"/>
              </w:rPr>
              <w:t>5991</w:t>
            </w:r>
          </w:p>
        </w:tc>
        <w:tc>
          <w:tcPr>
            <w:tcW w:w="1260" w:type="dxa"/>
          </w:tcPr>
          <w:p>
            <w:pPr>
              <w:pStyle w:val="TableParagraph"/>
              <w:rPr>
                <w:sz w:val="18"/>
              </w:rPr>
            </w:pPr>
            <w:r>
              <w:rPr>
                <w:sz w:val="18"/>
              </w:rPr>
              <w:t>0.03</w:t>
            </w:r>
          </w:p>
        </w:tc>
        <w:tc>
          <w:tcPr>
            <w:tcW w:w="1164" w:type="dxa"/>
          </w:tcPr>
          <w:p>
            <w:pPr>
              <w:pStyle w:val="TableParagraph"/>
              <w:rPr>
                <w:sz w:val="18"/>
              </w:rPr>
            </w:pPr>
            <w:r>
              <w:rPr>
                <w:sz w:val="18"/>
              </w:rPr>
              <w:t>0.15</w:t>
            </w:r>
          </w:p>
        </w:tc>
      </w:tr>
      <w:tr>
        <w:trPr>
          <w:trHeight w:val="511" w:hRule="exact"/>
        </w:trPr>
        <w:tc>
          <w:tcPr>
            <w:tcW w:w="2607" w:type="dxa"/>
            <w:gridSpan w:val="2"/>
          </w:tcPr>
          <w:p>
            <w:pPr>
              <w:pStyle w:val="TableParagraph"/>
              <w:spacing w:line="240" w:lineRule="auto"/>
              <w:rPr>
                <w:b/>
                <w:sz w:val="18"/>
              </w:rPr>
            </w:pPr>
            <w:r>
              <w:rPr>
                <w:b/>
                <w:sz w:val="18"/>
              </w:rPr>
              <w:t>Measured Insertion Loss, Device 1 to Device 3 (dB)</w:t>
            </w:r>
          </w:p>
        </w:tc>
        <w:tc>
          <w:tcPr>
            <w:tcW w:w="2880" w:type="dxa"/>
            <w:gridSpan w:val="2"/>
          </w:tcPr>
          <w:p>
            <w:pPr>
              <w:pStyle w:val="TableParagraph"/>
              <w:spacing w:line="201" w:lineRule="exact"/>
              <w:rPr>
                <w:b/>
                <w:sz w:val="18"/>
              </w:rPr>
            </w:pPr>
            <w:r>
              <w:rPr>
                <w:b/>
                <w:sz w:val="18"/>
              </w:rPr>
              <w:t>37</w:t>
            </w:r>
          </w:p>
        </w:tc>
        <w:tc>
          <w:tcPr>
            <w:tcW w:w="1441" w:type="dxa"/>
          </w:tcPr>
          <w:p>
            <w:pPr>
              <w:pStyle w:val="TableParagraph"/>
              <w:tabs>
                <w:tab w:pos="1225" w:val="left" w:leader="none"/>
              </w:tabs>
              <w:spacing w:line="240" w:lineRule="auto"/>
              <w:ind w:right="103"/>
              <w:rPr>
                <w:b/>
                <w:sz w:val="18"/>
              </w:rPr>
            </w:pPr>
            <w:r>
              <w:rPr>
                <w:b/>
                <w:sz w:val="18"/>
              </w:rPr>
              <w:t>Attenuator</w:t>
              <w:tab/>
              <w:t>1 Value (dB)</w:t>
            </w:r>
          </w:p>
        </w:tc>
        <w:tc>
          <w:tcPr>
            <w:tcW w:w="2424" w:type="dxa"/>
            <w:gridSpan w:val="2"/>
          </w:tcPr>
          <w:p>
            <w:pPr>
              <w:pStyle w:val="TableParagraph"/>
              <w:spacing w:line="201" w:lineRule="exact"/>
              <w:rPr>
                <w:b/>
                <w:sz w:val="18"/>
              </w:rPr>
            </w:pPr>
            <w:r>
              <w:rPr>
                <w:b/>
                <w:sz w:val="18"/>
              </w:rPr>
              <w:t>50</w:t>
            </w:r>
          </w:p>
        </w:tc>
      </w:tr>
      <w:tr>
        <w:trPr>
          <w:trHeight w:val="564" w:hRule="exact"/>
        </w:trPr>
        <w:tc>
          <w:tcPr>
            <w:tcW w:w="2607" w:type="dxa"/>
            <w:gridSpan w:val="2"/>
          </w:tcPr>
          <w:p>
            <w:pPr>
              <w:pStyle w:val="TableParagraph"/>
              <w:spacing w:line="240" w:lineRule="auto"/>
              <w:rPr>
                <w:b/>
                <w:sz w:val="18"/>
              </w:rPr>
            </w:pPr>
            <w:r>
              <w:rPr>
                <w:b/>
                <w:sz w:val="18"/>
              </w:rPr>
              <w:t>Measured Insertion Loss, Device 2 to Device 3 (dB)</w:t>
            </w:r>
          </w:p>
        </w:tc>
        <w:tc>
          <w:tcPr>
            <w:tcW w:w="2880" w:type="dxa"/>
            <w:gridSpan w:val="2"/>
          </w:tcPr>
          <w:p>
            <w:pPr>
              <w:pStyle w:val="TableParagraph"/>
              <w:spacing w:line="201" w:lineRule="exact"/>
              <w:rPr>
                <w:b/>
                <w:sz w:val="18"/>
              </w:rPr>
            </w:pPr>
            <w:r>
              <w:rPr>
                <w:b/>
                <w:sz w:val="18"/>
              </w:rPr>
              <w:t>37</w:t>
            </w:r>
          </w:p>
        </w:tc>
        <w:tc>
          <w:tcPr>
            <w:tcW w:w="1441" w:type="dxa"/>
          </w:tcPr>
          <w:p>
            <w:pPr>
              <w:pStyle w:val="TableParagraph"/>
              <w:tabs>
                <w:tab w:pos="1225" w:val="left" w:leader="none"/>
              </w:tabs>
              <w:spacing w:line="240" w:lineRule="auto"/>
              <w:ind w:right="103"/>
              <w:rPr>
                <w:b/>
                <w:sz w:val="18"/>
              </w:rPr>
            </w:pPr>
            <w:r>
              <w:rPr>
                <w:b/>
                <w:sz w:val="18"/>
              </w:rPr>
              <w:t>Attenuator</w:t>
              <w:tab/>
              <w:t>2 Value (dB)</w:t>
            </w:r>
          </w:p>
        </w:tc>
        <w:tc>
          <w:tcPr>
            <w:tcW w:w="2424" w:type="dxa"/>
            <w:gridSpan w:val="2"/>
          </w:tcPr>
          <w:p>
            <w:pPr>
              <w:pStyle w:val="TableParagraph"/>
              <w:spacing w:line="201" w:lineRule="exact"/>
              <w:rPr>
                <w:b/>
                <w:sz w:val="18"/>
              </w:rPr>
            </w:pPr>
            <w:r>
              <w:rPr>
                <w:b/>
                <w:sz w:val="18"/>
              </w:rPr>
              <w:t>50</w:t>
            </w:r>
          </w:p>
        </w:tc>
      </w:tr>
    </w:tbl>
    <w:p>
      <w:pPr>
        <w:pStyle w:val="BodyText"/>
        <w:rPr>
          <w:b/>
          <w:sz w:val="22"/>
        </w:rPr>
      </w:pPr>
    </w:p>
    <w:p>
      <w:pPr>
        <w:pStyle w:val="BodyText"/>
        <w:spacing w:before="7"/>
        <w:rPr>
          <w:b/>
          <w:sz w:val="23"/>
        </w:rPr>
      </w:pPr>
    </w:p>
    <w:p>
      <w:pPr>
        <w:spacing w:before="0"/>
        <w:ind w:left="1133" w:right="0" w:firstLine="0"/>
        <w:jc w:val="left"/>
        <w:rPr>
          <w:b/>
          <w:sz w:val="20"/>
        </w:rPr>
      </w:pPr>
      <w:r>
        <w:rPr>
          <w:b/>
          <w:sz w:val="20"/>
        </w:rPr>
        <w:t>Table 22: DSRC Results with configuration 1 (no congesting device)</w:t>
      </w:r>
    </w:p>
    <w:p>
      <w:pPr>
        <w:pStyle w:val="BodyText"/>
        <w:spacing w:before="11"/>
        <w:rPr>
          <w:b/>
          <w:sz w:val="15"/>
        </w:rPr>
      </w:pPr>
    </w:p>
    <w:tbl>
      <w:tblPr>
        <w:tblW w:w="0" w:type="auto"/>
        <w:jc w:val="left"/>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1"/>
        <w:gridCol w:w="1496"/>
        <w:gridCol w:w="1380"/>
        <w:gridCol w:w="1500"/>
        <w:gridCol w:w="1441"/>
        <w:gridCol w:w="1260"/>
        <w:gridCol w:w="1164"/>
      </w:tblGrid>
      <w:tr>
        <w:trPr>
          <w:trHeight w:val="520" w:hRule="exact"/>
        </w:trPr>
        <w:tc>
          <w:tcPr>
            <w:tcW w:w="1111" w:type="dxa"/>
            <w:vMerge w:val="restart"/>
            <w:shd w:val="clear" w:color="auto" w:fill="D9D9D9"/>
          </w:tcPr>
          <w:p>
            <w:pPr>
              <w:pStyle w:val="TableParagraph"/>
              <w:spacing w:line="202" w:lineRule="exact"/>
              <w:rPr>
                <w:b/>
                <w:sz w:val="18"/>
              </w:rPr>
            </w:pPr>
            <w:r>
              <w:rPr>
                <w:b/>
                <w:sz w:val="18"/>
              </w:rPr>
              <w:t>Execution</w:t>
            </w:r>
          </w:p>
          <w:p>
            <w:pPr>
              <w:pStyle w:val="TableParagraph"/>
              <w:spacing w:line="207" w:lineRule="exact"/>
              <w:rPr>
                <w:b/>
                <w:sz w:val="18"/>
              </w:rPr>
            </w:pPr>
            <w:r>
              <w:rPr>
                <w:b/>
                <w:w w:val="99"/>
                <w:sz w:val="18"/>
              </w:rPr>
              <w:t>#</w:t>
            </w:r>
          </w:p>
        </w:tc>
        <w:tc>
          <w:tcPr>
            <w:tcW w:w="2876" w:type="dxa"/>
            <w:gridSpan w:val="2"/>
            <w:shd w:val="clear" w:color="auto" w:fill="D9D9D9"/>
          </w:tcPr>
          <w:p>
            <w:pPr>
              <w:pStyle w:val="TableParagraph"/>
              <w:spacing w:line="203" w:lineRule="exact"/>
              <w:rPr>
                <w:b/>
                <w:sz w:val="18"/>
              </w:rPr>
            </w:pPr>
            <w:r>
              <w:rPr>
                <w:b/>
                <w:sz w:val="18"/>
              </w:rPr>
              <w:t>No. of Transmitted pkts</w:t>
            </w:r>
          </w:p>
        </w:tc>
        <w:tc>
          <w:tcPr>
            <w:tcW w:w="2941" w:type="dxa"/>
            <w:gridSpan w:val="2"/>
            <w:shd w:val="clear" w:color="auto" w:fill="D9D9D9"/>
          </w:tcPr>
          <w:p>
            <w:pPr>
              <w:pStyle w:val="TableParagraph"/>
              <w:spacing w:line="203" w:lineRule="exact"/>
              <w:rPr>
                <w:b/>
                <w:sz w:val="18"/>
              </w:rPr>
            </w:pPr>
            <w:r>
              <w:rPr>
                <w:b/>
                <w:sz w:val="18"/>
              </w:rPr>
              <w:t>No. of Received pkts</w:t>
            </w:r>
          </w:p>
        </w:tc>
        <w:tc>
          <w:tcPr>
            <w:tcW w:w="2424" w:type="dxa"/>
            <w:gridSpan w:val="2"/>
            <w:vMerge w:val="restart"/>
            <w:shd w:val="clear" w:color="auto" w:fill="D9D9D9"/>
          </w:tcPr>
          <w:p>
            <w:pPr>
              <w:pStyle w:val="TableParagraph"/>
              <w:tabs>
                <w:tab w:pos="678" w:val="left" w:leader="none"/>
                <w:tab w:pos="2153" w:val="left" w:leader="none"/>
              </w:tabs>
              <w:spacing w:line="240" w:lineRule="auto"/>
              <w:ind w:right="100"/>
              <w:rPr>
                <w:b/>
                <w:sz w:val="18"/>
              </w:rPr>
            </w:pPr>
            <w:r>
              <w:rPr>
                <w:b/>
                <w:sz w:val="18"/>
              </w:rPr>
              <w:t>PER</w:t>
              <w:tab/>
              <w:t>%  </w:t>
            </w:r>
            <w:r>
              <w:rPr>
                <w:b/>
                <w:spacing w:val="47"/>
                <w:sz w:val="18"/>
              </w:rPr>
              <w:t> </w:t>
            </w:r>
            <w:r>
              <w:rPr>
                <w:b/>
                <w:sz w:val="18"/>
              </w:rPr>
              <w:t>Calculated</w:t>
              <w:tab/>
              <w:t>at</w:t>
            </w:r>
            <w:r>
              <w:rPr>
                <w:b/>
                <w:w w:val="99"/>
                <w:sz w:val="18"/>
              </w:rPr>
              <w:t> </w:t>
            </w:r>
            <w:r>
              <w:rPr>
                <w:b/>
                <w:sz w:val="18"/>
              </w:rPr>
              <w:t>Receiver (Device</w:t>
            </w:r>
            <w:r>
              <w:rPr>
                <w:b/>
                <w:spacing w:val="-5"/>
                <w:sz w:val="18"/>
              </w:rPr>
              <w:t> </w:t>
            </w:r>
            <w:r>
              <w:rPr>
                <w:b/>
                <w:sz w:val="18"/>
              </w:rPr>
              <w:t>3)</w:t>
            </w:r>
          </w:p>
        </w:tc>
      </w:tr>
      <w:tr>
        <w:trPr>
          <w:trHeight w:val="521" w:hRule="exact"/>
        </w:trPr>
        <w:tc>
          <w:tcPr>
            <w:tcW w:w="1111" w:type="dxa"/>
            <w:vMerge/>
            <w:shd w:val="clear" w:color="auto" w:fill="D9D9D9"/>
          </w:tcPr>
          <w:p>
            <w:pPr/>
          </w:p>
        </w:tc>
        <w:tc>
          <w:tcPr>
            <w:tcW w:w="2876" w:type="dxa"/>
            <w:gridSpan w:val="2"/>
            <w:shd w:val="clear" w:color="auto" w:fill="D9D9D9"/>
          </w:tcPr>
          <w:p>
            <w:pPr>
              <w:pStyle w:val="TableParagraph"/>
              <w:spacing w:line="201" w:lineRule="exact"/>
              <w:rPr>
                <w:b/>
                <w:sz w:val="18"/>
              </w:rPr>
            </w:pPr>
            <w:r>
              <w:rPr>
                <w:b/>
                <w:sz w:val="18"/>
              </w:rPr>
              <w:t>(total for the 10 min test)</w:t>
            </w:r>
          </w:p>
        </w:tc>
        <w:tc>
          <w:tcPr>
            <w:tcW w:w="2941" w:type="dxa"/>
            <w:gridSpan w:val="2"/>
            <w:shd w:val="clear" w:color="auto" w:fill="D9D9D9"/>
          </w:tcPr>
          <w:p>
            <w:pPr>
              <w:pStyle w:val="TableParagraph"/>
              <w:spacing w:line="201" w:lineRule="exact"/>
              <w:rPr>
                <w:b/>
                <w:sz w:val="18"/>
              </w:rPr>
            </w:pPr>
            <w:r>
              <w:rPr>
                <w:b/>
                <w:sz w:val="18"/>
              </w:rPr>
              <w:t>(total for the 10-min test)</w:t>
            </w:r>
          </w:p>
        </w:tc>
        <w:tc>
          <w:tcPr>
            <w:tcW w:w="2424" w:type="dxa"/>
            <w:gridSpan w:val="2"/>
            <w:vMerge/>
            <w:shd w:val="clear" w:color="auto" w:fill="D9D9D9"/>
          </w:tcPr>
          <w:p>
            <w:pPr/>
          </w:p>
        </w:tc>
      </w:tr>
      <w:tr>
        <w:trPr>
          <w:trHeight w:val="914" w:hRule="exact"/>
        </w:trPr>
        <w:tc>
          <w:tcPr>
            <w:tcW w:w="1111" w:type="dxa"/>
            <w:vMerge/>
            <w:shd w:val="clear" w:color="auto" w:fill="D9D9D9"/>
          </w:tcPr>
          <w:p>
            <w:pPr/>
          </w:p>
        </w:tc>
        <w:tc>
          <w:tcPr>
            <w:tcW w:w="1496" w:type="dxa"/>
            <w:shd w:val="clear" w:color="auto" w:fill="D9D9D9"/>
          </w:tcPr>
          <w:p>
            <w:pPr>
              <w:pStyle w:val="TableParagraph"/>
              <w:spacing w:line="240" w:lineRule="auto"/>
              <w:ind w:right="603"/>
              <w:rPr>
                <w:b/>
                <w:sz w:val="18"/>
              </w:rPr>
            </w:pPr>
            <w:r>
              <w:rPr>
                <w:b/>
                <w:sz w:val="18"/>
              </w:rPr>
              <w:t>Transmit Device 1</w:t>
            </w:r>
          </w:p>
        </w:tc>
        <w:tc>
          <w:tcPr>
            <w:tcW w:w="1380" w:type="dxa"/>
            <w:shd w:val="clear" w:color="auto" w:fill="D9D9D9"/>
          </w:tcPr>
          <w:p>
            <w:pPr>
              <w:pStyle w:val="TableParagraph"/>
              <w:spacing w:line="240" w:lineRule="auto"/>
              <w:ind w:right="487"/>
              <w:rPr>
                <w:b/>
                <w:sz w:val="18"/>
              </w:rPr>
            </w:pPr>
            <w:r>
              <w:rPr>
                <w:b/>
                <w:sz w:val="18"/>
              </w:rPr>
              <w:t>Transmit Device 2</w:t>
            </w:r>
          </w:p>
        </w:tc>
        <w:tc>
          <w:tcPr>
            <w:tcW w:w="1500" w:type="dxa"/>
            <w:shd w:val="clear" w:color="auto" w:fill="D9D9D9"/>
          </w:tcPr>
          <w:p>
            <w:pPr>
              <w:pStyle w:val="TableParagraph"/>
              <w:tabs>
                <w:tab w:pos="1228" w:val="left" w:leader="none"/>
              </w:tabs>
              <w:spacing w:line="240" w:lineRule="auto"/>
              <w:ind w:right="100"/>
              <w:rPr>
                <w:b/>
                <w:sz w:val="18"/>
              </w:rPr>
            </w:pPr>
            <w:r>
              <w:rPr>
                <w:b/>
                <w:sz w:val="18"/>
              </w:rPr>
              <w:t>Received</w:t>
              <w:tab/>
              <w:t>at Device  3</w:t>
            </w:r>
            <w:r>
              <w:rPr>
                <w:b/>
                <w:spacing w:val="49"/>
                <w:sz w:val="18"/>
              </w:rPr>
              <w:t> </w:t>
            </w:r>
            <w:r>
              <w:rPr>
                <w:b/>
                <w:sz w:val="18"/>
              </w:rPr>
              <w:t>from</w:t>
            </w:r>
          </w:p>
          <w:p>
            <w:pPr>
              <w:pStyle w:val="TableParagraph"/>
              <w:spacing w:before="5"/>
              <w:rPr>
                <w:b/>
                <w:sz w:val="18"/>
              </w:rPr>
            </w:pPr>
            <w:r>
              <w:rPr>
                <w:b/>
                <w:sz w:val="18"/>
              </w:rPr>
              <w:t>Device 1</w:t>
            </w:r>
          </w:p>
        </w:tc>
        <w:tc>
          <w:tcPr>
            <w:tcW w:w="1441" w:type="dxa"/>
            <w:shd w:val="clear" w:color="auto" w:fill="D9D9D9"/>
          </w:tcPr>
          <w:p>
            <w:pPr>
              <w:pStyle w:val="TableParagraph"/>
              <w:tabs>
                <w:tab w:pos="1168" w:val="left" w:leader="none"/>
              </w:tabs>
              <w:spacing w:line="240" w:lineRule="auto"/>
              <w:ind w:right="100"/>
              <w:rPr>
                <w:b/>
                <w:sz w:val="18"/>
              </w:rPr>
            </w:pPr>
            <w:r>
              <w:rPr>
                <w:b/>
                <w:sz w:val="18"/>
              </w:rPr>
              <w:t>Received</w:t>
              <w:tab/>
              <w:t>at Device 3</w:t>
            </w:r>
            <w:r>
              <w:rPr>
                <w:b/>
                <w:spacing w:val="41"/>
                <w:sz w:val="18"/>
              </w:rPr>
              <w:t> </w:t>
            </w:r>
            <w:r>
              <w:rPr>
                <w:b/>
                <w:sz w:val="18"/>
              </w:rPr>
              <w:t>from</w:t>
            </w:r>
          </w:p>
          <w:p>
            <w:pPr>
              <w:pStyle w:val="TableParagraph"/>
              <w:spacing w:before="5"/>
              <w:rPr>
                <w:b/>
                <w:sz w:val="18"/>
              </w:rPr>
            </w:pPr>
            <w:r>
              <w:rPr>
                <w:b/>
                <w:sz w:val="18"/>
              </w:rPr>
              <w:t>Device 2</w:t>
            </w:r>
          </w:p>
        </w:tc>
        <w:tc>
          <w:tcPr>
            <w:tcW w:w="1260" w:type="dxa"/>
            <w:shd w:val="clear" w:color="auto" w:fill="D9D9D9"/>
          </w:tcPr>
          <w:p>
            <w:pPr>
              <w:pStyle w:val="TableParagraph"/>
              <w:spacing w:line="240" w:lineRule="auto"/>
              <w:ind w:right="396"/>
              <w:rPr>
                <w:b/>
                <w:sz w:val="18"/>
              </w:rPr>
            </w:pPr>
            <w:r>
              <w:rPr>
                <w:b/>
                <w:sz w:val="18"/>
              </w:rPr>
              <w:t>For Packets from Device 1</w:t>
            </w:r>
          </w:p>
        </w:tc>
        <w:tc>
          <w:tcPr>
            <w:tcW w:w="1164" w:type="dxa"/>
            <w:shd w:val="clear" w:color="auto" w:fill="D9D9D9"/>
          </w:tcPr>
          <w:p>
            <w:pPr>
              <w:pStyle w:val="TableParagraph"/>
              <w:spacing w:line="240" w:lineRule="auto"/>
              <w:ind w:right="301"/>
              <w:rPr>
                <w:b/>
                <w:sz w:val="18"/>
              </w:rPr>
            </w:pPr>
            <w:r>
              <w:rPr>
                <w:b/>
                <w:sz w:val="18"/>
              </w:rPr>
              <w:t>For Packets from Device 2</w:t>
            </w:r>
          </w:p>
        </w:tc>
      </w:tr>
      <w:tr>
        <w:trPr>
          <w:trHeight w:val="310" w:hRule="exact"/>
        </w:trPr>
        <w:tc>
          <w:tcPr>
            <w:tcW w:w="1111" w:type="dxa"/>
          </w:tcPr>
          <w:p>
            <w:pPr>
              <w:pStyle w:val="TableParagraph"/>
              <w:spacing w:line="201" w:lineRule="exact"/>
              <w:rPr>
                <w:b/>
                <w:sz w:val="18"/>
              </w:rPr>
            </w:pPr>
            <w:r>
              <w:rPr>
                <w:b/>
                <w:w w:val="99"/>
                <w:sz w:val="18"/>
              </w:rPr>
              <w:t>1</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5999</w:t>
            </w:r>
          </w:p>
        </w:tc>
        <w:tc>
          <w:tcPr>
            <w:tcW w:w="1441" w:type="dxa"/>
          </w:tcPr>
          <w:p>
            <w:pPr>
              <w:pStyle w:val="TableParagraph"/>
              <w:rPr>
                <w:sz w:val="18"/>
              </w:rPr>
            </w:pPr>
            <w:r>
              <w:rPr>
                <w:sz w:val="18"/>
              </w:rPr>
              <w:t>5998</w:t>
            </w:r>
          </w:p>
        </w:tc>
        <w:tc>
          <w:tcPr>
            <w:tcW w:w="1260" w:type="dxa"/>
          </w:tcPr>
          <w:p>
            <w:pPr>
              <w:pStyle w:val="TableParagraph"/>
              <w:rPr>
                <w:sz w:val="18"/>
              </w:rPr>
            </w:pPr>
            <w:r>
              <w:rPr>
                <w:sz w:val="18"/>
              </w:rPr>
              <w:t>0.02</w:t>
            </w:r>
          </w:p>
        </w:tc>
        <w:tc>
          <w:tcPr>
            <w:tcW w:w="1164" w:type="dxa"/>
          </w:tcPr>
          <w:p>
            <w:pPr>
              <w:pStyle w:val="TableParagraph"/>
              <w:rPr>
                <w:sz w:val="18"/>
              </w:rPr>
            </w:pPr>
            <w:r>
              <w:rPr>
                <w:sz w:val="18"/>
              </w:rPr>
              <w:t>0.03</w:t>
            </w:r>
          </w:p>
        </w:tc>
      </w:tr>
      <w:tr>
        <w:trPr>
          <w:trHeight w:val="310" w:hRule="exact"/>
        </w:trPr>
        <w:tc>
          <w:tcPr>
            <w:tcW w:w="1111" w:type="dxa"/>
          </w:tcPr>
          <w:p>
            <w:pPr>
              <w:pStyle w:val="TableParagraph"/>
              <w:spacing w:line="202" w:lineRule="exact"/>
              <w:rPr>
                <w:b/>
                <w:sz w:val="18"/>
              </w:rPr>
            </w:pPr>
            <w:r>
              <w:rPr>
                <w:b/>
                <w:w w:val="99"/>
                <w:sz w:val="18"/>
              </w:rPr>
              <w:t>2</w:t>
            </w:r>
          </w:p>
        </w:tc>
        <w:tc>
          <w:tcPr>
            <w:tcW w:w="1496" w:type="dxa"/>
          </w:tcPr>
          <w:p>
            <w:pPr>
              <w:pStyle w:val="TableParagraph"/>
              <w:spacing w:line="202" w:lineRule="exact"/>
              <w:rPr>
                <w:b/>
                <w:sz w:val="18"/>
              </w:rPr>
            </w:pPr>
            <w:r>
              <w:rPr>
                <w:b/>
                <w:sz w:val="18"/>
              </w:rPr>
              <w:t>6000</w:t>
            </w:r>
          </w:p>
        </w:tc>
        <w:tc>
          <w:tcPr>
            <w:tcW w:w="1380" w:type="dxa"/>
          </w:tcPr>
          <w:p>
            <w:pPr>
              <w:pStyle w:val="TableParagraph"/>
              <w:spacing w:line="202" w:lineRule="exact"/>
              <w:rPr>
                <w:b/>
                <w:sz w:val="18"/>
              </w:rPr>
            </w:pPr>
            <w:r>
              <w:rPr>
                <w:b/>
                <w:sz w:val="18"/>
              </w:rPr>
              <w:t>6000</w:t>
            </w:r>
          </w:p>
        </w:tc>
        <w:tc>
          <w:tcPr>
            <w:tcW w:w="1500" w:type="dxa"/>
          </w:tcPr>
          <w:p>
            <w:pPr>
              <w:pStyle w:val="TableParagraph"/>
              <w:spacing w:line="207" w:lineRule="exact"/>
              <w:rPr>
                <w:sz w:val="18"/>
              </w:rPr>
            </w:pPr>
            <w:r>
              <w:rPr>
                <w:sz w:val="18"/>
              </w:rPr>
              <w:t>5995</w:t>
            </w:r>
          </w:p>
        </w:tc>
        <w:tc>
          <w:tcPr>
            <w:tcW w:w="1441" w:type="dxa"/>
          </w:tcPr>
          <w:p>
            <w:pPr>
              <w:pStyle w:val="TableParagraph"/>
              <w:spacing w:line="207" w:lineRule="exact"/>
              <w:rPr>
                <w:sz w:val="18"/>
              </w:rPr>
            </w:pPr>
            <w:r>
              <w:rPr>
                <w:sz w:val="18"/>
              </w:rPr>
              <w:t>5994</w:t>
            </w:r>
          </w:p>
        </w:tc>
        <w:tc>
          <w:tcPr>
            <w:tcW w:w="1260" w:type="dxa"/>
          </w:tcPr>
          <w:p>
            <w:pPr>
              <w:pStyle w:val="TableParagraph"/>
              <w:spacing w:line="207" w:lineRule="exact"/>
              <w:rPr>
                <w:sz w:val="18"/>
              </w:rPr>
            </w:pPr>
            <w:r>
              <w:rPr>
                <w:sz w:val="18"/>
              </w:rPr>
              <w:t>0.08</w:t>
            </w:r>
          </w:p>
        </w:tc>
        <w:tc>
          <w:tcPr>
            <w:tcW w:w="1164" w:type="dxa"/>
          </w:tcPr>
          <w:p>
            <w:pPr>
              <w:pStyle w:val="TableParagraph"/>
              <w:spacing w:line="207" w:lineRule="exact"/>
              <w:rPr>
                <w:sz w:val="18"/>
              </w:rPr>
            </w:pPr>
            <w:r>
              <w:rPr>
                <w:sz w:val="18"/>
              </w:rPr>
              <w:t>0.10</w:t>
            </w:r>
          </w:p>
        </w:tc>
      </w:tr>
      <w:tr>
        <w:trPr>
          <w:trHeight w:val="310" w:hRule="exact"/>
        </w:trPr>
        <w:tc>
          <w:tcPr>
            <w:tcW w:w="1111" w:type="dxa"/>
          </w:tcPr>
          <w:p>
            <w:pPr>
              <w:pStyle w:val="TableParagraph"/>
              <w:spacing w:line="201" w:lineRule="exact"/>
              <w:rPr>
                <w:b/>
                <w:sz w:val="18"/>
              </w:rPr>
            </w:pPr>
            <w:r>
              <w:rPr>
                <w:b/>
                <w:w w:val="99"/>
                <w:sz w:val="18"/>
              </w:rPr>
              <w:t>3</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6000</w:t>
            </w:r>
          </w:p>
        </w:tc>
        <w:tc>
          <w:tcPr>
            <w:tcW w:w="1441" w:type="dxa"/>
          </w:tcPr>
          <w:p>
            <w:pPr>
              <w:pStyle w:val="TableParagraph"/>
              <w:rPr>
                <w:sz w:val="18"/>
              </w:rPr>
            </w:pPr>
            <w:r>
              <w:rPr>
                <w:sz w:val="18"/>
              </w:rPr>
              <w:t>6000</w:t>
            </w:r>
          </w:p>
        </w:tc>
        <w:tc>
          <w:tcPr>
            <w:tcW w:w="1260" w:type="dxa"/>
          </w:tcPr>
          <w:p>
            <w:pPr>
              <w:pStyle w:val="TableParagraph"/>
              <w:rPr>
                <w:sz w:val="18"/>
              </w:rPr>
            </w:pPr>
            <w:r>
              <w:rPr>
                <w:sz w:val="18"/>
              </w:rPr>
              <w:t>0.00</w:t>
            </w:r>
          </w:p>
        </w:tc>
        <w:tc>
          <w:tcPr>
            <w:tcW w:w="1164" w:type="dxa"/>
          </w:tcPr>
          <w:p>
            <w:pPr>
              <w:pStyle w:val="TableParagraph"/>
              <w:rPr>
                <w:sz w:val="18"/>
              </w:rPr>
            </w:pPr>
            <w:r>
              <w:rPr>
                <w:sz w:val="18"/>
              </w:rPr>
              <w:t>0.00</w:t>
            </w:r>
          </w:p>
        </w:tc>
      </w:tr>
      <w:tr>
        <w:trPr>
          <w:trHeight w:val="312" w:hRule="exact"/>
        </w:trPr>
        <w:tc>
          <w:tcPr>
            <w:tcW w:w="1111" w:type="dxa"/>
          </w:tcPr>
          <w:p>
            <w:pPr>
              <w:pStyle w:val="TableParagraph"/>
              <w:spacing w:line="204" w:lineRule="exact"/>
              <w:rPr>
                <w:b/>
                <w:sz w:val="18"/>
              </w:rPr>
            </w:pPr>
            <w:r>
              <w:rPr>
                <w:b/>
                <w:w w:val="99"/>
                <w:sz w:val="18"/>
              </w:rPr>
              <w:t>4</w:t>
            </w:r>
          </w:p>
        </w:tc>
        <w:tc>
          <w:tcPr>
            <w:tcW w:w="1496" w:type="dxa"/>
          </w:tcPr>
          <w:p>
            <w:pPr>
              <w:pStyle w:val="TableParagraph"/>
              <w:spacing w:line="204" w:lineRule="exact"/>
              <w:rPr>
                <w:b/>
                <w:sz w:val="18"/>
              </w:rPr>
            </w:pPr>
            <w:r>
              <w:rPr>
                <w:b/>
                <w:sz w:val="18"/>
              </w:rPr>
              <w:t>6000</w:t>
            </w:r>
          </w:p>
        </w:tc>
        <w:tc>
          <w:tcPr>
            <w:tcW w:w="1380" w:type="dxa"/>
          </w:tcPr>
          <w:p>
            <w:pPr>
              <w:pStyle w:val="TableParagraph"/>
              <w:spacing w:line="204" w:lineRule="exact"/>
              <w:rPr>
                <w:b/>
                <w:sz w:val="18"/>
              </w:rPr>
            </w:pPr>
            <w:r>
              <w:rPr>
                <w:b/>
                <w:sz w:val="18"/>
              </w:rPr>
              <w:t>6000</w:t>
            </w:r>
          </w:p>
        </w:tc>
        <w:tc>
          <w:tcPr>
            <w:tcW w:w="1500" w:type="dxa"/>
          </w:tcPr>
          <w:p>
            <w:pPr>
              <w:pStyle w:val="TableParagraph"/>
              <w:spacing w:line="240" w:lineRule="auto" w:before="1"/>
              <w:rPr>
                <w:sz w:val="18"/>
              </w:rPr>
            </w:pPr>
            <w:r>
              <w:rPr>
                <w:sz w:val="18"/>
              </w:rPr>
              <w:t>5998</w:t>
            </w:r>
          </w:p>
        </w:tc>
        <w:tc>
          <w:tcPr>
            <w:tcW w:w="1441" w:type="dxa"/>
          </w:tcPr>
          <w:p>
            <w:pPr>
              <w:pStyle w:val="TableParagraph"/>
              <w:spacing w:line="240" w:lineRule="auto" w:before="1"/>
              <w:rPr>
                <w:sz w:val="18"/>
              </w:rPr>
            </w:pPr>
            <w:r>
              <w:rPr>
                <w:sz w:val="18"/>
              </w:rPr>
              <w:t>5999</w:t>
            </w:r>
          </w:p>
        </w:tc>
        <w:tc>
          <w:tcPr>
            <w:tcW w:w="1260" w:type="dxa"/>
          </w:tcPr>
          <w:p>
            <w:pPr>
              <w:pStyle w:val="TableParagraph"/>
              <w:spacing w:line="240" w:lineRule="auto" w:before="1"/>
              <w:rPr>
                <w:sz w:val="18"/>
              </w:rPr>
            </w:pPr>
            <w:r>
              <w:rPr>
                <w:sz w:val="18"/>
              </w:rPr>
              <w:t>0.03</w:t>
            </w:r>
          </w:p>
        </w:tc>
        <w:tc>
          <w:tcPr>
            <w:tcW w:w="1164" w:type="dxa"/>
          </w:tcPr>
          <w:p>
            <w:pPr>
              <w:pStyle w:val="TableParagraph"/>
              <w:spacing w:line="240" w:lineRule="auto" w:before="1"/>
              <w:rPr>
                <w:sz w:val="18"/>
              </w:rPr>
            </w:pPr>
            <w:r>
              <w:rPr>
                <w:sz w:val="18"/>
              </w:rPr>
              <w:t>0.02</w:t>
            </w:r>
          </w:p>
        </w:tc>
      </w:tr>
      <w:tr>
        <w:trPr>
          <w:trHeight w:val="310" w:hRule="exact"/>
        </w:trPr>
        <w:tc>
          <w:tcPr>
            <w:tcW w:w="1111" w:type="dxa"/>
          </w:tcPr>
          <w:p>
            <w:pPr>
              <w:pStyle w:val="TableParagraph"/>
              <w:spacing w:line="201" w:lineRule="exact"/>
              <w:rPr>
                <w:b/>
                <w:sz w:val="18"/>
              </w:rPr>
            </w:pPr>
            <w:r>
              <w:rPr>
                <w:b/>
                <w:w w:val="99"/>
                <w:sz w:val="18"/>
              </w:rPr>
              <w:t>5</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6000</w:t>
            </w:r>
          </w:p>
        </w:tc>
        <w:tc>
          <w:tcPr>
            <w:tcW w:w="1441" w:type="dxa"/>
          </w:tcPr>
          <w:p>
            <w:pPr>
              <w:pStyle w:val="TableParagraph"/>
              <w:rPr>
                <w:sz w:val="18"/>
              </w:rPr>
            </w:pPr>
            <w:r>
              <w:rPr>
                <w:sz w:val="18"/>
              </w:rPr>
              <w:t>5999</w:t>
            </w:r>
          </w:p>
        </w:tc>
        <w:tc>
          <w:tcPr>
            <w:tcW w:w="1260" w:type="dxa"/>
          </w:tcPr>
          <w:p>
            <w:pPr>
              <w:pStyle w:val="TableParagraph"/>
              <w:rPr>
                <w:sz w:val="18"/>
              </w:rPr>
            </w:pPr>
            <w:r>
              <w:rPr>
                <w:sz w:val="18"/>
              </w:rPr>
              <w:t>0.00</w:t>
            </w:r>
          </w:p>
        </w:tc>
        <w:tc>
          <w:tcPr>
            <w:tcW w:w="1164" w:type="dxa"/>
          </w:tcPr>
          <w:p>
            <w:pPr>
              <w:pStyle w:val="TableParagraph"/>
              <w:rPr>
                <w:sz w:val="18"/>
              </w:rPr>
            </w:pPr>
            <w:r>
              <w:rPr>
                <w:sz w:val="18"/>
              </w:rPr>
              <w:t>0.02</w:t>
            </w:r>
          </w:p>
        </w:tc>
      </w:tr>
      <w:tr>
        <w:trPr>
          <w:trHeight w:val="310" w:hRule="exact"/>
        </w:trPr>
        <w:tc>
          <w:tcPr>
            <w:tcW w:w="1111" w:type="dxa"/>
          </w:tcPr>
          <w:p>
            <w:pPr>
              <w:pStyle w:val="TableParagraph"/>
              <w:spacing w:line="201" w:lineRule="exact"/>
              <w:rPr>
                <w:b/>
                <w:sz w:val="18"/>
              </w:rPr>
            </w:pPr>
            <w:r>
              <w:rPr>
                <w:b/>
                <w:w w:val="99"/>
                <w:sz w:val="18"/>
              </w:rPr>
              <w:t>6</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5998</w:t>
            </w:r>
          </w:p>
        </w:tc>
        <w:tc>
          <w:tcPr>
            <w:tcW w:w="1441" w:type="dxa"/>
          </w:tcPr>
          <w:p>
            <w:pPr>
              <w:pStyle w:val="TableParagraph"/>
              <w:rPr>
                <w:sz w:val="18"/>
              </w:rPr>
            </w:pPr>
            <w:r>
              <w:rPr>
                <w:sz w:val="18"/>
              </w:rPr>
              <w:t>5999</w:t>
            </w:r>
          </w:p>
        </w:tc>
        <w:tc>
          <w:tcPr>
            <w:tcW w:w="1260" w:type="dxa"/>
          </w:tcPr>
          <w:p>
            <w:pPr>
              <w:pStyle w:val="TableParagraph"/>
              <w:rPr>
                <w:sz w:val="18"/>
              </w:rPr>
            </w:pPr>
            <w:r>
              <w:rPr>
                <w:sz w:val="18"/>
              </w:rPr>
              <w:t>0.03</w:t>
            </w:r>
          </w:p>
        </w:tc>
        <w:tc>
          <w:tcPr>
            <w:tcW w:w="1164" w:type="dxa"/>
          </w:tcPr>
          <w:p>
            <w:pPr>
              <w:pStyle w:val="TableParagraph"/>
              <w:rPr>
                <w:sz w:val="18"/>
              </w:rPr>
            </w:pPr>
            <w:r>
              <w:rPr>
                <w:sz w:val="18"/>
              </w:rPr>
              <w:t>0.02</w:t>
            </w:r>
          </w:p>
        </w:tc>
      </w:tr>
      <w:tr>
        <w:trPr>
          <w:trHeight w:val="310" w:hRule="exact"/>
        </w:trPr>
        <w:tc>
          <w:tcPr>
            <w:tcW w:w="1111" w:type="dxa"/>
          </w:tcPr>
          <w:p>
            <w:pPr>
              <w:pStyle w:val="TableParagraph"/>
              <w:spacing w:line="201" w:lineRule="exact"/>
              <w:rPr>
                <w:b/>
                <w:sz w:val="18"/>
              </w:rPr>
            </w:pPr>
            <w:r>
              <w:rPr>
                <w:b/>
                <w:w w:val="99"/>
                <w:sz w:val="18"/>
              </w:rPr>
              <w:t>7</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5996</w:t>
            </w:r>
          </w:p>
        </w:tc>
        <w:tc>
          <w:tcPr>
            <w:tcW w:w="1441" w:type="dxa"/>
          </w:tcPr>
          <w:p>
            <w:pPr>
              <w:pStyle w:val="TableParagraph"/>
              <w:rPr>
                <w:sz w:val="18"/>
              </w:rPr>
            </w:pPr>
            <w:r>
              <w:rPr>
                <w:sz w:val="18"/>
              </w:rPr>
              <w:t>5997</w:t>
            </w:r>
          </w:p>
        </w:tc>
        <w:tc>
          <w:tcPr>
            <w:tcW w:w="1260" w:type="dxa"/>
          </w:tcPr>
          <w:p>
            <w:pPr>
              <w:pStyle w:val="TableParagraph"/>
              <w:rPr>
                <w:sz w:val="18"/>
              </w:rPr>
            </w:pPr>
            <w:r>
              <w:rPr>
                <w:sz w:val="18"/>
              </w:rPr>
              <w:t>0.07</w:t>
            </w:r>
          </w:p>
        </w:tc>
        <w:tc>
          <w:tcPr>
            <w:tcW w:w="1164" w:type="dxa"/>
          </w:tcPr>
          <w:p>
            <w:pPr>
              <w:pStyle w:val="TableParagraph"/>
              <w:rPr>
                <w:sz w:val="18"/>
              </w:rPr>
            </w:pPr>
            <w:r>
              <w:rPr>
                <w:sz w:val="18"/>
              </w:rPr>
              <w:t>0.05</w:t>
            </w:r>
          </w:p>
        </w:tc>
      </w:tr>
      <w:tr>
        <w:trPr>
          <w:trHeight w:val="310" w:hRule="exact"/>
        </w:trPr>
        <w:tc>
          <w:tcPr>
            <w:tcW w:w="1111" w:type="dxa"/>
          </w:tcPr>
          <w:p>
            <w:pPr>
              <w:pStyle w:val="TableParagraph"/>
              <w:spacing w:line="201" w:lineRule="exact"/>
              <w:rPr>
                <w:b/>
                <w:sz w:val="18"/>
              </w:rPr>
            </w:pPr>
            <w:r>
              <w:rPr>
                <w:b/>
                <w:w w:val="99"/>
                <w:sz w:val="18"/>
              </w:rPr>
              <w:t>8</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6000</w:t>
            </w:r>
          </w:p>
        </w:tc>
        <w:tc>
          <w:tcPr>
            <w:tcW w:w="1441" w:type="dxa"/>
          </w:tcPr>
          <w:p>
            <w:pPr>
              <w:pStyle w:val="TableParagraph"/>
              <w:rPr>
                <w:sz w:val="18"/>
              </w:rPr>
            </w:pPr>
            <w:r>
              <w:rPr>
                <w:sz w:val="18"/>
              </w:rPr>
              <w:t>6000</w:t>
            </w:r>
          </w:p>
        </w:tc>
        <w:tc>
          <w:tcPr>
            <w:tcW w:w="1260" w:type="dxa"/>
          </w:tcPr>
          <w:p>
            <w:pPr>
              <w:pStyle w:val="TableParagraph"/>
              <w:rPr>
                <w:sz w:val="18"/>
              </w:rPr>
            </w:pPr>
            <w:r>
              <w:rPr>
                <w:sz w:val="18"/>
              </w:rPr>
              <w:t>0.00</w:t>
            </w:r>
          </w:p>
        </w:tc>
        <w:tc>
          <w:tcPr>
            <w:tcW w:w="1164" w:type="dxa"/>
          </w:tcPr>
          <w:p>
            <w:pPr>
              <w:pStyle w:val="TableParagraph"/>
              <w:rPr>
                <w:sz w:val="18"/>
              </w:rPr>
            </w:pPr>
            <w:r>
              <w:rPr>
                <w:sz w:val="18"/>
              </w:rPr>
              <w:t>0.00</w:t>
            </w:r>
          </w:p>
        </w:tc>
      </w:tr>
      <w:tr>
        <w:trPr>
          <w:trHeight w:val="310" w:hRule="exact"/>
        </w:trPr>
        <w:tc>
          <w:tcPr>
            <w:tcW w:w="1111" w:type="dxa"/>
          </w:tcPr>
          <w:p>
            <w:pPr>
              <w:pStyle w:val="TableParagraph"/>
              <w:spacing w:line="201" w:lineRule="exact"/>
              <w:rPr>
                <w:b/>
                <w:sz w:val="18"/>
              </w:rPr>
            </w:pPr>
            <w:r>
              <w:rPr>
                <w:b/>
                <w:w w:val="99"/>
                <w:sz w:val="18"/>
              </w:rPr>
              <w:t>9</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5999</w:t>
            </w:r>
          </w:p>
        </w:tc>
        <w:tc>
          <w:tcPr>
            <w:tcW w:w="1441" w:type="dxa"/>
          </w:tcPr>
          <w:p>
            <w:pPr>
              <w:pStyle w:val="TableParagraph"/>
              <w:rPr>
                <w:sz w:val="18"/>
              </w:rPr>
            </w:pPr>
            <w:r>
              <w:rPr>
                <w:sz w:val="18"/>
              </w:rPr>
              <w:t>6000</w:t>
            </w:r>
          </w:p>
        </w:tc>
        <w:tc>
          <w:tcPr>
            <w:tcW w:w="1260" w:type="dxa"/>
          </w:tcPr>
          <w:p>
            <w:pPr>
              <w:pStyle w:val="TableParagraph"/>
              <w:rPr>
                <w:sz w:val="18"/>
              </w:rPr>
            </w:pPr>
            <w:r>
              <w:rPr>
                <w:sz w:val="18"/>
              </w:rPr>
              <w:t>0.02</w:t>
            </w:r>
          </w:p>
        </w:tc>
        <w:tc>
          <w:tcPr>
            <w:tcW w:w="1164" w:type="dxa"/>
          </w:tcPr>
          <w:p>
            <w:pPr>
              <w:pStyle w:val="TableParagraph"/>
              <w:rPr>
                <w:sz w:val="18"/>
              </w:rPr>
            </w:pPr>
            <w:r>
              <w:rPr>
                <w:sz w:val="18"/>
              </w:rPr>
              <w:t>0.00</w:t>
            </w:r>
          </w:p>
        </w:tc>
      </w:tr>
      <w:tr>
        <w:trPr>
          <w:trHeight w:val="312" w:hRule="exact"/>
        </w:trPr>
        <w:tc>
          <w:tcPr>
            <w:tcW w:w="1111" w:type="dxa"/>
          </w:tcPr>
          <w:p>
            <w:pPr>
              <w:pStyle w:val="TableParagraph"/>
              <w:spacing w:line="204" w:lineRule="exact"/>
              <w:rPr>
                <w:b/>
                <w:sz w:val="18"/>
              </w:rPr>
            </w:pPr>
            <w:r>
              <w:rPr>
                <w:b/>
                <w:sz w:val="18"/>
              </w:rPr>
              <w:t>10</w:t>
            </w:r>
          </w:p>
        </w:tc>
        <w:tc>
          <w:tcPr>
            <w:tcW w:w="1496" w:type="dxa"/>
          </w:tcPr>
          <w:p>
            <w:pPr>
              <w:pStyle w:val="TableParagraph"/>
              <w:spacing w:line="204" w:lineRule="exact"/>
              <w:rPr>
                <w:b/>
                <w:sz w:val="18"/>
              </w:rPr>
            </w:pPr>
            <w:r>
              <w:rPr>
                <w:b/>
                <w:sz w:val="18"/>
              </w:rPr>
              <w:t>6000</w:t>
            </w:r>
          </w:p>
        </w:tc>
        <w:tc>
          <w:tcPr>
            <w:tcW w:w="1380" w:type="dxa"/>
          </w:tcPr>
          <w:p>
            <w:pPr>
              <w:pStyle w:val="TableParagraph"/>
              <w:spacing w:line="204" w:lineRule="exact"/>
              <w:rPr>
                <w:b/>
                <w:sz w:val="18"/>
              </w:rPr>
            </w:pPr>
            <w:r>
              <w:rPr>
                <w:b/>
                <w:sz w:val="18"/>
              </w:rPr>
              <w:t>6000</w:t>
            </w:r>
          </w:p>
        </w:tc>
        <w:tc>
          <w:tcPr>
            <w:tcW w:w="1500" w:type="dxa"/>
          </w:tcPr>
          <w:p>
            <w:pPr>
              <w:pStyle w:val="TableParagraph"/>
              <w:spacing w:line="240" w:lineRule="auto" w:before="1"/>
              <w:rPr>
                <w:sz w:val="18"/>
              </w:rPr>
            </w:pPr>
            <w:r>
              <w:rPr>
                <w:sz w:val="18"/>
              </w:rPr>
              <w:t>6000</w:t>
            </w:r>
          </w:p>
        </w:tc>
        <w:tc>
          <w:tcPr>
            <w:tcW w:w="1441" w:type="dxa"/>
          </w:tcPr>
          <w:p>
            <w:pPr>
              <w:pStyle w:val="TableParagraph"/>
              <w:spacing w:line="240" w:lineRule="auto" w:before="1"/>
              <w:rPr>
                <w:sz w:val="18"/>
              </w:rPr>
            </w:pPr>
            <w:r>
              <w:rPr>
                <w:sz w:val="18"/>
              </w:rPr>
              <w:t>6000</w:t>
            </w:r>
          </w:p>
        </w:tc>
        <w:tc>
          <w:tcPr>
            <w:tcW w:w="1260" w:type="dxa"/>
          </w:tcPr>
          <w:p>
            <w:pPr>
              <w:pStyle w:val="TableParagraph"/>
              <w:spacing w:line="240" w:lineRule="auto" w:before="1"/>
              <w:rPr>
                <w:sz w:val="18"/>
              </w:rPr>
            </w:pPr>
            <w:r>
              <w:rPr>
                <w:sz w:val="18"/>
              </w:rPr>
              <w:t>0.00</w:t>
            </w:r>
          </w:p>
        </w:tc>
        <w:tc>
          <w:tcPr>
            <w:tcW w:w="1164" w:type="dxa"/>
          </w:tcPr>
          <w:p>
            <w:pPr>
              <w:pStyle w:val="TableParagraph"/>
              <w:spacing w:line="240" w:lineRule="auto" w:before="1"/>
              <w:rPr>
                <w:sz w:val="18"/>
              </w:rPr>
            </w:pPr>
            <w:r>
              <w:rPr>
                <w:sz w:val="18"/>
              </w:rPr>
              <w:t>0.00</w:t>
            </w:r>
          </w:p>
        </w:tc>
      </w:tr>
      <w:tr>
        <w:trPr>
          <w:trHeight w:val="509" w:hRule="exact"/>
        </w:trPr>
        <w:tc>
          <w:tcPr>
            <w:tcW w:w="2607" w:type="dxa"/>
            <w:gridSpan w:val="2"/>
          </w:tcPr>
          <w:p>
            <w:pPr>
              <w:pStyle w:val="TableParagraph"/>
              <w:spacing w:line="240" w:lineRule="auto"/>
              <w:rPr>
                <w:b/>
                <w:sz w:val="18"/>
              </w:rPr>
            </w:pPr>
            <w:r>
              <w:rPr>
                <w:b/>
                <w:sz w:val="18"/>
              </w:rPr>
              <w:t>Measured Insertion Loss, Device 1 to Device 3 (dB)</w:t>
            </w:r>
          </w:p>
        </w:tc>
        <w:tc>
          <w:tcPr>
            <w:tcW w:w="2880" w:type="dxa"/>
            <w:gridSpan w:val="2"/>
          </w:tcPr>
          <w:p>
            <w:pPr>
              <w:pStyle w:val="TableParagraph"/>
              <w:spacing w:line="201" w:lineRule="exact"/>
              <w:rPr>
                <w:b/>
                <w:sz w:val="18"/>
              </w:rPr>
            </w:pPr>
            <w:r>
              <w:rPr>
                <w:b/>
                <w:sz w:val="18"/>
              </w:rPr>
              <w:t>37</w:t>
            </w:r>
          </w:p>
        </w:tc>
        <w:tc>
          <w:tcPr>
            <w:tcW w:w="1441" w:type="dxa"/>
          </w:tcPr>
          <w:p>
            <w:pPr>
              <w:pStyle w:val="TableParagraph"/>
              <w:tabs>
                <w:tab w:pos="1225" w:val="left" w:leader="none"/>
              </w:tabs>
              <w:spacing w:line="240" w:lineRule="auto"/>
              <w:ind w:right="103"/>
              <w:rPr>
                <w:b/>
                <w:sz w:val="18"/>
              </w:rPr>
            </w:pPr>
            <w:r>
              <w:rPr>
                <w:b/>
                <w:sz w:val="18"/>
              </w:rPr>
              <w:t>Attenuator</w:t>
              <w:tab/>
              <w:t>1 Value (dB)</w:t>
            </w:r>
          </w:p>
        </w:tc>
        <w:tc>
          <w:tcPr>
            <w:tcW w:w="2424" w:type="dxa"/>
            <w:gridSpan w:val="2"/>
          </w:tcPr>
          <w:p>
            <w:pPr>
              <w:pStyle w:val="TableParagraph"/>
              <w:spacing w:line="201" w:lineRule="exact"/>
              <w:rPr>
                <w:b/>
                <w:sz w:val="18"/>
              </w:rPr>
            </w:pPr>
            <w:r>
              <w:rPr>
                <w:b/>
                <w:sz w:val="18"/>
              </w:rPr>
              <w:t>50</w:t>
            </w:r>
          </w:p>
        </w:tc>
      </w:tr>
      <w:tr>
        <w:trPr>
          <w:trHeight w:val="564" w:hRule="exact"/>
        </w:trPr>
        <w:tc>
          <w:tcPr>
            <w:tcW w:w="2607" w:type="dxa"/>
            <w:gridSpan w:val="2"/>
          </w:tcPr>
          <w:p>
            <w:pPr>
              <w:pStyle w:val="TableParagraph"/>
              <w:spacing w:line="242" w:lineRule="auto"/>
              <w:rPr>
                <w:b/>
                <w:sz w:val="18"/>
              </w:rPr>
            </w:pPr>
            <w:r>
              <w:rPr>
                <w:b/>
                <w:sz w:val="18"/>
              </w:rPr>
              <w:t>Measured Insertion Loss, Device 2 to Device 3 (dB)</w:t>
            </w:r>
          </w:p>
        </w:tc>
        <w:tc>
          <w:tcPr>
            <w:tcW w:w="2880" w:type="dxa"/>
            <w:gridSpan w:val="2"/>
          </w:tcPr>
          <w:p>
            <w:pPr>
              <w:pStyle w:val="TableParagraph"/>
              <w:spacing w:line="202" w:lineRule="exact"/>
              <w:rPr>
                <w:b/>
                <w:sz w:val="18"/>
              </w:rPr>
            </w:pPr>
            <w:r>
              <w:rPr>
                <w:b/>
                <w:sz w:val="18"/>
              </w:rPr>
              <w:t>37</w:t>
            </w:r>
          </w:p>
        </w:tc>
        <w:tc>
          <w:tcPr>
            <w:tcW w:w="1441" w:type="dxa"/>
          </w:tcPr>
          <w:p>
            <w:pPr>
              <w:pStyle w:val="TableParagraph"/>
              <w:tabs>
                <w:tab w:pos="1225" w:val="left" w:leader="none"/>
              </w:tabs>
              <w:spacing w:line="242" w:lineRule="auto"/>
              <w:ind w:right="103"/>
              <w:rPr>
                <w:b/>
                <w:sz w:val="18"/>
              </w:rPr>
            </w:pPr>
            <w:r>
              <w:rPr>
                <w:b/>
                <w:sz w:val="18"/>
              </w:rPr>
              <w:t>Attenuator</w:t>
              <w:tab/>
              <w:t>2 Value (dB)</w:t>
            </w:r>
          </w:p>
        </w:tc>
        <w:tc>
          <w:tcPr>
            <w:tcW w:w="2424" w:type="dxa"/>
            <w:gridSpan w:val="2"/>
          </w:tcPr>
          <w:p>
            <w:pPr>
              <w:pStyle w:val="TableParagraph"/>
              <w:spacing w:line="202" w:lineRule="exact"/>
              <w:rPr>
                <w:b/>
                <w:sz w:val="18"/>
              </w:rPr>
            </w:pPr>
            <w:r>
              <w:rPr>
                <w:b/>
                <w:sz w:val="18"/>
              </w:rPr>
              <w:t>50</w:t>
            </w:r>
          </w:p>
        </w:tc>
      </w:tr>
    </w:tbl>
    <w:p>
      <w:pPr>
        <w:spacing w:after="0" w:line="202" w:lineRule="exact"/>
        <w:rPr>
          <w:sz w:val="18"/>
        </w:rPr>
        <w:sectPr>
          <w:headerReference w:type="default" r:id="rId283"/>
          <w:footerReference w:type="default" r:id="rId284"/>
          <w:pgSz w:w="11910" w:h="16850"/>
          <w:pgMar w:header="852" w:footer="979" w:top="1040" w:bottom="1160" w:left="0" w:right="0"/>
        </w:sectPr>
      </w:pPr>
    </w:p>
    <w:p>
      <w:pPr>
        <w:pStyle w:val="BodyText"/>
        <w:rPr>
          <w:b/>
          <w:sz w:val="23"/>
        </w:rPr>
      </w:pPr>
    </w:p>
    <w:p>
      <w:pPr>
        <w:pStyle w:val="Heading7"/>
        <w:spacing w:before="93"/>
      </w:pPr>
      <w:r>
        <w:rPr/>
        <w:t>Table 23: C-V2X Results with configuration 2 (with congesting devices)</w:t>
      </w:r>
    </w:p>
    <w:p>
      <w:pPr>
        <w:pStyle w:val="BodyText"/>
        <w:spacing w:before="2"/>
        <w:rPr>
          <w:b/>
          <w:sz w:val="16"/>
        </w:rPr>
      </w:pPr>
    </w:p>
    <w:tbl>
      <w:tblPr>
        <w:tblW w:w="0" w:type="auto"/>
        <w:jc w:val="left"/>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1"/>
        <w:gridCol w:w="1496"/>
        <w:gridCol w:w="1380"/>
        <w:gridCol w:w="1500"/>
        <w:gridCol w:w="1441"/>
        <w:gridCol w:w="1260"/>
        <w:gridCol w:w="1164"/>
      </w:tblGrid>
      <w:tr>
        <w:trPr>
          <w:trHeight w:val="520" w:hRule="exact"/>
        </w:trPr>
        <w:tc>
          <w:tcPr>
            <w:tcW w:w="1111" w:type="dxa"/>
            <w:vMerge w:val="restart"/>
            <w:shd w:val="clear" w:color="auto" w:fill="D9D9D9"/>
          </w:tcPr>
          <w:p>
            <w:pPr>
              <w:pStyle w:val="TableParagraph"/>
              <w:spacing w:line="201" w:lineRule="exact"/>
              <w:rPr>
                <w:b/>
                <w:sz w:val="18"/>
              </w:rPr>
            </w:pPr>
            <w:r>
              <w:rPr>
                <w:b/>
                <w:sz w:val="18"/>
              </w:rPr>
              <w:t>Execution</w:t>
            </w:r>
          </w:p>
          <w:p>
            <w:pPr>
              <w:pStyle w:val="TableParagraph"/>
              <w:spacing w:line="207" w:lineRule="exact"/>
              <w:rPr>
                <w:b/>
                <w:sz w:val="18"/>
              </w:rPr>
            </w:pPr>
            <w:r>
              <w:rPr>
                <w:b/>
                <w:w w:val="99"/>
                <w:sz w:val="18"/>
              </w:rPr>
              <w:t>#</w:t>
            </w:r>
          </w:p>
        </w:tc>
        <w:tc>
          <w:tcPr>
            <w:tcW w:w="2876" w:type="dxa"/>
            <w:gridSpan w:val="2"/>
            <w:shd w:val="clear" w:color="auto" w:fill="D9D9D9"/>
          </w:tcPr>
          <w:p>
            <w:pPr>
              <w:pStyle w:val="TableParagraph"/>
              <w:spacing w:line="201" w:lineRule="exact"/>
              <w:rPr>
                <w:b/>
                <w:sz w:val="18"/>
              </w:rPr>
            </w:pPr>
            <w:r>
              <w:rPr>
                <w:b/>
                <w:sz w:val="18"/>
              </w:rPr>
              <w:t>No. of Transmitted pkts</w:t>
            </w:r>
          </w:p>
        </w:tc>
        <w:tc>
          <w:tcPr>
            <w:tcW w:w="2941" w:type="dxa"/>
            <w:gridSpan w:val="2"/>
            <w:shd w:val="clear" w:color="auto" w:fill="D9D9D9"/>
          </w:tcPr>
          <w:p>
            <w:pPr>
              <w:pStyle w:val="TableParagraph"/>
              <w:spacing w:line="201" w:lineRule="exact"/>
              <w:rPr>
                <w:b/>
                <w:sz w:val="18"/>
              </w:rPr>
            </w:pPr>
            <w:r>
              <w:rPr>
                <w:b/>
                <w:sz w:val="18"/>
              </w:rPr>
              <w:t>No. of Received pkts</w:t>
            </w:r>
          </w:p>
        </w:tc>
        <w:tc>
          <w:tcPr>
            <w:tcW w:w="2424" w:type="dxa"/>
            <w:gridSpan w:val="2"/>
            <w:vMerge w:val="restart"/>
            <w:shd w:val="clear" w:color="auto" w:fill="D9D9D9"/>
          </w:tcPr>
          <w:p>
            <w:pPr>
              <w:pStyle w:val="TableParagraph"/>
              <w:tabs>
                <w:tab w:pos="678" w:val="left" w:leader="none"/>
                <w:tab w:pos="2153" w:val="left" w:leader="none"/>
              </w:tabs>
              <w:spacing w:line="240" w:lineRule="auto"/>
              <w:ind w:right="100"/>
              <w:rPr>
                <w:b/>
                <w:sz w:val="18"/>
              </w:rPr>
            </w:pPr>
            <w:r>
              <w:rPr>
                <w:b/>
                <w:sz w:val="18"/>
              </w:rPr>
              <w:t>PER</w:t>
              <w:tab/>
              <w:t>%  </w:t>
            </w:r>
            <w:r>
              <w:rPr>
                <w:b/>
                <w:spacing w:val="47"/>
                <w:sz w:val="18"/>
              </w:rPr>
              <w:t> </w:t>
            </w:r>
            <w:r>
              <w:rPr>
                <w:b/>
                <w:sz w:val="18"/>
              </w:rPr>
              <w:t>Calculated</w:t>
              <w:tab/>
              <w:t>at</w:t>
            </w:r>
            <w:r>
              <w:rPr>
                <w:b/>
                <w:w w:val="99"/>
                <w:sz w:val="18"/>
              </w:rPr>
              <w:t> </w:t>
            </w:r>
            <w:r>
              <w:rPr>
                <w:b/>
                <w:sz w:val="18"/>
              </w:rPr>
              <w:t>Receiver (Device</w:t>
            </w:r>
            <w:r>
              <w:rPr>
                <w:b/>
                <w:spacing w:val="-5"/>
                <w:sz w:val="18"/>
              </w:rPr>
              <w:t> </w:t>
            </w:r>
            <w:r>
              <w:rPr>
                <w:b/>
                <w:sz w:val="18"/>
              </w:rPr>
              <w:t>3)</w:t>
            </w:r>
          </w:p>
        </w:tc>
      </w:tr>
      <w:tr>
        <w:trPr>
          <w:trHeight w:val="520" w:hRule="exact"/>
        </w:trPr>
        <w:tc>
          <w:tcPr>
            <w:tcW w:w="1111" w:type="dxa"/>
            <w:vMerge/>
            <w:shd w:val="clear" w:color="auto" w:fill="D9D9D9"/>
          </w:tcPr>
          <w:p>
            <w:pPr/>
          </w:p>
        </w:tc>
        <w:tc>
          <w:tcPr>
            <w:tcW w:w="2876" w:type="dxa"/>
            <w:gridSpan w:val="2"/>
            <w:shd w:val="clear" w:color="auto" w:fill="D9D9D9"/>
          </w:tcPr>
          <w:p>
            <w:pPr>
              <w:pStyle w:val="TableParagraph"/>
              <w:spacing w:line="203" w:lineRule="exact"/>
              <w:rPr>
                <w:b/>
                <w:sz w:val="18"/>
              </w:rPr>
            </w:pPr>
            <w:r>
              <w:rPr>
                <w:b/>
                <w:sz w:val="18"/>
              </w:rPr>
              <w:t>(total for the 10 min test)</w:t>
            </w:r>
          </w:p>
        </w:tc>
        <w:tc>
          <w:tcPr>
            <w:tcW w:w="2941" w:type="dxa"/>
            <w:gridSpan w:val="2"/>
            <w:shd w:val="clear" w:color="auto" w:fill="D9D9D9"/>
          </w:tcPr>
          <w:p>
            <w:pPr>
              <w:pStyle w:val="TableParagraph"/>
              <w:spacing w:line="203" w:lineRule="exact"/>
              <w:rPr>
                <w:b/>
                <w:sz w:val="18"/>
              </w:rPr>
            </w:pPr>
            <w:r>
              <w:rPr>
                <w:b/>
                <w:sz w:val="18"/>
              </w:rPr>
              <w:t>(total for the 10-min test)</w:t>
            </w:r>
          </w:p>
        </w:tc>
        <w:tc>
          <w:tcPr>
            <w:tcW w:w="2424" w:type="dxa"/>
            <w:gridSpan w:val="2"/>
            <w:vMerge/>
            <w:shd w:val="clear" w:color="auto" w:fill="D9D9D9"/>
          </w:tcPr>
          <w:p>
            <w:pPr/>
          </w:p>
        </w:tc>
      </w:tr>
      <w:tr>
        <w:trPr>
          <w:trHeight w:val="914" w:hRule="exact"/>
        </w:trPr>
        <w:tc>
          <w:tcPr>
            <w:tcW w:w="1111" w:type="dxa"/>
            <w:vMerge/>
            <w:shd w:val="clear" w:color="auto" w:fill="D9D9D9"/>
          </w:tcPr>
          <w:p>
            <w:pPr/>
          </w:p>
        </w:tc>
        <w:tc>
          <w:tcPr>
            <w:tcW w:w="1496" w:type="dxa"/>
            <w:shd w:val="clear" w:color="auto" w:fill="D9D9D9"/>
          </w:tcPr>
          <w:p>
            <w:pPr>
              <w:pStyle w:val="TableParagraph"/>
              <w:spacing w:line="242" w:lineRule="auto"/>
              <w:ind w:right="603"/>
              <w:rPr>
                <w:b/>
                <w:sz w:val="18"/>
              </w:rPr>
            </w:pPr>
            <w:r>
              <w:rPr>
                <w:b/>
                <w:sz w:val="18"/>
              </w:rPr>
              <w:t>Transmit Device 1</w:t>
            </w:r>
          </w:p>
        </w:tc>
        <w:tc>
          <w:tcPr>
            <w:tcW w:w="1380" w:type="dxa"/>
            <w:shd w:val="clear" w:color="auto" w:fill="D9D9D9"/>
          </w:tcPr>
          <w:p>
            <w:pPr>
              <w:pStyle w:val="TableParagraph"/>
              <w:spacing w:line="242" w:lineRule="auto"/>
              <w:ind w:right="487"/>
              <w:rPr>
                <w:b/>
                <w:sz w:val="18"/>
              </w:rPr>
            </w:pPr>
            <w:r>
              <w:rPr>
                <w:b/>
                <w:sz w:val="18"/>
              </w:rPr>
              <w:t>Transmit Device 2</w:t>
            </w:r>
          </w:p>
        </w:tc>
        <w:tc>
          <w:tcPr>
            <w:tcW w:w="1500" w:type="dxa"/>
            <w:shd w:val="clear" w:color="auto" w:fill="D9D9D9"/>
          </w:tcPr>
          <w:p>
            <w:pPr>
              <w:pStyle w:val="TableParagraph"/>
              <w:tabs>
                <w:tab w:pos="1228" w:val="left" w:leader="none"/>
              </w:tabs>
              <w:spacing w:line="242" w:lineRule="auto"/>
              <w:ind w:right="100"/>
              <w:rPr>
                <w:b/>
                <w:sz w:val="18"/>
              </w:rPr>
            </w:pPr>
            <w:r>
              <w:rPr>
                <w:b/>
                <w:sz w:val="18"/>
              </w:rPr>
              <w:t>Received</w:t>
              <w:tab/>
              <w:t>at Device  3</w:t>
            </w:r>
            <w:r>
              <w:rPr>
                <w:b/>
                <w:spacing w:val="49"/>
                <w:sz w:val="18"/>
              </w:rPr>
              <w:t> </w:t>
            </w:r>
            <w:r>
              <w:rPr>
                <w:b/>
                <w:sz w:val="18"/>
              </w:rPr>
              <w:t>from</w:t>
            </w:r>
          </w:p>
          <w:p>
            <w:pPr>
              <w:pStyle w:val="TableParagraph"/>
              <w:spacing w:line="204" w:lineRule="exact" w:before="5"/>
              <w:rPr>
                <w:b/>
                <w:sz w:val="18"/>
              </w:rPr>
            </w:pPr>
            <w:r>
              <w:rPr>
                <w:b/>
                <w:sz w:val="18"/>
              </w:rPr>
              <w:t>Device 1</w:t>
            </w:r>
          </w:p>
        </w:tc>
        <w:tc>
          <w:tcPr>
            <w:tcW w:w="1441" w:type="dxa"/>
            <w:shd w:val="clear" w:color="auto" w:fill="D9D9D9"/>
          </w:tcPr>
          <w:p>
            <w:pPr>
              <w:pStyle w:val="TableParagraph"/>
              <w:tabs>
                <w:tab w:pos="1168" w:val="left" w:leader="none"/>
              </w:tabs>
              <w:spacing w:line="242" w:lineRule="auto"/>
              <w:ind w:right="100"/>
              <w:rPr>
                <w:b/>
                <w:sz w:val="18"/>
              </w:rPr>
            </w:pPr>
            <w:r>
              <w:rPr>
                <w:b/>
                <w:sz w:val="18"/>
              </w:rPr>
              <w:t>Received</w:t>
              <w:tab/>
              <w:t>at Device 3</w:t>
            </w:r>
            <w:r>
              <w:rPr>
                <w:b/>
                <w:spacing w:val="41"/>
                <w:sz w:val="18"/>
              </w:rPr>
              <w:t> </w:t>
            </w:r>
            <w:r>
              <w:rPr>
                <w:b/>
                <w:sz w:val="18"/>
              </w:rPr>
              <w:t>from</w:t>
            </w:r>
          </w:p>
          <w:p>
            <w:pPr>
              <w:pStyle w:val="TableParagraph"/>
              <w:spacing w:line="204" w:lineRule="exact" w:before="5"/>
              <w:rPr>
                <w:b/>
                <w:sz w:val="18"/>
              </w:rPr>
            </w:pPr>
            <w:r>
              <w:rPr>
                <w:b/>
                <w:sz w:val="18"/>
              </w:rPr>
              <w:t>Device 2</w:t>
            </w:r>
          </w:p>
        </w:tc>
        <w:tc>
          <w:tcPr>
            <w:tcW w:w="1260" w:type="dxa"/>
            <w:shd w:val="clear" w:color="auto" w:fill="D9D9D9"/>
          </w:tcPr>
          <w:p>
            <w:pPr>
              <w:pStyle w:val="TableParagraph"/>
              <w:spacing w:line="240" w:lineRule="auto"/>
              <w:ind w:right="396"/>
              <w:rPr>
                <w:b/>
                <w:sz w:val="18"/>
              </w:rPr>
            </w:pPr>
            <w:r>
              <w:rPr>
                <w:b/>
                <w:sz w:val="18"/>
              </w:rPr>
              <w:t>For Packets from Device 1</w:t>
            </w:r>
          </w:p>
        </w:tc>
        <w:tc>
          <w:tcPr>
            <w:tcW w:w="1164" w:type="dxa"/>
            <w:shd w:val="clear" w:color="auto" w:fill="D9D9D9"/>
          </w:tcPr>
          <w:p>
            <w:pPr>
              <w:pStyle w:val="TableParagraph"/>
              <w:spacing w:line="240" w:lineRule="auto"/>
              <w:ind w:right="301"/>
              <w:rPr>
                <w:b/>
                <w:sz w:val="18"/>
              </w:rPr>
            </w:pPr>
            <w:r>
              <w:rPr>
                <w:b/>
                <w:sz w:val="18"/>
              </w:rPr>
              <w:t>For Packets from Device 2</w:t>
            </w:r>
          </w:p>
        </w:tc>
      </w:tr>
      <w:tr>
        <w:trPr>
          <w:trHeight w:val="312" w:hRule="exact"/>
        </w:trPr>
        <w:tc>
          <w:tcPr>
            <w:tcW w:w="1111" w:type="dxa"/>
          </w:tcPr>
          <w:p>
            <w:pPr>
              <w:pStyle w:val="TableParagraph"/>
              <w:spacing w:line="204" w:lineRule="exact"/>
              <w:rPr>
                <w:b/>
                <w:sz w:val="18"/>
              </w:rPr>
            </w:pPr>
            <w:r>
              <w:rPr>
                <w:b/>
                <w:w w:val="99"/>
                <w:sz w:val="18"/>
              </w:rPr>
              <w:t>1</w:t>
            </w:r>
          </w:p>
        </w:tc>
        <w:tc>
          <w:tcPr>
            <w:tcW w:w="1496" w:type="dxa"/>
          </w:tcPr>
          <w:p>
            <w:pPr>
              <w:pStyle w:val="TableParagraph"/>
              <w:spacing w:line="204" w:lineRule="exact"/>
              <w:rPr>
                <w:b/>
                <w:sz w:val="18"/>
              </w:rPr>
            </w:pPr>
            <w:r>
              <w:rPr>
                <w:b/>
                <w:sz w:val="18"/>
              </w:rPr>
              <w:t>6000</w:t>
            </w:r>
          </w:p>
        </w:tc>
        <w:tc>
          <w:tcPr>
            <w:tcW w:w="1380" w:type="dxa"/>
          </w:tcPr>
          <w:p>
            <w:pPr>
              <w:pStyle w:val="TableParagraph"/>
              <w:spacing w:line="204" w:lineRule="exact"/>
              <w:rPr>
                <w:b/>
                <w:sz w:val="18"/>
              </w:rPr>
            </w:pPr>
            <w:r>
              <w:rPr>
                <w:b/>
                <w:sz w:val="18"/>
              </w:rPr>
              <w:t>6000</w:t>
            </w:r>
          </w:p>
        </w:tc>
        <w:tc>
          <w:tcPr>
            <w:tcW w:w="1500" w:type="dxa"/>
          </w:tcPr>
          <w:p>
            <w:pPr>
              <w:pStyle w:val="TableParagraph"/>
              <w:spacing w:line="240" w:lineRule="auto" w:before="1"/>
              <w:rPr>
                <w:sz w:val="18"/>
              </w:rPr>
            </w:pPr>
            <w:r>
              <w:rPr>
                <w:sz w:val="18"/>
              </w:rPr>
              <w:t>6000</w:t>
            </w:r>
          </w:p>
        </w:tc>
        <w:tc>
          <w:tcPr>
            <w:tcW w:w="1441" w:type="dxa"/>
          </w:tcPr>
          <w:p>
            <w:pPr>
              <w:pStyle w:val="TableParagraph"/>
              <w:spacing w:line="240" w:lineRule="auto" w:before="1"/>
              <w:rPr>
                <w:sz w:val="18"/>
              </w:rPr>
            </w:pPr>
            <w:r>
              <w:rPr>
                <w:sz w:val="18"/>
              </w:rPr>
              <w:t>6000</w:t>
            </w:r>
          </w:p>
        </w:tc>
        <w:tc>
          <w:tcPr>
            <w:tcW w:w="1260" w:type="dxa"/>
          </w:tcPr>
          <w:p>
            <w:pPr>
              <w:pStyle w:val="TableParagraph"/>
              <w:spacing w:line="240" w:lineRule="auto" w:before="1"/>
              <w:rPr>
                <w:sz w:val="18"/>
              </w:rPr>
            </w:pPr>
            <w:r>
              <w:rPr>
                <w:w w:val="99"/>
                <w:sz w:val="18"/>
              </w:rPr>
              <w:t>0</w:t>
            </w:r>
          </w:p>
        </w:tc>
        <w:tc>
          <w:tcPr>
            <w:tcW w:w="1164" w:type="dxa"/>
          </w:tcPr>
          <w:p>
            <w:pPr>
              <w:pStyle w:val="TableParagraph"/>
              <w:spacing w:line="240" w:lineRule="auto" w:before="1"/>
              <w:rPr>
                <w:sz w:val="18"/>
              </w:rPr>
            </w:pPr>
            <w:r>
              <w:rPr>
                <w:w w:val="99"/>
                <w:sz w:val="18"/>
              </w:rPr>
              <w:t>0</w:t>
            </w:r>
          </w:p>
        </w:tc>
      </w:tr>
      <w:tr>
        <w:trPr>
          <w:trHeight w:val="310" w:hRule="exact"/>
        </w:trPr>
        <w:tc>
          <w:tcPr>
            <w:tcW w:w="1111" w:type="dxa"/>
          </w:tcPr>
          <w:p>
            <w:pPr>
              <w:pStyle w:val="TableParagraph"/>
              <w:spacing w:line="201" w:lineRule="exact"/>
              <w:rPr>
                <w:b/>
                <w:sz w:val="18"/>
              </w:rPr>
            </w:pPr>
            <w:r>
              <w:rPr>
                <w:b/>
                <w:w w:val="99"/>
                <w:sz w:val="18"/>
              </w:rPr>
              <w:t>2</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6000</w:t>
            </w:r>
          </w:p>
        </w:tc>
        <w:tc>
          <w:tcPr>
            <w:tcW w:w="1441" w:type="dxa"/>
          </w:tcPr>
          <w:p>
            <w:pPr>
              <w:pStyle w:val="TableParagraph"/>
              <w:rPr>
                <w:sz w:val="18"/>
              </w:rPr>
            </w:pPr>
            <w:r>
              <w:rPr>
                <w:sz w:val="18"/>
              </w:rPr>
              <w:t>6000</w:t>
            </w:r>
          </w:p>
        </w:tc>
        <w:tc>
          <w:tcPr>
            <w:tcW w:w="1260" w:type="dxa"/>
          </w:tcPr>
          <w:p>
            <w:pPr>
              <w:pStyle w:val="TableParagraph"/>
              <w:rPr>
                <w:sz w:val="18"/>
              </w:rPr>
            </w:pPr>
            <w:r>
              <w:rPr>
                <w:w w:val="99"/>
                <w:sz w:val="18"/>
              </w:rPr>
              <w:t>0</w:t>
            </w:r>
          </w:p>
        </w:tc>
        <w:tc>
          <w:tcPr>
            <w:tcW w:w="1164" w:type="dxa"/>
          </w:tcPr>
          <w:p>
            <w:pPr>
              <w:pStyle w:val="TableParagraph"/>
              <w:rPr>
                <w:sz w:val="18"/>
              </w:rPr>
            </w:pPr>
            <w:r>
              <w:rPr>
                <w:w w:val="99"/>
                <w:sz w:val="18"/>
              </w:rPr>
              <w:t>0</w:t>
            </w:r>
          </w:p>
        </w:tc>
      </w:tr>
      <w:tr>
        <w:trPr>
          <w:trHeight w:val="310" w:hRule="exact"/>
        </w:trPr>
        <w:tc>
          <w:tcPr>
            <w:tcW w:w="1111" w:type="dxa"/>
          </w:tcPr>
          <w:p>
            <w:pPr>
              <w:pStyle w:val="TableParagraph"/>
              <w:spacing w:line="201" w:lineRule="exact"/>
              <w:rPr>
                <w:b/>
                <w:sz w:val="18"/>
              </w:rPr>
            </w:pPr>
            <w:r>
              <w:rPr>
                <w:b/>
                <w:w w:val="99"/>
                <w:sz w:val="18"/>
              </w:rPr>
              <w:t>3</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5971</w:t>
            </w:r>
          </w:p>
        </w:tc>
        <w:tc>
          <w:tcPr>
            <w:tcW w:w="1441" w:type="dxa"/>
          </w:tcPr>
          <w:p>
            <w:pPr>
              <w:pStyle w:val="TableParagraph"/>
              <w:rPr>
                <w:sz w:val="18"/>
              </w:rPr>
            </w:pPr>
            <w:r>
              <w:rPr>
                <w:sz w:val="18"/>
              </w:rPr>
              <w:t>5994</w:t>
            </w:r>
          </w:p>
        </w:tc>
        <w:tc>
          <w:tcPr>
            <w:tcW w:w="1260" w:type="dxa"/>
          </w:tcPr>
          <w:p>
            <w:pPr>
              <w:pStyle w:val="TableParagraph"/>
              <w:rPr>
                <w:sz w:val="18"/>
              </w:rPr>
            </w:pPr>
            <w:r>
              <w:rPr>
                <w:sz w:val="18"/>
              </w:rPr>
              <w:t>0.48</w:t>
            </w:r>
          </w:p>
        </w:tc>
        <w:tc>
          <w:tcPr>
            <w:tcW w:w="1164" w:type="dxa"/>
          </w:tcPr>
          <w:p>
            <w:pPr>
              <w:pStyle w:val="TableParagraph"/>
              <w:rPr>
                <w:sz w:val="18"/>
              </w:rPr>
            </w:pPr>
            <w:r>
              <w:rPr>
                <w:sz w:val="18"/>
              </w:rPr>
              <w:t>0.1</w:t>
            </w:r>
          </w:p>
        </w:tc>
      </w:tr>
      <w:tr>
        <w:trPr>
          <w:trHeight w:val="310" w:hRule="exact"/>
        </w:trPr>
        <w:tc>
          <w:tcPr>
            <w:tcW w:w="1111" w:type="dxa"/>
          </w:tcPr>
          <w:p>
            <w:pPr>
              <w:pStyle w:val="TableParagraph"/>
              <w:spacing w:line="201" w:lineRule="exact"/>
              <w:rPr>
                <w:b/>
                <w:sz w:val="18"/>
              </w:rPr>
            </w:pPr>
            <w:r>
              <w:rPr>
                <w:b/>
                <w:w w:val="99"/>
                <w:sz w:val="18"/>
              </w:rPr>
              <w:t>4</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5848</w:t>
            </w:r>
          </w:p>
        </w:tc>
        <w:tc>
          <w:tcPr>
            <w:tcW w:w="1441" w:type="dxa"/>
          </w:tcPr>
          <w:p>
            <w:pPr>
              <w:pStyle w:val="TableParagraph"/>
              <w:rPr>
                <w:sz w:val="18"/>
              </w:rPr>
            </w:pPr>
            <w:r>
              <w:rPr>
                <w:sz w:val="18"/>
              </w:rPr>
              <w:t>5871</w:t>
            </w:r>
          </w:p>
        </w:tc>
        <w:tc>
          <w:tcPr>
            <w:tcW w:w="1260" w:type="dxa"/>
          </w:tcPr>
          <w:p>
            <w:pPr>
              <w:pStyle w:val="TableParagraph"/>
              <w:rPr>
                <w:sz w:val="18"/>
              </w:rPr>
            </w:pPr>
            <w:r>
              <w:rPr>
                <w:sz w:val="18"/>
              </w:rPr>
              <w:t>2.53</w:t>
            </w:r>
          </w:p>
        </w:tc>
        <w:tc>
          <w:tcPr>
            <w:tcW w:w="1164" w:type="dxa"/>
          </w:tcPr>
          <w:p>
            <w:pPr>
              <w:pStyle w:val="TableParagraph"/>
              <w:rPr>
                <w:sz w:val="18"/>
              </w:rPr>
            </w:pPr>
            <w:r>
              <w:rPr>
                <w:sz w:val="18"/>
              </w:rPr>
              <w:t>2.15</w:t>
            </w:r>
          </w:p>
        </w:tc>
      </w:tr>
      <w:tr>
        <w:trPr>
          <w:trHeight w:val="310" w:hRule="exact"/>
        </w:trPr>
        <w:tc>
          <w:tcPr>
            <w:tcW w:w="1111" w:type="dxa"/>
          </w:tcPr>
          <w:p>
            <w:pPr>
              <w:pStyle w:val="TableParagraph"/>
              <w:spacing w:line="202" w:lineRule="exact"/>
              <w:rPr>
                <w:b/>
                <w:sz w:val="18"/>
              </w:rPr>
            </w:pPr>
            <w:r>
              <w:rPr>
                <w:b/>
                <w:w w:val="99"/>
                <w:sz w:val="18"/>
              </w:rPr>
              <w:t>5</w:t>
            </w:r>
          </w:p>
        </w:tc>
        <w:tc>
          <w:tcPr>
            <w:tcW w:w="1496" w:type="dxa"/>
          </w:tcPr>
          <w:p>
            <w:pPr>
              <w:pStyle w:val="TableParagraph"/>
              <w:spacing w:line="202" w:lineRule="exact"/>
              <w:rPr>
                <w:b/>
                <w:sz w:val="18"/>
              </w:rPr>
            </w:pPr>
            <w:r>
              <w:rPr>
                <w:b/>
                <w:sz w:val="18"/>
              </w:rPr>
              <w:t>6000</w:t>
            </w:r>
          </w:p>
        </w:tc>
        <w:tc>
          <w:tcPr>
            <w:tcW w:w="1380" w:type="dxa"/>
          </w:tcPr>
          <w:p>
            <w:pPr>
              <w:pStyle w:val="TableParagraph"/>
              <w:spacing w:line="202" w:lineRule="exact"/>
              <w:rPr>
                <w:b/>
                <w:sz w:val="18"/>
              </w:rPr>
            </w:pPr>
            <w:r>
              <w:rPr>
                <w:b/>
                <w:sz w:val="18"/>
              </w:rPr>
              <w:t>6000</w:t>
            </w:r>
          </w:p>
        </w:tc>
        <w:tc>
          <w:tcPr>
            <w:tcW w:w="1500" w:type="dxa"/>
          </w:tcPr>
          <w:p>
            <w:pPr>
              <w:pStyle w:val="TableParagraph"/>
              <w:spacing w:line="207" w:lineRule="exact"/>
              <w:rPr>
                <w:sz w:val="18"/>
              </w:rPr>
            </w:pPr>
            <w:r>
              <w:rPr>
                <w:sz w:val="18"/>
              </w:rPr>
              <w:t>5995</w:t>
            </w:r>
          </w:p>
        </w:tc>
        <w:tc>
          <w:tcPr>
            <w:tcW w:w="1441" w:type="dxa"/>
          </w:tcPr>
          <w:p>
            <w:pPr>
              <w:pStyle w:val="TableParagraph"/>
              <w:spacing w:line="207" w:lineRule="exact"/>
              <w:rPr>
                <w:sz w:val="18"/>
              </w:rPr>
            </w:pPr>
            <w:r>
              <w:rPr>
                <w:sz w:val="18"/>
              </w:rPr>
              <w:t>5992</w:t>
            </w:r>
          </w:p>
        </w:tc>
        <w:tc>
          <w:tcPr>
            <w:tcW w:w="1260" w:type="dxa"/>
          </w:tcPr>
          <w:p>
            <w:pPr>
              <w:pStyle w:val="TableParagraph"/>
              <w:spacing w:line="207" w:lineRule="exact"/>
              <w:rPr>
                <w:sz w:val="18"/>
              </w:rPr>
            </w:pPr>
            <w:r>
              <w:rPr>
                <w:sz w:val="18"/>
              </w:rPr>
              <w:t>0.08</w:t>
            </w:r>
          </w:p>
        </w:tc>
        <w:tc>
          <w:tcPr>
            <w:tcW w:w="1164" w:type="dxa"/>
          </w:tcPr>
          <w:p>
            <w:pPr>
              <w:pStyle w:val="TableParagraph"/>
              <w:spacing w:line="207" w:lineRule="exact"/>
              <w:rPr>
                <w:sz w:val="18"/>
              </w:rPr>
            </w:pPr>
            <w:r>
              <w:rPr>
                <w:sz w:val="18"/>
              </w:rPr>
              <w:t>0.13</w:t>
            </w:r>
          </w:p>
        </w:tc>
      </w:tr>
      <w:tr>
        <w:trPr>
          <w:trHeight w:val="310" w:hRule="exact"/>
        </w:trPr>
        <w:tc>
          <w:tcPr>
            <w:tcW w:w="1111" w:type="dxa"/>
          </w:tcPr>
          <w:p>
            <w:pPr>
              <w:pStyle w:val="TableParagraph"/>
              <w:spacing w:line="201" w:lineRule="exact"/>
              <w:rPr>
                <w:b/>
                <w:sz w:val="18"/>
              </w:rPr>
            </w:pPr>
            <w:r>
              <w:rPr>
                <w:b/>
                <w:w w:val="99"/>
                <w:sz w:val="18"/>
              </w:rPr>
              <w:t>6</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5994</w:t>
            </w:r>
          </w:p>
        </w:tc>
        <w:tc>
          <w:tcPr>
            <w:tcW w:w="1441" w:type="dxa"/>
          </w:tcPr>
          <w:p>
            <w:pPr>
              <w:pStyle w:val="TableParagraph"/>
              <w:rPr>
                <w:sz w:val="18"/>
              </w:rPr>
            </w:pPr>
            <w:r>
              <w:rPr>
                <w:sz w:val="18"/>
              </w:rPr>
              <w:t>6000</w:t>
            </w:r>
          </w:p>
        </w:tc>
        <w:tc>
          <w:tcPr>
            <w:tcW w:w="1260" w:type="dxa"/>
          </w:tcPr>
          <w:p>
            <w:pPr>
              <w:pStyle w:val="TableParagraph"/>
              <w:rPr>
                <w:sz w:val="18"/>
              </w:rPr>
            </w:pPr>
            <w:r>
              <w:rPr>
                <w:sz w:val="18"/>
              </w:rPr>
              <w:t>0.1</w:t>
            </w:r>
          </w:p>
        </w:tc>
        <w:tc>
          <w:tcPr>
            <w:tcW w:w="1164" w:type="dxa"/>
          </w:tcPr>
          <w:p>
            <w:pPr>
              <w:pStyle w:val="TableParagraph"/>
              <w:rPr>
                <w:sz w:val="18"/>
              </w:rPr>
            </w:pPr>
            <w:r>
              <w:rPr>
                <w:w w:val="99"/>
                <w:sz w:val="18"/>
              </w:rPr>
              <w:t>0</w:t>
            </w:r>
          </w:p>
        </w:tc>
      </w:tr>
      <w:tr>
        <w:trPr>
          <w:trHeight w:val="312" w:hRule="exact"/>
        </w:trPr>
        <w:tc>
          <w:tcPr>
            <w:tcW w:w="1111" w:type="dxa"/>
          </w:tcPr>
          <w:p>
            <w:pPr>
              <w:pStyle w:val="TableParagraph"/>
              <w:spacing w:line="204" w:lineRule="exact"/>
              <w:rPr>
                <w:b/>
                <w:sz w:val="18"/>
              </w:rPr>
            </w:pPr>
            <w:r>
              <w:rPr>
                <w:b/>
                <w:w w:val="99"/>
                <w:sz w:val="18"/>
              </w:rPr>
              <w:t>7</w:t>
            </w:r>
          </w:p>
        </w:tc>
        <w:tc>
          <w:tcPr>
            <w:tcW w:w="1496" w:type="dxa"/>
          </w:tcPr>
          <w:p>
            <w:pPr>
              <w:pStyle w:val="TableParagraph"/>
              <w:spacing w:line="204" w:lineRule="exact"/>
              <w:rPr>
                <w:b/>
                <w:sz w:val="18"/>
              </w:rPr>
            </w:pPr>
            <w:r>
              <w:rPr>
                <w:b/>
                <w:sz w:val="18"/>
              </w:rPr>
              <w:t>6000</w:t>
            </w:r>
          </w:p>
        </w:tc>
        <w:tc>
          <w:tcPr>
            <w:tcW w:w="1380" w:type="dxa"/>
          </w:tcPr>
          <w:p>
            <w:pPr>
              <w:pStyle w:val="TableParagraph"/>
              <w:spacing w:line="204" w:lineRule="exact"/>
              <w:rPr>
                <w:b/>
                <w:sz w:val="18"/>
              </w:rPr>
            </w:pPr>
            <w:r>
              <w:rPr>
                <w:b/>
                <w:sz w:val="18"/>
              </w:rPr>
              <w:t>6000</w:t>
            </w:r>
          </w:p>
        </w:tc>
        <w:tc>
          <w:tcPr>
            <w:tcW w:w="1500" w:type="dxa"/>
          </w:tcPr>
          <w:p>
            <w:pPr>
              <w:pStyle w:val="TableParagraph"/>
              <w:spacing w:line="240" w:lineRule="auto" w:before="1"/>
              <w:rPr>
                <w:sz w:val="18"/>
              </w:rPr>
            </w:pPr>
            <w:r>
              <w:rPr>
                <w:sz w:val="18"/>
              </w:rPr>
              <w:t>5981</w:t>
            </w:r>
          </w:p>
        </w:tc>
        <w:tc>
          <w:tcPr>
            <w:tcW w:w="1441" w:type="dxa"/>
          </w:tcPr>
          <w:p>
            <w:pPr>
              <w:pStyle w:val="TableParagraph"/>
              <w:spacing w:line="240" w:lineRule="auto" w:before="1"/>
              <w:rPr>
                <w:sz w:val="18"/>
              </w:rPr>
            </w:pPr>
            <w:r>
              <w:rPr>
                <w:sz w:val="18"/>
              </w:rPr>
              <w:t>5966</w:t>
            </w:r>
          </w:p>
        </w:tc>
        <w:tc>
          <w:tcPr>
            <w:tcW w:w="1260" w:type="dxa"/>
          </w:tcPr>
          <w:p>
            <w:pPr>
              <w:pStyle w:val="TableParagraph"/>
              <w:spacing w:line="240" w:lineRule="auto" w:before="1"/>
              <w:rPr>
                <w:sz w:val="18"/>
              </w:rPr>
            </w:pPr>
            <w:r>
              <w:rPr>
                <w:sz w:val="18"/>
              </w:rPr>
              <w:t>0.32</w:t>
            </w:r>
          </w:p>
        </w:tc>
        <w:tc>
          <w:tcPr>
            <w:tcW w:w="1164" w:type="dxa"/>
          </w:tcPr>
          <w:p>
            <w:pPr>
              <w:pStyle w:val="TableParagraph"/>
              <w:spacing w:line="240" w:lineRule="auto" w:before="1"/>
              <w:rPr>
                <w:sz w:val="18"/>
              </w:rPr>
            </w:pPr>
            <w:r>
              <w:rPr>
                <w:sz w:val="18"/>
              </w:rPr>
              <w:t>0.57</w:t>
            </w:r>
          </w:p>
        </w:tc>
      </w:tr>
      <w:tr>
        <w:trPr>
          <w:trHeight w:val="310" w:hRule="exact"/>
        </w:trPr>
        <w:tc>
          <w:tcPr>
            <w:tcW w:w="1111" w:type="dxa"/>
          </w:tcPr>
          <w:p>
            <w:pPr>
              <w:pStyle w:val="TableParagraph"/>
              <w:spacing w:line="201" w:lineRule="exact"/>
              <w:rPr>
                <w:b/>
                <w:sz w:val="18"/>
              </w:rPr>
            </w:pPr>
            <w:r>
              <w:rPr>
                <w:b/>
                <w:w w:val="99"/>
                <w:sz w:val="18"/>
              </w:rPr>
              <w:t>8</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6000</w:t>
            </w:r>
          </w:p>
        </w:tc>
        <w:tc>
          <w:tcPr>
            <w:tcW w:w="1441" w:type="dxa"/>
          </w:tcPr>
          <w:p>
            <w:pPr>
              <w:pStyle w:val="TableParagraph"/>
              <w:rPr>
                <w:sz w:val="18"/>
              </w:rPr>
            </w:pPr>
            <w:r>
              <w:rPr>
                <w:sz w:val="18"/>
              </w:rPr>
              <w:t>6000</w:t>
            </w:r>
          </w:p>
        </w:tc>
        <w:tc>
          <w:tcPr>
            <w:tcW w:w="1260" w:type="dxa"/>
          </w:tcPr>
          <w:p>
            <w:pPr>
              <w:pStyle w:val="TableParagraph"/>
              <w:rPr>
                <w:sz w:val="18"/>
              </w:rPr>
            </w:pPr>
            <w:r>
              <w:rPr>
                <w:w w:val="99"/>
                <w:sz w:val="18"/>
              </w:rPr>
              <w:t>0</w:t>
            </w:r>
          </w:p>
        </w:tc>
        <w:tc>
          <w:tcPr>
            <w:tcW w:w="1164" w:type="dxa"/>
          </w:tcPr>
          <w:p>
            <w:pPr>
              <w:pStyle w:val="TableParagraph"/>
              <w:rPr>
                <w:sz w:val="18"/>
              </w:rPr>
            </w:pPr>
            <w:r>
              <w:rPr>
                <w:w w:val="99"/>
                <w:sz w:val="18"/>
              </w:rPr>
              <w:t>0</w:t>
            </w:r>
          </w:p>
        </w:tc>
      </w:tr>
      <w:tr>
        <w:trPr>
          <w:trHeight w:val="310" w:hRule="exact"/>
        </w:trPr>
        <w:tc>
          <w:tcPr>
            <w:tcW w:w="1111" w:type="dxa"/>
          </w:tcPr>
          <w:p>
            <w:pPr>
              <w:pStyle w:val="TableParagraph"/>
              <w:spacing w:line="201" w:lineRule="exact"/>
              <w:rPr>
                <w:b/>
                <w:sz w:val="18"/>
              </w:rPr>
            </w:pPr>
            <w:r>
              <w:rPr>
                <w:b/>
                <w:w w:val="99"/>
                <w:sz w:val="18"/>
              </w:rPr>
              <w:t>9</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5937</w:t>
            </w:r>
          </w:p>
        </w:tc>
        <w:tc>
          <w:tcPr>
            <w:tcW w:w="1441" w:type="dxa"/>
          </w:tcPr>
          <w:p>
            <w:pPr>
              <w:pStyle w:val="TableParagraph"/>
              <w:rPr>
                <w:sz w:val="18"/>
              </w:rPr>
            </w:pPr>
            <w:r>
              <w:rPr>
                <w:sz w:val="18"/>
              </w:rPr>
              <w:t>5955</w:t>
            </w:r>
          </w:p>
        </w:tc>
        <w:tc>
          <w:tcPr>
            <w:tcW w:w="1260" w:type="dxa"/>
          </w:tcPr>
          <w:p>
            <w:pPr>
              <w:pStyle w:val="TableParagraph"/>
              <w:rPr>
                <w:sz w:val="18"/>
              </w:rPr>
            </w:pPr>
            <w:r>
              <w:rPr>
                <w:sz w:val="18"/>
              </w:rPr>
              <w:t>1.05</w:t>
            </w:r>
          </w:p>
        </w:tc>
        <w:tc>
          <w:tcPr>
            <w:tcW w:w="1164" w:type="dxa"/>
          </w:tcPr>
          <w:p>
            <w:pPr>
              <w:pStyle w:val="TableParagraph"/>
              <w:rPr>
                <w:sz w:val="18"/>
              </w:rPr>
            </w:pPr>
            <w:r>
              <w:rPr>
                <w:sz w:val="18"/>
              </w:rPr>
              <w:t>0.75</w:t>
            </w:r>
          </w:p>
        </w:tc>
      </w:tr>
      <w:tr>
        <w:trPr>
          <w:trHeight w:val="310" w:hRule="exact"/>
        </w:trPr>
        <w:tc>
          <w:tcPr>
            <w:tcW w:w="1111" w:type="dxa"/>
          </w:tcPr>
          <w:p>
            <w:pPr>
              <w:pStyle w:val="TableParagraph"/>
              <w:spacing w:line="201" w:lineRule="exact"/>
              <w:rPr>
                <w:b/>
                <w:sz w:val="18"/>
              </w:rPr>
            </w:pPr>
            <w:r>
              <w:rPr>
                <w:b/>
                <w:sz w:val="18"/>
              </w:rPr>
              <w:t>10</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5848</w:t>
            </w:r>
          </w:p>
        </w:tc>
        <w:tc>
          <w:tcPr>
            <w:tcW w:w="1441" w:type="dxa"/>
          </w:tcPr>
          <w:p>
            <w:pPr>
              <w:pStyle w:val="TableParagraph"/>
              <w:rPr>
                <w:sz w:val="18"/>
              </w:rPr>
            </w:pPr>
            <w:r>
              <w:rPr>
                <w:sz w:val="18"/>
              </w:rPr>
              <w:t>5911</w:t>
            </w:r>
          </w:p>
        </w:tc>
        <w:tc>
          <w:tcPr>
            <w:tcW w:w="1260" w:type="dxa"/>
          </w:tcPr>
          <w:p>
            <w:pPr>
              <w:pStyle w:val="TableParagraph"/>
              <w:rPr>
                <w:sz w:val="18"/>
              </w:rPr>
            </w:pPr>
            <w:r>
              <w:rPr>
                <w:sz w:val="18"/>
              </w:rPr>
              <w:t>2.53</w:t>
            </w:r>
          </w:p>
        </w:tc>
        <w:tc>
          <w:tcPr>
            <w:tcW w:w="1164" w:type="dxa"/>
          </w:tcPr>
          <w:p>
            <w:pPr>
              <w:pStyle w:val="TableParagraph"/>
              <w:rPr>
                <w:sz w:val="18"/>
              </w:rPr>
            </w:pPr>
            <w:r>
              <w:rPr>
                <w:sz w:val="18"/>
              </w:rPr>
              <w:t>1.48</w:t>
            </w:r>
          </w:p>
        </w:tc>
      </w:tr>
      <w:tr>
        <w:trPr>
          <w:trHeight w:val="511" w:hRule="exact"/>
        </w:trPr>
        <w:tc>
          <w:tcPr>
            <w:tcW w:w="2607" w:type="dxa"/>
            <w:gridSpan w:val="2"/>
          </w:tcPr>
          <w:p>
            <w:pPr>
              <w:pStyle w:val="TableParagraph"/>
              <w:spacing w:line="240" w:lineRule="auto"/>
              <w:rPr>
                <w:b/>
                <w:sz w:val="18"/>
              </w:rPr>
            </w:pPr>
            <w:r>
              <w:rPr>
                <w:b/>
                <w:sz w:val="18"/>
              </w:rPr>
              <w:t>Measured Insertion Loss, Device 1 to Device 3 (dB)</w:t>
            </w:r>
          </w:p>
        </w:tc>
        <w:tc>
          <w:tcPr>
            <w:tcW w:w="2880" w:type="dxa"/>
            <w:gridSpan w:val="2"/>
          </w:tcPr>
          <w:p>
            <w:pPr>
              <w:pStyle w:val="TableParagraph"/>
              <w:spacing w:line="201" w:lineRule="exact"/>
              <w:rPr>
                <w:b/>
                <w:sz w:val="18"/>
              </w:rPr>
            </w:pPr>
            <w:r>
              <w:rPr>
                <w:b/>
                <w:sz w:val="18"/>
              </w:rPr>
              <w:t>37</w:t>
            </w:r>
          </w:p>
        </w:tc>
        <w:tc>
          <w:tcPr>
            <w:tcW w:w="1441" w:type="dxa"/>
          </w:tcPr>
          <w:p>
            <w:pPr>
              <w:pStyle w:val="TableParagraph"/>
              <w:tabs>
                <w:tab w:pos="1225" w:val="left" w:leader="none"/>
              </w:tabs>
              <w:spacing w:line="240" w:lineRule="auto"/>
              <w:ind w:right="103"/>
              <w:rPr>
                <w:b/>
                <w:sz w:val="18"/>
              </w:rPr>
            </w:pPr>
            <w:r>
              <w:rPr>
                <w:b/>
                <w:sz w:val="18"/>
              </w:rPr>
              <w:t>Attenuator</w:t>
              <w:tab/>
              <w:t>1 Value (dB)</w:t>
            </w:r>
          </w:p>
        </w:tc>
        <w:tc>
          <w:tcPr>
            <w:tcW w:w="2424" w:type="dxa"/>
            <w:gridSpan w:val="2"/>
          </w:tcPr>
          <w:p>
            <w:pPr>
              <w:pStyle w:val="TableParagraph"/>
              <w:spacing w:line="201" w:lineRule="exact"/>
              <w:rPr>
                <w:b/>
                <w:sz w:val="18"/>
              </w:rPr>
            </w:pPr>
            <w:r>
              <w:rPr>
                <w:b/>
                <w:sz w:val="18"/>
              </w:rPr>
              <w:t>50</w:t>
            </w:r>
          </w:p>
        </w:tc>
      </w:tr>
      <w:tr>
        <w:trPr>
          <w:trHeight w:val="564" w:hRule="exact"/>
        </w:trPr>
        <w:tc>
          <w:tcPr>
            <w:tcW w:w="2607" w:type="dxa"/>
            <w:gridSpan w:val="2"/>
          </w:tcPr>
          <w:p>
            <w:pPr>
              <w:pStyle w:val="TableParagraph"/>
              <w:spacing w:line="240" w:lineRule="auto"/>
              <w:rPr>
                <w:b/>
                <w:sz w:val="18"/>
              </w:rPr>
            </w:pPr>
            <w:r>
              <w:rPr>
                <w:b/>
                <w:sz w:val="18"/>
              </w:rPr>
              <w:t>Measured Insertion Loss, Device 2 to Device 3 (dB)</w:t>
            </w:r>
          </w:p>
        </w:tc>
        <w:tc>
          <w:tcPr>
            <w:tcW w:w="2880" w:type="dxa"/>
            <w:gridSpan w:val="2"/>
          </w:tcPr>
          <w:p>
            <w:pPr>
              <w:pStyle w:val="TableParagraph"/>
              <w:spacing w:line="201" w:lineRule="exact"/>
              <w:rPr>
                <w:b/>
                <w:sz w:val="18"/>
              </w:rPr>
            </w:pPr>
            <w:r>
              <w:rPr>
                <w:b/>
                <w:sz w:val="18"/>
              </w:rPr>
              <w:t>37</w:t>
            </w:r>
          </w:p>
        </w:tc>
        <w:tc>
          <w:tcPr>
            <w:tcW w:w="1441" w:type="dxa"/>
          </w:tcPr>
          <w:p>
            <w:pPr>
              <w:pStyle w:val="TableParagraph"/>
              <w:tabs>
                <w:tab w:pos="1225" w:val="left" w:leader="none"/>
              </w:tabs>
              <w:spacing w:line="240" w:lineRule="auto"/>
              <w:ind w:right="103"/>
              <w:rPr>
                <w:b/>
                <w:sz w:val="18"/>
              </w:rPr>
            </w:pPr>
            <w:r>
              <w:rPr>
                <w:b/>
                <w:sz w:val="18"/>
              </w:rPr>
              <w:t>Attenuator</w:t>
              <w:tab/>
              <w:t>2 Value (dB)</w:t>
            </w:r>
          </w:p>
        </w:tc>
        <w:tc>
          <w:tcPr>
            <w:tcW w:w="2424" w:type="dxa"/>
            <w:gridSpan w:val="2"/>
          </w:tcPr>
          <w:p>
            <w:pPr>
              <w:pStyle w:val="TableParagraph"/>
              <w:spacing w:line="201" w:lineRule="exact"/>
              <w:rPr>
                <w:b/>
                <w:sz w:val="18"/>
              </w:rPr>
            </w:pPr>
            <w:r>
              <w:rPr>
                <w:b/>
                <w:sz w:val="18"/>
              </w:rPr>
              <w:t>50</w:t>
            </w:r>
          </w:p>
        </w:tc>
      </w:tr>
    </w:tbl>
    <w:p>
      <w:pPr>
        <w:pStyle w:val="BodyText"/>
        <w:rPr>
          <w:b/>
          <w:sz w:val="22"/>
        </w:rPr>
      </w:pPr>
    </w:p>
    <w:p>
      <w:pPr>
        <w:pStyle w:val="BodyText"/>
        <w:spacing w:before="8"/>
        <w:rPr>
          <w:b/>
          <w:sz w:val="23"/>
        </w:rPr>
      </w:pPr>
    </w:p>
    <w:p>
      <w:pPr>
        <w:spacing w:before="0"/>
        <w:ind w:left="1133" w:right="0" w:firstLine="0"/>
        <w:jc w:val="left"/>
        <w:rPr>
          <w:b/>
          <w:sz w:val="20"/>
        </w:rPr>
      </w:pPr>
      <w:r>
        <w:rPr>
          <w:b/>
          <w:sz w:val="20"/>
        </w:rPr>
        <w:t>Table 24: DSRC Results with configuration 2 (with congesting devices)</w:t>
      </w:r>
    </w:p>
    <w:p>
      <w:pPr>
        <w:pStyle w:val="BodyText"/>
        <w:rPr>
          <w:b/>
          <w:sz w:val="16"/>
        </w:rPr>
      </w:pPr>
    </w:p>
    <w:tbl>
      <w:tblPr>
        <w:tblW w:w="0" w:type="auto"/>
        <w:jc w:val="left"/>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1"/>
        <w:gridCol w:w="1496"/>
        <w:gridCol w:w="1380"/>
        <w:gridCol w:w="1500"/>
        <w:gridCol w:w="1441"/>
        <w:gridCol w:w="1260"/>
        <w:gridCol w:w="1164"/>
      </w:tblGrid>
      <w:tr>
        <w:trPr>
          <w:trHeight w:val="520" w:hRule="exact"/>
        </w:trPr>
        <w:tc>
          <w:tcPr>
            <w:tcW w:w="1111" w:type="dxa"/>
            <w:vMerge w:val="restart"/>
            <w:shd w:val="clear" w:color="auto" w:fill="D9D9D9"/>
          </w:tcPr>
          <w:p>
            <w:pPr>
              <w:pStyle w:val="TableParagraph"/>
              <w:spacing w:line="202" w:lineRule="exact"/>
              <w:rPr>
                <w:b/>
                <w:sz w:val="18"/>
              </w:rPr>
            </w:pPr>
            <w:r>
              <w:rPr>
                <w:b/>
                <w:sz w:val="18"/>
              </w:rPr>
              <w:t>Execution</w:t>
            </w:r>
          </w:p>
          <w:p>
            <w:pPr>
              <w:pStyle w:val="TableParagraph"/>
              <w:spacing w:line="207" w:lineRule="exact"/>
              <w:rPr>
                <w:b/>
                <w:sz w:val="18"/>
              </w:rPr>
            </w:pPr>
            <w:r>
              <w:rPr>
                <w:b/>
                <w:w w:val="99"/>
                <w:sz w:val="18"/>
              </w:rPr>
              <w:t>#</w:t>
            </w:r>
          </w:p>
        </w:tc>
        <w:tc>
          <w:tcPr>
            <w:tcW w:w="2876" w:type="dxa"/>
            <w:gridSpan w:val="2"/>
            <w:shd w:val="clear" w:color="auto" w:fill="D9D9D9"/>
          </w:tcPr>
          <w:p>
            <w:pPr>
              <w:pStyle w:val="TableParagraph"/>
              <w:spacing w:line="203" w:lineRule="exact"/>
              <w:rPr>
                <w:b/>
                <w:sz w:val="18"/>
              </w:rPr>
            </w:pPr>
            <w:r>
              <w:rPr>
                <w:b/>
                <w:sz w:val="18"/>
              </w:rPr>
              <w:t>No. of Transmitted pkts</w:t>
            </w:r>
          </w:p>
        </w:tc>
        <w:tc>
          <w:tcPr>
            <w:tcW w:w="2941" w:type="dxa"/>
            <w:gridSpan w:val="2"/>
            <w:shd w:val="clear" w:color="auto" w:fill="D9D9D9"/>
          </w:tcPr>
          <w:p>
            <w:pPr>
              <w:pStyle w:val="TableParagraph"/>
              <w:spacing w:line="203" w:lineRule="exact"/>
              <w:rPr>
                <w:b/>
                <w:sz w:val="18"/>
              </w:rPr>
            </w:pPr>
            <w:r>
              <w:rPr>
                <w:b/>
                <w:sz w:val="18"/>
              </w:rPr>
              <w:t>No. of Received pkts</w:t>
            </w:r>
          </w:p>
        </w:tc>
        <w:tc>
          <w:tcPr>
            <w:tcW w:w="2424" w:type="dxa"/>
            <w:gridSpan w:val="2"/>
            <w:vMerge w:val="restart"/>
            <w:shd w:val="clear" w:color="auto" w:fill="D9D9D9"/>
          </w:tcPr>
          <w:p>
            <w:pPr>
              <w:pStyle w:val="TableParagraph"/>
              <w:tabs>
                <w:tab w:pos="678" w:val="left" w:leader="none"/>
                <w:tab w:pos="2153" w:val="left" w:leader="none"/>
              </w:tabs>
              <w:spacing w:line="240" w:lineRule="auto"/>
              <w:ind w:right="100"/>
              <w:rPr>
                <w:b/>
                <w:sz w:val="18"/>
              </w:rPr>
            </w:pPr>
            <w:r>
              <w:rPr>
                <w:b/>
                <w:sz w:val="18"/>
              </w:rPr>
              <w:t>PER</w:t>
              <w:tab/>
              <w:t>%  </w:t>
            </w:r>
            <w:r>
              <w:rPr>
                <w:b/>
                <w:spacing w:val="47"/>
                <w:sz w:val="18"/>
              </w:rPr>
              <w:t> </w:t>
            </w:r>
            <w:r>
              <w:rPr>
                <w:b/>
                <w:sz w:val="18"/>
              </w:rPr>
              <w:t>Calculated</w:t>
              <w:tab/>
              <w:t>at</w:t>
            </w:r>
            <w:r>
              <w:rPr>
                <w:b/>
                <w:w w:val="99"/>
                <w:sz w:val="18"/>
              </w:rPr>
              <w:t> </w:t>
            </w:r>
            <w:r>
              <w:rPr>
                <w:b/>
                <w:sz w:val="18"/>
              </w:rPr>
              <w:t>Receiver (Device</w:t>
            </w:r>
            <w:r>
              <w:rPr>
                <w:b/>
                <w:spacing w:val="-5"/>
                <w:sz w:val="18"/>
              </w:rPr>
              <w:t> </w:t>
            </w:r>
            <w:r>
              <w:rPr>
                <w:b/>
                <w:sz w:val="18"/>
              </w:rPr>
              <w:t>3)</w:t>
            </w:r>
          </w:p>
        </w:tc>
      </w:tr>
      <w:tr>
        <w:trPr>
          <w:trHeight w:val="521" w:hRule="exact"/>
        </w:trPr>
        <w:tc>
          <w:tcPr>
            <w:tcW w:w="1111" w:type="dxa"/>
            <w:vMerge/>
            <w:shd w:val="clear" w:color="auto" w:fill="D9D9D9"/>
          </w:tcPr>
          <w:p>
            <w:pPr/>
          </w:p>
        </w:tc>
        <w:tc>
          <w:tcPr>
            <w:tcW w:w="2876" w:type="dxa"/>
            <w:gridSpan w:val="2"/>
            <w:shd w:val="clear" w:color="auto" w:fill="D9D9D9"/>
          </w:tcPr>
          <w:p>
            <w:pPr>
              <w:pStyle w:val="TableParagraph"/>
              <w:spacing w:line="201" w:lineRule="exact"/>
              <w:rPr>
                <w:b/>
                <w:sz w:val="18"/>
              </w:rPr>
            </w:pPr>
            <w:r>
              <w:rPr>
                <w:b/>
                <w:sz w:val="18"/>
              </w:rPr>
              <w:t>(total for the 10 min test)</w:t>
            </w:r>
          </w:p>
        </w:tc>
        <w:tc>
          <w:tcPr>
            <w:tcW w:w="2941" w:type="dxa"/>
            <w:gridSpan w:val="2"/>
            <w:shd w:val="clear" w:color="auto" w:fill="D9D9D9"/>
          </w:tcPr>
          <w:p>
            <w:pPr>
              <w:pStyle w:val="TableParagraph"/>
              <w:spacing w:line="201" w:lineRule="exact"/>
              <w:rPr>
                <w:b/>
                <w:sz w:val="18"/>
              </w:rPr>
            </w:pPr>
            <w:r>
              <w:rPr>
                <w:b/>
                <w:sz w:val="18"/>
              </w:rPr>
              <w:t>(total for the 10-min test)</w:t>
            </w:r>
          </w:p>
        </w:tc>
        <w:tc>
          <w:tcPr>
            <w:tcW w:w="2424" w:type="dxa"/>
            <w:gridSpan w:val="2"/>
            <w:vMerge/>
            <w:shd w:val="clear" w:color="auto" w:fill="D9D9D9"/>
          </w:tcPr>
          <w:p>
            <w:pPr/>
          </w:p>
        </w:tc>
      </w:tr>
      <w:tr>
        <w:trPr>
          <w:trHeight w:val="914" w:hRule="exact"/>
        </w:trPr>
        <w:tc>
          <w:tcPr>
            <w:tcW w:w="1111" w:type="dxa"/>
            <w:vMerge/>
            <w:shd w:val="clear" w:color="auto" w:fill="D9D9D9"/>
          </w:tcPr>
          <w:p>
            <w:pPr/>
          </w:p>
        </w:tc>
        <w:tc>
          <w:tcPr>
            <w:tcW w:w="1496" w:type="dxa"/>
            <w:shd w:val="clear" w:color="auto" w:fill="D9D9D9"/>
          </w:tcPr>
          <w:p>
            <w:pPr>
              <w:pStyle w:val="TableParagraph"/>
              <w:spacing w:line="240" w:lineRule="auto"/>
              <w:ind w:right="603"/>
              <w:rPr>
                <w:b/>
                <w:sz w:val="18"/>
              </w:rPr>
            </w:pPr>
            <w:r>
              <w:rPr>
                <w:b/>
                <w:sz w:val="18"/>
              </w:rPr>
              <w:t>Transmit Device 1</w:t>
            </w:r>
          </w:p>
        </w:tc>
        <w:tc>
          <w:tcPr>
            <w:tcW w:w="1380" w:type="dxa"/>
            <w:shd w:val="clear" w:color="auto" w:fill="D9D9D9"/>
          </w:tcPr>
          <w:p>
            <w:pPr>
              <w:pStyle w:val="TableParagraph"/>
              <w:spacing w:line="240" w:lineRule="auto"/>
              <w:ind w:right="487"/>
              <w:rPr>
                <w:b/>
                <w:sz w:val="18"/>
              </w:rPr>
            </w:pPr>
            <w:r>
              <w:rPr>
                <w:b/>
                <w:sz w:val="18"/>
              </w:rPr>
              <w:t>Transmit Device 2</w:t>
            </w:r>
          </w:p>
        </w:tc>
        <w:tc>
          <w:tcPr>
            <w:tcW w:w="1500" w:type="dxa"/>
            <w:shd w:val="clear" w:color="auto" w:fill="D9D9D9"/>
          </w:tcPr>
          <w:p>
            <w:pPr>
              <w:pStyle w:val="TableParagraph"/>
              <w:tabs>
                <w:tab w:pos="1228" w:val="left" w:leader="none"/>
              </w:tabs>
              <w:spacing w:line="240" w:lineRule="auto"/>
              <w:ind w:right="100"/>
              <w:rPr>
                <w:b/>
                <w:sz w:val="18"/>
              </w:rPr>
            </w:pPr>
            <w:r>
              <w:rPr>
                <w:b/>
                <w:sz w:val="18"/>
              </w:rPr>
              <w:t>Received</w:t>
              <w:tab/>
              <w:t>at Device  3</w:t>
            </w:r>
            <w:r>
              <w:rPr>
                <w:b/>
                <w:spacing w:val="49"/>
                <w:sz w:val="18"/>
              </w:rPr>
              <w:t> </w:t>
            </w:r>
            <w:r>
              <w:rPr>
                <w:b/>
                <w:sz w:val="18"/>
              </w:rPr>
              <w:t>from</w:t>
            </w:r>
          </w:p>
          <w:p>
            <w:pPr>
              <w:pStyle w:val="TableParagraph"/>
              <w:spacing w:before="5"/>
              <w:rPr>
                <w:b/>
                <w:sz w:val="18"/>
              </w:rPr>
            </w:pPr>
            <w:r>
              <w:rPr>
                <w:b/>
                <w:sz w:val="18"/>
              </w:rPr>
              <w:t>Device 1</w:t>
            </w:r>
          </w:p>
        </w:tc>
        <w:tc>
          <w:tcPr>
            <w:tcW w:w="1441" w:type="dxa"/>
            <w:shd w:val="clear" w:color="auto" w:fill="D9D9D9"/>
          </w:tcPr>
          <w:p>
            <w:pPr>
              <w:pStyle w:val="TableParagraph"/>
              <w:tabs>
                <w:tab w:pos="1168" w:val="left" w:leader="none"/>
              </w:tabs>
              <w:spacing w:line="240" w:lineRule="auto"/>
              <w:ind w:right="100"/>
              <w:rPr>
                <w:b/>
                <w:sz w:val="18"/>
              </w:rPr>
            </w:pPr>
            <w:r>
              <w:rPr>
                <w:b/>
                <w:sz w:val="18"/>
              </w:rPr>
              <w:t>Received</w:t>
              <w:tab/>
              <w:t>at Device 3</w:t>
            </w:r>
            <w:r>
              <w:rPr>
                <w:b/>
                <w:spacing w:val="41"/>
                <w:sz w:val="18"/>
              </w:rPr>
              <w:t> </w:t>
            </w:r>
            <w:r>
              <w:rPr>
                <w:b/>
                <w:sz w:val="18"/>
              </w:rPr>
              <w:t>from</w:t>
            </w:r>
          </w:p>
          <w:p>
            <w:pPr>
              <w:pStyle w:val="TableParagraph"/>
              <w:spacing w:before="5"/>
              <w:rPr>
                <w:b/>
                <w:sz w:val="18"/>
              </w:rPr>
            </w:pPr>
            <w:r>
              <w:rPr>
                <w:b/>
                <w:sz w:val="18"/>
              </w:rPr>
              <w:t>Device 2</w:t>
            </w:r>
          </w:p>
        </w:tc>
        <w:tc>
          <w:tcPr>
            <w:tcW w:w="1260" w:type="dxa"/>
            <w:shd w:val="clear" w:color="auto" w:fill="D9D9D9"/>
          </w:tcPr>
          <w:p>
            <w:pPr>
              <w:pStyle w:val="TableParagraph"/>
              <w:spacing w:line="240" w:lineRule="auto"/>
              <w:ind w:right="396"/>
              <w:rPr>
                <w:b/>
                <w:sz w:val="18"/>
              </w:rPr>
            </w:pPr>
            <w:r>
              <w:rPr>
                <w:b/>
                <w:sz w:val="18"/>
              </w:rPr>
              <w:t>For Packets from Device 1</w:t>
            </w:r>
          </w:p>
        </w:tc>
        <w:tc>
          <w:tcPr>
            <w:tcW w:w="1164" w:type="dxa"/>
            <w:shd w:val="clear" w:color="auto" w:fill="D9D9D9"/>
          </w:tcPr>
          <w:p>
            <w:pPr>
              <w:pStyle w:val="TableParagraph"/>
              <w:spacing w:line="240" w:lineRule="auto"/>
              <w:ind w:right="301"/>
              <w:rPr>
                <w:b/>
                <w:sz w:val="18"/>
              </w:rPr>
            </w:pPr>
            <w:r>
              <w:rPr>
                <w:b/>
                <w:sz w:val="18"/>
              </w:rPr>
              <w:t>For Packets from Device 2</w:t>
            </w:r>
          </w:p>
        </w:tc>
      </w:tr>
      <w:tr>
        <w:trPr>
          <w:trHeight w:val="310" w:hRule="exact"/>
        </w:trPr>
        <w:tc>
          <w:tcPr>
            <w:tcW w:w="1111" w:type="dxa"/>
          </w:tcPr>
          <w:p>
            <w:pPr>
              <w:pStyle w:val="TableParagraph"/>
              <w:spacing w:line="201" w:lineRule="exact"/>
              <w:rPr>
                <w:b/>
                <w:sz w:val="18"/>
              </w:rPr>
            </w:pPr>
            <w:r>
              <w:rPr>
                <w:b/>
                <w:w w:val="99"/>
                <w:sz w:val="18"/>
              </w:rPr>
              <w:t>1</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5996</w:t>
            </w:r>
          </w:p>
        </w:tc>
        <w:tc>
          <w:tcPr>
            <w:tcW w:w="1441" w:type="dxa"/>
          </w:tcPr>
          <w:p>
            <w:pPr>
              <w:pStyle w:val="TableParagraph"/>
              <w:rPr>
                <w:sz w:val="18"/>
              </w:rPr>
            </w:pPr>
            <w:r>
              <w:rPr>
                <w:sz w:val="18"/>
              </w:rPr>
              <w:t>5997</w:t>
            </w:r>
          </w:p>
        </w:tc>
        <w:tc>
          <w:tcPr>
            <w:tcW w:w="1260" w:type="dxa"/>
          </w:tcPr>
          <w:p>
            <w:pPr>
              <w:pStyle w:val="TableParagraph"/>
              <w:rPr>
                <w:sz w:val="18"/>
              </w:rPr>
            </w:pPr>
            <w:r>
              <w:rPr>
                <w:sz w:val="18"/>
              </w:rPr>
              <w:t>0.07</w:t>
            </w:r>
          </w:p>
        </w:tc>
        <w:tc>
          <w:tcPr>
            <w:tcW w:w="1164" w:type="dxa"/>
          </w:tcPr>
          <w:p>
            <w:pPr>
              <w:pStyle w:val="TableParagraph"/>
              <w:rPr>
                <w:sz w:val="18"/>
              </w:rPr>
            </w:pPr>
            <w:r>
              <w:rPr>
                <w:sz w:val="18"/>
              </w:rPr>
              <w:t>0.05</w:t>
            </w:r>
          </w:p>
        </w:tc>
      </w:tr>
      <w:tr>
        <w:trPr>
          <w:trHeight w:val="310" w:hRule="exact"/>
        </w:trPr>
        <w:tc>
          <w:tcPr>
            <w:tcW w:w="1111" w:type="dxa"/>
          </w:tcPr>
          <w:p>
            <w:pPr>
              <w:pStyle w:val="TableParagraph"/>
              <w:spacing w:line="201" w:lineRule="exact"/>
              <w:rPr>
                <w:b/>
                <w:sz w:val="18"/>
              </w:rPr>
            </w:pPr>
            <w:r>
              <w:rPr>
                <w:b/>
                <w:w w:val="99"/>
                <w:sz w:val="18"/>
              </w:rPr>
              <w:t>2</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6000</w:t>
            </w:r>
          </w:p>
        </w:tc>
        <w:tc>
          <w:tcPr>
            <w:tcW w:w="1441" w:type="dxa"/>
          </w:tcPr>
          <w:p>
            <w:pPr>
              <w:pStyle w:val="TableParagraph"/>
              <w:rPr>
                <w:sz w:val="18"/>
              </w:rPr>
            </w:pPr>
            <w:r>
              <w:rPr>
                <w:sz w:val="18"/>
              </w:rPr>
              <w:t>6000</w:t>
            </w:r>
          </w:p>
        </w:tc>
        <w:tc>
          <w:tcPr>
            <w:tcW w:w="1260" w:type="dxa"/>
          </w:tcPr>
          <w:p>
            <w:pPr>
              <w:pStyle w:val="TableParagraph"/>
              <w:rPr>
                <w:sz w:val="18"/>
              </w:rPr>
            </w:pPr>
            <w:r>
              <w:rPr>
                <w:sz w:val="18"/>
              </w:rPr>
              <w:t>0.00</w:t>
            </w:r>
          </w:p>
        </w:tc>
        <w:tc>
          <w:tcPr>
            <w:tcW w:w="1164" w:type="dxa"/>
          </w:tcPr>
          <w:p>
            <w:pPr>
              <w:pStyle w:val="TableParagraph"/>
              <w:rPr>
                <w:sz w:val="18"/>
              </w:rPr>
            </w:pPr>
            <w:r>
              <w:rPr>
                <w:sz w:val="18"/>
              </w:rPr>
              <w:t>0.00</w:t>
            </w:r>
          </w:p>
        </w:tc>
      </w:tr>
      <w:tr>
        <w:trPr>
          <w:trHeight w:val="310" w:hRule="exact"/>
        </w:trPr>
        <w:tc>
          <w:tcPr>
            <w:tcW w:w="1111" w:type="dxa"/>
          </w:tcPr>
          <w:p>
            <w:pPr>
              <w:pStyle w:val="TableParagraph"/>
              <w:spacing w:line="201" w:lineRule="exact"/>
              <w:rPr>
                <w:b/>
                <w:sz w:val="18"/>
              </w:rPr>
            </w:pPr>
            <w:r>
              <w:rPr>
                <w:b/>
                <w:w w:val="99"/>
                <w:sz w:val="18"/>
              </w:rPr>
              <w:t>3</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5542</w:t>
            </w:r>
          </w:p>
        </w:tc>
        <w:tc>
          <w:tcPr>
            <w:tcW w:w="1441" w:type="dxa"/>
          </w:tcPr>
          <w:p>
            <w:pPr>
              <w:pStyle w:val="TableParagraph"/>
              <w:rPr>
                <w:sz w:val="18"/>
              </w:rPr>
            </w:pPr>
            <w:r>
              <w:rPr>
                <w:sz w:val="18"/>
              </w:rPr>
              <w:t>5552</w:t>
            </w:r>
          </w:p>
        </w:tc>
        <w:tc>
          <w:tcPr>
            <w:tcW w:w="1260" w:type="dxa"/>
          </w:tcPr>
          <w:p>
            <w:pPr>
              <w:pStyle w:val="TableParagraph"/>
              <w:rPr>
                <w:sz w:val="18"/>
              </w:rPr>
            </w:pPr>
            <w:r>
              <w:rPr>
                <w:sz w:val="18"/>
              </w:rPr>
              <w:t>7.63</w:t>
            </w:r>
          </w:p>
        </w:tc>
        <w:tc>
          <w:tcPr>
            <w:tcW w:w="1164" w:type="dxa"/>
          </w:tcPr>
          <w:p>
            <w:pPr>
              <w:pStyle w:val="TableParagraph"/>
              <w:rPr>
                <w:sz w:val="18"/>
              </w:rPr>
            </w:pPr>
            <w:r>
              <w:rPr>
                <w:sz w:val="18"/>
              </w:rPr>
              <w:t>7.47</w:t>
            </w:r>
          </w:p>
        </w:tc>
      </w:tr>
      <w:tr>
        <w:trPr>
          <w:trHeight w:val="312" w:hRule="exact"/>
        </w:trPr>
        <w:tc>
          <w:tcPr>
            <w:tcW w:w="1111" w:type="dxa"/>
          </w:tcPr>
          <w:p>
            <w:pPr>
              <w:pStyle w:val="TableParagraph"/>
              <w:spacing w:line="204" w:lineRule="exact"/>
              <w:rPr>
                <w:b/>
                <w:sz w:val="18"/>
              </w:rPr>
            </w:pPr>
            <w:r>
              <w:rPr>
                <w:b/>
                <w:w w:val="99"/>
                <w:sz w:val="18"/>
              </w:rPr>
              <w:t>4</w:t>
            </w:r>
          </w:p>
        </w:tc>
        <w:tc>
          <w:tcPr>
            <w:tcW w:w="1496" w:type="dxa"/>
          </w:tcPr>
          <w:p>
            <w:pPr>
              <w:pStyle w:val="TableParagraph"/>
              <w:spacing w:line="204" w:lineRule="exact"/>
              <w:rPr>
                <w:b/>
                <w:sz w:val="18"/>
              </w:rPr>
            </w:pPr>
            <w:r>
              <w:rPr>
                <w:b/>
                <w:sz w:val="18"/>
              </w:rPr>
              <w:t>6000</w:t>
            </w:r>
          </w:p>
        </w:tc>
        <w:tc>
          <w:tcPr>
            <w:tcW w:w="1380" w:type="dxa"/>
          </w:tcPr>
          <w:p>
            <w:pPr>
              <w:pStyle w:val="TableParagraph"/>
              <w:spacing w:line="204" w:lineRule="exact"/>
              <w:rPr>
                <w:b/>
                <w:sz w:val="18"/>
              </w:rPr>
            </w:pPr>
            <w:r>
              <w:rPr>
                <w:b/>
                <w:sz w:val="18"/>
              </w:rPr>
              <w:t>6000</w:t>
            </w:r>
          </w:p>
        </w:tc>
        <w:tc>
          <w:tcPr>
            <w:tcW w:w="1500" w:type="dxa"/>
          </w:tcPr>
          <w:p>
            <w:pPr>
              <w:pStyle w:val="TableParagraph"/>
              <w:spacing w:line="240" w:lineRule="auto" w:before="1"/>
              <w:rPr>
                <w:sz w:val="18"/>
              </w:rPr>
            </w:pPr>
            <w:r>
              <w:rPr>
                <w:sz w:val="18"/>
              </w:rPr>
              <w:t>5894</w:t>
            </w:r>
          </w:p>
        </w:tc>
        <w:tc>
          <w:tcPr>
            <w:tcW w:w="1441" w:type="dxa"/>
          </w:tcPr>
          <w:p>
            <w:pPr>
              <w:pStyle w:val="TableParagraph"/>
              <w:spacing w:line="240" w:lineRule="auto" w:before="1"/>
              <w:rPr>
                <w:sz w:val="18"/>
              </w:rPr>
            </w:pPr>
            <w:r>
              <w:rPr>
                <w:sz w:val="18"/>
              </w:rPr>
              <w:t>5897</w:t>
            </w:r>
          </w:p>
        </w:tc>
        <w:tc>
          <w:tcPr>
            <w:tcW w:w="1260" w:type="dxa"/>
          </w:tcPr>
          <w:p>
            <w:pPr>
              <w:pStyle w:val="TableParagraph"/>
              <w:spacing w:line="240" w:lineRule="auto" w:before="1"/>
              <w:rPr>
                <w:sz w:val="18"/>
              </w:rPr>
            </w:pPr>
            <w:r>
              <w:rPr>
                <w:sz w:val="18"/>
              </w:rPr>
              <w:t>1.77</w:t>
            </w:r>
          </w:p>
        </w:tc>
        <w:tc>
          <w:tcPr>
            <w:tcW w:w="1164" w:type="dxa"/>
          </w:tcPr>
          <w:p>
            <w:pPr>
              <w:pStyle w:val="TableParagraph"/>
              <w:spacing w:line="240" w:lineRule="auto" w:before="1"/>
              <w:rPr>
                <w:sz w:val="18"/>
              </w:rPr>
            </w:pPr>
            <w:r>
              <w:rPr>
                <w:sz w:val="18"/>
              </w:rPr>
              <w:t>1.72</w:t>
            </w:r>
          </w:p>
        </w:tc>
      </w:tr>
      <w:tr>
        <w:trPr>
          <w:trHeight w:val="310" w:hRule="exact"/>
        </w:trPr>
        <w:tc>
          <w:tcPr>
            <w:tcW w:w="1111" w:type="dxa"/>
          </w:tcPr>
          <w:p>
            <w:pPr>
              <w:pStyle w:val="TableParagraph"/>
              <w:spacing w:line="201" w:lineRule="exact"/>
              <w:rPr>
                <w:b/>
                <w:sz w:val="18"/>
              </w:rPr>
            </w:pPr>
            <w:r>
              <w:rPr>
                <w:b/>
                <w:w w:val="99"/>
                <w:sz w:val="18"/>
              </w:rPr>
              <w:t>5</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6000</w:t>
            </w:r>
          </w:p>
        </w:tc>
        <w:tc>
          <w:tcPr>
            <w:tcW w:w="1441" w:type="dxa"/>
          </w:tcPr>
          <w:p>
            <w:pPr>
              <w:pStyle w:val="TableParagraph"/>
              <w:rPr>
                <w:sz w:val="18"/>
              </w:rPr>
            </w:pPr>
            <w:r>
              <w:rPr>
                <w:sz w:val="18"/>
              </w:rPr>
              <w:t>6000</w:t>
            </w:r>
          </w:p>
        </w:tc>
        <w:tc>
          <w:tcPr>
            <w:tcW w:w="1260" w:type="dxa"/>
          </w:tcPr>
          <w:p>
            <w:pPr>
              <w:pStyle w:val="TableParagraph"/>
              <w:rPr>
                <w:sz w:val="18"/>
              </w:rPr>
            </w:pPr>
            <w:r>
              <w:rPr>
                <w:sz w:val="18"/>
              </w:rPr>
              <w:t>0.00</w:t>
            </w:r>
          </w:p>
        </w:tc>
        <w:tc>
          <w:tcPr>
            <w:tcW w:w="1164" w:type="dxa"/>
          </w:tcPr>
          <w:p>
            <w:pPr>
              <w:pStyle w:val="TableParagraph"/>
              <w:rPr>
                <w:sz w:val="18"/>
              </w:rPr>
            </w:pPr>
            <w:r>
              <w:rPr>
                <w:sz w:val="18"/>
              </w:rPr>
              <w:t>0.00</w:t>
            </w:r>
          </w:p>
        </w:tc>
      </w:tr>
      <w:tr>
        <w:trPr>
          <w:trHeight w:val="310" w:hRule="exact"/>
        </w:trPr>
        <w:tc>
          <w:tcPr>
            <w:tcW w:w="1111" w:type="dxa"/>
          </w:tcPr>
          <w:p>
            <w:pPr>
              <w:pStyle w:val="TableParagraph"/>
              <w:spacing w:line="201" w:lineRule="exact"/>
              <w:rPr>
                <w:b/>
                <w:sz w:val="18"/>
              </w:rPr>
            </w:pPr>
            <w:r>
              <w:rPr>
                <w:b/>
                <w:w w:val="99"/>
                <w:sz w:val="18"/>
              </w:rPr>
              <w:t>6</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5996</w:t>
            </w:r>
          </w:p>
        </w:tc>
        <w:tc>
          <w:tcPr>
            <w:tcW w:w="1441" w:type="dxa"/>
          </w:tcPr>
          <w:p>
            <w:pPr>
              <w:pStyle w:val="TableParagraph"/>
              <w:rPr>
                <w:sz w:val="18"/>
              </w:rPr>
            </w:pPr>
            <w:r>
              <w:rPr>
                <w:sz w:val="18"/>
              </w:rPr>
              <w:t>5995</w:t>
            </w:r>
          </w:p>
        </w:tc>
        <w:tc>
          <w:tcPr>
            <w:tcW w:w="1260" w:type="dxa"/>
          </w:tcPr>
          <w:p>
            <w:pPr>
              <w:pStyle w:val="TableParagraph"/>
              <w:rPr>
                <w:sz w:val="18"/>
              </w:rPr>
            </w:pPr>
            <w:r>
              <w:rPr>
                <w:sz w:val="18"/>
              </w:rPr>
              <w:t>0.07</w:t>
            </w:r>
          </w:p>
        </w:tc>
        <w:tc>
          <w:tcPr>
            <w:tcW w:w="1164" w:type="dxa"/>
          </w:tcPr>
          <w:p>
            <w:pPr>
              <w:pStyle w:val="TableParagraph"/>
              <w:rPr>
                <w:sz w:val="18"/>
              </w:rPr>
            </w:pPr>
            <w:r>
              <w:rPr>
                <w:sz w:val="18"/>
              </w:rPr>
              <w:t>0.08</w:t>
            </w:r>
          </w:p>
        </w:tc>
      </w:tr>
      <w:tr>
        <w:trPr>
          <w:trHeight w:val="310" w:hRule="exact"/>
        </w:trPr>
        <w:tc>
          <w:tcPr>
            <w:tcW w:w="1111" w:type="dxa"/>
          </w:tcPr>
          <w:p>
            <w:pPr>
              <w:pStyle w:val="TableParagraph"/>
              <w:spacing w:line="201" w:lineRule="exact"/>
              <w:rPr>
                <w:b/>
                <w:sz w:val="18"/>
              </w:rPr>
            </w:pPr>
            <w:r>
              <w:rPr>
                <w:b/>
                <w:w w:val="99"/>
                <w:sz w:val="18"/>
              </w:rPr>
              <w:t>7</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6000</w:t>
            </w:r>
          </w:p>
        </w:tc>
        <w:tc>
          <w:tcPr>
            <w:tcW w:w="1441" w:type="dxa"/>
          </w:tcPr>
          <w:p>
            <w:pPr>
              <w:pStyle w:val="TableParagraph"/>
              <w:rPr>
                <w:sz w:val="18"/>
              </w:rPr>
            </w:pPr>
            <w:r>
              <w:rPr>
                <w:sz w:val="18"/>
              </w:rPr>
              <w:t>6000</w:t>
            </w:r>
          </w:p>
        </w:tc>
        <w:tc>
          <w:tcPr>
            <w:tcW w:w="1260" w:type="dxa"/>
          </w:tcPr>
          <w:p>
            <w:pPr>
              <w:pStyle w:val="TableParagraph"/>
              <w:rPr>
                <w:sz w:val="18"/>
              </w:rPr>
            </w:pPr>
            <w:r>
              <w:rPr>
                <w:sz w:val="18"/>
              </w:rPr>
              <w:t>0.00</w:t>
            </w:r>
          </w:p>
        </w:tc>
        <w:tc>
          <w:tcPr>
            <w:tcW w:w="1164" w:type="dxa"/>
          </w:tcPr>
          <w:p>
            <w:pPr>
              <w:pStyle w:val="TableParagraph"/>
              <w:rPr>
                <w:sz w:val="18"/>
              </w:rPr>
            </w:pPr>
            <w:r>
              <w:rPr>
                <w:sz w:val="18"/>
              </w:rPr>
              <w:t>0.00</w:t>
            </w:r>
          </w:p>
        </w:tc>
      </w:tr>
      <w:tr>
        <w:trPr>
          <w:trHeight w:val="310" w:hRule="exact"/>
        </w:trPr>
        <w:tc>
          <w:tcPr>
            <w:tcW w:w="1111" w:type="dxa"/>
          </w:tcPr>
          <w:p>
            <w:pPr>
              <w:pStyle w:val="TableParagraph"/>
              <w:spacing w:line="201" w:lineRule="exact"/>
              <w:rPr>
                <w:b/>
                <w:sz w:val="18"/>
              </w:rPr>
            </w:pPr>
            <w:r>
              <w:rPr>
                <w:b/>
                <w:w w:val="99"/>
                <w:sz w:val="18"/>
              </w:rPr>
              <w:t>8</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5939</w:t>
            </w:r>
          </w:p>
        </w:tc>
        <w:tc>
          <w:tcPr>
            <w:tcW w:w="1441" w:type="dxa"/>
          </w:tcPr>
          <w:p>
            <w:pPr>
              <w:pStyle w:val="TableParagraph"/>
              <w:rPr>
                <w:sz w:val="18"/>
              </w:rPr>
            </w:pPr>
            <w:r>
              <w:rPr>
                <w:sz w:val="18"/>
              </w:rPr>
              <w:t>5941</w:t>
            </w:r>
          </w:p>
        </w:tc>
        <w:tc>
          <w:tcPr>
            <w:tcW w:w="1260" w:type="dxa"/>
          </w:tcPr>
          <w:p>
            <w:pPr>
              <w:pStyle w:val="TableParagraph"/>
              <w:rPr>
                <w:sz w:val="18"/>
              </w:rPr>
            </w:pPr>
            <w:r>
              <w:rPr>
                <w:sz w:val="18"/>
              </w:rPr>
              <w:t>1.02</w:t>
            </w:r>
          </w:p>
        </w:tc>
        <w:tc>
          <w:tcPr>
            <w:tcW w:w="1164" w:type="dxa"/>
          </w:tcPr>
          <w:p>
            <w:pPr>
              <w:pStyle w:val="TableParagraph"/>
              <w:rPr>
                <w:sz w:val="18"/>
              </w:rPr>
            </w:pPr>
            <w:r>
              <w:rPr>
                <w:sz w:val="18"/>
              </w:rPr>
              <w:t>0.98</w:t>
            </w:r>
          </w:p>
        </w:tc>
      </w:tr>
      <w:tr>
        <w:trPr>
          <w:trHeight w:val="310" w:hRule="exact"/>
        </w:trPr>
        <w:tc>
          <w:tcPr>
            <w:tcW w:w="1111" w:type="dxa"/>
          </w:tcPr>
          <w:p>
            <w:pPr>
              <w:pStyle w:val="TableParagraph"/>
              <w:spacing w:line="201" w:lineRule="exact"/>
              <w:rPr>
                <w:b/>
                <w:sz w:val="18"/>
              </w:rPr>
            </w:pPr>
            <w:r>
              <w:rPr>
                <w:b/>
                <w:w w:val="99"/>
                <w:sz w:val="18"/>
              </w:rPr>
              <w:t>9</w:t>
            </w:r>
          </w:p>
        </w:tc>
        <w:tc>
          <w:tcPr>
            <w:tcW w:w="1496" w:type="dxa"/>
          </w:tcPr>
          <w:p>
            <w:pPr>
              <w:pStyle w:val="TableParagraph"/>
              <w:spacing w:line="201" w:lineRule="exact"/>
              <w:rPr>
                <w:b/>
                <w:sz w:val="18"/>
              </w:rPr>
            </w:pPr>
            <w:r>
              <w:rPr>
                <w:b/>
                <w:sz w:val="18"/>
              </w:rPr>
              <w:t>6000</w:t>
            </w:r>
          </w:p>
        </w:tc>
        <w:tc>
          <w:tcPr>
            <w:tcW w:w="1380" w:type="dxa"/>
          </w:tcPr>
          <w:p>
            <w:pPr>
              <w:pStyle w:val="TableParagraph"/>
              <w:spacing w:line="201" w:lineRule="exact"/>
              <w:rPr>
                <w:b/>
                <w:sz w:val="18"/>
              </w:rPr>
            </w:pPr>
            <w:r>
              <w:rPr>
                <w:b/>
                <w:sz w:val="18"/>
              </w:rPr>
              <w:t>6000</w:t>
            </w:r>
          </w:p>
        </w:tc>
        <w:tc>
          <w:tcPr>
            <w:tcW w:w="1500" w:type="dxa"/>
          </w:tcPr>
          <w:p>
            <w:pPr>
              <w:pStyle w:val="TableParagraph"/>
              <w:rPr>
                <w:sz w:val="18"/>
              </w:rPr>
            </w:pPr>
            <w:r>
              <w:rPr>
                <w:sz w:val="18"/>
              </w:rPr>
              <w:t>5999</w:t>
            </w:r>
          </w:p>
        </w:tc>
        <w:tc>
          <w:tcPr>
            <w:tcW w:w="1441" w:type="dxa"/>
          </w:tcPr>
          <w:p>
            <w:pPr>
              <w:pStyle w:val="TableParagraph"/>
              <w:rPr>
                <w:sz w:val="18"/>
              </w:rPr>
            </w:pPr>
            <w:r>
              <w:rPr>
                <w:sz w:val="18"/>
              </w:rPr>
              <w:t>6000</w:t>
            </w:r>
          </w:p>
        </w:tc>
        <w:tc>
          <w:tcPr>
            <w:tcW w:w="1260" w:type="dxa"/>
          </w:tcPr>
          <w:p>
            <w:pPr>
              <w:pStyle w:val="TableParagraph"/>
              <w:rPr>
                <w:sz w:val="18"/>
              </w:rPr>
            </w:pPr>
            <w:r>
              <w:rPr>
                <w:sz w:val="18"/>
              </w:rPr>
              <w:t>0.02</w:t>
            </w:r>
          </w:p>
        </w:tc>
        <w:tc>
          <w:tcPr>
            <w:tcW w:w="1164" w:type="dxa"/>
          </w:tcPr>
          <w:p>
            <w:pPr>
              <w:pStyle w:val="TableParagraph"/>
              <w:rPr>
                <w:sz w:val="18"/>
              </w:rPr>
            </w:pPr>
            <w:r>
              <w:rPr>
                <w:sz w:val="18"/>
              </w:rPr>
              <w:t>0.00</w:t>
            </w:r>
          </w:p>
        </w:tc>
      </w:tr>
      <w:tr>
        <w:trPr>
          <w:trHeight w:val="312" w:hRule="exact"/>
        </w:trPr>
        <w:tc>
          <w:tcPr>
            <w:tcW w:w="1111" w:type="dxa"/>
          </w:tcPr>
          <w:p>
            <w:pPr>
              <w:pStyle w:val="TableParagraph"/>
              <w:spacing w:line="204" w:lineRule="exact"/>
              <w:rPr>
                <w:b/>
                <w:sz w:val="18"/>
              </w:rPr>
            </w:pPr>
            <w:r>
              <w:rPr>
                <w:b/>
                <w:sz w:val="18"/>
              </w:rPr>
              <w:t>10</w:t>
            </w:r>
          </w:p>
        </w:tc>
        <w:tc>
          <w:tcPr>
            <w:tcW w:w="1496" w:type="dxa"/>
          </w:tcPr>
          <w:p>
            <w:pPr>
              <w:pStyle w:val="TableParagraph"/>
              <w:spacing w:line="204" w:lineRule="exact"/>
              <w:rPr>
                <w:b/>
                <w:sz w:val="18"/>
              </w:rPr>
            </w:pPr>
            <w:r>
              <w:rPr>
                <w:b/>
                <w:sz w:val="18"/>
              </w:rPr>
              <w:t>6000</w:t>
            </w:r>
          </w:p>
        </w:tc>
        <w:tc>
          <w:tcPr>
            <w:tcW w:w="1380" w:type="dxa"/>
          </w:tcPr>
          <w:p>
            <w:pPr>
              <w:pStyle w:val="TableParagraph"/>
              <w:spacing w:line="204" w:lineRule="exact"/>
              <w:rPr>
                <w:b/>
                <w:sz w:val="18"/>
              </w:rPr>
            </w:pPr>
            <w:r>
              <w:rPr>
                <w:b/>
                <w:sz w:val="18"/>
              </w:rPr>
              <w:t>6000</w:t>
            </w:r>
          </w:p>
        </w:tc>
        <w:tc>
          <w:tcPr>
            <w:tcW w:w="1500" w:type="dxa"/>
          </w:tcPr>
          <w:p>
            <w:pPr>
              <w:pStyle w:val="TableParagraph"/>
              <w:spacing w:line="240" w:lineRule="auto" w:before="1"/>
              <w:rPr>
                <w:sz w:val="18"/>
              </w:rPr>
            </w:pPr>
            <w:r>
              <w:rPr>
                <w:sz w:val="18"/>
              </w:rPr>
              <w:t>5999</w:t>
            </w:r>
          </w:p>
        </w:tc>
        <w:tc>
          <w:tcPr>
            <w:tcW w:w="1441" w:type="dxa"/>
          </w:tcPr>
          <w:p>
            <w:pPr>
              <w:pStyle w:val="TableParagraph"/>
              <w:spacing w:line="240" w:lineRule="auto" w:before="1"/>
              <w:rPr>
                <w:sz w:val="18"/>
              </w:rPr>
            </w:pPr>
            <w:r>
              <w:rPr>
                <w:sz w:val="18"/>
              </w:rPr>
              <w:t>6000</w:t>
            </w:r>
          </w:p>
        </w:tc>
        <w:tc>
          <w:tcPr>
            <w:tcW w:w="1260" w:type="dxa"/>
          </w:tcPr>
          <w:p>
            <w:pPr>
              <w:pStyle w:val="TableParagraph"/>
              <w:spacing w:line="240" w:lineRule="auto" w:before="1"/>
              <w:rPr>
                <w:sz w:val="18"/>
              </w:rPr>
            </w:pPr>
            <w:r>
              <w:rPr>
                <w:sz w:val="18"/>
              </w:rPr>
              <w:t>0.02</w:t>
            </w:r>
          </w:p>
        </w:tc>
        <w:tc>
          <w:tcPr>
            <w:tcW w:w="1164" w:type="dxa"/>
          </w:tcPr>
          <w:p>
            <w:pPr>
              <w:pStyle w:val="TableParagraph"/>
              <w:spacing w:line="240" w:lineRule="auto" w:before="1"/>
              <w:rPr>
                <w:sz w:val="18"/>
              </w:rPr>
            </w:pPr>
            <w:r>
              <w:rPr>
                <w:sz w:val="18"/>
              </w:rPr>
              <w:t>0.00</w:t>
            </w:r>
          </w:p>
        </w:tc>
      </w:tr>
      <w:tr>
        <w:trPr>
          <w:trHeight w:val="509" w:hRule="exact"/>
        </w:trPr>
        <w:tc>
          <w:tcPr>
            <w:tcW w:w="2607" w:type="dxa"/>
            <w:gridSpan w:val="2"/>
          </w:tcPr>
          <w:p>
            <w:pPr>
              <w:pStyle w:val="TableParagraph"/>
              <w:spacing w:line="240" w:lineRule="auto"/>
              <w:rPr>
                <w:b/>
                <w:sz w:val="18"/>
              </w:rPr>
            </w:pPr>
            <w:r>
              <w:rPr>
                <w:b/>
                <w:sz w:val="18"/>
              </w:rPr>
              <w:t>Measured Insertion Loss, Device 1 to Device 3 (dB)</w:t>
            </w:r>
          </w:p>
        </w:tc>
        <w:tc>
          <w:tcPr>
            <w:tcW w:w="2880" w:type="dxa"/>
            <w:gridSpan w:val="2"/>
          </w:tcPr>
          <w:p>
            <w:pPr>
              <w:pStyle w:val="TableParagraph"/>
              <w:spacing w:line="201" w:lineRule="exact"/>
              <w:rPr>
                <w:b/>
                <w:sz w:val="18"/>
              </w:rPr>
            </w:pPr>
            <w:r>
              <w:rPr>
                <w:b/>
                <w:sz w:val="18"/>
              </w:rPr>
              <w:t>37</w:t>
            </w:r>
          </w:p>
        </w:tc>
        <w:tc>
          <w:tcPr>
            <w:tcW w:w="1441" w:type="dxa"/>
          </w:tcPr>
          <w:p>
            <w:pPr>
              <w:pStyle w:val="TableParagraph"/>
              <w:tabs>
                <w:tab w:pos="1225" w:val="left" w:leader="none"/>
              </w:tabs>
              <w:spacing w:line="240" w:lineRule="auto"/>
              <w:ind w:right="103"/>
              <w:rPr>
                <w:b/>
                <w:sz w:val="18"/>
              </w:rPr>
            </w:pPr>
            <w:r>
              <w:rPr>
                <w:b/>
                <w:sz w:val="18"/>
              </w:rPr>
              <w:t>Attenuator</w:t>
              <w:tab/>
              <w:t>1 Value (dB)</w:t>
            </w:r>
          </w:p>
        </w:tc>
        <w:tc>
          <w:tcPr>
            <w:tcW w:w="2424" w:type="dxa"/>
            <w:gridSpan w:val="2"/>
          </w:tcPr>
          <w:p>
            <w:pPr>
              <w:pStyle w:val="TableParagraph"/>
              <w:spacing w:line="201" w:lineRule="exact"/>
              <w:rPr>
                <w:b/>
                <w:sz w:val="18"/>
              </w:rPr>
            </w:pPr>
            <w:r>
              <w:rPr>
                <w:b/>
                <w:sz w:val="18"/>
              </w:rPr>
              <w:t>50</w:t>
            </w:r>
          </w:p>
        </w:tc>
      </w:tr>
      <w:tr>
        <w:trPr>
          <w:trHeight w:val="564" w:hRule="exact"/>
        </w:trPr>
        <w:tc>
          <w:tcPr>
            <w:tcW w:w="2607" w:type="dxa"/>
            <w:gridSpan w:val="2"/>
          </w:tcPr>
          <w:p>
            <w:pPr>
              <w:pStyle w:val="TableParagraph"/>
              <w:spacing w:line="242" w:lineRule="auto"/>
              <w:rPr>
                <w:b/>
                <w:sz w:val="18"/>
              </w:rPr>
            </w:pPr>
            <w:r>
              <w:rPr>
                <w:b/>
                <w:sz w:val="18"/>
              </w:rPr>
              <w:t>Measured Insertion Loss, Device 2 to Device 3 (dB)</w:t>
            </w:r>
          </w:p>
        </w:tc>
        <w:tc>
          <w:tcPr>
            <w:tcW w:w="2880" w:type="dxa"/>
            <w:gridSpan w:val="2"/>
          </w:tcPr>
          <w:p>
            <w:pPr>
              <w:pStyle w:val="TableParagraph"/>
              <w:spacing w:line="201" w:lineRule="exact"/>
              <w:rPr>
                <w:b/>
                <w:sz w:val="18"/>
              </w:rPr>
            </w:pPr>
            <w:r>
              <w:rPr>
                <w:b/>
                <w:sz w:val="18"/>
              </w:rPr>
              <w:t>37</w:t>
            </w:r>
          </w:p>
        </w:tc>
        <w:tc>
          <w:tcPr>
            <w:tcW w:w="1441" w:type="dxa"/>
          </w:tcPr>
          <w:p>
            <w:pPr>
              <w:pStyle w:val="TableParagraph"/>
              <w:tabs>
                <w:tab w:pos="1225" w:val="left" w:leader="none"/>
              </w:tabs>
              <w:spacing w:line="242" w:lineRule="auto"/>
              <w:ind w:right="102"/>
              <w:rPr>
                <w:b/>
                <w:sz w:val="18"/>
              </w:rPr>
            </w:pPr>
            <w:r>
              <w:rPr>
                <w:b/>
                <w:sz w:val="18"/>
              </w:rPr>
              <w:t>Attenuator</w:t>
              <w:tab/>
              <w:t>2 Value (dB)</w:t>
            </w:r>
          </w:p>
        </w:tc>
        <w:tc>
          <w:tcPr>
            <w:tcW w:w="2424" w:type="dxa"/>
            <w:gridSpan w:val="2"/>
          </w:tcPr>
          <w:p>
            <w:pPr>
              <w:pStyle w:val="TableParagraph"/>
              <w:spacing w:line="201" w:lineRule="exact"/>
              <w:rPr>
                <w:b/>
                <w:sz w:val="18"/>
              </w:rPr>
            </w:pPr>
            <w:r>
              <w:rPr>
                <w:b/>
                <w:sz w:val="18"/>
              </w:rPr>
              <w:t>50</w:t>
            </w:r>
          </w:p>
        </w:tc>
      </w:tr>
    </w:tbl>
    <w:p>
      <w:pPr>
        <w:spacing w:after="0" w:line="201" w:lineRule="exact"/>
        <w:rPr>
          <w:sz w:val="18"/>
        </w:rPr>
        <w:sectPr>
          <w:headerReference w:type="default" r:id="rId285"/>
          <w:footerReference w:type="default" r:id="rId286"/>
          <w:pgSz w:w="11910" w:h="16850"/>
          <w:pgMar w:header="852" w:footer="979" w:top="1040" w:bottom="1160" w:left="0" w:right="0"/>
          <w:pgNumType w:start="51"/>
        </w:sectPr>
      </w:pPr>
    </w:p>
    <w:p>
      <w:pPr>
        <w:pStyle w:val="BodyText"/>
        <w:spacing w:before="1"/>
        <w:rPr>
          <w:b/>
          <w:sz w:val="23"/>
        </w:rPr>
      </w:pPr>
    </w:p>
    <w:p>
      <w:pPr>
        <w:pStyle w:val="Heading5"/>
        <w:numPr>
          <w:ilvl w:val="3"/>
          <w:numId w:val="30"/>
        </w:numPr>
        <w:tabs>
          <w:tab w:pos="2552" w:val="left" w:leader="none"/>
        </w:tabs>
        <w:spacing w:line="240" w:lineRule="auto" w:before="93" w:after="0"/>
        <w:ind w:left="2551" w:right="0" w:hanging="1418"/>
        <w:jc w:val="both"/>
        <w:rPr>
          <w:rFonts w:ascii="Arial"/>
        </w:rPr>
      </w:pPr>
      <w:r>
        <w:rPr>
          <w:rFonts w:ascii="Arial"/>
        </w:rPr>
        <w:t>Evaluation</w:t>
      </w:r>
      <w:r>
        <w:rPr>
          <w:rFonts w:ascii="Arial"/>
          <w:spacing w:val="-6"/>
        </w:rPr>
        <w:t> </w:t>
      </w:r>
      <w:r>
        <w:rPr>
          <w:rFonts w:ascii="Arial"/>
        </w:rPr>
        <w:t>Criteria</w:t>
      </w:r>
    </w:p>
    <w:p>
      <w:pPr>
        <w:pStyle w:val="BodyText"/>
        <w:spacing w:before="182"/>
        <w:ind w:left="1133" w:right="1133"/>
        <w:jc w:val="both"/>
      </w:pPr>
      <w:r>
        <w:rPr/>
        <w:t>Evaluation criteria assesses the performance in a collision-challenged environment through assessment of colliding TTIs and RBs.</w:t>
      </w:r>
    </w:p>
    <w:p>
      <w:pPr>
        <w:pStyle w:val="BodyText"/>
        <w:spacing w:before="11"/>
        <w:rPr>
          <w:sz w:val="25"/>
        </w:rPr>
      </w:pPr>
    </w:p>
    <w:p>
      <w:pPr>
        <w:pStyle w:val="Heading5"/>
        <w:numPr>
          <w:ilvl w:val="3"/>
          <w:numId w:val="30"/>
        </w:numPr>
        <w:tabs>
          <w:tab w:pos="2552" w:val="left" w:leader="none"/>
        </w:tabs>
        <w:spacing w:line="240" w:lineRule="auto" w:before="0" w:after="0"/>
        <w:ind w:left="2551" w:right="0" w:hanging="1418"/>
        <w:jc w:val="both"/>
        <w:rPr>
          <w:rFonts w:ascii="Arial"/>
        </w:rPr>
      </w:pPr>
      <w:r>
        <w:rPr>
          <w:rFonts w:ascii="Arial"/>
        </w:rPr>
        <w:t>Key</w:t>
      </w:r>
      <w:r>
        <w:rPr>
          <w:rFonts w:ascii="Arial"/>
          <w:spacing w:val="-11"/>
        </w:rPr>
        <w:t> </w:t>
      </w:r>
      <w:r>
        <w:rPr>
          <w:rFonts w:ascii="Arial"/>
        </w:rPr>
        <w:t>Takeaways</w:t>
      </w:r>
    </w:p>
    <w:p>
      <w:pPr>
        <w:pStyle w:val="BodyText"/>
        <w:spacing w:before="181"/>
        <w:ind w:left="1133" w:right="1130"/>
        <w:jc w:val="both"/>
      </w:pPr>
      <w:r>
        <w:rPr/>
        <w:t>This</w:t>
      </w:r>
      <w:r>
        <w:rPr>
          <w:spacing w:val="-9"/>
        </w:rPr>
        <w:t> </w:t>
      </w:r>
      <w:r>
        <w:rPr/>
        <w:t>section</w:t>
      </w:r>
      <w:r>
        <w:rPr>
          <w:spacing w:val="-9"/>
        </w:rPr>
        <w:t> </w:t>
      </w:r>
      <w:r>
        <w:rPr/>
        <w:t>examines</w:t>
      </w:r>
      <w:r>
        <w:rPr>
          <w:spacing w:val="-9"/>
        </w:rPr>
        <w:t> </w:t>
      </w:r>
      <w:r>
        <w:rPr/>
        <w:t>and</w:t>
      </w:r>
      <w:r>
        <w:rPr>
          <w:spacing w:val="-6"/>
        </w:rPr>
        <w:t> </w:t>
      </w:r>
      <w:r>
        <w:rPr/>
        <w:t>compares</w:t>
      </w:r>
      <w:r>
        <w:rPr>
          <w:spacing w:val="-9"/>
        </w:rPr>
        <w:t> </w:t>
      </w:r>
      <w:r>
        <w:rPr/>
        <w:t>the</w:t>
      </w:r>
      <w:r>
        <w:rPr>
          <w:spacing w:val="-9"/>
        </w:rPr>
        <w:t> </w:t>
      </w:r>
      <w:r>
        <w:rPr/>
        <w:t>robustness</w:t>
      </w:r>
      <w:r>
        <w:rPr>
          <w:spacing w:val="-7"/>
        </w:rPr>
        <w:t> </w:t>
      </w:r>
      <w:r>
        <w:rPr/>
        <w:t>of</w:t>
      </w:r>
      <w:r>
        <w:rPr>
          <w:spacing w:val="-8"/>
        </w:rPr>
        <w:t> </w:t>
      </w:r>
      <w:r>
        <w:rPr>
          <w:spacing w:val="2"/>
        </w:rPr>
        <w:t>V2X</w:t>
      </w:r>
      <w:r>
        <w:rPr>
          <w:spacing w:val="-9"/>
        </w:rPr>
        <w:t> </w:t>
      </w:r>
      <w:r>
        <w:rPr/>
        <w:t>technologies</w:t>
      </w:r>
      <w:r>
        <w:rPr>
          <w:spacing w:val="-7"/>
        </w:rPr>
        <w:t> </w:t>
      </w:r>
      <w:r>
        <w:rPr/>
        <w:t>for</w:t>
      </w:r>
      <w:r>
        <w:rPr>
          <w:spacing w:val="-9"/>
        </w:rPr>
        <w:t> </w:t>
      </w:r>
      <w:r>
        <w:rPr/>
        <w:t>the</w:t>
      </w:r>
      <w:r>
        <w:rPr>
          <w:spacing w:val="-9"/>
        </w:rPr>
        <w:t> </w:t>
      </w:r>
      <w:r>
        <w:rPr/>
        <w:t>hidden</w:t>
      </w:r>
      <w:r>
        <w:rPr>
          <w:spacing w:val="-9"/>
        </w:rPr>
        <w:t> </w:t>
      </w:r>
      <w:r>
        <w:rPr/>
        <w:t>node</w:t>
      </w:r>
      <w:r>
        <w:rPr>
          <w:spacing w:val="-8"/>
        </w:rPr>
        <w:t> </w:t>
      </w:r>
      <w:r>
        <w:rPr/>
        <w:t>scenario.</w:t>
      </w:r>
      <w:r>
        <w:rPr>
          <w:spacing w:val="-8"/>
        </w:rPr>
        <w:t> </w:t>
      </w:r>
      <w:r>
        <w:rPr/>
        <w:t>In</w:t>
      </w:r>
      <w:r>
        <w:rPr>
          <w:spacing w:val="-8"/>
        </w:rPr>
        <w:t> </w:t>
      </w:r>
      <w:r>
        <w:rPr/>
        <w:t>this scenario,</w:t>
      </w:r>
      <w:r>
        <w:rPr>
          <w:spacing w:val="-15"/>
        </w:rPr>
        <w:t> </w:t>
      </w:r>
      <w:r>
        <w:rPr/>
        <w:t>two</w:t>
      </w:r>
      <w:r>
        <w:rPr>
          <w:spacing w:val="-15"/>
        </w:rPr>
        <w:t> </w:t>
      </w:r>
      <w:r>
        <w:rPr/>
        <w:t>transmitters</w:t>
      </w:r>
      <w:r>
        <w:rPr>
          <w:spacing w:val="-16"/>
        </w:rPr>
        <w:t> </w:t>
      </w:r>
      <w:r>
        <w:rPr/>
        <w:t>target</w:t>
      </w:r>
      <w:r>
        <w:rPr>
          <w:spacing w:val="-15"/>
        </w:rPr>
        <w:t> </w:t>
      </w:r>
      <w:r>
        <w:rPr/>
        <w:t>the</w:t>
      </w:r>
      <w:r>
        <w:rPr>
          <w:spacing w:val="-16"/>
        </w:rPr>
        <w:t> </w:t>
      </w:r>
      <w:r>
        <w:rPr/>
        <w:t>same</w:t>
      </w:r>
      <w:r>
        <w:rPr>
          <w:spacing w:val="-18"/>
        </w:rPr>
        <w:t> </w:t>
      </w:r>
      <w:r>
        <w:rPr/>
        <w:t>receiver,</w:t>
      </w:r>
      <w:r>
        <w:rPr>
          <w:spacing w:val="-17"/>
        </w:rPr>
        <w:t> </w:t>
      </w:r>
      <w:r>
        <w:rPr/>
        <w:t>but</w:t>
      </w:r>
      <w:r>
        <w:rPr>
          <w:spacing w:val="-16"/>
        </w:rPr>
        <w:t> </w:t>
      </w:r>
      <w:r>
        <w:rPr/>
        <w:t>are</w:t>
      </w:r>
      <w:r>
        <w:rPr>
          <w:spacing w:val="-15"/>
        </w:rPr>
        <w:t> </w:t>
      </w:r>
      <w:r>
        <w:rPr/>
        <w:t>out</w:t>
      </w:r>
      <w:r>
        <w:rPr>
          <w:spacing w:val="-15"/>
        </w:rPr>
        <w:t> </w:t>
      </w:r>
      <w:r>
        <w:rPr/>
        <w:t>of</w:t>
      </w:r>
      <w:r>
        <w:rPr>
          <w:spacing w:val="-16"/>
        </w:rPr>
        <w:t> </w:t>
      </w:r>
      <w:r>
        <w:rPr/>
        <w:t>communication</w:t>
      </w:r>
      <w:r>
        <w:rPr>
          <w:spacing w:val="-18"/>
        </w:rPr>
        <w:t> </w:t>
      </w:r>
      <w:r>
        <w:rPr/>
        <w:t>range</w:t>
      </w:r>
      <w:r>
        <w:rPr>
          <w:spacing w:val="-16"/>
        </w:rPr>
        <w:t> </w:t>
      </w:r>
      <w:r>
        <w:rPr/>
        <w:t>of</w:t>
      </w:r>
      <w:r>
        <w:rPr>
          <w:spacing w:val="-16"/>
        </w:rPr>
        <w:t> </w:t>
      </w:r>
      <w:r>
        <w:rPr/>
        <w:t>each</w:t>
      </w:r>
      <w:r>
        <w:rPr>
          <w:spacing w:val="-15"/>
        </w:rPr>
        <w:t> </w:t>
      </w:r>
      <w:r>
        <w:rPr/>
        <w:t>other.</w:t>
      </w:r>
      <w:r>
        <w:rPr>
          <w:spacing w:val="-15"/>
        </w:rPr>
        <w:t> </w:t>
      </w:r>
      <w:r>
        <w:rPr/>
        <w:t>Because the two transmitters are unaware of each other, the scheduling algorithm cannot effectively avoid mutual collision.</w:t>
      </w:r>
    </w:p>
    <w:p>
      <w:pPr>
        <w:pStyle w:val="BodyText"/>
        <w:spacing w:before="180"/>
        <w:ind w:left="1133" w:right="1136"/>
        <w:jc w:val="both"/>
      </w:pPr>
      <w:r>
        <w:rPr/>
        <w:t>We tested two scenarios. The scenario with no congesting devices models a lightly loaded deployment with no other users around. In this case, we observed that C-V2X and DSRC communications stayed robust with lower than 1% PER.</w:t>
      </w:r>
    </w:p>
    <w:p>
      <w:pPr>
        <w:pStyle w:val="BodyText"/>
        <w:spacing w:before="178"/>
        <w:ind w:left="1133" w:right="1135"/>
        <w:jc w:val="both"/>
      </w:pPr>
      <w:r>
        <w:rPr/>
        <w:t>In the scenario with congesting devices, congestion is added to the system to reduce the number of available resources and to increase the probability of collision. This is achieved by connecting separate congesting device to each of the two transmitters. The emulated scenario calls for each transmitter being congested by its own cluster of local users.</w:t>
      </w:r>
    </w:p>
    <w:p>
      <w:pPr>
        <w:pStyle w:val="BodyText"/>
        <w:spacing w:before="180"/>
        <w:ind w:left="1133" w:right="1135"/>
        <w:jc w:val="both"/>
      </w:pPr>
      <w:r>
        <w:rPr/>
        <w:t>In</w:t>
      </w:r>
      <w:r>
        <w:rPr>
          <w:spacing w:val="-16"/>
        </w:rPr>
        <w:t> </w:t>
      </w:r>
      <w:r>
        <w:rPr/>
        <w:t>the</w:t>
      </w:r>
      <w:r>
        <w:rPr>
          <w:spacing w:val="-17"/>
        </w:rPr>
        <w:t> </w:t>
      </w:r>
      <w:r>
        <w:rPr/>
        <w:t>scenario</w:t>
      </w:r>
      <w:r>
        <w:rPr>
          <w:spacing w:val="-14"/>
        </w:rPr>
        <w:t> </w:t>
      </w:r>
      <w:r>
        <w:rPr/>
        <w:t>with</w:t>
      </w:r>
      <w:r>
        <w:rPr>
          <w:spacing w:val="-16"/>
        </w:rPr>
        <w:t> </w:t>
      </w:r>
      <w:r>
        <w:rPr/>
        <w:t>congesting</w:t>
      </w:r>
      <w:r>
        <w:rPr>
          <w:spacing w:val="-17"/>
        </w:rPr>
        <w:t> </w:t>
      </w:r>
      <w:r>
        <w:rPr/>
        <w:t>devices,</w:t>
      </w:r>
      <w:r>
        <w:rPr>
          <w:spacing w:val="-14"/>
        </w:rPr>
        <w:t> </w:t>
      </w:r>
      <w:r>
        <w:rPr/>
        <w:t>we</w:t>
      </w:r>
      <w:r>
        <w:rPr>
          <w:spacing w:val="-16"/>
        </w:rPr>
        <w:t> </w:t>
      </w:r>
      <w:r>
        <w:rPr/>
        <w:t>observe</w:t>
      </w:r>
      <w:r>
        <w:rPr>
          <w:spacing w:val="-16"/>
        </w:rPr>
        <w:t> </w:t>
      </w:r>
      <w:r>
        <w:rPr/>
        <w:t>that</w:t>
      </w:r>
      <w:r>
        <w:rPr>
          <w:spacing w:val="-16"/>
        </w:rPr>
        <w:t> </w:t>
      </w:r>
      <w:r>
        <w:rPr/>
        <w:t>the</w:t>
      </w:r>
      <w:r>
        <w:rPr>
          <w:spacing w:val="-17"/>
        </w:rPr>
        <w:t> </w:t>
      </w:r>
      <w:r>
        <w:rPr/>
        <w:t>link</w:t>
      </w:r>
      <w:r>
        <w:rPr>
          <w:spacing w:val="-13"/>
        </w:rPr>
        <w:t> </w:t>
      </w:r>
      <w:r>
        <w:rPr/>
        <w:t>stayed</w:t>
      </w:r>
      <w:r>
        <w:rPr>
          <w:spacing w:val="-16"/>
        </w:rPr>
        <w:t> </w:t>
      </w:r>
      <w:r>
        <w:rPr/>
        <w:t>relatively</w:t>
      </w:r>
      <w:r>
        <w:rPr>
          <w:spacing w:val="-18"/>
        </w:rPr>
        <w:t> </w:t>
      </w:r>
      <w:r>
        <w:rPr/>
        <w:t>reliable</w:t>
      </w:r>
      <w:r>
        <w:rPr>
          <w:spacing w:val="-16"/>
        </w:rPr>
        <w:t> </w:t>
      </w:r>
      <w:r>
        <w:rPr/>
        <w:t>for</w:t>
      </w:r>
      <w:r>
        <w:rPr>
          <w:spacing w:val="-15"/>
        </w:rPr>
        <w:t> </w:t>
      </w:r>
      <w:r>
        <w:rPr/>
        <w:t>both</w:t>
      </w:r>
      <w:r>
        <w:rPr>
          <w:spacing w:val="-16"/>
        </w:rPr>
        <w:t> </w:t>
      </w:r>
      <w:r>
        <w:rPr/>
        <w:t>technologies. The PER is less than 10% across runs for both technologies. The C-V2X performance was better, as its observed PER is lower than the DSRC observed</w:t>
      </w:r>
      <w:r>
        <w:rPr>
          <w:spacing w:val="-19"/>
        </w:rPr>
        <w:t> </w:t>
      </w:r>
      <w:r>
        <w:rPr/>
        <w:t>PER.</w:t>
      </w:r>
    </w:p>
    <w:p>
      <w:pPr>
        <w:pStyle w:val="BodyText"/>
        <w:spacing w:before="180"/>
        <w:ind w:left="1133" w:right="1132"/>
        <w:jc w:val="both"/>
      </w:pPr>
      <w:r>
        <w:rPr/>
        <w:t>Because communication is independent between the two transmitters, there is inherent variability in the test results</w:t>
      </w:r>
      <w:r>
        <w:rPr>
          <w:spacing w:val="-6"/>
        </w:rPr>
        <w:t> </w:t>
      </w:r>
      <w:r>
        <w:rPr/>
        <w:t>from</w:t>
      </w:r>
      <w:r>
        <w:rPr>
          <w:spacing w:val="-3"/>
        </w:rPr>
        <w:t> </w:t>
      </w:r>
      <w:r>
        <w:rPr/>
        <w:t>one</w:t>
      </w:r>
      <w:r>
        <w:rPr>
          <w:spacing w:val="-7"/>
        </w:rPr>
        <w:t> </w:t>
      </w:r>
      <w:r>
        <w:rPr/>
        <w:t>run</w:t>
      </w:r>
      <w:r>
        <w:rPr>
          <w:spacing w:val="-5"/>
        </w:rPr>
        <w:t> </w:t>
      </w:r>
      <w:r>
        <w:rPr/>
        <w:t>to</w:t>
      </w:r>
      <w:r>
        <w:rPr>
          <w:spacing w:val="-5"/>
        </w:rPr>
        <w:t> </w:t>
      </w:r>
      <w:r>
        <w:rPr/>
        <w:t>another.</w:t>
      </w:r>
      <w:r>
        <w:rPr>
          <w:spacing w:val="-7"/>
        </w:rPr>
        <w:t> </w:t>
      </w:r>
      <w:r>
        <w:rPr/>
        <w:t>Depending</w:t>
      </w:r>
      <w:r>
        <w:rPr>
          <w:spacing w:val="-5"/>
        </w:rPr>
        <w:t> </w:t>
      </w:r>
      <w:r>
        <w:rPr/>
        <w:t>on</w:t>
      </w:r>
      <w:r>
        <w:rPr>
          <w:spacing w:val="-5"/>
        </w:rPr>
        <w:t> </w:t>
      </w:r>
      <w:r>
        <w:rPr/>
        <w:t>how</w:t>
      </w:r>
      <w:r>
        <w:rPr>
          <w:spacing w:val="-6"/>
        </w:rPr>
        <w:t> </w:t>
      </w:r>
      <w:r>
        <w:rPr/>
        <w:t>the</w:t>
      </w:r>
      <w:r>
        <w:rPr>
          <w:spacing w:val="-3"/>
        </w:rPr>
        <w:t> </w:t>
      </w:r>
      <w:r>
        <w:rPr/>
        <w:t>timing</w:t>
      </w:r>
      <w:r>
        <w:rPr>
          <w:spacing w:val="-7"/>
        </w:rPr>
        <w:t> </w:t>
      </w:r>
      <w:r>
        <w:rPr/>
        <w:t>of</w:t>
      </w:r>
      <w:r>
        <w:rPr>
          <w:spacing w:val="-5"/>
        </w:rPr>
        <w:t> </w:t>
      </w:r>
      <w:r>
        <w:rPr/>
        <w:t>traffic</w:t>
      </w:r>
      <w:r>
        <w:rPr>
          <w:spacing w:val="-6"/>
        </w:rPr>
        <w:t> </w:t>
      </w:r>
      <w:r>
        <w:rPr/>
        <w:t>processes</w:t>
      </w:r>
      <w:r>
        <w:rPr>
          <w:spacing w:val="-6"/>
        </w:rPr>
        <w:t> </w:t>
      </w:r>
      <w:r>
        <w:rPr/>
        <w:t>align</w:t>
      </w:r>
      <w:r>
        <w:rPr>
          <w:spacing w:val="-7"/>
        </w:rPr>
        <w:t> </w:t>
      </w:r>
      <w:r>
        <w:rPr/>
        <w:t>for</w:t>
      </w:r>
      <w:r>
        <w:rPr>
          <w:spacing w:val="-6"/>
        </w:rPr>
        <w:t> </w:t>
      </w:r>
      <w:r>
        <w:rPr/>
        <w:t>a</w:t>
      </w:r>
      <w:r>
        <w:rPr>
          <w:spacing w:val="-5"/>
        </w:rPr>
        <w:t> </w:t>
      </w:r>
      <w:r>
        <w:rPr/>
        <w:t>particular</w:t>
      </w:r>
      <w:r>
        <w:rPr>
          <w:spacing w:val="-6"/>
        </w:rPr>
        <w:t> </w:t>
      </w:r>
      <w:r>
        <w:rPr/>
        <w:t>run,</w:t>
      </w:r>
      <w:r>
        <w:rPr>
          <w:spacing w:val="-7"/>
        </w:rPr>
        <w:t> </w:t>
      </w:r>
      <w:r>
        <w:rPr/>
        <w:t>the transmissions can be more or less prone to collisions. In the second scenario, independent traffic processes from the two congesting devices also contribute to run-to-run variability. Indeed, inspection of the 7% PER</w:t>
      </w:r>
      <w:r>
        <w:rPr>
          <w:spacing w:val="-37"/>
        </w:rPr>
        <w:t> </w:t>
      </w:r>
      <w:r>
        <w:rPr/>
        <w:t>for DSRC</w:t>
      </w:r>
      <w:r>
        <w:rPr>
          <w:spacing w:val="-4"/>
        </w:rPr>
        <w:t> </w:t>
      </w:r>
      <w:r>
        <w:rPr/>
        <w:t>from</w:t>
      </w:r>
      <w:r>
        <w:rPr>
          <w:spacing w:val="-2"/>
        </w:rPr>
        <w:t> </w:t>
      </w:r>
      <w:r>
        <w:rPr/>
        <w:t>Table</w:t>
      </w:r>
      <w:r>
        <w:rPr>
          <w:spacing w:val="-7"/>
        </w:rPr>
        <w:t> </w:t>
      </w:r>
      <w:r>
        <w:rPr/>
        <w:t>24</w:t>
      </w:r>
      <w:r>
        <w:rPr>
          <w:spacing w:val="-7"/>
        </w:rPr>
        <w:t> </w:t>
      </w:r>
      <w:r>
        <w:rPr/>
        <w:t>confirms</w:t>
      </w:r>
      <w:r>
        <w:rPr>
          <w:spacing w:val="-6"/>
        </w:rPr>
        <w:t> </w:t>
      </w:r>
      <w:r>
        <w:rPr/>
        <w:t>that</w:t>
      </w:r>
      <w:r>
        <w:rPr>
          <w:spacing w:val="-7"/>
        </w:rPr>
        <w:t> </w:t>
      </w:r>
      <w:r>
        <w:rPr/>
        <w:t>for</w:t>
      </w:r>
      <w:r>
        <w:rPr>
          <w:spacing w:val="-6"/>
        </w:rPr>
        <w:t> </w:t>
      </w:r>
      <w:r>
        <w:rPr/>
        <w:t>this</w:t>
      </w:r>
      <w:r>
        <w:rPr>
          <w:spacing w:val="-6"/>
        </w:rPr>
        <w:t> </w:t>
      </w:r>
      <w:r>
        <w:rPr/>
        <w:t>run,</w:t>
      </w:r>
      <w:r>
        <w:rPr>
          <w:spacing w:val="-7"/>
        </w:rPr>
        <w:t> </w:t>
      </w:r>
      <w:r>
        <w:rPr/>
        <w:t>the</w:t>
      </w:r>
      <w:r>
        <w:rPr>
          <w:spacing w:val="-5"/>
        </w:rPr>
        <w:t> </w:t>
      </w:r>
      <w:r>
        <w:rPr/>
        <w:t>timing</w:t>
      </w:r>
      <w:r>
        <w:rPr>
          <w:spacing w:val="-5"/>
        </w:rPr>
        <w:t> </w:t>
      </w:r>
      <w:r>
        <w:rPr/>
        <w:t>of</w:t>
      </w:r>
      <w:r>
        <w:rPr>
          <w:spacing w:val="-5"/>
        </w:rPr>
        <w:t> </w:t>
      </w:r>
      <w:r>
        <w:rPr/>
        <w:t>the</w:t>
      </w:r>
      <w:r>
        <w:rPr>
          <w:spacing w:val="-5"/>
        </w:rPr>
        <w:t> </w:t>
      </w:r>
      <w:r>
        <w:rPr/>
        <w:t>two</w:t>
      </w:r>
      <w:r>
        <w:rPr>
          <w:spacing w:val="-5"/>
        </w:rPr>
        <w:t> </w:t>
      </w:r>
      <w:r>
        <w:rPr/>
        <w:t>transmissions</w:t>
      </w:r>
      <w:r>
        <w:rPr>
          <w:spacing w:val="-6"/>
        </w:rPr>
        <w:t> </w:t>
      </w:r>
      <w:r>
        <w:rPr/>
        <w:t>happens</w:t>
      </w:r>
      <w:r>
        <w:rPr>
          <w:spacing w:val="-6"/>
        </w:rPr>
        <w:t> </w:t>
      </w:r>
      <w:r>
        <w:rPr/>
        <w:t>to</w:t>
      </w:r>
      <w:r>
        <w:rPr>
          <w:spacing w:val="-5"/>
        </w:rPr>
        <w:t> </w:t>
      </w:r>
      <w:r>
        <w:rPr/>
        <w:t>align</w:t>
      </w:r>
      <w:r>
        <w:rPr>
          <w:spacing w:val="-7"/>
        </w:rPr>
        <w:t> </w:t>
      </w:r>
      <w:r>
        <w:rPr/>
        <w:t>more</w:t>
      </w:r>
      <w:r>
        <w:rPr>
          <w:spacing w:val="-6"/>
        </w:rPr>
        <w:t> </w:t>
      </w:r>
      <w:r>
        <w:rPr/>
        <w:t>than for other</w:t>
      </w:r>
      <w:r>
        <w:rPr>
          <w:spacing w:val="-5"/>
        </w:rPr>
        <w:t> </w:t>
      </w:r>
      <w:r>
        <w:rPr/>
        <w:t>runs.</w:t>
      </w:r>
    </w:p>
    <w:p>
      <w:pPr>
        <w:pStyle w:val="BodyText"/>
        <w:rPr>
          <w:sz w:val="26"/>
        </w:rPr>
      </w:pPr>
    </w:p>
    <w:p>
      <w:pPr>
        <w:pStyle w:val="Heading3"/>
        <w:numPr>
          <w:ilvl w:val="2"/>
          <w:numId w:val="32"/>
        </w:numPr>
        <w:tabs>
          <w:tab w:pos="2267" w:val="left" w:leader="none"/>
        </w:tabs>
        <w:spacing w:line="240" w:lineRule="auto" w:before="1" w:after="0"/>
        <w:ind w:left="2266" w:right="0" w:hanging="1133"/>
        <w:jc w:val="both"/>
      </w:pPr>
      <w:bookmarkStart w:name="_bookmark139" w:id="209"/>
      <w:bookmarkEnd w:id="209"/>
      <w:r>
        <w:rPr/>
      </w:r>
      <w:bookmarkStart w:name="_bookmark139" w:id="210"/>
      <w:bookmarkEnd w:id="210"/>
      <w:r>
        <w:rPr/>
        <w:t>N</w:t>
      </w:r>
      <w:r>
        <w:rPr/>
        <w:t>ear-Far</w:t>
      </w:r>
      <w:r>
        <w:rPr>
          <w:spacing w:val="-7"/>
        </w:rPr>
        <w:t> </w:t>
      </w:r>
      <w:r>
        <w:rPr/>
        <w:t>Effect</w:t>
      </w:r>
    </w:p>
    <w:p>
      <w:pPr>
        <w:pStyle w:val="BodyText"/>
        <w:spacing w:before="11"/>
        <w:rPr>
          <w:sz w:val="25"/>
        </w:rPr>
      </w:pPr>
    </w:p>
    <w:p>
      <w:pPr>
        <w:pStyle w:val="Heading5"/>
        <w:numPr>
          <w:ilvl w:val="3"/>
          <w:numId w:val="32"/>
        </w:numPr>
        <w:tabs>
          <w:tab w:pos="2552" w:val="left" w:leader="none"/>
        </w:tabs>
        <w:spacing w:line="240" w:lineRule="auto" w:before="0" w:after="0"/>
        <w:ind w:left="2551" w:right="0" w:hanging="1418"/>
        <w:jc w:val="both"/>
        <w:rPr>
          <w:rFonts w:ascii="Arial"/>
        </w:rPr>
      </w:pPr>
      <w:r>
        <w:rPr>
          <w:rFonts w:ascii="Arial"/>
        </w:rPr>
        <w:t>Background</w:t>
      </w:r>
    </w:p>
    <w:p>
      <w:pPr>
        <w:pStyle w:val="BodyText"/>
        <w:spacing w:before="181"/>
        <w:ind w:left="1133" w:right="1138"/>
        <w:jc w:val="both"/>
      </w:pPr>
      <w:r>
        <w:rPr/>
        <w:t>This test assesses the performance of C-V2X devices in the scenario where a device receives a signal from two or more transmitters with different power levels in adjacent subchannels. The power difference can occur even for two nearby transmitters, when one of them is obstructed.</w:t>
      </w:r>
    </w:p>
    <w:p>
      <w:pPr>
        <w:pStyle w:val="BodyText"/>
        <w:spacing w:before="180"/>
        <w:ind w:left="1133" w:right="1138"/>
        <w:jc w:val="both"/>
      </w:pPr>
      <w:r>
        <w:rPr/>
        <w:t>This</w:t>
      </w:r>
      <w:r>
        <w:rPr>
          <w:spacing w:val="-6"/>
        </w:rPr>
        <w:t> </w:t>
      </w:r>
      <w:r>
        <w:rPr/>
        <w:t>test</w:t>
      </w:r>
      <w:r>
        <w:rPr>
          <w:spacing w:val="-7"/>
        </w:rPr>
        <w:t> </w:t>
      </w:r>
      <w:r>
        <w:rPr/>
        <w:t>applies</w:t>
      </w:r>
      <w:r>
        <w:rPr>
          <w:spacing w:val="-6"/>
        </w:rPr>
        <w:t> </w:t>
      </w:r>
      <w:r>
        <w:rPr/>
        <w:t>only</w:t>
      </w:r>
      <w:r>
        <w:rPr>
          <w:spacing w:val="-8"/>
        </w:rPr>
        <w:t> </w:t>
      </w:r>
      <w:r>
        <w:rPr/>
        <w:t>for</w:t>
      </w:r>
      <w:r>
        <w:rPr>
          <w:spacing w:val="-6"/>
        </w:rPr>
        <w:t> </w:t>
      </w:r>
      <w:r>
        <w:rPr/>
        <w:t>C-V2X</w:t>
      </w:r>
      <w:r>
        <w:rPr>
          <w:spacing w:val="-6"/>
        </w:rPr>
        <w:t> </w:t>
      </w:r>
      <w:r>
        <w:rPr/>
        <w:t>technology</w:t>
      </w:r>
      <w:r>
        <w:rPr>
          <w:spacing w:val="-8"/>
        </w:rPr>
        <w:t> </w:t>
      </w:r>
      <w:r>
        <w:rPr/>
        <w:t>as</w:t>
      </w:r>
      <w:r>
        <w:rPr>
          <w:spacing w:val="-6"/>
        </w:rPr>
        <w:t> </w:t>
      </w:r>
      <w:r>
        <w:rPr/>
        <w:t>DSRC</w:t>
      </w:r>
      <w:r>
        <w:rPr>
          <w:spacing w:val="-4"/>
        </w:rPr>
        <w:t> </w:t>
      </w:r>
      <w:r>
        <w:rPr/>
        <w:t>transmissions</w:t>
      </w:r>
      <w:r>
        <w:rPr>
          <w:spacing w:val="-6"/>
        </w:rPr>
        <w:t> </w:t>
      </w:r>
      <w:r>
        <w:rPr/>
        <w:t>occupy</w:t>
      </w:r>
      <w:r>
        <w:rPr>
          <w:spacing w:val="-8"/>
        </w:rPr>
        <w:t> </w:t>
      </w:r>
      <w:r>
        <w:rPr/>
        <w:t>all</w:t>
      </w:r>
      <w:r>
        <w:rPr>
          <w:spacing w:val="-8"/>
        </w:rPr>
        <w:t> </w:t>
      </w:r>
      <w:r>
        <w:rPr/>
        <w:t>the</w:t>
      </w:r>
      <w:r>
        <w:rPr>
          <w:spacing w:val="-5"/>
        </w:rPr>
        <w:t> </w:t>
      </w:r>
      <w:r>
        <w:rPr/>
        <w:t>frequency</w:t>
      </w:r>
      <w:r>
        <w:rPr>
          <w:spacing w:val="-10"/>
        </w:rPr>
        <w:t> </w:t>
      </w:r>
      <w:r>
        <w:rPr/>
        <w:t>resources</w:t>
      </w:r>
      <w:r>
        <w:rPr>
          <w:spacing w:val="-4"/>
        </w:rPr>
        <w:t> </w:t>
      </w:r>
      <w:r>
        <w:rPr/>
        <w:t>within allocated</w:t>
      </w:r>
      <w:r>
        <w:rPr>
          <w:spacing w:val="-8"/>
        </w:rPr>
        <w:t> </w:t>
      </w:r>
      <w:r>
        <w:rPr/>
        <w:t>bandwidth.</w:t>
      </w:r>
    </w:p>
    <w:p>
      <w:pPr>
        <w:pStyle w:val="BodyText"/>
        <w:spacing w:before="8"/>
        <w:rPr>
          <w:sz w:val="25"/>
        </w:rPr>
      </w:pPr>
    </w:p>
    <w:p>
      <w:pPr>
        <w:pStyle w:val="Heading5"/>
        <w:numPr>
          <w:ilvl w:val="3"/>
          <w:numId w:val="32"/>
        </w:numPr>
        <w:tabs>
          <w:tab w:pos="2552" w:val="left" w:leader="none"/>
        </w:tabs>
        <w:spacing w:line="240" w:lineRule="auto" w:before="0" w:after="0"/>
        <w:ind w:left="2551" w:right="0" w:hanging="1418"/>
        <w:jc w:val="both"/>
        <w:rPr>
          <w:rFonts w:ascii="Arial"/>
        </w:rPr>
      </w:pPr>
      <w:r>
        <w:rPr>
          <w:rFonts w:ascii="Arial"/>
        </w:rPr>
        <w:t>Assumptions</w:t>
      </w:r>
    </w:p>
    <w:p>
      <w:pPr>
        <w:pStyle w:val="BodyText"/>
        <w:spacing w:before="181"/>
        <w:ind w:left="1133" w:right="1140"/>
        <w:jc w:val="both"/>
      </w:pPr>
      <w:r>
        <w:rPr/>
        <w:t>Lab setup with cabled or over-the-air RF environment: The test case is specified with a cabled environment in section 7.3.2.3, but it can also be adapted to an RF laboratory</w:t>
      </w:r>
      <w:r>
        <w:rPr>
          <w:spacing w:val="-18"/>
        </w:rPr>
        <w:t> </w:t>
      </w:r>
      <w:r>
        <w:rPr/>
        <w:t>environment.</w:t>
      </w:r>
    </w:p>
    <w:p>
      <w:pPr>
        <w:pStyle w:val="BodyText"/>
        <w:spacing w:before="180"/>
        <w:ind w:left="1133" w:right="1143"/>
        <w:jc w:val="both"/>
      </w:pPr>
      <w:r>
        <w:rPr/>
        <w:t>The operating system time of all the transmitter and receiver boxes is synchronized to a common clock (e.g., GPS) with an error of no more than 1 ms.</w:t>
      </w:r>
    </w:p>
    <w:p>
      <w:pPr>
        <w:pStyle w:val="BodyText"/>
        <w:spacing w:before="180"/>
        <w:ind w:left="1133"/>
        <w:jc w:val="both"/>
      </w:pPr>
      <w:r>
        <w:rPr/>
        <w:t>All devices operate in the same channel (e.g., 172).</w:t>
      </w:r>
    </w:p>
    <w:p>
      <w:pPr>
        <w:pStyle w:val="BodyText"/>
        <w:spacing w:before="10"/>
        <w:rPr>
          <w:sz w:val="25"/>
        </w:rPr>
      </w:pPr>
    </w:p>
    <w:p>
      <w:pPr>
        <w:pStyle w:val="Heading5"/>
        <w:numPr>
          <w:ilvl w:val="3"/>
          <w:numId w:val="32"/>
        </w:numPr>
        <w:tabs>
          <w:tab w:pos="2552" w:val="left" w:leader="none"/>
        </w:tabs>
        <w:spacing w:line="240" w:lineRule="auto" w:before="1" w:after="0"/>
        <w:ind w:left="2551" w:right="0" w:hanging="1418"/>
        <w:jc w:val="both"/>
        <w:rPr>
          <w:rFonts w:ascii="Arial"/>
        </w:rPr>
      </w:pPr>
      <w:r>
        <w:rPr>
          <w:rFonts w:ascii="Arial"/>
        </w:rPr>
        <w:t>Setup</w:t>
      </w:r>
    </w:p>
    <w:p>
      <w:pPr>
        <w:pStyle w:val="BodyText"/>
        <w:spacing w:before="181"/>
        <w:ind w:left="1133"/>
        <w:jc w:val="both"/>
      </w:pPr>
      <w:r>
        <w:rPr/>
        <w:t>Three C-V2X devices (DUT1, DUT2, DUT3) are included in the setup in Figure 28.</w:t>
      </w:r>
    </w:p>
    <w:p>
      <w:pPr>
        <w:spacing w:after="0"/>
        <w:jc w:val="both"/>
        <w:sectPr>
          <w:headerReference w:type="default" r:id="rId287"/>
          <w:pgSz w:w="11910" w:h="16850"/>
          <w:pgMar w:header="852" w:footer="979" w:top="1040" w:bottom="1160" w:left="0" w:right="0"/>
        </w:sectPr>
      </w:pPr>
    </w:p>
    <w:p>
      <w:pPr>
        <w:pStyle w:val="BodyText"/>
      </w:pPr>
    </w:p>
    <w:p>
      <w:pPr>
        <w:pStyle w:val="BodyText"/>
        <w:spacing w:before="6"/>
        <w:rPr>
          <w:sz w:val="11"/>
        </w:rPr>
      </w:pPr>
    </w:p>
    <w:p>
      <w:pPr>
        <w:pStyle w:val="BodyText"/>
        <w:ind w:left="1133"/>
      </w:pPr>
      <w:r>
        <w:rPr/>
        <w:drawing>
          <wp:inline distT="0" distB="0" distL="0" distR="0">
            <wp:extent cx="5076825" cy="5657850"/>
            <wp:effectExtent l="0" t="0" r="0" b="0"/>
            <wp:docPr id="63" name="image121.png" descr=""/>
            <wp:cNvGraphicFramePr>
              <a:graphicFrameLocks noChangeAspect="1"/>
            </wp:cNvGraphicFramePr>
            <a:graphic>
              <a:graphicData uri="http://schemas.openxmlformats.org/drawingml/2006/picture">
                <pic:pic>
                  <pic:nvPicPr>
                    <pic:cNvPr id="64" name="image121.png"/>
                    <pic:cNvPicPr/>
                  </pic:nvPicPr>
                  <pic:blipFill>
                    <a:blip r:embed="rId289" cstate="print"/>
                    <a:stretch>
                      <a:fillRect/>
                    </a:stretch>
                  </pic:blipFill>
                  <pic:spPr>
                    <a:xfrm>
                      <a:off x="0" y="0"/>
                      <a:ext cx="5076825" cy="5657850"/>
                    </a:xfrm>
                    <a:prstGeom prst="rect">
                      <a:avLst/>
                    </a:prstGeom>
                  </pic:spPr>
                </pic:pic>
              </a:graphicData>
            </a:graphic>
          </wp:inline>
        </w:drawing>
      </w:r>
      <w:r>
        <w:rPr/>
      </w:r>
    </w:p>
    <w:p>
      <w:pPr>
        <w:pStyle w:val="BodyText"/>
        <w:spacing w:before="7"/>
        <w:rPr>
          <w:sz w:val="7"/>
        </w:rPr>
      </w:pPr>
    </w:p>
    <w:p>
      <w:pPr>
        <w:spacing w:before="94"/>
        <w:ind w:left="1133" w:right="0" w:firstLine="0"/>
        <w:jc w:val="left"/>
        <w:rPr>
          <w:sz w:val="18"/>
        </w:rPr>
      </w:pPr>
      <w:r>
        <w:rPr>
          <w:sz w:val="18"/>
        </w:rPr>
        <w:t>*1x2 and 2x1 above are splitter/combiners and VA is the variable attenuator</w:t>
      </w:r>
    </w:p>
    <w:p>
      <w:pPr>
        <w:spacing w:before="115"/>
        <w:ind w:left="1133" w:right="0" w:firstLine="0"/>
        <w:jc w:val="left"/>
        <w:rPr>
          <w:b/>
          <w:sz w:val="24"/>
        </w:rPr>
      </w:pPr>
      <w:r>
        <w:rPr>
          <w:b/>
          <w:sz w:val="24"/>
        </w:rPr>
        <w:t>Figure 28: Near-Far Effect Test Setup</w:t>
      </w:r>
    </w:p>
    <w:p>
      <w:pPr>
        <w:pStyle w:val="BodyText"/>
        <w:rPr>
          <w:b/>
          <w:sz w:val="26"/>
        </w:rPr>
      </w:pPr>
    </w:p>
    <w:p>
      <w:pPr>
        <w:pStyle w:val="ListParagraph"/>
        <w:numPr>
          <w:ilvl w:val="0"/>
          <w:numId w:val="33"/>
        </w:numPr>
        <w:tabs>
          <w:tab w:pos="1701" w:val="left" w:leader="none"/>
          <w:tab w:pos="1702" w:val="left" w:leader="none"/>
        </w:tabs>
        <w:spacing w:line="240" w:lineRule="auto" w:before="182" w:after="0"/>
        <w:ind w:left="1701" w:right="0" w:hanging="285"/>
        <w:jc w:val="left"/>
        <w:rPr>
          <w:sz w:val="20"/>
        </w:rPr>
      </w:pPr>
      <w:r>
        <w:rPr>
          <w:sz w:val="20"/>
        </w:rPr>
        <w:t>Settings on</w:t>
      </w:r>
      <w:r>
        <w:rPr>
          <w:spacing w:val="-3"/>
          <w:sz w:val="20"/>
        </w:rPr>
        <w:t> </w:t>
      </w:r>
      <w:r>
        <w:rPr>
          <w:sz w:val="20"/>
        </w:rPr>
        <w:t>DUT1:</w:t>
      </w:r>
    </w:p>
    <w:p>
      <w:pPr>
        <w:pStyle w:val="ListParagraph"/>
        <w:numPr>
          <w:ilvl w:val="1"/>
          <w:numId w:val="33"/>
        </w:numPr>
        <w:tabs>
          <w:tab w:pos="1985" w:val="left" w:leader="none"/>
          <w:tab w:pos="1986" w:val="left" w:leader="none"/>
        </w:tabs>
        <w:spacing w:line="240" w:lineRule="auto" w:before="181" w:after="0"/>
        <w:ind w:left="1985" w:right="0" w:hanging="286"/>
        <w:jc w:val="left"/>
        <w:rPr>
          <w:sz w:val="20"/>
        </w:rPr>
      </w:pPr>
      <w:r>
        <w:rPr>
          <w:sz w:val="20"/>
        </w:rPr>
        <w:t>Transmit on ITS band with bandwidth of 10</w:t>
      </w:r>
      <w:r>
        <w:rPr>
          <w:spacing w:val="-12"/>
          <w:sz w:val="20"/>
        </w:rPr>
        <w:t> </w:t>
      </w:r>
      <w:r>
        <w:rPr>
          <w:sz w:val="20"/>
        </w:rPr>
        <w:t>MHz.</w:t>
      </w:r>
    </w:p>
    <w:p>
      <w:pPr>
        <w:pStyle w:val="ListParagraph"/>
        <w:numPr>
          <w:ilvl w:val="1"/>
          <w:numId w:val="33"/>
        </w:numPr>
        <w:tabs>
          <w:tab w:pos="1985" w:val="left" w:leader="none"/>
          <w:tab w:pos="1986" w:val="left" w:leader="none"/>
        </w:tabs>
        <w:spacing w:line="240" w:lineRule="auto" w:before="178" w:after="0"/>
        <w:ind w:left="1985" w:right="1129" w:hanging="286"/>
        <w:jc w:val="left"/>
        <w:rPr>
          <w:sz w:val="20"/>
        </w:rPr>
      </w:pPr>
      <w:r>
        <w:rPr>
          <w:sz w:val="20"/>
        </w:rPr>
        <w:t>Configured</w:t>
      </w:r>
      <w:r>
        <w:rPr>
          <w:spacing w:val="-14"/>
          <w:sz w:val="20"/>
        </w:rPr>
        <w:t> </w:t>
      </w:r>
      <w:r>
        <w:rPr>
          <w:sz w:val="20"/>
        </w:rPr>
        <w:t>to</w:t>
      </w:r>
      <w:r>
        <w:rPr>
          <w:spacing w:val="-14"/>
          <w:sz w:val="20"/>
        </w:rPr>
        <w:t> </w:t>
      </w:r>
      <w:r>
        <w:rPr>
          <w:sz w:val="20"/>
        </w:rPr>
        <w:t>transmit</w:t>
      </w:r>
      <w:r>
        <w:rPr>
          <w:spacing w:val="-14"/>
          <w:sz w:val="20"/>
        </w:rPr>
        <w:t> </w:t>
      </w:r>
      <w:r>
        <w:rPr>
          <w:sz w:val="20"/>
        </w:rPr>
        <w:t>packets</w:t>
      </w:r>
      <w:r>
        <w:rPr>
          <w:spacing w:val="-13"/>
          <w:sz w:val="20"/>
        </w:rPr>
        <w:t> </w:t>
      </w:r>
      <w:r>
        <w:rPr>
          <w:sz w:val="20"/>
        </w:rPr>
        <w:t>almost</w:t>
      </w:r>
      <w:r>
        <w:rPr>
          <w:spacing w:val="-14"/>
          <w:sz w:val="20"/>
        </w:rPr>
        <w:t> </w:t>
      </w:r>
      <w:r>
        <w:rPr>
          <w:sz w:val="20"/>
        </w:rPr>
        <w:t>every</w:t>
      </w:r>
      <w:r>
        <w:rPr>
          <w:spacing w:val="-15"/>
          <w:sz w:val="20"/>
        </w:rPr>
        <w:t> </w:t>
      </w:r>
      <w:r>
        <w:rPr>
          <w:sz w:val="20"/>
        </w:rPr>
        <w:t>1</w:t>
      </w:r>
      <w:r>
        <w:rPr>
          <w:spacing w:val="-14"/>
          <w:sz w:val="20"/>
        </w:rPr>
        <w:t> </w:t>
      </w:r>
      <w:r>
        <w:rPr>
          <w:sz w:val="20"/>
        </w:rPr>
        <w:t>ms</w:t>
      </w:r>
      <w:r>
        <w:rPr>
          <w:spacing w:val="-13"/>
          <w:sz w:val="20"/>
        </w:rPr>
        <w:t> </w:t>
      </w:r>
      <w:r>
        <w:rPr>
          <w:sz w:val="20"/>
        </w:rPr>
        <w:t>occupying</w:t>
      </w:r>
      <w:r>
        <w:rPr>
          <w:spacing w:val="-12"/>
          <w:sz w:val="20"/>
        </w:rPr>
        <w:t> </w:t>
      </w:r>
      <w:r>
        <w:rPr>
          <w:sz w:val="20"/>
        </w:rPr>
        <w:t>5</w:t>
      </w:r>
      <w:r>
        <w:rPr>
          <w:spacing w:val="-12"/>
          <w:sz w:val="20"/>
        </w:rPr>
        <w:t> </w:t>
      </w:r>
      <w:r>
        <w:rPr>
          <w:sz w:val="20"/>
        </w:rPr>
        <w:t>Sub-channels</w:t>
      </w:r>
      <w:r>
        <w:rPr>
          <w:spacing w:val="-13"/>
          <w:sz w:val="20"/>
        </w:rPr>
        <w:t> </w:t>
      </w:r>
      <w:r>
        <w:rPr>
          <w:sz w:val="20"/>
        </w:rPr>
        <w:t>(Sub-Channel</w:t>
      </w:r>
      <w:r>
        <w:rPr>
          <w:spacing w:val="-13"/>
          <w:sz w:val="20"/>
        </w:rPr>
        <w:t> </w:t>
      </w:r>
      <w:r>
        <w:rPr>
          <w:sz w:val="20"/>
        </w:rPr>
        <w:t>0</w:t>
      </w:r>
      <w:r>
        <w:rPr>
          <w:spacing w:val="-12"/>
          <w:sz w:val="20"/>
        </w:rPr>
        <w:t> </w:t>
      </w:r>
      <w:r>
        <w:rPr>
          <w:sz w:val="20"/>
        </w:rPr>
        <w:t>to</w:t>
      </w:r>
      <w:r>
        <w:rPr>
          <w:spacing w:val="-12"/>
          <w:sz w:val="20"/>
        </w:rPr>
        <w:t> </w:t>
      </w:r>
      <w:r>
        <w:rPr>
          <w:sz w:val="20"/>
        </w:rPr>
        <w:t>Sub- Channel 4), i.e., first half of the frequency resources in 10 Mhz channel</w:t>
      </w:r>
      <w:r>
        <w:rPr>
          <w:spacing w:val="-27"/>
          <w:sz w:val="20"/>
        </w:rPr>
        <w:t> </w:t>
      </w:r>
      <w:r>
        <w:rPr>
          <w:sz w:val="20"/>
        </w:rPr>
        <w:t>bandwidth.</w:t>
      </w:r>
    </w:p>
    <w:p>
      <w:pPr>
        <w:pStyle w:val="ListParagraph"/>
        <w:numPr>
          <w:ilvl w:val="1"/>
          <w:numId w:val="33"/>
        </w:numPr>
        <w:tabs>
          <w:tab w:pos="1985" w:val="left" w:leader="none"/>
          <w:tab w:pos="1986" w:val="left" w:leader="none"/>
        </w:tabs>
        <w:spacing w:line="240" w:lineRule="auto" w:before="180" w:after="0"/>
        <w:ind w:left="1985" w:right="0" w:hanging="286"/>
        <w:jc w:val="left"/>
        <w:rPr>
          <w:sz w:val="20"/>
        </w:rPr>
      </w:pPr>
      <w:r>
        <w:rPr>
          <w:sz w:val="20"/>
        </w:rPr>
        <w:t>Packet length of standard</w:t>
      </w:r>
      <w:r>
        <w:rPr>
          <w:spacing w:val="-10"/>
          <w:sz w:val="20"/>
        </w:rPr>
        <w:t> </w:t>
      </w:r>
      <w:r>
        <w:rPr>
          <w:sz w:val="20"/>
        </w:rPr>
        <w:t>BSM</w:t>
      </w:r>
    </w:p>
    <w:p>
      <w:pPr>
        <w:pStyle w:val="ListParagraph"/>
        <w:numPr>
          <w:ilvl w:val="0"/>
          <w:numId w:val="33"/>
        </w:numPr>
        <w:tabs>
          <w:tab w:pos="1701" w:val="left" w:leader="none"/>
          <w:tab w:pos="1702" w:val="left" w:leader="none"/>
        </w:tabs>
        <w:spacing w:line="240" w:lineRule="auto" w:before="180" w:after="0"/>
        <w:ind w:left="1701" w:right="0" w:hanging="285"/>
        <w:jc w:val="left"/>
        <w:rPr>
          <w:sz w:val="20"/>
        </w:rPr>
      </w:pPr>
      <w:r>
        <w:rPr>
          <w:sz w:val="20"/>
        </w:rPr>
        <w:t>Settings on</w:t>
      </w:r>
      <w:r>
        <w:rPr>
          <w:spacing w:val="-3"/>
          <w:sz w:val="20"/>
        </w:rPr>
        <w:t> </w:t>
      </w:r>
      <w:r>
        <w:rPr>
          <w:sz w:val="20"/>
        </w:rPr>
        <w:t>DUT2:</w:t>
      </w:r>
    </w:p>
    <w:p>
      <w:pPr>
        <w:pStyle w:val="ListParagraph"/>
        <w:numPr>
          <w:ilvl w:val="1"/>
          <w:numId w:val="33"/>
        </w:numPr>
        <w:tabs>
          <w:tab w:pos="1985" w:val="left" w:leader="none"/>
          <w:tab w:pos="1986" w:val="left" w:leader="none"/>
        </w:tabs>
        <w:spacing w:line="240" w:lineRule="auto" w:before="180" w:after="0"/>
        <w:ind w:left="1985" w:right="0" w:hanging="286"/>
        <w:jc w:val="left"/>
        <w:rPr>
          <w:sz w:val="20"/>
        </w:rPr>
      </w:pPr>
      <w:r>
        <w:rPr>
          <w:sz w:val="20"/>
        </w:rPr>
        <w:t>Transmit on ITS band with bandwidth of 10</w:t>
      </w:r>
      <w:r>
        <w:rPr>
          <w:spacing w:val="-11"/>
          <w:sz w:val="20"/>
        </w:rPr>
        <w:t> </w:t>
      </w:r>
      <w:r>
        <w:rPr>
          <w:sz w:val="20"/>
        </w:rPr>
        <w:t>MHz</w:t>
      </w:r>
    </w:p>
    <w:p>
      <w:pPr>
        <w:pStyle w:val="ListParagraph"/>
        <w:numPr>
          <w:ilvl w:val="1"/>
          <w:numId w:val="33"/>
        </w:numPr>
        <w:tabs>
          <w:tab w:pos="1985" w:val="left" w:leader="none"/>
          <w:tab w:pos="1986" w:val="left" w:leader="none"/>
        </w:tabs>
        <w:spacing w:line="240" w:lineRule="auto" w:before="180" w:after="0"/>
        <w:ind w:left="1985" w:right="1127" w:hanging="286"/>
        <w:jc w:val="left"/>
        <w:rPr>
          <w:sz w:val="20"/>
        </w:rPr>
      </w:pPr>
      <w:r>
        <w:rPr>
          <w:sz w:val="20"/>
        </w:rPr>
        <w:t>SPS-based transmit flow with a periodicity of 100 ms (Note: equivalent to setting a periodic stream at</w:t>
      </w:r>
      <w:r>
        <w:rPr>
          <w:spacing w:val="-8"/>
          <w:sz w:val="20"/>
        </w:rPr>
        <w:t> </w:t>
      </w:r>
      <w:r>
        <w:rPr>
          <w:sz w:val="20"/>
        </w:rPr>
        <w:t>100</w:t>
      </w:r>
      <w:r>
        <w:rPr>
          <w:spacing w:val="-6"/>
          <w:sz w:val="20"/>
        </w:rPr>
        <w:t> </w:t>
      </w:r>
      <w:r>
        <w:rPr>
          <w:sz w:val="20"/>
        </w:rPr>
        <w:t>ms</w:t>
      </w:r>
      <w:r>
        <w:rPr>
          <w:spacing w:val="-7"/>
          <w:sz w:val="20"/>
        </w:rPr>
        <w:t> </w:t>
      </w:r>
      <w:r>
        <w:rPr>
          <w:sz w:val="20"/>
        </w:rPr>
        <w:t>period</w:t>
      </w:r>
      <w:r>
        <w:rPr>
          <w:spacing w:val="-6"/>
          <w:sz w:val="20"/>
        </w:rPr>
        <w:t> </w:t>
      </w:r>
      <w:r>
        <w:rPr>
          <w:sz w:val="20"/>
        </w:rPr>
        <w:t>for</w:t>
      </w:r>
      <w:r>
        <w:rPr>
          <w:spacing w:val="-7"/>
          <w:sz w:val="20"/>
        </w:rPr>
        <w:t> </w:t>
      </w:r>
      <w:r>
        <w:rPr>
          <w:sz w:val="20"/>
        </w:rPr>
        <w:t>other</w:t>
      </w:r>
      <w:r>
        <w:rPr>
          <w:spacing w:val="-7"/>
          <w:sz w:val="20"/>
        </w:rPr>
        <w:t> </w:t>
      </w:r>
      <w:r>
        <w:rPr>
          <w:sz w:val="20"/>
        </w:rPr>
        <w:t>technologies)</w:t>
      </w:r>
      <w:r>
        <w:rPr>
          <w:spacing w:val="-5"/>
          <w:sz w:val="20"/>
        </w:rPr>
        <w:t> </w:t>
      </w:r>
      <w:r>
        <w:rPr>
          <w:sz w:val="20"/>
        </w:rPr>
        <w:t>occupying</w:t>
      </w:r>
      <w:r>
        <w:rPr>
          <w:spacing w:val="-6"/>
          <w:sz w:val="20"/>
        </w:rPr>
        <w:t> </w:t>
      </w:r>
      <w:r>
        <w:rPr>
          <w:sz w:val="20"/>
        </w:rPr>
        <w:t>5</w:t>
      </w:r>
      <w:r>
        <w:rPr>
          <w:spacing w:val="-3"/>
          <w:sz w:val="20"/>
        </w:rPr>
        <w:t> </w:t>
      </w:r>
      <w:r>
        <w:rPr>
          <w:sz w:val="20"/>
        </w:rPr>
        <w:t>Sub-channels</w:t>
      </w:r>
      <w:r>
        <w:rPr>
          <w:spacing w:val="-4"/>
          <w:sz w:val="20"/>
        </w:rPr>
        <w:t> </w:t>
      </w:r>
      <w:r>
        <w:rPr>
          <w:sz w:val="20"/>
        </w:rPr>
        <w:t>(Sub-Channel</w:t>
      </w:r>
      <w:r>
        <w:rPr>
          <w:spacing w:val="-6"/>
          <w:sz w:val="20"/>
        </w:rPr>
        <w:t> </w:t>
      </w:r>
      <w:r>
        <w:rPr>
          <w:sz w:val="20"/>
        </w:rPr>
        <w:t>5</w:t>
      </w:r>
      <w:r>
        <w:rPr>
          <w:spacing w:val="-8"/>
          <w:sz w:val="20"/>
        </w:rPr>
        <w:t> </w:t>
      </w:r>
      <w:r>
        <w:rPr>
          <w:sz w:val="20"/>
        </w:rPr>
        <w:t>to</w:t>
      </w:r>
      <w:r>
        <w:rPr>
          <w:spacing w:val="-4"/>
          <w:sz w:val="20"/>
        </w:rPr>
        <w:t> </w:t>
      </w:r>
      <w:r>
        <w:rPr>
          <w:sz w:val="20"/>
        </w:rPr>
        <w:t>Sub-Channel</w:t>
      </w:r>
    </w:p>
    <w:p>
      <w:pPr>
        <w:pStyle w:val="BodyText"/>
        <w:ind w:left="1985"/>
      </w:pPr>
      <w:r>
        <w:rPr/>
        <w:t>9) i.e., second half of the frequency resources in 10 Mhz channel bandwidth.</w:t>
      </w:r>
    </w:p>
    <w:p>
      <w:pPr>
        <w:spacing w:after="0"/>
        <w:sectPr>
          <w:headerReference w:type="default" r:id="rId288"/>
          <w:pgSz w:w="11910" w:h="16850"/>
          <w:pgMar w:header="852" w:footer="979" w:top="1040" w:bottom="1160" w:left="0" w:right="0"/>
        </w:sectPr>
      </w:pPr>
    </w:p>
    <w:p>
      <w:pPr>
        <w:pStyle w:val="BodyText"/>
      </w:pPr>
    </w:p>
    <w:p>
      <w:pPr>
        <w:pStyle w:val="BodyText"/>
      </w:pPr>
    </w:p>
    <w:p>
      <w:pPr>
        <w:pStyle w:val="BodyText"/>
        <w:spacing w:before="11"/>
        <w:rPr>
          <w:sz w:val="18"/>
        </w:rPr>
      </w:pPr>
    </w:p>
    <w:p>
      <w:pPr>
        <w:pStyle w:val="ListParagraph"/>
        <w:numPr>
          <w:ilvl w:val="1"/>
          <w:numId w:val="33"/>
        </w:numPr>
        <w:tabs>
          <w:tab w:pos="1985" w:val="left" w:leader="none"/>
          <w:tab w:pos="1986" w:val="left" w:leader="none"/>
        </w:tabs>
        <w:spacing w:line="240" w:lineRule="auto" w:before="92" w:after="0"/>
        <w:ind w:left="1985" w:right="0" w:hanging="286"/>
        <w:jc w:val="left"/>
        <w:rPr>
          <w:sz w:val="20"/>
        </w:rPr>
      </w:pPr>
      <w:r>
        <w:rPr>
          <w:sz w:val="20"/>
        </w:rPr>
        <w:t>Packet length of standard</w:t>
      </w:r>
      <w:r>
        <w:rPr>
          <w:spacing w:val="-10"/>
          <w:sz w:val="20"/>
        </w:rPr>
        <w:t> </w:t>
      </w:r>
      <w:r>
        <w:rPr>
          <w:sz w:val="20"/>
        </w:rPr>
        <w:t>BSM</w:t>
      </w:r>
    </w:p>
    <w:p>
      <w:pPr>
        <w:pStyle w:val="ListParagraph"/>
        <w:numPr>
          <w:ilvl w:val="0"/>
          <w:numId w:val="33"/>
        </w:numPr>
        <w:tabs>
          <w:tab w:pos="1701" w:val="left" w:leader="none"/>
          <w:tab w:pos="1702" w:val="left" w:leader="none"/>
        </w:tabs>
        <w:spacing w:line="240" w:lineRule="auto" w:before="179" w:after="0"/>
        <w:ind w:left="1701" w:right="0" w:hanging="285"/>
        <w:jc w:val="left"/>
        <w:rPr>
          <w:sz w:val="20"/>
        </w:rPr>
      </w:pPr>
      <w:r>
        <w:rPr>
          <w:sz w:val="20"/>
        </w:rPr>
        <w:t>Settings on</w:t>
      </w:r>
      <w:r>
        <w:rPr>
          <w:spacing w:val="-3"/>
          <w:sz w:val="20"/>
        </w:rPr>
        <w:t> </w:t>
      </w:r>
      <w:r>
        <w:rPr>
          <w:sz w:val="20"/>
        </w:rPr>
        <w:t>DUT3:</w:t>
      </w:r>
    </w:p>
    <w:p>
      <w:pPr>
        <w:pStyle w:val="ListParagraph"/>
        <w:numPr>
          <w:ilvl w:val="1"/>
          <w:numId w:val="33"/>
        </w:numPr>
        <w:tabs>
          <w:tab w:pos="1985" w:val="left" w:leader="none"/>
          <w:tab w:pos="1986" w:val="left" w:leader="none"/>
        </w:tabs>
        <w:spacing w:line="240" w:lineRule="auto" w:before="177" w:after="0"/>
        <w:ind w:left="1985" w:right="0" w:hanging="286"/>
        <w:jc w:val="left"/>
        <w:rPr>
          <w:sz w:val="20"/>
        </w:rPr>
      </w:pPr>
      <w:r>
        <w:rPr>
          <w:sz w:val="20"/>
        </w:rPr>
        <w:t>Configured to receive on ITS band (e.g., center frequency 5,860 MHz) with bandwidth of 10</w:t>
      </w:r>
      <w:r>
        <w:rPr>
          <w:spacing w:val="-33"/>
          <w:sz w:val="20"/>
        </w:rPr>
        <w:t> </w:t>
      </w:r>
      <w:r>
        <w:rPr>
          <w:sz w:val="20"/>
        </w:rPr>
        <w:t>MHz</w:t>
      </w:r>
    </w:p>
    <w:p>
      <w:pPr>
        <w:pStyle w:val="ListParagraph"/>
        <w:numPr>
          <w:ilvl w:val="1"/>
          <w:numId w:val="33"/>
        </w:numPr>
        <w:tabs>
          <w:tab w:pos="1985" w:val="left" w:leader="none"/>
          <w:tab w:pos="1986" w:val="left" w:leader="none"/>
        </w:tabs>
        <w:spacing w:line="240" w:lineRule="auto" w:before="180" w:after="0"/>
        <w:ind w:left="1985" w:right="0" w:hanging="286"/>
        <w:jc w:val="left"/>
        <w:rPr>
          <w:sz w:val="20"/>
        </w:rPr>
      </w:pPr>
      <w:r>
        <w:rPr>
          <w:sz w:val="20"/>
        </w:rPr>
        <w:t>All measurements of receiving side performance are done on this</w:t>
      </w:r>
      <w:r>
        <w:rPr>
          <w:spacing w:val="-21"/>
          <w:sz w:val="20"/>
        </w:rPr>
        <w:t> </w:t>
      </w:r>
      <w:r>
        <w:rPr>
          <w:sz w:val="20"/>
        </w:rPr>
        <w:t>device.</w:t>
      </w:r>
    </w:p>
    <w:p>
      <w:pPr>
        <w:pStyle w:val="ListParagraph"/>
        <w:numPr>
          <w:ilvl w:val="0"/>
          <w:numId w:val="33"/>
        </w:numPr>
        <w:tabs>
          <w:tab w:pos="1701" w:val="left" w:leader="none"/>
          <w:tab w:pos="1702" w:val="left" w:leader="none"/>
        </w:tabs>
        <w:spacing w:line="240" w:lineRule="auto" w:before="180" w:after="0"/>
        <w:ind w:left="1701" w:right="0" w:hanging="285"/>
        <w:jc w:val="left"/>
        <w:rPr>
          <w:sz w:val="20"/>
        </w:rPr>
      </w:pPr>
      <w:r>
        <w:rPr>
          <w:sz w:val="20"/>
        </w:rPr>
        <w:t>Data Collection at</w:t>
      </w:r>
      <w:r>
        <w:rPr>
          <w:spacing w:val="-5"/>
          <w:sz w:val="20"/>
        </w:rPr>
        <w:t> </w:t>
      </w:r>
      <w:r>
        <w:rPr>
          <w:sz w:val="20"/>
        </w:rPr>
        <w:t>DUT1</w:t>
      </w:r>
    </w:p>
    <w:p>
      <w:pPr>
        <w:pStyle w:val="ListParagraph"/>
        <w:numPr>
          <w:ilvl w:val="1"/>
          <w:numId w:val="33"/>
        </w:numPr>
        <w:tabs>
          <w:tab w:pos="1985" w:val="left" w:leader="none"/>
          <w:tab w:pos="1986" w:val="left" w:leader="none"/>
        </w:tabs>
        <w:spacing w:line="240" w:lineRule="auto" w:before="180" w:after="0"/>
        <w:ind w:left="1985" w:right="0" w:hanging="286"/>
        <w:jc w:val="left"/>
        <w:rPr>
          <w:sz w:val="20"/>
        </w:rPr>
      </w:pPr>
      <w:r>
        <w:rPr>
          <w:sz w:val="20"/>
        </w:rPr>
        <w:t>OS timestamp for each transmitted</w:t>
      </w:r>
      <w:r>
        <w:rPr>
          <w:spacing w:val="-14"/>
          <w:sz w:val="20"/>
        </w:rPr>
        <w:t> </w:t>
      </w:r>
      <w:r>
        <w:rPr>
          <w:sz w:val="20"/>
        </w:rPr>
        <w:t>packet</w:t>
      </w:r>
    </w:p>
    <w:p>
      <w:pPr>
        <w:pStyle w:val="ListParagraph"/>
        <w:numPr>
          <w:ilvl w:val="1"/>
          <w:numId w:val="33"/>
        </w:numPr>
        <w:tabs>
          <w:tab w:pos="1985" w:val="left" w:leader="none"/>
          <w:tab w:pos="1986" w:val="left" w:leader="none"/>
        </w:tabs>
        <w:spacing w:line="240" w:lineRule="auto" w:before="180" w:after="0"/>
        <w:ind w:left="1985" w:right="0" w:hanging="286"/>
        <w:jc w:val="left"/>
        <w:rPr>
          <w:sz w:val="20"/>
        </w:rPr>
      </w:pPr>
      <w:r>
        <w:rPr>
          <w:sz w:val="20"/>
        </w:rPr>
        <w:t>Sequence number of each transmitted</w:t>
      </w:r>
      <w:r>
        <w:rPr>
          <w:spacing w:val="-9"/>
          <w:sz w:val="20"/>
        </w:rPr>
        <w:t> </w:t>
      </w:r>
      <w:r>
        <w:rPr>
          <w:sz w:val="20"/>
        </w:rPr>
        <w:t>packet</w:t>
      </w:r>
    </w:p>
    <w:p>
      <w:pPr>
        <w:pStyle w:val="ListParagraph"/>
        <w:numPr>
          <w:ilvl w:val="0"/>
          <w:numId w:val="33"/>
        </w:numPr>
        <w:tabs>
          <w:tab w:pos="1701" w:val="left" w:leader="none"/>
          <w:tab w:pos="1702" w:val="left" w:leader="none"/>
        </w:tabs>
        <w:spacing w:line="240" w:lineRule="auto" w:before="180" w:after="0"/>
        <w:ind w:left="1701" w:right="0" w:hanging="285"/>
        <w:jc w:val="left"/>
        <w:rPr>
          <w:sz w:val="20"/>
        </w:rPr>
      </w:pPr>
      <w:r>
        <w:rPr>
          <w:sz w:val="20"/>
        </w:rPr>
        <w:t>Data Collection at</w:t>
      </w:r>
      <w:r>
        <w:rPr>
          <w:spacing w:val="-5"/>
          <w:sz w:val="20"/>
        </w:rPr>
        <w:t> </w:t>
      </w:r>
      <w:r>
        <w:rPr>
          <w:sz w:val="20"/>
        </w:rPr>
        <w:t>DUT2</w:t>
      </w:r>
    </w:p>
    <w:p>
      <w:pPr>
        <w:pStyle w:val="ListParagraph"/>
        <w:numPr>
          <w:ilvl w:val="1"/>
          <w:numId w:val="33"/>
        </w:numPr>
        <w:tabs>
          <w:tab w:pos="1985" w:val="left" w:leader="none"/>
          <w:tab w:pos="1986" w:val="left" w:leader="none"/>
        </w:tabs>
        <w:spacing w:line="240" w:lineRule="auto" w:before="178" w:after="0"/>
        <w:ind w:left="1985" w:right="0" w:hanging="286"/>
        <w:jc w:val="left"/>
        <w:rPr>
          <w:sz w:val="20"/>
        </w:rPr>
      </w:pPr>
      <w:r>
        <w:rPr>
          <w:sz w:val="20"/>
        </w:rPr>
        <w:t>OS timestamp for each transmitted</w:t>
      </w:r>
      <w:r>
        <w:rPr>
          <w:spacing w:val="-14"/>
          <w:sz w:val="20"/>
        </w:rPr>
        <w:t> </w:t>
      </w:r>
      <w:r>
        <w:rPr>
          <w:sz w:val="20"/>
        </w:rPr>
        <w:t>packet</w:t>
      </w:r>
    </w:p>
    <w:p>
      <w:pPr>
        <w:pStyle w:val="ListParagraph"/>
        <w:numPr>
          <w:ilvl w:val="1"/>
          <w:numId w:val="33"/>
        </w:numPr>
        <w:tabs>
          <w:tab w:pos="1985" w:val="left" w:leader="none"/>
          <w:tab w:pos="1986" w:val="left" w:leader="none"/>
        </w:tabs>
        <w:spacing w:line="240" w:lineRule="auto" w:before="180" w:after="0"/>
        <w:ind w:left="1985" w:right="0" w:hanging="286"/>
        <w:jc w:val="left"/>
        <w:rPr>
          <w:sz w:val="20"/>
        </w:rPr>
      </w:pPr>
      <w:r>
        <w:rPr>
          <w:sz w:val="20"/>
        </w:rPr>
        <w:t>Sequence number of each transmitted</w:t>
      </w:r>
      <w:r>
        <w:rPr>
          <w:spacing w:val="-8"/>
          <w:sz w:val="20"/>
        </w:rPr>
        <w:t> </w:t>
      </w:r>
      <w:r>
        <w:rPr>
          <w:sz w:val="20"/>
        </w:rPr>
        <w:t>packet</w:t>
      </w:r>
    </w:p>
    <w:p>
      <w:pPr>
        <w:pStyle w:val="ListParagraph"/>
        <w:numPr>
          <w:ilvl w:val="0"/>
          <w:numId w:val="33"/>
        </w:numPr>
        <w:tabs>
          <w:tab w:pos="1701" w:val="left" w:leader="none"/>
          <w:tab w:pos="1702" w:val="left" w:leader="none"/>
        </w:tabs>
        <w:spacing w:line="240" w:lineRule="auto" w:before="180" w:after="0"/>
        <w:ind w:left="1701" w:right="0" w:hanging="285"/>
        <w:jc w:val="left"/>
        <w:rPr>
          <w:sz w:val="20"/>
        </w:rPr>
      </w:pPr>
      <w:r>
        <w:rPr>
          <w:sz w:val="20"/>
        </w:rPr>
        <w:t>Data Collection at</w:t>
      </w:r>
      <w:r>
        <w:rPr>
          <w:spacing w:val="-5"/>
          <w:sz w:val="20"/>
        </w:rPr>
        <w:t> </w:t>
      </w:r>
      <w:r>
        <w:rPr>
          <w:sz w:val="20"/>
        </w:rPr>
        <w:t>DUT3</w:t>
      </w:r>
    </w:p>
    <w:p>
      <w:pPr>
        <w:pStyle w:val="ListParagraph"/>
        <w:numPr>
          <w:ilvl w:val="1"/>
          <w:numId w:val="33"/>
        </w:numPr>
        <w:tabs>
          <w:tab w:pos="1985" w:val="left" w:leader="none"/>
          <w:tab w:pos="1986" w:val="left" w:leader="none"/>
        </w:tabs>
        <w:spacing w:line="240" w:lineRule="auto" w:before="180" w:after="0"/>
        <w:ind w:left="1985" w:right="0" w:hanging="286"/>
        <w:jc w:val="left"/>
        <w:rPr>
          <w:sz w:val="20"/>
        </w:rPr>
      </w:pPr>
      <w:r>
        <w:rPr>
          <w:sz w:val="20"/>
        </w:rPr>
        <w:t>OS timestamp for each received</w:t>
      </w:r>
      <w:r>
        <w:rPr>
          <w:spacing w:val="-11"/>
          <w:sz w:val="20"/>
        </w:rPr>
        <w:t> </w:t>
      </w:r>
      <w:r>
        <w:rPr>
          <w:sz w:val="20"/>
        </w:rPr>
        <w:t>packet</w:t>
      </w:r>
    </w:p>
    <w:p>
      <w:pPr>
        <w:pStyle w:val="ListParagraph"/>
        <w:numPr>
          <w:ilvl w:val="1"/>
          <w:numId w:val="33"/>
        </w:numPr>
        <w:tabs>
          <w:tab w:pos="1985" w:val="left" w:leader="none"/>
          <w:tab w:pos="1986" w:val="left" w:leader="none"/>
        </w:tabs>
        <w:spacing w:line="240" w:lineRule="auto" w:before="180" w:after="0"/>
        <w:ind w:left="1985" w:right="0" w:hanging="286"/>
        <w:jc w:val="left"/>
        <w:rPr>
          <w:sz w:val="20"/>
        </w:rPr>
      </w:pPr>
      <w:r>
        <w:rPr>
          <w:sz w:val="20"/>
        </w:rPr>
        <w:t>Sequence number of each received</w:t>
      </w:r>
      <w:r>
        <w:rPr>
          <w:spacing w:val="-8"/>
          <w:sz w:val="20"/>
        </w:rPr>
        <w:t> </w:t>
      </w:r>
      <w:r>
        <w:rPr>
          <w:sz w:val="20"/>
        </w:rPr>
        <w:t>packet</w:t>
      </w:r>
    </w:p>
    <w:p>
      <w:pPr>
        <w:pStyle w:val="ListParagraph"/>
        <w:numPr>
          <w:ilvl w:val="1"/>
          <w:numId w:val="33"/>
        </w:numPr>
        <w:tabs>
          <w:tab w:pos="1985" w:val="left" w:leader="none"/>
          <w:tab w:pos="1986" w:val="left" w:leader="none"/>
        </w:tabs>
        <w:spacing w:line="240" w:lineRule="auto" w:before="180" w:after="0"/>
        <w:ind w:left="1985" w:right="0" w:hanging="286"/>
        <w:jc w:val="left"/>
        <w:rPr>
          <w:sz w:val="20"/>
        </w:rPr>
      </w:pPr>
      <w:r>
        <w:rPr>
          <w:sz w:val="20"/>
        </w:rPr>
        <w:t>Receive signal power for each received</w:t>
      </w:r>
      <w:r>
        <w:rPr>
          <w:spacing w:val="-19"/>
          <w:sz w:val="20"/>
        </w:rPr>
        <w:t> </w:t>
      </w:r>
      <w:r>
        <w:rPr>
          <w:sz w:val="20"/>
        </w:rPr>
        <w:t>packet</w:t>
      </w:r>
    </w:p>
    <w:p>
      <w:pPr>
        <w:pStyle w:val="BodyText"/>
        <w:spacing w:before="5"/>
      </w:pPr>
    </w:p>
    <w:p>
      <w:pPr>
        <w:pStyle w:val="Heading7"/>
      </w:pPr>
      <w:r>
        <w:rPr/>
        <w:t>Table 25: Test Configuration</w:t>
      </w:r>
    </w:p>
    <w:p>
      <w:pPr>
        <w:pStyle w:val="BodyText"/>
        <w:spacing w:after="1"/>
        <w:rPr>
          <w:b/>
          <w:sz w:val="16"/>
        </w:rPr>
      </w:pPr>
    </w:p>
    <w:tbl>
      <w:tblPr>
        <w:tblW w:w="0" w:type="auto"/>
        <w:jc w:val="left"/>
        <w:tblInd w:w="3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5"/>
        <w:gridCol w:w="2463"/>
      </w:tblGrid>
      <w:tr>
        <w:trPr>
          <w:trHeight w:val="218" w:hRule="exact"/>
        </w:trPr>
        <w:tc>
          <w:tcPr>
            <w:tcW w:w="2465" w:type="dxa"/>
            <w:shd w:val="clear" w:color="auto" w:fill="D9D9D9"/>
          </w:tcPr>
          <w:p>
            <w:pPr>
              <w:pStyle w:val="TableParagraph"/>
              <w:spacing w:line="201" w:lineRule="exact"/>
              <w:rPr>
                <w:b/>
                <w:sz w:val="18"/>
              </w:rPr>
            </w:pPr>
            <w:r>
              <w:rPr>
                <w:b/>
                <w:sz w:val="18"/>
              </w:rPr>
              <w:t>Configuration</w:t>
            </w:r>
          </w:p>
        </w:tc>
        <w:tc>
          <w:tcPr>
            <w:tcW w:w="2463" w:type="dxa"/>
            <w:shd w:val="clear" w:color="auto" w:fill="D9D9D9"/>
          </w:tcPr>
          <w:p>
            <w:pPr>
              <w:pStyle w:val="TableParagraph"/>
              <w:spacing w:line="201" w:lineRule="exact"/>
              <w:rPr>
                <w:b/>
                <w:sz w:val="18"/>
              </w:rPr>
            </w:pPr>
            <w:r>
              <w:rPr>
                <w:b/>
                <w:sz w:val="18"/>
              </w:rPr>
              <w:t>C-V2X</w:t>
            </w:r>
          </w:p>
        </w:tc>
      </w:tr>
      <w:tr>
        <w:trPr>
          <w:trHeight w:val="216" w:hRule="exact"/>
        </w:trPr>
        <w:tc>
          <w:tcPr>
            <w:tcW w:w="2465" w:type="dxa"/>
          </w:tcPr>
          <w:p>
            <w:pPr>
              <w:pStyle w:val="TableParagraph"/>
              <w:spacing w:line="207" w:lineRule="exact"/>
              <w:rPr>
                <w:sz w:val="18"/>
              </w:rPr>
            </w:pPr>
            <w:r>
              <w:rPr>
                <w:sz w:val="18"/>
              </w:rPr>
              <w:t>HARQ</w:t>
            </w:r>
          </w:p>
        </w:tc>
        <w:tc>
          <w:tcPr>
            <w:tcW w:w="2463" w:type="dxa"/>
          </w:tcPr>
          <w:p>
            <w:pPr>
              <w:pStyle w:val="TableParagraph"/>
              <w:spacing w:line="207" w:lineRule="exact"/>
              <w:rPr>
                <w:sz w:val="18"/>
              </w:rPr>
            </w:pPr>
            <w:r>
              <w:rPr>
                <w:sz w:val="18"/>
              </w:rPr>
              <w:t>Disabled</w:t>
            </w:r>
          </w:p>
        </w:tc>
      </w:tr>
      <w:tr>
        <w:trPr>
          <w:trHeight w:val="218" w:hRule="exact"/>
        </w:trPr>
        <w:tc>
          <w:tcPr>
            <w:tcW w:w="2465" w:type="dxa"/>
          </w:tcPr>
          <w:p>
            <w:pPr>
              <w:pStyle w:val="TableParagraph"/>
              <w:rPr>
                <w:sz w:val="18"/>
              </w:rPr>
            </w:pPr>
            <w:r>
              <w:rPr>
                <w:sz w:val="18"/>
              </w:rPr>
              <w:t>Number of Samples</w:t>
            </w:r>
          </w:p>
        </w:tc>
        <w:tc>
          <w:tcPr>
            <w:tcW w:w="2463" w:type="dxa"/>
          </w:tcPr>
          <w:p>
            <w:pPr>
              <w:pStyle w:val="TableParagraph"/>
              <w:rPr>
                <w:sz w:val="18"/>
              </w:rPr>
            </w:pPr>
            <w:r>
              <w:rPr>
                <w:sz w:val="18"/>
              </w:rPr>
              <w:t>6000</w:t>
            </w:r>
          </w:p>
        </w:tc>
      </w:tr>
    </w:tbl>
    <w:p>
      <w:pPr>
        <w:pStyle w:val="BodyText"/>
        <w:rPr>
          <w:b/>
          <w:sz w:val="22"/>
        </w:rPr>
      </w:pPr>
    </w:p>
    <w:p>
      <w:pPr>
        <w:pStyle w:val="BodyText"/>
        <w:spacing w:before="152"/>
        <w:ind w:left="2268" w:right="1136" w:hanging="852"/>
      </w:pPr>
      <w:r>
        <w:rPr/>
        <w:t>NOTE: For an equivalent test for 3GPP for near-far effect, please see 3GPP Rel 14 TS 36.101, chapter 14.4.</w:t>
      </w:r>
    </w:p>
    <w:p>
      <w:pPr>
        <w:pStyle w:val="BodyText"/>
        <w:spacing w:before="11"/>
        <w:rPr>
          <w:sz w:val="25"/>
        </w:rPr>
      </w:pPr>
    </w:p>
    <w:p>
      <w:pPr>
        <w:pStyle w:val="ListParagraph"/>
        <w:numPr>
          <w:ilvl w:val="3"/>
          <w:numId w:val="32"/>
        </w:numPr>
        <w:tabs>
          <w:tab w:pos="2551" w:val="left" w:leader="none"/>
          <w:tab w:pos="2552" w:val="left" w:leader="none"/>
        </w:tabs>
        <w:spacing w:line="240" w:lineRule="auto" w:before="0" w:after="0"/>
        <w:ind w:left="2551" w:right="0" w:hanging="1418"/>
        <w:jc w:val="left"/>
        <w:rPr>
          <w:sz w:val="24"/>
        </w:rPr>
      </w:pPr>
      <w:r>
        <w:rPr>
          <w:sz w:val="24"/>
        </w:rPr>
        <w:t>Test</w:t>
      </w:r>
      <w:r>
        <w:rPr>
          <w:spacing w:val="-8"/>
          <w:sz w:val="24"/>
        </w:rPr>
        <w:t> </w:t>
      </w:r>
      <w:r>
        <w:rPr>
          <w:sz w:val="24"/>
        </w:rPr>
        <w:t>Execution</w:t>
      </w:r>
    </w:p>
    <w:p>
      <w:pPr>
        <w:pStyle w:val="ListParagraph"/>
        <w:numPr>
          <w:ilvl w:val="4"/>
          <w:numId w:val="32"/>
        </w:numPr>
        <w:tabs>
          <w:tab w:pos="1702" w:val="left" w:leader="none"/>
        </w:tabs>
        <w:spacing w:line="240" w:lineRule="auto" w:before="181" w:after="0"/>
        <w:ind w:left="1702" w:right="0" w:hanging="286"/>
        <w:jc w:val="left"/>
        <w:rPr>
          <w:sz w:val="20"/>
        </w:rPr>
      </w:pPr>
      <w:r>
        <w:rPr>
          <w:sz w:val="20"/>
        </w:rPr>
        <w:t>Turn off Device 2</w:t>
      </w:r>
      <w:r>
        <w:rPr>
          <w:spacing w:val="-5"/>
          <w:sz w:val="20"/>
        </w:rPr>
        <w:t> </w:t>
      </w:r>
      <w:r>
        <w:rPr>
          <w:sz w:val="20"/>
        </w:rPr>
        <w:t>(DUT2).</w:t>
      </w:r>
    </w:p>
    <w:p>
      <w:pPr>
        <w:pStyle w:val="ListParagraph"/>
        <w:numPr>
          <w:ilvl w:val="4"/>
          <w:numId w:val="32"/>
        </w:numPr>
        <w:tabs>
          <w:tab w:pos="1702" w:val="left" w:leader="none"/>
        </w:tabs>
        <w:spacing w:line="240" w:lineRule="auto" w:before="180" w:after="0"/>
        <w:ind w:left="1702" w:right="1130" w:hanging="286"/>
        <w:jc w:val="left"/>
        <w:rPr>
          <w:sz w:val="20"/>
        </w:rPr>
      </w:pPr>
      <w:r>
        <w:rPr>
          <w:sz w:val="20"/>
        </w:rPr>
        <w:t>Adjust the attenuator between Device 1 (DUT1) and Device 3 (DUT3) such that received power is -50 dBm at DUT3. Record this attenuator</w:t>
      </w:r>
      <w:r>
        <w:rPr>
          <w:spacing w:val="-11"/>
          <w:sz w:val="20"/>
        </w:rPr>
        <w:t> </w:t>
      </w:r>
      <w:r>
        <w:rPr>
          <w:sz w:val="20"/>
        </w:rPr>
        <w:t>setting.</w:t>
      </w:r>
    </w:p>
    <w:p>
      <w:pPr>
        <w:pStyle w:val="ListParagraph"/>
        <w:numPr>
          <w:ilvl w:val="4"/>
          <w:numId w:val="32"/>
        </w:numPr>
        <w:tabs>
          <w:tab w:pos="1702" w:val="left" w:leader="none"/>
        </w:tabs>
        <w:spacing w:line="240" w:lineRule="auto" w:before="180" w:after="0"/>
        <w:ind w:left="1702" w:right="0" w:hanging="286"/>
        <w:jc w:val="left"/>
        <w:rPr>
          <w:sz w:val="20"/>
        </w:rPr>
      </w:pPr>
      <w:r>
        <w:rPr>
          <w:sz w:val="20"/>
        </w:rPr>
        <w:t>Turn off Device 1</w:t>
      </w:r>
      <w:r>
        <w:rPr>
          <w:spacing w:val="-5"/>
          <w:sz w:val="20"/>
        </w:rPr>
        <w:t> </w:t>
      </w:r>
      <w:r>
        <w:rPr>
          <w:sz w:val="20"/>
        </w:rPr>
        <w:t>(DUT1).</w:t>
      </w:r>
    </w:p>
    <w:p>
      <w:pPr>
        <w:pStyle w:val="ListParagraph"/>
        <w:numPr>
          <w:ilvl w:val="4"/>
          <w:numId w:val="32"/>
        </w:numPr>
        <w:tabs>
          <w:tab w:pos="1631" w:val="left" w:leader="none"/>
        </w:tabs>
        <w:spacing w:line="240" w:lineRule="auto" w:before="178" w:after="0"/>
        <w:ind w:left="1702" w:right="1139" w:hanging="286"/>
        <w:jc w:val="left"/>
        <w:rPr>
          <w:sz w:val="20"/>
        </w:rPr>
      </w:pPr>
      <w:r>
        <w:rPr>
          <w:sz w:val="20"/>
        </w:rPr>
        <w:t>Turn</w:t>
      </w:r>
      <w:r>
        <w:rPr>
          <w:spacing w:val="-9"/>
          <w:sz w:val="20"/>
        </w:rPr>
        <w:t> </w:t>
      </w:r>
      <w:r>
        <w:rPr>
          <w:sz w:val="20"/>
        </w:rPr>
        <w:t>on</w:t>
      </w:r>
      <w:r>
        <w:rPr>
          <w:spacing w:val="-7"/>
          <w:sz w:val="20"/>
        </w:rPr>
        <w:t> </w:t>
      </w:r>
      <w:r>
        <w:rPr>
          <w:sz w:val="20"/>
        </w:rPr>
        <w:t>Device</w:t>
      </w:r>
      <w:r>
        <w:rPr>
          <w:spacing w:val="-7"/>
          <w:sz w:val="20"/>
        </w:rPr>
        <w:t> </w:t>
      </w:r>
      <w:r>
        <w:rPr>
          <w:sz w:val="20"/>
        </w:rPr>
        <w:t>2</w:t>
      </w:r>
      <w:r>
        <w:rPr>
          <w:spacing w:val="-9"/>
          <w:sz w:val="20"/>
        </w:rPr>
        <w:t> </w:t>
      </w:r>
      <w:r>
        <w:rPr>
          <w:sz w:val="20"/>
        </w:rPr>
        <w:t>(DUT2)</w:t>
      </w:r>
      <w:r>
        <w:rPr>
          <w:spacing w:val="-8"/>
          <w:sz w:val="20"/>
        </w:rPr>
        <w:t> </w:t>
      </w:r>
      <w:r>
        <w:rPr>
          <w:sz w:val="20"/>
        </w:rPr>
        <w:t>and</w:t>
      </w:r>
      <w:r>
        <w:rPr>
          <w:spacing w:val="-7"/>
          <w:sz w:val="20"/>
        </w:rPr>
        <w:t> </w:t>
      </w:r>
      <w:r>
        <w:rPr>
          <w:sz w:val="20"/>
        </w:rPr>
        <w:t>set</w:t>
      </w:r>
      <w:r>
        <w:rPr>
          <w:spacing w:val="-10"/>
          <w:sz w:val="20"/>
        </w:rPr>
        <w:t> </w:t>
      </w:r>
      <w:r>
        <w:rPr>
          <w:sz w:val="20"/>
        </w:rPr>
        <w:t>the</w:t>
      </w:r>
      <w:r>
        <w:rPr>
          <w:spacing w:val="-7"/>
          <w:sz w:val="20"/>
        </w:rPr>
        <w:t> </w:t>
      </w:r>
      <w:r>
        <w:rPr>
          <w:sz w:val="20"/>
        </w:rPr>
        <w:t>attenuation</w:t>
      </w:r>
      <w:r>
        <w:rPr>
          <w:spacing w:val="-9"/>
          <w:sz w:val="20"/>
        </w:rPr>
        <w:t> </w:t>
      </w:r>
      <w:r>
        <w:rPr>
          <w:sz w:val="20"/>
        </w:rPr>
        <w:t>at</w:t>
      </w:r>
      <w:r>
        <w:rPr>
          <w:spacing w:val="-7"/>
          <w:sz w:val="20"/>
        </w:rPr>
        <w:t> </w:t>
      </w:r>
      <w:r>
        <w:rPr>
          <w:sz w:val="20"/>
        </w:rPr>
        <w:t>Device</w:t>
      </w:r>
      <w:r>
        <w:rPr>
          <w:spacing w:val="-9"/>
          <w:sz w:val="20"/>
        </w:rPr>
        <w:t> </w:t>
      </w:r>
      <w:r>
        <w:rPr>
          <w:sz w:val="20"/>
        </w:rPr>
        <w:t>2</w:t>
      </w:r>
      <w:r>
        <w:rPr>
          <w:spacing w:val="-7"/>
          <w:sz w:val="20"/>
        </w:rPr>
        <w:t> </w:t>
      </w:r>
      <w:r>
        <w:rPr>
          <w:sz w:val="20"/>
        </w:rPr>
        <w:t>(DUT2)</w:t>
      </w:r>
      <w:r>
        <w:rPr>
          <w:spacing w:val="-8"/>
          <w:sz w:val="20"/>
        </w:rPr>
        <w:t> </w:t>
      </w:r>
      <w:r>
        <w:rPr>
          <w:sz w:val="20"/>
        </w:rPr>
        <w:t>such</w:t>
      </w:r>
      <w:r>
        <w:rPr>
          <w:spacing w:val="-9"/>
          <w:sz w:val="20"/>
        </w:rPr>
        <w:t> </w:t>
      </w:r>
      <w:r>
        <w:rPr>
          <w:sz w:val="20"/>
        </w:rPr>
        <w:t>that</w:t>
      </w:r>
      <w:r>
        <w:rPr>
          <w:spacing w:val="-9"/>
          <w:sz w:val="20"/>
        </w:rPr>
        <w:t> </w:t>
      </w:r>
      <w:r>
        <w:rPr>
          <w:sz w:val="20"/>
        </w:rPr>
        <w:t>the</w:t>
      </w:r>
      <w:r>
        <w:rPr>
          <w:spacing w:val="-7"/>
          <w:sz w:val="20"/>
        </w:rPr>
        <w:t> </w:t>
      </w:r>
      <w:r>
        <w:rPr>
          <w:sz w:val="20"/>
        </w:rPr>
        <w:t>input</w:t>
      </w:r>
      <w:r>
        <w:rPr>
          <w:spacing w:val="-10"/>
          <w:sz w:val="20"/>
        </w:rPr>
        <w:t> </w:t>
      </w:r>
      <w:r>
        <w:rPr>
          <w:sz w:val="20"/>
        </w:rPr>
        <w:t>power</w:t>
      </w:r>
      <w:r>
        <w:rPr>
          <w:spacing w:val="-6"/>
          <w:sz w:val="20"/>
        </w:rPr>
        <w:t> </w:t>
      </w:r>
      <w:r>
        <w:rPr>
          <w:sz w:val="20"/>
        </w:rPr>
        <w:t>at</w:t>
      </w:r>
      <w:r>
        <w:rPr>
          <w:spacing w:val="-10"/>
          <w:sz w:val="20"/>
        </w:rPr>
        <w:t> </w:t>
      </w:r>
      <w:r>
        <w:rPr>
          <w:sz w:val="20"/>
        </w:rPr>
        <w:t>Device 3 (DUT3) is -50</w:t>
      </w:r>
      <w:r>
        <w:rPr>
          <w:spacing w:val="-3"/>
          <w:sz w:val="20"/>
        </w:rPr>
        <w:t> </w:t>
      </w:r>
      <w:r>
        <w:rPr>
          <w:sz w:val="20"/>
        </w:rPr>
        <w:t>dBm.</w:t>
      </w:r>
    </w:p>
    <w:p>
      <w:pPr>
        <w:pStyle w:val="ListParagraph"/>
        <w:numPr>
          <w:ilvl w:val="4"/>
          <w:numId w:val="32"/>
        </w:numPr>
        <w:tabs>
          <w:tab w:pos="1633" w:val="left" w:leader="none"/>
        </w:tabs>
        <w:spacing w:line="240" w:lineRule="auto" w:before="180" w:after="0"/>
        <w:ind w:left="1702" w:right="1136" w:hanging="286"/>
        <w:jc w:val="left"/>
        <w:rPr>
          <w:sz w:val="20"/>
        </w:rPr>
      </w:pPr>
      <w:r>
        <w:rPr>
          <w:sz w:val="20"/>
        </w:rPr>
        <w:t>Turn</w:t>
      </w:r>
      <w:r>
        <w:rPr>
          <w:spacing w:val="-7"/>
          <w:sz w:val="20"/>
        </w:rPr>
        <w:t> </w:t>
      </w:r>
      <w:r>
        <w:rPr>
          <w:sz w:val="20"/>
        </w:rPr>
        <w:t>on</w:t>
      </w:r>
      <w:r>
        <w:rPr>
          <w:spacing w:val="-6"/>
          <w:sz w:val="20"/>
        </w:rPr>
        <w:t> </w:t>
      </w:r>
      <w:r>
        <w:rPr>
          <w:sz w:val="20"/>
        </w:rPr>
        <w:t>Device</w:t>
      </w:r>
      <w:r>
        <w:rPr>
          <w:spacing w:val="-6"/>
          <w:sz w:val="20"/>
        </w:rPr>
        <w:t> </w:t>
      </w:r>
      <w:r>
        <w:rPr>
          <w:sz w:val="20"/>
        </w:rPr>
        <w:t>1</w:t>
      </w:r>
      <w:r>
        <w:rPr>
          <w:spacing w:val="-6"/>
          <w:sz w:val="20"/>
        </w:rPr>
        <w:t> </w:t>
      </w:r>
      <w:r>
        <w:rPr>
          <w:sz w:val="20"/>
        </w:rPr>
        <w:t>(DUT1)</w:t>
      </w:r>
      <w:r>
        <w:rPr>
          <w:spacing w:val="-7"/>
          <w:sz w:val="20"/>
        </w:rPr>
        <w:t> </w:t>
      </w:r>
      <w:r>
        <w:rPr>
          <w:sz w:val="20"/>
        </w:rPr>
        <w:t>and</w:t>
      </w:r>
      <w:r>
        <w:rPr>
          <w:spacing w:val="-8"/>
          <w:sz w:val="20"/>
        </w:rPr>
        <w:t> </w:t>
      </w:r>
      <w:r>
        <w:rPr>
          <w:sz w:val="20"/>
        </w:rPr>
        <w:t>set</w:t>
      </w:r>
      <w:r>
        <w:rPr>
          <w:spacing w:val="-6"/>
          <w:sz w:val="20"/>
        </w:rPr>
        <w:t> </w:t>
      </w:r>
      <w:r>
        <w:rPr>
          <w:sz w:val="20"/>
        </w:rPr>
        <w:t>the</w:t>
      </w:r>
      <w:r>
        <w:rPr>
          <w:spacing w:val="-6"/>
          <w:sz w:val="20"/>
        </w:rPr>
        <w:t> </w:t>
      </w:r>
      <w:r>
        <w:rPr>
          <w:sz w:val="20"/>
        </w:rPr>
        <w:t>attenuator</w:t>
      </w:r>
      <w:r>
        <w:rPr>
          <w:spacing w:val="-5"/>
          <w:sz w:val="20"/>
        </w:rPr>
        <w:t> </w:t>
      </w:r>
      <w:r>
        <w:rPr>
          <w:sz w:val="20"/>
        </w:rPr>
        <w:t>to</w:t>
      </w:r>
      <w:r>
        <w:rPr>
          <w:spacing w:val="-6"/>
          <w:sz w:val="20"/>
        </w:rPr>
        <w:t> </w:t>
      </w:r>
      <w:r>
        <w:rPr>
          <w:sz w:val="20"/>
        </w:rPr>
        <w:t>the</w:t>
      </w:r>
      <w:r>
        <w:rPr>
          <w:spacing w:val="-6"/>
          <w:sz w:val="20"/>
        </w:rPr>
        <w:t> </w:t>
      </w:r>
      <w:r>
        <w:rPr>
          <w:sz w:val="20"/>
        </w:rPr>
        <w:t>value</w:t>
      </w:r>
      <w:r>
        <w:rPr>
          <w:spacing w:val="-6"/>
          <w:sz w:val="20"/>
        </w:rPr>
        <w:t> </w:t>
      </w:r>
      <w:r>
        <w:rPr>
          <w:sz w:val="20"/>
        </w:rPr>
        <w:t>determined</w:t>
      </w:r>
      <w:r>
        <w:rPr>
          <w:spacing w:val="-6"/>
          <w:sz w:val="20"/>
        </w:rPr>
        <w:t> </w:t>
      </w:r>
      <w:r>
        <w:rPr>
          <w:sz w:val="20"/>
        </w:rPr>
        <w:t>in</w:t>
      </w:r>
      <w:r>
        <w:rPr>
          <w:spacing w:val="-6"/>
          <w:sz w:val="20"/>
        </w:rPr>
        <w:t> </w:t>
      </w:r>
      <w:r>
        <w:rPr>
          <w:sz w:val="20"/>
        </w:rPr>
        <w:t>Step</w:t>
      </w:r>
      <w:r>
        <w:rPr>
          <w:spacing w:val="-4"/>
          <w:sz w:val="20"/>
        </w:rPr>
        <w:t> </w:t>
      </w:r>
      <w:r>
        <w:rPr>
          <w:sz w:val="20"/>
        </w:rPr>
        <w:t>2.</w:t>
      </w:r>
      <w:r>
        <w:rPr>
          <w:spacing w:val="-8"/>
          <w:sz w:val="20"/>
        </w:rPr>
        <w:t> </w:t>
      </w:r>
      <w:r>
        <w:rPr>
          <w:sz w:val="20"/>
        </w:rPr>
        <w:t>This</w:t>
      </w:r>
      <w:r>
        <w:rPr>
          <w:spacing w:val="-4"/>
          <w:sz w:val="20"/>
        </w:rPr>
        <w:t> </w:t>
      </w:r>
      <w:r>
        <w:rPr>
          <w:sz w:val="20"/>
        </w:rPr>
        <w:t>attenuator</w:t>
      </w:r>
      <w:r>
        <w:rPr>
          <w:spacing w:val="-5"/>
          <w:sz w:val="20"/>
        </w:rPr>
        <w:t> </w:t>
      </w:r>
      <w:r>
        <w:rPr>
          <w:sz w:val="20"/>
        </w:rPr>
        <w:t>value is set constant throughout the</w:t>
      </w:r>
      <w:r>
        <w:rPr>
          <w:spacing w:val="-10"/>
          <w:sz w:val="20"/>
        </w:rPr>
        <w:t> </w:t>
      </w:r>
      <w:r>
        <w:rPr>
          <w:sz w:val="20"/>
        </w:rPr>
        <w:t>test.</w:t>
      </w:r>
    </w:p>
    <w:p>
      <w:pPr>
        <w:pStyle w:val="ListParagraph"/>
        <w:numPr>
          <w:ilvl w:val="4"/>
          <w:numId w:val="32"/>
        </w:numPr>
        <w:tabs>
          <w:tab w:pos="1638" w:val="left" w:leader="none"/>
        </w:tabs>
        <w:spacing w:line="240" w:lineRule="auto" w:before="180" w:after="0"/>
        <w:ind w:left="1637" w:right="0" w:hanging="221"/>
        <w:jc w:val="left"/>
        <w:rPr>
          <w:sz w:val="20"/>
        </w:rPr>
      </w:pPr>
      <w:r>
        <w:rPr>
          <w:sz w:val="20"/>
        </w:rPr>
        <w:t>Record the data as mentioned below on all the</w:t>
      </w:r>
      <w:r>
        <w:rPr>
          <w:spacing w:val="-15"/>
          <w:sz w:val="20"/>
        </w:rPr>
        <w:t> </w:t>
      </w:r>
      <w:r>
        <w:rPr>
          <w:sz w:val="20"/>
        </w:rPr>
        <w:t>devices:</w:t>
      </w:r>
    </w:p>
    <w:p>
      <w:pPr>
        <w:pStyle w:val="BodyText"/>
        <w:spacing w:before="1"/>
        <w:rPr>
          <w:sz w:val="16"/>
        </w:rPr>
      </w:pPr>
    </w:p>
    <w:tbl>
      <w:tblPr>
        <w:tblW w:w="0" w:type="auto"/>
        <w:jc w:val="left"/>
        <w:tblInd w:w="164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01"/>
        <w:gridCol w:w="330"/>
        <w:gridCol w:w="1841"/>
        <w:gridCol w:w="519"/>
        <w:gridCol w:w="203"/>
        <w:gridCol w:w="610"/>
        <w:gridCol w:w="1572"/>
        <w:gridCol w:w="1165"/>
        <w:gridCol w:w="1238"/>
      </w:tblGrid>
      <w:tr>
        <w:trPr>
          <w:trHeight w:val="453" w:hRule="exact"/>
        </w:trPr>
        <w:tc>
          <w:tcPr>
            <w:tcW w:w="1701" w:type="dxa"/>
          </w:tcPr>
          <w:p>
            <w:pPr>
              <w:pStyle w:val="TableParagraph"/>
              <w:tabs>
                <w:tab w:pos="335" w:val="left" w:leader="none"/>
              </w:tabs>
              <w:spacing w:line="223" w:lineRule="exact"/>
              <w:ind w:left="50"/>
              <w:rPr>
                <w:sz w:val="20"/>
              </w:rPr>
            </w:pPr>
            <w:r>
              <w:rPr>
                <w:sz w:val="20"/>
              </w:rPr>
              <w:t>-</w:t>
              <w:tab/>
              <w:t>Device</w:t>
            </w:r>
          </w:p>
          <w:p>
            <w:pPr>
              <w:pStyle w:val="TableParagraph"/>
              <w:tabs>
                <w:tab w:pos="618" w:val="left" w:leader="none"/>
              </w:tabs>
              <w:spacing w:line="240" w:lineRule="auto"/>
              <w:ind w:left="335"/>
              <w:rPr>
                <w:sz w:val="20"/>
              </w:rPr>
            </w:pPr>
            <w:r>
              <w:rPr>
                <w:sz w:val="20"/>
              </w:rPr>
              <w:t>-</w:t>
              <w:tab/>
              <w:t>OS</w:t>
            </w:r>
          </w:p>
        </w:tc>
        <w:tc>
          <w:tcPr>
            <w:tcW w:w="330" w:type="dxa"/>
          </w:tcPr>
          <w:p>
            <w:pPr>
              <w:pStyle w:val="TableParagraph"/>
              <w:spacing w:line="223" w:lineRule="exact"/>
              <w:ind w:left="184"/>
              <w:rPr>
                <w:sz w:val="20"/>
              </w:rPr>
            </w:pPr>
            <w:r>
              <w:rPr>
                <w:w w:val="99"/>
                <w:sz w:val="20"/>
              </w:rPr>
              <w:t>1</w:t>
            </w:r>
          </w:p>
        </w:tc>
        <w:tc>
          <w:tcPr>
            <w:tcW w:w="1841" w:type="dxa"/>
          </w:tcPr>
          <w:p>
            <w:pPr>
              <w:pStyle w:val="TableParagraph"/>
              <w:spacing w:line="223" w:lineRule="exact"/>
              <w:ind w:left="907"/>
              <w:rPr>
                <w:sz w:val="20"/>
              </w:rPr>
            </w:pPr>
            <w:r>
              <w:rPr>
                <w:sz w:val="20"/>
              </w:rPr>
              <w:t>(DUT1)</w:t>
            </w:r>
          </w:p>
          <w:p>
            <w:pPr>
              <w:pStyle w:val="TableParagraph"/>
              <w:spacing w:line="240" w:lineRule="auto"/>
              <w:ind w:left="37"/>
              <w:rPr>
                <w:sz w:val="20"/>
              </w:rPr>
            </w:pPr>
            <w:r>
              <w:rPr>
                <w:sz w:val="20"/>
              </w:rPr>
              <w:t>timestamp</w:t>
            </w:r>
          </w:p>
        </w:tc>
        <w:tc>
          <w:tcPr>
            <w:tcW w:w="519" w:type="dxa"/>
          </w:tcPr>
          <w:p>
            <w:pPr>
              <w:pStyle w:val="TableParagraph"/>
              <w:spacing w:line="240" w:lineRule="auto" w:before="4"/>
              <w:ind w:left="0"/>
              <w:rPr>
                <w:sz w:val="19"/>
              </w:rPr>
            </w:pPr>
          </w:p>
          <w:p>
            <w:pPr>
              <w:pStyle w:val="TableParagraph"/>
              <w:spacing w:line="240" w:lineRule="auto"/>
              <w:ind w:left="0"/>
              <w:jc w:val="right"/>
              <w:rPr>
                <w:sz w:val="20"/>
              </w:rPr>
            </w:pPr>
            <w:r>
              <w:rPr>
                <w:sz w:val="20"/>
              </w:rPr>
              <w:t>for</w:t>
            </w:r>
          </w:p>
        </w:tc>
        <w:tc>
          <w:tcPr>
            <w:tcW w:w="813" w:type="dxa"/>
            <w:gridSpan w:val="2"/>
          </w:tcPr>
          <w:p>
            <w:pPr>
              <w:pStyle w:val="TableParagraph"/>
              <w:spacing w:line="223" w:lineRule="exact"/>
              <w:ind w:left="143"/>
              <w:rPr>
                <w:sz w:val="20"/>
              </w:rPr>
            </w:pPr>
            <w:r>
              <w:rPr>
                <w:sz w:val="20"/>
              </w:rPr>
              <w:t>and</w:t>
            </w:r>
          </w:p>
        </w:tc>
        <w:tc>
          <w:tcPr>
            <w:tcW w:w="1572" w:type="dxa"/>
          </w:tcPr>
          <w:p>
            <w:pPr>
              <w:pStyle w:val="TableParagraph"/>
              <w:spacing w:line="240" w:lineRule="auto"/>
              <w:ind w:left="347" w:right="338" w:firstLine="255"/>
              <w:rPr>
                <w:sz w:val="20"/>
              </w:rPr>
            </w:pPr>
            <w:r>
              <w:rPr>
                <w:sz w:val="20"/>
              </w:rPr>
              <w:t>Device each</w:t>
            </w:r>
          </w:p>
        </w:tc>
        <w:tc>
          <w:tcPr>
            <w:tcW w:w="1165" w:type="dxa"/>
          </w:tcPr>
          <w:p>
            <w:pPr>
              <w:pStyle w:val="TableParagraph"/>
              <w:spacing w:line="223" w:lineRule="exact"/>
              <w:ind w:left="111"/>
              <w:jc w:val="center"/>
              <w:rPr>
                <w:sz w:val="20"/>
              </w:rPr>
            </w:pPr>
            <w:r>
              <w:rPr>
                <w:w w:val="99"/>
                <w:sz w:val="20"/>
              </w:rPr>
              <w:t>2</w:t>
            </w:r>
          </w:p>
          <w:p>
            <w:pPr>
              <w:pStyle w:val="TableParagraph"/>
              <w:spacing w:line="240" w:lineRule="auto"/>
              <w:ind w:left="371"/>
              <w:rPr>
                <w:sz w:val="20"/>
              </w:rPr>
            </w:pPr>
            <w:r>
              <w:rPr>
                <w:sz w:val="20"/>
              </w:rPr>
              <w:t>Tx</w:t>
            </w:r>
          </w:p>
        </w:tc>
        <w:tc>
          <w:tcPr>
            <w:tcW w:w="1238" w:type="dxa"/>
          </w:tcPr>
          <w:p>
            <w:pPr>
              <w:pStyle w:val="TableParagraph"/>
              <w:spacing w:line="223" w:lineRule="exact"/>
              <w:ind w:left="446" w:right="30"/>
              <w:jc w:val="center"/>
              <w:rPr>
                <w:sz w:val="20"/>
              </w:rPr>
            </w:pPr>
            <w:r>
              <w:rPr>
                <w:sz w:val="20"/>
              </w:rPr>
              <w:t>(DUT2):</w:t>
            </w:r>
          </w:p>
          <w:p>
            <w:pPr>
              <w:pStyle w:val="TableParagraph"/>
              <w:spacing w:line="240" w:lineRule="auto"/>
              <w:ind w:left="565" w:right="30"/>
              <w:jc w:val="center"/>
              <w:rPr>
                <w:sz w:val="20"/>
              </w:rPr>
            </w:pPr>
            <w:r>
              <w:rPr>
                <w:sz w:val="20"/>
              </w:rPr>
              <w:t>packet</w:t>
            </w:r>
          </w:p>
        </w:tc>
      </w:tr>
      <w:tr>
        <w:trPr>
          <w:trHeight w:val="324" w:hRule="exact"/>
        </w:trPr>
        <w:tc>
          <w:tcPr>
            <w:tcW w:w="9178" w:type="dxa"/>
            <w:gridSpan w:val="9"/>
          </w:tcPr>
          <w:p>
            <w:pPr>
              <w:pStyle w:val="TableParagraph"/>
              <w:tabs>
                <w:tab w:pos="618" w:val="left" w:leader="none"/>
              </w:tabs>
              <w:spacing w:line="240" w:lineRule="auto"/>
              <w:ind w:left="335"/>
              <w:rPr>
                <w:sz w:val="20"/>
              </w:rPr>
            </w:pPr>
            <w:r>
              <w:rPr>
                <w:sz w:val="20"/>
              </w:rPr>
              <w:t>-</w:t>
              <w:tab/>
              <w:t>Sequence number of each Tx</w:t>
            </w:r>
            <w:r>
              <w:rPr>
                <w:spacing w:val="-5"/>
                <w:sz w:val="20"/>
              </w:rPr>
              <w:t> </w:t>
            </w:r>
            <w:r>
              <w:rPr>
                <w:sz w:val="20"/>
              </w:rPr>
              <w:t>packet</w:t>
            </w:r>
          </w:p>
        </w:tc>
      </w:tr>
      <w:tr>
        <w:trPr>
          <w:trHeight w:val="551" w:hRule="exact"/>
        </w:trPr>
        <w:tc>
          <w:tcPr>
            <w:tcW w:w="1701" w:type="dxa"/>
          </w:tcPr>
          <w:p>
            <w:pPr>
              <w:pStyle w:val="TableParagraph"/>
              <w:tabs>
                <w:tab w:pos="335" w:val="left" w:leader="none"/>
              </w:tabs>
              <w:spacing w:line="240" w:lineRule="auto" w:before="86"/>
              <w:ind w:left="50"/>
              <w:rPr>
                <w:sz w:val="20"/>
              </w:rPr>
            </w:pPr>
            <w:r>
              <w:rPr>
                <w:sz w:val="20"/>
              </w:rPr>
              <w:t>-</w:t>
              <w:tab/>
              <w:t>Device</w:t>
            </w:r>
          </w:p>
          <w:p>
            <w:pPr>
              <w:pStyle w:val="TableParagraph"/>
              <w:tabs>
                <w:tab w:pos="618" w:val="left" w:leader="none"/>
              </w:tabs>
              <w:spacing w:line="240" w:lineRule="auto"/>
              <w:ind w:left="335"/>
              <w:rPr>
                <w:sz w:val="20"/>
              </w:rPr>
            </w:pPr>
            <w:r>
              <w:rPr>
                <w:sz w:val="20"/>
              </w:rPr>
              <w:t>-</w:t>
              <w:tab/>
              <w:t>OS</w:t>
            </w:r>
          </w:p>
        </w:tc>
        <w:tc>
          <w:tcPr>
            <w:tcW w:w="2171" w:type="dxa"/>
            <w:gridSpan w:val="2"/>
          </w:tcPr>
          <w:p>
            <w:pPr>
              <w:pStyle w:val="TableParagraph"/>
              <w:spacing w:line="240" w:lineRule="auto" w:before="6"/>
              <w:ind w:left="0"/>
              <w:rPr>
                <w:sz w:val="27"/>
              </w:rPr>
            </w:pPr>
          </w:p>
          <w:p>
            <w:pPr>
              <w:pStyle w:val="TableParagraph"/>
              <w:spacing w:line="240" w:lineRule="auto"/>
              <w:ind w:left="365"/>
              <w:rPr>
                <w:sz w:val="20"/>
              </w:rPr>
            </w:pPr>
            <w:r>
              <w:rPr>
                <w:sz w:val="20"/>
              </w:rPr>
              <w:t>timestamp</w:t>
            </w:r>
          </w:p>
        </w:tc>
        <w:tc>
          <w:tcPr>
            <w:tcW w:w="519" w:type="dxa"/>
          </w:tcPr>
          <w:p>
            <w:pPr>
              <w:pStyle w:val="TableParagraph"/>
              <w:spacing w:line="240" w:lineRule="auto" w:before="6"/>
              <w:ind w:left="0"/>
              <w:rPr>
                <w:sz w:val="27"/>
              </w:rPr>
            </w:pPr>
          </w:p>
          <w:p>
            <w:pPr>
              <w:pStyle w:val="TableParagraph"/>
              <w:spacing w:line="240" w:lineRule="auto"/>
              <w:ind w:left="0" w:right="5"/>
              <w:jc w:val="right"/>
              <w:rPr>
                <w:sz w:val="20"/>
              </w:rPr>
            </w:pPr>
            <w:r>
              <w:rPr>
                <w:sz w:val="20"/>
              </w:rPr>
              <w:t>for</w:t>
            </w:r>
          </w:p>
        </w:tc>
        <w:tc>
          <w:tcPr>
            <w:tcW w:w="203" w:type="dxa"/>
          </w:tcPr>
          <w:p>
            <w:pPr/>
          </w:p>
        </w:tc>
        <w:tc>
          <w:tcPr>
            <w:tcW w:w="610" w:type="dxa"/>
          </w:tcPr>
          <w:p>
            <w:pPr>
              <w:pStyle w:val="TableParagraph"/>
              <w:spacing w:line="240" w:lineRule="auto" w:before="86"/>
              <w:ind w:left="33"/>
              <w:rPr>
                <w:sz w:val="20"/>
              </w:rPr>
            </w:pPr>
            <w:r>
              <w:rPr>
                <w:w w:val="99"/>
                <w:sz w:val="20"/>
              </w:rPr>
              <w:t>3</w:t>
            </w:r>
          </w:p>
        </w:tc>
        <w:tc>
          <w:tcPr>
            <w:tcW w:w="1572" w:type="dxa"/>
          </w:tcPr>
          <w:p>
            <w:pPr>
              <w:pStyle w:val="TableParagraph"/>
              <w:spacing w:line="240" w:lineRule="auto" w:before="6"/>
              <w:ind w:left="0"/>
              <w:rPr>
                <w:sz w:val="27"/>
              </w:rPr>
            </w:pPr>
          </w:p>
          <w:p>
            <w:pPr>
              <w:pStyle w:val="TableParagraph"/>
              <w:spacing w:line="240" w:lineRule="auto"/>
              <w:ind w:left="337"/>
              <w:rPr>
                <w:sz w:val="20"/>
              </w:rPr>
            </w:pPr>
            <w:r>
              <w:rPr>
                <w:sz w:val="20"/>
              </w:rPr>
              <w:t>each</w:t>
            </w:r>
          </w:p>
        </w:tc>
        <w:tc>
          <w:tcPr>
            <w:tcW w:w="1165" w:type="dxa"/>
          </w:tcPr>
          <w:p>
            <w:pPr>
              <w:pStyle w:val="TableParagraph"/>
              <w:spacing w:line="240" w:lineRule="auto" w:before="6"/>
              <w:ind w:left="0"/>
              <w:rPr>
                <w:sz w:val="27"/>
              </w:rPr>
            </w:pPr>
          </w:p>
          <w:p>
            <w:pPr>
              <w:pStyle w:val="TableParagraph"/>
              <w:spacing w:line="240" w:lineRule="auto"/>
              <w:ind w:left="357"/>
              <w:rPr>
                <w:sz w:val="20"/>
              </w:rPr>
            </w:pPr>
            <w:r>
              <w:rPr>
                <w:sz w:val="20"/>
              </w:rPr>
              <w:t>Rx</w:t>
            </w:r>
          </w:p>
        </w:tc>
        <w:tc>
          <w:tcPr>
            <w:tcW w:w="1238" w:type="dxa"/>
          </w:tcPr>
          <w:p>
            <w:pPr>
              <w:pStyle w:val="TableParagraph"/>
              <w:spacing w:line="240" w:lineRule="auto" w:before="86"/>
              <w:ind w:left="451" w:right="24"/>
              <w:jc w:val="center"/>
              <w:rPr>
                <w:sz w:val="20"/>
              </w:rPr>
            </w:pPr>
            <w:r>
              <w:rPr>
                <w:sz w:val="20"/>
              </w:rPr>
              <w:t>(DUT3):</w:t>
            </w:r>
          </w:p>
          <w:p>
            <w:pPr>
              <w:pStyle w:val="TableParagraph"/>
              <w:spacing w:line="240" w:lineRule="auto"/>
              <w:ind w:left="571" w:right="25"/>
              <w:jc w:val="center"/>
              <w:rPr>
                <w:sz w:val="20"/>
              </w:rPr>
            </w:pPr>
            <w:r>
              <w:rPr>
                <w:sz w:val="20"/>
              </w:rPr>
              <w:t>packet</w:t>
            </w:r>
          </w:p>
        </w:tc>
      </w:tr>
      <w:tr>
        <w:trPr>
          <w:trHeight w:val="226" w:hRule="exact"/>
        </w:trPr>
        <w:tc>
          <w:tcPr>
            <w:tcW w:w="1701" w:type="dxa"/>
          </w:tcPr>
          <w:p>
            <w:pPr>
              <w:pStyle w:val="TableParagraph"/>
              <w:tabs>
                <w:tab w:pos="618" w:val="left" w:leader="none"/>
              </w:tabs>
              <w:spacing w:line="227" w:lineRule="exact"/>
              <w:ind w:left="335"/>
              <w:rPr>
                <w:sz w:val="20"/>
              </w:rPr>
            </w:pPr>
            <w:r>
              <w:rPr>
                <w:sz w:val="20"/>
              </w:rPr>
              <w:t>-</w:t>
              <w:tab/>
              <w:t>Sequence</w:t>
            </w:r>
          </w:p>
        </w:tc>
        <w:tc>
          <w:tcPr>
            <w:tcW w:w="2171" w:type="dxa"/>
            <w:gridSpan w:val="2"/>
          </w:tcPr>
          <w:p>
            <w:pPr>
              <w:pStyle w:val="TableParagraph"/>
              <w:spacing w:line="227" w:lineRule="exact"/>
              <w:ind w:left="914"/>
              <w:rPr>
                <w:sz w:val="20"/>
              </w:rPr>
            </w:pPr>
            <w:r>
              <w:rPr>
                <w:sz w:val="20"/>
              </w:rPr>
              <w:t>number</w:t>
            </w:r>
          </w:p>
        </w:tc>
        <w:tc>
          <w:tcPr>
            <w:tcW w:w="519" w:type="dxa"/>
          </w:tcPr>
          <w:p>
            <w:pPr/>
          </w:p>
        </w:tc>
        <w:tc>
          <w:tcPr>
            <w:tcW w:w="203" w:type="dxa"/>
          </w:tcPr>
          <w:p>
            <w:pPr>
              <w:pStyle w:val="TableParagraph"/>
              <w:spacing w:line="227" w:lineRule="exact"/>
              <w:ind w:left="2"/>
              <w:rPr>
                <w:sz w:val="20"/>
              </w:rPr>
            </w:pPr>
            <w:r>
              <w:rPr>
                <w:sz w:val="20"/>
              </w:rPr>
              <w:t>of</w:t>
            </w:r>
          </w:p>
        </w:tc>
        <w:tc>
          <w:tcPr>
            <w:tcW w:w="610" w:type="dxa"/>
          </w:tcPr>
          <w:p>
            <w:pPr/>
          </w:p>
        </w:tc>
        <w:tc>
          <w:tcPr>
            <w:tcW w:w="1572" w:type="dxa"/>
          </w:tcPr>
          <w:p>
            <w:pPr>
              <w:pStyle w:val="TableParagraph"/>
              <w:spacing w:line="227" w:lineRule="exact"/>
              <w:ind w:left="457"/>
              <w:rPr>
                <w:sz w:val="20"/>
              </w:rPr>
            </w:pPr>
            <w:r>
              <w:rPr>
                <w:sz w:val="20"/>
              </w:rPr>
              <w:t>each</w:t>
            </w:r>
          </w:p>
        </w:tc>
        <w:tc>
          <w:tcPr>
            <w:tcW w:w="1165" w:type="dxa"/>
          </w:tcPr>
          <w:p>
            <w:pPr>
              <w:pStyle w:val="TableParagraph"/>
              <w:spacing w:line="227" w:lineRule="exact"/>
              <w:ind w:left="397" w:right="482"/>
              <w:jc w:val="center"/>
              <w:rPr>
                <w:sz w:val="20"/>
              </w:rPr>
            </w:pPr>
            <w:r>
              <w:rPr>
                <w:sz w:val="20"/>
              </w:rPr>
              <w:t>Rx</w:t>
            </w:r>
          </w:p>
        </w:tc>
        <w:tc>
          <w:tcPr>
            <w:tcW w:w="1238" w:type="dxa"/>
          </w:tcPr>
          <w:p>
            <w:pPr>
              <w:pStyle w:val="TableParagraph"/>
              <w:spacing w:line="227" w:lineRule="exact"/>
              <w:ind w:left="593"/>
              <w:rPr>
                <w:sz w:val="20"/>
              </w:rPr>
            </w:pPr>
            <w:r>
              <w:rPr>
                <w:sz w:val="20"/>
              </w:rPr>
              <w:t>packet</w:t>
            </w:r>
          </w:p>
        </w:tc>
      </w:tr>
    </w:tbl>
    <w:p>
      <w:pPr>
        <w:pStyle w:val="BodyText"/>
        <w:tabs>
          <w:tab w:pos="282" w:val="left" w:leader="none"/>
        </w:tabs>
        <w:ind w:right="4029"/>
        <w:jc w:val="center"/>
      </w:pPr>
      <w:r>
        <w:rPr/>
        <w:t>-</w:t>
        <w:tab/>
        <w:t>Receive signal power for each Rx</w:t>
      </w:r>
      <w:r>
        <w:rPr>
          <w:spacing w:val="-15"/>
        </w:rPr>
        <w:t> </w:t>
      </w:r>
      <w:r>
        <w:rPr/>
        <w:t>packet</w:t>
      </w:r>
    </w:p>
    <w:p>
      <w:pPr>
        <w:spacing w:after="0"/>
        <w:jc w:val="center"/>
        <w:sectPr>
          <w:headerReference w:type="default" r:id="rId290"/>
          <w:pgSz w:w="11910" w:h="16850"/>
          <w:pgMar w:header="852" w:footer="979" w:top="1040" w:bottom="1160" w:left="0" w:right="0"/>
        </w:sectPr>
      </w:pPr>
    </w:p>
    <w:p>
      <w:pPr>
        <w:pStyle w:val="BodyText"/>
        <w:spacing w:before="2"/>
        <w:rPr>
          <w:sz w:val="23"/>
        </w:rPr>
      </w:pPr>
    </w:p>
    <w:p>
      <w:pPr>
        <w:pStyle w:val="ListParagraph"/>
        <w:numPr>
          <w:ilvl w:val="4"/>
          <w:numId w:val="32"/>
        </w:numPr>
        <w:tabs>
          <w:tab w:pos="1702" w:val="left" w:leader="none"/>
        </w:tabs>
        <w:spacing w:line="240" w:lineRule="auto" w:before="93" w:after="0"/>
        <w:ind w:left="1702" w:right="1129" w:hanging="286"/>
        <w:jc w:val="left"/>
        <w:rPr>
          <w:sz w:val="20"/>
        </w:rPr>
      </w:pPr>
      <w:r>
        <w:rPr>
          <w:sz w:val="20"/>
        </w:rPr>
        <w:t>At Device 3 (DUT3), calculate the PER for packets sent by Device 1 (DUT1), as well as the PER </w:t>
      </w:r>
      <w:r>
        <w:rPr>
          <w:spacing w:val="4"/>
          <w:sz w:val="20"/>
        </w:rPr>
        <w:t>for </w:t>
      </w:r>
      <w:r>
        <w:rPr>
          <w:sz w:val="20"/>
        </w:rPr>
        <w:t>packets sent by Device 2</w:t>
      </w:r>
      <w:r>
        <w:rPr>
          <w:spacing w:val="-9"/>
          <w:sz w:val="20"/>
        </w:rPr>
        <w:t> </w:t>
      </w:r>
      <w:r>
        <w:rPr>
          <w:sz w:val="20"/>
        </w:rPr>
        <w:t>(DUT2).</w:t>
      </w:r>
    </w:p>
    <w:p>
      <w:pPr>
        <w:pStyle w:val="Heading6"/>
        <w:numPr>
          <w:ilvl w:val="4"/>
          <w:numId w:val="32"/>
        </w:numPr>
        <w:tabs>
          <w:tab w:pos="1703" w:val="left" w:leader="none"/>
        </w:tabs>
        <w:spacing w:line="240" w:lineRule="auto" w:before="180" w:after="0"/>
        <w:ind w:left="1702" w:right="1132" w:hanging="288"/>
        <w:jc w:val="left"/>
      </w:pPr>
      <w:r>
        <w:rPr/>
        <w:t>Increase the attenuation on the Variable Attenuator between DUT2 and DUT3 by a certain increment.</w:t>
      </w:r>
    </w:p>
    <w:p>
      <w:pPr>
        <w:pStyle w:val="ListParagraph"/>
        <w:numPr>
          <w:ilvl w:val="5"/>
          <w:numId w:val="32"/>
        </w:numPr>
        <w:tabs>
          <w:tab w:pos="1986" w:val="left" w:leader="none"/>
        </w:tabs>
        <w:spacing w:line="240" w:lineRule="auto" w:before="178" w:after="0"/>
        <w:ind w:left="1985" w:right="0" w:hanging="288"/>
        <w:jc w:val="left"/>
        <w:rPr>
          <w:sz w:val="20"/>
        </w:rPr>
      </w:pPr>
      <w:r>
        <w:rPr>
          <w:sz w:val="20"/>
        </w:rPr>
        <w:t>In the first few iterations, use 10 dB as the</w:t>
      </w:r>
      <w:r>
        <w:rPr>
          <w:spacing w:val="-18"/>
          <w:sz w:val="20"/>
        </w:rPr>
        <w:t> </w:t>
      </w:r>
      <w:r>
        <w:rPr>
          <w:sz w:val="20"/>
        </w:rPr>
        <w:t>increment.</w:t>
      </w:r>
    </w:p>
    <w:p>
      <w:pPr>
        <w:pStyle w:val="ListParagraph"/>
        <w:numPr>
          <w:ilvl w:val="5"/>
          <w:numId w:val="32"/>
        </w:numPr>
        <w:tabs>
          <w:tab w:pos="1986" w:val="left" w:leader="none"/>
        </w:tabs>
        <w:spacing w:line="240" w:lineRule="auto" w:before="180" w:after="0"/>
        <w:ind w:left="1985" w:right="0" w:hanging="286"/>
        <w:jc w:val="left"/>
        <w:rPr>
          <w:sz w:val="20"/>
        </w:rPr>
      </w:pPr>
      <w:r>
        <w:rPr>
          <w:sz w:val="20"/>
        </w:rPr>
        <w:t>In later iterations, as the PER approaches 100%, use one dB as the</w:t>
      </w:r>
      <w:r>
        <w:rPr>
          <w:spacing w:val="-14"/>
          <w:sz w:val="20"/>
        </w:rPr>
        <w:t> </w:t>
      </w:r>
      <w:r>
        <w:rPr>
          <w:sz w:val="20"/>
        </w:rPr>
        <w:t>increment.</w:t>
      </w:r>
    </w:p>
    <w:p>
      <w:pPr>
        <w:pStyle w:val="ListParagraph"/>
        <w:numPr>
          <w:ilvl w:val="4"/>
          <w:numId w:val="32"/>
        </w:numPr>
        <w:tabs>
          <w:tab w:pos="1702" w:val="left" w:leader="none"/>
        </w:tabs>
        <w:spacing w:line="240" w:lineRule="auto" w:before="180" w:after="0"/>
        <w:ind w:left="1702" w:right="0" w:hanging="286"/>
        <w:jc w:val="left"/>
        <w:rPr>
          <w:sz w:val="20"/>
        </w:rPr>
      </w:pPr>
      <w:r>
        <w:rPr>
          <w:sz w:val="20"/>
        </w:rPr>
        <w:t>Repeat step 8 until the PER for packets sent by Device 2 reaches</w:t>
      </w:r>
      <w:r>
        <w:rPr>
          <w:spacing w:val="-22"/>
          <w:sz w:val="20"/>
        </w:rPr>
        <w:t> </w:t>
      </w:r>
      <w:r>
        <w:rPr>
          <w:sz w:val="20"/>
        </w:rPr>
        <w:t>100%</w:t>
      </w:r>
    </w:p>
    <w:p>
      <w:pPr>
        <w:pStyle w:val="BodyText"/>
        <w:spacing w:before="11"/>
        <w:rPr>
          <w:sz w:val="25"/>
        </w:rPr>
      </w:pPr>
    </w:p>
    <w:p>
      <w:pPr>
        <w:pStyle w:val="Heading5"/>
        <w:numPr>
          <w:ilvl w:val="3"/>
          <w:numId w:val="32"/>
        </w:numPr>
        <w:tabs>
          <w:tab w:pos="2552" w:val="left" w:leader="none"/>
        </w:tabs>
        <w:spacing w:line="240" w:lineRule="auto" w:before="0" w:after="0"/>
        <w:ind w:left="2551" w:right="0" w:hanging="1418"/>
        <w:jc w:val="both"/>
        <w:rPr>
          <w:rFonts w:ascii="Arial"/>
        </w:rPr>
      </w:pPr>
      <w:r>
        <w:rPr>
          <w:rFonts w:ascii="Arial"/>
        </w:rPr>
        <w:t>Required</w:t>
      </w:r>
      <w:r>
        <w:rPr>
          <w:rFonts w:ascii="Arial"/>
          <w:spacing w:val="-9"/>
        </w:rPr>
        <w:t> </w:t>
      </w:r>
      <w:r>
        <w:rPr>
          <w:rFonts w:ascii="Arial"/>
        </w:rPr>
        <w:t>Documentation</w:t>
      </w:r>
    </w:p>
    <w:p>
      <w:pPr>
        <w:pStyle w:val="BodyText"/>
        <w:spacing w:before="181"/>
        <w:ind w:left="1133"/>
        <w:jc w:val="both"/>
      </w:pPr>
      <w:r>
        <w:rPr/>
        <w:t>Table 26 is based on the data collected from log files.</w:t>
      </w:r>
    </w:p>
    <w:p>
      <w:pPr>
        <w:pStyle w:val="BodyText"/>
        <w:spacing w:before="8"/>
      </w:pPr>
    </w:p>
    <w:p>
      <w:pPr>
        <w:pStyle w:val="Heading7"/>
        <w:jc w:val="both"/>
      </w:pPr>
      <w:r>
        <w:rPr/>
        <w:t>Table 26: C-V2X Near-Far Effect Results</w:t>
      </w:r>
    </w:p>
    <w:p>
      <w:pPr>
        <w:pStyle w:val="BodyText"/>
        <w:spacing w:before="1"/>
        <w:rPr>
          <w:b/>
          <w:sz w:val="16"/>
        </w:rPr>
      </w:pPr>
    </w:p>
    <w:tbl>
      <w:tblPr>
        <w:tblW w:w="0" w:type="auto"/>
        <w:jc w:val="left"/>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8"/>
        <w:gridCol w:w="883"/>
        <w:gridCol w:w="1112"/>
        <w:gridCol w:w="1380"/>
        <w:gridCol w:w="1500"/>
        <w:gridCol w:w="1205"/>
        <w:gridCol w:w="1260"/>
        <w:gridCol w:w="1164"/>
      </w:tblGrid>
      <w:tr>
        <w:trPr>
          <w:trHeight w:val="518" w:hRule="exact"/>
        </w:trPr>
        <w:tc>
          <w:tcPr>
            <w:tcW w:w="1128" w:type="dxa"/>
            <w:vMerge w:val="restart"/>
            <w:shd w:val="clear" w:color="auto" w:fill="D9D9D9"/>
          </w:tcPr>
          <w:p>
            <w:pPr>
              <w:pStyle w:val="TableParagraph"/>
              <w:spacing w:line="240" w:lineRule="auto"/>
              <w:ind w:right="85"/>
              <w:rPr>
                <w:b/>
                <w:sz w:val="18"/>
              </w:rPr>
            </w:pPr>
            <w:r>
              <w:rPr>
                <w:b/>
                <w:sz w:val="18"/>
              </w:rPr>
              <w:t>Attenuator Value (dB)</w:t>
            </w:r>
          </w:p>
        </w:tc>
        <w:tc>
          <w:tcPr>
            <w:tcW w:w="883" w:type="dxa"/>
            <w:vMerge w:val="restart"/>
            <w:shd w:val="clear" w:color="auto" w:fill="D9D9D9"/>
          </w:tcPr>
          <w:p>
            <w:pPr>
              <w:pStyle w:val="TableParagraph"/>
              <w:spacing w:line="240" w:lineRule="auto"/>
              <w:ind w:right="170"/>
              <w:rPr>
                <w:b/>
                <w:sz w:val="18"/>
              </w:rPr>
            </w:pPr>
            <w:r>
              <w:rPr>
                <w:b/>
                <w:sz w:val="18"/>
              </w:rPr>
              <w:t>Rx power delta* at Device 3 (dB)</w:t>
            </w:r>
          </w:p>
        </w:tc>
        <w:tc>
          <w:tcPr>
            <w:tcW w:w="2492" w:type="dxa"/>
            <w:gridSpan w:val="2"/>
            <w:shd w:val="clear" w:color="auto" w:fill="D9D9D9"/>
          </w:tcPr>
          <w:p>
            <w:pPr>
              <w:pStyle w:val="TableParagraph"/>
              <w:spacing w:line="201" w:lineRule="exact"/>
              <w:rPr>
                <w:b/>
                <w:sz w:val="18"/>
              </w:rPr>
            </w:pPr>
            <w:r>
              <w:rPr>
                <w:b/>
                <w:sz w:val="18"/>
              </w:rPr>
              <w:t>No. of Transmitted pkts</w:t>
            </w:r>
          </w:p>
        </w:tc>
        <w:tc>
          <w:tcPr>
            <w:tcW w:w="2705" w:type="dxa"/>
            <w:gridSpan w:val="2"/>
            <w:shd w:val="clear" w:color="auto" w:fill="D9D9D9"/>
          </w:tcPr>
          <w:p>
            <w:pPr>
              <w:pStyle w:val="TableParagraph"/>
              <w:spacing w:line="201" w:lineRule="exact"/>
              <w:rPr>
                <w:b/>
                <w:sz w:val="18"/>
              </w:rPr>
            </w:pPr>
            <w:r>
              <w:rPr>
                <w:b/>
                <w:sz w:val="18"/>
              </w:rPr>
              <w:t>No. of Received pkts</w:t>
            </w:r>
          </w:p>
        </w:tc>
        <w:tc>
          <w:tcPr>
            <w:tcW w:w="2424" w:type="dxa"/>
            <w:gridSpan w:val="2"/>
            <w:vMerge w:val="restart"/>
            <w:shd w:val="clear" w:color="auto" w:fill="D9D9D9"/>
          </w:tcPr>
          <w:p>
            <w:pPr>
              <w:pStyle w:val="TableParagraph"/>
              <w:tabs>
                <w:tab w:pos="678" w:val="left" w:leader="none"/>
                <w:tab w:pos="2153" w:val="left" w:leader="none"/>
              </w:tabs>
              <w:spacing w:line="240" w:lineRule="auto"/>
              <w:ind w:right="100"/>
              <w:rPr>
                <w:b/>
                <w:sz w:val="18"/>
              </w:rPr>
            </w:pPr>
            <w:r>
              <w:rPr>
                <w:b/>
                <w:sz w:val="18"/>
              </w:rPr>
              <w:t>PER</w:t>
              <w:tab/>
              <w:t>%  </w:t>
            </w:r>
            <w:r>
              <w:rPr>
                <w:b/>
                <w:spacing w:val="47"/>
                <w:sz w:val="18"/>
              </w:rPr>
              <w:t> </w:t>
            </w:r>
            <w:r>
              <w:rPr>
                <w:b/>
                <w:sz w:val="18"/>
              </w:rPr>
              <w:t>Calculated</w:t>
              <w:tab/>
              <w:t>at</w:t>
            </w:r>
            <w:r>
              <w:rPr>
                <w:b/>
                <w:w w:val="99"/>
                <w:sz w:val="18"/>
              </w:rPr>
              <w:t> </w:t>
            </w:r>
            <w:r>
              <w:rPr>
                <w:b/>
                <w:sz w:val="18"/>
              </w:rPr>
              <w:t>Receiver (Device</w:t>
            </w:r>
            <w:r>
              <w:rPr>
                <w:b/>
                <w:spacing w:val="-5"/>
                <w:sz w:val="18"/>
              </w:rPr>
              <w:t> </w:t>
            </w:r>
            <w:r>
              <w:rPr>
                <w:b/>
                <w:sz w:val="18"/>
              </w:rPr>
              <w:t>3)</w:t>
            </w:r>
          </w:p>
        </w:tc>
      </w:tr>
      <w:tr>
        <w:trPr>
          <w:trHeight w:val="521" w:hRule="exact"/>
        </w:trPr>
        <w:tc>
          <w:tcPr>
            <w:tcW w:w="1128" w:type="dxa"/>
            <w:vMerge/>
            <w:shd w:val="clear" w:color="auto" w:fill="D9D9D9"/>
          </w:tcPr>
          <w:p>
            <w:pPr/>
          </w:p>
        </w:tc>
        <w:tc>
          <w:tcPr>
            <w:tcW w:w="883" w:type="dxa"/>
            <w:vMerge/>
            <w:shd w:val="clear" w:color="auto" w:fill="D9D9D9"/>
          </w:tcPr>
          <w:p>
            <w:pPr/>
          </w:p>
        </w:tc>
        <w:tc>
          <w:tcPr>
            <w:tcW w:w="2492" w:type="dxa"/>
            <w:gridSpan w:val="2"/>
            <w:shd w:val="clear" w:color="auto" w:fill="D9D9D9"/>
          </w:tcPr>
          <w:p>
            <w:pPr>
              <w:pStyle w:val="TableParagraph"/>
              <w:spacing w:line="201" w:lineRule="exact"/>
              <w:rPr>
                <w:b/>
                <w:sz w:val="18"/>
              </w:rPr>
            </w:pPr>
            <w:r>
              <w:rPr>
                <w:b/>
                <w:sz w:val="18"/>
              </w:rPr>
              <w:t>(total for the 10 min test)</w:t>
            </w:r>
          </w:p>
        </w:tc>
        <w:tc>
          <w:tcPr>
            <w:tcW w:w="2705" w:type="dxa"/>
            <w:gridSpan w:val="2"/>
            <w:shd w:val="clear" w:color="auto" w:fill="D9D9D9"/>
          </w:tcPr>
          <w:p>
            <w:pPr>
              <w:pStyle w:val="TableParagraph"/>
              <w:spacing w:line="201" w:lineRule="exact"/>
              <w:rPr>
                <w:b/>
                <w:sz w:val="18"/>
              </w:rPr>
            </w:pPr>
            <w:r>
              <w:rPr>
                <w:b/>
                <w:sz w:val="18"/>
              </w:rPr>
              <w:t>(total for the 10-min test)</w:t>
            </w:r>
          </w:p>
        </w:tc>
        <w:tc>
          <w:tcPr>
            <w:tcW w:w="2424" w:type="dxa"/>
            <w:gridSpan w:val="2"/>
            <w:vMerge/>
            <w:shd w:val="clear" w:color="auto" w:fill="D9D9D9"/>
          </w:tcPr>
          <w:p>
            <w:pPr/>
          </w:p>
        </w:tc>
      </w:tr>
      <w:tr>
        <w:trPr>
          <w:trHeight w:val="914" w:hRule="exact"/>
        </w:trPr>
        <w:tc>
          <w:tcPr>
            <w:tcW w:w="1128" w:type="dxa"/>
            <w:vMerge/>
            <w:shd w:val="clear" w:color="auto" w:fill="D9D9D9"/>
          </w:tcPr>
          <w:p>
            <w:pPr/>
          </w:p>
        </w:tc>
        <w:tc>
          <w:tcPr>
            <w:tcW w:w="883" w:type="dxa"/>
            <w:vMerge/>
            <w:shd w:val="clear" w:color="auto" w:fill="D9D9D9"/>
          </w:tcPr>
          <w:p>
            <w:pPr/>
          </w:p>
        </w:tc>
        <w:tc>
          <w:tcPr>
            <w:tcW w:w="1112" w:type="dxa"/>
            <w:shd w:val="clear" w:color="auto" w:fill="D9D9D9"/>
          </w:tcPr>
          <w:p>
            <w:pPr>
              <w:pStyle w:val="TableParagraph"/>
              <w:spacing w:line="240" w:lineRule="auto"/>
              <w:ind w:right="219"/>
              <w:rPr>
                <w:b/>
                <w:sz w:val="18"/>
              </w:rPr>
            </w:pPr>
            <w:r>
              <w:rPr>
                <w:b/>
                <w:sz w:val="18"/>
              </w:rPr>
              <w:t>Transmit Device 1</w:t>
            </w:r>
          </w:p>
        </w:tc>
        <w:tc>
          <w:tcPr>
            <w:tcW w:w="1380" w:type="dxa"/>
            <w:shd w:val="clear" w:color="auto" w:fill="D9D9D9"/>
          </w:tcPr>
          <w:p>
            <w:pPr>
              <w:pStyle w:val="TableParagraph"/>
              <w:spacing w:line="240" w:lineRule="auto"/>
              <w:ind w:right="487"/>
              <w:rPr>
                <w:b/>
                <w:sz w:val="18"/>
              </w:rPr>
            </w:pPr>
            <w:r>
              <w:rPr>
                <w:b/>
                <w:sz w:val="18"/>
              </w:rPr>
              <w:t>Transmit Device 2</w:t>
            </w:r>
          </w:p>
        </w:tc>
        <w:tc>
          <w:tcPr>
            <w:tcW w:w="1500" w:type="dxa"/>
            <w:shd w:val="clear" w:color="auto" w:fill="D9D9D9"/>
          </w:tcPr>
          <w:p>
            <w:pPr>
              <w:pStyle w:val="TableParagraph"/>
              <w:tabs>
                <w:tab w:pos="1228" w:val="left" w:leader="none"/>
              </w:tabs>
              <w:spacing w:line="240" w:lineRule="auto"/>
              <w:ind w:right="99"/>
              <w:rPr>
                <w:b/>
                <w:sz w:val="18"/>
              </w:rPr>
            </w:pPr>
            <w:r>
              <w:rPr>
                <w:b/>
                <w:sz w:val="18"/>
              </w:rPr>
              <w:t>Received</w:t>
              <w:tab/>
              <w:t>at Device  3</w:t>
            </w:r>
            <w:r>
              <w:rPr>
                <w:b/>
                <w:spacing w:val="49"/>
                <w:sz w:val="18"/>
              </w:rPr>
              <w:t> </w:t>
            </w:r>
            <w:r>
              <w:rPr>
                <w:b/>
                <w:sz w:val="18"/>
              </w:rPr>
              <w:t>from</w:t>
            </w:r>
          </w:p>
          <w:p>
            <w:pPr>
              <w:pStyle w:val="TableParagraph"/>
              <w:spacing w:line="240" w:lineRule="auto" w:before="7"/>
              <w:rPr>
                <w:b/>
                <w:sz w:val="18"/>
              </w:rPr>
            </w:pPr>
            <w:r>
              <w:rPr>
                <w:b/>
                <w:sz w:val="18"/>
              </w:rPr>
              <w:t>Device 1</w:t>
            </w:r>
          </w:p>
        </w:tc>
        <w:tc>
          <w:tcPr>
            <w:tcW w:w="1205" w:type="dxa"/>
            <w:shd w:val="clear" w:color="auto" w:fill="D9D9D9"/>
          </w:tcPr>
          <w:p>
            <w:pPr>
              <w:pStyle w:val="TableParagraph"/>
              <w:spacing w:line="240" w:lineRule="auto"/>
              <w:ind w:right="122"/>
              <w:rPr>
                <w:b/>
                <w:sz w:val="18"/>
              </w:rPr>
            </w:pPr>
            <w:r>
              <w:rPr>
                <w:b/>
                <w:sz w:val="18"/>
              </w:rPr>
              <w:t>Received at Device 3 from Device</w:t>
            </w:r>
            <w:r>
              <w:rPr>
                <w:b/>
                <w:spacing w:val="-3"/>
                <w:sz w:val="18"/>
              </w:rPr>
              <w:t> </w:t>
            </w:r>
            <w:r>
              <w:rPr>
                <w:b/>
                <w:sz w:val="18"/>
              </w:rPr>
              <w:t>2</w:t>
            </w:r>
          </w:p>
        </w:tc>
        <w:tc>
          <w:tcPr>
            <w:tcW w:w="1260" w:type="dxa"/>
            <w:shd w:val="clear" w:color="auto" w:fill="D9D9D9"/>
          </w:tcPr>
          <w:p>
            <w:pPr>
              <w:pStyle w:val="TableParagraph"/>
              <w:spacing w:line="240" w:lineRule="auto"/>
              <w:ind w:right="396"/>
              <w:rPr>
                <w:b/>
                <w:sz w:val="18"/>
              </w:rPr>
            </w:pPr>
            <w:r>
              <w:rPr>
                <w:b/>
                <w:sz w:val="18"/>
              </w:rPr>
              <w:t>For Packets from Device 1</w:t>
            </w:r>
          </w:p>
        </w:tc>
        <w:tc>
          <w:tcPr>
            <w:tcW w:w="1164" w:type="dxa"/>
            <w:shd w:val="clear" w:color="auto" w:fill="D9D9D9"/>
          </w:tcPr>
          <w:p>
            <w:pPr>
              <w:pStyle w:val="TableParagraph"/>
              <w:spacing w:line="240" w:lineRule="auto"/>
              <w:ind w:right="301"/>
              <w:rPr>
                <w:b/>
                <w:sz w:val="18"/>
              </w:rPr>
            </w:pPr>
            <w:r>
              <w:rPr>
                <w:b/>
                <w:sz w:val="18"/>
              </w:rPr>
              <w:t>For Packets from Device 2</w:t>
            </w:r>
          </w:p>
        </w:tc>
      </w:tr>
      <w:tr>
        <w:trPr>
          <w:trHeight w:val="310" w:hRule="exact"/>
        </w:trPr>
        <w:tc>
          <w:tcPr>
            <w:tcW w:w="1128" w:type="dxa"/>
          </w:tcPr>
          <w:p>
            <w:pPr>
              <w:pStyle w:val="TableParagraph"/>
              <w:rPr>
                <w:sz w:val="18"/>
              </w:rPr>
            </w:pPr>
            <w:r>
              <w:rPr>
                <w:sz w:val="18"/>
              </w:rPr>
              <w:t>39</w:t>
            </w:r>
          </w:p>
        </w:tc>
        <w:tc>
          <w:tcPr>
            <w:tcW w:w="883" w:type="dxa"/>
          </w:tcPr>
          <w:p>
            <w:pPr>
              <w:pStyle w:val="TableParagraph"/>
              <w:rPr>
                <w:sz w:val="18"/>
              </w:rPr>
            </w:pPr>
            <w:r>
              <w:rPr>
                <w:w w:val="99"/>
                <w:sz w:val="18"/>
              </w:rPr>
              <w:t>0</w:t>
            </w:r>
          </w:p>
        </w:tc>
        <w:tc>
          <w:tcPr>
            <w:tcW w:w="1112" w:type="dxa"/>
          </w:tcPr>
          <w:p>
            <w:pPr>
              <w:pStyle w:val="TableParagraph"/>
              <w:rPr>
                <w:sz w:val="18"/>
              </w:rPr>
            </w:pPr>
            <w:r>
              <w:rPr>
                <w:sz w:val="18"/>
              </w:rPr>
              <w:t>6000</w:t>
            </w:r>
          </w:p>
        </w:tc>
        <w:tc>
          <w:tcPr>
            <w:tcW w:w="1380" w:type="dxa"/>
          </w:tcPr>
          <w:p>
            <w:pPr>
              <w:pStyle w:val="TableParagraph"/>
              <w:rPr>
                <w:sz w:val="18"/>
              </w:rPr>
            </w:pPr>
            <w:r>
              <w:rPr>
                <w:sz w:val="18"/>
              </w:rPr>
              <w:t>6000</w:t>
            </w:r>
          </w:p>
        </w:tc>
        <w:tc>
          <w:tcPr>
            <w:tcW w:w="1500" w:type="dxa"/>
          </w:tcPr>
          <w:p>
            <w:pPr>
              <w:pStyle w:val="TableParagraph"/>
              <w:rPr>
                <w:sz w:val="18"/>
              </w:rPr>
            </w:pPr>
            <w:r>
              <w:rPr>
                <w:sz w:val="18"/>
              </w:rPr>
              <w:t>6000</w:t>
            </w:r>
          </w:p>
        </w:tc>
        <w:tc>
          <w:tcPr>
            <w:tcW w:w="1205" w:type="dxa"/>
          </w:tcPr>
          <w:p>
            <w:pPr>
              <w:pStyle w:val="TableParagraph"/>
              <w:rPr>
                <w:sz w:val="18"/>
              </w:rPr>
            </w:pPr>
            <w:r>
              <w:rPr>
                <w:sz w:val="18"/>
              </w:rPr>
              <w:t>6000</w:t>
            </w:r>
          </w:p>
        </w:tc>
        <w:tc>
          <w:tcPr>
            <w:tcW w:w="1260" w:type="dxa"/>
          </w:tcPr>
          <w:p>
            <w:pPr>
              <w:pStyle w:val="TableParagraph"/>
              <w:rPr>
                <w:sz w:val="18"/>
              </w:rPr>
            </w:pPr>
            <w:r>
              <w:rPr>
                <w:w w:val="99"/>
                <w:sz w:val="18"/>
              </w:rPr>
              <w:t>0</w:t>
            </w:r>
          </w:p>
        </w:tc>
        <w:tc>
          <w:tcPr>
            <w:tcW w:w="1164" w:type="dxa"/>
          </w:tcPr>
          <w:p>
            <w:pPr>
              <w:pStyle w:val="TableParagraph"/>
              <w:rPr>
                <w:sz w:val="18"/>
              </w:rPr>
            </w:pPr>
            <w:r>
              <w:rPr>
                <w:w w:val="99"/>
                <w:sz w:val="18"/>
              </w:rPr>
              <w:t>0</w:t>
            </w:r>
          </w:p>
        </w:tc>
      </w:tr>
      <w:tr>
        <w:trPr>
          <w:trHeight w:val="310" w:hRule="exact"/>
        </w:trPr>
        <w:tc>
          <w:tcPr>
            <w:tcW w:w="1128" w:type="dxa"/>
          </w:tcPr>
          <w:p>
            <w:pPr>
              <w:pStyle w:val="TableParagraph"/>
              <w:rPr>
                <w:sz w:val="18"/>
              </w:rPr>
            </w:pPr>
            <w:r>
              <w:rPr>
                <w:sz w:val="18"/>
              </w:rPr>
              <w:t>49</w:t>
            </w:r>
          </w:p>
        </w:tc>
        <w:tc>
          <w:tcPr>
            <w:tcW w:w="883" w:type="dxa"/>
          </w:tcPr>
          <w:p>
            <w:pPr>
              <w:pStyle w:val="TableParagraph"/>
              <w:rPr>
                <w:sz w:val="18"/>
              </w:rPr>
            </w:pPr>
            <w:r>
              <w:rPr>
                <w:sz w:val="18"/>
              </w:rPr>
              <w:t>10</w:t>
            </w:r>
          </w:p>
        </w:tc>
        <w:tc>
          <w:tcPr>
            <w:tcW w:w="1112" w:type="dxa"/>
          </w:tcPr>
          <w:p>
            <w:pPr>
              <w:pStyle w:val="TableParagraph"/>
              <w:rPr>
                <w:sz w:val="18"/>
              </w:rPr>
            </w:pPr>
            <w:r>
              <w:rPr>
                <w:sz w:val="18"/>
              </w:rPr>
              <w:t>6000</w:t>
            </w:r>
          </w:p>
        </w:tc>
        <w:tc>
          <w:tcPr>
            <w:tcW w:w="1380" w:type="dxa"/>
          </w:tcPr>
          <w:p>
            <w:pPr>
              <w:pStyle w:val="TableParagraph"/>
              <w:rPr>
                <w:sz w:val="18"/>
              </w:rPr>
            </w:pPr>
            <w:r>
              <w:rPr>
                <w:sz w:val="18"/>
              </w:rPr>
              <w:t>6000</w:t>
            </w:r>
          </w:p>
        </w:tc>
        <w:tc>
          <w:tcPr>
            <w:tcW w:w="1500" w:type="dxa"/>
          </w:tcPr>
          <w:p>
            <w:pPr>
              <w:pStyle w:val="TableParagraph"/>
              <w:rPr>
                <w:sz w:val="18"/>
              </w:rPr>
            </w:pPr>
            <w:r>
              <w:rPr>
                <w:sz w:val="18"/>
              </w:rPr>
              <w:t>6000</w:t>
            </w:r>
          </w:p>
        </w:tc>
        <w:tc>
          <w:tcPr>
            <w:tcW w:w="1205" w:type="dxa"/>
          </w:tcPr>
          <w:p>
            <w:pPr>
              <w:pStyle w:val="TableParagraph"/>
              <w:rPr>
                <w:sz w:val="18"/>
              </w:rPr>
            </w:pPr>
            <w:r>
              <w:rPr>
                <w:sz w:val="18"/>
              </w:rPr>
              <w:t>6000</w:t>
            </w:r>
          </w:p>
        </w:tc>
        <w:tc>
          <w:tcPr>
            <w:tcW w:w="1260" w:type="dxa"/>
          </w:tcPr>
          <w:p>
            <w:pPr>
              <w:pStyle w:val="TableParagraph"/>
              <w:rPr>
                <w:sz w:val="18"/>
              </w:rPr>
            </w:pPr>
            <w:r>
              <w:rPr>
                <w:w w:val="99"/>
                <w:sz w:val="18"/>
              </w:rPr>
              <w:t>0</w:t>
            </w:r>
          </w:p>
        </w:tc>
        <w:tc>
          <w:tcPr>
            <w:tcW w:w="1164" w:type="dxa"/>
          </w:tcPr>
          <w:p>
            <w:pPr>
              <w:pStyle w:val="TableParagraph"/>
              <w:rPr>
                <w:sz w:val="18"/>
              </w:rPr>
            </w:pPr>
            <w:r>
              <w:rPr>
                <w:w w:val="99"/>
                <w:sz w:val="18"/>
              </w:rPr>
              <w:t>0</w:t>
            </w:r>
          </w:p>
        </w:tc>
      </w:tr>
      <w:tr>
        <w:trPr>
          <w:trHeight w:val="312" w:hRule="exact"/>
        </w:trPr>
        <w:tc>
          <w:tcPr>
            <w:tcW w:w="1128" w:type="dxa"/>
          </w:tcPr>
          <w:p>
            <w:pPr>
              <w:pStyle w:val="TableParagraph"/>
              <w:spacing w:line="240" w:lineRule="auto" w:before="1"/>
              <w:rPr>
                <w:sz w:val="18"/>
              </w:rPr>
            </w:pPr>
            <w:r>
              <w:rPr>
                <w:sz w:val="18"/>
              </w:rPr>
              <w:t>59</w:t>
            </w:r>
          </w:p>
        </w:tc>
        <w:tc>
          <w:tcPr>
            <w:tcW w:w="883" w:type="dxa"/>
          </w:tcPr>
          <w:p>
            <w:pPr>
              <w:pStyle w:val="TableParagraph"/>
              <w:spacing w:line="240" w:lineRule="auto" w:before="1"/>
              <w:rPr>
                <w:sz w:val="18"/>
              </w:rPr>
            </w:pPr>
            <w:r>
              <w:rPr>
                <w:sz w:val="18"/>
              </w:rPr>
              <w:t>20</w:t>
            </w:r>
          </w:p>
        </w:tc>
        <w:tc>
          <w:tcPr>
            <w:tcW w:w="1112" w:type="dxa"/>
          </w:tcPr>
          <w:p>
            <w:pPr>
              <w:pStyle w:val="TableParagraph"/>
              <w:spacing w:line="240" w:lineRule="auto" w:before="1"/>
              <w:rPr>
                <w:sz w:val="18"/>
              </w:rPr>
            </w:pPr>
            <w:r>
              <w:rPr>
                <w:sz w:val="18"/>
              </w:rPr>
              <w:t>6000</w:t>
            </w:r>
          </w:p>
        </w:tc>
        <w:tc>
          <w:tcPr>
            <w:tcW w:w="1380" w:type="dxa"/>
          </w:tcPr>
          <w:p>
            <w:pPr>
              <w:pStyle w:val="TableParagraph"/>
              <w:spacing w:line="240" w:lineRule="auto" w:before="1"/>
              <w:rPr>
                <w:sz w:val="18"/>
              </w:rPr>
            </w:pPr>
            <w:r>
              <w:rPr>
                <w:sz w:val="18"/>
              </w:rPr>
              <w:t>6000</w:t>
            </w:r>
          </w:p>
        </w:tc>
        <w:tc>
          <w:tcPr>
            <w:tcW w:w="1500" w:type="dxa"/>
          </w:tcPr>
          <w:p>
            <w:pPr>
              <w:pStyle w:val="TableParagraph"/>
              <w:spacing w:line="240" w:lineRule="auto" w:before="1"/>
              <w:rPr>
                <w:sz w:val="18"/>
              </w:rPr>
            </w:pPr>
            <w:r>
              <w:rPr>
                <w:sz w:val="18"/>
              </w:rPr>
              <w:t>6000</w:t>
            </w:r>
          </w:p>
        </w:tc>
        <w:tc>
          <w:tcPr>
            <w:tcW w:w="1205" w:type="dxa"/>
          </w:tcPr>
          <w:p>
            <w:pPr>
              <w:pStyle w:val="TableParagraph"/>
              <w:spacing w:line="240" w:lineRule="auto" w:before="1"/>
              <w:rPr>
                <w:sz w:val="18"/>
              </w:rPr>
            </w:pPr>
            <w:r>
              <w:rPr>
                <w:sz w:val="18"/>
              </w:rPr>
              <w:t>6000</w:t>
            </w:r>
          </w:p>
        </w:tc>
        <w:tc>
          <w:tcPr>
            <w:tcW w:w="1260" w:type="dxa"/>
          </w:tcPr>
          <w:p>
            <w:pPr>
              <w:pStyle w:val="TableParagraph"/>
              <w:spacing w:line="240" w:lineRule="auto" w:before="1"/>
              <w:rPr>
                <w:sz w:val="18"/>
              </w:rPr>
            </w:pPr>
            <w:r>
              <w:rPr>
                <w:w w:val="99"/>
                <w:sz w:val="18"/>
              </w:rPr>
              <w:t>0</w:t>
            </w:r>
          </w:p>
        </w:tc>
        <w:tc>
          <w:tcPr>
            <w:tcW w:w="1164" w:type="dxa"/>
          </w:tcPr>
          <w:p>
            <w:pPr>
              <w:pStyle w:val="TableParagraph"/>
              <w:spacing w:line="240" w:lineRule="auto" w:before="1"/>
              <w:rPr>
                <w:sz w:val="18"/>
              </w:rPr>
            </w:pPr>
            <w:r>
              <w:rPr>
                <w:w w:val="99"/>
                <w:sz w:val="18"/>
              </w:rPr>
              <w:t>0</w:t>
            </w:r>
          </w:p>
        </w:tc>
      </w:tr>
      <w:tr>
        <w:trPr>
          <w:trHeight w:val="310" w:hRule="exact"/>
        </w:trPr>
        <w:tc>
          <w:tcPr>
            <w:tcW w:w="1128" w:type="dxa"/>
          </w:tcPr>
          <w:p>
            <w:pPr>
              <w:pStyle w:val="TableParagraph"/>
              <w:spacing w:line="207" w:lineRule="exact"/>
              <w:rPr>
                <w:sz w:val="18"/>
              </w:rPr>
            </w:pPr>
            <w:r>
              <w:rPr>
                <w:sz w:val="18"/>
              </w:rPr>
              <w:t>69</w:t>
            </w:r>
          </w:p>
        </w:tc>
        <w:tc>
          <w:tcPr>
            <w:tcW w:w="883" w:type="dxa"/>
          </w:tcPr>
          <w:p>
            <w:pPr>
              <w:pStyle w:val="TableParagraph"/>
              <w:spacing w:line="207" w:lineRule="exact"/>
              <w:rPr>
                <w:sz w:val="18"/>
              </w:rPr>
            </w:pPr>
            <w:r>
              <w:rPr>
                <w:sz w:val="18"/>
              </w:rPr>
              <w:t>30</w:t>
            </w:r>
          </w:p>
        </w:tc>
        <w:tc>
          <w:tcPr>
            <w:tcW w:w="1112" w:type="dxa"/>
          </w:tcPr>
          <w:p>
            <w:pPr>
              <w:pStyle w:val="TableParagraph"/>
              <w:spacing w:line="207" w:lineRule="exact"/>
              <w:rPr>
                <w:sz w:val="18"/>
              </w:rPr>
            </w:pPr>
            <w:r>
              <w:rPr>
                <w:sz w:val="18"/>
              </w:rPr>
              <w:t>6000</w:t>
            </w:r>
          </w:p>
        </w:tc>
        <w:tc>
          <w:tcPr>
            <w:tcW w:w="1380" w:type="dxa"/>
          </w:tcPr>
          <w:p>
            <w:pPr>
              <w:pStyle w:val="TableParagraph"/>
              <w:spacing w:line="207" w:lineRule="exact"/>
              <w:rPr>
                <w:sz w:val="18"/>
              </w:rPr>
            </w:pPr>
            <w:r>
              <w:rPr>
                <w:sz w:val="18"/>
              </w:rPr>
              <w:t>6000</w:t>
            </w:r>
          </w:p>
        </w:tc>
        <w:tc>
          <w:tcPr>
            <w:tcW w:w="1500" w:type="dxa"/>
          </w:tcPr>
          <w:p>
            <w:pPr>
              <w:pStyle w:val="TableParagraph"/>
              <w:spacing w:line="207" w:lineRule="exact"/>
              <w:rPr>
                <w:sz w:val="18"/>
              </w:rPr>
            </w:pPr>
            <w:r>
              <w:rPr>
                <w:sz w:val="18"/>
              </w:rPr>
              <w:t>6000</w:t>
            </w:r>
          </w:p>
        </w:tc>
        <w:tc>
          <w:tcPr>
            <w:tcW w:w="1205" w:type="dxa"/>
          </w:tcPr>
          <w:p>
            <w:pPr>
              <w:pStyle w:val="TableParagraph"/>
              <w:spacing w:line="207" w:lineRule="exact"/>
              <w:rPr>
                <w:sz w:val="18"/>
              </w:rPr>
            </w:pPr>
            <w:r>
              <w:rPr>
                <w:sz w:val="18"/>
              </w:rPr>
              <w:t>6000</w:t>
            </w:r>
          </w:p>
        </w:tc>
        <w:tc>
          <w:tcPr>
            <w:tcW w:w="1260" w:type="dxa"/>
          </w:tcPr>
          <w:p>
            <w:pPr>
              <w:pStyle w:val="TableParagraph"/>
              <w:spacing w:line="207" w:lineRule="exact"/>
              <w:rPr>
                <w:sz w:val="18"/>
              </w:rPr>
            </w:pPr>
            <w:r>
              <w:rPr>
                <w:w w:val="99"/>
                <w:sz w:val="18"/>
              </w:rPr>
              <w:t>0</w:t>
            </w:r>
          </w:p>
        </w:tc>
        <w:tc>
          <w:tcPr>
            <w:tcW w:w="1164" w:type="dxa"/>
          </w:tcPr>
          <w:p>
            <w:pPr>
              <w:pStyle w:val="TableParagraph"/>
              <w:spacing w:line="207" w:lineRule="exact"/>
              <w:rPr>
                <w:sz w:val="18"/>
              </w:rPr>
            </w:pPr>
            <w:r>
              <w:rPr>
                <w:w w:val="99"/>
                <w:sz w:val="18"/>
              </w:rPr>
              <w:t>0</w:t>
            </w:r>
          </w:p>
        </w:tc>
      </w:tr>
      <w:tr>
        <w:trPr>
          <w:trHeight w:val="310" w:hRule="exact"/>
        </w:trPr>
        <w:tc>
          <w:tcPr>
            <w:tcW w:w="1128" w:type="dxa"/>
          </w:tcPr>
          <w:p>
            <w:pPr>
              <w:pStyle w:val="TableParagraph"/>
              <w:rPr>
                <w:sz w:val="18"/>
              </w:rPr>
            </w:pPr>
            <w:r>
              <w:rPr>
                <w:sz w:val="18"/>
              </w:rPr>
              <w:t>71</w:t>
            </w:r>
          </w:p>
        </w:tc>
        <w:tc>
          <w:tcPr>
            <w:tcW w:w="883" w:type="dxa"/>
          </w:tcPr>
          <w:p>
            <w:pPr>
              <w:pStyle w:val="TableParagraph"/>
              <w:rPr>
                <w:sz w:val="18"/>
              </w:rPr>
            </w:pPr>
            <w:r>
              <w:rPr>
                <w:sz w:val="18"/>
              </w:rPr>
              <w:t>32</w:t>
            </w:r>
          </w:p>
        </w:tc>
        <w:tc>
          <w:tcPr>
            <w:tcW w:w="1112" w:type="dxa"/>
          </w:tcPr>
          <w:p>
            <w:pPr>
              <w:pStyle w:val="TableParagraph"/>
              <w:rPr>
                <w:sz w:val="18"/>
              </w:rPr>
            </w:pPr>
            <w:r>
              <w:rPr>
                <w:sz w:val="18"/>
              </w:rPr>
              <w:t>6000</w:t>
            </w:r>
          </w:p>
        </w:tc>
        <w:tc>
          <w:tcPr>
            <w:tcW w:w="1380" w:type="dxa"/>
          </w:tcPr>
          <w:p>
            <w:pPr>
              <w:pStyle w:val="TableParagraph"/>
              <w:rPr>
                <w:sz w:val="18"/>
              </w:rPr>
            </w:pPr>
            <w:r>
              <w:rPr>
                <w:sz w:val="18"/>
              </w:rPr>
              <w:t>6000</w:t>
            </w:r>
          </w:p>
        </w:tc>
        <w:tc>
          <w:tcPr>
            <w:tcW w:w="1500" w:type="dxa"/>
          </w:tcPr>
          <w:p>
            <w:pPr>
              <w:pStyle w:val="TableParagraph"/>
              <w:rPr>
                <w:sz w:val="18"/>
              </w:rPr>
            </w:pPr>
            <w:r>
              <w:rPr>
                <w:sz w:val="18"/>
              </w:rPr>
              <w:t>6000</w:t>
            </w:r>
          </w:p>
        </w:tc>
        <w:tc>
          <w:tcPr>
            <w:tcW w:w="1205" w:type="dxa"/>
          </w:tcPr>
          <w:p>
            <w:pPr>
              <w:pStyle w:val="TableParagraph"/>
              <w:rPr>
                <w:sz w:val="18"/>
              </w:rPr>
            </w:pPr>
            <w:r>
              <w:rPr>
                <w:sz w:val="18"/>
              </w:rPr>
              <w:t>6000</w:t>
            </w:r>
          </w:p>
        </w:tc>
        <w:tc>
          <w:tcPr>
            <w:tcW w:w="1260" w:type="dxa"/>
          </w:tcPr>
          <w:p>
            <w:pPr>
              <w:pStyle w:val="TableParagraph"/>
              <w:rPr>
                <w:sz w:val="18"/>
              </w:rPr>
            </w:pPr>
            <w:r>
              <w:rPr>
                <w:w w:val="99"/>
                <w:sz w:val="18"/>
              </w:rPr>
              <w:t>0</w:t>
            </w:r>
          </w:p>
        </w:tc>
        <w:tc>
          <w:tcPr>
            <w:tcW w:w="1164" w:type="dxa"/>
          </w:tcPr>
          <w:p>
            <w:pPr>
              <w:pStyle w:val="TableParagraph"/>
              <w:rPr>
                <w:sz w:val="18"/>
              </w:rPr>
            </w:pPr>
            <w:r>
              <w:rPr>
                <w:w w:val="99"/>
                <w:sz w:val="18"/>
              </w:rPr>
              <w:t>0</w:t>
            </w:r>
          </w:p>
        </w:tc>
      </w:tr>
      <w:tr>
        <w:trPr>
          <w:trHeight w:val="310" w:hRule="exact"/>
        </w:trPr>
        <w:tc>
          <w:tcPr>
            <w:tcW w:w="1128" w:type="dxa"/>
          </w:tcPr>
          <w:p>
            <w:pPr>
              <w:pStyle w:val="TableParagraph"/>
              <w:rPr>
                <w:sz w:val="18"/>
              </w:rPr>
            </w:pPr>
            <w:r>
              <w:rPr>
                <w:sz w:val="18"/>
              </w:rPr>
              <w:t>72</w:t>
            </w:r>
          </w:p>
        </w:tc>
        <w:tc>
          <w:tcPr>
            <w:tcW w:w="883" w:type="dxa"/>
          </w:tcPr>
          <w:p>
            <w:pPr>
              <w:pStyle w:val="TableParagraph"/>
              <w:rPr>
                <w:sz w:val="18"/>
              </w:rPr>
            </w:pPr>
            <w:r>
              <w:rPr>
                <w:sz w:val="18"/>
              </w:rPr>
              <w:t>33</w:t>
            </w:r>
          </w:p>
        </w:tc>
        <w:tc>
          <w:tcPr>
            <w:tcW w:w="1112" w:type="dxa"/>
          </w:tcPr>
          <w:p>
            <w:pPr>
              <w:pStyle w:val="TableParagraph"/>
              <w:rPr>
                <w:sz w:val="18"/>
              </w:rPr>
            </w:pPr>
            <w:r>
              <w:rPr>
                <w:sz w:val="18"/>
              </w:rPr>
              <w:t>6000</w:t>
            </w:r>
          </w:p>
        </w:tc>
        <w:tc>
          <w:tcPr>
            <w:tcW w:w="1380" w:type="dxa"/>
          </w:tcPr>
          <w:p>
            <w:pPr>
              <w:pStyle w:val="TableParagraph"/>
              <w:rPr>
                <w:sz w:val="18"/>
              </w:rPr>
            </w:pPr>
            <w:r>
              <w:rPr>
                <w:sz w:val="18"/>
              </w:rPr>
              <w:t>6000</w:t>
            </w:r>
          </w:p>
        </w:tc>
        <w:tc>
          <w:tcPr>
            <w:tcW w:w="1500" w:type="dxa"/>
          </w:tcPr>
          <w:p>
            <w:pPr>
              <w:pStyle w:val="TableParagraph"/>
              <w:rPr>
                <w:sz w:val="18"/>
              </w:rPr>
            </w:pPr>
            <w:r>
              <w:rPr>
                <w:sz w:val="18"/>
              </w:rPr>
              <w:t>6000</w:t>
            </w:r>
          </w:p>
        </w:tc>
        <w:tc>
          <w:tcPr>
            <w:tcW w:w="1205" w:type="dxa"/>
          </w:tcPr>
          <w:p>
            <w:pPr>
              <w:pStyle w:val="TableParagraph"/>
              <w:rPr>
                <w:sz w:val="18"/>
              </w:rPr>
            </w:pPr>
            <w:r>
              <w:rPr>
                <w:sz w:val="18"/>
              </w:rPr>
              <w:t>5996</w:t>
            </w:r>
          </w:p>
        </w:tc>
        <w:tc>
          <w:tcPr>
            <w:tcW w:w="1260" w:type="dxa"/>
          </w:tcPr>
          <w:p>
            <w:pPr>
              <w:pStyle w:val="TableParagraph"/>
              <w:rPr>
                <w:sz w:val="18"/>
              </w:rPr>
            </w:pPr>
            <w:r>
              <w:rPr>
                <w:w w:val="99"/>
                <w:sz w:val="18"/>
              </w:rPr>
              <w:t>0</w:t>
            </w:r>
          </w:p>
        </w:tc>
        <w:tc>
          <w:tcPr>
            <w:tcW w:w="1164" w:type="dxa"/>
          </w:tcPr>
          <w:p>
            <w:pPr>
              <w:pStyle w:val="TableParagraph"/>
              <w:rPr>
                <w:sz w:val="18"/>
              </w:rPr>
            </w:pPr>
            <w:r>
              <w:rPr>
                <w:sz w:val="18"/>
              </w:rPr>
              <w:t>0.07</w:t>
            </w:r>
          </w:p>
        </w:tc>
      </w:tr>
      <w:tr>
        <w:trPr>
          <w:trHeight w:val="310" w:hRule="exact"/>
        </w:trPr>
        <w:tc>
          <w:tcPr>
            <w:tcW w:w="1128" w:type="dxa"/>
          </w:tcPr>
          <w:p>
            <w:pPr>
              <w:pStyle w:val="TableParagraph"/>
              <w:rPr>
                <w:sz w:val="18"/>
              </w:rPr>
            </w:pPr>
            <w:r>
              <w:rPr>
                <w:sz w:val="18"/>
              </w:rPr>
              <w:t>73</w:t>
            </w:r>
          </w:p>
        </w:tc>
        <w:tc>
          <w:tcPr>
            <w:tcW w:w="883" w:type="dxa"/>
          </w:tcPr>
          <w:p>
            <w:pPr>
              <w:pStyle w:val="TableParagraph"/>
              <w:rPr>
                <w:sz w:val="18"/>
              </w:rPr>
            </w:pPr>
            <w:r>
              <w:rPr>
                <w:sz w:val="18"/>
              </w:rPr>
              <w:t>34</w:t>
            </w:r>
          </w:p>
        </w:tc>
        <w:tc>
          <w:tcPr>
            <w:tcW w:w="1112" w:type="dxa"/>
          </w:tcPr>
          <w:p>
            <w:pPr>
              <w:pStyle w:val="TableParagraph"/>
              <w:rPr>
                <w:sz w:val="18"/>
              </w:rPr>
            </w:pPr>
            <w:r>
              <w:rPr>
                <w:sz w:val="18"/>
              </w:rPr>
              <w:t>6000</w:t>
            </w:r>
          </w:p>
        </w:tc>
        <w:tc>
          <w:tcPr>
            <w:tcW w:w="1380" w:type="dxa"/>
          </w:tcPr>
          <w:p>
            <w:pPr>
              <w:pStyle w:val="TableParagraph"/>
              <w:rPr>
                <w:sz w:val="18"/>
              </w:rPr>
            </w:pPr>
            <w:r>
              <w:rPr>
                <w:sz w:val="18"/>
              </w:rPr>
              <w:t>6000</w:t>
            </w:r>
          </w:p>
        </w:tc>
        <w:tc>
          <w:tcPr>
            <w:tcW w:w="1500" w:type="dxa"/>
          </w:tcPr>
          <w:p>
            <w:pPr>
              <w:pStyle w:val="TableParagraph"/>
              <w:rPr>
                <w:sz w:val="18"/>
              </w:rPr>
            </w:pPr>
            <w:r>
              <w:rPr>
                <w:sz w:val="18"/>
              </w:rPr>
              <w:t>6000</w:t>
            </w:r>
          </w:p>
        </w:tc>
        <w:tc>
          <w:tcPr>
            <w:tcW w:w="1205" w:type="dxa"/>
          </w:tcPr>
          <w:p>
            <w:pPr>
              <w:pStyle w:val="TableParagraph"/>
              <w:rPr>
                <w:sz w:val="18"/>
              </w:rPr>
            </w:pPr>
            <w:r>
              <w:rPr>
                <w:sz w:val="18"/>
              </w:rPr>
              <w:t>5918</w:t>
            </w:r>
          </w:p>
        </w:tc>
        <w:tc>
          <w:tcPr>
            <w:tcW w:w="1260" w:type="dxa"/>
          </w:tcPr>
          <w:p>
            <w:pPr>
              <w:pStyle w:val="TableParagraph"/>
              <w:rPr>
                <w:sz w:val="18"/>
              </w:rPr>
            </w:pPr>
            <w:r>
              <w:rPr>
                <w:w w:val="99"/>
                <w:sz w:val="18"/>
              </w:rPr>
              <w:t>0</w:t>
            </w:r>
          </w:p>
        </w:tc>
        <w:tc>
          <w:tcPr>
            <w:tcW w:w="1164" w:type="dxa"/>
          </w:tcPr>
          <w:p>
            <w:pPr>
              <w:pStyle w:val="TableParagraph"/>
              <w:rPr>
                <w:sz w:val="18"/>
              </w:rPr>
            </w:pPr>
            <w:r>
              <w:rPr>
                <w:sz w:val="18"/>
              </w:rPr>
              <w:t>1.37</w:t>
            </w:r>
          </w:p>
        </w:tc>
      </w:tr>
      <w:tr>
        <w:trPr>
          <w:trHeight w:val="310" w:hRule="exact"/>
        </w:trPr>
        <w:tc>
          <w:tcPr>
            <w:tcW w:w="1128" w:type="dxa"/>
          </w:tcPr>
          <w:p>
            <w:pPr>
              <w:pStyle w:val="TableParagraph"/>
              <w:rPr>
                <w:sz w:val="18"/>
              </w:rPr>
            </w:pPr>
            <w:r>
              <w:rPr>
                <w:sz w:val="18"/>
              </w:rPr>
              <w:t>74</w:t>
            </w:r>
          </w:p>
        </w:tc>
        <w:tc>
          <w:tcPr>
            <w:tcW w:w="883" w:type="dxa"/>
          </w:tcPr>
          <w:p>
            <w:pPr>
              <w:pStyle w:val="TableParagraph"/>
              <w:rPr>
                <w:sz w:val="18"/>
              </w:rPr>
            </w:pPr>
            <w:r>
              <w:rPr>
                <w:sz w:val="18"/>
              </w:rPr>
              <w:t>35</w:t>
            </w:r>
          </w:p>
        </w:tc>
        <w:tc>
          <w:tcPr>
            <w:tcW w:w="1112" w:type="dxa"/>
          </w:tcPr>
          <w:p>
            <w:pPr>
              <w:pStyle w:val="TableParagraph"/>
              <w:rPr>
                <w:sz w:val="18"/>
              </w:rPr>
            </w:pPr>
            <w:r>
              <w:rPr>
                <w:sz w:val="18"/>
              </w:rPr>
              <w:t>6000</w:t>
            </w:r>
          </w:p>
        </w:tc>
        <w:tc>
          <w:tcPr>
            <w:tcW w:w="1380" w:type="dxa"/>
          </w:tcPr>
          <w:p>
            <w:pPr>
              <w:pStyle w:val="TableParagraph"/>
              <w:rPr>
                <w:sz w:val="18"/>
              </w:rPr>
            </w:pPr>
            <w:r>
              <w:rPr>
                <w:sz w:val="18"/>
              </w:rPr>
              <w:t>6000</w:t>
            </w:r>
          </w:p>
        </w:tc>
        <w:tc>
          <w:tcPr>
            <w:tcW w:w="1500" w:type="dxa"/>
          </w:tcPr>
          <w:p>
            <w:pPr>
              <w:pStyle w:val="TableParagraph"/>
              <w:rPr>
                <w:sz w:val="18"/>
              </w:rPr>
            </w:pPr>
            <w:r>
              <w:rPr>
                <w:sz w:val="18"/>
              </w:rPr>
              <w:t>6000</w:t>
            </w:r>
          </w:p>
        </w:tc>
        <w:tc>
          <w:tcPr>
            <w:tcW w:w="1205" w:type="dxa"/>
          </w:tcPr>
          <w:p>
            <w:pPr>
              <w:pStyle w:val="TableParagraph"/>
              <w:rPr>
                <w:sz w:val="18"/>
              </w:rPr>
            </w:pPr>
            <w:r>
              <w:rPr>
                <w:sz w:val="18"/>
              </w:rPr>
              <w:t>5675</w:t>
            </w:r>
          </w:p>
        </w:tc>
        <w:tc>
          <w:tcPr>
            <w:tcW w:w="1260" w:type="dxa"/>
          </w:tcPr>
          <w:p>
            <w:pPr>
              <w:pStyle w:val="TableParagraph"/>
              <w:rPr>
                <w:sz w:val="18"/>
              </w:rPr>
            </w:pPr>
            <w:r>
              <w:rPr>
                <w:w w:val="99"/>
                <w:sz w:val="18"/>
              </w:rPr>
              <w:t>0</w:t>
            </w:r>
          </w:p>
        </w:tc>
        <w:tc>
          <w:tcPr>
            <w:tcW w:w="1164" w:type="dxa"/>
          </w:tcPr>
          <w:p>
            <w:pPr>
              <w:pStyle w:val="TableParagraph"/>
              <w:rPr>
                <w:sz w:val="18"/>
              </w:rPr>
            </w:pPr>
            <w:r>
              <w:rPr>
                <w:sz w:val="18"/>
              </w:rPr>
              <w:t>5.42</w:t>
            </w:r>
          </w:p>
        </w:tc>
      </w:tr>
      <w:tr>
        <w:trPr>
          <w:trHeight w:val="312" w:hRule="exact"/>
        </w:trPr>
        <w:tc>
          <w:tcPr>
            <w:tcW w:w="1128" w:type="dxa"/>
          </w:tcPr>
          <w:p>
            <w:pPr>
              <w:pStyle w:val="TableParagraph"/>
              <w:spacing w:line="240" w:lineRule="auto" w:before="1"/>
              <w:rPr>
                <w:sz w:val="18"/>
              </w:rPr>
            </w:pPr>
            <w:r>
              <w:rPr>
                <w:sz w:val="18"/>
              </w:rPr>
              <w:t>75</w:t>
            </w:r>
          </w:p>
        </w:tc>
        <w:tc>
          <w:tcPr>
            <w:tcW w:w="883" w:type="dxa"/>
          </w:tcPr>
          <w:p>
            <w:pPr>
              <w:pStyle w:val="TableParagraph"/>
              <w:spacing w:line="240" w:lineRule="auto" w:before="1"/>
              <w:rPr>
                <w:sz w:val="18"/>
              </w:rPr>
            </w:pPr>
            <w:r>
              <w:rPr>
                <w:sz w:val="18"/>
              </w:rPr>
              <w:t>36</w:t>
            </w:r>
          </w:p>
        </w:tc>
        <w:tc>
          <w:tcPr>
            <w:tcW w:w="1112" w:type="dxa"/>
          </w:tcPr>
          <w:p>
            <w:pPr>
              <w:pStyle w:val="TableParagraph"/>
              <w:spacing w:line="240" w:lineRule="auto" w:before="1"/>
              <w:rPr>
                <w:sz w:val="18"/>
              </w:rPr>
            </w:pPr>
            <w:r>
              <w:rPr>
                <w:sz w:val="18"/>
              </w:rPr>
              <w:t>6000</w:t>
            </w:r>
          </w:p>
        </w:tc>
        <w:tc>
          <w:tcPr>
            <w:tcW w:w="1380" w:type="dxa"/>
          </w:tcPr>
          <w:p>
            <w:pPr>
              <w:pStyle w:val="TableParagraph"/>
              <w:spacing w:line="240" w:lineRule="auto" w:before="1"/>
              <w:rPr>
                <w:sz w:val="18"/>
              </w:rPr>
            </w:pPr>
            <w:r>
              <w:rPr>
                <w:sz w:val="18"/>
              </w:rPr>
              <w:t>6000</w:t>
            </w:r>
          </w:p>
        </w:tc>
        <w:tc>
          <w:tcPr>
            <w:tcW w:w="1500" w:type="dxa"/>
          </w:tcPr>
          <w:p>
            <w:pPr>
              <w:pStyle w:val="TableParagraph"/>
              <w:spacing w:line="240" w:lineRule="auto" w:before="1"/>
              <w:rPr>
                <w:sz w:val="18"/>
              </w:rPr>
            </w:pPr>
            <w:r>
              <w:rPr>
                <w:sz w:val="18"/>
              </w:rPr>
              <w:t>6000</w:t>
            </w:r>
          </w:p>
        </w:tc>
        <w:tc>
          <w:tcPr>
            <w:tcW w:w="1205" w:type="dxa"/>
          </w:tcPr>
          <w:p>
            <w:pPr>
              <w:pStyle w:val="TableParagraph"/>
              <w:spacing w:line="240" w:lineRule="auto" w:before="1"/>
              <w:rPr>
                <w:sz w:val="18"/>
              </w:rPr>
            </w:pPr>
            <w:r>
              <w:rPr>
                <w:sz w:val="18"/>
              </w:rPr>
              <w:t>4475</w:t>
            </w:r>
          </w:p>
        </w:tc>
        <w:tc>
          <w:tcPr>
            <w:tcW w:w="1260" w:type="dxa"/>
          </w:tcPr>
          <w:p>
            <w:pPr>
              <w:pStyle w:val="TableParagraph"/>
              <w:spacing w:line="240" w:lineRule="auto" w:before="1"/>
              <w:rPr>
                <w:sz w:val="18"/>
              </w:rPr>
            </w:pPr>
            <w:r>
              <w:rPr>
                <w:w w:val="99"/>
                <w:sz w:val="18"/>
              </w:rPr>
              <w:t>0</w:t>
            </w:r>
          </w:p>
        </w:tc>
        <w:tc>
          <w:tcPr>
            <w:tcW w:w="1164" w:type="dxa"/>
          </w:tcPr>
          <w:p>
            <w:pPr>
              <w:pStyle w:val="TableParagraph"/>
              <w:spacing w:line="240" w:lineRule="auto" w:before="1"/>
              <w:rPr>
                <w:sz w:val="18"/>
              </w:rPr>
            </w:pPr>
            <w:r>
              <w:rPr>
                <w:sz w:val="18"/>
              </w:rPr>
              <w:t>25.42</w:t>
            </w:r>
          </w:p>
        </w:tc>
      </w:tr>
      <w:tr>
        <w:trPr>
          <w:trHeight w:val="310" w:hRule="exact"/>
        </w:trPr>
        <w:tc>
          <w:tcPr>
            <w:tcW w:w="1128" w:type="dxa"/>
          </w:tcPr>
          <w:p>
            <w:pPr>
              <w:pStyle w:val="TableParagraph"/>
              <w:rPr>
                <w:sz w:val="18"/>
              </w:rPr>
            </w:pPr>
            <w:r>
              <w:rPr>
                <w:sz w:val="18"/>
              </w:rPr>
              <w:t>76</w:t>
            </w:r>
          </w:p>
        </w:tc>
        <w:tc>
          <w:tcPr>
            <w:tcW w:w="883" w:type="dxa"/>
          </w:tcPr>
          <w:p>
            <w:pPr>
              <w:pStyle w:val="TableParagraph"/>
              <w:rPr>
                <w:sz w:val="18"/>
              </w:rPr>
            </w:pPr>
            <w:r>
              <w:rPr>
                <w:sz w:val="18"/>
              </w:rPr>
              <w:t>37</w:t>
            </w:r>
          </w:p>
        </w:tc>
        <w:tc>
          <w:tcPr>
            <w:tcW w:w="1112" w:type="dxa"/>
          </w:tcPr>
          <w:p>
            <w:pPr>
              <w:pStyle w:val="TableParagraph"/>
              <w:rPr>
                <w:sz w:val="18"/>
              </w:rPr>
            </w:pPr>
            <w:r>
              <w:rPr>
                <w:sz w:val="18"/>
              </w:rPr>
              <w:t>6000</w:t>
            </w:r>
          </w:p>
        </w:tc>
        <w:tc>
          <w:tcPr>
            <w:tcW w:w="1380" w:type="dxa"/>
          </w:tcPr>
          <w:p>
            <w:pPr>
              <w:pStyle w:val="TableParagraph"/>
              <w:rPr>
                <w:sz w:val="18"/>
              </w:rPr>
            </w:pPr>
            <w:r>
              <w:rPr>
                <w:sz w:val="18"/>
              </w:rPr>
              <w:t>6000</w:t>
            </w:r>
          </w:p>
        </w:tc>
        <w:tc>
          <w:tcPr>
            <w:tcW w:w="1500" w:type="dxa"/>
          </w:tcPr>
          <w:p>
            <w:pPr>
              <w:pStyle w:val="TableParagraph"/>
              <w:rPr>
                <w:sz w:val="18"/>
              </w:rPr>
            </w:pPr>
            <w:r>
              <w:rPr>
                <w:sz w:val="18"/>
              </w:rPr>
              <w:t>6000</w:t>
            </w:r>
          </w:p>
        </w:tc>
        <w:tc>
          <w:tcPr>
            <w:tcW w:w="1205" w:type="dxa"/>
          </w:tcPr>
          <w:p>
            <w:pPr>
              <w:pStyle w:val="TableParagraph"/>
              <w:rPr>
                <w:sz w:val="18"/>
              </w:rPr>
            </w:pPr>
            <w:r>
              <w:rPr>
                <w:sz w:val="18"/>
              </w:rPr>
              <w:t>2501</w:t>
            </w:r>
          </w:p>
        </w:tc>
        <w:tc>
          <w:tcPr>
            <w:tcW w:w="1260" w:type="dxa"/>
          </w:tcPr>
          <w:p>
            <w:pPr>
              <w:pStyle w:val="TableParagraph"/>
              <w:rPr>
                <w:sz w:val="18"/>
              </w:rPr>
            </w:pPr>
            <w:r>
              <w:rPr>
                <w:w w:val="99"/>
                <w:sz w:val="18"/>
              </w:rPr>
              <w:t>0</w:t>
            </w:r>
          </w:p>
        </w:tc>
        <w:tc>
          <w:tcPr>
            <w:tcW w:w="1164" w:type="dxa"/>
          </w:tcPr>
          <w:p>
            <w:pPr>
              <w:pStyle w:val="TableParagraph"/>
              <w:rPr>
                <w:sz w:val="18"/>
              </w:rPr>
            </w:pPr>
            <w:r>
              <w:rPr>
                <w:sz w:val="18"/>
              </w:rPr>
              <w:t>58.32</w:t>
            </w:r>
          </w:p>
        </w:tc>
      </w:tr>
      <w:tr>
        <w:trPr>
          <w:trHeight w:val="310" w:hRule="exact"/>
        </w:trPr>
        <w:tc>
          <w:tcPr>
            <w:tcW w:w="1128" w:type="dxa"/>
          </w:tcPr>
          <w:p>
            <w:pPr>
              <w:pStyle w:val="TableParagraph"/>
              <w:rPr>
                <w:sz w:val="18"/>
              </w:rPr>
            </w:pPr>
            <w:r>
              <w:rPr>
                <w:sz w:val="18"/>
              </w:rPr>
              <w:t>77</w:t>
            </w:r>
          </w:p>
        </w:tc>
        <w:tc>
          <w:tcPr>
            <w:tcW w:w="883" w:type="dxa"/>
          </w:tcPr>
          <w:p>
            <w:pPr>
              <w:pStyle w:val="TableParagraph"/>
              <w:rPr>
                <w:sz w:val="18"/>
              </w:rPr>
            </w:pPr>
            <w:r>
              <w:rPr>
                <w:sz w:val="18"/>
              </w:rPr>
              <w:t>38</w:t>
            </w:r>
          </w:p>
        </w:tc>
        <w:tc>
          <w:tcPr>
            <w:tcW w:w="1112" w:type="dxa"/>
          </w:tcPr>
          <w:p>
            <w:pPr>
              <w:pStyle w:val="TableParagraph"/>
              <w:rPr>
                <w:sz w:val="18"/>
              </w:rPr>
            </w:pPr>
            <w:r>
              <w:rPr>
                <w:sz w:val="18"/>
              </w:rPr>
              <w:t>6000</w:t>
            </w:r>
          </w:p>
        </w:tc>
        <w:tc>
          <w:tcPr>
            <w:tcW w:w="1380" w:type="dxa"/>
          </w:tcPr>
          <w:p>
            <w:pPr>
              <w:pStyle w:val="TableParagraph"/>
              <w:rPr>
                <w:sz w:val="18"/>
              </w:rPr>
            </w:pPr>
            <w:r>
              <w:rPr>
                <w:sz w:val="18"/>
              </w:rPr>
              <w:t>6000</w:t>
            </w:r>
          </w:p>
        </w:tc>
        <w:tc>
          <w:tcPr>
            <w:tcW w:w="1500" w:type="dxa"/>
          </w:tcPr>
          <w:p>
            <w:pPr>
              <w:pStyle w:val="TableParagraph"/>
              <w:rPr>
                <w:sz w:val="18"/>
              </w:rPr>
            </w:pPr>
            <w:r>
              <w:rPr>
                <w:sz w:val="18"/>
              </w:rPr>
              <w:t>6000</w:t>
            </w:r>
          </w:p>
        </w:tc>
        <w:tc>
          <w:tcPr>
            <w:tcW w:w="1205" w:type="dxa"/>
          </w:tcPr>
          <w:p>
            <w:pPr>
              <w:pStyle w:val="TableParagraph"/>
              <w:rPr>
                <w:sz w:val="18"/>
              </w:rPr>
            </w:pPr>
            <w:r>
              <w:rPr>
                <w:sz w:val="18"/>
              </w:rPr>
              <w:t>699</w:t>
            </w:r>
          </w:p>
        </w:tc>
        <w:tc>
          <w:tcPr>
            <w:tcW w:w="1260" w:type="dxa"/>
          </w:tcPr>
          <w:p>
            <w:pPr>
              <w:pStyle w:val="TableParagraph"/>
              <w:rPr>
                <w:sz w:val="18"/>
              </w:rPr>
            </w:pPr>
            <w:r>
              <w:rPr>
                <w:w w:val="99"/>
                <w:sz w:val="18"/>
              </w:rPr>
              <w:t>0</w:t>
            </w:r>
          </w:p>
        </w:tc>
        <w:tc>
          <w:tcPr>
            <w:tcW w:w="1164" w:type="dxa"/>
          </w:tcPr>
          <w:p>
            <w:pPr>
              <w:pStyle w:val="TableParagraph"/>
              <w:rPr>
                <w:sz w:val="18"/>
              </w:rPr>
            </w:pPr>
            <w:r>
              <w:rPr>
                <w:sz w:val="18"/>
              </w:rPr>
              <w:t>88.35</w:t>
            </w:r>
          </w:p>
        </w:tc>
      </w:tr>
      <w:tr>
        <w:trPr>
          <w:trHeight w:val="310" w:hRule="exact"/>
        </w:trPr>
        <w:tc>
          <w:tcPr>
            <w:tcW w:w="1128" w:type="dxa"/>
          </w:tcPr>
          <w:p>
            <w:pPr>
              <w:pStyle w:val="TableParagraph"/>
              <w:rPr>
                <w:sz w:val="18"/>
              </w:rPr>
            </w:pPr>
            <w:r>
              <w:rPr>
                <w:sz w:val="18"/>
              </w:rPr>
              <w:t>78</w:t>
            </w:r>
          </w:p>
        </w:tc>
        <w:tc>
          <w:tcPr>
            <w:tcW w:w="883" w:type="dxa"/>
          </w:tcPr>
          <w:p>
            <w:pPr>
              <w:pStyle w:val="TableParagraph"/>
              <w:rPr>
                <w:sz w:val="18"/>
              </w:rPr>
            </w:pPr>
            <w:r>
              <w:rPr>
                <w:sz w:val="18"/>
              </w:rPr>
              <w:t>39</w:t>
            </w:r>
          </w:p>
        </w:tc>
        <w:tc>
          <w:tcPr>
            <w:tcW w:w="1112" w:type="dxa"/>
          </w:tcPr>
          <w:p>
            <w:pPr>
              <w:pStyle w:val="TableParagraph"/>
              <w:rPr>
                <w:sz w:val="18"/>
              </w:rPr>
            </w:pPr>
            <w:r>
              <w:rPr>
                <w:sz w:val="18"/>
              </w:rPr>
              <w:t>6000</w:t>
            </w:r>
          </w:p>
        </w:tc>
        <w:tc>
          <w:tcPr>
            <w:tcW w:w="1380" w:type="dxa"/>
          </w:tcPr>
          <w:p>
            <w:pPr>
              <w:pStyle w:val="TableParagraph"/>
              <w:rPr>
                <w:sz w:val="18"/>
              </w:rPr>
            </w:pPr>
            <w:r>
              <w:rPr>
                <w:sz w:val="18"/>
              </w:rPr>
              <w:t>6000</w:t>
            </w:r>
          </w:p>
        </w:tc>
        <w:tc>
          <w:tcPr>
            <w:tcW w:w="1500" w:type="dxa"/>
          </w:tcPr>
          <w:p>
            <w:pPr>
              <w:pStyle w:val="TableParagraph"/>
              <w:rPr>
                <w:sz w:val="18"/>
              </w:rPr>
            </w:pPr>
            <w:r>
              <w:rPr>
                <w:sz w:val="18"/>
              </w:rPr>
              <w:t>6000</w:t>
            </w:r>
          </w:p>
        </w:tc>
        <w:tc>
          <w:tcPr>
            <w:tcW w:w="1205" w:type="dxa"/>
          </w:tcPr>
          <w:p>
            <w:pPr>
              <w:pStyle w:val="TableParagraph"/>
              <w:rPr>
                <w:sz w:val="18"/>
              </w:rPr>
            </w:pPr>
            <w:r>
              <w:rPr>
                <w:sz w:val="18"/>
              </w:rPr>
              <w:t>16</w:t>
            </w:r>
          </w:p>
        </w:tc>
        <w:tc>
          <w:tcPr>
            <w:tcW w:w="1260" w:type="dxa"/>
          </w:tcPr>
          <w:p>
            <w:pPr>
              <w:pStyle w:val="TableParagraph"/>
              <w:rPr>
                <w:sz w:val="18"/>
              </w:rPr>
            </w:pPr>
            <w:r>
              <w:rPr>
                <w:w w:val="99"/>
                <w:sz w:val="18"/>
              </w:rPr>
              <w:t>0</w:t>
            </w:r>
          </w:p>
        </w:tc>
        <w:tc>
          <w:tcPr>
            <w:tcW w:w="1164" w:type="dxa"/>
          </w:tcPr>
          <w:p>
            <w:pPr>
              <w:pStyle w:val="TableParagraph"/>
              <w:rPr>
                <w:sz w:val="18"/>
              </w:rPr>
            </w:pPr>
            <w:r>
              <w:rPr>
                <w:sz w:val="18"/>
              </w:rPr>
              <w:t>99.73</w:t>
            </w:r>
          </w:p>
        </w:tc>
      </w:tr>
      <w:tr>
        <w:trPr>
          <w:trHeight w:val="295" w:hRule="exact"/>
        </w:trPr>
        <w:tc>
          <w:tcPr>
            <w:tcW w:w="4503" w:type="dxa"/>
            <w:gridSpan w:val="4"/>
          </w:tcPr>
          <w:p>
            <w:pPr>
              <w:pStyle w:val="TableParagraph"/>
              <w:spacing w:line="201" w:lineRule="exact"/>
              <w:rPr>
                <w:b/>
                <w:sz w:val="18"/>
              </w:rPr>
            </w:pPr>
            <w:r>
              <w:rPr>
                <w:b/>
                <w:sz w:val="18"/>
              </w:rPr>
              <w:t>Device 1 Tx Power (dBm)</w:t>
            </w:r>
          </w:p>
        </w:tc>
        <w:tc>
          <w:tcPr>
            <w:tcW w:w="5130" w:type="dxa"/>
            <w:gridSpan w:val="4"/>
          </w:tcPr>
          <w:p>
            <w:pPr>
              <w:pStyle w:val="TableParagraph"/>
              <w:spacing w:line="201" w:lineRule="exact"/>
              <w:rPr>
                <w:b/>
                <w:sz w:val="18"/>
              </w:rPr>
            </w:pPr>
            <w:r>
              <w:rPr>
                <w:b/>
                <w:sz w:val="18"/>
              </w:rPr>
              <w:t>21 dBm</w:t>
            </w:r>
          </w:p>
        </w:tc>
      </w:tr>
      <w:tr>
        <w:trPr>
          <w:trHeight w:val="276" w:hRule="exact"/>
        </w:trPr>
        <w:tc>
          <w:tcPr>
            <w:tcW w:w="4503" w:type="dxa"/>
            <w:gridSpan w:val="4"/>
          </w:tcPr>
          <w:p>
            <w:pPr>
              <w:pStyle w:val="TableParagraph"/>
              <w:spacing w:line="201" w:lineRule="exact"/>
              <w:rPr>
                <w:b/>
                <w:sz w:val="18"/>
              </w:rPr>
            </w:pPr>
            <w:r>
              <w:rPr>
                <w:b/>
                <w:sz w:val="18"/>
              </w:rPr>
              <w:t>Device 2 Tx Power (dBm)</w:t>
            </w:r>
          </w:p>
        </w:tc>
        <w:tc>
          <w:tcPr>
            <w:tcW w:w="5130" w:type="dxa"/>
            <w:gridSpan w:val="4"/>
          </w:tcPr>
          <w:p>
            <w:pPr>
              <w:pStyle w:val="TableParagraph"/>
              <w:spacing w:line="201" w:lineRule="exact"/>
              <w:rPr>
                <w:b/>
                <w:sz w:val="18"/>
              </w:rPr>
            </w:pPr>
            <w:r>
              <w:rPr>
                <w:b/>
                <w:sz w:val="18"/>
              </w:rPr>
              <w:t>21 dBm</w:t>
            </w:r>
          </w:p>
        </w:tc>
      </w:tr>
    </w:tbl>
    <w:p>
      <w:pPr>
        <w:pStyle w:val="BodyText"/>
        <w:rPr>
          <w:b/>
          <w:sz w:val="22"/>
        </w:rPr>
      </w:pPr>
    </w:p>
    <w:p>
      <w:pPr>
        <w:pStyle w:val="BodyText"/>
        <w:spacing w:before="155"/>
        <w:ind w:left="1313" w:right="1136" w:hanging="180"/>
      </w:pPr>
      <w:r>
        <w:rPr/>
        <w:t>* Rx power difference at Device 3 (Receiving Device), between transmissions received from Device 1 and Device 2 (which are transmitting devices).</w:t>
      </w:r>
    </w:p>
    <w:p>
      <w:pPr>
        <w:pStyle w:val="BodyText"/>
        <w:spacing w:before="180"/>
        <w:ind w:left="1133" w:right="1130"/>
        <w:jc w:val="both"/>
      </w:pPr>
      <w:r>
        <w:rPr/>
        <w:t>Note that Table 26 captures Tx packets from DUT1 and DUT2 that are sent in the same subframe. Measured insertion     loss     from     DUT1     to     DUT     3,     and      DUT2      to      DUT3      is      32      dB.      Total Pathloss = Attenuation + Insertion</w:t>
      </w:r>
      <w:r>
        <w:rPr>
          <w:spacing w:val="-17"/>
        </w:rPr>
        <w:t> </w:t>
      </w:r>
      <w:r>
        <w:rPr/>
        <w:t>loss</w:t>
      </w:r>
    </w:p>
    <w:p>
      <w:pPr>
        <w:pStyle w:val="BodyText"/>
        <w:spacing w:before="11"/>
        <w:rPr>
          <w:sz w:val="25"/>
        </w:rPr>
      </w:pPr>
    </w:p>
    <w:p>
      <w:pPr>
        <w:pStyle w:val="Heading5"/>
        <w:numPr>
          <w:ilvl w:val="3"/>
          <w:numId w:val="32"/>
        </w:numPr>
        <w:tabs>
          <w:tab w:pos="2552" w:val="left" w:leader="none"/>
        </w:tabs>
        <w:spacing w:line="240" w:lineRule="auto" w:before="0" w:after="0"/>
        <w:ind w:left="2551" w:right="0" w:hanging="1418"/>
        <w:jc w:val="both"/>
        <w:rPr>
          <w:rFonts w:ascii="Arial"/>
        </w:rPr>
      </w:pPr>
      <w:r>
        <w:rPr>
          <w:rFonts w:ascii="Arial"/>
        </w:rPr>
        <w:t>Evaluation</w:t>
      </w:r>
      <w:r>
        <w:rPr>
          <w:rFonts w:ascii="Arial"/>
          <w:spacing w:val="-6"/>
        </w:rPr>
        <w:t> </w:t>
      </w:r>
      <w:r>
        <w:rPr>
          <w:rFonts w:ascii="Arial"/>
        </w:rPr>
        <w:t>Criteria</w:t>
      </w:r>
    </w:p>
    <w:p>
      <w:pPr>
        <w:pStyle w:val="BodyText"/>
        <w:spacing w:before="181"/>
        <w:ind w:left="1133" w:right="1052"/>
      </w:pPr>
      <w:r>
        <w:rPr/>
        <w:t>Evaluation criteria assesses the performance in terms of PER during near-far scenario through assessment of colliding TTIs and adjacent RBs.</w:t>
      </w:r>
    </w:p>
    <w:p>
      <w:pPr>
        <w:spacing w:after="0"/>
        <w:sectPr>
          <w:headerReference w:type="default" r:id="rId291"/>
          <w:pgSz w:w="11910" w:h="16850"/>
          <w:pgMar w:header="852" w:footer="979" w:top="1040" w:bottom="1160" w:left="0" w:right="0"/>
        </w:sectPr>
      </w:pPr>
    </w:p>
    <w:p>
      <w:pPr>
        <w:pStyle w:val="BodyText"/>
        <w:spacing w:before="1"/>
        <w:rPr>
          <w:sz w:val="23"/>
        </w:rPr>
      </w:pPr>
    </w:p>
    <w:p>
      <w:pPr>
        <w:pStyle w:val="Heading5"/>
        <w:numPr>
          <w:ilvl w:val="3"/>
          <w:numId w:val="32"/>
        </w:numPr>
        <w:tabs>
          <w:tab w:pos="2552" w:val="left" w:leader="none"/>
        </w:tabs>
        <w:spacing w:line="240" w:lineRule="auto" w:before="93" w:after="0"/>
        <w:ind w:left="2551" w:right="0" w:hanging="1418"/>
        <w:jc w:val="both"/>
        <w:rPr>
          <w:rFonts w:ascii="Arial"/>
        </w:rPr>
      </w:pPr>
      <w:r>
        <w:rPr>
          <w:rFonts w:ascii="Arial"/>
        </w:rPr>
        <w:t>Key</w:t>
      </w:r>
      <w:r>
        <w:rPr>
          <w:rFonts w:ascii="Arial"/>
          <w:spacing w:val="-11"/>
        </w:rPr>
        <w:t> </w:t>
      </w:r>
      <w:r>
        <w:rPr>
          <w:rFonts w:ascii="Arial"/>
        </w:rPr>
        <w:t>Takeaways</w:t>
      </w:r>
    </w:p>
    <w:p>
      <w:pPr>
        <w:pStyle w:val="BodyText"/>
        <w:spacing w:before="182"/>
        <w:ind w:left="1133" w:right="1127"/>
        <w:jc w:val="both"/>
      </w:pPr>
      <w:r>
        <w:rPr/>
        <w:t>One</w:t>
      </w:r>
      <w:r>
        <w:rPr>
          <w:spacing w:val="-6"/>
        </w:rPr>
        <w:t> </w:t>
      </w:r>
      <w:r>
        <w:rPr/>
        <w:t>of</w:t>
      </w:r>
      <w:r>
        <w:rPr>
          <w:spacing w:val="-4"/>
        </w:rPr>
        <w:t> </w:t>
      </w:r>
      <w:r>
        <w:rPr/>
        <w:t>the</w:t>
      </w:r>
      <w:r>
        <w:rPr>
          <w:spacing w:val="-6"/>
        </w:rPr>
        <w:t> </w:t>
      </w:r>
      <w:r>
        <w:rPr/>
        <w:t>key</w:t>
      </w:r>
      <w:r>
        <w:rPr>
          <w:spacing w:val="-9"/>
        </w:rPr>
        <w:t> </w:t>
      </w:r>
      <w:r>
        <w:rPr/>
        <w:t>features</w:t>
      </w:r>
      <w:r>
        <w:rPr>
          <w:spacing w:val="-2"/>
        </w:rPr>
        <w:t> </w:t>
      </w:r>
      <w:r>
        <w:rPr/>
        <w:t>of</w:t>
      </w:r>
      <w:r>
        <w:rPr>
          <w:spacing w:val="-4"/>
        </w:rPr>
        <w:t> </w:t>
      </w:r>
      <w:r>
        <w:rPr/>
        <w:t>C-V2X</w:t>
      </w:r>
      <w:r>
        <w:rPr>
          <w:spacing w:val="-4"/>
        </w:rPr>
        <w:t> </w:t>
      </w:r>
      <w:r>
        <w:rPr/>
        <w:t>is</w:t>
      </w:r>
      <w:r>
        <w:rPr>
          <w:spacing w:val="-4"/>
        </w:rPr>
        <w:t> </w:t>
      </w:r>
      <w:r>
        <w:rPr/>
        <w:t>frequency</w:t>
      </w:r>
      <w:r>
        <w:rPr>
          <w:spacing w:val="-6"/>
        </w:rPr>
        <w:t> </w:t>
      </w:r>
      <w:r>
        <w:rPr/>
        <w:t>division</w:t>
      </w:r>
      <w:r>
        <w:rPr>
          <w:spacing w:val="-3"/>
        </w:rPr>
        <w:t> </w:t>
      </w:r>
      <w:r>
        <w:rPr/>
        <w:t>multiplexing</w:t>
      </w:r>
      <w:r>
        <w:rPr>
          <w:spacing w:val="-4"/>
        </w:rPr>
        <w:t> </w:t>
      </w:r>
      <w:r>
        <w:rPr/>
        <w:t>(FDM).</w:t>
      </w:r>
      <w:r>
        <w:rPr>
          <w:spacing w:val="-3"/>
        </w:rPr>
        <w:t> </w:t>
      </w:r>
      <w:r>
        <w:rPr/>
        <w:t>However,</w:t>
      </w:r>
      <w:r>
        <w:rPr>
          <w:spacing w:val="-5"/>
        </w:rPr>
        <w:t> </w:t>
      </w:r>
      <w:r>
        <w:rPr/>
        <w:t>because</w:t>
      </w:r>
      <w:r>
        <w:rPr>
          <w:spacing w:val="-6"/>
        </w:rPr>
        <w:t> </w:t>
      </w:r>
      <w:r>
        <w:rPr/>
        <w:t>of</w:t>
      </w:r>
      <w:r>
        <w:rPr>
          <w:spacing w:val="-4"/>
        </w:rPr>
        <w:t> </w:t>
      </w:r>
      <w:r>
        <w:rPr/>
        <w:t>the</w:t>
      </w:r>
      <w:r>
        <w:rPr>
          <w:spacing w:val="-3"/>
        </w:rPr>
        <w:t> </w:t>
      </w:r>
      <w:r>
        <w:rPr/>
        <w:t>potential for transmissions on adjacent subchannels, FDM can lead to the near-far effect. The impact of the near-far effect though is limited by the minimum in-band emissions requirements defined in 3GPP specifications. The data</w:t>
      </w:r>
      <w:r>
        <w:rPr>
          <w:spacing w:val="-8"/>
        </w:rPr>
        <w:t> </w:t>
      </w:r>
      <w:r>
        <w:rPr/>
        <w:t>from</w:t>
      </w:r>
      <w:r>
        <w:rPr>
          <w:spacing w:val="-4"/>
        </w:rPr>
        <w:t> </w:t>
      </w:r>
      <w:r>
        <w:rPr/>
        <w:t>the</w:t>
      </w:r>
      <w:r>
        <w:rPr>
          <w:spacing w:val="-8"/>
        </w:rPr>
        <w:t> </w:t>
      </w:r>
      <w:r>
        <w:rPr/>
        <w:t>near-far</w:t>
      </w:r>
      <w:r>
        <w:rPr>
          <w:spacing w:val="-7"/>
        </w:rPr>
        <w:t> </w:t>
      </w:r>
      <w:r>
        <w:rPr/>
        <w:t>test</w:t>
      </w:r>
      <w:r>
        <w:rPr>
          <w:spacing w:val="-8"/>
        </w:rPr>
        <w:t> </w:t>
      </w:r>
      <w:r>
        <w:rPr/>
        <w:t>showed</w:t>
      </w:r>
      <w:r>
        <w:rPr>
          <w:spacing w:val="-8"/>
        </w:rPr>
        <w:t> </w:t>
      </w:r>
      <w:r>
        <w:rPr/>
        <w:t>that</w:t>
      </w:r>
      <w:r>
        <w:rPr>
          <w:spacing w:val="-8"/>
        </w:rPr>
        <w:t> </w:t>
      </w:r>
      <w:r>
        <w:rPr/>
        <w:t>the</w:t>
      </w:r>
      <w:r>
        <w:rPr>
          <w:spacing w:val="-8"/>
        </w:rPr>
        <w:t> </w:t>
      </w:r>
      <w:r>
        <w:rPr/>
        <w:t>average</w:t>
      </w:r>
      <w:r>
        <w:rPr>
          <w:spacing w:val="-6"/>
        </w:rPr>
        <w:t> </w:t>
      </w:r>
      <w:r>
        <w:rPr/>
        <w:t>leakage</w:t>
      </w:r>
      <w:r>
        <w:rPr>
          <w:spacing w:val="-8"/>
        </w:rPr>
        <w:t> </w:t>
      </w:r>
      <w:r>
        <w:rPr/>
        <w:t>of</w:t>
      </w:r>
      <w:r>
        <w:rPr>
          <w:spacing w:val="-6"/>
        </w:rPr>
        <w:t> </w:t>
      </w:r>
      <w:r>
        <w:rPr/>
        <w:t>device</w:t>
      </w:r>
      <w:r>
        <w:rPr>
          <w:spacing w:val="-6"/>
        </w:rPr>
        <w:t> </w:t>
      </w:r>
      <w:r>
        <w:rPr/>
        <w:t>under</w:t>
      </w:r>
      <w:r>
        <w:rPr>
          <w:spacing w:val="-7"/>
        </w:rPr>
        <w:t> </w:t>
      </w:r>
      <w:r>
        <w:rPr/>
        <w:t>test</w:t>
      </w:r>
      <w:r>
        <w:rPr>
          <w:spacing w:val="1"/>
        </w:rPr>
        <w:t> </w:t>
      </w:r>
      <w:r>
        <w:rPr/>
        <w:t>~</w:t>
      </w:r>
      <w:r>
        <w:rPr>
          <w:spacing w:val="-6"/>
        </w:rPr>
        <w:t> </w:t>
      </w:r>
      <w:r>
        <w:rPr/>
        <w:t>-35</w:t>
      </w:r>
      <w:r>
        <w:rPr>
          <w:spacing w:val="-8"/>
        </w:rPr>
        <w:t> </w:t>
      </w:r>
      <w:r>
        <w:rPr/>
        <w:t>dB</w:t>
      </w:r>
      <w:r>
        <w:rPr>
          <w:spacing w:val="-8"/>
        </w:rPr>
        <w:t> </w:t>
      </w:r>
      <w:r>
        <w:rPr/>
        <w:t>meets</w:t>
      </w:r>
      <w:r>
        <w:rPr>
          <w:spacing w:val="-7"/>
        </w:rPr>
        <w:t> </w:t>
      </w:r>
      <w:r>
        <w:rPr/>
        <w:t>the</w:t>
      </w:r>
      <w:r>
        <w:rPr>
          <w:spacing w:val="-8"/>
        </w:rPr>
        <w:t> </w:t>
      </w:r>
      <w:r>
        <w:rPr/>
        <w:t>minimum requirements specified in 3GPP Rel 14 TS 36.101 Section</w:t>
      </w:r>
      <w:r>
        <w:rPr>
          <w:spacing w:val="-15"/>
        </w:rPr>
        <w:t> </w:t>
      </w:r>
      <w:r>
        <w:rPr/>
        <w:t>6.5.2G.3.</w:t>
      </w:r>
    </w:p>
    <w:p>
      <w:pPr>
        <w:pStyle w:val="BodyText"/>
        <w:spacing w:before="1"/>
        <w:rPr>
          <w:sz w:val="31"/>
        </w:rPr>
      </w:pPr>
    </w:p>
    <w:p>
      <w:pPr>
        <w:pStyle w:val="Heading2"/>
        <w:numPr>
          <w:ilvl w:val="1"/>
          <w:numId w:val="32"/>
        </w:numPr>
        <w:tabs>
          <w:tab w:pos="2267" w:val="left" w:leader="none"/>
        </w:tabs>
        <w:spacing w:line="240" w:lineRule="auto" w:before="0" w:after="0"/>
        <w:ind w:left="2266" w:right="0" w:hanging="1133"/>
        <w:jc w:val="both"/>
      </w:pPr>
      <w:bookmarkStart w:name="_bookmark140" w:id="211"/>
      <w:bookmarkEnd w:id="211"/>
      <w:r>
        <w:rPr/>
      </w:r>
      <w:bookmarkStart w:name="_bookmark140" w:id="212"/>
      <w:bookmarkEnd w:id="212"/>
      <w:r>
        <w:rPr/>
        <w:t>Conge</w:t>
      </w:r>
      <w:r>
        <w:rPr/>
        <w:t>stion</w:t>
      </w:r>
      <w:r>
        <w:rPr>
          <w:spacing w:val="-5"/>
        </w:rPr>
        <w:t> </w:t>
      </w:r>
      <w:r>
        <w:rPr/>
        <w:t>Tests</w:t>
      </w:r>
    </w:p>
    <w:p>
      <w:pPr>
        <w:pStyle w:val="Heading3"/>
        <w:numPr>
          <w:ilvl w:val="2"/>
          <w:numId w:val="34"/>
        </w:numPr>
        <w:tabs>
          <w:tab w:pos="2267" w:val="left" w:leader="none"/>
        </w:tabs>
        <w:spacing w:line="240" w:lineRule="auto" w:before="300" w:after="0"/>
        <w:ind w:left="2266" w:right="0" w:hanging="1133"/>
        <w:jc w:val="both"/>
      </w:pPr>
      <w:bookmarkStart w:name="_bookmark141" w:id="213"/>
      <w:bookmarkEnd w:id="213"/>
      <w:r>
        <w:rPr/>
      </w:r>
      <w:bookmarkStart w:name="_bookmark141" w:id="214"/>
      <w:bookmarkEnd w:id="214"/>
      <w:r>
        <w:rPr/>
        <w:t>C</w:t>
      </w:r>
      <w:r>
        <w:rPr/>
        <w:t>ongestion Control Lab</w:t>
      </w:r>
      <w:r>
        <w:rPr>
          <w:spacing w:val="-5"/>
        </w:rPr>
        <w:t> </w:t>
      </w:r>
      <w:r>
        <w:rPr/>
        <w:t>Test</w:t>
      </w:r>
    </w:p>
    <w:p>
      <w:pPr>
        <w:pStyle w:val="BodyText"/>
        <w:spacing w:before="182"/>
        <w:ind w:left="1133" w:right="1130"/>
        <w:jc w:val="both"/>
      </w:pPr>
      <w:r>
        <w:rPr/>
        <w:t>The following lab tests are conducted to assess performance of the V2X systems in a radio-congested environment (all cases listed here are V2V without network infrastructure coverage):</w:t>
      </w:r>
    </w:p>
    <w:p>
      <w:pPr>
        <w:pStyle w:val="ListParagraph"/>
        <w:numPr>
          <w:ilvl w:val="3"/>
          <w:numId w:val="34"/>
        </w:numPr>
        <w:tabs>
          <w:tab w:pos="1701" w:val="left" w:leader="none"/>
          <w:tab w:pos="1702" w:val="left" w:leader="none"/>
        </w:tabs>
        <w:spacing w:line="240" w:lineRule="auto" w:before="180" w:after="0"/>
        <w:ind w:left="1701" w:right="0" w:hanging="285"/>
        <w:jc w:val="left"/>
        <w:rPr>
          <w:sz w:val="20"/>
        </w:rPr>
      </w:pPr>
      <w:r>
        <w:rPr>
          <w:sz w:val="20"/>
        </w:rPr>
        <w:t>Section 7.4.1: V2V congestion control in lab environment: regular BSM</w:t>
      </w:r>
      <w:r>
        <w:rPr>
          <w:spacing w:val="-29"/>
          <w:sz w:val="20"/>
        </w:rPr>
        <w:t> </w:t>
      </w:r>
      <w:r>
        <w:rPr>
          <w:sz w:val="20"/>
        </w:rPr>
        <w:t>broadcast</w:t>
      </w:r>
    </w:p>
    <w:p>
      <w:pPr>
        <w:pStyle w:val="ListParagraph"/>
        <w:numPr>
          <w:ilvl w:val="3"/>
          <w:numId w:val="34"/>
        </w:numPr>
        <w:tabs>
          <w:tab w:pos="1701" w:val="left" w:leader="none"/>
          <w:tab w:pos="1702" w:val="left" w:leader="none"/>
        </w:tabs>
        <w:spacing w:line="240" w:lineRule="auto" w:before="180" w:after="0"/>
        <w:ind w:left="1701" w:right="0" w:hanging="285"/>
        <w:jc w:val="left"/>
        <w:rPr>
          <w:sz w:val="20"/>
        </w:rPr>
      </w:pPr>
      <w:r>
        <w:rPr>
          <w:sz w:val="20"/>
        </w:rPr>
        <w:t>Section 7.4.2: V2V congestion control in lab environment: critical BSM</w:t>
      </w:r>
      <w:r>
        <w:rPr>
          <w:spacing w:val="-32"/>
          <w:sz w:val="20"/>
        </w:rPr>
        <w:t> </w:t>
      </w:r>
      <w:r>
        <w:rPr>
          <w:sz w:val="20"/>
        </w:rPr>
        <w:t>broadcast</w:t>
      </w:r>
    </w:p>
    <w:p>
      <w:pPr>
        <w:pStyle w:val="BodyText"/>
        <w:spacing w:before="180"/>
        <w:ind w:left="1133" w:right="1127"/>
        <w:jc w:val="both"/>
      </w:pPr>
      <w:r>
        <w:rPr/>
        <w:t>Carefully designed, cabled-up lab testbeds produce repeatable and reproducible results. As a result, they provide a controlled and stable platform for comparing technologies and algorithms. Unlike an over-the-air testbed</w:t>
      </w:r>
      <w:r>
        <w:rPr>
          <w:spacing w:val="-8"/>
        </w:rPr>
        <w:t> </w:t>
      </w:r>
      <w:r>
        <w:rPr/>
        <w:t>that</w:t>
      </w:r>
      <w:r>
        <w:rPr>
          <w:spacing w:val="-8"/>
        </w:rPr>
        <w:t> </w:t>
      </w:r>
      <w:r>
        <w:rPr/>
        <w:t>produces</w:t>
      </w:r>
      <w:r>
        <w:rPr>
          <w:spacing w:val="-7"/>
        </w:rPr>
        <w:t> </w:t>
      </w:r>
      <w:r>
        <w:rPr/>
        <w:t>results</w:t>
      </w:r>
      <w:r>
        <w:rPr>
          <w:spacing w:val="-7"/>
        </w:rPr>
        <w:t> </w:t>
      </w:r>
      <w:r>
        <w:rPr/>
        <w:t>that</w:t>
      </w:r>
      <w:r>
        <w:rPr>
          <w:spacing w:val="-8"/>
        </w:rPr>
        <w:t> </w:t>
      </w:r>
      <w:r>
        <w:rPr/>
        <w:t>vary</w:t>
      </w:r>
      <w:r>
        <w:rPr>
          <w:spacing w:val="-11"/>
        </w:rPr>
        <w:t> </w:t>
      </w:r>
      <w:r>
        <w:rPr/>
        <w:t>over</w:t>
      </w:r>
      <w:r>
        <w:rPr>
          <w:spacing w:val="-7"/>
        </w:rPr>
        <w:t> </w:t>
      </w:r>
      <w:r>
        <w:rPr/>
        <w:t>time,</w:t>
      </w:r>
      <w:r>
        <w:rPr>
          <w:spacing w:val="-8"/>
        </w:rPr>
        <w:t> </w:t>
      </w:r>
      <w:r>
        <w:rPr/>
        <w:t>performance</w:t>
      </w:r>
      <w:r>
        <w:rPr>
          <w:spacing w:val="-8"/>
        </w:rPr>
        <w:t> </w:t>
      </w:r>
      <w:r>
        <w:rPr/>
        <w:t>comparisons</w:t>
      </w:r>
      <w:r>
        <w:rPr>
          <w:spacing w:val="-7"/>
        </w:rPr>
        <w:t> </w:t>
      </w:r>
      <w:r>
        <w:rPr/>
        <w:t>obtained</w:t>
      </w:r>
      <w:r>
        <w:rPr>
          <w:spacing w:val="-8"/>
        </w:rPr>
        <w:t> </w:t>
      </w:r>
      <w:r>
        <w:rPr/>
        <w:t>from</w:t>
      </w:r>
      <w:r>
        <w:rPr>
          <w:spacing w:val="-3"/>
        </w:rPr>
        <w:t> </w:t>
      </w:r>
      <w:r>
        <w:rPr/>
        <w:t>cabled-up</w:t>
      </w:r>
      <w:r>
        <w:rPr>
          <w:spacing w:val="-8"/>
        </w:rPr>
        <w:t> </w:t>
      </w:r>
      <w:r>
        <w:rPr/>
        <w:t>testbeds are</w:t>
      </w:r>
      <w:r>
        <w:rPr>
          <w:spacing w:val="-5"/>
        </w:rPr>
        <w:t> </w:t>
      </w:r>
      <w:r>
        <w:rPr/>
        <w:t>precise.</w:t>
      </w:r>
    </w:p>
    <w:p>
      <w:pPr>
        <w:pStyle w:val="BodyText"/>
        <w:spacing w:before="180"/>
        <w:ind w:left="1133" w:right="1132" w:firstLine="55"/>
        <w:jc w:val="both"/>
      </w:pPr>
      <w:r>
        <w:rPr/>
        <w:t>CBR</w:t>
      </w:r>
      <w:r>
        <w:rPr>
          <w:spacing w:val="-3"/>
        </w:rPr>
        <w:t> </w:t>
      </w:r>
      <w:r>
        <w:rPr/>
        <w:t>is</w:t>
      </w:r>
      <w:r>
        <w:rPr>
          <w:spacing w:val="-4"/>
        </w:rPr>
        <w:t> </w:t>
      </w:r>
      <w:r>
        <w:rPr/>
        <w:t>a</w:t>
      </w:r>
      <w:r>
        <w:rPr>
          <w:spacing w:val="-6"/>
        </w:rPr>
        <w:t> </w:t>
      </w:r>
      <w:r>
        <w:rPr/>
        <w:t>metric</w:t>
      </w:r>
      <w:r>
        <w:rPr>
          <w:spacing w:val="-4"/>
        </w:rPr>
        <w:t> </w:t>
      </w:r>
      <w:r>
        <w:rPr/>
        <w:t>that</w:t>
      </w:r>
      <w:r>
        <w:rPr>
          <w:spacing w:val="-3"/>
        </w:rPr>
        <w:t> </w:t>
      </w:r>
      <w:r>
        <w:rPr/>
        <w:t>tracks</w:t>
      </w:r>
      <w:r>
        <w:rPr>
          <w:spacing w:val="-6"/>
        </w:rPr>
        <w:t> </w:t>
      </w:r>
      <w:r>
        <w:rPr/>
        <w:t>the</w:t>
      </w:r>
      <w:r>
        <w:rPr>
          <w:spacing w:val="-6"/>
        </w:rPr>
        <w:t> </w:t>
      </w:r>
      <w:r>
        <w:rPr/>
        <w:t>Channel</w:t>
      </w:r>
      <w:r>
        <w:rPr>
          <w:spacing w:val="-6"/>
        </w:rPr>
        <w:t> </w:t>
      </w:r>
      <w:r>
        <w:rPr/>
        <w:t>Utilization</w:t>
      </w:r>
      <w:r>
        <w:rPr>
          <w:spacing w:val="-3"/>
        </w:rPr>
        <w:t> </w:t>
      </w:r>
      <w:r>
        <w:rPr/>
        <w:t>in</w:t>
      </w:r>
      <w:r>
        <w:rPr>
          <w:spacing w:val="-3"/>
        </w:rPr>
        <w:t> </w:t>
      </w:r>
      <w:r>
        <w:rPr/>
        <w:t>C-V2X.</w:t>
      </w:r>
      <w:r>
        <w:rPr>
          <w:spacing w:val="-5"/>
        </w:rPr>
        <w:t> </w:t>
      </w:r>
      <w:r>
        <w:rPr/>
        <w:t>It</w:t>
      </w:r>
      <w:r>
        <w:rPr>
          <w:spacing w:val="-3"/>
        </w:rPr>
        <w:t> </w:t>
      </w:r>
      <w:r>
        <w:rPr/>
        <w:t>is</w:t>
      </w:r>
      <w:r>
        <w:rPr>
          <w:spacing w:val="-4"/>
        </w:rPr>
        <w:t> </w:t>
      </w:r>
      <w:r>
        <w:rPr/>
        <w:t>defined</w:t>
      </w:r>
      <w:r>
        <w:rPr>
          <w:spacing w:val="-3"/>
        </w:rPr>
        <w:t> </w:t>
      </w:r>
      <w:r>
        <w:rPr/>
        <w:t>as</w:t>
      </w:r>
      <w:r>
        <w:rPr>
          <w:spacing w:val="-5"/>
        </w:rPr>
        <w:t> </w:t>
      </w:r>
      <w:r>
        <w:rPr/>
        <w:t>mentioned</w:t>
      </w:r>
      <w:r>
        <w:rPr>
          <w:spacing w:val="-3"/>
        </w:rPr>
        <w:t> </w:t>
      </w:r>
      <w:r>
        <w:rPr/>
        <w:t>in</w:t>
      </w:r>
      <w:r>
        <w:rPr>
          <w:spacing w:val="-3"/>
        </w:rPr>
        <w:t> </w:t>
      </w:r>
      <w:r>
        <w:rPr/>
        <w:t>3GPP</w:t>
      </w:r>
      <w:r>
        <w:rPr>
          <w:spacing w:val="-6"/>
        </w:rPr>
        <w:t> </w:t>
      </w:r>
      <w:r>
        <w:rPr/>
        <w:t>specification TS 36.214 section</w:t>
      </w:r>
      <w:r>
        <w:rPr>
          <w:spacing w:val="-8"/>
        </w:rPr>
        <w:t> </w:t>
      </w:r>
      <w:r>
        <w:rPr/>
        <w:t>5.1.30.</w:t>
      </w:r>
    </w:p>
    <w:p>
      <w:pPr>
        <w:pStyle w:val="BodyText"/>
        <w:spacing w:before="10"/>
        <w:rPr>
          <w:sz w:val="15"/>
        </w:rPr>
      </w:pPr>
    </w:p>
    <w:tbl>
      <w:tblPr>
        <w:tblW w:w="0" w:type="auto"/>
        <w:jc w:val="left"/>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6"/>
        <w:gridCol w:w="8287"/>
      </w:tblGrid>
      <w:tr>
        <w:trPr>
          <w:trHeight w:val="1666" w:hRule="exact"/>
        </w:trPr>
        <w:tc>
          <w:tcPr>
            <w:tcW w:w="1346" w:type="dxa"/>
          </w:tcPr>
          <w:p>
            <w:pPr>
              <w:pStyle w:val="TableParagraph"/>
              <w:rPr>
                <w:sz w:val="18"/>
              </w:rPr>
            </w:pPr>
            <w:r>
              <w:rPr>
                <w:sz w:val="18"/>
              </w:rPr>
              <w:t>Definition</w:t>
            </w:r>
          </w:p>
        </w:tc>
        <w:tc>
          <w:tcPr>
            <w:tcW w:w="8287" w:type="dxa"/>
          </w:tcPr>
          <w:p>
            <w:pPr>
              <w:pStyle w:val="TableParagraph"/>
              <w:rPr>
                <w:sz w:val="18"/>
              </w:rPr>
            </w:pPr>
            <w:r>
              <w:rPr>
                <w:sz w:val="18"/>
              </w:rPr>
              <w:t>Channel busy ratio (CBR) measured in subframe n is defined as follows:</w:t>
            </w:r>
          </w:p>
          <w:p>
            <w:pPr>
              <w:pStyle w:val="TableParagraph"/>
              <w:numPr>
                <w:ilvl w:val="0"/>
                <w:numId w:val="35"/>
              </w:numPr>
              <w:tabs>
                <w:tab w:pos="955" w:val="left" w:leader="none"/>
                <w:tab w:pos="956" w:val="left" w:leader="none"/>
              </w:tabs>
              <w:spacing w:line="240" w:lineRule="auto" w:before="0" w:after="0"/>
              <w:ind w:left="955" w:right="99" w:hanging="852"/>
              <w:jc w:val="both"/>
              <w:rPr>
                <w:sz w:val="18"/>
              </w:rPr>
            </w:pPr>
            <w:r>
              <w:rPr>
                <w:sz w:val="18"/>
              </w:rPr>
              <w:t>For PSSCH, the portion of sub-channels in the resource pool whose S-RSSI measured by the UE exceed a (pre-)configured threshold sensed over subframes [n-100,</w:t>
            </w:r>
            <w:r>
              <w:rPr>
                <w:spacing w:val="-22"/>
                <w:sz w:val="18"/>
              </w:rPr>
              <w:t> </w:t>
            </w:r>
            <w:r>
              <w:rPr>
                <w:sz w:val="18"/>
              </w:rPr>
              <w:t>n-1];</w:t>
            </w:r>
          </w:p>
          <w:p>
            <w:pPr>
              <w:pStyle w:val="TableParagraph"/>
              <w:numPr>
                <w:ilvl w:val="0"/>
                <w:numId w:val="35"/>
              </w:numPr>
              <w:tabs>
                <w:tab w:pos="955" w:val="left" w:leader="none"/>
                <w:tab w:pos="956" w:val="left" w:leader="none"/>
              </w:tabs>
              <w:spacing w:line="240" w:lineRule="auto" w:before="2" w:after="0"/>
              <w:ind w:left="955" w:right="99" w:hanging="852"/>
              <w:jc w:val="both"/>
              <w:rPr>
                <w:sz w:val="18"/>
              </w:rPr>
            </w:pPr>
            <w:r>
              <w:rPr>
                <w:sz w:val="18"/>
              </w:rPr>
              <w:t>For PSCCH, in a pool (pre)configured such that PSCCH may be transmitted with its corresponding PSSCH in non-adjacent resource blocks, the portion of the resources of the PSCCH pool whose S-RSSI measured by the UE exceed a (pre-)configured threshold sensed over subframes [n-100, n-1], assuming that the PSCCH pool is composed of resources with a size of two consecutive PRB pairs in the frequency</w:t>
            </w:r>
            <w:r>
              <w:rPr>
                <w:spacing w:val="-29"/>
                <w:sz w:val="18"/>
              </w:rPr>
              <w:t> </w:t>
            </w:r>
            <w:r>
              <w:rPr>
                <w:sz w:val="18"/>
              </w:rPr>
              <w:t>domain.</w:t>
            </w:r>
          </w:p>
        </w:tc>
      </w:tr>
    </w:tbl>
    <w:p>
      <w:pPr>
        <w:pStyle w:val="BodyText"/>
        <w:rPr>
          <w:sz w:val="22"/>
        </w:rPr>
      </w:pPr>
    </w:p>
    <w:p>
      <w:pPr>
        <w:pStyle w:val="BodyText"/>
        <w:spacing w:before="154"/>
        <w:ind w:left="1133" w:right="1126"/>
        <w:jc w:val="both"/>
      </w:pPr>
      <w:r>
        <w:rPr/>
        <w:t>The congestion control lab setup evaluates the performance of speeding cars in the carpool lane of a traffic- jammed highway.</w:t>
      </w:r>
    </w:p>
    <w:p>
      <w:pPr>
        <w:pStyle w:val="BodyText"/>
        <w:spacing w:before="10"/>
        <w:rPr>
          <w:sz w:val="25"/>
        </w:rPr>
      </w:pPr>
    </w:p>
    <w:p>
      <w:pPr>
        <w:pStyle w:val="Heading5"/>
        <w:numPr>
          <w:ilvl w:val="3"/>
          <w:numId w:val="36"/>
        </w:numPr>
        <w:tabs>
          <w:tab w:pos="2552" w:val="left" w:leader="none"/>
        </w:tabs>
        <w:spacing w:line="240" w:lineRule="auto" w:before="1" w:after="0"/>
        <w:ind w:left="2551" w:right="0" w:hanging="1418"/>
        <w:jc w:val="both"/>
        <w:rPr>
          <w:rFonts w:ascii="Arial" w:hAnsi="Arial"/>
        </w:rPr>
      </w:pPr>
      <w:r>
        <w:rPr>
          <w:rFonts w:ascii="Arial" w:hAnsi="Arial"/>
        </w:rPr>
        <w:t>V2V Congestion Control in lab environment – Regular BSM</w:t>
      </w:r>
      <w:r>
        <w:rPr>
          <w:rFonts w:ascii="Arial" w:hAnsi="Arial"/>
          <w:spacing w:val="-22"/>
        </w:rPr>
        <w:t> </w:t>
      </w:r>
      <w:r>
        <w:rPr>
          <w:rFonts w:ascii="Arial" w:hAnsi="Arial"/>
        </w:rPr>
        <w:t>broadcast</w:t>
      </w:r>
    </w:p>
    <w:p>
      <w:pPr>
        <w:pStyle w:val="BodyText"/>
        <w:spacing w:before="3"/>
        <w:rPr>
          <w:sz w:val="26"/>
        </w:rPr>
      </w:pPr>
    </w:p>
    <w:p>
      <w:pPr>
        <w:pStyle w:val="Heading6"/>
        <w:numPr>
          <w:ilvl w:val="4"/>
          <w:numId w:val="36"/>
        </w:numPr>
        <w:tabs>
          <w:tab w:pos="2834" w:val="left" w:leader="none"/>
          <w:tab w:pos="2835" w:val="left" w:leader="none"/>
        </w:tabs>
        <w:spacing w:line="240" w:lineRule="auto" w:before="0" w:after="0"/>
        <w:ind w:left="2834" w:right="0" w:hanging="1701"/>
        <w:jc w:val="both"/>
      </w:pPr>
      <w:r>
        <w:rPr/>
        <w:t>Background</w:t>
      </w:r>
    </w:p>
    <w:p>
      <w:pPr>
        <w:pStyle w:val="BodyText"/>
        <w:spacing w:before="179"/>
        <w:ind w:left="1133" w:right="1129"/>
        <w:jc w:val="both"/>
      </w:pPr>
      <w:r>
        <w:rPr/>
        <w:t>This test verifies that V2V (LTE C-V2X Mode 4) devices can transmit and receive BSM messages in a congestion-challenged channel. C-V2X devices communicate over the PC5 interface without cellular network assistance (out-of-coverage, Mode 4). The devices implement the congestion control algorithm inspired by SAE J2945/1. 3GPP congestion control was turned off for this test. This is a standalone C-V2X test and only C-V2X results are presented.</w:t>
      </w:r>
    </w:p>
    <w:p>
      <w:pPr>
        <w:pStyle w:val="Heading7"/>
        <w:spacing w:before="178"/>
        <w:jc w:val="both"/>
      </w:pPr>
      <w:r>
        <w:rPr/>
        <w:t>Goals</w:t>
      </w:r>
    </w:p>
    <w:p>
      <w:pPr>
        <w:pStyle w:val="ListParagraph"/>
        <w:numPr>
          <w:ilvl w:val="5"/>
          <w:numId w:val="36"/>
        </w:numPr>
        <w:tabs>
          <w:tab w:pos="1701" w:val="left" w:leader="none"/>
          <w:tab w:pos="1702" w:val="left" w:leader="none"/>
        </w:tabs>
        <w:spacing w:line="240" w:lineRule="auto" w:before="182" w:after="0"/>
        <w:ind w:left="1702" w:right="1131" w:hanging="286"/>
        <w:jc w:val="left"/>
        <w:rPr>
          <w:sz w:val="20"/>
        </w:rPr>
      </w:pPr>
      <w:r>
        <w:rPr>
          <w:sz w:val="20"/>
        </w:rPr>
        <w:t>Execute a BSM transmission and reception test between DUT1 and DUT2 in a congestion- challenged environment.</w:t>
      </w:r>
    </w:p>
    <w:p>
      <w:pPr>
        <w:pStyle w:val="ListParagraph"/>
        <w:numPr>
          <w:ilvl w:val="5"/>
          <w:numId w:val="36"/>
        </w:numPr>
        <w:tabs>
          <w:tab w:pos="1701" w:val="left" w:leader="none"/>
          <w:tab w:pos="1702" w:val="left" w:leader="none"/>
        </w:tabs>
        <w:spacing w:line="240" w:lineRule="auto" w:before="179" w:after="0"/>
        <w:ind w:left="1702" w:right="1142" w:hanging="286"/>
        <w:jc w:val="left"/>
        <w:rPr>
          <w:sz w:val="20"/>
        </w:rPr>
      </w:pPr>
      <w:r>
        <w:rPr>
          <w:sz w:val="20"/>
        </w:rPr>
        <w:t>Measure KPIs including PER, Latency, and IPG for transmission and reception between DUT 1 and DUT 2.</w:t>
      </w:r>
    </w:p>
    <w:p>
      <w:pPr>
        <w:pStyle w:val="ListParagraph"/>
        <w:numPr>
          <w:ilvl w:val="5"/>
          <w:numId w:val="36"/>
        </w:numPr>
        <w:tabs>
          <w:tab w:pos="1701" w:val="left" w:leader="none"/>
          <w:tab w:pos="1702" w:val="left" w:leader="none"/>
        </w:tabs>
        <w:spacing w:line="240" w:lineRule="auto" w:before="179" w:after="0"/>
        <w:ind w:left="1702" w:right="1129" w:hanging="286"/>
        <w:jc w:val="left"/>
        <w:rPr>
          <w:sz w:val="20"/>
        </w:rPr>
      </w:pPr>
      <w:r>
        <w:rPr>
          <w:sz w:val="20"/>
        </w:rPr>
        <w:t>Compare the CDF of PER and CBR generated from the lab Setup with the System-Level Simulation and verify a</w:t>
      </w:r>
      <w:r>
        <w:rPr>
          <w:spacing w:val="-5"/>
          <w:sz w:val="20"/>
        </w:rPr>
        <w:t> </w:t>
      </w:r>
      <w:r>
        <w:rPr>
          <w:sz w:val="20"/>
        </w:rPr>
        <w:t>match.</w:t>
      </w:r>
    </w:p>
    <w:p>
      <w:pPr>
        <w:spacing w:after="0" w:line="240" w:lineRule="auto"/>
        <w:jc w:val="left"/>
        <w:rPr>
          <w:sz w:val="20"/>
        </w:rPr>
        <w:sectPr>
          <w:headerReference w:type="default" r:id="rId292"/>
          <w:pgSz w:w="11910" w:h="16850"/>
          <w:pgMar w:header="852" w:footer="979" w:top="1040" w:bottom="1160" w:left="0" w:right="0"/>
        </w:sectPr>
      </w:pPr>
    </w:p>
    <w:p>
      <w:pPr>
        <w:pStyle w:val="BodyText"/>
        <w:spacing w:before="2"/>
        <w:rPr>
          <w:sz w:val="23"/>
        </w:rPr>
      </w:pPr>
    </w:p>
    <w:p>
      <w:pPr>
        <w:pStyle w:val="BodyText"/>
        <w:spacing w:before="93"/>
        <w:ind w:left="1133" w:right="1129"/>
        <w:jc w:val="both"/>
      </w:pPr>
      <w:r>
        <w:rPr/>
        <w:t>To</w:t>
      </w:r>
      <w:r>
        <w:rPr>
          <w:spacing w:val="-7"/>
        </w:rPr>
        <w:t> </w:t>
      </w:r>
      <w:r>
        <w:rPr/>
        <w:t>achieve</w:t>
      </w:r>
      <w:r>
        <w:rPr>
          <w:spacing w:val="-7"/>
        </w:rPr>
        <w:t> </w:t>
      </w:r>
      <w:r>
        <w:rPr/>
        <w:t>these</w:t>
      </w:r>
      <w:r>
        <w:rPr>
          <w:spacing w:val="-7"/>
        </w:rPr>
        <w:t> </w:t>
      </w:r>
      <w:r>
        <w:rPr/>
        <w:t>goals,</w:t>
      </w:r>
      <w:r>
        <w:rPr>
          <w:spacing w:val="-4"/>
        </w:rPr>
        <w:t> </w:t>
      </w:r>
      <w:r>
        <w:rPr/>
        <w:t>we</w:t>
      </w:r>
      <w:r>
        <w:rPr>
          <w:spacing w:val="-4"/>
        </w:rPr>
        <w:t> </w:t>
      </w:r>
      <w:r>
        <w:rPr/>
        <w:t>consider</w:t>
      </w:r>
      <w:r>
        <w:rPr>
          <w:spacing w:val="-6"/>
        </w:rPr>
        <w:t> </w:t>
      </w:r>
      <w:r>
        <w:rPr/>
        <w:t>the</w:t>
      </w:r>
      <w:r>
        <w:rPr>
          <w:spacing w:val="-7"/>
        </w:rPr>
        <w:t> </w:t>
      </w:r>
      <w:r>
        <w:rPr/>
        <w:t>challenging</w:t>
      </w:r>
      <w:r>
        <w:rPr>
          <w:spacing w:val="-7"/>
        </w:rPr>
        <w:t> </w:t>
      </w:r>
      <w:r>
        <w:rPr/>
        <w:t>scenario</w:t>
      </w:r>
      <w:r>
        <w:rPr>
          <w:spacing w:val="-7"/>
        </w:rPr>
        <w:t> </w:t>
      </w:r>
      <w:r>
        <w:rPr/>
        <w:t>of</w:t>
      </w:r>
      <w:r>
        <w:rPr>
          <w:spacing w:val="-5"/>
        </w:rPr>
        <w:t> </w:t>
      </w:r>
      <w:r>
        <w:rPr/>
        <w:t>speeding</w:t>
      </w:r>
      <w:r>
        <w:rPr>
          <w:spacing w:val="-7"/>
        </w:rPr>
        <w:t> </w:t>
      </w:r>
      <w:r>
        <w:rPr/>
        <w:t>cars</w:t>
      </w:r>
      <w:r>
        <w:rPr>
          <w:spacing w:val="-5"/>
        </w:rPr>
        <w:t> </w:t>
      </w:r>
      <w:r>
        <w:rPr/>
        <w:t>on</w:t>
      </w:r>
      <w:r>
        <w:rPr>
          <w:spacing w:val="-7"/>
        </w:rPr>
        <w:t> </w:t>
      </w:r>
      <w:r>
        <w:rPr/>
        <w:t>the</w:t>
      </w:r>
      <w:r>
        <w:rPr>
          <w:spacing w:val="-7"/>
        </w:rPr>
        <w:t> </w:t>
      </w:r>
      <w:r>
        <w:rPr/>
        <w:t>carpool</w:t>
      </w:r>
      <w:r>
        <w:rPr>
          <w:spacing w:val="-6"/>
        </w:rPr>
        <w:t> </w:t>
      </w:r>
      <w:r>
        <w:rPr/>
        <w:t>lane</w:t>
      </w:r>
      <w:r>
        <w:rPr>
          <w:spacing w:val="-7"/>
        </w:rPr>
        <w:t> </w:t>
      </w:r>
      <w:r>
        <w:rPr/>
        <w:t>of</w:t>
      </w:r>
      <w:r>
        <w:rPr>
          <w:spacing w:val="-5"/>
        </w:rPr>
        <w:t> </w:t>
      </w:r>
      <w:r>
        <w:rPr/>
        <w:t>a</w:t>
      </w:r>
      <w:r>
        <w:rPr>
          <w:spacing w:val="-7"/>
        </w:rPr>
        <w:t> </w:t>
      </w:r>
      <w:r>
        <w:rPr/>
        <w:t>traffic- jammed highway. This test is based on the CAMP scenario described in [NHTSA-2015-0060] where the devices under test move on a 1200-meter stretch of highway in the carpool lanes, while the devices creating the</w:t>
      </w:r>
      <w:r>
        <w:rPr>
          <w:spacing w:val="-3"/>
        </w:rPr>
        <w:t> </w:t>
      </w:r>
      <w:r>
        <w:rPr/>
        <w:t>congestion</w:t>
      </w:r>
      <w:r>
        <w:rPr>
          <w:spacing w:val="-3"/>
        </w:rPr>
        <w:t> </w:t>
      </w:r>
      <w:r>
        <w:rPr/>
        <w:t>are</w:t>
      </w:r>
      <w:r>
        <w:rPr>
          <w:spacing w:val="-3"/>
        </w:rPr>
        <w:t> </w:t>
      </w:r>
      <w:r>
        <w:rPr/>
        <w:t>stationary</w:t>
      </w:r>
      <w:r>
        <w:rPr>
          <w:spacing w:val="-9"/>
        </w:rPr>
        <w:t> </w:t>
      </w:r>
      <w:r>
        <w:rPr/>
        <w:t>on</w:t>
      </w:r>
      <w:r>
        <w:rPr>
          <w:spacing w:val="-3"/>
        </w:rPr>
        <w:t> </w:t>
      </w:r>
      <w:r>
        <w:rPr/>
        <w:t>both</w:t>
      </w:r>
      <w:r>
        <w:rPr>
          <w:spacing w:val="-3"/>
        </w:rPr>
        <w:t> </w:t>
      </w:r>
      <w:r>
        <w:rPr/>
        <w:t>sides</w:t>
      </w:r>
      <w:r>
        <w:rPr>
          <w:spacing w:val="-2"/>
        </w:rPr>
        <w:t> </w:t>
      </w:r>
      <w:r>
        <w:rPr/>
        <w:t>of</w:t>
      </w:r>
      <w:r>
        <w:rPr>
          <w:spacing w:val="-1"/>
        </w:rPr>
        <w:t> </w:t>
      </w:r>
      <w:r>
        <w:rPr/>
        <w:t>the</w:t>
      </w:r>
      <w:r>
        <w:rPr>
          <w:spacing w:val="-3"/>
        </w:rPr>
        <w:t> </w:t>
      </w:r>
      <w:r>
        <w:rPr/>
        <w:t>carpool</w:t>
      </w:r>
      <w:r>
        <w:rPr>
          <w:spacing w:val="-4"/>
        </w:rPr>
        <w:t> </w:t>
      </w:r>
      <w:r>
        <w:rPr/>
        <w:t>lanes.</w:t>
      </w:r>
      <w:r>
        <w:rPr>
          <w:spacing w:val="-3"/>
        </w:rPr>
        <w:t> </w:t>
      </w:r>
      <w:r>
        <w:rPr/>
        <w:t>In</w:t>
      </w:r>
      <w:r>
        <w:rPr>
          <w:spacing w:val="-3"/>
        </w:rPr>
        <w:t> </w:t>
      </w:r>
      <w:r>
        <w:rPr/>
        <w:t>the</w:t>
      </w:r>
      <w:r>
        <w:rPr>
          <w:spacing w:val="-3"/>
        </w:rPr>
        <w:t> </w:t>
      </w:r>
      <w:r>
        <w:rPr/>
        <w:t>CAMP</w:t>
      </w:r>
      <w:r>
        <w:rPr>
          <w:spacing w:val="-3"/>
        </w:rPr>
        <w:t> </w:t>
      </w:r>
      <w:r>
        <w:rPr/>
        <w:t>setup</w:t>
      </w:r>
      <w:r>
        <w:rPr>
          <w:spacing w:val="-3"/>
        </w:rPr>
        <w:t> </w:t>
      </w:r>
      <w:r>
        <w:rPr/>
        <w:t>and</w:t>
      </w:r>
      <w:r>
        <w:rPr>
          <w:spacing w:val="-1"/>
        </w:rPr>
        <w:t> </w:t>
      </w:r>
      <w:r>
        <w:rPr/>
        <w:t>with</w:t>
      </w:r>
      <w:r>
        <w:rPr>
          <w:spacing w:val="-3"/>
        </w:rPr>
        <w:t> </w:t>
      </w:r>
      <w:r>
        <w:rPr/>
        <w:t>5x</w:t>
      </w:r>
      <w:r>
        <w:rPr>
          <w:spacing w:val="-2"/>
        </w:rPr>
        <w:t> </w:t>
      </w:r>
      <w:r>
        <w:rPr/>
        <w:t>emulation</w:t>
      </w:r>
      <w:r>
        <w:rPr>
          <w:spacing w:val="-3"/>
        </w:rPr>
        <w:t> </w:t>
      </w:r>
      <w:r>
        <w:rPr/>
        <w:t>by the test devices, the congesting test devices emulate columns of 10 cars on each side of the carpool lanes where the columns are separated by 12.5 meters and the lane width is 3.6 meters. This scenario repeats the setup for the congesting</w:t>
      </w:r>
      <w:r>
        <w:rPr>
          <w:spacing w:val="-15"/>
        </w:rPr>
        <w:t> </w:t>
      </w:r>
      <w:r>
        <w:rPr/>
        <w:t>devices.</w:t>
      </w:r>
    </w:p>
    <w:p>
      <w:pPr>
        <w:pStyle w:val="BodyText"/>
        <w:spacing w:before="180"/>
        <w:ind w:left="1133" w:right="1133"/>
        <w:jc w:val="both"/>
      </w:pPr>
      <w:r>
        <w:rPr/>
        <w:t>Compared to the original CAMP setup, the following changes were made to adapt the test to the lab environment:</w:t>
      </w:r>
    </w:p>
    <w:p>
      <w:pPr>
        <w:pStyle w:val="ListParagraph"/>
        <w:numPr>
          <w:ilvl w:val="0"/>
          <w:numId w:val="37"/>
        </w:numPr>
        <w:tabs>
          <w:tab w:pos="1702" w:val="left" w:leader="none"/>
        </w:tabs>
        <w:spacing w:line="240" w:lineRule="auto" w:before="178" w:after="0"/>
        <w:ind w:left="1702" w:right="1127" w:hanging="286"/>
        <w:jc w:val="both"/>
        <w:rPr>
          <w:sz w:val="20"/>
        </w:rPr>
      </w:pPr>
      <w:r>
        <w:rPr>
          <w:sz w:val="20"/>
        </w:rPr>
        <w:t>Two stationary DUT devices: The two devices under test are stationary in the</w:t>
      </w:r>
      <w:r>
        <w:rPr>
          <w:spacing w:val="-38"/>
          <w:sz w:val="20"/>
        </w:rPr>
        <w:t> </w:t>
      </w:r>
      <w:r>
        <w:rPr>
          <w:sz w:val="20"/>
        </w:rPr>
        <w:t>middle of the 1200-meter stretch of highway, but they still transmit periodically every 100 ms as in the original scenario. The stationarity assumption simplifies the lab setup emulating this scenario while placing the devices under test in the location where maximum interference is</w:t>
      </w:r>
      <w:r>
        <w:rPr>
          <w:spacing w:val="-26"/>
          <w:sz w:val="20"/>
        </w:rPr>
        <w:t> </w:t>
      </w:r>
      <w:r>
        <w:rPr>
          <w:sz w:val="20"/>
        </w:rPr>
        <w:t>occurring.</w:t>
      </w:r>
    </w:p>
    <w:p>
      <w:pPr>
        <w:pStyle w:val="ListParagraph"/>
        <w:numPr>
          <w:ilvl w:val="0"/>
          <w:numId w:val="37"/>
        </w:numPr>
        <w:tabs>
          <w:tab w:pos="1702" w:val="left" w:leader="none"/>
        </w:tabs>
        <w:spacing w:line="240" w:lineRule="auto" w:before="181" w:after="0"/>
        <w:ind w:left="1702" w:right="1131" w:hanging="286"/>
        <w:jc w:val="both"/>
        <w:rPr>
          <w:sz w:val="20"/>
        </w:rPr>
      </w:pPr>
      <w:r>
        <w:rPr>
          <w:sz w:val="20"/>
        </w:rPr>
        <w:t>AWGN</w:t>
      </w:r>
      <w:r>
        <w:rPr>
          <w:spacing w:val="-12"/>
          <w:sz w:val="20"/>
        </w:rPr>
        <w:t> </w:t>
      </w:r>
      <w:r>
        <w:rPr>
          <w:sz w:val="20"/>
        </w:rPr>
        <w:t>channel:</w:t>
      </w:r>
      <w:r>
        <w:rPr>
          <w:spacing w:val="-13"/>
          <w:sz w:val="20"/>
        </w:rPr>
        <w:t> </w:t>
      </w:r>
      <w:r>
        <w:rPr>
          <w:sz w:val="20"/>
        </w:rPr>
        <w:t>The</w:t>
      </w:r>
      <w:r>
        <w:rPr>
          <w:spacing w:val="-13"/>
          <w:sz w:val="20"/>
        </w:rPr>
        <w:t> </w:t>
      </w:r>
      <w:r>
        <w:rPr>
          <w:sz w:val="20"/>
        </w:rPr>
        <w:t>main</w:t>
      </w:r>
      <w:r>
        <w:rPr>
          <w:spacing w:val="-13"/>
          <w:sz w:val="20"/>
        </w:rPr>
        <w:t> </w:t>
      </w:r>
      <w:r>
        <w:rPr>
          <w:sz w:val="20"/>
        </w:rPr>
        <w:t>source</w:t>
      </w:r>
      <w:r>
        <w:rPr>
          <w:spacing w:val="-13"/>
          <w:sz w:val="20"/>
        </w:rPr>
        <w:t> </w:t>
      </w:r>
      <w:r>
        <w:rPr>
          <w:sz w:val="20"/>
        </w:rPr>
        <w:t>of</w:t>
      </w:r>
      <w:r>
        <w:rPr>
          <w:spacing w:val="-11"/>
          <w:sz w:val="20"/>
        </w:rPr>
        <w:t> </w:t>
      </w:r>
      <w:r>
        <w:rPr>
          <w:sz w:val="20"/>
        </w:rPr>
        <w:t>error</w:t>
      </w:r>
      <w:r>
        <w:rPr>
          <w:spacing w:val="-12"/>
          <w:sz w:val="20"/>
        </w:rPr>
        <w:t> </w:t>
      </w:r>
      <w:r>
        <w:rPr>
          <w:sz w:val="20"/>
        </w:rPr>
        <w:t>is</w:t>
      </w:r>
      <w:r>
        <w:rPr>
          <w:spacing w:val="-11"/>
          <w:sz w:val="20"/>
        </w:rPr>
        <w:t> </w:t>
      </w:r>
      <w:r>
        <w:rPr>
          <w:sz w:val="20"/>
        </w:rPr>
        <w:t>interference</w:t>
      </w:r>
      <w:r>
        <w:rPr>
          <w:spacing w:val="-13"/>
          <w:sz w:val="20"/>
        </w:rPr>
        <w:t> </w:t>
      </w:r>
      <w:r>
        <w:rPr>
          <w:sz w:val="20"/>
        </w:rPr>
        <w:t>from</w:t>
      </w:r>
      <w:r>
        <w:rPr>
          <w:spacing w:val="-8"/>
          <w:sz w:val="20"/>
        </w:rPr>
        <w:t> </w:t>
      </w:r>
      <w:r>
        <w:rPr>
          <w:sz w:val="20"/>
        </w:rPr>
        <w:t>the</w:t>
      </w:r>
      <w:r>
        <w:rPr>
          <w:spacing w:val="-13"/>
          <w:sz w:val="20"/>
        </w:rPr>
        <w:t> </w:t>
      </w:r>
      <w:r>
        <w:rPr>
          <w:sz w:val="20"/>
        </w:rPr>
        <w:t>congesting</w:t>
      </w:r>
      <w:r>
        <w:rPr>
          <w:spacing w:val="-13"/>
          <w:sz w:val="20"/>
        </w:rPr>
        <w:t> </w:t>
      </w:r>
      <w:r>
        <w:rPr>
          <w:sz w:val="20"/>
        </w:rPr>
        <w:t>devices</w:t>
      </w:r>
      <w:r>
        <w:rPr>
          <w:spacing w:val="-12"/>
          <w:sz w:val="20"/>
        </w:rPr>
        <w:t> </w:t>
      </w:r>
      <w:r>
        <w:rPr>
          <w:sz w:val="20"/>
        </w:rPr>
        <w:t>and</w:t>
      </w:r>
      <w:r>
        <w:rPr>
          <w:spacing w:val="-13"/>
          <w:sz w:val="20"/>
        </w:rPr>
        <w:t> </w:t>
      </w:r>
      <w:r>
        <w:rPr>
          <w:sz w:val="20"/>
        </w:rPr>
        <w:t>thus</w:t>
      </w:r>
      <w:r>
        <w:rPr>
          <w:spacing w:val="-12"/>
          <w:sz w:val="20"/>
        </w:rPr>
        <w:t> </w:t>
      </w:r>
      <w:r>
        <w:rPr>
          <w:sz w:val="20"/>
        </w:rPr>
        <w:t>modeling AWGN is not</w:t>
      </w:r>
      <w:r>
        <w:rPr>
          <w:spacing w:val="-9"/>
          <w:sz w:val="20"/>
        </w:rPr>
        <w:t> </w:t>
      </w:r>
      <w:r>
        <w:rPr>
          <w:sz w:val="20"/>
        </w:rPr>
        <w:t>necessary.</w:t>
      </w:r>
    </w:p>
    <w:p>
      <w:pPr>
        <w:pStyle w:val="ListParagraph"/>
        <w:numPr>
          <w:ilvl w:val="0"/>
          <w:numId w:val="37"/>
        </w:numPr>
        <w:tabs>
          <w:tab w:pos="1702" w:val="left" w:leader="none"/>
        </w:tabs>
        <w:spacing w:line="240" w:lineRule="auto" w:before="178" w:after="0"/>
        <w:ind w:left="1702" w:right="1132" w:hanging="286"/>
        <w:jc w:val="both"/>
        <w:rPr>
          <w:sz w:val="20"/>
        </w:rPr>
      </w:pPr>
      <w:r>
        <w:rPr>
          <w:sz w:val="20"/>
        </w:rPr>
        <w:t>Reduced</w:t>
      </w:r>
      <w:r>
        <w:rPr>
          <w:spacing w:val="-5"/>
          <w:sz w:val="20"/>
        </w:rPr>
        <w:t> </w:t>
      </w:r>
      <w:r>
        <w:rPr>
          <w:sz w:val="20"/>
        </w:rPr>
        <w:t>set</w:t>
      </w:r>
      <w:r>
        <w:rPr>
          <w:spacing w:val="-2"/>
          <w:sz w:val="20"/>
        </w:rPr>
        <w:t> </w:t>
      </w:r>
      <w:r>
        <w:rPr>
          <w:sz w:val="20"/>
        </w:rPr>
        <w:t>of</w:t>
      </w:r>
      <w:r>
        <w:rPr>
          <w:spacing w:val="-3"/>
          <w:sz w:val="20"/>
        </w:rPr>
        <w:t> </w:t>
      </w:r>
      <w:r>
        <w:rPr>
          <w:sz w:val="20"/>
        </w:rPr>
        <w:t>emulated</w:t>
      </w:r>
      <w:r>
        <w:rPr>
          <w:spacing w:val="-5"/>
          <w:sz w:val="20"/>
        </w:rPr>
        <w:t> </w:t>
      </w:r>
      <w:r>
        <w:rPr>
          <w:sz w:val="20"/>
        </w:rPr>
        <w:t>congesting</w:t>
      </w:r>
      <w:r>
        <w:rPr>
          <w:spacing w:val="-3"/>
          <w:sz w:val="20"/>
        </w:rPr>
        <w:t> </w:t>
      </w:r>
      <w:r>
        <w:rPr>
          <w:sz w:val="20"/>
        </w:rPr>
        <w:t>devices:</w:t>
      </w:r>
      <w:r>
        <w:rPr>
          <w:spacing w:val="-4"/>
          <w:sz w:val="20"/>
        </w:rPr>
        <w:t> </w:t>
      </w:r>
      <w:r>
        <w:rPr>
          <w:sz w:val="20"/>
        </w:rPr>
        <w:t>The</w:t>
      </w:r>
      <w:r>
        <w:rPr>
          <w:spacing w:val="-5"/>
          <w:sz w:val="20"/>
        </w:rPr>
        <w:t> </w:t>
      </w:r>
      <w:r>
        <w:rPr>
          <w:sz w:val="20"/>
        </w:rPr>
        <w:t>main</w:t>
      </w:r>
      <w:r>
        <w:rPr>
          <w:spacing w:val="-5"/>
          <w:sz w:val="20"/>
        </w:rPr>
        <w:t> </w:t>
      </w:r>
      <w:r>
        <w:rPr>
          <w:sz w:val="20"/>
        </w:rPr>
        <w:t>contributors</w:t>
      </w:r>
      <w:r>
        <w:rPr>
          <w:spacing w:val="-3"/>
          <w:sz w:val="20"/>
        </w:rPr>
        <w:t> </w:t>
      </w:r>
      <w:r>
        <w:rPr>
          <w:sz w:val="20"/>
        </w:rPr>
        <w:t>to</w:t>
      </w:r>
      <w:r>
        <w:rPr>
          <w:spacing w:val="-5"/>
          <w:sz w:val="20"/>
        </w:rPr>
        <w:t> </w:t>
      </w:r>
      <w:r>
        <w:rPr>
          <w:sz w:val="20"/>
        </w:rPr>
        <w:t>interference</w:t>
      </w:r>
      <w:r>
        <w:rPr>
          <w:spacing w:val="-5"/>
          <w:sz w:val="20"/>
        </w:rPr>
        <w:t> </w:t>
      </w:r>
      <w:r>
        <w:rPr>
          <w:sz w:val="20"/>
        </w:rPr>
        <w:t>are</w:t>
      </w:r>
      <w:r>
        <w:rPr>
          <w:spacing w:val="-4"/>
          <w:sz w:val="20"/>
        </w:rPr>
        <w:t> </w:t>
      </w:r>
      <w:r>
        <w:rPr>
          <w:sz w:val="20"/>
        </w:rPr>
        <w:t>the</w:t>
      </w:r>
      <w:r>
        <w:rPr>
          <w:spacing w:val="-5"/>
          <w:sz w:val="20"/>
        </w:rPr>
        <w:t> </w:t>
      </w:r>
      <w:r>
        <w:rPr>
          <w:sz w:val="20"/>
        </w:rPr>
        <w:t>closest</w:t>
      </w:r>
      <w:r>
        <w:rPr>
          <w:spacing w:val="-4"/>
          <w:sz w:val="20"/>
        </w:rPr>
        <w:t> </w:t>
      </w:r>
      <w:r>
        <w:rPr>
          <w:sz w:val="20"/>
        </w:rPr>
        <w:t>576 cars</w:t>
      </w:r>
      <w:r>
        <w:rPr>
          <w:spacing w:val="-4"/>
          <w:sz w:val="20"/>
        </w:rPr>
        <w:t> </w:t>
      </w:r>
      <w:r>
        <w:rPr>
          <w:sz w:val="20"/>
        </w:rPr>
        <w:t>that</w:t>
      </w:r>
      <w:r>
        <w:rPr>
          <w:spacing w:val="-3"/>
          <w:sz w:val="20"/>
        </w:rPr>
        <w:t> </w:t>
      </w:r>
      <w:r>
        <w:rPr>
          <w:sz w:val="20"/>
        </w:rPr>
        <w:t>are</w:t>
      </w:r>
      <w:r>
        <w:rPr>
          <w:spacing w:val="-3"/>
          <w:sz w:val="20"/>
        </w:rPr>
        <w:t> </w:t>
      </w:r>
      <w:r>
        <w:rPr>
          <w:sz w:val="20"/>
        </w:rPr>
        <w:t>traffic-jammed</w:t>
      </w:r>
      <w:r>
        <w:rPr>
          <w:spacing w:val="-8"/>
          <w:sz w:val="20"/>
        </w:rPr>
        <w:t> </w:t>
      </w:r>
      <w:r>
        <w:rPr>
          <w:sz w:val="20"/>
        </w:rPr>
        <w:t>on</w:t>
      </w:r>
      <w:r>
        <w:rPr>
          <w:spacing w:val="-4"/>
          <w:sz w:val="20"/>
        </w:rPr>
        <w:t> </w:t>
      </w:r>
      <w:r>
        <w:rPr>
          <w:sz w:val="20"/>
        </w:rPr>
        <w:t>the</w:t>
      </w:r>
      <w:r>
        <w:rPr>
          <w:spacing w:val="-3"/>
          <w:sz w:val="20"/>
        </w:rPr>
        <w:t> </w:t>
      </w:r>
      <w:r>
        <w:rPr>
          <w:sz w:val="20"/>
        </w:rPr>
        <w:t>highway.</w:t>
      </w:r>
      <w:r>
        <w:rPr>
          <w:spacing w:val="-3"/>
          <w:sz w:val="20"/>
        </w:rPr>
        <w:t> </w:t>
      </w:r>
      <w:r>
        <w:rPr>
          <w:sz w:val="20"/>
        </w:rPr>
        <w:t>This</w:t>
      </w:r>
      <w:r>
        <w:rPr>
          <w:spacing w:val="-4"/>
          <w:sz w:val="20"/>
        </w:rPr>
        <w:t> </w:t>
      </w:r>
      <w:r>
        <w:rPr>
          <w:sz w:val="20"/>
        </w:rPr>
        <w:t>number</w:t>
      </w:r>
      <w:r>
        <w:rPr>
          <w:spacing w:val="-2"/>
          <w:sz w:val="20"/>
        </w:rPr>
        <w:t> </w:t>
      </w:r>
      <w:r>
        <w:rPr>
          <w:sz w:val="20"/>
        </w:rPr>
        <w:t>was</w:t>
      </w:r>
      <w:r>
        <w:rPr>
          <w:spacing w:val="-2"/>
          <w:sz w:val="20"/>
        </w:rPr>
        <w:t> </w:t>
      </w:r>
      <w:r>
        <w:rPr>
          <w:sz w:val="20"/>
        </w:rPr>
        <w:t>determined</w:t>
      </w:r>
      <w:r>
        <w:rPr>
          <w:spacing w:val="-6"/>
          <w:sz w:val="20"/>
        </w:rPr>
        <w:t> </w:t>
      </w:r>
      <w:r>
        <w:rPr>
          <w:sz w:val="20"/>
        </w:rPr>
        <w:t>by</w:t>
      </w:r>
      <w:r>
        <w:rPr>
          <w:spacing w:val="-9"/>
          <w:sz w:val="20"/>
        </w:rPr>
        <w:t> </w:t>
      </w:r>
      <w:r>
        <w:rPr>
          <w:sz w:val="20"/>
        </w:rPr>
        <w:t>conducting</w:t>
      </w:r>
      <w:r>
        <w:rPr>
          <w:spacing w:val="-4"/>
          <w:sz w:val="20"/>
        </w:rPr>
        <w:t> </w:t>
      </w:r>
      <w:r>
        <w:rPr>
          <w:sz w:val="20"/>
        </w:rPr>
        <w:t>simulations</w:t>
      </w:r>
      <w:r>
        <w:rPr>
          <w:spacing w:val="-2"/>
          <w:sz w:val="20"/>
        </w:rPr>
        <w:t> </w:t>
      </w:r>
      <w:r>
        <w:rPr>
          <w:sz w:val="20"/>
        </w:rPr>
        <w:t>of a larger number of interfering devices spread over the full 1200-meter stretch of highway (1940 cars) and then repeating the simulations with an increasingly smaller number of interfering cars to determine the</w:t>
      </w:r>
      <w:r>
        <w:rPr>
          <w:spacing w:val="-8"/>
          <w:sz w:val="20"/>
        </w:rPr>
        <w:t> </w:t>
      </w:r>
      <w:r>
        <w:rPr>
          <w:sz w:val="20"/>
        </w:rPr>
        <w:t>smallest</w:t>
      </w:r>
      <w:r>
        <w:rPr>
          <w:spacing w:val="-8"/>
          <w:sz w:val="20"/>
        </w:rPr>
        <w:t> </w:t>
      </w:r>
      <w:r>
        <w:rPr>
          <w:sz w:val="20"/>
        </w:rPr>
        <w:t>number</w:t>
      </w:r>
      <w:r>
        <w:rPr>
          <w:spacing w:val="-7"/>
          <w:sz w:val="20"/>
        </w:rPr>
        <w:t> </w:t>
      </w:r>
      <w:r>
        <w:rPr>
          <w:sz w:val="20"/>
        </w:rPr>
        <w:t>of</w:t>
      </w:r>
      <w:r>
        <w:rPr>
          <w:spacing w:val="-6"/>
          <w:sz w:val="20"/>
        </w:rPr>
        <w:t> </w:t>
      </w:r>
      <w:r>
        <w:rPr>
          <w:sz w:val="20"/>
        </w:rPr>
        <w:t>congesting</w:t>
      </w:r>
      <w:r>
        <w:rPr>
          <w:spacing w:val="-8"/>
          <w:sz w:val="20"/>
        </w:rPr>
        <w:t> </w:t>
      </w:r>
      <w:r>
        <w:rPr>
          <w:sz w:val="20"/>
        </w:rPr>
        <w:t>devices</w:t>
      </w:r>
      <w:r>
        <w:rPr>
          <w:spacing w:val="-7"/>
          <w:sz w:val="20"/>
        </w:rPr>
        <w:t> </w:t>
      </w:r>
      <w:r>
        <w:rPr>
          <w:sz w:val="20"/>
        </w:rPr>
        <w:t>for</w:t>
      </w:r>
      <w:r>
        <w:rPr>
          <w:spacing w:val="-7"/>
          <w:sz w:val="20"/>
        </w:rPr>
        <w:t> </w:t>
      </w:r>
      <w:r>
        <w:rPr>
          <w:sz w:val="20"/>
        </w:rPr>
        <w:t>which</w:t>
      </w:r>
      <w:r>
        <w:rPr>
          <w:spacing w:val="-6"/>
          <w:sz w:val="20"/>
        </w:rPr>
        <w:t> </w:t>
      </w:r>
      <w:r>
        <w:rPr>
          <w:sz w:val="20"/>
        </w:rPr>
        <w:t>the</w:t>
      </w:r>
      <w:r>
        <w:rPr>
          <w:spacing w:val="-3"/>
          <w:sz w:val="20"/>
        </w:rPr>
        <w:t> </w:t>
      </w:r>
      <w:r>
        <w:rPr>
          <w:sz w:val="20"/>
        </w:rPr>
        <w:t>performance</w:t>
      </w:r>
      <w:r>
        <w:rPr>
          <w:spacing w:val="-8"/>
          <w:sz w:val="20"/>
        </w:rPr>
        <w:t> </w:t>
      </w:r>
      <w:r>
        <w:rPr>
          <w:sz w:val="20"/>
        </w:rPr>
        <w:t>of</w:t>
      </w:r>
      <w:r>
        <w:rPr>
          <w:spacing w:val="-6"/>
          <w:sz w:val="20"/>
        </w:rPr>
        <w:t> </w:t>
      </w:r>
      <w:r>
        <w:rPr>
          <w:sz w:val="20"/>
        </w:rPr>
        <w:t>the</w:t>
      </w:r>
      <w:r>
        <w:rPr>
          <w:spacing w:val="-8"/>
          <w:sz w:val="20"/>
        </w:rPr>
        <w:t> </w:t>
      </w:r>
      <w:r>
        <w:rPr>
          <w:sz w:val="20"/>
        </w:rPr>
        <w:t>DUTs</w:t>
      </w:r>
      <w:r>
        <w:rPr>
          <w:spacing w:val="-7"/>
          <w:sz w:val="20"/>
        </w:rPr>
        <w:t> </w:t>
      </w:r>
      <w:r>
        <w:rPr>
          <w:sz w:val="20"/>
        </w:rPr>
        <w:t>remains</w:t>
      </w:r>
      <w:r>
        <w:rPr>
          <w:spacing w:val="-7"/>
          <w:sz w:val="20"/>
        </w:rPr>
        <w:t> </w:t>
      </w:r>
      <w:r>
        <w:rPr>
          <w:sz w:val="20"/>
        </w:rPr>
        <w:t>unchanged. Figure 29 shows the congestion</w:t>
      </w:r>
      <w:r>
        <w:rPr>
          <w:spacing w:val="-18"/>
          <w:sz w:val="20"/>
        </w:rPr>
        <w:t> </w:t>
      </w:r>
      <w:r>
        <w:rPr>
          <w:sz w:val="20"/>
        </w:rPr>
        <w:t>scenario:</w:t>
      </w:r>
    </w:p>
    <w:p>
      <w:pPr>
        <w:pStyle w:val="ListParagraph"/>
        <w:numPr>
          <w:ilvl w:val="1"/>
          <w:numId w:val="37"/>
        </w:numPr>
        <w:tabs>
          <w:tab w:pos="1986" w:val="left" w:leader="none"/>
        </w:tabs>
        <w:spacing w:line="240" w:lineRule="auto" w:before="178" w:after="0"/>
        <w:ind w:left="1985" w:right="1142" w:hanging="286"/>
        <w:jc w:val="both"/>
        <w:rPr>
          <w:sz w:val="20"/>
        </w:rPr>
      </w:pPr>
      <w:r>
        <w:rPr>
          <w:sz w:val="20"/>
        </w:rPr>
        <w:t>DUT 1, shown in red, is the host vehicle. It is stationary in the test environment but transmits at the maximum frequency of once every 100 ms due to its higher speed </w:t>
      </w:r>
      <w:r>
        <w:rPr>
          <w:spacing w:val="2"/>
          <w:sz w:val="20"/>
        </w:rPr>
        <w:t>in </w:t>
      </w:r>
      <w:r>
        <w:rPr>
          <w:sz w:val="20"/>
        </w:rPr>
        <w:t>the emulated</w:t>
      </w:r>
      <w:r>
        <w:rPr>
          <w:spacing w:val="-29"/>
          <w:sz w:val="20"/>
        </w:rPr>
        <w:t> </w:t>
      </w:r>
      <w:r>
        <w:rPr>
          <w:sz w:val="20"/>
        </w:rPr>
        <w:t>scenario.</w:t>
      </w:r>
    </w:p>
    <w:p>
      <w:pPr>
        <w:pStyle w:val="ListParagraph"/>
        <w:numPr>
          <w:ilvl w:val="1"/>
          <w:numId w:val="37"/>
        </w:numPr>
        <w:tabs>
          <w:tab w:pos="1986" w:val="left" w:leader="none"/>
        </w:tabs>
        <w:spacing w:line="240" w:lineRule="auto" w:before="180" w:after="0"/>
        <w:ind w:left="1985" w:right="1136" w:hanging="286"/>
        <w:jc w:val="both"/>
        <w:rPr>
          <w:sz w:val="20"/>
        </w:rPr>
      </w:pPr>
      <w:r>
        <w:rPr>
          <w:sz w:val="20"/>
        </w:rPr>
        <w:t>DUT 2, shown in grey on the central lanes, is the remote vehicle. Similarly to DUT1, it transmits at the maximum frequency of once every 100</w:t>
      </w:r>
      <w:r>
        <w:rPr>
          <w:spacing w:val="-9"/>
          <w:sz w:val="20"/>
        </w:rPr>
        <w:t> </w:t>
      </w:r>
      <w:r>
        <w:rPr>
          <w:sz w:val="20"/>
        </w:rPr>
        <w:t>ms.</w:t>
      </w:r>
    </w:p>
    <w:p>
      <w:pPr>
        <w:pStyle w:val="ListParagraph"/>
        <w:numPr>
          <w:ilvl w:val="1"/>
          <w:numId w:val="37"/>
        </w:numPr>
        <w:tabs>
          <w:tab w:pos="1986" w:val="left" w:leader="none"/>
        </w:tabs>
        <w:spacing w:line="240" w:lineRule="auto" w:before="180" w:after="0"/>
        <w:ind w:left="1985" w:right="1130" w:hanging="286"/>
        <w:jc w:val="both"/>
        <w:rPr>
          <w:sz w:val="20"/>
        </w:rPr>
      </w:pPr>
      <w:r>
        <w:rPr>
          <w:sz w:val="20"/>
        </w:rPr>
        <w:t>The</w:t>
      </w:r>
      <w:r>
        <w:rPr>
          <w:spacing w:val="-7"/>
          <w:sz w:val="20"/>
        </w:rPr>
        <w:t> </w:t>
      </w:r>
      <w:r>
        <w:rPr>
          <w:sz w:val="20"/>
        </w:rPr>
        <w:t>576</w:t>
      </w:r>
      <w:r>
        <w:rPr>
          <w:spacing w:val="-7"/>
          <w:sz w:val="20"/>
        </w:rPr>
        <w:t> </w:t>
      </w:r>
      <w:r>
        <w:rPr>
          <w:sz w:val="20"/>
        </w:rPr>
        <w:t>interfering</w:t>
      </w:r>
      <w:r>
        <w:rPr>
          <w:spacing w:val="-7"/>
          <w:sz w:val="20"/>
        </w:rPr>
        <w:t> </w:t>
      </w:r>
      <w:r>
        <w:rPr>
          <w:sz w:val="20"/>
        </w:rPr>
        <w:t>cars</w:t>
      </w:r>
      <w:r>
        <w:rPr>
          <w:spacing w:val="-5"/>
          <w:sz w:val="20"/>
        </w:rPr>
        <w:t> </w:t>
      </w:r>
      <w:r>
        <w:rPr>
          <w:sz w:val="20"/>
        </w:rPr>
        <w:t>are</w:t>
      </w:r>
      <w:r>
        <w:rPr>
          <w:spacing w:val="-4"/>
          <w:sz w:val="20"/>
        </w:rPr>
        <w:t> </w:t>
      </w:r>
      <w:r>
        <w:rPr>
          <w:sz w:val="20"/>
        </w:rPr>
        <w:t>also</w:t>
      </w:r>
      <w:r>
        <w:rPr>
          <w:spacing w:val="-7"/>
          <w:sz w:val="20"/>
        </w:rPr>
        <w:t> </w:t>
      </w:r>
      <w:r>
        <w:rPr>
          <w:sz w:val="20"/>
        </w:rPr>
        <w:t>stationary</w:t>
      </w:r>
      <w:r>
        <w:rPr>
          <w:spacing w:val="-8"/>
          <w:sz w:val="20"/>
        </w:rPr>
        <w:t> </w:t>
      </w:r>
      <w:r>
        <w:rPr>
          <w:sz w:val="20"/>
        </w:rPr>
        <w:t>in</w:t>
      </w:r>
      <w:r>
        <w:rPr>
          <w:spacing w:val="-7"/>
          <w:sz w:val="20"/>
        </w:rPr>
        <w:t> </w:t>
      </w:r>
      <w:r>
        <w:rPr>
          <w:sz w:val="20"/>
        </w:rPr>
        <w:t>columns</w:t>
      </w:r>
      <w:r>
        <w:rPr>
          <w:spacing w:val="-6"/>
          <w:sz w:val="20"/>
        </w:rPr>
        <w:t> </w:t>
      </w:r>
      <w:r>
        <w:rPr>
          <w:sz w:val="20"/>
        </w:rPr>
        <w:t>that</w:t>
      </w:r>
      <w:r>
        <w:rPr>
          <w:spacing w:val="-7"/>
          <w:sz w:val="20"/>
        </w:rPr>
        <w:t> </w:t>
      </w:r>
      <w:r>
        <w:rPr>
          <w:sz w:val="20"/>
        </w:rPr>
        <w:t>are</w:t>
      </w:r>
      <w:r>
        <w:rPr>
          <w:spacing w:val="-6"/>
          <w:sz w:val="20"/>
        </w:rPr>
        <w:t> </w:t>
      </w:r>
      <w:r>
        <w:rPr>
          <w:sz w:val="20"/>
        </w:rPr>
        <w:t>spaced</w:t>
      </w:r>
      <w:r>
        <w:rPr>
          <w:spacing w:val="-5"/>
          <w:sz w:val="20"/>
        </w:rPr>
        <w:t> </w:t>
      </w:r>
      <w:r>
        <w:rPr>
          <w:sz w:val="20"/>
        </w:rPr>
        <w:t>12.5</w:t>
      </w:r>
      <w:r>
        <w:rPr>
          <w:spacing w:val="-7"/>
          <w:sz w:val="20"/>
        </w:rPr>
        <w:t> </w:t>
      </w:r>
      <w:r>
        <w:rPr>
          <w:sz w:val="20"/>
        </w:rPr>
        <w:t>meters</w:t>
      </w:r>
      <w:r>
        <w:rPr>
          <w:spacing w:val="-5"/>
          <w:sz w:val="20"/>
        </w:rPr>
        <w:t> </w:t>
      </w:r>
      <w:r>
        <w:rPr>
          <w:sz w:val="20"/>
        </w:rPr>
        <w:t>from</w:t>
      </w:r>
      <w:r>
        <w:rPr>
          <w:spacing w:val="-2"/>
          <w:sz w:val="20"/>
        </w:rPr>
        <w:t> </w:t>
      </w:r>
      <w:r>
        <w:rPr>
          <w:sz w:val="20"/>
        </w:rPr>
        <w:t>each</w:t>
      </w:r>
      <w:r>
        <w:rPr>
          <w:spacing w:val="-7"/>
          <w:sz w:val="20"/>
        </w:rPr>
        <w:t> </w:t>
      </w:r>
      <w:r>
        <w:rPr>
          <w:sz w:val="20"/>
        </w:rPr>
        <w:t>other. Within a column, 10 cars are spaced by the lane width of 3.6 meters on each of the upper and the lower sides of the carpool</w:t>
      </w:r>
      <w:r>
        <w:rPr>
          <w:spacing w:val="-11"/>
          <w:sz w:val="20"/>
        </w:rPr>
        <w:t> </w:t>
      </w:r>
      <w:r>
        <w:rPr>
          <w:sz w:val="20"/>
        </w:rPr>
        <w:t>lanes.</w:t>
      </w:r>
    </w:p>
    <w:p>
      <w:pPr>
        <w:pStyle w:val="BodyText"/>
        <w:spacing w:before="6"/>
        <w:rPr>
          <w:sz w:val="18"/>
        </w:rPr>
      </w:pPr>
      <w:r>
        <w:rPr/>
        <w:pict>
          <v:group style="position:absolute;margin-left:57.392281pt;margin-top:12.638601pt;width:303.1pt;height:271.6pt;mso-position-horizontal-relative:page;mso-position-vertical-relative:paragraph;z-index:6880;mso-wrap-distance-left:0;mso-wrap-distance-right:0" coordorigin="1148,253" coordsize="6062,5432">
            <v:shape style="position:absolute;left:1373;top:268;width:5519;height:5415" coordorigin="1373,268" coordsize="5519,5415" path="m4132,268l4055,269,3978,272,3902,277,3826,284,3751,293,3677,304,3603,317,3530,332,3458,349,3387,368,3316,388,3246,410,3177,434,3109,460,3041,488,2975,517,2909,547,2845,580,2781,614,2719,649,2657,687,2597,725,2538,765,2479,807,2422,850,2367,894,2312,940,2259,988,2207,1036,2156,1086,2106,1137,2058,1189,2012,1243,1966,1298,1922,1354,1880,1411,1839,1469,1800,1528,1762,1588,1726,1650,1691,1712,1658,1775,1627,1840,1597,1905,1569,1971,1543,2038,1518,2106,1496,2174,1475,2244,1456,2314,1439,2385,1424,2457,1410,2529,1399,2602,1390,2675,1382,2749,1377,2824,1374,2899,1373,2975,1374,3051,1377,3126,1382,3201,1390,3275,1399,3349,1410,3422,1424,3494,1439,3566,1456,3636,1475,3707,1496,3776,1518,3845,1543,3912,1569,3979,1597,4046,1627,4111,1658,4175,1691,4238,1726,4301,1762,4362,1800,4422,1839,4482,1880,4540,1922,4597,1966,4653,2012,4708,2058,4761,2106,4814,2156,4865,2207,4914,2259,4963,2312,5010,2367,5056,2422,5100,2479,5143,2538,5185,2597,5225,2657,5264,2719,5301,2781,5337,2845,5371,2909,5403,2975,5434,3041,5463,3109,5490,3177,5516,3246,5540,3316,5562,3387,5583,3458,5601,3531,5618,3603,5633,3677,5646,3751,5657,3826,5666,3902,5673,3978,5679,4055,5682,4132,5683,4209,5682,4286,5679,4362,5673,4438,5666,4513,5657,4587,5646,4661,5633,4734,5618,4806,5601,4877,5583,4948,5562,5018,5540,5087,5516,5155,5490,5223,5463,5289,5434,5355,5403,5419,5371,5483,5337,5545,5301,5607,5264,5667,5225,5727,5185,5785,5143,5842,5100,5897,5056,5952,5010,6005,4963,6057,4914,6108,4865,6158,4814,6206,4761,6252,4708,6298,4653,6342,4597,6384,4540,6425,4482,6464,4422,6502,4362,6538,4301,6573,4238,6606,4175,6637,4111,6667,4046,6695,3979,6721,3912,6746,3845,6768,3776,6789,3707,6808,3636,6825,3566,6841,3494,6854,3422,6865,3349,6874,3275,6882,3201,6887,3126,6890,3051,6891,2975,6890,2899,6887,2824,6882,2749,6874,2675,6865,2602,6854,2529,6841,2457,6825,2385,6808,2314,6789,2244,6768,2174,6746,2106,6721,2038,6695,1971,6667,1905,6637,1840,6606,1775,6573,1712,6538,1650,6502,1588,6464,1528,6425,1469,6384,1411,6342,1354,6298,1298,6252,1243,6206,1189,6158,1137,6108,1086,6057,1036,6005,988,5952,940,5897,894,5842,850,5785,807,5727,765,5667,725,5607,687,5545,649,5483,614,5419,580,5355,547,5289,517,5223,488,5155,460,5087,434,5018,410,4948,388,4877,368,4806,349,4734,332,4661,317,4587,304,4513,293,4438,284,4362,277,4286,272,4209,269,4132,268xe" filled="true" fillcolor="#cdcdcd" stroked="false">
              <v:path arrowok="t"/>
              <v:fill opacity="32639f" type="solid"/>
            </v:shape>
            <v:shape style="position:absolute;left:1373;top:1528;width:2760;height:4155" coordorigin="1373,1528" coordsize="2760,4155" path="m1800,1528l1762,1588,1726,1650,1691,1712,1658,1775,1627,1840,1597,1905,1569,1971,1543,2038,1518,2106,1496,2174,1475,2244,1456,2314,1439,2385,1424,2457,1410,2529,1399,2602,1390,2675,1382,2749,1377,2824,1374,2899,1373,2975,1374,3051,1377,3126,1382,3201,1390,3275,1399,3349,1410,3422,1424,3494,1439,3566,1456,3636,1475,3707,1496,3776,1518,3845,1543,3912,1569,3979,1597,4046,1627,4111,1658,4175,1691,4238,1726,4301,1762,4362,1800,4422,1839,4482,1880,4540,1922,4597,1966,4653,2012,4708,2058,4761,2106,4814,2156,4865,2207,4914,2259,4963,2312,5010,2367,5056,2422,5100,2479,5143,2538,5185,2597,5225,2657,5264,2719,5301,2781,5337,2845,5371,2909,5403,2975,5434,3041,5463,3109,5490,3177,5516,3246,5540,3316,5562,3387,5583,3458,5601,3530,5618,3603,5633,3677,5646,3751,5657,3826,5666,3902,5673,3978,5679,4055,5682,4132,5683e" filled="false" stroked="true" strokeweight=".104644pt" strokecolor="#cdcdcd">
              <v:path arrowok="t"/>
              <v:stroke dashstyle="solid"/>
            </v:shape>
            <v:shape style="position:absolute;left:4132;top:5056;width:1766;height:627" coordorigin="4132,5056" coordsize="1766,627" path="m4132,5683l4209,5682,4286,5679,4362,5673,4438,5666,4513,5657,4587,5646,4661,5633,4734,5618,4806,5601,4877,5583,4948,5562,5018,5540,5087,5516,5155,5490,5223,5463,5289,5434,5355,5403,5419,5371,5483,5337,5545,5301,5607,5264,5667,5225,5727,5185,5785,5143,5842,5100,5897,5056e" filled="false" stroked="true" strokeweight=".115433pt" strokecolor="#cdcdcd">
              <v:path arrowok="t"/>
              <v:stroke dashstyle="solid"/>
            </v:shape>
            <v:shape style="position:absolute;left:1362;top:254;width:5518;height:5415" type="#_x0000_t75" stroked="false">
              <v:imagedata r:id="rId294" o:title=""/>
            </v:shape>
            <v:shape style="position:absolute;left:1362;top:254;width:5519;height:5415" coordorigin="1362,254" coordsize="5519,5415" path="m6880,2962l6879,2886,6875,2811,6870,2736,6863,2662,6854,2588,6842,2515,6829,2443,6814,2371,6797,2300,6778,2230,6757,2161,6734,2092,6710,2024,6684,1958,6656,1891,6626,1826,6595,1762,6562,1699,6527,1636,6491,1575,6453,1515,6414,1455,6373,1397,6330,1340,6286,1284,6241,1229,6194,1176,6146,1123,6097,1072,6046,1022,5994,974,5941,927,5886,881,5830,836,5773,793,5715,752,5656,712,5595,673,5534,636,5471,600,5408,566,5343,534,5278,503,5211,474,5144,447,5076,421,5007,397,4937,375,4866,354,4794,336,4722,319,4649,304,4576,291,4501,280,4426,271,4351,264,4275,258,4198,255,4121,254,4043,255,3967,258,3891,264,3815,271,3740,280,3666,291,3592,304,3519,319,3447,336,3375,354,3305,375,3235,397,3166,421,3097,447,3030,474,2964,503,2898,534,2833,566,2770,600,2707,636,2646,673,2586,712,2526,752,2468,793,2411,836,2355,881,2301,927,2247,974,2195,1022,2145,1072,2095,1123,2047,1176,2000,1229,1955,1284,1911,1340,1869,1397,1828,1455,1788,1515,1751,1575,1714,1636,1680,1699,1647,1762,1615,1826,1586,1891,1558,1958,1531,2024,1507,2092,1484,2161,1463,2230,1444,2300,1427,2371,1412,2443,1399,2515,1388,2588,1378,2662,1371,2736,1366,2811,1363,2886,1362,2962,1363,3038,1366,3113,1371,3188,1378,3262,1388,3335,1399,3408,1412,3480,1427,3552,1444,3623,1463,3693,1484,3763,1507,3831,1531,3899,1558,3966,1586,4032,1615,4097,1647,4162,1680,4225,1714,4287,1751,4349,1788,4409,1828,4468,1869,4526,1911,4583,1955,4639,2000,4694,2047,4748,2095,4800,2145,4851,2195,4901,2247,4949,2301,4997,2355,5042,2411,5087,2468,5130,2526,5172,2586,5212,2646,5250,2707,5287,2770,5323,2833,5357,2898,5389,2964,5420,3030,5449,3097,5477,3166,5503,3235,5527,3305,5549,3375,5569,3447,5588,3519,5605,3592,5620,3666,5633,3740,5644,3815,5653,3891,5660,3967,5665,4043,5668,4121,5669,4198,5668,4275,5665,4351,5660,4426,5653,4501,5644,4576,5633,4649,5620,4722,5605,4794,5588,4866,5569,4937,5549,5007,5527,5076,5503,5144,5477,5211,5449,5278,5420,5343,5389,5408,5357,5471,5323,5534,5287,5595,5250,5656,5212,5715,5172,5773,5130,5830,5087,5886,5042,5941,4997,5994,4949,6046,4901,6097,4851,6146,4800,6194,4748,6241,4694,6286,4639,6330,4583,6373,4526,6414,4468,6453,4409,6491,4349,6527,4287,6562,4225,6595,4162,6626,4097,6656,4032,6684,3966,6710,3899,6734,3831,6757,3763,6778,3693,6797,3623,6814,3552,6829,3480,6842,3408,6854,3335,6863,3262,6870,3188,6875,3113,6879,3038,6880,2962xe" filled="false" stroked="true" strokeweight=".108414pt" strokecolor="#404040">
              <v:path arrowok="t"/>
              <v:stroke dashstyle="solid"/>
            </v:shape>
            <v:shape style="position:absolute;left:2584;top:1109;width:2914;height:3690" type="#_x0000_t75" stroked="false">
              <v:imagedata r:id="rId295" o:title=""/>
            </v:shape>
            <v:shape style="position:absolute;left:2584;top:1109;width:2915;height:3691" coordorigin="2584,1109" coordsize="2915,3691" path="m5499,2954l5497,2870,5493,2786,5486,2704,5475,2622,5462,2542,5447,2464,5429,2386,5408,2310,5384,2236,5359,2163,5330,2092,5300,2023,5267,1955,5232,1890,5195,1827,5156,1765,5115,1706,5072,1649,5027,1595,4981,1543,4932,1493,4882,1447,4830,1402,4777,1361,4722,1322,4666,1287,4609,1254,4550,1224,4490,1198,4429,1175,4367,1155,4304,1139,4239,1126,4174,1117,4108,1111,4042,1109,3975,1111,3909,1117,3844,1126,3780,1139,3716,1155,3654,1175,3593,1198,3533,1224,3474,1254,3417,1287,3361,1322,3306,1361,3253,1402,3201,1447,3151,1493,3103,1543,3056,1595,3011,1649,2968,1706,2927,1765,2888,1827,2851,1890,2816,1955,2783,2023,2753,2092,2725,2163,2699,2236,2676,2310,2655,2386,2636,2464,2621,2542,2608,2622,2598,2704,2590,2786,2586,2870,2584,2954,2586,3039,2590,3122,2598,3205,2608,3286,2621,3366,2636,3445,2655,3522,2676,3598,2699,3672,2725,3745,2753,3816,2783,3885,2816,3953,2851,4018,2888,4082,2927,4143,2968,4202,3011,4259,3056,4313,3103,4365,3151,4415,3201,4462,3253,4506,3306,4547,3361,4586,3417,4622,3474,4654,3533,4684,3593,4710,3654,4733,3716,4753,3780,4770,3844,4783,3909,4792,3975,4797,4042,4799,4108,4797,4174,4792,4239,4783,4304,4770,4367,4753,4429,4733,4490,4710,4550,4684,4609,4654,4666,4622,4722,4586,4777,4547,4830,4506,4882,4462,4932,4415,4981,4365,5027,4313,5072,4259,5115,4202,5156,4143,5195,4082,5232,4018,5267,3953,5300,3885,5330,3816,5359,3745,5384,3672,5408,3598,5429,3522,5447,3445,5462,3366,5475,3286,5486,3205,5493,3122,5497,3039,5499,2954xe" filled="false" stroked="true" strokeweight=".106091pt" strokecolor="#cdcdcd">
              <v:path arrowok="t"/>
              <v:stroke dashstyle="solid"/>
            </v:shape>
            <v:shape style="position:absolute;left:2573;top:1095;width:2914;height:3690" type="#_x0000_t75" stroked="false">
              <v:imagedata r:id="rId296" o:title=""/>
            </v:shape>
            <v:shape style="position:absolute;left:2573;top:1095;width:2915;height:3691" coordorigin="2573,1095" coordsize="2915,3691" path="m5487,2941l5486,2856,5482,2773,5474,2690,5464,2609,5451,2529,5435,2450,5417,2373,5396,2297,5373,2222,5347,2150,5319,2079,5289,2009,5256,1942,5221,1876,5184,1813,5145,1752,5104,1693,5061,1636,5016,1581,4969,1529,4921,1480,4871,1433,4819,1389,4766,1347,4711,1309,4655,1273,4597,1240,4539,1211,4479,1184,4418,1161,4355,1142,4292,1125,4228,1112,4163,1103,4097,1097,4030,1095,3964,1097,3898,1103,3833,1112,3768,1125,3705,1142,3643,1161,3582,1184,3522,1211,3463,1240,3406,1273,3349,1309,3295,1347,3242,1389,3190,1433,3140,1480,3091,1529,3045,1581,3000,1636,2957,1693,2916,1752,2877,1813,2840,1876,2805,1942,2772,2009,2742,2079,2713,2150,2688,2222,2664,2297,2643,2373,2625,2450,2609,2529,2597,2609,2586,2690,2579,2773,2575,2856,2573,2941,2575,3025,2579,3109,2586,3191,2597,3272,2609,3352,2625,3431,2643,3509,2664,3584,2688,3659,2713,3732,2742,3803,2772,3872,2805,3939,2840,4005,2877,4068,2916,4129,2957,4189,3000,4245,3045,4300,3091,4352,3140,4401,3190,4448,3242,4492,3295,4534,3349,4573,3406,4608,3463,4641,3522,4670,3582,4697,3643,4720,3705,4740,3768,4756,3833,4769,3898,4778,3964,4784,4030,4786,4097,4784,4163,4778,4228,4769,4292,4756,4355,4740,4418,4720,4479,4697,4539,4670,4597,4641,4655,4608,4711,4573,4766,4534,4819,4492,4871,4448,4921,4401,4969,4352,5016,4300,5061,4245,5104,4189,5145,4129,5184,4068,5221,4005,5256,3939,5289,3872,5319,3803,5347,3732,5373,3659,5396,3584,5417,3509,5435,3431,5451,3352,5464,3272,5474,3191,5482,3109,5486,3025,5487,2941xe" filled="false" stroked="true" strokeweight=".106091pt" strokecolor="#404040">
              <v:path arrowok="t"/>
              <v:stroke dashstyle="solid"/>
            </v:shape>
            <v:rect style="position:absolute;left:1175;top:2554;width:5986;height:592" filled="true" fillcolor="#cdcdcd" stroked="false">
              <v:fill opacity="32639f" type="solid"/>
            </v:rect>
            <v:line style="position:absolute" from="1175,3145" to="1175,3147" stroked="true" strokeweight=".000004pt" strokecolor="#cdcdcd">
              <v:stroke dashstyle="solid"/>
            </v:line>
            <v:shape style="position:absolute;left:1175;top:2554;width:5986;height:593" coordorigin="1175,2554" coordsize="5986,593" path="m7160,2554l1175,2554,1175,3146e" filled="false" stroked="true" strokeweight=".117328pt" strokecolor="#cdcdcd">
              <v:path arrowok="t"/>
              <v:stroke dashstyle="solid"/>
            </v:shape>
            <v:shape style="position:absolute;left:1169;top:2540;width:5980;height:592" type="#_x0000_t75" stroked="false">
              <v:imagedata r:id="rId297" o:title=""/>
            </v:shape>
            <v:rect style="position:absolute;left:1169;top:2540;width:5980;height:592" filled="false" stroked="true" strokeweight=".117327pt" strokecolor="#404040">
              <v:stroke dashstyle="solid"/>
            </v:rect>
            <v:line style="position:absolute" from="1175,2617" to="7160,2617" stroked="true" strokeweight=".117508pt" strokecolor="#cdcdcd">
              <v:stroke dashstyle="solid"/>
            </v:line>
            <v:line style="position:absolute" from="1169,2603" to="7148,2603" stroked="true" strokeweight=".117508pt" strokecolor="#7e7e7e">
              <v:stroke dashstyle="solid"/>
            </v:line>
            <v:line style="position:absolute" from="1175,3090" to="7160,3090" stroked="true" strokeweight=".117508pt" strokecolor="#cdcdcd">
              <v:stroke dashstyle="solid"/>
            </v:line>
            <v:line style="position:absolute" from="1169,3076" to="7148,3076" stroked="true" strokeweight=".117508pt" strokecolor="#7e7e7e">
              <v:stroke dashstyle="solid"/>
            </v:line>
            <v:line style="position:absolute" from="6673,2871" to="7160,2871" stroked="true" strokeweight=".705045pt" strokecolor="#cdcdcd">
              <v:stroke dashstyle="longdash"/>
            </v:line>
            <v:line style="position:absolute" from="5426,2871" to="5818,2871" stroked="true" strokeweight=".705045pt" strokecolor="#cdcdcd">
              <v:stroke dashstyle="longdash"/>
            </v:line>
            <v:line style="position:absolute" from="1175,2871" to="4571,2871" stroked="true" strokeweight=".705045pt" strokecolor="#cdcdcd">
              <v:stroke dashstyle="longdash"/>
            </v:line>
            <v:line style="position:absolute" from="6673,2857" to="7148,2857" stroked="true" strokeweight=".705045pt" strokecolor="#ffffff">
              <v:stroke dashstyle="longdash"/>
            </v:line>
            <v:line style="position:absolute" from="5426,2857" to="5818,2857" stroked="true" strokeweight=".705045pt" strokecolor="#ffffff">
              <v:stroke dashstyle="longdash"/>
            </v:line>
            <v:line style="position:absolute" from="1169,2857" to="4571,2857" stroked="true" strokeweight=".705045pt" strokecolor="#ffffff">
              <v:stroke dashstyle="longdash"/>
            </v:line>
            <v:shape style="position:absolute;left:2582;top:1546;width:205;height:123" type="#_x0000_t75" stroked="false">
              <v:imagedata r:id="rId298" o:title=""/>
            </v:shape>
            <v:shape style="position:absolute;left:2582;top:1379;width:205;height:123" type="#_x0000_t75" stroked="false">
              <v:imagedata r:id="rId298" o:title=""/>
            </v:shape>
            <v:shape style="position:absolute;left:2582;top:1212;width:205;height:123" type="#_x0000_t75" stroked="false">
              <v:imagedata r:id="rId298" o:title=""/>
            </v:shape>
            <v:shape style="position:absolute;left:2582;top:1044;width:205;height:123" type="#_x0000_t75" stroked="false">
              <v:imagedata r:id="rId298" o:title=""/>
            </v:shape>
            <v:shape style="position:absolute;left:2582;top:877;width:205;height:123" type="#_x0000_t75" stroked="false">
              <v:imagedata r:id="rId298" o:title=""/>
            </v:shape>
            <v:shape style="position:absolute;left:2582;top:2394;width:205;height:123" type="#_x0000_t75" stroked="false">
              <v:imagedata r:id="rId298" o:title=""/>
            </v:shape>
            <v:shape style="position:absolute;left:2582;top:2227;width:205;height:123" type="#_x0000_t75" stroked="false">
              <v:imagedata r:id="rId298" o:title=""/>
            </v:shape>
            <v:shape style="position:absolute;left:2582;top:2059;width:205;height:123" type="#_x0000_t75" stroked="false">
              <v:imagedata r:id="rId298" o:title=""/>
            </v:shape>
            <v:shape style="position:absolute;left:2582;top:1892;width:205;height:123" type="#_x0000_t75" stroked="false">
              <v:imagedata r:id="rId298" o:title=""/>
            </v:shape>
            <v:shape style="position:absolute;left:2582;top:1724;width:205;height:123" type="#_x0000_t75" stroked="false">
              <v:imagedata r:id="rId298" o:title=""/>
            </v:shape>
            <v:shape style="position:absolute;left:2613;top:3890;width:205;height:123" type="#_x0000_t75" stroked="false">
              <v:imagedata r:id="rId298" o:title=""/>
            </v:shape>
            <v:shape style="position:absolute;left:2613;top:3722;width:205;height:123" type="#_x0000_t75" stroked="false">
              <v:imagedata r:id="rId298" o:title=""/>
            </v:shape>
            <v:shape style="position:absolute;left:2613;top:3555;width:205;height:123" type="#_x0000_t75" stroked="false">
              <v:imagedata r:id="rId298" o:title=""/>
            </v:shape>
            <v:shape style="position:absolute;left:2613;top:3387;width:205;height:123" type="#_x0000_t75" stroked="false">
              <v:imagedata r:id="rId298" o:title=""/>
            </v:shape>
            <v:shape style="position:absolute;left:2613;top:3220;width:205;height:123" type="#_x0000_t75" stroked="false">
              <v:imagedata r:id="rId298" o:title=""/>
            </v:shape>
            <v:shape style="position:absolute;left:2613;top:4738;width:205;height:123" type="#_x0000_t75" stroked="false">
              <v:imagedata r:id="rId298" o:title=""/>
            </v:shape>
            <v:shape style="position:absolute;left:2613;top:4570;width:205;height:123" type="#_x0000_t75" stroked="false">
              <v:imagedata r:id="rId298" o:title=""/>
            </v:shape>
            <v:shape style="position:absolute;left:2613;top:4403;width:205;height:123" type="#_x0000_t75" stroked="false">
              <v:imagedata r:id="rId298" o:title=""/>
            </v:shape>
            <v:shape style="position:absolute;left:2613;top:4235;width:205;height:123" type="#_x0000_t75" stroked="false">
              <v:imagedata r:id="rId298" o:title=""/>
            </v:shape>
            <v:shape style="position:absolute;left:2613;top:4068;width:205;height:123" type="#_x0000_t75" stroked="false">
              <v:imagedata r:id="rId298" o:title=""/>
            </v:shape>
            <v:shape style="position:absolute;left:2883;top:1534;width:205;height:123" type="#_x0000_t75" stroked="false">
              <v:imagedata r:id="rId298" o:title=""/>
            </v:shape>
            <v:shape style="position:absolute;left:2883;top:1366;width:205;height:123" type="#_x0000_t75" stroked="false">
              <v:imagedata r:id="rId298" o:title=""/>
            </v:shape>
            <v:shape style="position:absolute;left:2883;top:1199;width:205;height:123" type="#_x0000_t75" stroked="false">
              <v:imagedata r:id="rId298" o:title=""/>
            </v:shape>
            <v:shape style="position:absolute;left:2883;top:1031;width:205;height:123" type="#_x0000_t75" stroked="false">
              <v:imagedata r:id="rId298" o:title=""/>
            </v:shape>
            <v:shape style="position:absolute;left:2883;top:864;width:205;height:123" type="#_x0000_t75" stroked="false">
              <v:imagedata r:id="rId298" o:title=""/>
            </v:shape>
            <v:shape style="position:absolute;left:2883;top:2381;width:205;height:123" type="#_x0000_t75" stroked="false">
              <v:imagedata r:id="rId298" o:title=""/>
            </v:shape>
            <v:shape style="position:absolute;left:2883;top:2214;width:205;height:123" type="#_x0000_t75" stroked="false">
              <v:imagedata r:id="rId298" o:title=""/>
            </v:shape>
            <v:shape style="position:absolute;left:2883;top:2047;width:205;height:123" type="#_x0000_t75" stroked="false">
              <v:imagedata r:id="rId298" o:title=""/>
            </v:shape>
            <v:shape style="position:absolute;left:2883;top:1879;width:205;height:123" type="#_x0000_t75" stroked="false">
              <v:imagedata r:id="rId298" o:title=""/>
            </v:shape>
            <v:shape style="position:absolute;left:2883;top:1712;width:205;height:123" type="#_x0000_t75" stroked="false">
              <v:imagedata r:id="rId298" o:title=""/>
            </v:shape>
            <v:shape style="position:absolute;left:2914;top:3877;width:205;height:123" type="#_x0000_t75" stroked="false">
              <v:imagedata r:id="rId298" o:title=""/>
            </v:shape>
            <v:shape style="position:absolute;left:2914;top:3710;width:205;height:123" type="#_x0000_t75" stroked="false">
              <v:imagedata r:id="rId298" o:title=""/>
            </v:shape>
            <v:shape style="position:absolute;left:2914;top:3542;width:205;height:123" type="#_x0000_t75" stroked="false">
              <v:imagedata r:id="rId298" o:title=""/>
            </v:shape>
            <v:shape style="position:absolute;left:2914;top:3375;width:205;height:123" type="#_x0000_t75" stroked="false">
              <v:imagedata r:id="rId298" o:title=""/>
            </v:shape>
            <v:shape style="position:absolute;left:2914;top:3207;width:205;height:123" type="#_x0000_t75" stroked="false">
              <v:imagedata r:id="rId298" o:title=""/>
            </v:shape>
            <v:shape style="position:absolute;left:2914;top:4725;width:205;height:123" type="#_x0000_t75" stroked="false">
              <v:imagedata r:id="rId298" o:title=""/>
            </v:shape>
            <v:shape style="position:absolute;left:2914;top:4557;width:205;height:123" type="#_x0000_t75" stroked="false">
              <v:imagedata r:id="rId298" o:title=""/>
            </v:shape>
            <v:shape style="position:absolute;left:2914;top:4390;width:205;height:123" type="#_x0000_t75" stroked="false">
              <v:imagedata r:id="rId298" o:title=""/>
            </v:shape>
            <v:shape style="position:absolute;left:2914;top:4223;width:205;height:123" type="#_x0000_t75" stroked="false">
              <v:imagedata r:id="rId298" o:title=""/>
            </v:shape>
            <v:shape style="position:absolute;left:2914;top:4055;width:205;height:123" type="#_x0000_t75" stroked="false">
              <v:imagedata r:id="rId298" o:title=""/>
            </v:shape>
            <v:shape style="position:absolute;left:3177;top:1540;width:205;height:123" type="#_x0000_t75" stroked="false">
              <v:imagedata r:id="rId298" o:title=""/>
            </v:shape>
            <v:shape style="position:absolute;left:3177;top:1373;width:205;height:123" type="#_x0000_t75" stroked="false">
              <v:imagedata r:id="rId298" o:title=""/>
            </v:shape>
            <v:shape style="position:absolute;left:3177;top:1205;width:205;height:123" type="#_x0000_t75" stroked="false">
              <v:imagedata r:id="rId298" o:title=""/>
            </v:shape>
            <v:shape style="position:absolute;left:3177;top:1038;width:205;height:123" type="#_x0000_t75" stroked="false">
              <v:imagedata r:id="rId298" o:title=""/>
            </v:shape>
            <v:shape style="position:absolute;left:3177;top:870;width:205;height:123" type="#_x0000_t75" stroked="false">
              <v:imagedata r:id="rId298" o:title=""/>
            </v:shape>
            <v:shape style="position:absolute;left:3177;top:2388;width:205;height:123" type="#_x0000_t75" stroked="false">
              <v:imagedata r:id="rId298" o:title=""/>
            </v:shape>
            <v:shape style="position:absolute;left:3177;top:2220;width:205;height:123" type="#_x0000_t75" stroked="false">
              <v:imagedata r:id="rId298" o:title=""/>
            </v:shape>
            <v:shape style="position:absolute;left:3177;top:2053;width:205;height:123" type="#_x0000_t75" stroked="false">
              <v:imagedata r:id="rId298" o:title=""/>
            </v:shape>
            <v:shape style="position:absolute;left:3177;top:1886;width:205;height:123" type="#_x0000_t75" stroked="false">
              <v:imagedata r:id="rId298" o:title=""/>
            </v:shape>
            <v:shape style="position:absolute;left:3177;top:1718;width:205;height:123" type="#_x0000_t75" stroked="false">
              <v:imagedata r:id="rId298" o:title=""/>
            </v:shape>
            <v:shape style="position:absolute;left:3208;top:3883;width:205;height:123" type="#_x0000_t75" stroked="false">
              <v:imagedata r:id="rId298" o:title=""/>
            </v:shape>
            <v:shape style="position:absolute;left:3208;top:3716;width:205;height:123" type="#_x0000_t75" stroked="false">
              <v:imagedata r:id="rId298" o:title=""/>
            </v:shape>
            <v:shape style="position:absolute;left:3208;top:3548;width:205;height:123" type="#_x0000_t75" stroked="false">
              <v:imagedata r:id="rId298" o:title=""/>
            </v:shape>
            <v:shape style="position:absolute;left:3208;top:3381;width:205;height:123" type="#_x0000_t75" stroked="false">
              <v:imagedata r:id="rId298" o:title=""/>
            </v:shape>
            <v:shape style="position:absolute;left:3208;top:3214;width:205;height:123" type="#_x0000_t75" stroked="false">
              <v:imagedata r:id="rId298" o:title=""/>
            </v:shape>
            <v:shape style="position:absolute;left:3208;top:4731;width:205;height:123" type="#_x0000_t75" stroked="false">
              <v:imagedata r:id="rId298" o:title=""/>
            </v:shape>
            <v:shape style="position:absolute;left:3208;top:4564;width:205;height:123" type="#_x0000_t75" stroked="false">
              <v:imagedata r:id="rId298" o:title=""/>
            </v:shape>
            <v:shape style="position:absolute;left:3208;top:4396;width:205;height:123" type="#_x0000_t75" stroked="false">
              <v:imagedata r:id="rId298" o:title=""/>
            </v:shape>
            <v:shape style="position:absolute;left:3208;top:4229;width:205;height:123" type="#_x0000_t75" stroked="false">
              <v:imagedata r:id="rId298" o:title=""/>
            </v:shape>
            <v:shape style="position:absolute;left:3208;top:4061;width:205;height:123" type="#_x0000_t75" stroked="false">
              <v:imagedata r:id="rId298" o:title=""/>
            </v:shape>
            <v:shape style="position:absolute;left:3477;top:1527;width:205;height:123" type="#_x0000_t75" stroked="false">
              <v:imagedata r:id="rId298" o:title=""/>
            </v:shape>
            <v:shape style="position:absolute;left:3477;top:1360;width:205;height:123" type="#_x0000_t75" stroked="false">
              <v:imagedata r:id="rId298" o:title=""/>
            </v:shape>
            <v:shape style="position:absolute;left:3477;top:1192;width:205;height:123" type="#_x0000_t75" stroked="false">
              <v:imagedata r:id="rId298" o:title=""/>
            </v:shape>
            <v:shape style="position:absolute;left:3477;top:1025;width:205;height:123" type="#_x0000_t75" stroked="false">
              <v:imagedata r:id="rId298" o:title=""/>
            </v:shape>
            <v:shape style="position:absolute;left:3477;top:857;width:205;height:123" type="#_x0000_t75" stroked="false">
              <v:imagedata r:id="rId298" o:title=""/>
            </v:shape>
            <v:shape style="position:absolute;left:3477;top:2375;width:205;height:123" type="#_x0000_t75" stroked="false">
              <v:imagedata r:id="rId298" o:title=""/>
            </v:shape>
            <v:shape style="position:absolute;left:3477;top:2208;width:205;height:123" type="#_x0000_t75" stroked="false">
              <v:imagedata r:id="rId298" o:title=""/>
            </v:shape>
            <v:shape style="position:absolute;left:3477;top:2040;width:205;height:123" type="#_x0000_t75" stroked="false">
              <v:imagedata r:id="rId298" o:title=""/>
            </v:shape>
            <v:shape style="position:absolute;left:3477;top:1873;width:205;height:123" type="#_x0000_t75" stroked="false">
              <v:imagedata r:id="rId298" o:title=""/>
            </v:shape>
            <v:shape style="position:absolute;left:3477;top:1705;width:205;height:123" type="#_x0000_t75" stroked="false">
              <v:imagedata r:id="rId298" o:title=""/>
            </v:shape>
            <v:shape style="position:absolute;left:3508;top:3871;width:205;height:123" type="#_x0000_t75" stroked="false">
              <v:imagedata r:id="rId298" o:title=""/>
            </v:shape>
            <v:shape style="position:absolute;left:3508;top:3703;width:205;height:123" type="#_x0000_t75" stroked="false">
              <v:imagedata r:id="rId298" o:title=""/>
            </v:shape>
            <v:shape style="position:absolute;left:3508;top:3536;width:205;height:123" type="#_x0000_t75" stroked="false">
              <v:imagedata r:id="rId298" o:title=""/>
            </v:shape>
            <v:shape style="position:absolute;left:3508;top:3368;width:205;height:123" type="#_x0000_t75" stroked="false">
              <v:imagedata r:id="rId298" o:title=""/>
            </v:shape>
            <v:shape style="position:absolute;left:3508;top:3201;width:205;height:123" type="#_x0000_t75" stroked="false">
              <v:imagedata r:id="rId298" o:title=""/>
            </v:shape>
            <v:shape style="position:absolute;left:3508;top:4718;width:205;height:123" type="#_x0000_t75" stroked="false">
              <v:imagedata r:id="rId298" o:title=""/>
            </v:shape>
            <v:shape style="position:absolute;left:3508;top:4551;width:205;height:123" type="#_x0000_t75" stroked="false">
              <v:imagedata r:id="rId298" o:title=""/>
            </v:shape>
            <v:shape style="position:absolute;left:3508;top:4384;width:205;height:123" type="#_x0000_t75" stroked="false">
              <v:imagedata r:id="rId298" o:title=""/>
            </v:shape>
            <v:shape style="position:absolute;left:3508;top:4216;width:205;height:123" type="#_x0000_t75" stroked="false">
              <v:imagedata r:id="rId298" o:title=""/>
            </v:shape>
            <v:shape style="position:absolute;left:3508;top:4049;width:205;height:123" type="#_x0000_t75" stroked="false">
              <v:imagedata r:id="rId298" o:title=""/>
            </v:shape>
            <v:shape style="position:absolute;left:3753;top:1536;width:205;height:123" type="#_x0000_t75" stroked="false">
              <v:imagedata r:id="rId298" o:title=""/>
            </v:shape>
            <v:shape style="position:absolute;left:3753;top:1368;width:205;height:123" type="#_x0000_t75" stroked="false">
              <v:imagedata r:id="rId298" o:title=""/>
            </v:shape>
            <v:shape style="position:absolute;left:3753;top:1201;width:205;height:123" type="#_x0000_t75" stroked="false">
              <v:imagedata r:id="rId298" o:title=""/>
            </v:shape>
            <v:shape style="position:absolute;left:3753;top:1033;width:205;height:123" type="#_x0000_t75" stroked="false">
              <v:imagedata r:id="rId298" o:title=""/>
            </v:shape>
            <v:shape style="position:absolute;left:3753;top:866;width:205;height:123" type="#_x0000_t75" stroked="false">
              <v:imagedata r:id="rId298" o:title=""/>
            </v:shape>
            <v:shape style="position:absolute;left:3753;top:2383;width:205;height:123" type="#_x0000_t75" stroked="false">
              <v:imagedata r:id="rId298" o:title=""/>
            </v:shape>
            <v:shape style="position:absolute;left:3753;top:2216;width:205;height:123" type="#_x0000_t75" stroked="false">
              <v:imagedata r:id="rId298" o:title=""/>
            </v:shape>
            <v:shape style="position:absolute;left:3753;top:2049;width:205;height:123" type="#_x0000_t75" stroked="false">
              <v:imagedata r:id="rId298" o:title=""/>
            </v:shape>
            <v:shape style="position:absolute;left:3753;top:1881;width:205;height:123" type="#_x0000_t75" stroked="false">
              <v:imagedata r:id="rId298" o:title=""/>
            </v:shape>
            <v:shape style="position:absolute;left:3753;top:1714;width:205;height:123" type="#_x0000_t75" stroked="false">
              <v:imagedata r:id="rId298" o:title=""/>
            </v:shape>
            <v:shape style="position:absolute;left:3784;top:3879;width:205;height:123" type="#_x0000_t75" stroked="false">
              <v:imagedata r:id="rId298" o:title=""/>
            </v:shape>
            <v:shape style="position:absolute;left:3784;top:3712;width:205;height:123" type="#_x0000_t75" stroked="false">
              <v:imagedata r:id="rId298" o:title=""/>
            </v:shape>
            <v:shape style="position:absolute;left:3784;top:3544;width:205;height:123" type="#_x0000_t75" stroked="false">
              <v:imagedata r:id="rId298" o:title=""/>
            </v:shape>
            <v:shape style="position:absolute;left:3784;top:3377;width:205;height:123" type="#_x0000_t75" stroked="false">
              <v:imagedata r:id="rId298" o:title=""/>
            </v:shape>
            <v:shape style="position:absolute;left:3784;top:3209;width:205;height:123" type="#_x0000_t75" stroked="false">
              <v:imagedata r:id="rId298" o:title=""/>
            </v:shape>
            <v:shape style="position:absolute;left:3784;top:4727;width:205;height:123" type="#_x0000_t75" stroked="false">
              <v:imagedata r:id="rId298" o:title=""/>
            </v:shape>
            <v:shape style="position:absolute;left:3784;top:4559;width:205;height:123" type="#_x0000_t75" stroked="false">
              <v:imagedata r:id="rId298" o:title=""/>
            </v:shape>
            <v:shape style="position:absolute;left:3784;top:4392;width:205;height:123" type="#_x0000_t75" stroked="false">
              <v:imagedata r:id="rId298" o:title=""/>
            </v:shape>
            <v:shape style="position:absolute;left:3784;top:4224;width:205;height:123" type="#_x0000_t75" stroked="false">
              <v:imagedata r:id="rId298" o:title=""/>
            </v:shape>
            <v:shape style="position:absolute;left:3784;top:4057;width:205;height:123" type="#_x0000_t75" stroked="false">
              <v:imagedata r:id="rId298" o:title=""/>
            </v:shape>
            <v:shape style="position:absolute;left:4054;top:1523;width:205;height:123" type="#_x0000_t75" stroked="false">
              <v:imagedata r:id="rId298" o:title=""/>
            </v:shape>
            <v:shape style="position:absolute;left:4054;top:1355;width:205;height:123" type="#_x0000_t75" stroked="false">
              <v:imagedata r:id="rId298" o:title=""/>
            </v:shape>
            <v:shape style="position:absolute;left:4054;top:1188;width:205;height:123" type="#_x0000_t75" stroked="false">
              <v:imagedata r:id="rId298" o:title=""/>
            </v:shape>
            <v:shape style="position:absolute;left:4054;top:1020;width:205;height:123" type="#_x0000_t75" stroked="false">
              <v:imagedata r:id="rId298" o:title=""/>
            </v:shape>
            <v:shape style="position:absolute;left:4054;top:853;width:205;height:123" type="#_x0000_t75" stroked="false">
              <v:imagedata r:id="rId298" o:title=""/>
            </v:shape>
            <v:shape style="position:absolute;left:4054;top:2371;width:205;height:123" type="#_x0000_t75" stroked="false">
              <v:imagedata r:id="rId298" o:title=""/>
            </v:shape>
            <v:shape style="position:absolute;left:4054;top:2203;width:205;height:123" type="#_x0000_t75" stroked="false">
              <v:imagedata r:id="rId298" o:title=""/>
            </v:shape>
            <v:shape style="position:absolute;left:4054;top:2036;width:205;height:123" type="#_x0000_t75" stroked="false">
              <v:imagedata r:id="rId298" o:title=""/>
            </v:shape>
            <v:shape style="position:absolute;left:4054;top:1868;width:205;height:123" type="#_x0000_t75" stroked="false">
              <v:imagedata r:id="rId298" o:title=""/>
            </v:shape>
            <v:shape style="position:absolute;left:4054;top:1701;width:205;height:123" type="#_x0000_t75" stroked="false">
              <v:imagedata r:id="rId298" o:title=""/>
            </v:shape>
            <v:shape style="position:absolute;left:4085;top:3866;width:205;height:123" type="#_x0000_t75" stroked="false">
              <v:imagedata r:id="rId298" o:title=""/>
            </v:shape>
            <v:shape style="position:absolute;left:4085;top:3699;width:205;height:123" type="#_x0000_t75" stroked="false">
              <v:imagedata r:id="rId298" o:title=""/>
            </v:shape>
            <v:shape style="position:absolute;left:4085;top:3531;width:205;height:123" type="#_x0000_t75" stroked="false">
              <v:imagedata r:id="rId298" o:title=""/>
            </v:shape>
            <v:shape style="position:absolute;left:4085;top:3364;width:205;height:123" type="#_x0000_t75" stroked="false">
              <v:imagedata r:id="rId298" o:title=""/>
            </v:shape>
            <v:shape style="position:absolute;left:4085;top:3196;width:205;height:123" type="#_x0000_t75" stroked="false">
              <v:imagedata r:id="rId298" o:title=""/>
            </v:shape>
            <v:shape style="position:absolute;left:4085;top:4714;width:205;height:123" type="#_x0000_t75" stroked="false">
              <v:imagedata r:id="rId298" o:title=""/>
            </v:shape>
            <v:shape style="position:absolute;left:4085;top:4547;width:205;height:123" type="#_x0000_t75" stroked="false">
              <v:imagedata r:id="rId298" o:title=""/>
            </v:shape>
            <v:shape style="position:absolute;left:4085;top:4379;width:205;height:123" type="#_x0000_t75" stroked="false">
              <v:imagedata r:id="rId298" o:title=""/>
            </v:shape>
            <v:shape style="position:absolute;left:4085;top:4212;width:205;height:123" type="#_x0000_t75" stroked="false">
              <v:imagedata r:id="rId298" o:title=""/>
            </v:shape>
            <v:shape style="position:absolute;left:4085;top:4044;width:205;height:123" type="#_x0000_t75" stroked="false">
              <v:imagedata r:id="rId298" o:title=""/>
            </v:shape>
            <v:shape style="position:absolute;left:4348;top:1529;width:205;height:123" type="#_x0000_t75" stroked="false">
              <v:imagedata r:id="rId298" o:title=""/>
            </v:shape>
            <v:shape style="position:absolute;left:4348;top:1362;width:205;height:123" type="#_x0000_t75" stroked="false">
              <v:imagedata r:id="rId298" o:title=""/>
            </v:shape>
            <v:shape style="position:absolute;left:4348;top:1194;width:205;height:123" type="#_x0000_t75" stroked="false">
              <v:imagedata r:id="rId298" o:title=""/>
            </v:shape>
            <v:shape style="position:absolute;left:4348;top:1027;width:205;height:123" type="#_x0000_t75" stroked="false">
              <v:imagedata r:id="rId298" o:title=""/>
            </v:shape>
            <v:shape style="position:absolute;left:4348;top:859;width:205;height:123" type="#_x0000_t75" stroked="false">
              <v:imagedata r:id="rId298" o:title=""/>
            </v:shape>
            <v:shape style="position:absolute;left:4348;top:2377;width:205;height:123" type="#_x0000_t75" stroked="false">
              <v:imagedata r:id="rId298" o:title=""/>
            </v:shape>
            <v:shape style="position:absolute;left:4348;top:2210;width:205;height:123" type="#_x0000_t75" stroked="false">
              <v:imagedata r:id="rId298" o:title=""/>
            </v:shape>
            <v:shape style="position:absolute;left:4348;top:2042;width:205;height:123" type="#_x0000_t75" stroked="false">
              <v:imagedata r:id="rId298" o:title=""/>
            </v:shape>
            <v:shape style="position:absolute;left:4348;top:1875;width:205;height:123" type="#_x0000_t75" stroked="false">
              <v:imagedata r:id="rId298" o:title=""/>
            </v:shape>
            <v:shape style="position:absolute;left:4348;top:1707;width:205;height:123" type="#_x0000_t75" stroked="false">
              <v:imagedata r:id="rId298" o:title=""/>
            </v:shape>
            <v:shape style="position:absolute;left:4379;top:3873;width:205;height:123" type="#_x0000_t75" stroked="false">
              <v:imagedata r:id="rId298" o:title=""/>
            </v:shape>
            <v:shape style="position:absolute;left:4379;top:3705;width:205;height:123" type="#_x0000_t75" stroked="false">
              <v:imagedata r:id="rId298" o:title=""/>
            </v:shape>
            <v:shape style="position:absolute;left:4379;top:3538;width:205;height:123" type="#_x0000_t75" stroked="false">
              <v:imagedata r:id="rId298" o:title=""/>
            </v:shape>
            <v:shape style="position:absolute;left:4379;top:3370;width:205;height:123" type="#_x0000_t75" stroked="false">
              <v:imagedata r:id="rId298" o:title=""/>
            </v:shape>
            <v:shape style="position:absolute;left:4379;top:3203;width:205;height:123" type="#_x0000_t75" stroked="false">
              <v:imagedata r:id="rId298" o:title=""/>
            </v:shape>
            <v:shape style="position:absolute;left:4379;top:4720;width:205;height:123" type="#_x0000_t75" stroked="false">
              <v:imagedata r:id="rId298" o:title=""/>
            </v:shape>
            <v:shape style="position:absolute;left:4379;top:4553;width:205;height:123" type="#_x0000_t75" stroked="false">
              <v:imagedata r:id="rId298" o:title=""/>
            </v:shape>
            <v:shape style="position:absolute;left:4379;top:4386;width:205;height:123" type="#_x0000_t75" stroked="false">
              <v:imagedata r:id="rId298" o:title=""/>
            </v:shape>
            <v:shape style="position:absolute;left:4379;top:4218;width:205;height:123" type="#_x0000_t75" stroked="false">
              <v:imagedata r:id="rId298" o:title=""/>
            </v:shape>
            <v:shape style="position:absolute;left:4379;top:4051;width:205;height:123" type="#_x0000_t75" stroked="false">
              <v:imagedata r:id="rId298" o:title=""/>
            </v:shape>
            <v:shape style="position:absolute;left:4649;top:1516;width:205;height:123" type="#_x0000_t75" stroked="false">
              <v:imagedata r:id="rId298" o:title=""/>
            </v:shape>
            <v:shape style="position:absolute;left:4649;top:1349;width:205;height:123" type="#_x0000_t75" stroked="false">
              <v:imagedata r:id="rId298" o:title=""/>
            </v:shape>
            <v:shape style="position:absolute;left:4649;top:1182;width:205;height:123" type="#_x0000_t75" stroked="false">
              <v:imagedata r:id="rId298" o:title=""/>
            </v:shape>
            <v:shape style="position:absolute;left:4649;top:1014;width:205;height:123" type="#_x0000_t75" stroked="false">
              <v:imagedata r:id="rId298" o:title=""/>
            </v:shape>
            <v:shape style="position:absolute;left:4649;top:847;width:205;height:123" type="#_x0000_t75" stroked="false">
              <v:imagedata r:id="rId298" o:title=""/>
            </v:shape>
            <v:shape style="position:absolute;left:4649;top:2364;width:205;height:123" type="#_x0000_t75" stroked="false">
              <v:imagedata r:id="rId298" o:title=""/>
            </v:shape>
            <v:shape style="position:absolute;left:4649;top:2197;width:205;height:123" type="#_x0000_t75" stroked="false">
              <v:imagedata r:id="rId298" o:title=""/>
            </v:shape>
            <v:shape style="position:absolute;left:4649;top:2029;width:205;height:123" type="#_x0000_t75" stroked="false">
              <v:imagedata r:id="rId298" o:title=""/>
            </v:shape>
            <v:shape style="position:absolute;left:4649;top:1862;width:205;height:123" type="#_x0000_t75" stroked="false">
              <v:imagedata r:id="rId298" o:title=""/>
            </v:shape>
            <v:shape style="position:absolute;left:4649;top:1695;width:205;height:123" type="#_x0000_t75" stroked="false">
              <v:imagedata r:id="rId298" o:title=""/>
            </v:shape>
            <v:shape style="position:absolute;left:4680;top:3860;width:205;height:123" type="#_x0000_t75" stroked="false">
              <v:imagedata r:id="rId298" o:title=""/>
            </v:shape>
            <v:shape style="position:absolute;left:4680;top:3692;width:205;height:123" type="#_x0000_t75" stroked="false">
              <v:imagedata r:id="rId298" o:title=""/>
            </v:shape>
            <v:shape style="position:absolute;left:4680;top:3525;width:205;height:123" type="#_x0000_t75" stroked="false">
              <v:imagedata r:id="rId298" o:title=""/>
            </v:shape>
            <v:shape style="position:absolute;left:4680;top:3357;width:205;height:123" type="#_x0000_t75" stroked="false">
              <v:imagedata r:id="rId298" o:title=""/>
            </v:shape>
            <v:shape style="position:absolute;left:4680;top:3190;width:205;height:123" type="#_x0000_t75" stroked="false">
              <v:imagedata r:id="rId298" o:title=""/>
            </v:shape>
            <v:shape style="position:absolute;left:4680;top:4708;width:205;height:123" type="#_x0000_t75" stroked="false">
              <v:imagedata r:id="rId298" o:title=""/>
            </v:shape>
            <v:shape style="position:absolute;left:4680;top:4540;width:205;height:123" type="#_x0000_t75" stroked="false">
              <v:imagedata r:id="rId298" o:title=""/>
            </v:shape>
            <v:shape style="position:absolute;left:4680;top:4373;width:205;height:123" type="#_x0000_t75" stroked="false">
              <v:imagedata r:id="rId298" o:title=""/>
            </v:shape>
            <v:shape style="position:absolute;left:4680;top:4205;width:205;height:123" type="#_x0000_t75" stroked="false">
              <v:imagedata r:id="rId298" o:title=""/>
            </v:shape>
            <v:shape style="position:absolute;left:4680;top:4038;width:205;height:123" type="#_x0000_t75" stroked="false">
              <v:imagedata r:id="rId298" o:title=""/>
            </v:shape>
            <v:shape style="position:absolute;left:4907;top:1527;width:205;height:123" type="#_x0000_t75" stroked="false">
              <v:imagedata r:id="rId298" o:title=""/>
            </v:shape>
            <v:shape style="position:absolute;left:4907;top:1360;width:205;height:123" type="#_x0000_t75" stroked="false">
              <v:imagedata r:id="rId298" o:title=""/>
            </v:shape>
            <v:shape style="position:absolute;left:4907;top:1193;width:205;height:123" type="#_x0000_t75" stroked="false">
              <v:imagedata r:id="rId298" o:title=""/>
            </v:shape>
            <v:shape style="position:absolute;left:4907;top:1025;width:205;height:123" type="#_x0000_t75" stroked="false">
              <v:imagedata r:id="rId298" o:title=""/>
            </v:shape>
            <v:shape style="position:absolute;left:4907;top:858;width:205;height:123" type="#_x0000_t75" stroked="false">
              <v:imagedata r:id="rId298" o:title=""/>
            </v:shape>
            <v:shape style="position:absolute;left:4907;top:2375;width:205;height:123" type="#_x0000_t75" stroked="false">
              <v:imagedata r:id="rId298" o:title=""/>
            </v:shape>
            <v:shape style="position:absolute;left:4907;top:2208;width:205;height:123" type="#_x0000_t75" stroked="false">
              <v:imagedata r:id="rId298" o:title=""/>
            </v:shape>
            <v:shape style="position:absolute;left:4907;top:2040;width:205;height:123" type="#_x0000_t75" stroked="false">
              <v:imagedata r:id="rId298" o:title=""/>
            </v:shape>
            <v:shape style="position:absolute;left:4907;top:1873;width:205;height:123" type="#_x0000_t75" stroked="false">
              <v:imagedata r:id="rId298" o:title=""/>
            </v:shape>
            <v:shape style="position:absolute;left:4907;top:1706;width:205;height:123" type="#_x0000_t75" stroked="false">
              <v:imagedata r:id="rId298" o:title=""/>
            </v:shape>
            <v:shape style="position:absolute;left:4938;top:3871;width:205;height:123" type="#_x0000_t75" stroked="false">
              <v:imagedata r:id="rId298" o:title=""/>
            </v:shape>
            <v:shape style="position:absolute;left:4938;top:3703;width:205;height:123" type="#_x0000_t75" stroked="false">
              <v:imagedata r:id="rId298" o:title=""/>
            </v:shape>
            <v:shape style="position:absolute;left:4938;top:3536;width:205;height:123" type="#_x0000_t75" stroked="false">
              <v:imagedata r:id="rId298" o:title=""/>
            </v:shape>
            <v:shape style="position:absolute;left:4938;top:3368;width:205;height:123" type="#_x0000_t75" stroked="false">
              <v:imagedata r:id="rId298" o:title=""/>
            </v:shape>
            <v:shape style="position:absolute;left:4938;top:3201;width:205;height:123" type="#_x0000_t75" stroked="false">
              <v:imagedata r:id="rId298" o:title=""/>
            </v:shape>
            <v:shape style="position:absolute;left:4938;top:4719;width:205;height:123" type="#_x0000_t75" stroked="false">
              <v:imagedata r:id="rId298" o:title=""/>
            </v:shape>
            <v:shape style="position:absolute;left:4938;top:4551;width:205;height:123" type="#_x0000_t75" stroked="false">
              <v:imagedata r:id="rId298" o:title=""/>
            </v:shape>
            <v:shape style="position:absolute;left:4938;top:4384;width:205;height:123" type="#_x0000_t75" stroked="false">
              <v:imagedata r:id="rId298" o:title=""/>
            </v:shape>
            <v:shape style="position:absolute;left:4938;top:4216;width:205;height:123" type="#_x0000_t75" stroked="false">
              <v:imagedata r:id="rId298" o:title=""/>
            </v:shape>
            <v:shape style="position:absolute;left:4938;top:4049;width:205;height:123" type="#_x0000_t75" stroked="false">
              <v:imagedata r:id="rId298" o:title=""/>
            </v:shape>
            <v:shape style="position:absolute;left:5207;top:1515;width:205;height:123" type="#_x0000_t75" stroked="false">
              <v:imagedata r:id="rId298" o:title=""/>
            </v:shape>
            <v:shape style="position:absolute;left:5207;top:1347;width:205;height:123" type="#_x0000_t75" stroked="false">
              <v:imagedata r:id="rId298" o:title=""/>
            </v:shape>
            <v:shape style="position:absolute;left:5207;top:1180;width:205;height:123" type="#_x0000_t75" stroked="false">
              <v:imagedata r:id="rId298" o:title=""/>
            </v:shape>
            <v:shape style="position:absolute;left:5207;top:1012;width:205;height:123" type="#_x0000_t75" stroked="false">
              <v:imagedata r:id="rId298" o:title=""/>
            </v:shape>
            <v:shape style="position:absolute;left:5207;top:845;width:205;height:123" type="#_x0000_t75" stroked="false">
              <v:imagedata r:id="rId298" o:title=""/>
            </v:shape>
            <v:shape style="position:absolute;left:5207;top:2363;width:205;height:123" type="#_x0000_t75" stroked="false">
              <v:imagedata r:id="rId298" o:title=""/>
            </v:shape>
            <v:shape style="position:absolute;left:5207;top:2195;width:205;height:123" type="#_x0000_t75" stroked="false">
              <v:imagedata r:id="rId298" o:title=""/>
            </v:shape>
            <v:shape style="position:absolute;left:5207;top:2028;width:205;height:123" type="#_x0000_t75" stroked="false">
              <v:imagedata r:id="rId298" o:title=""/>
            </v:shape>
            <v:shape style="position:absolute;left:5207;top:1860;width:205;height:123" type="#_x0000_t75" stroked="false">
              <v:imagedata r:id="rId298" o:title=""/>
            </v:shape>
            <v:shape style="position:absolute;left:5207;top:1693;width:205;height:123" type="#_x0000_t75" stroked="false">
              <v:imagedata r:id="rId298" o:title=""/>
            </v:shape>
            <v:shape style="position:absolute;left:5239;top:3858;width:205;height:123" type="#_x0000_t75" stroked="false">
              <v:imagedata r:id="rId298" o:title=""/>
            </v:shape>
            <v:shape style="position:absolute;left:5239;top:3691;width:205;height:123" type="#_x0000_t75" stroked="false">
              <v:imagedata r:id="rId298" o:title=""/>
            </v:shape>
            <v:shape style="position:absolute;left:5239;top:3523;width:205;height:123" type="#_x0000_t75" stroked="false">
              <v:imagedata r:id="rId298" o:title=""/>
            </v:shape>
            <v:shape style="position:absolute;left:5239;top:3356;width:205;height:123" type="#_x0000_t75" stroked="false">
              <v:imagedata r:id="rId298" o:title=""/>
            </v:shape>
            <v:shape style="position:absolute;left:5239;top:3188;width:205;height:123" type="#_x0000_t75" stroked="false">
              <v:imagedata r:id="rId298" o:title=""/>
            </v:shape>
            <v:shape style="position:absolute;left:5239;top:4706;width:205;height:123" type="#_x0000_t75" stroked="false">
              <v:imagedata r:id="rId298" o:title=""/>
            </v:shape>
            <v:shape style="position:absolute;left:5239;top:4538;width:205;height:123" type="#_x0000_t75" stroked="false">
              <v:imagedata r:id="rId298" o:title=""/>
            </v:shape>
            <v:shape style="position:absolute;left:5239;top:4371;width:205;height:123" type="#_x0000_t75" stroked="false">
              <v:imagedata r:id="rId298" o:title=""/>
            </v:shape>
            <v:shape style="position:absolute;left:5239;top:4204;width:205;height:123" type="#_x0000_t75" stroked="false">
              <v:imagedata r:id="rId298" o:title=""/>
            </v:shape>
            <v:shape style="position:absolute;left:5239;top:4036;width:205;height:123" type="#_x0000_t75" stroked="false">
              <v:imagedata r:id="rId298" o:title=""/>
            </v:shape>
            <v:shape style="position:absolute;left:5501;top:1521;width:205;height:123" type="#_x0000_t75" stroked="false">
              <v:imagedata r:id="rId298" o:title=""/>
            </v:shape>
            <v:shape style="position:absolute;left:5501;top:1354;width:205;height:123" type="#_x0000_t75" stroked="false">
              <v:imagedata r:id="rId298" o:title=""/>
            </v:shape>
            <v:shape style="position:absolute;left:5501;top:1186;width:205;height:123" type="#_x0000_t75" stroked="false">
              <v:imagedata r:id="rId298" o:title=""/>
            </v:shape>
            <v:shape style="position:absolute;left:5501;top:1019;width:205;height:123" type="#_x0000_t75" stroked="false">
              <v:imagedata r:id="rId298" o:title=""/>
            </v:shape>
            <v:shape style="position:absolute;left:5501;top:851;width:205;height:123" type="#_x0000_t75" stroked="false">
              <v:imagedata r:id="rId298" o:title=""/>
            </v:shape>
            <v:shape style="position:absolute;left:5501;top:2369;width:205;height:123" type="#_x0000_t75" stroked="false">
              <v:imagedata r:id="rId298" o:title=""/>
            </v:shape>
            <v:shape style="position:absolute;left:5501;top:2201;width:205;height:123" type="#_x0000_t75" stroked="false">
              <v:imagedata r:id="rId298" o:title=""/>
            </v:shape>
            <v:shape style="position:absolute;left:5501;top:2034;width:205;height:123" type="#_x0000_t75" stroked="false">
              <v:imagedata r:id="rId298" o:title=""/>
            </v:shape>
            <v:shape style="position:absolute;left:5501;top:1867;width:205;height:123" type="#_x0000_t75" stroked="false">
              <v:imagedata r:id="rId298" o:title=""/>
            </v:shape>
            <v:shape style="position:absolute;left:5501;top:1699;width:205;height:123" type="#_x0000_t75" stroked="false">
              <v:imagedata r:id="rId298" o:title=""/>
            </v:shape>
            <v:shape style="position:absolute;left:5533;top:3864;width:205;height:123" type="#_x0000_t75" stroked="false">
              <v:imagedata r:id="rId298" o:title=""/>
            </v:shape>
            <v:shape style="position:absolute;left:5533;top:3697;width:205;height:123" type="#_x0000_t75" stroked="false">
              <v:imagedata r:id="rId298" o:title=""/>
            </v:shape>
            <v:shape style="position:absolute;left:5533;top:3530;width:205;height:123" type="#_x0000_t75" stroked="false">
              <v:imagedata r:id="rId298" o:title=""/>
            </v:shape>
            <v:shape style="position:absolute;left:5533;top:3362;width:205;height:123" type="#_x0000_t75" stroked="false">
              <v:imagedata r:id="rId298" o:title=""/>
            </v:shape>
            <v:shape style="position:absolute;left:5533;top:3195;width:205;height:123" type="#_x0000_t75" stroked="false">
              <v:imagedata r:id="rId298" o:title=""/>
            </v:shape>
            <v:shape style="position:absolute;left:5533;top:4712;width:205;height:123" type="#_x0000_t75" stroked="false">
              <v:imagedata r:id="rId298" o:title=""/>
            </v:shape>
            <v:shape style="position:absolute;left:5533;top:4545;width:205;height:123" type="#_x0000_t75" stroked="false">
              <v:imagedata r:id="rId298" o:title=""/>
            </v:shape>
            <v:shape style="position:absolute;left:5533;top:4377;width:205;height:123" type="#_x0000_t75" stroked="false">
              <v:imagedata r:id="rId298" o:title=""/>
            </v:shape>
            <v:shape style="position:absolute;left:5533;top:4210;width:205;height:123" type="#_x0000_t75" stroked="false">
              <v:imagedata r:id="rId298" o:title=""/>
            </v:shape>
            <v:shape style="position:absolute;left:5533;top:4042;width:205;height:123" type="#_x0000_t75" stroked="false">
              <v:imagedata r:id="rId298" o:title=""/>
            </v:shape>
            <v:shape style="position:absolute;left:5802;top:1508;width:205;height:123" type="#_x0000_t75" stroked="false">
              <v:imagedata r:id="rId298" o:title=""/>
            </v:shape>
            <v:shape style="position:absolute;left:5802;top:1341;width:205;height:123" type="#_x0000_t75" stroked="false">
              <v:imagedata r:id="rId298" o:title=""/>
            </v:shape>
            <v:shape style="position:absolute;left:5802;top:1173;width:205;height:123" type="#_x0000_t75" stroked="false">
              <v:imagedata r:id="rId298" o:title=""/>
            </v:shape>
            <v:shape style="position:absolute;left:5802;top:1006;width:205;height:123" type="#_x0000_t75" stroked="false">
              <v:imagedata r:id="rId298" o:title=""/>
            </v:shape>
            <v:shape style="position:absolute;left:5802;top:838;width:205;height:123" type="#_x0000_t75" stroked="false">
              <v:imagedata r:id="rId298" o:title=""/>
            </v:shape>
            <v:shape style="position:absolute;left:5802;top:2356;width:205;height:123" type="#_x0000_t75" stroked="false">
              <v:imagedata r:id="rId298" o:title=""/>
            </v:shape>
            <v:shape style="position:absolute;left:5802;top:2189;width:205;height:123" type="#_x0000_t75" stroked="false">
              <v:imagedata r:id="rId298" o:title=""/>
            </v:shape>
            <v:shape style="position:absolute;left:5802;top:2021;width:205;height:123" type="#_x0000_t75" stroked="false">
              <v:imagedata r:id="rId298" o:title=""/>
            </v:shape>
            <v:shape style="position:absolute;left:5802;top:1854;width:205;height:123" type="#_x0000_t75" stroked="false">
              <v:imagedata r:id="rId298" o:title=""/>
            </v:shape>
            <v:shape style="position:absolute;left:5802;top:1686;width:205;height:123" type="#_x0000_t75" stroked="false">
              <v:imagedata r:id="rId298" o:title=""/>
            </v:shape>
            <v:shape style="position:absolute;left:5833;top:3852;width:205;height:123" type="#_x0000_t75" stroked="false">
              <v:imagedata r:id="rId298" o:title=""/>
            </v:shape>
            <v:shape style="position:absolute;left:5833;top:3684;width:205;height:123" type="#_x0000_t75" stroked="false">
              <v:imagedata r:id="rId298" o:title=""/>
            </v:shape>
            <v:shape style="position:absolute;left:5833;top:3517;width:205;height:123" type="#_x0000_t75" stroked="false">
              <v:imagedata r:id="rId298" o:title=""/>
            </v:shape>
            <v:shape style="position:absolute;left:5833;top:3349;width:205;height:123" type="#_x0000_t75" stroked="false">
              <v:imagedata r:id="rId298" o:title=""/>
            </v:shape>
            <v:shape style="position:absolute;left:5833;top:3182;width:205;height:123" type="#_x0000_t75" stroked="false">
              <v:imagedata r:id="rId298" o:title=""/>
            </v:shape>
            <v:shape style="position:absolute;left:5833;top:4699;width:205;height:123" type="#_x0000_t75" stroked="false">
              <v:imagedata r:id="rId298" o:title=""/>
            </v:shape>
            <v:shape style="position:absolute;left:5833;top:4532;width:205;height:123" type="#_x0000_t75" stroked="false">
              <v:imagedata r:id="rId298" o:title=""/>
            </v:shape>
            <v:shape style="position:absolute;left:5833;top:4365;width:205;height:123" type="#_x0000_t75" stroked="false">
              <v:imagedata r:id="rId298" o:title=""/>
            </v:shape>
            <v:shape style="position:absolute;left:5833;top:4197;width:205;height:123" type="#_x0000_t75" stroked="false">
              <v:imagedata r:id="rId298" o:title=""/>
            </v:shape>
            <v:shape style="position:absolute;left:5833;top:4030;width:205;height:123" type="#_x0000_t75" stroked="false">
              <v:imagedata r:id="rId298" o:title=""/>
            </v:shape>
            <v:shape style="position:absolute;left:6078;top:1517;width:205;height:123" type="#_x0000_t75" stroked="false">
              <v:imagedata r:id="rId298" o:title=""/>
            </v:shape>
            <v:shape style="position:absolute;left:6078;top:1349;width:205;height:123" type="#_x0000_t75" stroked="false">
              <v:imagedata r:id="rId298" o:title=""/>
            </v:shape>
            <v:shape style="position:absolute;left:6078;top:1182;width:205;height:123" type="#_x0000_t75" stroked="false">
              <v:imagedata r:id="rId298" o:title=""/>
            </v:shape>
            <v:shape style="position:absolute;left:6078;top:1014;width:205;height:123" type="#_x0000_t75" stroked="false">
              <v:imagedata r:id="rId298" o:title=""/>
            </v:shape>
            <v:shape style="position:absolute;left:6078;top:847;width:205;height:123" type="#_x0000_t75" stroked="false">
              <v:imagedata r:id="rId298" o:title=""/>
            </v:shape>
            <v:shape style="position:absolute;left:6078;top:2364;width:205;height:123" type="#_x0000_t75" stroked="false">
              <v:imagedata r:id="rId298" o:title=""/>
            </v:shape>
            <v:shape style="position:absolute;left:6078;top:2197;width:205;height:123" type="#_x0000_t75" stroked="false">
              <v:imagedata r:id="rId298" o:title=""/>
            </v:shape>
            <v:shape style="position:absolute;left:6078;top:2030;width:205;height:123" type="#_x0000_t75" stroked="false">
              <v:imagedata r:id="rId298" o:title=""/>
            </v:shape>
            <v:shape style="position:absolute;left:6078;top:1862;width:205;height:123" type="#_x0000_t75" stroked="false">
              <v:imagedata r:id="rId298" o:title=""/>
            </v:shape>
            <v:shape style="position:absolute;left:6078;top:1695;width:205;height:123" type="#_x0000_t75" stroked="false">
              <v:imagedata r:id="rId298" o:title=""/>
            </v:shape>
            <v:shape style="position:absolute;left:6109;top:3860;width:205;height:123" type="#_x0000_t75" stroked="false">
              <v:imagedata r:id="rId298" o:title=""/>
            </v:shape>
            <v:shape style="position:absolute;left:6109;top:3693;width:205;height:123" type="#_x0000_t75" stroked="false">
              <v:imagedata r:id="rId298" o:title=""/>
            </v:shape>
            <v:shape style="position:absolute;left:6109;top:3525;width:205;height:123" type="#_x0000_t75" stroked="false">
              <v:imagedata r:id="rId298" o:title=""/>
            </v:shape>
            <v:shape style="position:absolute;left:6109;top:3358;width:205;height:123" type="#_x0000_t75" stroked="false">
              <v:imagedata r:id="rId298" o:title=""/>
            </v:shape>
            <v:shape style="position:absolute;left:6109;top:3190;width:205;height:123" type="#_x0000_t75" stroked="false">
              <v:imagedata r:id="rId298" o:title=""/>
            </v:shape>
            <v:shape style="position:absolute;left:6109;top:4708;width:205;height:123" type="#_x0000_t75" stroked="false">
              <v:imagedata r:id="rId298" o:title=""/>
            </v:shape>
            <v:shape style="position:absolute;left:6109;top:4540;width:205;height:123" type="#_x0000_t75" stroked="false">
              <v:imagedata r:id="rId298" o:title=""/>
            </v:shape>
            <v:shape style="position:absolute;left:6109;top:4373;width:205;height:123" type="#_x0000_t75" stroked="false">
              <v:imagedata r:id="rId298" o:title=""/>
            </v:shape>
            <v:shape style="position:absolute;left:6109;top:4206;width:205;height:123" type="#_x0000_t75" stroked="false">
              <v:imagedata r:id="rId298" o:title=""/>
            </v:shape>
            <v:shape style="position:absolute;left:6109;top:4038;width:205;height:123" type="#_x0000_t75" stroked="false">
              <v:imagedata r:id="rId298" o:title=""/>
            </v:shape>
            <v:shape style="position:absolute;left:6379;top:1504;width:205;height:123" type="#_x0000_t75" stroked="false">
              <v:imagedata r:id="rId298" o:title=""/>
            </v:shape>
            <v:shape style="position:absolute;left:6379;top:1336;width:205;height:123" type="#_x0000_t75" stroked="false">
              <v:imagedata r:id="rId298" o:title=""/>
            </v:shape>
            <v:shape style="position:absolute;left:6379;top:1169;width:205;height:123" type="#_x0000_t75" stroked="false">
              <v:imagedata r:id="rId298" o:title=""/>
            </v:shape>
            <v:shape style="position:absolute;left:6379;top:1001;width:205;height:123" type="#_x0000_t75" stroked="false">
              <v:imagedata r:id="rId298" o:title=""/>
            </v:shape>
            <v:shape style="position:absolute;left:6379;top:834;width:205;height:123" type="#_x0000_t75" stroked="false">
              <v:imagedata r:id="rId298" o:title=""/>
            </v:shape>
            <v:shape style="position:absolute;left:6379;top:2352;width:205;height:123" type="#_x0000_t75" stroked="false">
              <v:imagedata r:id="rId298" o:title=""/>
            </v:shape>
            <v:shape style="position:absolute;left:6379;top:2184;width:205;height:123" type="#_x0000_t75" stroked="false">
              <v:imagedata r:id="rId298" o:title=""/>
            </v:shape>
            <v:shape style="position:absolute;left:6379;top:2017;width:205;height:123" type="#_x0000_t75" stroked="false">
              <v:imagedata r:id="rId298" o:title=""/>
            </v:shape>
            <v:shape style="position:absolute;left:6379;top:1849;width:205;height:123" type="#_x0000_t75" stroked="false">
              <v:imagedata r:id="rId298" o:title=""/>
            </v:shape>
            <v:shape style="position:absolute;left:6379;top:1682;width:205;height:123" type="#_x0000_t75" stroked="false">
              <v:imagedata r:id="rId298" o:title=""/>
            </v:shape>
            <v:shape style="position:absolute;left:6410;top:3847;width:205;height:123" type="#_x0000_t75" stroked="false">
              <v:imagedata r:id="rId298" o:title=""/>
            </v:shape>
            <v:shape style="position:absolute;left:6410;top:3680;width:205;height:123" type="#_x0000_t75" stroked="false">
              <v:imagedata r:id="rId298" o:title=""/>
            </v:shape>
            <v:shape style="position:absolute;left:6410;top:3512;width:205;height:123" type="#_x0000_t75" stroked="false">
              <v:imagedata r:id="rId298" o:title=""/>
            </v:shape>
            <v:shape style="position:absolute;left:6410;top:3345;width:205;height:123" type="#_x0000_t75" stroked="false">
              <v:imagedata r:id="rId298" o:title=""/>
            </v:shape>
            <v:shape style="position:absolute;left:6410;top:3177;width:205;height:123" type="#_x0000_t75" stroked="false">
              <v:imagedata r:id="rId298" o:title=""/>
            </v:shape>
            <v:shape style="position:absolute;left:6410;top:4695;width:205;height:123" type="#_x0000_t75" stroked="false">
              <v:imagedata r:id="rId298" o:title=""/>
            </v:shape>
            <v:shape style="position:absolute;left:6410;top:4528;width:205;height:123" type="#_x0000_t75" stroked="false">
              <v:imagedata r:id="rId298" o:title=""/>
            </v:shape>
            <v:shape style="position:absolute;left:6410;top:4360;width:205;height:123" type="#_x0000_t75" stroked="false">
              <v:imagedata r:id="rId298" o:title=""/>
            </v:shape>
            <v:shape style="position:absolute;left:6410;top:4193;width:205;height:123" type="#_x0000_t75" stroked="false">
              <v:imagedata r:id="rId298" o:title=""/>
            </v:shape>
            <v:shape style="position:absolute;left:6410;top:4025;width:205;height:123" type="#_x0000_t75" stroked="false">
              <v:imagedata r:id="rId298" o:title=""/>
            </v:shape>
            <v:shape style="position:absolute;left:6673;top:1510;width:205;height:123" type="#_x0000_t75" stroked="false">
              <v:imagedata r:id="rId298" o:title=""/>
            </v:shape>
            <v:shape style="position:absolute;left:6673;top:1343;width:205;height:123" type="#_x0000_t75" stroked="false">
              <v:imagedata r:id="rId298" o:title=""/>
            </v:shape>
            <v:shape style="position:absolute;left:6673;top:1175;width:205;height:123" type="#_x0000_t75" stroked="false">
              <v:imagedata r:id="rId298" o:title=""/>
            </v:shape>
            <v:shape style="position:absolute;left:6673;top:1008;width:205;height:123" type="#_x0000_t75" stroked="false">
              <v:imagedata r:id="rId298" o:title=""/>
            </v:shape>
            <v:shape style="position:absolute;left:6673;top:840;width:205;height:123" type="#_x0000_t75" stroked="false">
              <v:imagedata r:id="rId298" o:title=""/>
            </v:shape>
            <v:shape style="position:absolute;left:6673;top:2358;width:205;height:123" type="#_x0000_t75" stroked="false">
              <v:imagedata r:id="rId298" o:title=""/>
            </v:shape>
            <v:shape style="position:absolute;left:6673;top:2191;width:205;height:123" type="#_x0000_t75" stroked="false">
              <v:imagedata r:id="rId298" o:title=""/>
            </v:shape>
            <v:shape style="position:absolute;left:6673;top:2023;width:205;height:123" type="#_x0000_t75" stroked="false">
              <v:imagedata r:id="rId298" o:title=""/>
            </v:shape>
            <v:shape style="position:absolute;left:6673;top:1856;width:205;height:123" type="#_x0000_t75" stroked="false">
              <v:imagedata r:id="rId298" o:title=""/>
            </v:shape>
            <v:shape style="position:absolute;left:6673;top:1688;width:205;height:123" type="#_x0000_t75" stroked="false">
              <v:imagedata r:id="rId298" o:title=""/>
            </v:shape>
            <v:shape style="position:absolute;left:6704;top:3854;width:205;height:123" type="#_x0000_t75" stroked="false">
              <v:imagedata r:id="rId298" o:title=""/>
            </v:shape>
            <v:shape style="position:absolute;left:6704;top:3686;width:205;height:123" type="#_x0000_t75" stroked="false">
              <v:imagedata r:id="rId298" o:title=""/>
            </v:shape>
            <v:shape style="position:absolute;left:6704;top:3519;width:205;height:123" type="#_x0000_t75" stroked="false">
              <v:imagedata r:id="rId298" o:title=""/>
            </v:shape>
            <v:shape style="position:absolute;left:6704;top:3351;width:205;height:123" type="#_x0000_t75" stroked="false">
              <v:imagedata r:id="rId298" o:title=""/>
            </v:shape>
            <v:shape style="position:absolute;left:6704;top:3184;width:205;height:123" type="#_x0000_t75" stroked="false">
              <v:imagedata r:id="rId298" o:title=""/>
            </v:shape>
            <v:shape style="position:absolute;left:6704;top:4701;width:205;height:123" type="#_x0000_t75" stroked="false">
              <v:imagedata r:id="rId298" o:title=""/>
            </v:shape>
            <v:shape style="position:absolute;left:6704;top:4534;width:205;height:123" type="#_x0000_t75" stroked="false">
              <v:imagedata r:id="rId298" o:title=""/>
            </v:shape>
            <v:shape style="position:absolute;left:6704;top:4367;width:205;height:123" type="#_x0000_t75" stroked="false">
              <v:imagedata r:id="rId298" o:title=""/>
            </v:shape>
            <v:shape style="position:absolute;left:6704;top:4199;width:205;height:123" type="#_x0000_t75" stroked="false">
              <v:imagedata r:id="rId298" o:title=""/>
            </v:shape>
            <v:shape style="position:absolute;left:6704;top:4032;width:205;height:123" type="#_x0000_t75" stroked="false">
              <v:imagedata r:id="rId298" o:title=""/>
            </v:shape>
            <v:shape style="position:absolute;left:6973;top:1497;width:205;height:123" type="#_x0000_t75" stroked="false">
              <v:imagedata r:id="rId298" o:title=""/>
            </v:shape>
            <v:shape style="position:absolute;left:6973;top:1330;width:205;height:123" type="#_x0000_t75" stroked="false">
              <v:imagedata r:id="rId298" o:title=""/>
            </v:shape>
            <v:shape style="position:absolute;left:6973;top:1163;width:205;height:123" type="#_x0000_t75" stroked="false">
              <v:imagedata r:id="rId298" o:title=""/>
            </v:shape>
            <v:shape style="position:absolute;left:6973;top:995;width:205;height:123" type="#_x0000_t75" stroked="false">
              <v:imagedata r:id="rId298" o:title=""/>
            </v:shape>
            <v:shape style="position:absolute;left:6973;top:828;width:205;height:123" type="#_x0000_t75" stroked="false">
              <v:imagedata r:id="rId298" o:title=""/>
            </v:shape>
            <v:shape style="position:absolute;left:6973;top:2345;width:205;height:123" type="#_x0000_t75" stroked="false">
              <v:imagedata r:id="rId298" o:title=""/>
            </v:shape>
            <v:shape style="position:absolute;left:6973;top:2178;width:205;height:123" type="#_x0000_t75" stroked="false">
              <v:imagedata r:id="rId298" o:title=""/>
            </v:shape>
            <v:shape style="position:absolute;left:6973;top:2010;width:205;height:123" type="#_x0000_t75" stroked="false">
              <v:imagedata r:id="rId298" o:title=""/>
            </v:shape>
            <v:shape style="position:absolute;left:6973;top:1843;width:205;height:123" type="#_x0000_t75" stroked="false">
              <v:imagedata r:id="rId298" o:title=""/>
            </v:shape>
            <v:shape style="position:absolute;left:6973;top:1676;width:205;height:123" type="#_x0000_t75" stroked="false">
              <v:imagedata r:id="rId298" o:title=""/>
            </v:shape>
            <v:shape style="position:absolute;left:7004;top:3841;width:205;height:123" type="#_x0000_t75" stroked="false">
              <v:imagedata r:id="rId298" o:title=""/>
            </v:shape>
            <v:shape style="position:absolute;left:7004;top:3673;width:205;height:123" type="#_x0000_t75" stroked="false">
              <v:imagedata r:id="rId298" o:title=""/>
            </v:shape>
            <v:shape style="position:absolute;left:7004;top:3506;width:205;height:123" type="#_x0000_t75" stroked="false">
              <v:imagedata r:id="rId298" o:title=""/>
            </v:shape>
            <v:shape style="position:absolute;left:7004;top:3338;width:205;height:123" type="#_x0000_t75" stroked="false">
              <v:imagedata r:id="rId298" o:title=""/>
            </v:shape>
            <v:shape style="position:absolute;left:7004;top:3171;width:205;height:123" type="#_x0000_t75" stroked="false">
              <v:imagedata r:id="rId298" o:title=""/>
            </v:shape>
            <v:shape style="position:absolute;left:7004;top:4689;width:205;height:123" type="#_x0000_t75" stroked="false">
              <v:imagedata r:id="rId298" o:title=""/>
            </v:shape>
            <v:shape style="position:absolute;left:7004;top:4521;width:205;height:123" type="#_x0000_t75" stroked="false">
              <v:imagedata r:id="rId298" o:title=""/>
            </v:shape>
            <v:shape style="position:absolute;left:7004;top:4354;width:205;height:123" type="#_x0000_t75" stroked="false">
              <v:imagedata r:id="rId298" o:title=""/>
            </v:shape>
            <v:shape style="position:absolute;left:7004;top:4186;width:205;height:123" type="#_x0000_t75" stroked="false">
              <v:imagedata r:id="rId298" o:title=""/>
            </v:shape>
            <v:shape style="position:absolute;left:7004;top:4019;width:205;height:123" type="#_x0000_t75" stroked="false">
              <v:imagedata r:id="rId298" o:title=""/>
            </v:shape>
            <v:line style="position:absolute" from="1157,2554" to="7143,2540" stroked="true" strokeweight=".117507pt" strokecolor="#cdcdcd">
              <v:stroke dashstyle="longdash"/>
            </v:line>
            <v:line style="position:absolute" from="1151,2540" to="7137,2526" stroked="true" strokeweight=".117507pt" strokecolor="#404040">
              <v:stroke dashstyle="longdash"/>
            </v:line>
            <v:line style="position:absolute" from="1157,3146" to="7143,3146" stroked="true" strokeweight=".117508pt" strokecolor="#cdcdcd">
              <v:stroke dashstyle="longdash"/>
            </v:line>
            <v:line style="position:absolute" from="1151,3132" to="7137,3132" stroked="true" strokeweight=".117508pt" strokecolor="#404040">
              <v:stroke dashstyle="longdash"/>
            </v:line>
            <v:shape style="position:absolute;left:4257;top:2856;width:205;height:123" type="#_x0000_t75" stroked="false">
              <v:imagedata r:id="rId298" o:title=""/>
            </v:shape>
            <v:shape style="position:absolute;left:3856;top:2856;width:175;height:113" type="#_x0000_t75" stroked="false">
              <v:imagedata r:id="rId299" o:title=""/>
            </v:shape>
            <v:shape style="position:absolute;left:1148;top:1557;width:205;height:123" type="#_x0000_t75" stroked="false">
              <v:imagedata r:id="rId298" o:title=""/>
            </v:shape>
            <v:shape style="position:absolute;left:1148;top:1389;width:205;height:123" type="#_x0000_t75" stroked="false">
              <v:imagedata r:id="rId298" o:title=""/>
            </v:shape>
            <v:shape style="position:absolute;left:1148;top:1222;width:205;height:123" type="#_x0000_t75" stroked="false">
              <v:imagedata r:id="rId298" o:title=""/>
            </v:shape>
            <v:shape style="position:absolute;left:1148;top:1054;width:205;height:123" type="#_x0000_t75" stroked="false">
              <v:imagedata r:id="rId298" o:title=""/>
            </v:shape>
            <v:shape style="position:absolute;left:1148;top:887;width:205;height:123" type="#_x0000_t75" stroked="false">
              <v:imagedata r:id="rId298" o:title=""/>
            </v:shape>
            <v:shape style="position:absolute;left:1148;top:2405;width:205;height:123" type="#_x0000_t75" stroked="false">
              <v:imagedata r:id="rId298" o:title=""/>
            </v:shape>
            <v:shape style="position:absolute;left:1148;top:2237;width:205;height:123" type="#_x0000_t75" stroked="false">
              <v:imagedata r:id="rId298" o:title=""/>
            </v:shape>
            <v:shape style="position:absolute;left:1148;top:2070;width:205;height:123" type="#_x0000_t75" stroked="false">
              <v:imagedata r:id="rId298" o:title=""/>
            </v:shape>
            <v:shape style="position:absolute;left:1148;top:1902;width:205;height:123" type="#_x0000_t75" stroked="false">
              <v:imagedata r:id="rId298" o:title=""/>
            </v:shape>
            <v:shape style="position:absolute;left:1148;top:1735;width:205;height:123" type="#_x0000_t75" stroked="false">
              <v:imagedata r:id="rId298" o:title=""/>
            </v:shape>
            <v:shape style="position:absolute;left:1179;top:3900;width:205;height:123" type="#_x0000_t75" stroked="false">
              <v:imagedata r:id="rId298" o:title=""/>
            </v:shape>
            <v:shape style="position:absolute;left:1179;top:3733;width:205;height:123" type="#_x0000_t75" stroked="false">
              <v:imagedata r:id="rId298" o:title=""/>
            </v:shape>
            <v:shape style="position:absolute;left:1179;top:3565;width:205;height:123" type="#_x0000_t75" stroked="false">
              <v:imagedata r:id="rId298" o:title=""/>
            </v:shape>
            <v:shape style="position:absolute;left:1179;top:3398;width:205;height:123" type="#_x0000_t75" stroked="false">
              <v:imagedata r:id="rId298" o:title=""/>
            </v:shape>
            <v:shape style="position:absolute;left:1179;top:3230;width:205;height:123" type="#_x0000_t75" stroked="false">
              <v:imagedata r:id="rId298" o:title=""/>
            </v:shape>
            <v:shape style="position:absolute;left:1179;top:4748;width:205;height:123" type="#_x0000_t75" stroked="false">
              <v:imagedata r:id="rId298" o:title=""/>
            </v:shape>
            <v:shape style="position:absolute;left:1179;top:4580;width:205;height:123" type="#_x0000_t75" stroked="false">
              <v:imagedata r:id="rId298" o:title=""/>
            </v:shape>
            <v:shape style="position:absolute;left:1179;top:4413;width:205;height:123" type="#_x0000_t75" stroked="false">
              <v:imagedata r:id="rId298" o:title=""/>
            </v:shape>
            <v:shape style="position:absolute;left:1179;top:4246;width:205;height:123" type="#_x0000_t75" stroked="false">
              <v:imagedata r:id="rId298" o:title=""/>
            </v:shape>
            <v:shape style="position:absolute;left:1179;top:4078;width:205;height:123" type="#_x0000_t75" stroked="false">
              <v:imagedata r:id="rId298" o:title=""/>
            </v:shape>
            <v:shape style="position:absolute;left:1448;top:1544;width:205;height:123" type="#_x0000_t75" stroked="false">
              <v:imagedata r:id="rId298" o:title=""/>
            </v:shape>
            <v:shape style="position:absolute;left:1448;top:1376;width:205;height:123" type="#_x0000_t75" stroked="false">
              <v:imagedata r:id="rId298" o:title=""/>
            </v:shape>
            <v:shape style="position:absolute;left:1448;top:1209;width:205;height:123" type="#_x0000_t75" stroked="false">
              <v:imagedata r:id="rId298" o:title=""/>
            </v:shape>
            <v:shape style="position:absolute;left:1448;top:1042;width:205;height:123" type="#_x0000_t75" stroked="false">
              <v:imagedata r:id="rId298" o:title=""/>
            </v:shape>
            <v:shape style="position:absolute;left:1448;top:874;width:205;height:123" type="#_x0000_t75" stroked="false">
              <v:imagedata r:id="rId298" o:title=""/>
            </v:shape>
            <v:shape style="position:absolute;left:1448;top:2392;width:205;height:123" type="#_x0000_t75" stroked="false">
              <v:imagedata r:id="rId298" o:title=""/>
            </v:shape>
            <v:shape style="position:absolute;left:1448;top:2224;width:205;height:123" type="#_x0000_t75" stroked="false">
              <v:imagedata r:id="rId298" o:title=""/>
            </v:shape>
            <v:shape style="position:absolute;left:1448;top:2057;width:205;height:123" type="#_x0000_t75" stroked="false">
              <v:imagedata r:id="rId298" o:title=""/>
            </v:shape>
            <v:shape style="position:absolute;left:1448;top:1889;width:205;height:123" type="#_x0000_t75" stroked="false">
              <v:imagedata r:id="rId298" o:title=""/>
            </v:shape>
            <v:shape style="position:absolute;left:1448;top:1722;width:205;height:123" type="#_x0000_t75" stroked="false">
              <v:imagedata r:id="rId298" o:title=""/>
            </v:shape>
            <v:shape style="position:absolute;left:1480;top:3887;width:205;height:123" type="#_x0000_t75" stroked="false">
              <v:imagedata r:id="rId298" o:title=""/>
            </v:shape>
            <v:shape style="position:absolute;left:1480;top:3720;width:205;height:123" type="#_x0000_t75" stroked="false">
              <v:imagedata r:id="rId298" o:title=""/>
            </v:shape>
            <v:shape style="position:absolute;left:1480;top:3552;width:205;height:123" type="#_x0000_t75" stroked="false">
              <v:imagedata r:id="rId298" o:title=""/>
            </v:shape>
            <v:shape style="position:absolute;left:1480;top:3385;width:205;height:123" type="#_x0000_t75" stroked="false">
              <v:imagedata r:id="rId298" o:title=""/>
            </v:shape>
            <v:shape style="position:absolute;left:1480;top:3218;width:205;height:123" type="#_x0000_t75" stroked="false">
              <v:imagedata r:id="rId298" o:title=""/>
            </v:shape>
            <v:shape style="position:absolute;left:1480;top:4735;width:205;height:123" type="#_x0000_t75" stroked="false">
              <v:imagedata r:id="rId298" o:title=""/>
            </v:shape>
            <v:shape style="position:absolute;left:1480;top:4568;width:205;height:123" type="#_x0000_t75" stroked="false">
              <v:imagedata r:id="rId298" o:title=""/>
            </v:shape>
            <v:shape style="position:absolute;left:1480;top:4400;width:205;height:123" type="#_x0000_t75" stroked="false">
              <v:imagedata r:id="rId298" o:title=""/>
            </v:shape>
            <v:shape style="position:absolute;left:1480;top:4233;width:205;height:123" type="#_x0000_t75" stroked="false">
              <v:imagedata r:id="rId298" o:title=""/>
            </v:shape>
            <v:shape style="position:absolute;left:1480;top:4065;width:205;height:123" type="#_x0000_t75" stroked="false">
              <v:imagedata r:id="rId298" o:title=""/>
            </v:shape>
            <v:shape style="position:absolute;left:1742;top:1550;width:205;height:123" type="#_x0000_t75" stroked="false">
              <v:imagedata r:id="rId298" o:title=""/>
            </v:shape>
            <v:shape style="position:absolute;left:1742;top:1383;width:205;height:123" type="#_x0000_t75" stroked="false">
              <v:imagedata r:id="rId298" o:title=""/>
            </v:shape>
            <v:shape style="position:absolute;left:1742;top:1215;width:205;height:123" type="#_x0000_t75" stroked="false">
              <v:imagedata r:id="rId298" o:title=""/>
            </v:shape>
            <v:shape style="position:absolute;left:1742;top:1048;width:205;height:123" type="#_x0000_t75" stroked="false">
              <v:imagedata r:id="rId298" o:title=""/>
            </v:shape>
            <v:shape style="position:absolute;left:1742;top:881;width:205;height:123" type="#_x0000_t75" stroked="false">
              <v:imagedata r:id="rId298" o:title=""/>
            </v:shape>
            <v:shape style="position:absolute;left:1742;top:2398;width:205;height:123" type="#_x0000_t75" stroked="false">
              <v:imagedata r:id="rId298" o:title=""/>
            </v:shape>
            <v:shape style="position:absolute;left:1742;top:2231;width:205;height:123" type="#_x0000_t75" stroked="false">
              <v:imagedata r:id="rId298" o:title=""/>
            </v:shape>
            <v:shape style="position:absolute;left:1742;top:2063;width:205;height:123" type="#_x0000_t75" stroked="false">
              <v:imagedata r:id="rId298" o:title=""/>
            </v:shape>
            <v:shape style="position:absolute;left:1742;top:1896;width:205;height:123" type="#_x0000_t75" stroked="false">
              <v:imagedata r:id="rId298" o:title=""/>
            </v:shape>
            <v:shape style="position:absolute;left:1742;top:1728;width:205;height:123" type="#_x0000_t75" stroked="false">
              <v:imagedata r:id="rId298" o:title=""/>
            </v:shape>
            <v:shape style="position:absolute;left:1774;top:3894;width:205;height:123" type="#_x0000_t75" stroked="false">
              <v:imagedata r:id="rId298" o:title=""/>
            </v:shape>
            <v:shape style="position:absolute;left:1774;top:3726;width:205;height:123" type="#_x0000_t75" stroked="false">
              <v:imagedata r:id="rId298" o:title=""/>
            </v:shape>
            <v:shape style="position:absolute;left:1774;top:3559;width:205;height:123" type="#_x0000_t75" stroked="false">
              <v:imagedata r:id="rId298" o:title=""/>
            </v:shape>
            <v:shape style="position:absolute;left:1774;top:3391;width:205;height:123" type="#_x0000_t75" stroked="false">
              <v:imagedata r:id="rId298" o:title=""/>
            </v:shape>
            <v:shape style="position:absolute;left:1774;top:3224;width:205;height:123" type="#_x0000_t75" stroked="false">
              <v:imagedata r:id="rId298" o:title=""/>
            </v:shape>
            <v:shape style="position:absolute;left:1774;top:4742;width:205;height:123" type="#_x0000_t75" stroked="false">
              <v:imagedata r:id="rId298" o:title=""/>
            </v:shape>
            <v:shape style="position:absolute;left:1774;top:4574;width:205;height:123" type="#_x0000_t75" stroked="false">
              <v:imagedata r:id="rId298" o:title=""/>
            </v:shape>
            <v:shape style="position:absolute;left:1774;top:4407;width:205;height:123" type="#_x0000_t75" stroked="false">
              <v:imagedata r:id="rId298" o:title=""/>
            </v:shape>
            <v:shape style="position:absolute;left:1774;top:4239;width:205;height:123" type="#_x0000_t75" stroked="false">
              <v:imagedata r:id="rId298" o:title=""/>
            </v:shape>
            <v:shape style="position:absolute;left:1774;top:4072;width:205;height:123" type="#_x0000_t75" stroked="false">
              <v:imagedata r:id="rId298" o:title=""/>
            </v:shape>
            <v:shape style="position:absolute;left:2043;top:1538;width:205;height:123" type="#_x0000_t75" stroked="false">
              <v:imagedata r:id="rId298" o:title=""/>
            </v:shape>
            <v:shape style="position:absolute;left:2043;top:1370;width:205;height:123" type="#_x0000_t75" stroked="false">
              <v:imagedata r:id="rId298" o:title=""/>
            </v:shape>
            <v:shape style="position:absolute;left:2043;top:1203;width:205;height:123" type="#_x0000_t75" stroked="false">
              <v:imagedata r:id="rId298" o:title=""/>
            </v:shape>
            <v:shape style="position:absolute;left:2043;top:1035;width:205;height:123" type="#_x0000_t75" stroked="false">
              <v:imagedata r:id="rId298" o:title=""/>
            </v:shape>
            <v:shape style="position:absolute;left:2043;top:868;width:205;height:123" type="#_x0000_t75" stroked="false">
              <v:imagedata r:id="rId298" o:title=""/>
            </v:shape>
            <v:shape style="position:absolute;left:2043;top:2385;width:205;height:123" type="#_x0000_t75" stroked="false">
              <v:imagedata r:id="rId298" o:title=""/>
            </v:shape>
            <v:shape style="position:absolute;left:2043;top:2218;width:205;height:123" type="#_x0000_t75" stroked="false">
              <v:imagedata r:id="rId298" o:title=""/>
            </v:shape>
            <v:shape style="position:absolute;left:2043;top:2051;width:205;height:123" type="#_x0000_t75" stroked="false">
              <v:imagedata r:id="rId298" o:title=""/>
            </v:shape>
            <v:shape style="position:absolute;left:2043;top:1883;width:205;height:123" type="#_x0000_t75" stroked="false">
              <v:imagedata r:id="rId298" o:title=""/>
            </v:shape>
            <v:shape style="position:absolute;left:2043;top:1716;width:205;height:123" type="#_x0000_t75" stroked="false">
              <v:imagedata r:id="rId298" o:title=""/>
            </v:shape>
            <v:shape style="position:absolute;left:2074;top:3881;width:205;height:123" type="#_x0000_t75" stroked="false">
              <v:imagedata r:id="rId298" o:title=""/>
            </v:shape>
            <v:shape style="position:absolute;left:2074;top:3713;width:205;height:123" type="#_x0000_t75" stroked="false">
              <v:imagedata r:id="rId298" o:title=""/>
            </v:shape>
            <v:shape style="position:absolute;left:2074;top:3546;width:205;height:123" type="#_x0000_t75" stroked="false">
              <v:imagedata r:id="rId298" o:title=""/>
            </v:shape>
            <v:shape style="position:absolute;left:2074;top:3379;width:205;height:123" type="#_x0000_t75" stroked="false">
              <v:imagedata r:id="rId298" o:title=""/>
            </v:shape>
            <v:shape style="position:absolute;left:2074;top:3211;width:205;height:123" type="#_x0000_t75" stroked="false">
              <v:imagedata r:id="rId298" o:title=""/>
            </v:shape>
            <v:shape style="position:absolute;left:2074;top:4729;width:205;height:123" type="#_x0000_t75" stroked="false">
              <v:imagedata r:id="rId298" o:title=""/>
            </v:shape>
            <v:shape style="position:absolute;left:2074;top:4561;width:205;height:123" type="#_x0000_t75" stroked="false">
              <v:imagedata r:id="rId298" o:title=""/>
            </v:shape>
            <v:shape style="position:absolute;left:2074;top:4394;width:205;height:123" type="#_x0000_t75" stroked="false">
              <v:imagedata r:id="rId298" o:title=""/>
            </v:shape>
            <v:shape style="position:absolute;left:2074;top:4226;width:205;height:123" type="#_x0000_t75" stroked="false">
              <v:imagedata r:id="rId298" o:title=""/>
            </v:shape>
            <v:shape style="position:absolute;left:2074;top:4059;width:205;height:123" type="#_x0000_t75" stroked="false">
              <v:imagedata r:id="rId298" o:title=""/>
            </v:shape>
            <v:shape style="position:absolute;left:2319;top:1546;width:205;height:123" type="#_x0000_t75" stroked="false">
              <v:imagedata r:id="rId298" o:title=""/>
            </v:shape>
            <v:shape style="position:absolute;left:2319;top:1378;width:205;height:123" type="#_x0000_t75" stroked="false">
              <v:imagedata r:id="rId298" o:title=""/>
            </v:shape>
            <v:shape style="position:absolute;left:2319;top:1211;width:205;height:123" type="#_x0000_t75" stroked="false">
              <v:imagedata r:id="rId298" o:title=""/>
            </v:shape>
            <v:shape style="position:absolute;left:2319;top:1044;width:205;height:123" type="#_x0000_t75" stroked="false">
              <v:imagedata r:id="rId298" o:title=""/>
            </v:shape>
            <v:shape style="position:absolute;left:2319;top:876;width:205;height:123" type="#_x0000_t75" stroked="false">
              <v:imagedata r:id="rId298" o:title=""/>
            </v:shape>
            <v:shape style="position:absolute;left:2319;top:2394;width:205;height:123" type="#_x0000_t75" stroked="false">
              <v:imagedata r:id="rId298" o:title=""/>
            </v:shape>
            <v:shape style="position:absolute;left:2319;top:2226;width:205;height:123" type="#_x0000_t75" stroked="false">
              <v:imagedata r:id="rId298" o:title=""/>
            </v:shape>
            <v:shape style="position:absolute;left:2319;top:2059;width:205;height:123" type="#_x0000_t75" stroked="false">
              <v:imagedata r:id="rId298" o:title=""/>
            </v:shape>
            <v:shape style="position:absolute;left:2319;top:1891;width:205;height:123" type="#_x0000_t75" stroked="false">
              <v:imagedata r:id="rId298" o:title=""/>
            </v:shape>
            <v:shape style="position:absolute;left:2319;top:1724;width:205;height:123" type="#_x0000_t75" stroked="false">
              <v:imagedata r:id="rId298" o:title=""/>
            </v:shape>
            <v:shape style="position:absolute;left:2350;top:3889;width:205;height:123" type="#_x0000_t75" stroked="false">
              <v:imagedata r:id="rId298" o:title=""/>
            </v:shape>
            <v:shape style="position:absolute;left:2350;top:3722;width:205;height:123" type="#_x0000_t75" stroked="false">
              <v:imagedata r:id="rId298" o:title=""/>
            </v:shape>
            <v:shape style="position:absolute;left:2350;top:3554;width:205;height:123" type="#_x0000_t75" stroked="false">
              <v:imagedata r:id="rId298" o:title=""/>
            </v:shape>
            <v:shape style="position:absolute;left:2350;top:3387;width:205;height:123" type="#_x0000_t75" stroked="false">
              <v:imagedata r:id="rId298" o:title=""/>
            </v:shape>
            <v:shape style="position:absolute;left:2350;top:3220;width:205;height:123" type="#_x0000_t75" stroked="false">
              <v:imagedata r:id="rId298" o:title=""/>
            </v:shape>
            <v:shape style="position:absolute;left:2350;top:4737;width:205;height:123" type="#_x0000_t75" stroked="false">
              <v:imagedata r:id="rId298" o:title=""/>
            </v:shape>
            <v:shape style="position:absolute;left:2350;top:4570;width:205;height:123" type="#_x0000_t75" stroked="false">
              <v:imagedata r:id="rId298" o:title=""/>
            </v:shape>
            <v:shape style="position:absolute;left:2350;top:4402;width:205;height:123" type="#_x0000_t75" stroked="false">
              <v:imagedata r:id="rId298" o:title=""/>
            </v:shape>
            <v:shape style="position:absolute;left:2350;top:4235;width:205;height:123" type="#_x0000_t75" stroked="false">
              <v:imagedata r:id="rId298" o:title=""/>
            </v:shape>
            <v:shape style="position:absolute;left:2350;top:4067;width:205;height:123" type="#_x0000_t75" stroked="false">
              <v:imagedata r:id="rId298" o:title=""/>
            </v:shape>
            <v:shape style="position:absolute;left:4571;top:2603;width:856;height:339" type="#_x0000_t202" filled="true" fillcolor="#ffffff" stroked="false">
              <v:textbox inset="0,0,0,0">
                <w:txbxContent>
                  <w:p>
                    <w:pPr>
                      <w:spacing w:before="5"/>
                      <w:ind w:left="132" w:right="122" w:firstLine="172"/>
                      <w:jc w:val="left"/>
                      <w:rPr>
                        <w:rFonts w:ascii="Calibri"/>
                        <w:b/>
                        <w:sz w:val="13"/>
                      </w:rPr>
                    </w:pPr>
                    <w:r>
                      <w:rPr>
                        <w:rFonts w:ascii="Calibri"/>
                        <w:b/>
                        <w:w w:val="95"/>
                        <w:sz w:val="13"/>
                      </w:rPr>
                      <w:t>Main </w:t>
                    </w:r>
                    <w:r>
                      <w:rPr>
                        <w:rFonts w:ascii="Calibri"/>
                        <w:b/>
                        <w:w w:val="85"/>
                        <w:sz w:val="13"/>
                      </w:rPr>
                      <w:t>Contributors</w:t>
                    </w:r>
                  </w:p>
                </w:txbxContent>
              </v:textbox>
              <v:fill type="solid"/>
              <w10:wrap type="none"/>
            </v:shape>
            <v:shape style="position:absolute;left:5818;top:2603;width:856;height:339" type="#_x0000_t202" filled="true" fillcolor="#ffffff" stroked="false">
              <v:textbox inset="0,0,0,0">
                <w:txbxContent>
                  <w:p>
                    <w:pPr>
                      <w:spacing w:before="7"/>
                      <w:ind w:left="132" w:right="122" w:firstLine="165"/>
                      <w:jc w:val="left"/>
                      <w:rPr>
                        <w:rFonts w:ascii="Calibri"/>
                        <w:b/>
                        <w:sz w:val="13"/>
                      </w:rPr>
                    </w:pPr>
                    <w:r>
                      <w:rPr>
                        <w:rFonts w:ascii="Calibri"/>
                        <w:b/>
                        <w:w w:val="95"/>
                        <w:sz w:val="13"/>
                      </w:rPr>
                      <w:t>Small </w:t>
                    </w:r>
                    <w:r>
                      <w:rPr>
                        <w:rFonts w:ascii="Calibri"/>
                        <w:b/>
                        <w:w w:val="85"/>
                        <w:sz w:val="13"/>
                      </w:rPr>
                      <w:t>Contributors</w:t>
                    </w:r>
                  </w:p>
                </w:txbxContent>
              </v:textbox>
              <v:fill type="solid"/>
              <w10:wrap type="none"/>
            </v:shape>
            <w10:wrap type="topAndBottom"/>
          </v:group>
        </w:pict>
      </w:r>
    </w:p>
    <w:p>
      <w:pPr>
        <w:pStyle w:val="BodyText"/>
        <w:spacing w:before="1"/>
        <w:rPr>
          <w:sz w:val="25"/>
        </w:rPr>
      </w:pPr>
    </w:p>
    <w:p>
      <w:pPr>
        <w:spacing w:before="0"/>
        <w:ind w:left="1133" w:right="0" w:firstLine="0"/>
        <w:jc w:val="both"/>
        <w:rPr>
          <w:b/>
          <w:sz w:val="24"/>
        </w:rPr>
      </w:pPr>
      <w:r>
        <w:rPr>
          <w:b/>
          <w:sz w:val="24"/>
        </w:rPr>
        <w:t>Figure 29: Emulated Congestion Scenario</w:t>
      </w:r>
    </w:p>
    <w:p>
      <w:pPr>
        <w:spacing w:after="0"/>
        <w:jc w:val="both"/>
        <w:rPr>
          <w:sz w:val="24"/>
        </w:rPr>
        <w:sectPr>
          <w:headerReference w:type="default" r:id="rId293"/>
          <w:pgSz w:w="11910" w:h="16850"/>
          <w:pgMar w:header="852" w:footer="979" w:top="1040" w:bottom="1160" w:left="0" w:right="0"/>
        </w:sectPr>
      </w:pPr>
    </w:p>
    <w:p>
      <w:pPr>
        <w:pStyle w:val="BodyText"/>
        <w:spacing w:before="2"/>
        <w:rPr>
          <w:b/>
          <w:sz w:val="23"/>
        </w:rPr>
      </w:pPr>
    </w:p>
    <w:p>
      <w:pPr>
        <w:pStyle w:val="ListParagraph"/>
        <w:numPr>
          <w:ilvl w:val="0"/>
          <w:numId w:val="37"/>
        </w:numPr>
        <w:tabs>
          <w:tab w:pos="1703" w:val="left" w:leader="none"/>
        </w:tabs>
        <w:spacing w:line="240" w:lineRule="auto" w:before="93" w:after="0"/>
        <w:ind w:left="1702" w:right="1129" w:hanging="286"/>
        <w:jc w:val="both"/>
        <w:rPr>
          <w:sz w:val="20"/>
        </w:rPr>
      </w:pPr>
      <w:r>
        <w:rPr>
          <w:sz w:val="20"/>
        </w:rPr>
        <w:t>12-to-1 emulation ratio was produced for the lab reference devices: the 576 interfering devices are emulated in the lab environment using 48 lab reference devices. The next section explains how</w:t>
      </w:r>
      <w:r>
        <w:rPr>
          <w:spacing w:val="-39"/>
          <w:sz w:val="20"/>
        </w:rPr>
        <w:t> </w:t>
      </w:r>
      <w:r>
        <w:rPr>
          <w:sz w:val="20"/>
        </w:rPr>
        <w:t>the </w:t>
      </w:r>
      <w:r>
        <w:rPr>
          <w:spacing w:val="2"/>
          <w:sz w:val="20"/>
        </w:rPr>
        <w:t>12- </w:t>
      </w:r>
      <w:r>
        <w:rPr>
          <w:sz w:val="20"/>
        </w:rPr>
        <w:t>to-1 ratio is</w:t>
      </w:r>
      <w:r>
        <w:rPr>
          <w:spacing w:val="-11"/>
          <w:sz w:val="20"/>
        </w:rPr>
        <w:t> </w:t>
      </w:r>
      <w:r>
        <w:rPr>
          <w:sz w:val="20"/>
        </w:rPr>
        <w:t>achieved.</w:t>
      </w:r>
    </w:p>
    <w:p>
      <w:pPr>
        <w:pStyle w:val="ListParagraph"/>
        <w:numPr>
          <w:ilvl w:val="0"/>
          <w:numId w:val="37"/>
        </w:numPr>
        <w:tabs>
          <w:tab w:pos="1702" w:val="left" w:leader="none"/>
        </w:tabs>
        <w:spacing w:line="240" w:lineRule="auto" w:before="177" w:after="0"/>
        <w:ind w:left="1702" w:right="1128" w:hanging="286"/>
        <w:jc w:val="both"/>
        <w:rPr>
          <w:sz w:val="20"/>
        </w:rPr>
      </w:pPr>
      <w:r>
        <w:rPr>
          <w:sz w:val="20"/>
        </w:rPr>
        <w:t>Path</w:t>
      </w:r>
      <w:r>
        <w:rPr>
          <w:spacing w:val="-10"/>
          <w:sz w:val="20"/>
        </w:rPr>
        <w:t> </w:t>
      </w:r>
      <w:r>
        <w:rPr>
          <w:sz w:val="20"/>
        </w:rPr>
        <w:t>loss</w:t>
      </w:r>
      <w:r>
        <w:rPr>
          <w:spacing w:val="-13"/>
          <w:sz w:val="20"/>
        </w:rPr>
        <w:t> </w:t>
      </w:r>
      <w:r>
        <w:rPr>
          <w:sz w:val="20"/>
        </w:rPr>
        <w:t>model</w:t>
      </w:r>
      <w:r>
        <w:rPr>
          <w:spacing w:val="-15"/>
          <w:sz w:val="20"/>
        </w:rPr>
        <w:t> </w:t>
      </w:r>
      <w:r>
        <w:rPr>
          <w:sz w:val="20"/>
        </w:rPr>
        <w:t>from</w:t>
      </w:r>
      <w:r>
        <w:rPr>
          <w:spacing w:val="-10"/>
          <w:sz w:val="20"/>
        </w:rPr>
        <w:t> </w:t>
      </w:r>
      <w:r>
        <w:rPr>
          <w:sz w:val="20"/>
        </w:rPr>
        <w:t>3GPP</w:t>
      </w:r>
      <w:r>
        <w:rPr>
          <w:spacing w:val="-12"/>
          <w:sz w:val="20"/>
        </w:rPr>
        <w:t> </w:t>
      </w:r>
      <w:r>
        <w:rPr>
          <w:sz w:val="20"/>
        </w:rPr>
        <w:t>TR</w:t>
      </w:r>
      <w:r>
        <w:rPr>
          <w:spacing w:val="-14"/>
          <w:sz w:val="20"/>
        </w:rPr>
        <w:t> </w:t>
      </w:r>
      <w:r>
        <w:rPr>
          <w:sz w:val="20"/>
        </w:rPr>
        <w:t>36.885:</w:t>
      </w:r>
      <w:r>
        <w:rPr>
          <w:spacing w:val="-12"/>
          <w:sz w:val="20"/>
        </w:rPr>
        <w:t> </w:t>
      </w:r>
      <w:r>
        <w:rPr>
          <w:sz w:val="20"/>
        </w:rPr>
        <w:t>The</w:t>
      </w:r>
      <w:r>
        <w:rPr>
          <w:spacing w:val="-15"/>
          <w:sz w:val="20"/>
        </w:rPr>
        <w:t> </w:t>
      </w:r>
      <w:r>
        <w:rPr>
          <w:sz w:val="20"/>
        </w:rPr>
        <w:t>path</w:t>
      </w:r>
      <w:r>
        <w:rPr>
          <w:spacing w:val="-12"/>
          <w:sz w:val="20"/>
        </w:rPr>
        <w:t> </w:t>
      </w:r>
      <w:r>
        <w:rPr>
          <w:sz w:val="20"/>
        </w:rPr>
        <w:t>loss</w:t>
      </w:r>
      <w:r>
        <w:rPr>
          <w:spacing w:val="-10"/>
          <w:sz w:val="20"/>
        </w:rPr>
        <w:t> </w:t>
      </w:r>
      <w:r>
        <w:rPr>
          <w:sz w:val="20"/>
        </w:rPr>
        <w:t>model</w:t>
      </w:r>
      <w:r>
        <w:rPr>
          <w:spacing w:val="-15"/>
          <w:sz w:val="20"/>
        </w:rPr>
        <w:t> </w:t>
      </w:r>
      <w:r>
        <w:rPr>
          <w:sz w:val="20"/>
        </w:rPr>
        <w:t>is</w:t>
      </w:r>
      <w:r>
        <w:rPr>
          <w:spacing w:val="-13"/>
          <w:sz w:val="20"/>
        </w:rPr>
        <w:t> </w:t>
      </w:r>
      <w:r>
        <w:rPr>
          <w:sz w:val="20"/>
        </w:rPr>
        <w:t>the</w:t>
      </w:r>
      <w:r>
        <w:rPr>
          <w:spacing w:val="-12"/>
          <w:sz w:val="20"/>
        </w:rPr>
        <w:t> </w:t>
      </w:r>
      <w:r>
        <w:rPr>
          <w:sz w:val="20"/>
        </w:rPr>
        <w:t>freeway</w:t>
      </w:r>
      <w:r>
        <w:rPr>
          <w:spacing w:val="-17"/>
          <w:sz w:val="20"/>
        </w:rPr>
        <w:t> </w:t>
      </w:r>
      <w:r>
        <w:rPr>
          <w:sz w:val="20"/>
        </w:rPr>
        <w:t>scenario</w:t>
      </w:r>
      <w:r>
        <w:rPr>
          <w:spacing w:val="-14"/>
          <w:sz w:val="20"/>
        </w:rPr>
        <w:t> </w:t>
      </w:r>
      <w:r>
        <w:rPr>
          <w:sz w:val="20"/>
        </w:rPr>
        <w:t>mentioned</w:t>
      </w:r>
      <w:r>
        <w:rPr>
          <w:spacing w:val="-12"/>
          <w:sz w:val="20"/>
        </w:rPr>
        <w:t> </w:t>
      </w:r>
      <w:r>
        <w:rPr>
          <w:sz w:val="20"/>
        </w:rPr>
        <w:t>in</w:t>
      </w:r>
      <w:r>
        <w:rPr>
          <w:spacing w:val="-12"/>
          <w:sz w:val="20"/>
        </w:rPr>
        <w:t> </w:t>
      </w:r>
      <w:r>
        <w:rPr>
          <w:sz w:val="20"/>
        </w:rPr>
        <w:t>3GPP TR 36.885 Section A.1.4. It specifies the model of LOS in WINNER+B1. Pathloss at 3m is used if distance is less than</w:t>
      </w:r>
      <w:r>
        <w:rPr>
          <w:spacing w:val="-7"/>
          <w:sz w:val="20"/>
        </w:rPr>
        <w:t> </w:t>
      </w:r>
      <w:r>
        <w:rPr>
          <w:sz w:val="20"/>
        </w:rPr>
        <w:t>3m.</w:t>
      </w:r>
    </w:p>
    <w:p>
      <w:pPr>
        <w:pStyle w:val="BodyText"/>
        <w:spacing w:before="179"/>
        <w:ind w:left="1133" w:right="1126"/>
        <w:jc w:val="both"/>
      </w:pPr>
      <w:r>
        <w:rPr/>
        <w:t>Note</w:t>
      </w:r>
      <w:r>
        <w:rPr>
          <w:spacing w:val="-7"/>
        </w:rPr>
        <w:t> </w:t>
      </w:r>
      <w:r>
        <w:rPr/>
        <w:t>that</w:t>
      </w:r>
      <w:r>
        <w:rPr>
          <w:spacing w:val="-5"/>
        </w:rPr>
        <w:t> </w:t>
      </w:r>
      <w:r>
        <w:rPr/>
        <w:t>this</w:t>
      </w:r>
      <w:r>
        <w:rPr>
          <w:spacing w:val="-6"/>
        </w:rPr>
        <w:t> </w:t>
      </w:r>
      <w:r>
        <w:rPr/>
        <w:t>test</w:t>
      </w:r>
      <w:r>
        <w:rPr>
          <w:spacing w:val="-4"/>
        </w:rPr>
        <w:t> </w:t>
      </w:r>
      <w:r>
        <w:rPr/>
        <w:t>exercises</w:t>
      </w:r>
      <w:r>
        <w:rPr>
          <w:spacing w:val="-6"/>
        </w:rPr>
        <w:t> </w:t>
      </w:r>
      <w:r>
        <w:rPr/>
        <w:t>the</w:t>
      </w:r>
      <w:r>
        <w:rPr>
          <w:spacing w:val="-7"/>
        </w:rPr>
        <w:t> </w:t>
      </w:r>
      <w:r>
        <w:rPr/>
        <w:t>congestion</w:t>
      </w:r>
      <w:r>
        <w:rPr>
          <w:spacing w:val="-7"/>
        </w:rPr>
        <w:t> </w:t>
      </w:r>
      <w:r>
        <w:rPr/>
        <w:t>control</w:t>
      </w:r>
      <w:r>
        <w:rPr>
          <w:spacing w:val="-8"/>
        </w:rPr>
        <w:t> </w:t>
      </w:r>
      <w:r>
        <w:rPr/>
        <w:t>feature</w:t>
      </w:r>
      <w:r>
        <w:rPr>
          <w:spacing w:val="-6"/>
        </w:rPr>
        <w:t> </w:t>
      </w:r>
      <w:r>
        <w:rPr/>
        <w:t>on</w:t>
      </w:r>
      <w:r>
        <w:rPr>
          <w:spacing w:val="-5"/>
        </w:rPr>
        <w:t> </w:t>
      </w:r>
      <w:r>
        <w:rPr/>
        <w:t>the</w:t>
      </w:r>
      <w:r>
        <w:rPr>
          <w:spacing w:val="-7"/>
        </w:rPr>
        <w:t> </w:t>
      </w:r>
      <w:r>
        <w:rPr/>
        <w:t>devices</w:t>
      </w:r>
      <w:r>
        <w:rPr>
          <w:spacing w:val="-6"/>
        </w:rPr>
        <w:t> </w:t>
      </w:r>
      <w:r>
        <w:rPr/>
        <w:t>in</w:t>
      </w:r>
      <w:r>
        <w:rPr>
          <w:spacing w:val="-7"/>
        </w:rPr>
        <w:t> </w:t>
      </w:r>
      <w:r>
        <w:rPr/>
        <w:t>the</w:t>
      </w:r>
      <w:r>
        <w:rPr>
          <w:spacing w:val="-5"/>
        </w:rPr>
        <w:t> </w:t>
      </w:r>
      <w:r>
        <w:rPr/>
        <w:t>lab</w:t>
      </w:r>
      <w:r>
        <w:rPr>
          <w:spacing w:val="-7"/>
        </w:rPr>
        <w:t> </w:t>
      </w:r>
      <w:r>
        <w:rPr/>
        <w:t>setup.</w:t>
      </w:r>
      <w:r>
        <w:rPr>
          <w:spacing w:val="-10"/>
        </w:rPr>
        <w:t> </w:t>
      </w:r>
      <w:r>
        <w:rPr/>
        <w:t>Without</w:t>
      </w:r>
      <w:r>
        <w:rPr>
          <w:spacing w:val="-7"/>
        </w:rPr>
        <w:t> </w:t>
      </w:r>
      <w:r>
        <w:rPr/>
        <w:t>congestion control,</w:t>
      </w:r>
      <w:r>
        <w:rPr>
          <w:spacing w:val="-5"/>
        </w:rPr>
        <w:t> </w:t>
      </w:r>
      <w:r>
        <w:rPr/>
        <w:t>all</w:t>
      </w:r>
      <w:r>
        <w:rPr>
          <w:spacing w:val="-6"/>
        </w:rPr>
        <w:t> </w:t>
      </w:r>
      <w:r>
        <w:rPr/>
        <w:t>devices</w:t>
      </w:r>
      <w:r>
        <w:rPr>
          <w:spacing w:val="-5"/>
        </w:rPr>
        <w:t> </w:t>
      </w:r>
      <w:r>
        <w:rPr/>
        <w:t>would</w:t>
      </w:r>
      <w:r>
        <w:rPr>
          <w:spacing w:val="-6"/>
        </w:rPr>
        <w:t> </w:t>
      </w:r>
      <w:r>
        <w:rPr/>
        <w:t>transmit</w:t>
      </w:r>
      <w:r>
        <w:rPr>
          <w:spacing w:val="-5"/>
        </w:rPr>
        <w:t> </w:t>
      </w:r>
      <w:r>
        <w:rPr/>
        <w:t>a</w:t>
      </w:r>
      <w:r>
        <w:rPr>
          <w:spacing w:val="-6"/>
        </w:rPr>
        <w:t> </w:t>
      </w:r>
      <w:r>
        <w:rPr/>
        <w:t>BSM</w:t>
      </w:r>
      <w:r>
        <w:rPr>
          <w:spacing w:val="-6"/>
        </w:rPr>
        <w:t> </w:t>
      </w:r>
      <w:r>
        <w:rPr/>
        <w:t>every</w:t>
      </w:r>
      <w:r>
        <w:rPr>
          <w:spacing w:val="-9"/>
        </w:rPr>
        <w:t> </w:t>
      </w:r>
      <w:r>
        <w:rPr/>
        <w:t>100</w:t>
      </w:r>
      <w:r>
        <w:rPr>
          <w:spacing w:val="-6"/>
        </w:rPr>
        <w:t> </w:t>
      </w:r>
      <w:r>
        <w:rPr/>
        <w:t>ms.</w:t>
      </w:r>
      <w:r>
        <w:rPr>
          <w:spacing w:val="-5"/>
        </w:rPr>
        <w:t> </w:t>
      </w:r>
      <w:r>
        <w:rPr/>
        <w:t>Each</w:t>
      </w:r>
      <w:r>
        <w:rPr>
          <w:spacing w:val="-6"/>
        </w:rPr>
        <w:t> </w:t>
      </w:r>
      <w:r>
        <w:rPr/>
        <w:t>of</w:t>
      </w:r>
      <w:r>
        <w:rPr>
          <w:spacing w:val="-4"/>
        </w:rPr>
        <w:t> </w:t>
      </w:r>
      <w:r>
        <w:rPr/>
        <w:t>the</w:t>
      </w:r>
      <w:r>
        <w:rPr>
          <w:spacing w:val="-6"/>
        </w:rPr>
        <w:t> </w:t>
      </w:r>
      <w:r>
        <w:rPr/>
        <w:t>48</w:t>
      </w:r>
      <w:r>
        <w:rPr>
          <w:spacing w:val="-6"/>
        </w:rPr>
        <w:t> </w:t>
      </w:r>
      <w:r>
        <w:rPr/>
        <w:t>reference</w:t>
      </w:r>
      <w:r>
        <w:rPr>
          <w:spacing w:val="-6"/>
        </w:rPr>
        <w:t> </w:t>
      </w:r>
      <w:r>
        <w:rPr/>
        <w:t>devices</w:t>
      </w:r>
      <w:r>
        <w:rPr>
          <w:spacing w:val="-5"/>
        </w:rPr>
        <w:t> </w:t>
      </w:r>
      <w:r>
        <w:rPr/>
        <w:t>generates</w:t>
      </w:r>
      <w:r>
        <w:rPr>
          <w:spacing w:val="-5"/>
        </w:rPr>
        <w:t> </w:t>
      </w:r>
      <w:r>
        <w:rPr/>
        <w:t>two</w:t>
      </w:r>
      <w:r>
        <w:rPr>
          <w:spacing w:val="-3"/>
        </w:rPr>
        <w:t> </w:t>
      </w:r>
      <w:r>
        <w:rPr/>
        <w:t>SPS transmissions occupying four subframes every 100 ms (one transmission and one retransmission per SPS, each using 50 out of 50 RBs per subframe). Given that </w:t>
      </w:r>
      <w:r>
        <w:rPr>
          <w:spacing w:val="2"/>
        </w:rPr>
        <w:t>all </w:t>
      </w:r>
      <w:r>
        <w:rPr/>
        <w:t>the devices are within communication range, this setup would produce a load of (48*4)/100 = 192%, almost twice what the channel bandwidth can support. Without</w:t>
      </w:r>
      <w:r>
        <w:rPr>
          <w:spacing w:val="-10"/>
        </w:rPr>
        <w:t> </w:t>
      </w:r>
      <w:r>
        <w:rPr/>
        <w:t>congestion</w:t>
      </w:r>
      <w:r>
        <w:rPr>
          <w:spacing w:val="-10"/>
        </w:rPr>
        <w:t> </w:t>
      </w:r>
      <w:r>
        <w:rPr/>
        <w:t>control,</w:t>
      </w:r>
      <w:r>
        <w:rPr>
          <w:spacing w:val="-8"/>
        </w:rPr>
        <w:t> </w:t>
      </w:r>
      <w:r>
        <w:rPr/>
        <w:t>the</w:t>
      </w:r>
      <w:r>
        <w:rPr>
          <w:spacing w:val="-10"/>
        </w:rPr>
        <w:t> </w:t>
      </w:r>
      <w:r>
        <w:rPr/>
        <w:t>system</w:t>
      </w:r>
      <w:r>
        <w:rPr>
          <w:spacing w:val="-6"/>
        </w:rPr>
        <w:t> </w:t>
      </w:r>
      <w:r>
        <w:rPr/>
        <w:t>would</w:t>
      </w:r>
      <w:r>
        <w:rPr>
          <w:spacing w:val="-10"/>
        </w:rPr>
        <w:t> </w:t>
      </w:r>
      <w:r>
        <w:rPr/>
        <w:t>fail</w:t>
      </w:r>
      <w:r>
        <w:rPr>
          <w:spacing w:val="-10"/>
        </w:rPr>
        <w:t> </w:t>
      </w:r>
      <w:r>
        <w:rPr/>
        <w:t>to</w:t>
      </w:r>
      <w:r>
        <w:rPr>
          <w:spacing w:val="-10"/>
        </w:rPr>
        <w:t> </w:t>
      </w:r>
      <w:r>
        <w:rPr/>
        <w:t>support</w:t>
      </w:r>
      <w:r>
        <w:rPr>
          <w:spacing w:val="-10"/>
        </w:rPr>
        <w:t> </w:t>
      </w:r>
      <w:r>
        <w:rPr/>
        <w:t>every</w:t>
      </w:r>
      <w:r>
        <w:rPr>
          <w:spacing w:val="-10"/>
        </w:rPr>
        <w:t> </w:t>
      </w:r>
      <w:r>
        <w:rPr/>
        <w:t>user</w:t>
      </w:r>
      <w:r>
        <w:rPr>
          <w:spacing w:val="-9"/>
        </w:rPr>
        <w:t> </w:t>
      </w:r>
      <w:r>
        <w:rPr/>
        <w:t>in</w:t>
      </w:r>
      <w:r>
        <w:rPr>
          <w:spacing w:val="-10"/>
        </w:rPr>
        <w:t> </w:t>
      </w:r>
      <w:r>
        <w:rPr/>
        <w:t>the</w:t>
      </w:r>
      <w:r>
        <w:rPr>
          <w:spacing w:val="-10"/>
        </w:rPr>
        <w:t> </w:t>
      </w:r>
      <w:r>
        <w:rPr/>
        <w:t>system</w:t>
      </w:r>
      <w:r>
        <w:rPr>
          <w:spacing w:val="-8"/>
        </w:rPr>
        <w:t> </w:t>
      </w:r>
      <w:r>
        <w:rPr/>
        <w:t>and</w:t>
      </w:r>
      <w:r>
        <w:rPr>
          <w:spacing w:val="-10"/>
        </w:rPr>
        <w:t> </w:t>
      </w:r>
      <w:r>
        <w:rPr/>
        <w:t>result</w:t>
      </w:r>
      <w:r>
        <w:rPr>
          <w:spacing w:val="-10"/>
        </w:rPr>
        <w:t> </w:t>
      </w:r>
      <w:r>
        <w:rPr/>
        <w:t>in</w:t>
      </w:r>
      <w:r>
        <w:rPr>
          <w:spacing w:val="-10"/>
        </w:rPr>
        <w:t> </w:t>
      </w:r>
      <w:r>
        <w:rPr/>
        <w:t>large</w:t>
      </w:r>
      <w:r>
        <w:rPr>
          <w:spacing w:val="-10"/>
        </w:rPr>
        <w:t> </w:t>
      </w:r>
      <w:r>
        <w:rPr/>
        <w:t>packet drops due to the high</w:t>
      </w:r>
      <w:r>
        <w:rPr>
          <w:spacing w:val="-7"/>
        </w:rPr>
        <w:t> </w:t>
      </w:r>
      <w:r>
        <w:rPr/>
        <w:t>load.</w:t>
      </w:r>
    </w:p>
    <w:p>
      <w:pPr>
        <w:pStyle w:val="BodyText"/>
        <w:spacing w:before="1"/>
        <w:rPr>
          <w:sz w:val="26"/>
        </w:rPr>
      </w:pPr>
    </w:p>
    <w:p>
      <w:pPr>
        <w:pStyle w:val="Heading6"/>
        <w:numPr>
          <w:ilvl w:val="4"/>
          <w:numId w:val="36"/>
        </w:numPr>
        <w:tabs>
          <w:tab w:pos="2834" w:val="left" w:leader="none"/>
          <w:tab w:pos="2835" w:val="left" w:leader="none"/>
        </w:tabs>
        <w:spacing w:line="240" w:lineRule="auto" w:before="0" w:after="0"/>
        <w:ind w:left="2834" w:right="0" w:hanging="1701"/>
        <w:jc w:val="both"/>
      </w:pPr>
      <w:r>
        <w:rPr/>
        <w:t>Assumptions</w:t>
      </w:r>
    </w:p>
    <w:p>
      <w:pPr>
        <w:pStyle w:val="BodyText"/>
        <w:spacing w:before="178"/>
        <w:ind w:left="1133"/>
        <w:jc w:val="both"/>
      </w:pPr>
      <w:r>
        <w:rPr/>
        <w:t>For C-V2X, the devices should be pre-configured as mentioned in section 7.4.1.1.3.</w:t>
      </w:r>
    </w:p>
    <w:p>
      <w:pPr>
        <w:pStyle w:val="BodyText"/>
        <w:spacing w:before="180"/>
        <w:ind w:left="1133" w:right="1133"/>
        <w:jc w:val="both"/>
      </w:pPr>
      <w:r>
        <w:rPr/>
        <w:t>The operating system time of all devices is synchronized to a common clock (e.g., GPS) with an error of no more than 1 ms. This requirement ensures that end-to-end latency between the transmitter and receiver can be</w:t>
      </w:r>
      <w:r>
        <w:rPr>
          <w:spacing w:val="-6"/>
        </w:rPr>
        <w:t> </w:t>
      </w:r>
      <w:r>
        <w:rPr/>
        <w:t>measured</w:t>
      </w:r>
      <w:r>
        <w:rPr>
          <w:spacing w:val="-3"/>
        </w:rPr>
        <w:t> </w:t>
      </w:r>
      <w:r>
        <w:rPr/>
        <w:t>with</w:t>
      </w:r>
      <w:r>
        <w:rPr>
          <w:spacing w:val="-4"/>
        </w:rPr>
        <w:t> </w:t>
      </w:r>
      <w:r>
        <w:rPr/>
        <w:t>an</w:t>
      </w:r>
      <w:r>
        <w:rPr>
          <w:spacing w:val="-6"/>
        </w:rPr>
        <w:t> </w:t>
      </w:r>
      <w:r>
        <w:rPr/>
        <w:t>accuracy</w:t>
      </w:r>
      <w:r>
        <w:rPr>
          <w:spacing w:val="-6"/>
        </w:rPr>
        <w:t> </w:t>
      </w:r>
      <w:r>
        <w:rPr/>
        <w:t>of</w:t>
      </w:r>
      <w:r>
        <w:rPr>
          <w:spacing w:val="-4"/>
        </w:rPr>
        <w:t> </w:t>
      </w:r>
      <w:r>
        <w:rPr/>
        <w:t>2</w:t>
      </w:r>
      <w:r>
        <w:rPr>
          <w:spacing w:val="-6"/>
        </w:rPr>
        <w:t> </w:t>
      </w:r>
      <w:r>
        <w:rPr/>
        <w:t>ms.</w:t>
      </w:r>
      <w:r>
        <w:rPr>
          <w:spacing w:val="-5"/>
        </w:rPr>
        <w:t> </w:t>
      </w:r>
      <w:r>
        <w:rPr/>
        <w:t>(This</w:t>
      </w:r>
      <w:r>
        <w:rPr>
          <w:spacing w:val="-4"/>
        </w:rPr>
        <w:t> </w:t>
      </w:r>
      <w:r>
        <w:rPr/>
        <w:t>requirement</w:t>
      </w:r>
      <w:r>
        <w:rPr>
          <w:spacing w:val="-3"/>
        </w:rPr>
        <w:t> </w:t>
      </w:r>
      <w:r>
        <w:rPr/>
        <w:t>does</w:t>
      </w:r>
      <w:r>
        <w:rPr>
          <w:spacing w:val="-2"/>
        </w:rPr>
        <w:t> </w:t>
      </w:r>
      <w:r>
        <w:rPr/>
        <w:t>not</w:t>
      </w:r>
      <w:r>
        <w:rPr>
          <w:spacing w:val="-3"/>
        </w:rPr>
        <w:t> </w:t>
      </w:r>
      <w:r>
        <w:rPr/>
        <w:t>relate</w:t>
      </w:r>
      <w:r>
        <w:rPr>
          <w:spacing w:val="-4"/>
        </w:rPr>
        <w:t> </w:t>
      </w:r>
      <w:r>
        <w:rPr/>
        <w:t>to</w:t>
      </w:r>
      <w:r>
        <w:rPr>
          <w:spacing w:val="-4"/>
        </w:rPr>
        <w:t> </w:t>
      </w:r>
      <w:r>
        <w:rPr/>
        <w:t>the</w:t>
      </w:r>
      <w:r>
        <w:rPr>
          <w:spacing w:val="-6"/>
        </w:rPr>
        <w:t> </w:t>
      </w:r>
      <w:r>
        <w:rPr/>
        <w:t>requirement</w:t>
      </w:r>
      <w:r>
        <w:rPr>
          <w:spacing w:val="-5"/>
        </w:rPr>
        <w:t> </w:t>
      </w:r>
      <w:r>
        <w:rPr/>
        <w:t>of</w:t>
      </w:r>
      <w:r>
        <w:rPr>
          <w:spacing w:val="-4"/>
        </w:rPr>
        <w:t> </w:t>
      </w:r>
      <w:r>
        <w:rPr/>
        <w:t>the</w:t>
      </w:r>
      <w:r>
        <w:rPr>
          <w:spacing w:val="-3"/>
        </w:rPr>
        <w:t> </w:t>
      </w:r>
      <w:r>
        <w:rPr/>
        <w:t>PHY</w:t>
      </w:r>
      <w:r>
        <w:rPr>
          <w:spacing w:val="-3"/>
        </w:rPr>
        <w:t> </w:t>
      </w:r>
      <w:r>
        <w:rPr/>
        <w:t>layer synchronization.)</w:t>
      </w:r>
    </w:p>
    <w:p>
      <w:pPr>
        <w:pStyle w:val="BodyText"/>
        <w:spacing w:before="1"/>
        <w:rPr>
          <w:sz w:val="26"/>
        </w:rPr>
      </w:pPr>
    </w:p>
    <w:p>
      <w:pPr>
        <w:pStyle w:val="Heading6"/>
        <w:numPr>
          <w:ilvl w:val="4"/>
          <w:numId w:val="36"/>
        </w:numPr>
        <w:tabs>
          <w:tab w:pos="2834" w:val="left" w:leader="none"/>
          <w:tab w:pos="2835" w:val="left" w:leader="none"/>
        </w:tabs>
        <w:spacing w:line="240" w:lineRule="auto" w:before="0" w:after="0"/>
        <w:ind w:left="2834" w:right="0" w:hanging="1701"/>
        <w:jc w:val="both"/>
      </w:pPr>
      <w:r>
        <w:rPr/>
        <w:t>Setup</w:t>
      </w:r>
    </w:p>
    <w:p>
      <w:pPr>
        <w:pStyle w:val="BodyText"/>
        <w:spacing w:before="180"/>
        <w:ind w:left="1133" w:right="1143"/>
        <w:jc w:val="both"/>
      </w:pPr>
      <w:r>
        <w:rPr/>
        <w:t>Fully cabled setup, using RF cables and arrays of splitters and combiners to connect all required devices, is used to construct this setup. A cabled environment is more controlled and repeatable.</w:t>
      </w:r>
    </w:p>
    <w:p>
      <w:pPr>
        <w:pStyle w:val="BodyText"/>
        <w:spacing w:before="10"/>
        <w:rPr>
          <w:sz w:val="15"/>
        </w:rPr>
      </w:pPr>
    </w:p>
    <w:tbl>
      <w:tblPr>
        <w:tblW w:w="0" w:type="auto"/>
        <w:jc w:val="left"/>
        <w:tblInd w:w="3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5"/>
        <w:gridCol w:w="2463"/>
      </w:tblGrid>
      <w:tr>
        <w:trPr>
          <w:trHeight w:val="219" w:hRule="exact"/>
        </w:trPr>
        <w:tc>
          <w:tcPr>
            <w:tcW w:w="2465" w:type="dxa"/>
            <w:shd w:val="clear" w:color="auto" w:fill="D9D9D9"/>
          </w:tcPr>
          <w:p>
            <w:pPr>
              <w:pStyle w:val="TableParagraph"/>
              <w:spacing w:line="201" w:lineRule="exact"/>
              <w:rPr>
                <w:b/>
                <w:sz w:val="18"/>
              </w:rPr>
            </w:pPr>
            <w:r>
              <w:rPr>
                <w:b/>
                <w:sz w:val="18"/>
              </w:rPr>
              <w:t>Configuration</w:t>
            </w:r>
          </w:p>
        </w:tc>
        <w:tc>
          <w:tcPr>
            <w:tcW w:w="2463" w:type="dxa"/>
            <w:shd w:val="clear" w:color="auto" w:fill="D9D9D9"/>
          </w:tcPr>
          <w:p>
            <w:pPr>
              <w:pStyle w:val="TableParagraph"/>
              <w:spacing w:line="201" w:lineRule="exact"/>
              <w:rPr>
                <w:b/>
                <w:sz w:val="18"/>
              </w:rPr>
            </w:pPr>
            <w:r>
              <w:rPr>
                <w:b/>
                <w:sz w:val="18"/>
              </w:rPr>
              <w:t>C-V2X</w:t>
            </w:r>
          </w:p>
        </w:tc>
      </w:tr>
      <w:tr>
        <w:trPr>
          <w:trHeight w:val="216" w:hRule="exact"/>
        </w:trPr>
        <w:tc>
          <w:tcPr>
            <w:tcW w:w="2465" w:type="dxa"/>
          </w:tcPr>
          <w:p>
            <w:pPr>
              <w:pStyle w:val="TableParagraph"/>
              <w:rPr>
                <w:sz w:val="18"/>
              </w:rPr>
            </w:pPr>
            <w:r>
              <w:rPr>
                <w:sz w:val="18"/>
              </w:rPr>
              <w:t>Channel</w:t>
            </w:r>
          </w:p>
        </w:tc>
        <w:tc>
          <w:tcPr>
            <w:tcW w:w="2463" w:type="dxa"/>
          </w:tcPr>
          <w:p>
            <w:pPr>
              <w:pStyle w:val="TableParagraph"/>
              <w:rPr>
                <w:sz w:val="18"/>
              </w:rPr>
            </w:pPr>
            <w:r>
              <w:rPr>
                <w:sz w:val="18"/>
              </w:rPr>
              <w:t>5890 MHz (Channel 178)</w:t>
            </w:r>
          </w:p>
        </w:tc>
      </w:tr>
    </w:tbl>
    <w:p>
      <w:pPr>
        <w:pStyle w:val="BodyText"/>
        <w:rPr>
          <w:sz w:val="22"/>
        </w:rPr>
      </w:pPr>
    </w:p>
    <w:p>
      <w:pPr>
        <w:pStyle w:val="BodyText"/>
        <w:spacing w:before="154"/>
        <w:ind w:left="1416"/>
      </w:pPr>
      <w:r>
        <w:rPr/>
        <w:t>NOTE:  The following describes the cabled lab setup:</w:t>
      </w:r>
    </w:p>
    <w:p>
      <w:pPr>
        <w:pStyle w:val="BodyText"/>
        <w:spacing w:before="179"/>
        <w:ind w:left="1416" w:right="1137"/>
        <w:jc w:val="both"/>
      </w:pPr>
      <w:r>
        <w:rPr/>
        <w:t>In</w:t>
      </w:r>
      <w:r>
        <w:rPr>
          <w:spacing w:val="-8"/>
        </w:rPr>
        <w:t> </w:t>
      </w:r>
      <w:r>
        <w:rPr/>
        <w:t>this</w:t>
      </w:r>
      <w:r>
        <w:rPr>
          <w:spacing w:val="-7"/>
        </w:rPr>
        <w:t> </w:t>
      </w:r>
      <w:r>
        <w:rPr/>
        <w:t>setup,</w:t>
      </w:r>
      <w:r>
        <w:rPr>
          <w:spacing w:val="-6"/>
        </w:rPr>
        <w:t> </w:t>
      </w:r>
      <w:r>
        <w:rPr/>
        <w:t>multiple</w:t>
      </w:r>
      <w:r>
        <w:rPr>
          <w:spacing w:val="-8"/>
        </w:rPr>
        <w:t> </w:t>
      </w:r>
      <w:r>
        <w:rPr/>
        <w:t>reference</w:t>
      </w:r>
      <w:r>
        <w:rPr>
          <w:spacing w:val="-8"/>
        </w:rPr>
        <w:t> </w:t>
      </w:r>
      <w:r>
        <w:rPr/>
        <w:t>devices</w:t>
      </w:r>
      <w:r>
        <w:rPr>
          <w:spacing w:val="-7"/>
        </w:rPr>
        <w:t> </w:t>
      </w:r>
      <w:r>
        <w:rPr/>
        <w:t>are</w:t>
      </w:r>
      <w:r>
        <w:rPr>
          <w:spacing w:val="-5"/>
        </w:rPr>
        <w:t> </w:t>
      </w:r>
      <w:r>
        <w:rPr/>
        <w:t>used</w:t>
      </w:r>
      <w:r>
        <w:rPr>
          <w:spacing w:val="-6"/>
        </w:rPr>
        <w:t> </w:t>
      </w:r>
      <w:r>
        <w:rPr/>
        <w:t>(sometimes</w:t>
      </w:r>
      <w:r>
        <w:rPr>
          <w:spacing w:val="-7"/>
        </w:rPr>
        <w:t> </w:t>
      </w:r>
      <w:r>
        <w:rPr/>
        <w:t>referred</w:t>
      </w:r>
      <w:r>
        <w:rPr>
          <w:spacing w:val="-8"/>
        </w:rPr>
        <w:t> </w:t>
      </w:r>
      <w:r>
        <w:rPr/>
        <w:t>to</w:t>
      </w:r>
      <w:r>
        <w:rPr>
          <w:spacing w:val="-8"/>
        </w:rPr>
        <w:t> </w:t>
      </w:r>
      <w:r>
        <w:rPr/>
        <w:t>as</w:t>
      </w:r>
      <w:r>
        <w:rPr>
          <w:spacing w:val="-5"/>
        </w:rPr>
        <w:t> </w:t>
      </w:r>
      <w:r>
        <w:rPr/>
        <w:t>“REF”),</w:t>
      </w:r>
      <w:r>
        <w:rPr>
          <w:spacing w:val="-8"/>
        </w:rPr>
        <w:t> </w:t>
      </w:r>
      <w:r>
        <w:rPr/>
        <w:t>and</w:t>
      </w:r>
      <w:r>
        <w:rPr>
          <w:spacing w:val="-6"/>
        </w:rPr>
        <w:t> </w:t>
      </w:r>
      <w:r>
        <w:rPr/>
        <w:t>their</w:t>
      </w:r>
      <w:r>
        <w:rPr>
          <w:spacing w:val="-5"/>
        </w:rPr>
        <w:t> </w:t>
      </w:r>
      <w:r>
        <w:rPr/>
        <w:t>purpose</w:t>
      </w:r>
      <w:r>
        <w:rPr>
          <w:spacing w:val="-6"/>
        </w:rPr>
        <w:t> </w:t>
      </w:r>
      <w:r>
        <w:rPr/>
        <w:t>is</w:t>
      </w:r>
      <w:r>
        <w:rPr>
          <w:spacing w:val="-7"/>
        </w:rPr>
        <w:t> </w:t>
      </w:r>
      <w:r>
        <w:rPr/>
        <w:t>to generate the traffic that will provide the congested environment. In addition, two devices under test (DUT) are used, referred to as DUT1 and</w:t>
      </w:r>
      <w:r>
        <w:rPr>
          <w:spacing w:val="-8"/>
        </w:rPr>
        <w:t> </w:t>
      </w:r>
      <w:r>
        <w:rPr/>
        <w:t>DUT2.</w:t>
      </w:r>
    </w:p>
    <w:p>
      <w:pPr>
        <w:pStyle w:val="BodyText"/>
        <w:spacing w:before="177"/>
        <w:ind w:left="1188"/>
        <w:jc w:val="both"/>
      </w:pPr>
      <w:r>
        <w:rPr/>
        <w:t>In this setup:</w:t>
      </w:r>
    </w:p>
    <w:p>
      <w:pPr>
        <w:pStyle w:val="ListParagraph"/>
        <w:numPr>
          <w:ilvl w:val="0"/>
          <w:numId w:val="38"/>
        </w:numPr>
        <w:tabs>
          <w:tab w:pos="1701" w:val="left" w:leader="none"/>
          <w:tab w:pos="1702" w:val="left" w:leader="none"/>
        </w:tabs>
        <w:spacing w:line="240" w:lineRule="auto" w:before="180" w:after="0"/>
        <w:ind w:left="1702" w:right="0" w:hanging="286"/>
        <w:jc w:val="left"/>
        <w:rPr>
          <w:sz w:val="20"/>
        </w:rPr>
      </w:pPr>
      <w:r>
        <w:rPr>
          <w:sz w:val="20"/>
        </w:rPr>
        <w:t>All devices will be cabled up and connected via splitters and</w:t>
      </w:r>
      <w:r>
        <w:rPr>
          <w:spacing w:val="-26"/>
          <w:sz w:val="20"/>
        </w:rPr>
        <w:t> </w:t>
      </w:r>
      <w:r>
        <w:rPr>
          <w:sz w:val="20"/>
        </w:rPr>
        <w:t>combiners.</w:t>
      </w:r>
    </w:p>
    <w:p>
      <w:pPr>
        <w:pStyle w:val="ListParagraph"/>
        <w:numPr>
          <w:ilvl w:val="0"/>
          <w:numId w:val="38"/>
        </w:numPr>
        <w:tabs>
          <w:tab w:pos="1701" w:val="left" w:leader="none"/>
          <w:tab w:pos="1702" w:val="left" w:leader="none"/>
        </w:tabs>
        <w:spacing w:line="240" w:lineRule="auto" w:before="180" w:after="0"/>
        <w:ind w:left="1701" w:right="0" w:hanging="285"/>
        <w:jc w:val="left"/>
        <w:rPr>
          <w:sz w:val="20"/>
        </w:rPr>
      </w:pPr>
      <w:r>
        <w:rPr>
          <w:sz w:val="20"/>
        </w:rPr>
        <w:t>Adequate insulation is required to prevent</w:t>
      </w:r>
      <w:r>
        <w:rPr>
          <w:spacing w:val="-20"/>
          <w:sz w:val="20"/>
        </w:rPr>
        <w:t> </w:t>
      </w:r>
      <w:r>
        <w:rPr>
          <w:sz w:val="20"/>
        </w:rPr>
        <w:t>leakages.</w:t>
      </w:r>
    </w:p>
    <w:p>
      <w:pPr>
        <w:pStyle w:val="ListParagraph"/>
        <w:numPr>
          <w:ilvl w:val="0"/>
          <w:numId w:val="38"/>
        </w:numPr>
        <w:tabs>
          <w:tab w:pos="1702" w:val="left" w:leader="none"/>
        </w:tabs>
        <w:spacing w:line="240" w:lineRule="auto" w:before="180" w:after="0"/>
        <w:ind w:left="1702" w:right="1129" w:hanging="286"/>
        <w:jc w:val="both"/>
        <w:rPr>
          <w:sz w:val="20"/>
        </w:rPr>
      </w:pPr>
      <w:r>
        <w:rPr>
          <w:sz w:val="20"/>
        </w:rPr>
        <w:t>The setup needs to use splitters/combiners that satisfy the requirements in the frequency range of C- V2X</w:t>
      </w:r>
      <w:r>
        <w:rPr>
          <w:spacing w:val="-6"/>
          <w:sz w:val="20"/>
        </w:rPr>
        <w:t> </w:t>
      </w:r>
      <w:r>
        <w:rPr>
          <w:sz w:val="20"/>
        </w:rPr>
        <w:t>operation.</w:t>
      </w:r>
    </w:p>
    <w:p>
      <w:pPr>
        <w:pStyle w:val="BodyText"/>
        <w:spacing w:before="180"/>
        <w:ind w:left="1133"/>
        <w:jc w:val="both"/>
      </w:pPr>
      <w:r>
        <w:rPr/>
        <w:t>To control the experiment, use either or both of these:</w:t>
      </w:r>
    </w:p>
    <w:p>
      <w:pPr>
        <w:pStyle w:val="ListParagraph"/>
        <w:numPr>
          <w:ilvl w:val="0"/>
          <w:numId w:val="38"/>
        </w:numPr>
        <w:tabs>
          <w:tab w:pos="1701" w:val="left" w:leader="none"/>
          <w:tab w:pos="1702" w:val="left" w:leader="none"/>
        </w:tabs>
        <w:spacing w:line="240" w:lineRule="auto" w:before="177" w:after="0"/>
        <w:ind w:left="1701" w:right="0" w:hanging="285"/>
        <w:jc w:val="left"/>
        <w:rPr>
          <w:sz w:val="20"/>
        </w:rPr>
      </w:pPr>
      <w:r>
        <w:rPr>
          <w:sz w:val="20"/>
        </w:rPr>
        <w:t>External PC/laptop</w:t>
      </w:r>
      <w:r>
        <w:rPr>
          <w:spacing w:val="-9"/>
          <w:sz w:val="20"/>
        </w:rPr>
        <w:t> </w:t>
      </w:r>
      <w:r>
        <w:rPr>
          <w:sz w:val="20"/>
        </w:rPr>
        <w:t>units</w:t>
      </w:r>
    </w:p>
    <w:p>
      <w:pPr>
        <w:pStyle w:val="ListParagraph"/>
        <w:numPr>
          <w:ilvl w:val="0"/>
          <w:numId w:val="38"/>
        </w:numPr>
        <w:tabs>
          <w:tab w:pos="1701" w:val="left" w:leader="none"/>
          <w:tab w:pos="1702" w:val="left" w:leader="none"/>
        </w:tabs>
        <w:spacing w:line="427" w:lineRule="auto" w:before="179" w:after="0"/>
        <w:ind w:left="1133" w:right="1367" w:firstLine="283"/>
        <w:jc w:val="left"/>
        <w:rPr>
          <w:sz w:val="20"/>
        </w:rPr>
      </w:pPr>
      <w:r>
        <w:rPr>
          <w:sz w:val="20"/>
        </w:rPr>
        <w:t>Connection of the modules/devices by wired LAN or 2.4 GHz </w:t>
      </w:r>
      <w:r>
        <w:rPr>
          <w:spacing w:val="2"/>
          <w:sz w:val="20"/>
        </w:rPr>
        <w:t>Wi-Fi </w:t>
      </w:r>
      <w:r>
        <w:rPr>
          <w:sz w:val="20"/>
        </w:rPr>
        <w:t>to centrally controlled</w:t>
      </w:r>
      <w:r>
        <w:rPr>
          <w:spacing w:val="-37"/>
          <w:sz w:val="20"/>
        </w:rPr>
        <w:t> </w:t>
      </w:r>
      <w:r>
        <w:rPr>
          <w:sz w:val="20"/>
        </w:rPr>
        <w:t>equipment Figure 30 is a diagrammatic description of the setup.  Notes for reading the</w:t>
      </w:r>
      <w:r>
        <w:rPr>
          <w:spacing w:val="-15"/>
          <w:sz w:val="20"/>
        </w:rPr>
        <w:t> </w:t>
      </w:r>
      <w:r>
        <w:rPr>
          <w:sz w:val="20"/>
        </w:rPr>
        <w:t>diagram:</w:t>
      </w:r>
    </w:p>
    <w:p>
      <w:pPr>
        <w:pStyle w:val="ListParagraph"/>
        <w:numPr>
          <w:ilvl w:val="0"/>
          <w:numId w:val="38"/>
        </w:numPr>
        <w:tabs>
          <w:tab w:pos="1702" w:val="left" w:leader="none"/>
          <w:tab w:pos="1703" w:val="left" w:leader="none"/>
        </w:tabs>
        <w:spacing w:line="240" w:lineRule="auto" w:before="5" w:after="0"/>
        <w:ind w:left="1702" w:right="0" w:hanging="286"/>
        <w:jc w:val="left"/>
        <w:rPr>
          <w:sz w:val="20"/>
        </w:rPr>
      </w:pPr>
      <w:r>
        <w:rPr>
          <w:sz w:val="20"/>
        </w:rPr>
        <w:t>The devices labelled “UE” are reference devices [Congesting</w:t>
      </w:r>
      <w:r>
        <w:rPr>
          <w:spacing w:val="-21"/>
          <w:sz w:val="20"/>
        </w:rPr>
        <w:t> </w:t>
      </w:r>
      <w:r>
        <w:rPr>
          <w:sz w:val="20"/>
        </w:rPr>
        <w:t>Devices].</w:t>
      </w:r>
    </w:p>
    <w:p>
      <w:pPr>
        <w:pStyle w:val="ListParagraph"/>
        <w:numPr>
          <w:ilvl w:val="0"/>
          <w:numId w:val="38"/>
        </w:numPr>
        <w:tabs>
          <w:tab w:pos="1702" w:val="left" w:leader="none"/>
          <w:tab w:pos="1703" w:val="left" w:leader="none"/>
        </w:tabs>
        <w:spacing w:line="240" w:lineRule="auto" w:before="180" w:after="0"/>
        <w:ind w:left="1702" w:right="0" w:hanging="286"/>
        <w:jc w:val="left"/>
        <w:rPr>
          <w:sz w:val="20"/>
        </w:rPr>
      </w:pPr>
      <w:r>
        <w:rPr>
          <w:sz w:val="20"/>
        </w:rPr>
        <w:t>“VA” stands for “variable</w:t>
      </w:r>
      <w:r>
        <w:rPr>
          <w:spacing w:val="-15"/>
          <w:sz w:val="20"/>
        </w:rPr>
        <w:t> </w:t>
      </w:r>
      <w:r>
        <w:rPr>
          <w:sz w:val="20"/>
        </w:rPr>
        <w:t>attenuator.”</w:t>
      </w:r>
    </w:p>
    <w:p>
      <w:pPr>
        <w:spacing w:after="0" w:line="240" w:lineRule="auto"/>
        <w:jc w:val="left"/>
        <w:rPr>
          <w:sz w:val="20"/>
        </w:rPr>
        <w:sectPr>
          <w:headerReference w:type="default" r:id="rId300"/>
          <w:pgSz w:w="11910" w:h="16850"/>
          <w:pgMar w:header="852" w:footer="979" w:top="1040" w:bottom="1160" w:left="0" w:right="0"/>
        </w:sectPr>
      </w:pPr>
    </w:p>
    <w:p>
      <w:pPr>
        <w:pStyle w:val="BodyText"/>
      </w:pPr>
    </w:p>
    <w:p>
      <w:pPr>
        <w:pStyle w:val="BodyText"/>
      </w:pPr>
    </w:p>
    <w:p>
      <w:pPr>
        <w:pStyle w:val="BodyText"/>
        <w:spacing w:before="11"/>
        <w:rPr>
          <w:sz w:val="18"/>
        </w:rPr>
      </w:pPr>
    </w:p>
    <w:p>
      <w:pPr>
        <w:pStyle w:val="ListParagraph"/>
        <w:numPr>
          <w:ilvl w:val="0"/>
          <w:numId w:val="38"/>
        </w:numPr>
        <w:tabs>
          <w:tab w:pos="1702" w:val="left" w:leader="none"/>
          <w:tab w:pos="1703" w:val="left" w:leader="none"/>
        </w:tabs>
        <w:spacing w:line="240" w:lineRule="auto" w:before="92" w:after="0"/>
        <w:ind w:left="1702" w:right="0" w:hanging="286"/>
        <w:jc w:val="left"/>
        <w:rPr>
          <w:sz w:val="20"/>
        </w:rPr>
      </w:pPr>
      <w:r>
        <w:rPr>
          <w:sz w:val="20"/>
        </w:rPr>
        <w:t>DUT1 and DUT2 are shown as “HV” and “RV,”</w:t>
      </w:r>
      <w:r>
        <w:rPr>
          <w:spacing w:val="-20"/>
          <w:sz w:val="20"/>
        </w:rPr>
        <w:t> </w:t>
      </w:r>
      <w:r>
        <w:rPr>
          <w:sz w:val="20"/>
        </w:rPr>
        <w:t>respectively.</w:t>
      </w:r>
    </w:p>
    <w:p>
      <w:pPr>
        <w:pStyle w:val="ListParagraph"/>
        <w:numPr>
          <w:ilvl w:val="0"/>
          <w:numId w:val="38"/>
        </w:numPr>
        <w:tabs>
          <w:tab w:pos="1701" w:val="left" w:leader="none"/>
          <w:tab w:pos="1702" w:val="left" w:leader="none"/>
        </w:tabs>
        <w:spacing w:line="240" w:lineRule="auto" w:before="179" w:after="0"/>
        <w:ind w:left="1701" w:right="0" w:hanging="285"/>
        <w:jc w:val="left"/>
        <w:rPr>
          <w:sz w:val="20"/>
        </w:rPr>
      </w:pPr>
      <w:r>
        <w:rPr>
          <w:sz w:val="20"/>
        </w:rPr>
        <w:t>N=2, so every two REF devices are grouped in terms of the path loss toward the DUT1 and</w:t>
      </w:r>
      <w:r>
        <w:rPr>
          <w:spacing w:val="-24"/>
          <w:sz w:val="20"/>
        </w:rPr>
        <w:t> </w:t>
      </w:r>
      <w:r>
        <w:rPr>
          <w:sz w:val="20"/>
        </w:rPr>
        <w:t>DUT2.</w:t>
      </w:r>
    </w:p>
    <w:p>
      <w:pPr>
        <w:pStyle w:val="ListParagraph"/>
        <w:numPr>
          <w:ilvl w:val="0"/>
          <w:numId w:val="38"/>
        </w:numPr>
        <w:tabs>
          <w:tab w:pos="1701" w:val="left" w:leader="none"/>
          <w:tab w:pos="1702" w:val="left" w:leader="none"/>
        </w:tabs>
        <w:spacing w:line="240" w:lineRule="auto" w:before="177" w:after="0"/>
        <w:ind w:left="1701" w:right="0" w:hanging="285"/>
        <w:jc w:val="left"/>
        <w:rPr>
          <w:sz w:val="20"/>
        </w:rPr>
      </w:pPr>
      <w:r>
        <w:rPr>
          <w:sz w:val="20"/>
        </w:rPr>
        <w:t>The diagram is a representative illustration of the lab</w:t>
      </w:r>
      <w:r>
        <w:rPr>
          <w:spacing w:val="-21"/>
          <w:sz w:val="20"/>
        </w:rPr>
        <w:t> </w:t>
      </w:r>
      <w:r>
        <w:rPr>
          <w:sz w:val="20"/>
        </w:rPr>
        <w:t>setup.</w:t>
      </w:r>
    </w:p>
    <w:p>
      <w:pPr>
        <w:pStyle w:val="BodyText"/>
        <w:spacing w:before="8"/>
        <w:rPr>
          <w:sz w:val="17"/>
        </w:rPr>
      </w:pPr>
      <w:r>
        <w:rPr/>
        <w:drawing>
          <wp:anchor distT="0" distB="0" distL="0" distR="0" allowOverlap="1" layoutInCell="1" locked="0" behindDoc="0" simplePos="0" relativeHeight="6904">
            <wp:simplePos x="0" y="0"/>
            <wp:positionH relativeFrom="page">
              <wp:posOffset>719455</wp:posOffset>
            </wp:positionH>
            <wp:positionV relativeFrom="paragraph">
              <wp:posOffset>154497</wp:posOffset>
            </wp:positionV>
            <wp:extent cx="5988086" cy="4023360"/>
            <wp:effectExtent l="0" t="0" r="0" b="0"/>
            <wp:wrapTopAndBottom/>
            <wp:docPr id="65" name="image128.png" descr=""/>
            <wp:cNvGraphicFramePr>
              <a:graphicFrameLocks noChangeAspect="1"/>
            </wp:cNvGraphicFramePr>
            <a:graphic>
              <a:graphicData uri="http://schemas.openxmlformats.org/drawingml/2006/picture">
                <pic:pic>
                  <pic:nvPicPr>
                    <pic:cNvPr id="66" name="image128.png"/>
                    <pic:cNvPicPr/>
                  </pic:nvPicPr>
                  <pic:blipFill>
                    <a:blip r:embed="rId302" cstate="print"/>
                    <a:stretch>
                      <a:fillRect/>
                    </a:stretch>
                  </pic:blipFill>
                  <pic:spPr>
                    <a:xfrm>
                      <a:off x="0" y="0"/>
                      <a:ext cx="5988086" cy="4023360"/>
                    </a:xfrm>
                    <a:prstGeom prst="rect">
                      <a:avLst/>
                    </a:prstGeom>
                  </pic:spPr>
                </pic:pic>
              </a:graphicData>
            </a:graphic>
          </wp:anchor>
        </w:drawing>
      </w:r>
    </w:p>
    <w:p>
      <w:pPr>
        <w:pStyle w:val="BodyText"/>
        <w:spacing w:before="2"/>
        <w:rPr>
          <w:sz w:val="28"/>
        </w:rPr>
      </w:pPr>
    </w:p>
    <w:p>
      <w:pPr>
        <w:pStyle w:val="Heading4"/>
        <w:spacing w:before="1"/>
      </w:pPr>
      <w:r>
        <w:rPr/>
        <w:t>Figure 30: Representative Lab Setup (HV is DUT1 and RV is DUT2)</w:t>
      </w:r>
    </w:p>
    <w:p>
      <w:pPr>
        <w:pStyle w:val="BodyText"/>
        <w:rPr>
          <w:b/>
          <w:sz w:val="26"/>
        </w:rPr>
      </w:pPr>
    </w:p>
    <w:p>
      <w:pPr>
        <w:pStyle w:val="BodyText"/>
        <w:spacing w:before="182"/>
        <w:ind w:left="1133"/>
      </w:pPr>
      <w:r>
        <w:rPr/>
        <w:t>Detailed Diagram Description</w:t>
      </w:r>
    </w:p>
    <w:p>
      <w:pPr>
        <w:pStyle w:val="ListParagraph"/>
        <w:numPr>
          <w:ilvl w:val="0"/>
          <w:numId w:val="39"/>
        </w:numPr>
        <w:tabs>
          <w:tab w:pos="1702" w:val="left" w:leader="none"/>
        </w:tabs>
        <w:spacing w:line="240" w:lineRule="auto" w:before="179" w:after="0"/>
        <w:ind w:left="1702" w:right="1135" w:hanging="286"/>
        <w:jc w:val="left"/>
        <w:rPr>
          <w:sz w:val="20"/>
        </w:rPr>
      </w:pPr>
      <w:r>
        <w:rPr>
          <w:sz w:val="20"/>
        </w:rPr>
        <w:t>The</w:t>
      </w:r>
      <w:r>
        <w:rPr>
          <w:spacing w:val="-6"/>
          <w:sz w:val="20"/>
        </w:rPr>
        <w:t> </w:t>
      </w:r>
      <w:r>
        <w:rPr>
          <w:sz w:val="20"/>
        </w:rPr>
        <w:t>Test</w:t>
      </w:r>
      <w:r>
        <w:rPr>
          <w:spacing w:val="-5"/>
          <w:sz w:val="20"/>
        </w:rPr>
        <w:t> </w:t>
      </w:r>
      <w:r>
        <w:rPr>
          <w:sz w:val="20"/>
        </w:rPr>
        <w:t>setup</w:t>
      </w:r>
      <w:r>
        <w:rPr>
          <w:spacing w:val="-6"/>
          <w:sz w:val="20"/>
        </w:rPr>
        <w:t> </w:t>
      </w:r>
      <w:r>
        <w:rPr>
          <w:sz w:val="20"/>
        </w:rPr>
        <w:t>is</w:t>
      </w:r>
      <w:r>
        <w:rPr>
          <w:spacing w:val="-4"/>
          <w:sz w:val="20"/>
        </w:rPr>
        <w:t> </w:t>
      </w:r>
      <w:r>
        <w:rPr>
          <w:sz w:val="20"/>
        </w:rPr>
        <w:t>constructed</w:t>
      </w:r>
      <w:r>
        <w:rPr>
          <w:spacing w:val="-6"/>
          <w:sz w:val="20"/>
        </w:rPr>
        <w:t> </w:t>
      </w:r>
      <w:r>
        <w:rPr>
          <w:sz w:val="20"/>
        </w:rPr>
        <w:t>keeping</w:t>
      </w:r>
      <w:r>
        <w:rPr>
          <w:spacing w:val="-3"/>
          <w:sz w:val="20"/>
        </w:rPr>
        <w:t> </w:t>
      </w:r>
      <w:r>
        <w:rPr>
          <w:sz w:val="20"/>
        </w:rPr>
        <w:t>in</w:t>
      </w:r>
      <w:r>
        <w:rPr>
          <w:spacing w:val="-3"/>
          <w:sz w:val="20"/>
        </w:rPr>
        <w:t> </w:t>
      </w:r>
      <w:r>
        <w:rPr>
          <w:sz w:val="20"/>
        </w:rPr>
        <w:t>mind</w:t>
      </w:r>
      <w:r>
        <w:rPr>
          <w:spacing w:val="-6"/>
          <w:sz w:val="20"/>
        </w:rPr>
        <w:t> </w:t>
      </w:r>
      <w:r>
        <w:rPr>
          <w:sz w:val="20"/>
        </w:rPr>
        <w:t>that</w:t>
      </w:r>
      <w:r>
        <w:rPr>
          <w:spacing w:val="-5"/>
          <w:sz w:val="20"/>
        </w:rPr>
        <w:t> </w:t>
      </w:r>
      <w:r>
        <w:rPr>
          <w:sz w:val="20"/>
        </w:rPr>
        <w:t>each</w:t>
      </w:r>
      <w:r>
        <w:rPr>
          <w:spacing w:val="-6"/>
          <w:sz w:val="20"/>
        </w:rPr>
        <w:t> </w:t>
      </w:r>
      <w:r>
        <w:rPr>
          <w:sz w:val="20"/>
        </w:rPr>
        <w:t>device</w:t>
      </w:r>
      <w:r>
        <w:rPr>
          <w:spacing w:val="-6"/>
          <w:sz w:val="20"/>
        </w:rPr>
        <w:t> </w:t>
      </w:r>
      <w:r>
        <w:rPr>
          <w:sz w:val="20"/>
        </w:rPr>
        <w:t>needs</w:t>
      </w:r>
      <w:r>
        <w:rPr>
          <w:spacing w:val="-2"/>
          <w:sz w:val="20"/>
        </w:rPr>
        <w:t> </w:t>
      </w:r>
      <w:r>
        <w:rPr>
          <w:sz w:val="20"/>
        </w:rPr>
        <w:t>to</w:t>
      </w:r>
      <w:r>
        <w:rPr>
          <w:spacing w:val="-3"/>
          <w:sz w:val="20"/>
        </w:rPr>
        <w:t> </w:t>
      </w:r>
      <w:r>
        <w:rPr>
          <w:sz w:val="20"/>
        </w:rPr>
        <w:t>hear</w:t>
      </w:r>
      <w:r>
        <w:rPr>
          <w:spacing w:val="-3"/>
          <w:sz w:val="20"/>
        </w:rPr>
        <w:t> </w:t>
      </w:r>
      <w:r>
        <w:rPr>
          <w:sz w:val="20"/>
        </w:rPr>
        <w:t>the</w:t>
      </w:r>
      <w:r>
        <w:rPr>
          <w:spacing w:val="-1"/>
          <w:sz w:val="20"/>
        </w:rPr>
        <w:t> </w:t>
      </w:r>
      <w:r>
        <w:rPr>
          <w:sz w:val="20"/>
        </w:rPr>
        <w:t>others,</w:t>
      </w:r>
      <w:r>
        <w:rPr>
          <w:spacing w:val="-3"/>
          <w:sz w:val="20"/>
        </w:rPr>
        <w:t> </w:t>
      </w:r>
      <w:r>
        <w:rPr>
          <w:sz w:val="20"/>
        </w:rPr>
        <w:t>while</w:t>
      </w:r>
      <w:r>
        <w:rPr>
          <w:spacing w:val="-3"/>
          <w:sz w:val="20"/>
        </w:rPr>
        <w:t> </w:t>
      </w:r>
      <w:r>
        <w:rPr>
          <w:sz w:val="20"/>
        </w:rPr>
        <w:t>offering pathloss control for specific device groups with other device</w:t>
      </w:r>
      <w:r>
        <w:rPr>
          <w:spacing w:val="-23"/>
          <w:sz w:val="20"/>
        </w:rPr>
        <w:t> </w:t>
      </w:r>
      <w:r>
        <w:rPr>
          <w:sz w:val="20"/>
        </w:rPr>
        <w:t>groups.</w:t>
      </w:r>
    </w:p>
    <w:p>
      <w:pPr>
        <w:pStyle w:val="ListParagraph"/>
        <w:numPr>
          <w:ilvl w:val="0"/>
          <w:numId w:val="39"/>
        </w:numPr>
        <w:tabs>
          <w:tab w:pos="1702" w:val="left" w:leader="none"/>
        </w:tabs>
        <w:spacing w:line="240" w:lineRule="auto" w:before="180" w:after="0"/>
        <w:ind w:left="1702" w:right="0" w:hanging="286"/>
        <w:jc w:val="left"/>
        <w:rPr>
          <w:sz w:val="20"/>
        </w:rPr>
      </w:pPr>
      <w:r>
        <w:rPr>
          <w:sz w:val="20"/>
        </w:rPr>
        <w:t>The Reference Devices are shown on the left, grouped in</w:t>
      </w:r>
      <w:r>
        <w:rPr>
          <w:spacing w:val="-22"/>
          <w:sz w:val="20"/>
        </w:rPr>
        <w:t> </w:t>
      </w:r>
      <w:r>
        <w:rPr>
          <w:sz w:val="20"/>
        </w:rPr>
        <w:t>pairs.</w:t>
      </w:r>
    </w:p>
    <w:p>
      <w:pPr>
        <w:pStyle w:val="ListParagraph"/>
        <w:numPr>
          <w:ilvl w:val="0"/>
          <w:numId w:val="39"/>
        </w:numPr>
        <w:tabs>
          <w:tab w:pos="1703" w:val="left" w:leader="none"/>
        </w:tabs>
        <w:spacing w:line="240" w:lineRule="auto" w:before="177" w:after="0"/>
        <w:ind w:left="1702" w:right="1134" w:hanging="286"/>
        <w:jc w:val="left"/>
        <w:rPr>
          <w:sz w:val="20"/>
        </w:rPr>
      </w:pPr>
      <w:r>
        <w:rPr>
          <w:sz w:val="20"/>
        </w:rPr>
        <w:t>HV-RV are on the right talking to each other via a separate path connected via a fixed and a variable attenuator.</w:t>
      </w:r>
    </w:p>
    <w:p>
      <w:pPr>
        <w:pStyle w:val="ListParagraph"/>
        <w:numPr>
          <w:ilvl w:val="0"/>
          <w:numId w:val="39"/>
        </w:numPr>
        <w:tabs>
          <w:tab w:pos="1702" w:val="left" w:leader="none"/>
        </w:tabs>
        <w:spacing w:line="240" w:lineRule="auto" w:before="179" w:after="0"/>
        <w:ind w:left="1702" w:right="1142" w:hanging="286"/>
        <w:jc w:val="left"/>
        <w:rPr>
          <w:sz w:val="20"/>
        </w:rPr>
      </w:pPr>
      <w:r>
        <w:rPr>
          <w:sz w:val="20"/>
        </w:rPr>
        <w:t>The Blue Line Connector connects all the reference devices to HV, and path losses between them are tuned (via variable attenuator) per the</w:t>
      </w:r>
      <w:r>
        <w:rPr>
          <w:spacing w:val="-17"/>
          <w:sz w:val="20"/>
        </w:rPr>
        <w:t> </w:t>
      </w:r>
      <w:r>
        <w:rPr>
          <w:sz w:val="20"/>
        </w:rPr>
        <w:t>simulation.</w:t>
      </w:r>
    </w:p>
    <w:p>
      <w:pPr>
        <w:pStyle w:val="ListParagraph"/>
        <w:numPr>
          <w:ilvl w:val="0"/>
          <w:numId w:val="39"/>
        </w:numPr>
        <w:tabs>
          <w:tab w:pos="1702" w:val="left" w:leader="none"/>
        </w:tabs>
        <w:spacing w:line="240" w:lineRule="auto" w:before="179" w:after="0"/>
        <w:ind w:left="1702" w:right="1140" w:hanging="286"/>
        <w:jc w:val="left"/>
        <w:rPr>
          <w:sz w:val="20"/>
        </w:rPr>
      </w:pPr>
      <w:r>
        <w:rPr>
          <w:sz w:val="20"/>
        </w:rPr>
        <w:t>The Yellow Line Connector connects all the reference devices to RV, and path losses between them are tuned (via variable attenuator) per the</w:t>
      </w:r>
      <w:r>
        <w:rPr>
          <w:spacing w:val="-17"/>
          <w:sz w:val="20"/>
        </w:rPr>
        <w:t> </w:t>
      </w:r>
      <w:r>
        <w:rPr>
          <w:sz w:val="20"/>
        </w:rPr>
        <w:t>simulation.</w:t>
      </w:r>
    </w:p>
    <w:p>
      <w:pPr>
        <w:pStyle w:val="ListParagraph"/>
        <w:numPr>
          <w:ilvl w:val="0"/>
          <w:numId w:val="39"/>
        </w:numPr>
        <w:tabs>
          <w:tab w:pos="1702" w:val="left" w:leader="none"/>
        </w:tabs>
        <w:spacing w:line="240" w:lineRule="auto" w:before="179" w:after="0"/>
        <w:ind w:left="1702" w:right="1127" w:hanging="286"/>
        <w:jc w:val="left"/>
        <w:rPr>
          <w:sz w:val="20"/>
        </w:rPr>
      </w:pPr>
      <w:r>
        <w:rPr>
          <w:sz w:val="20"/>
        </w:rPr>
        <w:t>The two separate paths are required because path losses between HV-Reference Devices and RV- Reference Devices are</w:t>
      </w:r>
      <w:r>
        <w:rPr>
          <w:spacing w:val="-8"/>
          <w:sz w:val="20"/>
        </w:rPr>
        <w:t> </w:t>
      </w:r>
      <w:r>
        <w:rPr>
          <w:sz w:val="20"/>
        </w:rPr>
        <w:t>different.</w:t>
      </w:r>
    </w:p>
    <w:p>
      <w:pPr>
        <w:pStyle w:val="ListParagraph"/>
        <w:numPr>
          <w:ilvl w:val="0"/>
          <w:numId w:val="39"/>
        </w:numPr>
        <w:tabs>
          <w:tab w:pos="1702" w:val="left" w:leader="none"/>
        </w:tabs>
        <w:spacing w:line="240" w:lineRule="auto" w:before="179" w:after="0"/>
        <w:ind w:left="1702" w:right="1138" w:hanging="286"/>
        <w:jc w:val="both"/>
        <w:rPr>
          <w:sz w:val="20"/>
        </w:rPr>
      </w:pPr>
      <w:r>
        <w:rPr>
          <w:sz w:val="20"/>
        </w:rPr>
        <w:t>The Reference Devices are connected to each other with the Red Connector path. The Variable attenuator for that link is set to ‘0’ as pathloss between reference devices does not impact the result of metrics collected at DUT1(HV) and</w:t>
      </w:r>
      <w:r>
        <w:rPr>
          <w:spacing w:val="-13"/>
          <w:sz w:val="20"/>
        </w:rPr>
        <w:t> </w:t>
      </w:r>
      <w:r>
        <w:rPr>
          <w:sz w:val="20"/>
        </w:rPr>
        <w:t>DUT2(RV).</w:t>
      </w:r>
    </w:p>
    <w:p>
      <w:pPr>
        <w:spacing w:after="0" w:line="240" w:lineRule="auto"/>
        <w:jc w:val="both"/>
        <w:rPr>
          <w:sz w:val="20"/>
        </w:rPr>
        <w:sectPr>
          <w:headerReference w:type="default" r:id="rId301"/>
          <w:pgSz w:w="11910" w:h="16850"/>
          <w:pgMar w:header="852" w:footer="979" w:top="1040" w:bottom="1160" w:left="0" w:right="0"/>
        </w:sectPr>
      </w:pPr>
    </w:p>
    <w:p>
      <w:pPr>
        <w:pStyle w:val="BodyText"/>
        <w:spacing w:before="2"/>
        <w:rPr>
          <w:sz w:val="23"/>
        </w:rPr>
      </w:pPr>
    </w:p>
    <w:p>
      <w:pPr>
        <w:pStyle w:val="ListParagraph"/>
        <w:numPr>
          <w:ilvl w:val="0"/>
          <w:numId w:val="39"/>
        </w:numPr>
        <w:tabs>
          <w:tab w:pos="1703" w:val="left" w:leader="none"/>
        </w:tabs>
        <w:spacing w:line="240" w:lineRule="auto" w:before="93" w:after="0"/>
        <w:ind w:left="1702" w:right="1137" w:hanging="286"/>
        <w:jc w:val="left"/>
        <w:rPr>
          <w:sz w:val="20"/>
        </w:rPr>
      </w:pPr>
      <w:r>
        <w:rPr>
          <w:sz w:val="20"/>
        </w:rPr>
        <w:t>HV-RV</w:t>
      </w:r>
      <w:r>
        <w:rPr>
          <w:spacing w:val="-16"/>
          <w:sz w:val="20"/>
        </w:rPr>
        <w:t> </w:t>
      </w:r>
      <w:r>
        <w:rPr>
          <w:sz w:val="20"/>
        </w:rPr>
        <w:t>are</w:t>
      </w:r>
      <w:r>
        <w:rPr>
          <w:spacing w:val="-15"/>
          <w:sz w:val="20"/>
        </w:rPr>
        <w:t> </w:t>
      </w:r>
      <w:r>
        <w:rPr>
          <w:sz w:val="20"/>
        </w:rPr>
        <w:t>connected</w:t>
      </w:r>
      <w:r>
        <w:rPr>
          <w:spacing w:val="-13"/>
          <w:sz w:val="20"/>
        </w:rPr>
        <w:t> </w:t>
      </w:r>
      <w:r>
        <w:rPr>
          <w:sz w:val="20"/>
        </w:rPr>
        <w:t>with</w:t>
      </w:r>
      <w:r>
        <w:rPr>
          <w:spacing w:val="-16"/>
          <w:sz w:val="20"/>
        </w:rPr>
        <w:t> </w:t>
      </w:r>
      <w:r>
        <w:rPr>
          <w:sz w:val="20"/>
        </w:rPr>
        <w:t>the</w:t>
      </w:r>
      <w:r>
        <w:rPr>
          <w:spacing w:val="-18"/>
          <w:sz w:val="20"/>
        </w:rPr>
        <w:t> </w:t>
      </w:r>
      <w:r>
        <w:rPr>
          <w:sz w:val="20"/>
        </w:rPr>
        <w:t>Green</w:t>
      </w:r>
      <w:r>
        <w:rPr>
          <w:spacing w:val="-15"/>
          <w:sz w:val="20"/>
        </w:rPr>
        <w:t> </w:t>
      </w:r>
      <w:r>
        <w:rPr>
          <w:sz w:val="20"/>
        </w:rPr>
        <w:t>Connector</w:t>
      </w:r>
      <w:r>
        <w:rPr>
          <w:spacing w:val="-14"/>
          <w:sz w:val="20"/>
        </w:rPr>
        <w:t> </w:t>
      </w:r>
      <w:r>
        <w:rPr>
          <w:sz w:val="20"/>
        </w:rPr>
        <w:t>path</w:t>
      </w:r>
      <w:r>
        <w:rPr>
          <w:spacing w:val="-18"/>
          <w:sz w:val="20"/>
        </w:rPr>
        <w:t> </w:t>
      </w:r>
      <w:r>
        <w:rPr>
          <w:sz w:val="20"/>
        </w:rPr>
        <w:t>and</w:t>
      </w:r>
      <w:r>
        <w:rPr>
          <w:spacing w:val="-16"/>
          <w:sz w:val="20"/>
        </w:rPr>
        <w:t> </w:t>
      </w:r>
      <w:r>
        <w:rPr>
          <w:sz w:val="20"/>
        </w:rPr>
        <w:t>have</w:t>
      </w:r>
      <w:r>
        <w:rPr>
          <w:spacing w:val="-15"/>
          <w:sz w:val="20"/>
        </w:rPr>
        <w:t> </w:t>
      </w:r>
      <w:r>
        <w:rPr>
          <w:sz w:val="20"/>
        </w:rPr>
        <w:t>a</w:t>
      </w:r>
      <w:r>
        <w:rPr>
          <w:spacing w:val="-18"/>
          <w:sz w:val="20"/>
        </w:rPr>
        <w:t> </w:t>
      </w:r>
      <w:r>
        <w:rPr>
          <w:sz w:val="20"/>
        </w:rPr>
        <w:t>fixed</w:t>
      </w:r>
      <w:r>
        <w:rPr>
          <w:spacing w:val="-16"/>
          <w:sz w:val="20"/>
        </w:rPr>
        <w:t> </w:t>
      </w:r>
      <w:r>
        <w:rPr>
          <w:sz w:val="20"/>
        </w:rPr>
        <w:t>attenuator</w:t>
      </w:r>
      <w:r>
        <w:rPr>
          <w:spacing w:val="-15"/>
          <w:sz w:val="20"/>
        </w:rPr>
        <w:t> </w:t>
      </w:r>
      <w:r>
        <w:rPr>
          <w:sz w:val="20"/>
        </w:rPr>
        <w:t>of</w:t>
      </w:r>
      <w:r>
        <w:rPr>
          <w:spacing w:val="-15"/>
          <w:sz w:val="20"/>
        </w:rPr>
        <w:t> </w:t>
      </w:r>
      <w:r>
        <w:rPr>
          <w:sz w:val="20"/>
        </w:rPr>
        <w:t>95</w:t>
      </w:r>
      <w:r>
        <w:rPr>
          <w:spacing w:val="-18"/>
          <w:sz w:val="20"/>
        </w:rPr>
        <w:t> </w:t>
      </w:r>
      <w:r>
        <w:rPr>
          <w:sz w:val="20"/>
        </w:rPr>
        <w:t>dB</w:t>
      </w:r>
      <w:r>
        <w:rPr>
          <w:spacing w:val="-16"/>
          <w:sz w:val="20"/>
        </w:rPr>
        <w:t> </w:t>
      </w:r>
      <w:r>
        <w:rPr>
          <w:sz w:val="20"/>
        </w:rPr>
        <w:t>and</w:t>
      </w:r>
      <w:r>
        <w:rPr>
          <w:spacing w:val="-15"/>
          <w:sz w:val="20"/>
        </w:rPr>
        <w:t> </w:t>
      </w:r>
      <w:r>
        <w:rPr>
          <w:sz w:val="20"/>
        </w:rPr>
        <w:t>a</w:t>
      </w:r>
      <w:r>
        <w:rPr>
          <w:spacing w:val="-15"/>
          <w:sz w:val="20"/>
        </w:rPr>
        <w:t> </w:t>
      </w:r>
      <w:r>
        <w:rPr>
          <w:sz w:val="20"/>
        </w:rPr>
        <w:t>variable attenuator that applies values per the test</w:t>
      </w:r>
      <w:r>
        <w:rPr>
          <w:spacing w:val="-15"/>
          <w:sz w:val="20"/>
        </w:rPr>
        <w:t> </w:t>
      </w:r>
      <w:r>
        <w:rPr>
          <w:sz w:val="20"/>
        </w:rPr>
        <w:t>requirement.</w:t>
      </w:r>
    </w:p>
    <w:p>
      <w:pPr>
        <w:pStyle w:val="BodyText"/>
        <w:spacing w:before="180"/>
        <w:ind w:left="1133" w:right="1136"/>
      </w:pPr>
      <w:r>
        <w:rPr/>
        <w:t>This setup can be extended to accommodate a larger number of devices following similar logic, using and cascading more splitters/combiners and attenuators and connecting to the overall grid.</w:t>
      </w:r>
    </w:p>
    <w:p>
      <w:pPr>
        <w:pStyle w:val="ListParagraph"/>
        <w:numPr>
          <w:ilvl w:val="0"/>
          <w:numId w:val="38"/>
        </w:numPr>
        <w:tabs>
          <w:tab w:pos="1701" w:val="left" w:leader="none"/>
          <w:tab w:pos="1702" w:val="left" w:leader="none"/>
        </w:tabs>
        <w:spacing w:line="240" w:lineRule="auto" w:before="180" w:after="0"/>
        <w:ind w:left="1701" w:right="0" w:hanging="285"/>
        <w:jc w:val="left"/>
        <w:rPr>
          <w:sz w:val="20"/>
        </w:rPr>
      </w:pPr>
      <w:r>
        <w:rPr>
          <w:sz w:val="20"/>
        </w:rPr>
        <w:t>Settings on Device 1 (DUT1) and Device 2</w:t>
      </w:r>
      <w:r>
        <w:rPr>
          <w:spacing w:val="-11"/>
          <w:sz w:val="20"/>
        </w:rPr>
        <w:t> </w:t>
      </w:r>
      <w:r>
        <w:rPr>
          <w:sz w:val="20"/>
        </w:rPr>
        <w:t>(DUT2):</w:t>
      </w:r>
    </w:p>
    <w:p>
      <w:pPr>
        <w:pStyle w:val="ListParagraph"/>
        <w:numPr>
          <w:ilvl w:val="1"/>
          <w:numId w:val="38"/>
        </w:numPr>
        <w:tabs>
          <w:tab w:pos="1985" w:val="left" w:leader="none"/>
          <w:tab w:pos="1986" w:val="left" w:leader="none"/>
        </w:tabs>
        <w:spacing w:line="240" w:lineRule="auto" w:before="180" w:after="0"/>
        <w:ind w:left="1985" w:right="1131" w:hanging="286"/>
        <w:jc w:val="left"/>
        <w:rPr>
          <w:sz w:val="20"/>
        </w:rPr>
      </w:pPr>
      <w:r>
        <w:rPr>
          <w:sz w:val="20"/>
        </w:rPr>
        <w:t>Periodic packet transmit flow with a periodicity of 100 ms (in LTE C-V2X an SPS flow shall be configured with a periodicity of 100</w:t>
      </w:r>
      <w:r>
        <w:rPr>
          <w:spacing w:val="-6"/>
          <w:sz w:val="20"/>
        </w:rPr>
        <w:t> </w:t>
      </w:r>
      <w:r>
        <w:rPr>
          <w:sz w:val="20"/>
        </w:rPr>
        <w:t>ms)</w:t>
      </w:r>
    </w:p>
    <w:p>
      <w:pPr>
        <w:pStyle w:val="ListParagraph"/>
        <w:numPr>
          <w:ilvl w:val="1"/>
          <w:numId w:val="38"/>
        </w:numPr>
        <w:tabs>
          <w:tab w:pos="1985" w:val="left" w:leader="none"/>
          <w:tab w:pos="1986" w:val="left" w:leader="none"/>
        </w:tabs>
        <w:spacing w:line="240" w:lineRule="auto" w:before="180" w:after="0"/>
        <w:ind w:left="1985" w:right="1141" w:hanging="286"/>
        <w:jc w:val="left"/>
        <w:rPr>
          <w:sz w:val="20"/>
        </w:rPr>
      </w:pPr>
      <w:r>
        <w:rPr>
          <w:sz w:val="20"/>
        </w:rPr>
        <w:t>Transmit on ITS band (e.g., center frequency 5,860 MHz) with a bandwidth of 10 MHz; transmitting regular BSM</w:t>
      </w:r>
      <w:r>
        <w:rPr>
          <w:spacing w:val="-9"/>
          <w:sz w:val="20"/>
        </w:rPr>
        <w:t> </w:t>
      </w:r>
      <w:r>
        <w:rPr>
          <w:sz w:val="20"/>
        </w:rPr>
        <w:t>messages</w:t>
      </w:r>
    </w:p>
    <w:p>
      <w:pPr>
        <w:pStyle w:val="ListParagraph"/>
        <w:numPr>
          <w:ilvl w:val="1"/>
          <w:numId w:val="38"/>
        </w:numPr>
        <w:tabs>
          <w:tab w:pos="1985" w:val="left" w:leader="none"/>
          <w:tab w:pos="1986" w:val="left" w:leader="none"/>
        </w:tabs>
        <w:spacing w:line="240" w:lineRule="auto" w:before="177" w:after="0"/>
        <w:ind w:left="1985" w:right="0" w:hanging="286"/>
        <w:jc w:val="left"/>
        <w:rPr>
          <w:sz w:val="20"/>
        </w:rPr>
      </w:pPr>
      <w:r>
        <w:rPr>
          <w:sz w:val="20"/>
        </w:rPr>
        <w:t>Transmit power is kept constant at 21</w:t>
      </w:r>
      <w:r>
        <w:rPr>
          <w:spacing w:val="-12"/>
          <w:sz w:val="20"/>
        </w:rPr>
        <w:t> </w:t>
      </w:r>
      <w:r>
        <w:rPr>
          <w:sz w:val="20"/>
        </w:rPr>
        <w:t>dBm.</w:t>
      </w:r>
    </w:p>
    <w:p>
      <w:pPr>
        <w:pStyle w:val="ListParagraph"/>
        <w:numPr>
          <w:ilvl w:val="1"/>
          <w:numId w:val="38"/>
        </w:numPr>
        <w:tabs>
          <w:tab w:pos="1985" w:val="left" w:leader="none"/>
          <w:tab w:pos="1986" w:val="left" w:leader="none"/>
        </w:tabs>
        <w:spacing w:line="240" w:lineRule="auto" w:before="179" w:after="0"/>
        <w:ind w:left="1985" w:right="0" w:hanging="286"/>
        <w:jc w:val="left"/>
        <w:rPr>
          <w:sz w:val="20"/>
        </w:rPr>
      </w:pPr>
      <w:r>
        <w:rPr>
          <w:sz w:val="20"/>
        </w:rPr>
        <w:t>Both devices use Modulation Coding Scheme (MCS) 8 and 14 RBs for</w:t>
      </w:r>
      <w:r>
        <w:rPr>
          <w:spacing w:val="-21"/>
          <w:sz w:val="20"/>
        </w:rPr>
        <w:t> </w:t>
      </w:r>
      <w:r>
        <w:rPr>
          <w:sz w:val="20"/>
        </w:rPr>
        <w:t>transmission</w:t>
      </w:r>
    </w:p>
    <w:p>
      <w:pPr>
        <w:pStyle w:val="BodyText"/>
        <w:spacing w:before="180"/>
        <w:ind w:left="1985" w:right="1136"/>
      </w:pPr>
      <w:r>
        <w:rPr/>
        <w:t>(LTE C-V2X allows for a choice of different parameters in the presence of congestion. The parameters were chosen to accommodate more users during congestion.)</w:t>
      </w:r>
    </w:p>
    <w:p>
      <w:pPr>
        <w:pStyle w:val="ListParagraph"/>
        <w:numPr>
          <w:ilvl w:val="1"/>
          <w:numId w:val="38"/>
        </w:numPr>
        <w:tabs>
          <w:tab w:pos="1985" w:val="left" w:leader="none"/>
          <w:tab w:pos="1986" w:val="left" w:leader="none"/>
        </w:tabs>
        <w:spacing w:line="240" w:lineRule="auto" w:before="180" w:after="0"/>
        <w:ind w:left="1985" w:right="0" w:hanging="286"/>
        <w:jc w:val="left"/>
        <w:rPr>
          <w:sz w:val="20"/>
        </w:rPr>
      </w:pPr>
      <w:r>
        <w:rPr>
          <w:sz w:val="20"/>
        </w:rPr>
        <w:t>C-V2X Rx and Tx pool bitmap is set to an all 1 bitmap with a bitmap length </w:t>
      </w:r>
      <w:r>
        <w:rPr>
          <w:spacing w:val="2"/>
          <w:sz w:val="20"/>
        </w:rPr>
        <w:t>of</w:t>
      </w:r>
      <w:r>
        <w:rPr>
          <w:spacing w:val="-19"/>
          <w:sz w:val="20"/>
        </w:rPr>
        <w:t> </w:t>
      </w:r>
      <w:r>
        <w:rPr>
          <w:sz w:val="20"/>
        </w:rPr>
        <w:t>20.</w:t>
      </w:r>
    </w:p>
    <w:p>
      <w:pPr>
        <w:pStyle w:val="BodyText"/>
        <w:tabs>
          <w:tab w:pos="2268" w:val="left" w:leader="none"/>
        </w:tabs>
        <w:spacing w:before="180"/>
        <w:ind w:left="1985"/>
      </w:pPr>
      <w:r>
        <w:rPr/>
        <w:t>-</w:t>
        <w:tab/>
        <w:t>sl-Subframe bs20 : '11111111 11111111</w:t>
      </w:r>
      <w:r>
        <w:rPr>
          <w:spacing w:val="-14"/>
        </w:rPr>
        <w:t> </w:t>
      </w:r>
      <w:r>
        <w:rPr/>
        <w:t>1111'B</w:t>
      </w:r>
    </w:p>
    <w:p>
      <w:pPr>
        <w:pStyle w:val="ListParagraph"/>
        <w:numPr>
          <w:ilvl w:val="1"/>
          <w:numId w:val="38"/>
        </w:numPr>
        <w:tabs>
          <w:tab w:pos="1985" w:val="left" w:leader="none"/>
          <w:tab w:pos="1986" w:val="left" w:leader="none"/>
        </w:tabs>
        <w:spacing w:line="240" w:lineRule="auto" w:before="177" w:after="0"/>
        <w:ind w:left="1985" w:right="0" w:hanging="286"/>
        <w:jc w:val="left"/>
        <w:rPr>
          <w:sz w:val="20"/>
        </w:rPr>
      </w:pPr>
      <w:r>
        <w:rPr>
          <w:sz w:val="20"/>
        </w:rPr>
        <w:t>Rx and Tx pools have a number of sub-channels set to 10, and the size of each sub-channel is</w:t>
      </w:r>
      <w:r>
        <w:rPr>
          <w:spacing w:val="-30"/>
          <w:sz w:val="20"/>
        </w:rPr>
        <w:t> </w:t>
      </w:r>
      <w:r>
        <w:rPr>
          <w:sz w:val="20"/>
        </w:rPr>
        <w:t>5.</w:t>
      </w:r>
    </w:p>
    <w:p>
      <w:pPr>
        <w:pStyle w:val="ListParagraph"/>
        <w:numPr>
          <w:ilvl w:val="1"/>
          <w:numId w:val="38"/>
        </w:numPr>
        <w:tabs>
          <w:tab w:pos="1985" w:val="left" w:leader="none"/>
          <w:tab w:pos="1986" w:val="left" w:leader="none"/>
        </w:tabs>
        <w:spacing w:line="240" w:lineRule="auto" w:before="179" w:after="0"/>
        <w:ind w:left="1985" w:right="0" w:hanging="286"/>
        <w:jc w:val="left"/>
        <w:rPr>
          <w:sz w:val="20"/>
        </w:rPr>
      </w:pPr>
      <w:r>
        <w:rPr>
          <w:sz w:val="20"/>
        </w:rPr>
        <w:t>The frequency resources for both Tx and Rx pools have the start RB set to</w:t>
      </w:r>
      <w:r>
        <w:rPr>
          <w:spacing w:val="-26"/>
          <w:sz w:val="20"/>
        </w:rPr>
        <w:t> </w:t>
      </w:r>
      <w:r>
        <w:rPr>
          <w:sz w:val="20"/>
        </w:rPr>
        <w:t>0.</w:t>
      </w:r>
    </w:p>
    <w:p>
      <w:pPr>
        <w:pStyle w:val="ListParagraph"/>
        <w:numPr>
          <w:ilvl w:val="1"/>
          <w:numId w:val="38"/>
        </w:numPr>
        <w:tabs>
          <w:tab w:pos="1985" w:val="left" w:leader="none"/>
          <w:tab w:pos="1986" w:val="left" w:leader="none"/>
        </w:tabs>
        <w:spacing w:line="240" w:lineRule="auto" w:before="179" w:after="0"/>
        <w:ind w:left="1985" w:right="0" w:hanging="286"/>
        <w:jc w:val="left"/>
        <w:rPr>
          <w:sz w:val="20"/>
        </w:rPr>
      </w:pPr>
      <w:r>
        <w:rPr>
          <w:sz w:val="20"/>
        </w:rPr>
        <w:t>CBR RSSI threshold is set to a value of</w:t>
      </w:r>
      <w:r>
        <w:rPr>
          <w:spacing w:val="-15"/>
          <w:sz w:val="20"/>
        </w:rPr>
        <w:t> </w:t>
      </w:r>
      <w:r>
        <w:rPr>
          <w:sz w:val="20"/>
        </w:rPr>
        <w:t>9.</w:t>
      </w:r>
    </w:p>
    <w:p>
      <w:pPr>
        <w:pStyle w:val="ListParagraph"/>
        <w:numPr>
          <w:ilvl w:val="2"/>
          <w:numId w:val="38"/>
        </w:numPr>
        <w:tabs>
          <w:tab w:pos="2268" w:val="left" w:leader="none"/>
          <w:tab w:pos="2269" w:val="left" w:leader="none"/>
        </w:tabs>
        <w:spacing w:line="240" w:lineRule="auto" w:before="179" w:after="0"/>
        <w:ind w:left="2268" w:right="0" w:hanging="283"/>
        <w:jc w:val="left"/>
        <w:rPr>
          <w:sz w:val="20"/>
        </w:rPr>
      </w:pPr>
      <w:r>
        <w:rPr>
          <w:sz w:val="20"/>
        </w:rPr>
        <w:t>threshS-RSSI-CBR</w:t>
      </w:r>
      <w:r>
        <w:rPr>
          <w:spacing w:val="-5"/>
          <w:sz w:val="20"/>
        </w:rPr>
        <w:t> </w:t>
      </w:r>
      <w:r>
        <w:rPr>
          <w:sz w:val="20"/>
        </w:rPr>
        <w:t>9</w:t>
      </w:r>
    </w:p>
    <w:p>
      <w:pPr>
        <w:pStyle w:val="ListParagraph"/>
        <w:numPr>
          <w:ilvl w:val="1"/>
          <w:numId w:val="38"/>
        </w:numPr>
        <w:tabs>
          <w:tab w:pos="1985" w:val="left" w:leader="none"/>
          <w:tab w:pos="1986" w:val="left" w:leader="none"/>
        </w:tabs>
        <w:spacing w:line="240" w:lineRule="auto" w:before="180" w:after="0"/>
        <w:ind w:left="1985" w:right="0" w:hanging="286"/>
        <w:jc w:val="left"/>
        <w:rPr>
          <w:sz w:val="20"/>
        </w:rPr>
      </w:pPr>
      <w:r>
        <w:rPr>
          <w:sz w:val="20"/>
        </w:rPr>
        <w:t>HARQ is</w:t>
      </w:r>
      <w:r>
        <w:rPr>
          <w:spacing w:val="-9"/>
          <w:sz w:val="20"/>
        </w:rPr>
        <w:t> </w:t>
      </w:r>
      <w:r>
        <w:rPr>
          <w:sz w:val="20"/>
        </w:rPr>
        <w:t>disabled.</w:t>
      </w:r>
    </w:p>
    <w:p>
      <w:pPr>
        <w:pStyle w:val="ListParagraph"/>
        <w:numPr>
          <w:ilvl w:val="1"/>
          <w:numId w:val="38"/>
        </w:numPr>
        <w:tabs>
          <w:tab w:pos="1985" w:val="left" w:leader="none"/>
          <w:tab w:pos="1986" w:val="left" w:leader="none"/>
        </w:tabs>
        <w:spacing w:line="240" w:lineRule="auto" w:before="180" w:after="0"/>
        <w:ind w:left="1985" w:right="0" w:hanging="286"/>
        <w:jc w:val="left"/>
        <w:rPr>
          <w:sz w:val="20"/>
        </w:rPr>
      </w:pPr>
      <w:r>
        <w:rPr>
          <w:sz w:val="20"/>
        </w:rPr>
        <w:t>Vehicle Density Co-efficient is set to</w:t>
      </w:r>
      <w:r>
        <w:rPr>
          <w:spacing w:val="-11"/>
          <w:sz w:val="20"/>
        </w:rPr>
        <w:t> </w:t>
      </w:r>
      <w:r>
        <w:rPr>
          <w:sz w:val="20"/>
        </w:rPr>
        <w:t>4.</w:t>
      </w:r>
    </w:p>
    <w:p>
      <w:pPr>
        <w:pStyle w:val="ListParagraph"/>
        <w:numPr>
          <w:ilvl w:val="1"/>
          <w:numId w:val="38"/>
        </w:numPr>
        <w:tabs>
          <w:tab w:pos="1985" w:val="left" w:leader="none"/>
          <w:tab w:pos="1986" w:val="left" w:leader="none"/>
        </w:tabs>
        <w:spacing w:line="240" w:lineRule="auto" w:before="177" w:after="0"/>
        <w:ind w:left="1985" w:right="0" w:hanging="286"/>
        <w:jc w:val="left"/>
        <w:rPr>
          <w:sz w:val="20"/>
        </w:rPr>
      </w:pPr>
      <w:r>
        <w:rPr>
          <w:sz w:val="20"/>
        </w:rPr>
        <w:t>Maximum Inter Transmit Time [Max_ITT] for packets is configured to 400</w:t>
      </w:r>
      <w:r>
        <w:rPr>
          <w:spacing w:val="-17"/>
          <w:sz w:val="20"/>
        </w:rPr>
        <w:t> </w:t>
      </w:r>
      <w:r>
        <w:rPr>
          <w:sz w:val="20"/>
        </w:rPr>
        <w:t>ms.</w:t>
      </w:r>
    </w:p>
    <w:p>
      <w:pPr>
        <w:pStyle w:val="ListParagraph"/>
        <w:numPr>
          <w:ilvl w:val="1"/>
          <w:numId w:val="38"/>
        </w:numPr>
        <w:tabs>
          <w:tab w:pos="1985" w:val="left" w:leader="none"/>
          <w:tab w:pos="1986" w:val="left" w:leader="none"/>
        </w:tabs>
        <w:spacing w:line="240" w:lineRule="auto" w:before="179" w:after="0"/>
        <w:ind w:left="1985" w:right="1131" w:hanging="286"/>
        <w:jc w:val="left"/>
        <w:rPr>
          <w:sz w:val="20"/>
        </w:rPr>
      </w:pPr>
      <w:r>
        <w:rPr>
          <w:sz w:val="20"/>
        </w:rPr>
        <w:t>Add a default attenuation of 95 dB between DUT1 and DUT2 as a reference starting point for this test.</w:t>
      </w:r>
    </w:p>
    <w:p>
      <w:pPr>
        <w:pStyle w:val="ListParagraph"/>
        <w:numPr>
          <w:ilvl w:val="1"/>
          <w:numId w:val="38"/>
        </w:numPr>
        <w:tabs>
          <w:tab w:pos="1985" w:val="left" w:leader="none"/>
          <w:tab w:pos="1986" w:val="left" w:leader="none"/>
        </w:tabs>
        <w:spacing w:line="240" w:lineRule="auto" w:before="179" w:after="0"/>
        <w:ind w:left="1985" w:right="1139" w:hanging="286"/>
        <w:jc w:val="left"/>
        <w:rPr>
          <w:sz w:val="20"/>
        </w:rPr>
      </w:pPr>
      <w:r>
        <w:rPr>
          <w:sz w:val="20"/>
        </w:rPr>
        <w:t>All attenuations added in the duration of the test are on top of the above default attenuation already present.</w:t>
      </w:r>
    </w:p>
    <w:p>
      <w:pPr>
        <w:pStyle w:val="ListParagraph"/>
        <w:numPr>
          <w:ilvl w:val="1"/>
          <w:numId w:val="38"/>
        </w:numPr>
        <w:tabs>
          <w:tab w:pos="1985" w:val="left" w:leader="none"/>
          <w:tab w:pos="1986" w:val="left" w:leader="none"/>
        </w:tabs>
        <w:spacing w:line="240" w:lineRule="auto" w:before="177" w:after="0"/>
        <w:ind w:left="1985" w:right="0" w:hanging="286"/>
        <w:jc w:val="left"/>
        <w:rPr>
          <w:sz w:val="20"/>
        </w:rPr>
      </w:pPr>
      <w:r>
        <w:rPr>
          <w:sz w:val="20"/>
        </w:rPr>
        <w:t>Configured to receive on ITS band (e.g., center frequency 5,860 MHz) with a bandwidth of 10</w:t>
      </w:r>
      <w:r>
        <w:rPr>
          <w:spacing w:val="-34"/>
          <w:sz w:val="20"/>
        </w:rPr>
        <w:t> </w:t>
      </w:r>
      <w:r>
        <w:rPr>
          <w:sz w:val="20"/>
        </w:rPr>
        <w:t>MHz</w:t>
      </w:r>
    </w:p>
    <w:p>
      <w:pPr>
        <w:pStyle w:val="ListParagraph"/>
        <w:numPr>
          <w:ilvl w:val="1"/>
          <w:numId w:val="38"/>
        </w:numPr>
        <w:tabs>
          <w:tab w:pos="1985" w:val="left" w:leader="none"/>
          <w:tab w:pos="1986" w:val="left" w:leader="none"/>
        </w:tabs>
        <w:spacing w:line="240" w:lineRule="auto" w:before="180" w:after="0"/>
        <w:ind w:left="1985" w:right="0" w:hanging="286"/>
        <w:jc w:val="left"/>
        <w:rPr>
          <w:sz w:val="20"/>
        </w:rPr>
      </w:pPr>
      <w:r>
        <w:rPr>
          <w:sz w:val="20"/>
        </w:rPr>
        <w:t>Packet length of standard BSM</w:t>
      </w:r>
      <w:r>
        <w:rPr>
          <w:spacing w:val="-11"/>
          <w:sz w:val="20"/>
        </w:rPr>
        <w:t> </w:t>
      </w:r>
      <w:r>
        <w:rPr>
          <w:sz w:val="20"/>
        </w:rPr>
        <w:t>message</w:t>
      </w:r>
    </w:p>
    <w:p>
      <w:pPr>
        <w:pStyle w:val="ListParagraph"/>
        <w:numPr>
          <w:ilvl w:val="1"/>
          <w:numId w:val="38"/>
        </w:numPr>
        <w:tabs>
          <w:tab w:pos="1985" w:val="left" w:leader="none"/>
          <w:tab w:pos="1986" w:val="left" w:leader="none"/>
        </w:tabs>
        <w:spacing w:line="240" w:lineRule="auto" w:before="181" w:after="0"/>
        <w:ind w:left="1985" w:right="0" w:hanging="286"/>
        <w:jc w:val="left"/>
        <w:rPr>
          <w:sz w:val="20"/>
        </w:rPr>
      </w:pPr>
      <w:r>
        <w:rPr>
          <w:sz w:val="20"/>
        </w:rPr>
        <w:t>Using static</w:t>
      </w:r>
      <w:r>
        <w:rPr>
          <w:spacing w:val="-7"/>
          <w:sz w:val="20"/>
        </w:rPr>
        <w:t> </w:t>
      </w:r>
      <w:r>
        <w:rPr>
          <w:sz w:val="20"/>
        </w:rPr>
        <w:t>GPS</w:t>
      </w:r>
    </w:p>
    <w:p>
      <w:pPr>
        <w:pStyle w:val="ListParagraph"/>
        <w:numPr>
          <w:ilvl w:val="0"/>
          <w:numId w:val="38"/>
        </w:numPr>
        <w:tabs>
          <w:tab w:pos="1702" w:val="left" w:leader="none"/>
          <w:tab w:pos="1703" w:val="left" w:leader="none"/>
        </w:tabs>
        <w:spacing w:line="240" w:lineRule="auto" w:before="180" w:after="0"/>
        <w:ind w:left="1702" w:right="1133" w:hanging="286"/>
        <w:jc w:val="left"/>
        <w:rPr>
          <w:sz w:val="20"/>
        </w:rPr>
      </w:pPr>
      <w:r>
        <w:rPr>
          <w:sz w:val="20"/>
        </w:rPr>
        <w:t>Adjustable attenuator (“Variable Attenuator” at far-right side of diagram) is used to simulate different distances between DUT1 and</w:t>
      </w:r>
      <w:r>
        <w:rPr>
          <w:spacing w:val="-5"/>
          <w:sz w:val="20"/>
        </w:rPr>
        <w:t> </w:t>
      </w:r>
      <w:r>
        <w:rPr>
          <w:sz w:val="20"/>
        </w:rPr>
        <w:t>DUT2.</w:t>
      </w:r>
    </w:p>
    <w:p>
      <w:pPr>
        <w:pStyle w:val="ListParagraph"/>
        <w:numPr>
          <w:ilvl w:val="0"/>
          <w:numId w:val="38"/>
        </w:numPr>
        <w:tabs>
          <w:tab w:pos="1701" w:val="left" w:leader="none"/>
          <w:tab w:pos="1702" w:val="left" w:leader="none"/>
        </w:tabs>
        <w:spacing w:line="240" w:lineRule="auto" w:before="180" w:after="0"/>
        <w:ind w:left="1701" w:right="0" w:hanging="285"/>
        <w:jc w:val="left"/>
        <w:rPr>
          <w:sz w:val="20"/>
        </w:rPr>
      </w:pPr>
      <w:r>
        <w:rPr>
          <w:sz w:val="20"/>
        </w:rPr>
        <w:t>Settings on the reference</w:t>
      </w:r>
      <w:r>
        <w:rPr>
          <w:spacing w:val="-10"/>
          <w:sz w:val="20"/>
        </w:rPr>
        <w:t> </w:t>
      </w:r>
      <w:r>
        <w:rPr>
          <w:sz w:val="20"/>
        </w:rPr>
        <w:t>devices:</w:t>
      </w:r>
    </w:p>
    <w:p>
      <w:pPr>
        <w:pStyle w:val="ListParagraph"/>
        <w:numPr>
          <w:ilvl w:val="1"/>
          <w:numId w:val="38"/>
        </w:numPr>
        <w:tabs>
          <w:tab w:pos="1985" w:val="left" w:leader="none"/>
          <w:tab w:pos="1986" w:val="left" w:leader="none"/>
        </w:tabs>
        <w:spacing w:line="240" w:lineRule="auto" w:before="178" w:after="0"/>
        <w:ind w:left="1985" w:right="0" w:hanging="286"/>
        <w:jc w:val="left"/>
        <w:rPr>
          <w:sz w:val="20"/>
        </w:rPr>
      </w:pPr>
      <w:r>
        <w:rPr>
          <w:sz w:val="20"/>
        </w:rPr>
        <w:t>Transmit power is kept constant at 21</w:t>
      </w:r>
      <w:r>
        <w:rPr>
          <w:spacing w:val="-10"/>
          <w:sz w:val="20"/>
        </w:rPr>
        <w:t> </w:t>
      </w:r>
      <w:r>
        <w:rPr>
          <w:sz w:val="20"/>
        </w:rPr>
        <w:t>dBm.</w:t>
      </w:r>
    </w:p>
    <w:p>
      <w:pPr>
        <w:pStyle w:val="ListParagraph"/>
        <w:numPr>
          <w:ilvl w:val="1"/>
          <w:numId w:val="38"/>
        </w:numPr>
        <w:tabs>
          <w:tab w:pos="1985" w:val="left" w:leader="none"/>
          <w:tab w:pos="1986" w:val="left" w:leader="none"/>
        </w:tabs>
        <w:spacing w:line="240" w:lineRule="auto" w:before="180" w:after="0"/>
        <w:ind w:left="1985" w:right="1137" w:hanging="286"/>
        <w:jc w:val="left"/>
        <w:rPr>
          <w:sz w:val="20"/>
        </w:rPr>
      </w:pPr>
      <w:r>
        <w:rPr>
          <w:sz w:val="20"/>
        </w:rPr>
        <w:t>Periodic</w:t>
      </w:r>
      <w:r>
        <w:rPr>
          <w:spacing w:val="-13"/>
          <w:sz w:val="20"/>
        </w:rPr>
        <w:t> </w:t>
      </w:r>
      <w:r>
        <w:rPr>
          <w:sz w:val="20"/>
        </w:rPr>
        <w:t>transmit</w:t>
      </w:r>
      <w:r>
        <w:rPr>
          <w:spacing w:val="-16"/>
          <w:sz w:val="20"/>
        </w:rPr>
        <w:t> </w:t>
      </w:r>
      <w:r>
        <w:rPr>
          <w:sz w:val="20"/>
        </w:rPr>
        <w:t>packet</w:t>
      </w:r>
      <w:r>
        <w:rPr>
          <w:spacing w:val="-17"/>
          <w:sz w:val="20"/>
        </w:rPr>
        <w:t> </w:t>
      </w:r>
      <w:r>
        <w:rPr>
          <w:sz w:val="20"/>
        </w:rPr>
        <w:t>flow</w:t>
      </w:r>
      <w:r>
        <w:rPr>
          <w:spacing w:val="-14"/>
          <w:sz w:val="20"/>
        </w:rPr>
        <w:t> </w:t>
      </w:r>
      <w:r>
        <w:rPr>
          <w:sz w:val="20"/>
        </w:rPr>
        <w:t>with</w:t>
      </w:r>
      <w:r>
        <w:rPr>
          <w:spacing w:val="-15"/>
          <w:sz w:val="20"/>
        </w:rPr>
        <w:t> </w:t>
      </w:r>
      <w:r>
        <w:rPr>
          <w:sz w:val="20"/>
        </w:rPr>
        <w:t>a</w:t>
      </w:r>
      <w:r>
        <w:rPr>
          <w:spacing w:val="-14"/>
          <w:sz w:val="20"/>
        </w:rPr>
        <w:t> </w:t>
      </w:r>
      <w:r>
        <w:rPr>
          <w:sz w:val="20"/>
        </w:rPr>
        <w:t>periodicity</w:t>
      </w:r>
      <w:r>
        <w:rPr>
          <w:spacing w:val="-17"/>
          <w:sz w:val="20"/>
        </w:rPr>
        <w:t> </w:t>
      </w:r>
      <w:r>
        <w:rPr>
          <w:sz w:val="20"/>
        </w:rPr>
        <w:t>and</w:t>
      </w:r>
      <w:r>
        <w:rPr>
          <w:spacing w:val="-12"/>
          <w:sz w:val="20"/>
        </w:rPr>
        <w:t> </w:t>
      </w:r>
      <w:r>
        <w:rPr>
          <w:sz w:val="20"/>
        </w:rPr>
        <w:t>load</w:t>
      </w:r>
      <w:r>
        <w:rPr>
          <w:spacing w:val="-14"/>
          <w:sz w:val="20"/>
        </w:rPr>
        <w:t> </w:t>
      </w:r>
      <w:r>
        <w:rPr>
          <w:sz w:val="20"/>
        </w:rPr>
        <w:t>specified</w:t>
      </w:r>
      <w:r>
        <w:rPr>
          <w:spacing w:val="-14"/>
          <w:sz w:val="20"/>
        </w:rPr>
        <w:t> </w:t>
      </w:r>
      <w:r>
        <w:rPr>
          <w:sz w:val="20"/>
        </w:rPr>
        <w:t>in</w:t>
      </w:r>
      <w:r>
        <w:rPr>
          <w:spacing w:val="-14"/>
          <w:sz w:val="20"/>
        </w:rPr>
        <w:t> </w:t>
      </w:r>
      <w:r>
        <w:rPr>
          <w:sz w:val="20"/>
        </w:rPr>
        <w:t>such</w:t>
      </w:r>
      <w:r>
        <w:rPr>
          <w:spacing w:val="-14"/>
          <w:sz w:val="20"/>
        </w:rPr>
        <w:t> </w:t>
      </w:r>
      <w:r>
        <w:rPr>
          <w:sz w:val="20"/>
        </w:rPr>
        <w:t>a</w:t>
      </w:r>
      <w:r>
        <w:rPr>
          <w:spacing w:val="-14"/>
          <w:sz w:val="20"/>
        </w:rPr>
        <w:t> </w:t>
      </w:r>
      <w:r>
        <w:rPr>
          <w:sz w:val="20"/>
        </w:rPr>
        <w:t>way</w:t>
      </w:r>
      <w:r>
        <w:rPr>
          <w:spacing w:val="-20"/>
          <w:sz w:val="20"/>
        </w:rPr>
        <w:t> </w:t>
      </w:r>
      <w:r>
        <w:rPr>
          <w:sz w:val="20"/>
        </w:rPr>
        <w:t>as</w:t>
      </w:r>
      <w:r>
        <w:rPr>
          <w:spacing w:val="-13"/>
          <w:sz w:val="20"/>
        </w:rPr>
        <w:t> </w:t>
      </w:r>
      <w:r>
        <w:rPr>
          <w:sz w:val="20"/>
        </w:rPr>
        <w:t>to</w:t>
      </w:r>
      <w:r>
        <w:rPr>
          <w:spacing w:val="-17"/>
          <w:sz w:val="20"/>
        </w:rPr>
        <w:t> </w:t>
      </w:r>
      <w:r>
        <w:rPr>
          <w:sz w:val="20"/>
        </w:rPr>
        <w:t>emulate</w:t>
      </w:r>
      <w:r>
        <w:rPr>
          <w:spacing w:val="-15"/>
          <w:sz w:val="20"/>
        </w:rPr>
        <w:t> </w:t>
      </w:r>
      <w:r>
        <w:rPr>
          <w:sz w:val="20"/>
        </w:rPr>
        <w:t>multiple devices using the channel. This has been done in these</w:t>
      </w:r>
      <w:r>
        <w:rPr>
          <w:spacing w:val="-20"/>
          <w:sz w:val="20"/>
        </w:rPr>
        <w:t> </w:t>
      </w:r>
      <w:r>
        <w:rPr>
          <w:sz w:val="20"/>
        </w:rPr>
        <w:t>ways:</w:t>
      </w:r>
    </w:p>
    <w:p>
      <w:pPr>
        <w:pStyle w:val="ListParagraph"/>
        <w:numPr>
          <w:ilvl w:val="1"/>
          <w:numId w:val="39"/>
        </w:numPr>
        <w:tabs>
          <w:tab w:pos="2269" w:val="left" w:leader="none"/>
        </w:tabs>
        <w:spacing w:line="240" w:lineRule="auto" w:before="180" w:after="0"/>
        <w:ind w:left="1985" w:right="1128" w:hanging="65"/>
        <w:jc w:val="left"/>
        <w:rPr>
          <w:sz w:val="20"/>
        </w:rPr>
      </w:pPr>
      <w:r>
        <w:rPr>
          <w:sz w:val="20"/>
        </w:rPr>
        <w:t>Increasing</w:t>
      </w:r>
      <w:r>
        <w:rPr>
          <w:spacing w:val="-5"/>
          <w:sz w:val="20"/>
        </w:rPr>
        <w:t> </w:t>
      </w:r>
      <w:r>
        <w:rPr>
          <w:sz w:val="20"/>
        </w:rPr>
        <w:t>the</w:t>
      </w:r>
      <w:r>
        <w:rPr>
          <w:spacing w:val="-5"/>
          <w:sz w:val="20"/>
        </w:rPr>
        <w:t> </w:t>
      </w:r>
      <w:r>
        <w:rPr>
          <w:sz w:val="20"/>
        </w:rPr>
        <w:t>number</w:t>
      </w:r>
      <w:r>
        <w:rPr>
          <w:spacing w:val="-4"/>
          <w:sz w:val="20"/>
        </w:rPr>
        <w:t> </w:t>
      </w:r>
      <w:r>
        <w:rPr>
          <w:sz w:val="20"/>
        </w:rPr>
        <w:t>of</w:t>
      </w:r>
      <w:r>
        <w:rPr>
          <w:spacing w:val="-3"/>
          <w:sz w:val="20"/>
        </w:rPr>
        <w:t> </w:t>
      </w:r>
      <w:r>
        <w:rPr>
          <w:sz w:val="20"/>
        </w:rPr>
        <w:t>Resource</w:t>
      </w:r>
      <w:r>
        <w:rPr>
          <w:spacing w:val="-5"/>
          <w:sz w:val="20"/>
        </w:rPr>
        <w:t> </w:t>
      </w:r>
      <w:r>
        <w:rPr>
          <w:sz w:val="20"/>
        </w:rPr>
        <w:t>blocks</w:t>
      </w:r>
      <w:r>
        <w:rPr>
          <w:spacing w:val="-3"/>
          <w:sz w:val="20"/>
        </w:rPr>
        <w:t> </w:t>
      </w:r>
      <w:r>
        <w:rPr>
          <w:sz w:val="20"/>
        </w:rPr>
        <w:t>(RBs)</w:t>
      </w:r>
      <w:r>
        <w:rPr>
          <w:spacing w:val="-4"/>
          <w:sz w:val="20"/>
        </w:rPr>
        <w:t> </w:t>
      </w:r>
      <w:r>
        <w:rPr>
          <w:sz w:val="20"/>
        </w:rPr>
        <w:t>in</w:t>
      </w:r>
      <w:r>
        <w:rPr>
          <w:spacing w:val="-5"/>
          <w:sz w:val="20"/>
        </w:rPr>
        <w:t> </w:t>
      </w:r>
      <w:r>
        <w:rPr>
          <w:sz w:val="20"/>
        </w:rPr>
        <w:t>use</w:t>
      </w:r>
      <w:r>
        <w:rPr>
          <w:spacing w:val="-5"/>
          <w:sz w:val="20"/>
        </w:rPr>
        <w:t> </w:t>
      </w:r>
      <w:r>
        <w:rPr>
          <w:sz w:val="20"/>
        </w:rPr>
        <w:t>to</w:t>
      </w:r>
      <w:r>
        <w:rPr>
          <w:spacing w:val="-2"/>
          <w:sz w:val="20"/>
        </w:rPr>
        <w:t> </w:t>
      </w:r>
      <w:r>
        <w:rPr>
          <w:sz w:val="20"/>
        </w:rPr>
        <w:t>50</w:t>
      </w:r>
      <w:r>
        <w:rPr>
          <w:spacing w:val="-2"/>
          <w:sz w:val="20"/>
        </w:rPr>
        <w:t> </w:t>
      </w:r>
      <w:r>
        <w:rPr>
          <w:sz w:val="20"/>
        </w:rPr>
        <w:t>per</w:t>
      </w:r>
      <w:r>
        <w:rPr>
          <w:spacing w:val="-4"/>
          <w:sz w:val="20"/>
        </w:rPr>
        <w:t> </w:t>
      </w:r>
      <w:r>
        <w:rPr>
          <w:sz w:val="20"/>
        </w:rPr>
        <w:t>transmission</w:t>
      </w:r>
      <w:r>
        <w:rPr>
          <w:spacing w:val="-5"/>
          <w:sz w:val="20"/>
        </w:rPr>
        <w:t> </w:t>
      </w:r>
      <w:r>
        <w:rPr>
          <w:sz w:val="20"/>
        </w:rPr>
        <w:t>by</w:t>
      </w:r>
      <w:r>
        <w:rPr>
          <w:spacing w:val="-3"/>
          <w:sz w:val="20"/>
        </w:rPr>
        <w:t> </w:t>
      </w:r>
      <w:r>
        <w:rPr>
          <w:sz w:val="20"/>
        </w:rPr>
        <w:t>using</w:t>
      </w:r>
      <w:r>
        <w:rPr>
          <w:spacing w:val="-3"/>
          <w:sz w:val="20"/>
        </w:rPr>
        <w:t> </w:t>
      </w:r>
      <w:r>
        <w:rPr>
          <w:sz w:val="20"/>
        </w:rPr>
        <w:t>a</w:t>
      </w:r>
      <w:r>
        <w:rPr>
          <w:spacing w:val="-2"/>
          <w:sz w:val="20"/>
        </w:rPr>
        <w:t> </w:t>
      </w:r>
      <w:r>
        <w:rPr>
          <w:sz w:val="20"/>
        </w:rPr>
        <w:t>packet size of 1736 bytes (vs. 14 RBs for the</w:t>
      </w:r>
      <w:r>
        <w:rPr>
          <w:spacing w:val="-12"/>
          <w:sz w:val="20"/>
        </w:rPr>
        <w:t> </w:t>
      </w:r>
      <w:r>
        <w:rPr>
          <w:sz w:val="20"/>
        </w:rPr>
        <w:t>DUTs).</w:t>
      </w:r>
    </w:p>
    <w:p>
      <w:pPr>
        <w:spacing w:after="0" w:line="240" w:lineRule="auto"/>
        <w:jc w:val="left"/>
        <w:rPr>
          <w:sz w:val="20"/>
        </w:rPr>
        <w:sectPr>
          <w:headerReference w:type="default" r:id="rId303"/>
          <w:footerReference w:type="default" r:id="rId304"/>
          <w:pgSz w:w="11910" w:h="16850"/>
          <w:pgMar w:header="852" w:footer="979" w:top="1040" w:bottom="1160" w:left="0" w:right="0"/>
        </w:sectPr>
      </w:pPr>
    </w:p>
    <w:p>
      <w:pPr>
        <w:pStyle w:val="BodyText"/>
      </w:pPr>
    </w:p>
    <w:p>
      <w:pPr>
        <w:pStyle w:val="BodyText"/>
      </w:pPr>
    </w:p>
    <w:p>
      <w:pPr>
        <w:pStyle w:val="BodyText"/>
        <w:spacing w:before="11"/>
        <w:rPr>
          <w:sz w:val="18"/>
        </w:rPr>
      </w:pPr>
    </w:p>
    <w:p>
      <w:pPr>
        <w:pStyle w:val="ListParagraph"/>
        <w:numPr>
          <w:ilvl w:val="1"/>
          <w:numId w:val="39"/>
        </w:numPr>
        <w:tabs>
          <w:tab w:pos="2220" w:val="left" w:leader="none"/>
        </w:tabs>
        <w:spacing w:line="240" w:lineRule="auto" w:before="92" w:after="0"/>
        <w:ind w:left="2219" w:right="0" w:hanging="299"/>
        <w:jc w:val="left"/>
        <w:rPr>
          <w:sz w:val="20"/>
        </w:rPr>
      </w:pPr>
      <w:r>
        <w:rPr>
          <w:sz w:val="20"/>
        </w:rPr>
        <w:t>Enabling HARQ retransmissions (vs. none for the</w:t>
      </w:r>
      <w:r>
        <w:rPr>
          <w:spacing w:val="-15"/>
          <w:sz w:val="20"/>
        </w:rPr>
        <w:t> </w:t>
      </w:r>
      <w:r>
        <w:rPr>
          <w:sz w:val="20"/>
        </w:rPr>
        <w:t>DUTs).</w:t>
      </w:r>
    </w:p>
    <w:p>
      <w:pPr>
        <w:pStyle w:val="ListParagraph"/>
        <w:numPr>
          <w:ilvl w:val="1"/>
          <w:numId w:val="39"/>
        </w:numPr>
        <w:tabs>
          <w:tab w:pos="2220" w:val="left" w:leader="none"/>
        </w:tabs>
        <w:spacing w:line="240" w:lineRule="auto" w:before="179" w:after="0"/>
        <w:ind w:left="2219" w:right="0" w:hanging="299"/>
        <w:jc w:val="left"/>
        <w:rPr>
          <w:sz w:val="20"/>
        </w:rPr>
      </w:pPr>
      <w:r>
        <w:rPr>
          <w:sz w:val="20"/>
        </w:rPr>
        <w:t>Using 2 SPS flows on the device (vs. 1 on</w:t>
      </w:r>
      <w:r>
        <w:rPr>
          <w:spacing w:val="-15"/>
          <w:sz w:val="20"/>
        </w:rPr>
        <w:t> </w:t>
      </w:r>
      <w:r>
        <w:rPr>
          <w:sz w:val="20"/>
        </w:rPr>
        <w:t>DUTs).</w:t>
      </w:r>
    </w:p>
    <w:p>
      <w:pPr>
        <w:pStyle w:val="BodyText"/>
        <w:tabs>
          <w:tab w:pos="2268" w:val="left" w:leader="none"/>
        </w:tabs>
        <w:spacing w:before="177"/>
        <w:ind w:left="1985"/>
      </w:pPr>
      <w:r>
        <w:rPr/>
        <w:t>-</w:t>
        <w:tab/>
        <w:t>With the above changes, a reference UE emulates about 12 interfering</w:t>
      </w:r>
      <w:r>
        <w:rPr>
          <w:spacing w:val="-20"/>
        </w:rPr>
        <w:t> </w:t>
      </w:r>
      <w:r>
        <w:rPr/>
        <w:t>devices.</w:t>
      </w:r>
    </w:p>
    <w:p>
      <w:pPr>
        <w:pStyle w:val="ListParagraph"/>
        <w:numPr>
          <w:ilvl w:val="1"/>
          <w:numId w:val="38"/>
        </w:numPr>
        <w:tabs>
          <w:tab w:pos="1985" w:val="left" w:leader="none"/>
          <w:tab w:pos="1986" w:val="left" w:leader="none"/>
        </w:tabs>
        <w:spacing w:line="240" w:lineRule="auto" w:before="180" w:after="0"/>
        <w:ind w:left="1985" w:right="0" w:hanging="286"/>
        <w:jc w:val="left"/>
        <w:rPr>
          <w:sz w:val="20"/>
        </w:rPr>
      </w:pPr>
      <w:r>
        <w:rPr>
          <w:sz w:val="20"/>
        </w:rPr>
        <w:t>C-V2X Rx and Tx pool bitmap is set to an all 1 bitmap with a bitmap length of</w:t>
      </w:r>
      <w:r>
        <w:rPr>
          <w:spacing w:val="35"/>
          <w:sz w:val="20"/>
        </w:rPr>
        <w:t> </w:t>
      </w:r>
      <w:r>
        <w:rPr>
          <w:sz w:val="20"/>
        </w:rPr>
        <w:t>20.</w:t>
      </w:r>
    </w:p>
    <w:p>
      <w:pPr>
        <w:pStyle w:val="BodyText"/>
        <w:tabs>
          <w:tab w:pos="2268" w:val="left" w:leader="none"/>
        </w:tabs>
        <w:spacing w:before="180"/>
        <w:ind w:left="1985"/>
      </w:pPr>
      <w:r>
        <w:rPr/>
        <w:t>-</w:t>
        <w:tab/>
        <w:t>sl-Subframe  bs20 : '11111111 11111111</w:t>
      </w:r>
      <w:r>
        <w:rPr>
          <w:spacing w:val="-16"/>
        </w:rPr>
        <w:t> </w:t>
      </w:r>
      <w:r>
        <w:rPr/>
        <w:t>1111'B</w:t>
      </w:r>
    </w:p>
    <w:p>
      <w:pPr>
        <w:pStyle w:val="ListParagraph"/>
        <w:numPr>
          <w:ilvl w:val="1"/>
          <w:numId w:val="38"/>
        </w:numPr>
        <w:tabs>
          <w:tab w:pos="1985" w:val="left" w:leader="none"/>
          <w:tab w:pos="1986" w:val="left" w:leader="none"/>
        </w:tabs>
        <w:spacing w:line="240" w:lineRule="auto" w:before="180" w:after="0"/>
        <w:ind w:left="1985" w:right="0" w:hanging="286"/>
        <w:jc w:val="left"/>
        <w:rPr>
          <w:sz w:val="20"/>
        </w:rPr>
      </w:pPr>
      <w:r>
        <w:rPr>
          <w:sz w:val="20"/>
        </w:rPr>
        <w:t>Rx and Tx Pools have number of Sub-Channels set to 10, with size of each sub-channel being</w:t>
      </w:r>
      <w:r>
        <w:rPr>
          <w:spacing w:val="-21"/>
          <w:sz w:val="20"/>
        </w:rPr>
        <w:t> </w:t>
      </w:r>
      <w:r>
        <w:rPr>
          <w:sz w:val="20"/>
        </w:rPr>
        <w:t>5.</w:t>
      </w:r>
    </w:p>
    <w:p>
      <w:pPr>
        <w:pStyle w:val="ListParagraph"/>
        <w:numPr>
          <w:ilvl w:val="1"/>
          <w:numId w:val="38"/>
        </w:numPr>
        <w:tabs>
          <w:tab w:pos="1985" w:val="left" w:leader="none"/>
          <w:tab w:pos="1986" w:val="left" w:leader="none"/>
        </w:tabs>
        <w:spacing w:line="240" w:lineRule="auto" w:before="180" w:after="0"/>
        <w:ind w:left="1985" w:right="0" w:hanging="286"/>
        <w:jc w:val="left"/>
        <w:rPr>
          <w:sz w:val="20"/>
        </w:rPr>
      </w:pPr>
      <w:r>
        <w:rPr>
          <w:sz w:val="20"/>
        </w:rPr>
        <w:t>The Frequency resources for both </w:t>
      </w:r>
      <w:r>
        <w:rPr>
          <w:spacing w:val="3"/>
          <w:sz w:val="20"/>
        </w:rPr>
        <w:t>Tx </w:t>
      </w:r>
      <w:r>
        <w:rPr>
          <w:sz w:val="20"/>
        </w:rPr>
        <w:t>and Rx Pools have the start RB set to</w:t>
      </w:r>
      <w:r>
        <w:rPr>
          <w:spacing w:val="-28"/>
          <w:sz w:val="20"/>
        </w:rPr>
        <w:t> </w:t>
      </w:r>
      <w:r>
        <w:rPr>
          <w:sz w:val="20"/>
        </w:rPr>
        <w:t>0.</w:t>
      </w:r>
    </w:p>
    <w:p>
      <w:pPr>
        <w:pStyle w:val="ListParagraph"/>
        <w:numPr>
          <w:ilvl w:val="1"/>
          <w:numId w:val="38"/>
        </w:numPr>
        <w:tabs>
          <w:tab w:pos="1985" w:val="left" w:leader="none"/>
          <w:tab w:pos="1986" w:val="left" w:leader="none"/>
        </w:tabs>
        <w:spacing w:line="240" w:lineRule="auto" w:before="180" w:after="0"/>
        <w:ind w:left="1985" w:right="0" w:hanging="286"/>
        <w:jc w:val="left"/>
        <w:rPr>
          <w:sz w:val="20"/>
        </w:rPr>
      </w:pPr>
      <w:r>
        <w:rPr>
          <w:sz w:val="20"/>
        </w:rPr>
        <w:t>CBR RSSI threshold is set to a value of</w:t>
      </w:r>
      <w:r>
        <w:rPr>
          <w:spacing w:val="-18"/>
          <w:sz w:val="20"/>
        </w:rPr>
        <w:t> </w:t>
      </w:r>
      <w:r>
        <w:rPr>
          <w:sz w:val="20"/>
        </w:rPr>
        <w:t>15.</w:t>
      </w:r>
    </w:p>
    <w:p>
      <w:pPr>
        <w:pStyle w:val="ListParagraph"/>
        <w:numPr>
          <w:ilvl w:val="2"/>
          <w:numId w:val="38"/>
        </w:numPr>
        <w:tabs>
          <w:tab w:pos="2268" w:val="left" w:leader="none"/>
          <w:tab w:pos="2269" w:val="left" w:leader="none"/>
        </w:tabs>
        <w:spacing w:line="240" w:lineRule="auto" w:before="178" w:after="0"/>
        <w:ind w:left="2268" w:right="0" w:hanging="283"/>
        <w:jc w:val="left"/>
        <w:rPr>
          <w:sz w:val="20"/>
        </w:rPr>
      </w:pPr>
      <w:r>
        <w:rPr>
          <w:sz w:val="20"/>
        </w:rPr>
        <w:t>thresS-RSSI-CBR</w:t>
      </w:r>
      <w:r>
        <w:rPr>
          <w:spacing w:val="-7"/>
          <w:sz w:val="20"/>
        </w:rPr>
        <w:t> </w:t>
      </w:r>
      <w:r>
        <w:rPr>
          <w:sz w:val="20"/>
        </w:rPr>
        <w:t>15</w:t>
      </w:r>
    </w:p>
    <w:p>
      <w:pPr>
        <w:pStyle w:val="ListParagraph"/>
        <w:numPr>
          <w:ilvl w:val="1"/>
          <w:numId w:val="38"/>
        </w:numPr>
        <w:tabs>
          <w:tab w:pos="1985" w:val="left" w:leader="none"/>
          <w:tab w:pos="1986" w:val="left" w:leader="none"/>
        </w:tabs>
        <w:spacing w:line="240" w:lineRule="auto" w:before="180" w:after="0"/>
        <w:ind w:left="1985" w:right="0" w:hanging="286"/>
        <w:jc w:val="left"/>
        <w:rPr>
          <w:sz w:val="20"/>
        </w:rPr>
      </w:pPr>
      <w:r>
        <w:rPr>
          <w:sz w:val="20"/>
        </w:rPr>
        <w:t>Given the above 12-to-1 emulation ratio, the position of the REF devices is shown in Figure</w:t>
      </w:r>
      <w:r>
        <w:rPr>
          <w:spacing w:val="-25"/>
          <w:sz w:val="20"/>
        </w:rPr>
        <w:t> </w:t>
      </w:r>
      <w:r>
        <w:rPr>
          <w:sz w:val="20"/>
        </w:rPr>
        <w:t>31:</w:t>
      </w:r>
    </w:p>
    <w:p>
      <w:pPr>
        <w:pStyle w:val="ListParagraph"/>
        <w:numPr>
          <w:ilvl w:val="2"/>
          <w:numId w:val="38"/>
        </w:numPr>
        <w:tabs>
          <w:tab w:pos="2268" w:val="left" w:leader="none"/>
          <w:tab w:pos="2269" w:val="left" w:leader="none"/>
        </w:tabs>
        <w:spacing w:line="240" w:lineRule="auto" w:before="180" w:after="0"/>
        <w:ind w:left="2268" w:right="0" w:hanging="283"/>
        <w:jc w:val="left"/>
        <w:rPr>
          <w:sz w:val="20"/>
        </w:rPr>
      </w:pPr>
      <w:r>
        <w:rPr>
          <w:sz w:val="20"/>
        </w:rPr>
        <w:t>Simulated devices are shown as light blue</w:t>
      </w:r>
      <w:r>
        <w:rPr>
          <w:spacing w:val="-17"/>
          <w:sz w:val="20"/>
        </w:rPr>
        <w:t> </w:t>
      </w:r>
      <w:r>
        <w:rPr>
          <w:sz w:val="20"/>
        </w:rPr>
        <w:t>stars.</w:t>
      </w:r>
    </w:p>
    <w:p>
      <w:pPr>
        <w:pStyle w:val="ListParagraph"/>
        <w:numPr>
          <w:ilvl w:val="2"/>
          <w:numId w:val="38"/>
        </w:numPr>
        <w:tabs>
          <w:tab w:pos="2269" w:val="left" w:leader="none"/>
        </w:tabs>
        <w:spacing w:line="240" w:lineRule="auto" w:before="180" w:after="0"/>
        <w:ind w:left="2268" w:right="1137" w:hanging="283"/>
        <w:jc w:val="both"/>
        <w:rPr>
          <w:sz w:val="20"/>
        </w:rPr>
      </w:pPr>
      <w:r>
        <w:rPr>
          <w:sz w:val="20"/>
        </w:rPr>
        <w:t>REF devices are shown as red stars. These devices are labeled from 1 to 24 and then 1’ to 24’. Devices</w:t>
      </w:r>
      <w:r>
        <w:rPr>
          <w:spacing w:val="-4"/>
          <w:sz w:val="20"/>
        </w:rPr>
        <w:t> </w:t>
      </w:r>
      <w:r>
        <w:rPr>
          <w:sz w:val="20"/>
        </w:rPr>
        <w:t>x</w:t>
      </w:r>
      <w:r>
        <w:rPr>
          <w:spacing w:val="-3"/>
          <w:sz w:val="20"/>
        </w:rPr>
        <w:t> </w:t>
      </w:r>
      <w:r>
        <w:rPr>
          <w:sz w:val="20"/>
        </w:rPr>
        <w:t>and</w:t>
      </w:r>
      <w:r>
        <w:rPr>
          <w:spacing w:val="-5"/>
          <w:sz w:val="20"/>
        </w:rPr>
        <w:t> </w:t>
      </w:r>
      <w:r>
        <w:rPr>
          <w:sz w:val="20"/>
        </w:rPr>
        <w:t>x’</w:t>
      </w:r>
      <w:r>
        <w:rPr>
          <w:spacing w:val="-5"/>
          <w:sz w:val="20"/>
        </w:rPr>
        <w:t> </w:t>
      </w:r>
      <w:r>
        <w:rPr>
          <w:sz w:val="20"/>
        </w:rPr>
        <w:t>have</w:t>
      </w:r>
      <w:r>
        <w:rPr>
          <w:spacing w:val="-5"/>
          <w:sz w:val="20"/>
        </w:rPr>
        <w:t> </w:t>
      </w:r>
      <w:r>
        <w:rPr>
          <w:sz w:val="20"/>
        </w:rPr>
        <w:t>the</w:t>
      </w:r>
      <w:r>
        <w:rPr>
          <w:spacing w:val="-5"/>
          <w:sz w:val="20"/>
        </w:rPr>
        <w:t> </w:t>
      </w:r>
      <w:r>
        <w:rPr>
          <w:sz w:val="20"/>
        </w:rPr>
        <w:t>same</w:t>
      </w:r>
      <w:r>
        <w:rPr>
          <w:spacing w:val="-5"/>
          <w:sz w:val="20"/>
        </w:rPr>
        <w:t> </w:t>
      </w:r>
      <w:r>
        <w:rPr>
          <w:sz w:val="20"/>
        </w:rPr>
        <w:t>path</w:t>
      </w:r>
      <w:r>
        <w:rPr>
          <w:spacing w:val="-5"/>
          <w:sz w:val="20"/>
        </w:rPr>
        <w:t> </w:t>
      </w:r>
      <w:r>
        <w:rPr>
          <w:sz w:val="20"/>
        </w:rPr>
        <w:t>loss</w:t>
      </w:r>
      <w:r>
        <w:rPr>
          <w:spacing w:val="-3"/>
          <w:sz w:val="20"/>
        </w:rPr>
        <w:t> </w:t>
      </w:r>
      <w:r>
        <w:rPr>
          <w:sz w:val="20"/>
        </w:rPr>
        <w:t>toward</w:t>
      </w:r>
      <w:r>
        <w:rPr>
          <w:spacing w:val="-4"/>
          <w:sz w:val="20"/>
        </w:rPr>
        <w:t> </w:t>
      </w:r>
      <w:r>
        <w:rPr>
          <w:sz w:val="20"/>
        </w:rPr>
        <w:t>the</w:t>
      </w:r>
      <w:r>
        <w:rPr>
          <w:spacing w:val="-5"/>
          <w:sz w:val="20"/>
        </w:rPr>
        <w:t> </w:t>
      </w:r>
      <w:r>
        <w:rPr>
          <w:sz w:val="20"/>
        </w:rPr>
        <w:t>DUT1</w:t>
      </w:r>
      <w:r>
        <w:rPr>
          <w:spacing w:val="-5"/>
          <w:sz w:val="20"/>
        </w:rPr>
        <w:t> </w:t>
      </w:r>
      <w:r>
        <w:rPr>
          <w:sz w:val="20"/>
        </w:rPr>
        <w:t>and</w:t>
      </w:r>
      <w:r>
        <w:rPr>
          <w:spacing w:val="-5"/>
          <w:sz w:val="20"/>
        </w:rPr>
        <w:t> </w:t>
      </w:r>
      <w:r>
        <w:rPr>
          <w:sz w:val="20"/>
        </w:rPr>
        <w:t>DUT2</w:t>
      </w:r>
      <w:r>
        <w:rPr>
          <w:spacing w:val="-5"/>
          <w:sz w:val="20"/>
        </w:rPr>
        <w:t> </w:t>
      </w:r>
      <w:r>
        <w:rPr>
          <w:sz w:val="20"/>
        </w:rPr>
        <w:t>in</w:t>
      </w:r>
      <w:r>
        <w:rPr>
          <w:spacing w:val="-5"/>
          <w:sz w:val="20"/>
        </w:rPr>
        <w:t> </w:t>
      </w:r>
      <w:r>
        <w:rPr>
          <w:sz w:val="20"/>
        </w:rPr>
        <w:t>the</w:t>
      </w:r>
      <w:r>
        <w:rPr>
          <w:spacing w:val="-5"/>
          <w:sz w:val="20"/>
        </w:rPr>
        <w:t> </w:t>
      </w:r>
      <w:r>
        <w:rPr>
          <w:sz w:val="20"/>
        </w:rPr>
        <w:t>lab</w:t>
      </w:r>
      <w:r>
        <w:rPr>
          <w:spacing w:val="-5"/>
          <w:sz w:val="20"/>
        </w:rPr>
        <w:t> </w:t>
      </w:r>
      <w:r>
        <w:rPr>
          <w:sz w:val="20"/>
        </w:rPr>
        <w:t>setup</w:t>
      </w:r>
      <w:r>
        <w:rPr>
          <w:spacing w:val="-5"/>
          <w:sz w:val="20"/>
        </w:rPr>
        <w:t> </w:t>
      </w:r>
      <w:r>
        <w:rPr>
          <w:sz w:val="20"/>
        </w:rPr>
        <w:t>due</w:t>
      </w:r>
      <w:r>
        <w:rPr>
          <w:spacing w:val="-5"/>
          <w:sz w:val="20"/>
        </w:rPr>
        <w:t> </w:t>
      </w:r>
      <w:r>
        <w:rPr>
          <w:sz w:val="20"/>
        </w:rPr>
        <w:t>to</w:t>
      </w:r>
      <w:r>
        <w:rPr>
          <w:spacing w:val="-5"/>
          <w:sz w:val="20"/>
        </w:rPr>
        <w:t> </w:t>
      </w:r>
      <w:r>
        <w:rPr>
          <w:sz w:val="20"/>
        </w:rPr>
        <w:t>the grouping highlighted above</w:t>
      </w:r>
      <w:r>
        <w:rPr>
          <w:spacing w:val="-10"/>
          <w:sz w:val="20"/>
        </w:rPr>
        <w:t> </w:t>
      </w:r>
      <w:r>
        <w:rPr>
          <w:sz w:val="20"/>
        </w:rPr>
        <w:t>(N=2).</w:t>
      </w:r>
    </w:p>
    <w:p>
      <w:pPr>
        <w:pStyle w:val="BodyText"/>
        <w:spacing w:before="6"/>
        <w:rPr>
          <w:sz w:val="17"/>
        </w:rPr>
      </w:pPr>
      <w:r>
        <w:rPr/>
        <w:drawing>
          <wp:anchor distT="0" distB="0" distL="0" distR="0" allowOverlap="1" layoutInCell="1" locked="0" behindDoc="0" simplePos="0" relativeHeight="6928">
            <wp:simplePos x="0" y="0"/>
            <wp:positionH relativeFrom="page">
              <wp:posOffset>719455</wp:posOffset>
            </wp:positionH>
            <wp:positionV relativeFrom="paragraph">
              <wp:posOffset>152979</wp:posOffset>
            </wp:positionV>
            <wp:extent cx="5214880" cy="1742122"/>
            <wp:effectExtent l="0" t="0" r="0" b="0"/>
            <wp:wrapTopAndBottom/>
            <wp:docPr id="71" name="image129.jpeg" descr=""/>
            <wp:cNvGraphicFramePr>
              <a:graphicFrameLocks noChangeAspect="1"/>
            </wp:cNvGraphicFramePr>
            <a:graphic>
              <a:graphicData uri="http://schemas.openxmlformats.org/drawingml/2006/picture">
                <pic:pic>
                  <pic:nvPicPr>
                    <pic:cNvPr id="72" name="image129.jpeg"/>
                    <pic:cNvPicPr/>
                  </pic:nvPicPr>
                  <pic:blipFill>
                    <a:blip r:embed="rId307" cstate="print"/>
                    <a:stretch>
                      <a:fillRect/>
                    </a:stretch>
                  </pic:blipFill>
                  <pic:spPr>
                    <a:xfrm>
                      <a:off x="0" y="0"/>
                      <a:ext cx="5214880" cy="1742122"/>
                    </a:xfrm>
                    <a:prstGeom prst="rect">
                      <a:avLst/>
                    </a:prstGeom>
                  </pic:spPr>
                </pic:pic>
              </a:graphicData>
            </a:graphic>
          </wp:anchor>
        </w:drawing>
      </w:r>
    </w:p>
    <w:p>
      <w:pPr>
        <w:pStyle w:val="BodyText"/>
        <w:spacing w:before="1"/>
        <w:rPr>
          <w:sz w:val="22"/>
        </w:rPr>
      </w:pPr>
    </w:p>
    <w:p>
      <w:pPr>
        <w:pStyle w:val="Heading4"/>
        <w:spacing w:before="1"/>
        <w:ind w:left="0" w:right="5903"/>
        <w:jc w:val="center"/>
      </w:pPr>
      <w:r>
        <w:rPr/>
        <w:t>Figure 31: REF Device Locations</w:t>
      </w:r>
    </w:p>
    <w:p>
      <w:pPr>
        <w:pStyle w:val="BodyText"/>
        <w:rPr>
          <w:b/>
          <w:sz w:val="26"/>
        </w:rPr>
      </w:pPr>
    </w:p>
    <w:p>
      <w:pPr>
        <w:pStyle w:val="ListParagraph"/>
        <w:numPr>
          <w:ilvl w:val="0"/>
          <w:numId w:val="38"/>
        </w:numPr>
        <w:tabs>
          <w:tab w:pos="285" w:val="left" w:leader="none"/>
          <w:tab w:pos="1702" w:val="left" w:leader="none"/>
        </w:tabs>
        <w:spacing w:line="240" w:lineRule="auto" w:before="182" w:after="0"/>
        <w:ind w:left="1701" w:right="1623" w:hanging="285"/>
        <w:jc w:val="left"/>
        <w:rPr>
          <w:sz w:val="20"/>
        </w:rPr>
      </w:pPr>
      <w:r>
        <w:rPr>
          <w:sz w:val="20"/>
        </w:rPr>
        <w:t>The variable attenuators (in cabled RF setup) are set depending on the</w:t>
      </w:r>
      <w:r>
        <w:rPr>
          <w:spacing w:val="-30"/>
          <w:sz w:val="20"/>
        </w:rPr>
        <w:t> </w:t>
      </w:r>
      <w:r>
        <w:rPr>
          <w:sz w:val="20"/>
        </w:rPr>
        <w:t>following:</w:t>
      </w:r>
    </w:p>
    <w:p>
      <w:pPr>
        <w:pStyle w:val="ListParagraph"/>
        <w:numPr>
          <w:ilvl w:val="1"/>
          <w:numId w:val="38"/>
        </w:numPr>
        <w:tabs>
          <w:tab w:pos="1986" w:val="left" w:leader="none"/>
        </w:tabs>
        <w:spacing w:line="240" w:lineRule="auto" w:before="179" w:after="0"/>
        <w:ind w:left="1985" w:right="1140" w:hanging="286"/>
        <w:jc w:val="both"/>
        <w:rPr>
          <w:sz w:val="20"/>
        </w:rPr>
      </w:pPr>
      <w:r>
        <w:rPr>
          <w:sz w:val="20"/>
        </w:rPr>
        <w:t>The number of “real” devices each REF device emulates; (since a reference device emulates three equivalent “real” devices within each transmission, the attenuation from this device to each DUT should be divided by 3 to account for the reduced power per resource block in the lab</w:t>
      </w:r>
      <w:r>
        <w:rPr>
          <w:spacing w:val="-29"/>
          <w:sz w:val="20"/>
        </w:rPr>
        <w:t> </w:t>
      </w:r>
      <w:r>
        <w:rPr>
          <w:sz w:val="20"/>
        </w:rPr>
        <w:t>scenario).</w:t>
      </w:r>
    </w:p>
    <w:p>
      <w:pPr>
        <w:pStyle w:val="ListParagraph"/>
        <w:numPr>
          <w:ilvl w:val="1"/>
          <w:numId w:val="38"/>
        </w:numPr>
        <w:tabs>
          <w:tab w:pos="1985" w:val="left" w:leader="none"/>
          <w:tab w:pos="1986" w:val="left" w:leader="none"/>
        </w:tabs>
        <w:spacing w:line="240" w:lineRule="auto" w:before="179" w:after="0"/>
        <w:ind w:left="1985" w:right="0" w:hanging="286"/>
        <w:jc w:val="left"/>
        <w:rPr>
          <w:sz w:val="20"/>
        </w:rPr>
      </w:pPr>
      <w:r>
        <w:rPr>
          <w:sz w:val="20"/>
        </w:rPr>
        <w:t>The real-world “distance” to be emulated between the specific REF device and the</w:t>
      </w:r>
      <w:r>
        <w:rPr>
          <w:spacing w:val="-23"/>
          <w:sz w:val="20"/>
        </w:rPr>
        <w:t> </w:t>
      </w:r>
      <w:r>
        <w:rPr>
          <w:sz w:val="20"/>
        </w:rPr>
        <w:t>DUTs.</w:t>
      </w:r>
    </w:p>
    <w:p>
      <w:pPr>
        <w:pStyle w:val="ListParagraph"/>
        <w:numPr>
          <w:ilvl w:val="1"/>
          <w:numId w:val="38"/>
        </w:numPr>
        <w:tabs>
          <w:tab w:pos="2041" w:val="left" w:leader="none"/>
        </w:tabs>
        <w:spacing w:line="240" w:lineRule="auto" w:before="179" w:after="0"/>
        <w:ind w:left="1985" w:right="1137" w:hanging="286"/>
        <w:jc w:val="both"/>
        <w:rPr>
          <w:sz w:val="20"/>
        </w:rPr>
      </w:pPr>
      <w:r>
        <w:rPr>
          <w:sz w:val="20"/>
        </w:rPr>
        <w:t>The attenuation between the REF devices is set to a fixed value corresponding to the average distance</w:t>
      </w:r>
      <w:r>
        <w:rPr>
          <w:spacing w:val="-8"/>
          <w:sz w:val="20"/>
        </w:rPr>
        <w:t> </w:t>
      </w:r>
      <w:r>
        <w:rPr>
          <w:sz w:val="20"/>
        </w:rPr>
        <w:t>between</w:t>
      </w:r>
      <w:r>
        <w:rPr>
          <w:spacing w:val="-8"/>
          <w:sz w:val="20"/>
        </w:rPr>
        <w:t> </w:t>
      </w:r>
      <w:r>
        <w:rPr>
          <w:sz w:val="20"/>
        </w:rPr>
        <w:t>the</w:t>
      </w:r>
      <w:r>
        <w:rPr>
          <w:spacing w:val="-8"/>
          <w:sz w:val="20"/>
        </w:rPr>
        <w:t> </w:t>
      </w:r>
      <w:r>
        <w:rPr>
          <w:sz w:val="20"/>
        </w:rPr>
        <w:t>REF</w:t>
      </w:r>
      <w:r>
        <w:rPr>
          <w:spacing w:val="-5"/>
          <w:sz w:val="20"/>
        </w:rPr>
        <w:t> </w:t>
      </w:r>
      <w:r>
        <w:rPr>
          <w:sz w:val="20"/>
        </w:rPr>
        <w:t>devices.</w:t>
      </w:r>
      <w:r>
        <w:rPr>
          <w:spacing w:val="-8"/>
          <w:sz w:val="20"/>
        </w:rPr>
        <w:t> </w:t>
      </w:r>
      <w:r>
        <w:rPr>
          <w:sz w:val="20"/>
        </w:rPr>
        <w:t>In</w:t>
      </w:r>
      <w:r>
        <w:rPr>
          <w:spacing w:val="-8"/>
          <w:sz w:val="20"/>
        </w:rPr>
        <w:t> </w:t>
      </w:r>
      <w:r>
        <w:rPr>
          <w:sz w:val="20"/>
        </w:rPr>
        <w:t>the</w:t>
      </w:r>
      <w:r>
        <w:rPr>
          <w:spacing w:val="-8"/>
          <w:sz w:val="20"/>
        </w:rPr>
        <w:t> </w:t>
      </w:r>
      <w:r>
        <w:rPr>
          <w:sz w:val="20"/>
        </w:rPr>
        <w:t>default</w:t>
      </w:r>
      <w:r>
        <w:rPr>
          <w:spacing w:val="-8"/>
          <w:sz w:val="20"/>
        </w:rPr>
        <w:t> </w:t>
      </w:r>
      <w:r>
        <w:rPr>
          <w:sz w:val="20"/>
        </w:rPr>
        <w:t>setup,</w:t>
      </w:r>
      <w:r>
        <w:rPr>
          <w:spacing w:val="-8"/>
          <w:sz w:val="20"/>
        </w:rPr>
        <w:t> </w:t>
      </w:r>
      <w:r>
        <w:rPr>
          <w:sz w:val="20"/>
        </w:rPr>
        <w:t>the</w:t>
      </w:r>
      <w:r>
        <w:rPr>
          <w:spacing w:val="-8"/>
          <w:sz w:val="20"/>
        </w:rPr>
        <w:t> </w:t>
      </w:r>
      <w:r>
        <w:rPr>
          <w:sz w:val="20"/>
        </w:rPr>
        <w:t>path</w:t>
      </w:r>
      <w:r>
        <w:rPr>
          <w:spacing w:val="-8"/>
          <w:sz w:val="20"/>
        </w:rPr>
        <w:t> </w:t>
      </w:r>
      <w:r>
        <w:rPr>
          <w:sz w:val="20"/>
        </w:rPr>
        <w:t>loss</w:t>
      </w:r>
      <w:r>
        <w:rPr>
          <w:spacing w:val="-7"/>
          <w:sz w:val="20"/>
        </w:rPr>
        <w:t> </w:t>
      </w:r>
      <w:r>
        <w:rPr>
          <w:sz w:val="20"/>
        </w:rPr>
        <w:t>between</w:t>
      </w:r>
      <w:r>
        <w:rPr>
          <w:spacing w:val="-8"/>
          <w:sz w:val="20"/>
        </w:rPr>
        <w:t> </w:t>
      </w:r>
      <w:r>
        <w:rPr>
          <w:sz w:val="20"/>
        </w:rPr>
        <w:t>any</w:t>
      </w:r>
      <w:r>
        <w:rPr>
          <w:spacing w:val="-9"/>
          <w:sz w:val="20"/>
        </w:rPr>
        <w:t> </w:t>
      </w:r>
      <w:r>
        <w:rPr>
          <w:sz w:val="20"/>
        </w:rPr>
        <w:t>two</w:t>
      </w:r>
      <w:r>
        <w:rPr>
          <w:spacing w:val="-8"/>
          <w:sz w:val="20"/>
        </w:rPr>
        <w:t> </w:t>
      </w:r>
      <w:r>
        <w:rPr>
          <w:sz w:val="20"/>
        </w:rPr>
        <w:t>REF</w:t>
      </w:r>
      <w:r>
        <w:rPr>
          <w:spacing w:val="-7"/>
          <w:sz w:val="20"/>
        </w:rPr>
        <w:t> </w:t>
      </w:r>
      <w:r>
        <w:rPr>
          <w:sz w:val="20"/>
        </w:rPr>
        <w:t>devices is 103</w:t>
      </w:r>
      <w:r>
        <w:rPr>
          <w:spacing w:val="-5"/>
          <w:sz w:val="20"/>
        </w:rPr>
        <w:t> </w:t>
      </w:r>
      <w:r>
        <w:rPr>
          <w:sz w:val="20"/>
        </w:rPr>
        <w:t>dB.</w:t>
      </w:r>
    </w:p>
    <w:p>
      <w:pPr>
        <w:pStyle w:val="BodyText"/>
        <w:spacing w:before="177"/>
        <w:ind w:left="2268" w:right="1136" w:hanging="632"/>
      </w:pPr>
      <w:r>
        <w:rPr/>
        <w:t>NOTE: The set of attenuators discussed here excludes the “Variable Attenuator” shown at the far-right side of diagram.</w:t>
      </w:r>
    </w:p>
    <w:p>
      <w:pPr>
        <w:pStyle w:val="ListParagraph"/>
        <w:numPr>
          <w:ilvl w:val="1"/>
          <w:numId w:val="38"/>
        </w:numPr>
        <w:tabs>
          <w:tab w:pos="1985" w:val="left" w:leader="none"/>
          <w:tab w:pos="1986" w:val="left" w:leader="none"/>
        </w:tabs>
        <w:spacing w:line="240" w:lineRule="auto" w:before="180" w:after="0"/>
        <w:ind w:left="1985" w:right="0" w:hanging="286"/>
        <w:jc w:val="left"/>
        <w:rPr>
          <w:sz w:val="20"/>
        </w:rPr>
      </w:pPr>
      <w:r>
        <w:rPr>
          <w:sz w:val="20"/>
        </w:rPr>
        <w:t>This table lists the positions and attenuations used in the default test</w:t>
      </w:r>
      <w:r>
        <w:rPr>
          <w:spacing w:val="-23"/>
          <w:sz w:val="20"/>
        </w:rPr>
        <w:t> </w:t>
      </w:r>
      <w:r>
        <w:rPr>
          <w:sz w:val="20"/>
        </w:rPr>
        <w:t>setup:</w:t>
      </w:r>
    </w:p>
    <w:p>
      <w:pPr>
        <w:spacing w:after="0" w:line="240" w:lineRule="auto"/>
        <w:jc w:val="left"/>
        <w:rPr>
          <w:sz w:val="20"/>
        </w:rPr>
        <w:sectPr>
          <w:headerReference w:type="default" r:id="rId305"/>
          <w:footerReference w:type="default" r:id="rId306"/>
          <w:pgSz w:w="11910" w:h="16850"/>
          <w:pgMar w:header="852" w:footer="979" w:top="1040" w:bottom="1160" w:left="0" w:right="0"/>
          <w:pgNumType w:start="61"/>
        </w:sectPr>
      </w:pPr>
    </w:p>
    <w:p>
      <w:pPr>
        <w:pStyle w:val="BodyText"/>
      </w:pPr>
    </w:p>
    <w:p>
      <w:pPr>
        <w:pStyle w:val="BodyText"/>
        <w:spacing w:before="6"/>
        <w:rPr>
          <w:sz w:val="11"/>
        </w:rPr>
      </w:pPr>
    </w:p>
    <w:tbl>
      <w:tblPr>
        <w:tblW w:w="0" w:type="auto"/>
        <w:jc w:val="left"/>
        <w:tblInd w:w="2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2"/>
        <w:gridCol w:w="1582"/>
        <w:gridCol w:w="1584"/>
        <w:gridCol w:w="1582"/>
        <w:gridCol w:w="1582"/>
      </w:tblGrid>
      <w:tr>
        <w:trPr>
          <w:trHeight w:val="425" w:hRule="exact"/>
        </w:trPr>
        <w:tc>
          <w:tcPr>
            <w:tcW w:w="1582" w:type="dxa"/>
            <w:shd w:val="clear" w:color="auto" w:fill="D9D9D9"/>
          </w:tcPr>
          <w:p>
            <w:pPr>
              <w:pStyle w:val="TableParagraph"/>
              <w:spacing w:line="240" w:lineRule="auto" w:before="5"/>
              <w:ind w:left="0"/>
              <w:rPr>
                <w:sz w:val="17"/>
              </w:rPr>
            </w:pPr>
          </w:p>
          <w:p>
            <w:pPr>
              <w:pStyle w:val="TableParagraph"/>
              <w:spacing w:line="240" w:lineRule="auto"/>
              <w:rPr>
                <w:b/>
                <w:sz w:val="18"/>
              </w:rPr>
            </w:pPr>
            <w:r>
              <w:rPr>
                <w:b/>
                <w:sz w:val="18"/>
              </w:rPr>
              <w:t>Device</w:t>
            </w:r>
          </w:p>
        </w:tc>
        <w:tc>
          <w:tcPr>
            <w:tcW w:w="1582" w:type="dxa"/>
            <w:shd w:val="clear" w:color="auto" w:fill="D9D9D9"/>
          </w:tcPr>
          <w:p>
            <w:pPr>
              <w:pStyle w:val="TableParagraph"/>
              <w:spacing w:line="240" w:lineRule="auto" w:before="5"/>
              <w:ind w:left="0"/>
              <w:rPr>
                <w:sz w:val="17"/>
              </w:rPr>
            </w:pPr>
          </w:p>
          <w:p>
            <w:pPr>
              <w:pStyle w:val="TableParagraph"/>
              <w:spacing w:line="240" w:lineRule="auto"/>
              <w:rPr>
                <w:b/>
                <w:sz w:val="18"/>
              </w:rPr>
            </w:pPr>
            <w:r>
              <w:rPr>
                <w:b/>
                <w:sz w:val="18"/>
              </w:rPr>
              <w:t>X-Pos</w:t>
            </w:r>
          </w:p>
        </w:tc>
        <w:tc>
          <w:tcPr>
            <w:tcW w:w="1584" w:type="dxa"/>
            <w:shd w:val="clear" w:color="auto" w:fill="D9D9D9"/>
          </w:tcPr>
          <w:p>
            <w:pPr>
              <w:pStyle w:val="TableParagraph"/>
              <w:spacing w:line="240" w:lineRule="auto" w:before="5"/>
              <w:ind w:left="0"/>
              <w:rPr>
                <w:sz w:val="17"/>
              </w:rPr>
            </w:pPr>
          </w:p>
          <w:p>
            <w:pPr>
              <w:pStyle w:val="TableParagraph"/>
              <w:spacing w:line="240" w:lineRule="auto"/>
              <w:rPr>
                <w:b/>
                <w:sz w:val="18"/>
              </w:rPr>
            </w:pPr>
            <w:r>
              <w:rPr>
                <w:b/>
                <w:sz w:val="18"/>
              </w:rPr>
              <w:t>Y-Pos</w:t>
            </w:r>
          </w:p>
        </w:tc>
        <w:tc>
          <w:tcPr>
            <w:tcW w:w="1582" w:type="dxa"/>
            <w:shd w:val="clear" w:color="auto" w:fill="D9D9D9"/>
          </w:tcPr>
          <w:p>
            <w:pPr>
              <w:pStyle w:val="TableParagraph"/>
              <w:tabs>
                <w:tab w:pos="1300" w:val="left" w:leader="none"/>
              </w:tabs>
              <w:spacing w:line="240" w:lineRule="auto"/>
              <w:ind w:right="100"/>
              <w:rPr>
                <w:b/>
                <w:sz w:val="18"/>
              </w:rPr>
            </w:pPr>
            <w:r>
              <w:rPr>
                <w:b/>
                <w:sz w:val="18"/>
              </w:rPr>
              <w:t>Pathloss</w:t>
              <w:tab/>
              <w:t>to DUT2</w:t>
            </w:r>
          </w:p>
        </w:tc>
        <w:tc>
          <w:tcPr>
            <w:tcW w:w="1582" w:type="dxa"/>
            <w:shd w:val="clear" w:color="auto" w:fill="D9D9D9"/>
          </w:tcPr>
          <w:p>
            <w:pPr>
              <w:pStyle w:val="TableParagraph"/>
              <w:tabs>
                <w:tab w:pos="1300" w:val="left" w:leader="none"/>
              </w:tabs>
              <w:spacing w:line="240" w:lineRule="auto"/>
              <w:ind w:right="100"/>
              <w:rPr>
                <w:b/>
                <w:sz w:val="18"/>
              </w:rPr>
            </w:pPr>
            <w:r>
              <w:rPr>
                <w:b/>
                <w:sz w:val="18"/>
              </w:rPr>
              <w:t>Pathloss</w:t>
              <w:tab/>
              <w:t>to DUT1</w:t>
            </w:r>
          </w:p>
        </w:tc>
      </w:tr>
      <w:tr>
        <w:trPr>
          <w:trHeight w:val="216" w:hRule="exact"/>
        </w:trPr>
        <w:tc>
          <w:tcPr>
            <w:tcW w:w="1582" w:type="dxa"/>
          </w:tcPr>
          <w:p>
            <w:pPr>
              <w:pStyle w:val="TableParagraph"/>
              <w:rPr>
                <w:sz w:val="18"/>
              </w:rPr>
            </w:pPr>
            <w:r>
              <w:rPr>
                <w:sz w:val="18"/>
              </w:rPr>
              <w:t>DUT2</w:t>
            </w:r>
          </w:p>
        </w:tc>
        <w:tc>
          <w:tcPr>
            <w:tcW w:w="1582" w:type="dxa"/>
          </w:tcPr>
          <w:p>
            <w:pPr>
              <w:pStyle w:val="TableParagraph"/>
              <w:rPr>
                <w:sz w:val="18"/>
              </w:rPr>
            </w:pPr>
            <w:r>
              <w:rPr>
                <w:sz w:val="18"/>
              </w:rPr>
              <w:t>675</w:t>
            </w:r>
          </w:p>
        </w:tc>
        <w:tc>
          <w:tcPr>
            <w:tcW w:w="1584" w:type="dxa"/>
          </w:tcPr>
          <w:p>
            <w:pPr>
              <w:pStyle w:val="TableParagraph"/>
              <w:rPr>
                <w:sz w:val="18"/>
              </w:rPr>
            </w:pPr>
            <w:r>
              <w:rPr>
                <w:w w:val="99"/>
                <w:sz w:val="18"/>
              </w:rPr>
              <w:t>0</w:t>
            </w:r>
          </w:p>
        </w:tc>
        <w:tc>
          <w:tcPr>
            <w:tcW w:w="1582" w:type="dxa"/>
          </w:tcPr>
          <w:p>
            <w:pPr>
              <w:pStyle w:val="TableParagraph"/>
              <w:rPr>
                <w:sz w:val="18"/>
              </w:rPr>
            </w:pPr>
            <w:r>
              <w:rPr>
                <w:sz w:val="18"/>
              </w:rPr>
              <w:t>N/A</w:t>
            </w:r>
          </w:p>
        </w:tc>
        <w:tc>
          <w:tcPr>
            <w:tcW w:w="1582" w:type="dxa"/>
          </w:tcPr>
          <w:p>
            <w:pPr>
              <w:pStyle w:val="TableParagraph"/>
              <w:rPr>
                <w:sz w:val="18"/>
              </w:rPr>
            </w:pPr>
            <w:r>
              <w:rPr>
                <w:sz w:val="18"/>
              </w:rPr>
              <w:t>95.1</w:t>
            </w:r>
          </w:p>
        </w:tc>
      </w:tr>
      <w:tr>
        <w:trPr>
          <w:trHeight w:val="216" w:hRule="exact"/>
        </w:trPr>
        <w:tc>
          <w:tcPr>
            <w:tcW w:w="1582" w:type="dxa"/>
          </w:tcPr>
          <w:p>
            <w:pPr>
              <w:pStyle w:val="TableParagraph"/>
              <w:rPr>
                <w:sz w:val="18"/>
              </w:rPr>
            </w:pPr>
            <w:r>
              <w:rPr>
                <w:sz w:val="18"/>
              </w:rPr>
              <w:t>DUT1</w:t>
            </w:r>
          </w:p>
        </w:tc>
        <w:tc>
          <w:tcPr>
            <w:tcW w:w="1582" w:type="dxa"/>
          </w:tcPr>
          <w:p>
            <w:pPr>
              <w:pStyle w:val="TableParagraph"/>
              <w:rPr>
                <w:sz w:val="18"/>
              </w:rPr>
            </w:pPr>
            <w:r>
              <w:rPr>
                <w:sz w:val="18"/>
              </w:rPr>
              <w:t>600</w:t>
            </w:r>
          </w:p>
        </w:tc>
        <w:tc>
          <w:tcPr>
            <w:tcW w:w="1584" w:type="dxa"/>
          </w:tcPr>
          <w:p>
            <w:pPr>
              <w:pStyle w:val="TableParagraph"/>
              <w:rPr>
                <w:sz w:val="18"/>
              </w:rPr>
            </w:pPr>
            <w:r>
              <w:rPr>
                <w:w w:val="99"/>
                <w:sz w:val="18"/>
              </w:rPr>
              <w:t>0</w:t>
            </w:r>
          </w:p>
        </w:tc>
        <w:tc>
          <w:tcPr>
            <w:tcW w:w="1582" w:type="dxa"/>
          </w:tcPr>
          <w:p>
            <w:pPr>
              <w:pStyle w:val="TableParagraph"/>
              <w:rPr>
                <w:sz w:val="18"/>
              </w:rPr>
            </w:pPr>
            <w:r>
              <w:rPr>
                <w:sz w:val="18"/>
              </w:rPr>
              <w:t>95.1</w:t>
            </w:r>
          </w:p>
        </w:tc>
        <w:tc>
          <w:tcPr>
            <w:tcW w:w="1582" w:type="dxa"/>
          </w:tcPr>
          <w:p>
            <w:pPr>
              <w:pStyle w:val="TableParagraph"/>
              <w:rPr>
                <w:sz w:val="18"/>
              </w:rPr>
            </w:pPr>
            <w:r>
              <w:rPr>
                <w:sz w:val="18"/>
              </w:rPr>
              <w:t>N/A</w:t>
            </w:r>
          </w:p>
        </w:tc>
      </w:tr>
      <w:tr>
        <w:trPr>
          <w:trHeight w:val="218" w:hRule="exact"/>
        </w:trPr>
        <w:tc>
          <w:tcPr>
            <w:tcW w:w="1582" w:type="dxa"/>
          </w:tcPr>
          <w:p>
            <w:pPr>
              <w:pStyle w:val="TableParagraph"/>
              <w:spacing w:line="240" w:lineRule="auto" w:before="1"/>
              <w:rPr>
                <w:sz w:val="18"/>
              </w:rPr>
            </w:pPr>
            <w:r>
              <w:rPr>
                <w:w w:val="99"/>
                <w:sz w:val="18"/>
              </w:rPr>
              <w:t>1</w:t>
            </w:r>
          </w:p>
        </w:tc>
        <w:tc>
          <w:tcPr>
            <w:tcW w:w="1582" w:type="dxa"/>
          </w:tcPr>
          <w:p>
            <w:pPr>
              <w:pStyle w:val="TableParagraph"/>
              <w:spacing w:line="240" w:lineRule="auto" w:before="1"/>
              <w:rPr>
                <w:sz w:val="18"/>
              </w:rPr>
            </w:pPr>
            <w:r>
              <w:rPr>
                <w:sz w:val="18"/>
              </w:rPr>
              <w:t>575</w:t>
            </w:r>
          </w:p>
        </w:tc>
        <w:tc>
          <w:tcPr>
            <w:tcW w:w="1584" w:type="dxa"/>
          </w:tcPr>
          <w:p>
            <w:pPr>
              <w:pStyle w:val="TableParagraph"/>
              <w:spacing w:line="240" w:lineRule="auto" w:before="1"/>
              <w:rPr>
                <w:sz w:val="18"/>
              </w:rPr>
            </w:pPr>
            <w:r>
              <w:rPr>
                <w:sz w:val="18"/>
              </w:rPr>
              <w:t>8.7</w:t>
            </w:r>
          </w:p>
        </w:tc>
        <w:tc>
          <w:tcPr>
            <w:tcW w:w="1582" w:type="dxa"/>
          </w:tcPr>
          <w:p>
            <w:pPr>
              <w:pStyle w:val="TableParagraph"/>
              <w:spacing w:line="240" w:lineRule="auto" w:before="1"/>
              <w:rPr>
                <w:sz w:val="18"/>
              </w:rPr>
            </w:pPr>
            <w:r>
              <w:rPr>
                <w:sz w:val="18"/>
              </w:rPr>
              <w:t>95.15</w:t>
            </w:r>
          </w:p>
        </w:tc>
        <w:tc>
          <w:tcPr>
            <w:tcW w:w="1582" w:type="dxa"/>
          </w:tcPr>
          <w:p>
            <w:pPr>
              <w:pStyle w:val="TableParagraph"/>
              <w:spacing w:line="240" w:lineRule="auto" w:before="1"/>
              <w:rPr>
                <w:sz w:val="18"/>
              </w:rPr>
            </w:pPr>
            <w:r>
              <w:rPr>
                <w:sz w:val="18"/>
              </w:rPr>
              <w:t>72.01</w:t>
            </w:r>
          </w:p>
        </w:tc>
      </w:tr>
      <w:tr>
        <w:trPr>
          <w:trHeight w:val="216" w:hRule="exact"/>
        </w:trPr>
        <w:tc>
          <w:tcPr>
            <w:tcW w:w="1582" w:type="dxa"/>
          </w:tcPr>
          <w:p>
            <w:pPr>
              <w:pStyle w:val="TableParagraph"/>
              <w:rPr>
                <w:sz w:val="18"/>
              </w:rPr>
            </w:pPr>
            <w:r>
              <w:rPr>
                <w:sz w:val="18"/>
              </w:rPr>
              <w:t>1'</w:t>
            </w:r>
          </w:p>
        </w:tc>
        <w:tc>
          <w:tcPr>
            <w:tcW w:w="1582" w:type="dxa"/>
          </w:tcPr>
          <w:p>
            <w:pPr>
              <w:pStyle w:val="TableParagraph"/>
              <w:rPr>
                <w:sz w:val="18"/>
              </w:rPr>
            </w:pPr>
            <w:r>
              <w:rPr>
                <w:sz w:val="18"/>
              </w:rPr>
              <w:t>575</w:t>
            </w:r>
          </w:p>
        </w:tc>
        <w:tc>
          <w:tcPr>
            <w:tcW w:w="1584" w:type="dxa"/>
          </w:tcPr>
          <w:p>
            <w:pPr>
              <w:pStyle w:val="TableParagraph"/>
              <w:rPr>
                <w:sz w:val="18"/>
              </w:rPr>
            </w:pPr>
            <w:r>
              <w:rPr>
                <w:sz w:val="18"/>
              </w:rPr>
              <w:t>8.7</w:t>
            </w:r>
          </w:p>
        </w:tc>
        <w:tc>
          <w:tcPr>
            <w:tcW w:w="1582" w:type="dxa"/>
          </w:tcPr>
          <w:p>
            <w:pPr>
              <w:pStyle w:val="TableParagraph"/>
              <w:rPr>
                <w:sz w:val="18"/>
              </w:rPr>
            </w:pPr>
            <w:r>
              <w:rPr>
                <w:sz w:val="18"/>
              </w:rPr>
              <w:t>95.15</w:t>
            </w:r>
          </w:p>
        </w:tc>
        <w:tc>
          <w:tcPr>
            <w:tcW w:w="1582" w:type="dxa"/>
          </w:tcPr>
          <w:p>
            <w:pPr>
              <w:pStyle w:val="TableParagraph"/>
              <w:rPr>
                <w:sz w:val="18"/>
              </w:rPr>
            </w:pPr>
            <w:r>
              <w:rPr>
                <w:sz w:val="18"/>
              </w:rPr>
              <w:t>72.01</w:t>
            </w:r>
          </w:p>
        </w:tc>
      </w:tr>
      <w:tr>
        <w:trPr>
          <w:trHeight w:val="218" w:hRule="exact"/>
        </w:trPr>
        <w:tc>
          <w:tcPr>
            <w:tcW w:w="1582" w:type="dxa"/>
          </w:tcPr>
          <w:p>
            <w:pPr>
              <w:pStyle w:val="TableParagraph"/>
              <w:rPr>
                <w:sz w:val="18"/>
              </w:rPr>
            </w:pPr>
            <w:r>
              <w:rPr>
                <w:w w:val="99"/>
                <w:sz w:val="18"/>
              </w:rPr>
              <w:t>2</w:t>
            </w:r>
          </w:p>
        </w:tc>
        <w:tc>
          <w:tcPr>
            <w:tcW w:w="1582" w:type="dxa"/>
          </w:tcPr>
          <w:p>
            <w:pPr>
              <w:pStyle w:val="TableParagraph"/>
              <w:rPr>
                <w:sz w:val="18"/>
              </w:rPr>
            </w:pPr>
            <w:r>
              <w:rPr>
                <w:sz w:val="18"/>
              </w:rPr>
              <w:t>600</w:t>
            </w:r>
          </w:p>
        </w:tc>
        <w:tc>
          <w:tcPr>
            <w:tcW w:w="1584" w:type="dxa"/>
          </w:tcPr>
          <w:p>
            <w:pPr>
              <w:pStyle w:val="TableParagraph"/>
              <w:rPr>
                <w:sz w:val="18"/>
              </w:rPr>
            </w:pPr>
            <w:r>
              <w:rPr>
                <w:sz w:val="18"/>
              </w:rPr>
              <w:t>8.7</w:t>
            </w:r>
          </w:p>
        </w:tc>
        <w:tc>
          <w:tcPr>
            <w:tcW w:w="1582" w:type="dxa"/>
          </w:tcPr>
          <w:p>
            <w:pPr>
              <w:pStyle w:val="TableParagraph"/>
              <w:rPr>
                <w:sz w:val="18"/>
              </w:rPr>
            </w:pPr>
            <w:r>
              <w:rPr>
                <w:sz w:val="18"/>
              </w:rPr>
              <w:t>90.19</w:t>
            </w:r>
          </w:p>
        </w:tc>
        <w:tc>
          <w:tcPr>
            <w:tcW w:w="1582" w:type="dxa"/>
          </w:tcPr>
          <w:p>
            <w:pPr>
              <w:pStyle w:val="TableParagraph"/>
              <w:rPr>
                <w:sz w:val="18"/>
              </w:rPr>
            </w:pPr>
            <w:r>
              <w:rPr>
                <w:sz w:val="18"/>
              </w:rPr>
              <w:t>58.89</w:t>
            </w:r>
          </w:p>
        </w:tc>
      </w:tr>
      <w:tr>
        <w:trPr>
          <w:trHeight w:val="216" w:hRule="exact"/>
        </w:trPr>
        <w:tc>
          <w:tcPr>
            <w:tcW w:w="1582" w:type="dxa"/>
          </w:tcPr>
          <w:p>
            <w:pPr>
              <w:pStyle w:val="TableParagraph"/>
              <w:rPr>
                <w:sz w:val="18"/>
              </w:rPr>
            </w:pPr>
            <w:r>
              <w:rPr>
                <w:sz w:val="18"/>
              </w:rPr>
              <w:t>2'</w:t>
            </w:r>
          </w:p>
        </w:tc>
        <w:tc>
          <w:tcPr>
            <w:tcW w:w="1582" w:type="dxa"/>
          </w:tcPr>
          <w:p>
            <w:pPr>
              <w:pStyle w:val="TableParagraph"/>
              <w:rPr>
                <w:sz w:val="18"/>
              </w:rPr>
            </w:pPr>
            <w:r>
              <w:rPr>
                <w:sz w:val="18"/>
              </w:rPr>
              <w:t>600</w:t>
            </w:r>
          </w:p>
        </w:tc>
        <w:tc>
          <w:tcPr>
            <w:tcW w:w="1584" w:type="dxa"/>
          </w:tcPr>
          <w:p>
            <w:pPr>
              <w:pStyle w:val="TableParagraph"/>
              <w:rPr>
                <w:sz w:val="18"/>
              </w:rPr>
            </w:pPr>
            <w:r>
              <w:rPr>
                <w:sz w:val="18"/>
              </w:rPr>
              <w:t>8.7</w:t>
            </w:r>
          </w:p>
        </w:tc>
        <w:tc>
          <w:tcPr>
            <w:tcW w:w="1582" w:type="dxa"/>
          </w:tcPr>
          <w:p>
            <w:pPr>
              <w:pStyle w:val="TableParagraph"/>
              <w:rPr>
                <w:sz w:val="18"/>
              </w:rPr>
            </w:pPr>
            <w:r>
              <w:rPr>
                <w:sz w:val="18"/>
              </w:rPr>
              <w:t>90.19</w:t>
            </w:r>
          </w:p>
        </w:tc>
        <w:tc>
          <w:tcPr>
            <w:tcW w:w="1582" w:type="dxa"/>
          </w:tcPr>
          <w:p>
            <w:pPr>
              <w:pStyle w:val="TableParagraph"/>
              <w:rPr>
                <w:sz w:val="18"/>
              </w:rPr>
            </w:pPr>
            <w:r>
              <w:rPr>
                <w:sz w:val="18"/>
              </w:rPr>
              <w:t>58.89</w:t>
            </w:r>
          </w:p>
        </w:tc>
      </w:tr>
      <w:tr>
        <w:trPr>
          <w:trHeight w:val="218" w:hRule="exact"/>
        </w:trPr>
        <w:tc>
          <w:tcPr>
            <w:tcW w:w="1582" w:type="dxa"/>
          </w:tcPr>
          <w:p>
            <w:pPr>
              <w:pStyle w:val="TableParagraph"/>
              <w:rPr>
                <w:sz w:val="18"/>
              </w:rPr>
            </w:pPr>
            <w:r>
              <w:rPr>
                <w:w w:val="99"/>
                <w:sz w:val="18"/>
              </w:rPr>
              <w:t>3</w:t>
            </w:r>
          </w:p>
        </w:tc>
        <w:tc>
          <w:tcPr>
            <w:tcW w:w="1582" w:type="dxa"/>
          </w:tcPr>
          <w:p>
            <w:pPr>
              <w:pStyle w:val="TableParagraph"/>
              <w:rPr>
                <w:sz w:val="18"/>
              </w:rPr>
            </w:pPr>
            <w:r>
              <w:rPr>
                <w:sz w:val="18"/>
              </w:rPr>
              <w:t>625</w:t>
            </w:r>
          </w:p>
        </w:tc>
        <w:tc>
          <w:tcPr>
            <w:tcW w:w="1584" w:type="dxa"/>
          </w:tcPr>
          <w:p>
            <w:pPr>
              <w:pStyle w:val="TableParagraph"/>
              <w:rPr>
                <w:sz w:val="18"/>
              </w:rPr>
            </w:pPr>
            <w:r>
              <w:rPr>
                <w:sz w:val="18"/>
              </w:rPr>
              <w:t>8.7</w:t>
            </w:r>
          </w:p>
        </w:tc>
        <w:tc>
          <w:tcPr>
            <w:tcW w:w="1582" w:type="dxa"/>
          </w:tcPr>
          <w:p>
            <w:pPr>
              <w:pStyle w:val="TableParagraph"/>
              <w:rPr>
                <w:sz w:val="18"/>
              </w:rPr>
            </w:pPr>
            <w:r>
              <w:rPr>
                <w:sz w:val="18"/>
              </w:rPr>
              <w:t>83.31</w:t>
            </w:r>
          </w:p>
        </w:tc>
        <w:tc>
          <w:tcPr>
            <w:tcW w:w="1582" w:type="dxa"/>
          </w:tcPr>
          <w:p>
            <w:pPr>
              <w:pStyle w:val="TableParagraph"/>
              <w:rPr>
                <w:sz w:val="18"/>
              </w:rPr>
            </w:pPr>
            <w:r>
              <w:rPr>
                <w:sz w:val="18"/>
              </w:rPr>
              <w:t>72.01</w:t>
            </w:r>
          </w:p>
        </w:tc>
      </w:tr>
      <w:tr>
        <w:trPr>
          <w:trHeight w:val="216" w:hRule="exact"/>
        </w:trPr>
        <w:tc>
          <w:tcPr>
            <w:tcW w:w="1582" w:type="dxa"/>
          </w:tcPr>
          <w:p>
            <w:pPr>
              <w:pStyle w:val="TableParagraph"/>
              <w:rPr>
                <w:sz w:val="18"/>
              </w:rPr>
            </w:pPr>
            <w:r>
              <w:rPr>
                <w:sz w:val="18"/>
              </w:rPr>
              <w:t>3'</w:t>
            </w:r>
          </w:p>
        </w:tc>
        <w:tc>
          <w:tcPr>
            <w:tcW w:w="1582" w:type="dxa"/>
          </w:tcPr>
          <w:p>
            <w:pPr>
              <w:pStyle w:val="TableParagraph"/>
              <w:rPr>
                <w:sz w:val="18"/>
              </w:rPr>
            </w:pPr>
            <w:r>
              <w:rPr>
                <w:sz w:val="18"/>
              </w:rPr>
              <w:t>625</w:t>
            </w:r>
          </w:p>
        </w:tc>
        <w:tc>
          <w:tcPr>
            <w:tcW w:w="1584" w:type="dxa"/>
          </w:tcPr>
          <w:p>
            <w:pPr>
              <w:pStyle w:val="TableParagraph"/>
              <w:rPr>
                <w:sz w:val="18"/>
              </w:rPr>
            </w:pPr>
            <w:r>
              <w:rPr>
                <w:sz w:val="18"/>
              </w:rPr>
              <w:t>8.7</w:t>
            </w:r>
          </w:p>
        </w:tc>
        <w:tc>
          <w:tcPr>
            <w:tcW w:w="1582" w:type="dxa"/>
          </w:tcPr>
          <w:p>
            <w:pPr>
              <w:pStyle w:val="TableParagraph"/>
              <w:rPr>
                <w:sz w:val="18"/>
              </w:rPr>
            </w:pPr>
            <w:r>
              <w:rPr>
                <w:sz w:val="18"/>
              </w:rPr>
              <w:t>83.31</w:t>
            </w:r>
          </w:p>
        </w:tc>
        <w:tc>
          <w:tcPr>
            <w:tcW w:w="1582" w:type="dxa"/>
          </w:tcPr>
          <w:p>
            <w:pPr>
              <w:pStyle w:val="TableParagraph"/>
              <w:rPr>
                <w:sz w:val="18"/>
              </w:rPr>
            </w:pPr>
            <w:r>
              <w:rPr>
                <w:sz w:val="18"/>
              </w:rPr>
              <w:t>72.01</w:t>
            </w:r>
          </w:p>
        </w:tc>
      </w:tr>
      <w:tr>
        <w:trPr>
          <w:trHeight w:val="216" w:hRule="exact"/>
        </w:trPr>
        <w:tc>
          <w:tcPr>
            <w:tcW w:w="1582" w:type="dxa"/>
          </w:tcPr>
          <w:p>
            <w:pPr>
              <w:pStyle w:val="TableParagraph"/>
              <w:rPr>
                <w:sz w:val="18"/>
              </w:rPr>
            </w:pPr>
            <w:r>
              <w:rPr>
                <w:w w:val="99"/>
                <w:sz w:val="18"/>
              </w:rPr>
              <w:t>4</w:t>
            </w:r>
          </w:p>
        </w:tc>
        <w:tc>
          <w:tcPr>
            <w:tcW w:w="1582" w:type="dxa"/>
          </w:tcPr>
          <w:p>
            <w:pPr>
              <w:pStyle w:val="TableParagraph"/>
              <w:rPr>
                <w:sz w:val="18"/>
              </w:rPr>
            </w:pPr>
            <w:r>
              <w:rPr>
                <w:sz w:val="18"/>
              </w:rPr>
              <w:t>581.25</w:t>
            </w:r>
          </w:p>
        </w:tc>
        <w:tc>
          <w:tcPr>
            <w:tcW w:w="1584" w:type="dxa"/>
          </w:tcPr>
          <w:p>
            <w:pPr>
              <w:pStyle w:val="TableParagraph"/>
              <w:rPr>
                <w:sz w:val="18"/>
              </w:rPr>
            </w:pPr>
            <w:r>
              <w:rPr>
                <w:sz w:val="18"/>
              </w:rPr>
              <w:t>29.7</w:t>
            </w:r>
          </w:p>
        </w:tc>
        <w:tc>
          <w:tcPr>
            <w:tcW w:w="1582" w:type="dxa"/>
          </w:tcPr>
          <w:p>
            <w:pPr>
              <w:pStyle w:val="TableParagraph"/>
              <w:rPr>
                <w:sz w:val="18"/>
              </w:rPr>
            </w:pPr>
            <w:r>
              <w:rPr>
                <w:sz w:val="18"/>
              </w:rPr>
              <w:t>94.78</w:t>
            </w:r>
          </w:p>
        </w:tc>
        <w:tc>
          <w:tcPr>
            <w:tcW w:w="1582" w:type="dxa"/>
          </w:tcPr>
          <w:p>
            <w:pPr>
              <w:pStyle w:val="TableParagraph"/>
              <w:rPr>
                <w:sz w:val="18"/>
              </w:rPr>
            </w:pPr>
            <w:r>
              <w:rPr>
                <w:sz w:val="18"/>
              </w:rPr>
              <w:t>76.89</w:t>
            </w:r>
          </w:p>
        </w:tc>
      </w:tr>
      <w:tr>
        <w:trPr>
          <w:trHeight w:val="218" w:hRule="exact"/>
        </w:trPr>
        <w:tc>
          <w:tcPr>
            <w:tcW w:w="1582" w:type="dxa"/>
          </w:tcPr>
          <w:p>
            <w:pPr>
              <w:pStyle w:val="TableParagraph"/>
              <w:spacing w:line="240" w:lineRule="auto" w:before="1"/>
              <w:rPr>
                <w:sz w:val="18"/>
              </w:rPr>
            </w:pPr>
            <w:r>
              <w:rPr>
                <w:sz w:val="18"/>
              </w:rPr>
              <w:t>4'</w:t>
            </w:r>
          </w:p>
        </w:tc>
        <w:tc>
          <w:tcPr>
            <w:tcW w:w="1582" w:type="dxa"/>
          </w:tcPr>
          <w:p>
            <w:pPr>
              <w:pStyle w:val="TableParagraph"/>
              <w:spacing w:line="240" w:lineRule="auto" w:before="1"/>
              <w:rPr>
                <w:sz w:val="18"/>
              </w:rPr>
            </w:pPr>
            <w:r>
              <w:rPr>
                <w:sz w:val="18"/>
              </w:rPr>
              <w:t>581.25</w:t>
            </w:r>
          </w:p>
        </w:tc>
        <w:tc>
          <w:tcPr>
            <w:tcW w:w="1584" w:type="dxa"/>
          </w:tcPr>
          <w:p>
            <w:pPr>
              <w:pStyle w:val="TableParagraph"/>
              <w:spacing w:line="240" w:lineRule="auto" w:before="1"/>
              <w:rPr>
                <w:sz w:val="18"/>
              </w:rPr>
            </w:pPr>
            <w:r>
              <w:rPr>
                <w:sz w:val="18"/>
              </w:rPr>
              <w:t>29.7</w:t>
            </w:r>
          </w:p>
        </w:tc>
        <w:tc>
          <w:tcPr>
            <w:tcW w:w="1582" w:type="dxa"/>
          </w:tcPr>
          <w:p>
            <w:pPr>
              <w:pStyle w:val="TableParagraph"/>
              <w:spacing w:line="240" w:lineRule="auto" w:before="1"/>
              <w:rPr>
                <w:sz w:val="18"/>
              </w:rPr>
            </w:pPr>
            <w:r>
              <w:rPr>
                <w:sz w:val="18"/>
              </w:rPr>
              <w:t>94.78</w:t>
            </w:r>
          </w:p>
        </w:tc>
        <w:tc>
          <w:tcPr>
            <w:tcW w:w="1582" w:type="dxa"/>
          </w:tcPr>
          <w:p>
            <w:pPr>
              <w:pStyle w:val="TableParagraph"/>
              <w:spacing w:line="240" w:lineRule="auto" w:before="1"/>
              <w:rPr>
                <w:sz w:val="18"/>
              </w:rPr>
            </w:pPr>
            <w:r>
              <w:rPr>
                <w:sz w:val="18"/>
              </w:rPr>
              <w:t>76.89</w:t>
            </w:r>
          </w:p>
        </w:tc>
      </w:tr>
      <w:tr>
        <w:trPr>
          <w:trHeight w:val="216" w:hRule="exact"/>
        </w:trPr>
        <w:tc>
          <w:tcPr>
            <w:tcW w:w="1582" w:type="dxa"/>
          </w:tcPr>
          <w:p>
            <w:pPr>
              <w:pStyle w:val="TableParagraph"/>
              <w:rPr>
                <w:sz w:val="18"/>
              </w:rPr>
            </w:pPr>
            <w:r>
              <w:rPr>
                <w:w w:val="99"/>
                <w:sz w:val="18"/>
              </w:rPr>
              <w:t>5</w:t>
            </w:r>
          </w:p>
        </w:tc>
        <w:tc>
          <w:tcPr>
            <w:tcW w:w="1582" w:type="dxa"/>
          </w:tcPr>
          <w:p>
            <w:pPr>
              <w:pStyle w:val="TableParagraph"/>
              <w:rPr>
                <w:sz w:val="18"/>
              </w:rPr>
            </w:pPr>
            <w:r>
              <w:rPr>
                <w:sz w:val="18"/>
              </w:rPr>
              <w:t>618.75</w:t>
            </w:r>
          </w:p>
        </w:tc>
        <w:tc>
          <w:tcPr>
            <w:tcW w:w="1584" w:type="dxa"/>
          </w:tcPr>
          <w:p>
            <w:pPr>
              <w:pStyle w:val="TableParagraph"/>
              <w:rPr>
                <w:sz w:val="18"/>
              </w:rPr>
            </w:pPr>
            <w:r>
              <w:rPr>
                <w:sz w:val="18"/>
              </w:rPr>
              <w:t>29.7</w:t>
            </w:r>
          </w:p>
        </w:tc>
        <w:tc>
          <w:tcPr>
            <w:tcW w:w="1582" w:type="dxa"/>
          </w:tcPr>
          <w:p>
            <w:pPr>
              <w:pStyle w:val="TableParagraph"/>
              <w:rPr>
                <w:sz w:val="18"/>
              </w:rPr>
            </w:pPr>
            <w:r>
              <w:rPr>
                <w:sz w:val="18"/>
              </w:rPr>
              <w:t>87.21</w:t>
            </w:r>
          </w:p>
        </w:tc>
        <w:tc>
          <w:tcPr>
            <w:tcW w:w="1582" w:type="dxa"/>
          </w:tcPr>
          <w:p>
            <w:pPr>
              <w:pStyle w:val="TableParagraph"/>
              <w:rPr>
                <w:sz w:val="18"/>
              </w:rPr>
            </w:pPr>
            <w:r>
              <w:rPr>
                <w:sz w:val="18"/>
              </w:rPr>
              <w:t>76.89</w:t>
            </w:r>
          </w:p>
        </w:tc>
      </w:tr>
      <w:tr>
        <w:trPr>
          <w:trHeight w:val="218" w:hRule="exact"/>
        </w:trPr>
        <w:tc>
          <w:tcPr>
            <w:tcW w:w="1582" w:type="dxa"/>
          </w:tcPr>
          <w:p>
            <w:pPr>
              <w:pStyle w:val="TableParagraph"/>
              <w:rPr>
                <w:sz w:val="18"/>
              </w:rPr>
            </w:pPr>
            <w:r>
              <w:rPr>
                <w:sz w:val="18"/>
              </w:rPr>
              <w:t>5'</w:t>
            </w:r>
          </w:p>
        </w:tc>
        <w:tc>
          <w:tcPr>
            <w:tcW w:w="1582" w:type="dxa"/>
          </w:tcPr>
          <w:p>
            <w:pPr>
              <w:pStyle w:val="TableParagraph"/>
              <w:rPr>
                <w:sz w:val="18"/>
              </w:rPr>
            </w:pPr>
            <w:r>
              <w:rPr>
                <w:sz w:val="18"/>
              </w:rPr>
              <w:t>618.75</w:t>
            </w:r>
          </w:p>
        </w:tc>
        <w:tc>
          <w:tcPr>
            <w:tcW w:w="1584" w:type="dxa"/>
          </w:tcPr>
          <w:p>
            <w:pPr>
              <w:pStyle w:val="TableParagraph"/>
              <w:rPr>
                <w:sz w:val="18"/>
              </w:rPr>
            </w:pPr>
            <w:r>
              <w:rPr>
                <w:sz w:val="18"/>
              </w:rPr>
              <w:t>29.7</w:t>
            </w:r>
          </w:p>
        </w:tc>
        <w:tc>
          <w:tcPr>
            <w:tcW w:w="1582" w:type="dxa"/>
          </w:tcPr>
          <w:p>
            <w:pPr>
              <w:pStyle w:val="TableParagraph"/>
              <w:rPr>
                <w:sz w:val="18"/>
              </w:rPr>
            </w:pPr>
            <w:r>
              <w:rPr>
                <w:sz w:val="18"/>
              </w:rPr>
              <w:t>87.21</w:t>
            </w:r>
          </w:p>
        </w:tc>
        <w:tc>
          <w:tcPr>
            <w:tcW w:w="1582" w:type="dxa"/>
          </w:tcPr>
          <w:p>
            <w:pPr>
              <w:pStyle w:val="TableParagraph"/>
              <w:rPr>
                <w:sz w:val="18"/>
              </w:rPr>
            </w:pPr>
            <w:r>
              <w:rPr>
                <w:sz w:val="18"/>
              </w:rPr>
              <w:t>76.89</w:t>
            </w:r>
          </w:p>
        </w:tc>
      </w:tr>
      <w:tr>
        <w:trPr>
          <w:trHeight w:val="216" w:hRule="exact"/>
        </w:trPr>
        <w:tc>
          <w:tcPr>
            <w:tcW w:w="1582" w:type="dxa"/>
          </w:tcPr>
          <w:p>
            <w:pPr>
              <w:pStyle w:val="TableParagraph"/>
              <w:rPr>
                <w:sz w:val="18"/>
              </w:rPr>
            </w:pPr>
            <w:r>
              <w:rPr>
                <w:w w:val="99"/>
                <w:sz w:val="18"/>
              </w:rPr>
              <w:t>6</w:t>
            </w:r>
          </w:p>
        </w:tc>
        <w:tc>
          <w:tcPr>
            <w:tcW w:w="1582" w:type="dxa"/>
          </w:tcPr>
          <w:p>
            <w:pPr>
              <w:pStyle w:val="TableParagraph"/>
              <w:rPr>
                <w:sz w:val="18"/>
              </w:rPr>
            </w:pPr>
            <w:r>
              <w:rPr>
                <w:sz w:val="18"/>
              </w:rPr>
              <w:t>650</w:t>
            </w:r>
          </w:p>
        </w:tc>
        <w:tc>
          <w:tcPr>
            <w:tcW w:w="1584" w:type="dxa"/>
          </w:tcPr>
          <w:p>
            <w:pPr>
              <w:pStyle w:val="TableParagraph"/>
              <w:rPr>
                <w:sz w:val="18"/>
              </w:rPr>
            </w:pPr>
            <w:r>
              <w:rPr>
                <w:sz w:val="18"/>
              </w:rPr>
              <w:t>8.7</w:t>
            </w:r>
          </w:p>
        </w:tc>
        <w:tc>
          <w:tcPr>
            <w:tcW w:w="1582" w:type="dxa"/>
          </w:tcPr>
          <w:p>
            <w:pPr>
              <w:pStyle w:val="TableParagraph"/>
              <w:rPr>
                <w:sz w:val="18"/>
              </w:rPr>
            </w:pPr>
            <w:r>
              <w:rPr>
                <w:sz w:val="18"/>
              </w:rPr>
              <w:t>72.01</w:t>
            </w:r>
          </w:p>
        </w:tc>
        <w:tc>
          <w:tcPr>
            <w:tcW w:w="1582" w:type="dxa"/>
          </w:tcPr>
          <w:p>
            <w:pPr>
              <w:pStyle w:val="TableParagraph"/>
              <w:rPr>
                <w:sz w:val="18"/>
              </w:rPr>
            </w:pPr>
            <w:r>
              <w:rPr>
                <w:sz w:val="18"/>
              </w:rPr>
              <w:t>83.31</w:t>
            </w:r>
          </w:p>
        </w:tc>
      </w:tr>
      <w:tr>
        <w:trPr>
          <w:trHeight w:val="216" w:hRule="exact"/>
        </w:trPr>
        <w:tc>
          <w:tcPr>
            <w:tcW w:w="1582" w:type="dxa"/>
          </w:tcPr>
          <w:p>
            <w:pPr>
              <w:pStyle w:val="TableParagraph"/>
              <w:rPr>
                <w:sz w:val="18"/>
              </w:rPr>
            </w:pPr>
            <w:r>
              <w:rPr>
                <w:sz w:val="18"/>
              </w:rPr>
              <w:t>6'</w:t>
            </w:r>
          </w:p>
        </w:tc>
        <w:tc>
          <w:tcPr>
            <w:tcW w:w="1582" w:type="dxa"/>
          </w:tcPr>
          <w:p>
            <w:pPr>
              <w:pStyle w:val="TableParagraph"/>
              <w:rPr>
                <w:sz w:val="18"/>
              </w:rPr>
            </w:pPr>
            <w:r>
              <w:rPr>
                <w:sz w:val="18"/>
              </w:rPr>
              <w:t>650</w:t>
            </w:r>
          </w:p>
        </w:tc>
        <w:tc>
          <w:tcPr>
            <w:tcW w:w="1584" w:type="dxa"/>
          </w:tcPr>
          <w:p>
            <w:pPr>
              <w:pStyle w:val="TableParagraph"/>
              <w:rPr>
                <w:sz w:val="18"/>
              </w:rPr>
            </w:pPr>
            <w:r>
              <w:rPr>
                <w:sz w:val="18"/>
              </w:rPr>
              <w:t>8.7</w:t>
            </w:r>
          </w:p>
        </w:tc>
        <w:tc>
          <w:tcPr>
            <w:tcW w:w="1582" w:type="dxa"/>
          </w:tcPr>
          <w:p>
            <w:pPr>
              <w:pStyle w:val="TableParagraph"/>
              <w:rPr>
                <w:sz w:val="18"/>
              </w:rPr>
            </w:pPr>
            <w:r>
              <w:rPr>
                <w:sz w:val="18"/>
              </w:rPr>
              <w:t>72.01</w:t>
            </w:r>
          </w:p>
        </w:tc>
        <w:tc>
          <w:tcPr>
            <w:tcW w:w="1582" w:type="dxa"/>
          </w:tcPr>
          <w:p>
            <w:pPr>
              <w:pStyle w:val="TableParagraph"/>
              <w:rPr>
                <w:sz w:val="18"/>
              </w:rPr>
            </w:pPr>
            <w:r>
              <w:rPr>
                <w:sz w:val="18"/>
              </w:rPr>
              <w:t>83.31</w:t>
            </w:r>
          </w:p>
        </w:tc>
      </w:tr>
      <w:tr>
        <w:trPr>
          <w:trHeight w:val="219" w:hRule="exact"/>
        </w:trPr>
        <w:tc>
          <w:tcPr>
            <w:tcW w:w="1582" w:type="dxa"/>
          </w:tcPr>
          <w:p>
            <w:pPr>
              <w:pStyle w:val="TableParagraph"/>
              <w:spacing w:line="240" w:lineRule="auto" w:before="2"/>
              <w:rPr>
                <w:sz w:val="18"/>
              </w:rPr>
            </w:pPr>
            <w:r>
              <w:rPr>
                <w:w w:val="99"/>
                <w:sz w:val="18"/>
              </w:rPr>
              <w:t>7</w:t>
            </w:r>
          </w:p>
        </w:tc>
        <w:tc>
          <w:tcPr>
            <w:tcW w:w="1582" w:type="dxa"/>
          </w:tcPr>
          <w:p>
            <w:pPr>
              <w:pStyle w:val="TableParagraph"/>
              <w:spacing w:line="240" w:lineRule="auto" w:before="2"/>
              <w:rPr>
                <w:sz w:val="18"/>
              </w:rPr>
            </w:pPr>
            <w:r>
              <w:rPr>
                <w:sz w:val="18"/>
              </w:rPr>
              <w:t>675</w:t>
            </w:r>
          </w:p>
        </w:tc>
        <w:tc>
          <w:tcPr>
            <w:tcW w:w="1584" w:type="dxa"/>
          </w:tcPr>
          <w:p>
            <w:pPr>
              <w:pStyle w:val="TableParagraph"/>
              <w:spacing w:line="240" w:lineRule="auto" w:before="2"/>
              <w:rPr>
                <w:sz w:val="18"/>
              </w:rPr>
            </w:pPr>
            <w:r>
              <w:rPr>
                <w:sz w:val="18"/>
              </w:rPr>
              <w:t>8.7</w:t>
            </w:r>
          </w:p>
        </w:tc>
        <w:tc>
          <w:tcPr>
            <w:tcW w:w="1582" w:type="dxa"/>
          </w:tcPr>
          <w:p>
            <w:pPr>
              <w:pStyle w:val="TableParagraph"/>
              <w:spacing w:line="240" w:lineRule="auto" w:before="2"/>
              <w:rPr>
                <w:sz w:val="18"/>
              </w:rPr>
            </w:pPr>
            <w:r>
              <w:rPr>
                <w:sz w:val="18"/>
              </w:rPr>
              <w:t>58.89</w:t>
            </w:r>
          </w:p>
        </w:tc>
        <w:tc>
          <w:tcPr>
            <w:tcW w:w="1582" w:type="dxa"/>
          </w:tcPr>
          <w:p>
            <w:pPr>
              <w:pStyle w:val="TableParagraph"/>
              <w:spacing w:line="240" w:lineRule="auto" w:before="2"/>
              <w:rPr>
                <w:sz w:val="18"/>
              </w:rPr>
            </w:pPr>
            <w:r>
              <w:rPr>
                <w:sz w:val="18"/>
              </w:rPr>
              <w:t>90.19</w:t>
            </w:r>
          </w:p>
        </w:tc>
      </w:tr>
      <w:tr>
        <w:trPr>
          <w:trHeight w:val="216" w:hRule="exact"/>
        </w:trPr>
        <w:tc>
          <w:tcPr>
            <w:tcW w:w="1582" w:type="dxa"/>
          </w:tcPr>
          <w:p>
            <w:pPr>
              <w:pStyle w:val="TableParagraph"/>
              <w:rPr>
                <w:sz w:val="18"/>
              </w:rPr>
            </w:pPr>
            <w:r>
              <w:rPr>
                <w:sz w:val="18"/>
              </w:rPr>
              <w:t>7'</w:t>
            </w:r>
          </w:p>
        </w:tc>
        <w:tc>
          <w:tcPr>
            <w:tcW w:w="1582" w:type="dxa"/>
          </w:tcPr>
          <w:p>
            <w:pPr>
              <w:pStyle w:val="TableParagraph"/>
              <w:rPr>
                <w:sz w:val="18"/>
              </w:rPr>
            </w:pPr>
            <w:r>
              <w:rPr>
                <w:sz w:val="18"/>
              </w:rPr>
              <w:t>675</w:t>
            </w:r>
          </w:p>
        </w:tc>
        <w:tc>
          <w:tcPr>
            <w:tcW w:w="1584" w:type="dxa"/>
          </w:tcPr>
          <w:p>
            <w:pPr>
              <w:pStyle w:val="TableParagraph"/>
              <w:rPr>
                <w:sz w:val="18"/>
              </w:rPr>
            </w:pPr>
            <w:r>
              <w:rPr>
                <w:sz w:val="18"/>
              </w:rPr>
              <w:t>8.7</w:t>
            </w:r>
          </w:p>
        </w:tc>
        <w:tc>
          <w:tcPr>
            <w:tcW w:w="1582" w:type="dxa"/>
          </w:tcPr>
          <w:p>
            <w:pPr>
              <w:pStyle w:val="TableParagraph"/>
              <w:rPr>
                <w:sz w:val="18"/>
              </w:rPr>
            </w:pPr>
            <w:r>
              <w:rPr>
                <w:sz w:val="18"/>
              </w:rPr>
              <w:t>58.89</w:t>
            </w:r>
          </w:p>
        </w:tc>
        <w:tc>
          <w:tcPr>
            <w:tcW w:w="1582" w:type="dxa"/>
          </w:tcPr>
          <w:p>
            <w:pPr>
              <w:pStyle w:val="TableParagraph"/>
              <w:rPr>
                <w:sz w:val="18"/>
              </w:rPr>
            </w:pPr>
            <w:r>
              <w:rPr>
                <w:sz w:val="18"/>
              </w:rPr>
              <w:t>90.19</w:t>
            </w:r>
          </w:p>
        </w:tc>
      </w:tr>
      <w:tr>
        <w:trPr>
          <w:trHeight w:val="218" w:hRule="exact"/>
        </w:trPr>
        <w:tc>
          <w:tcPr>
            <w:tcW w:w="1582" w:type="dxa"/>
          </w:tcPr>
          <w:p>
            <w:pPr>
              <w:pStyle w:val="TableParagraph"/>
              <w:rPr>
                <w:sz w:val="18"/>
              </w:rPr>
            </w:pPr>
            <w:r>
              <w:rPr>
                <w:w w:val="99"/>
                <w:sz w:val="18"/>
              </w:rPr>
              <w:t>8</w:t>
            </w:r>
          </w:p>
        </w:tc>
        <w:tc>
          <w:tcPr>
            <w:tcW w:w="1582" w:type="dxa"/>
          </w:tcPr>
          <w:p>
            <w:pPr>
              <w:pStyle w:val="TableParagraph"/>
              <w:rPr>
                <w:sz w:val="18"/>
              </w:rPr>
            </w:pPr>
            <w:r>
              <w:rPr>
                <w:sz w:val="18"/>
              </w:rPr>
              <w:t>700</w:t>
            </w:r>
          </w:p>
        </w:tc>
        <w:tc>
          <w:tcPr>
            <w:tcW w:w="1584" w:type="dxa"/>
          </w:tcPr>
          <w:p>
            <w:pPr>
              <w:pStyle w:val="TableParagraph"/>
              <w:rPr>
                <w:sz w:val="18"/>
              </w:rPr>
            </w:pPr>
            <w:r>
              <w:rPr>
                <w:sz w:val="18"/>
              </w:rPr>
              <w:t>8.7</w:t>
            </w:r>
          </w:p>
        </w:tc>
        <w:tc>
          <w:tcPr>
            <w:tcW w:w="1582" w:type="dxa"/>
          </w:tcPr>
          <w:p>
            <w:pPr>
              <w:pStyle w:val="TableParagraph"/>
              <w:rPr>
                <w:sz w:val="18"/>
              </w:rPr>
            </w:pPr>
            <w:r>
              <w:rPr>
                <w:sz w:val="18"/>
              </w:rPr>
              <w:t>72.01</w:t>
            </w:r>
          </w:p>
        </w:tc>
        <w:tc>
          <w:tcPr>
            <w:tcW w:w="1582" w:type="dxa"/>
          </w:tcPr>
          <w:p>
            <w:pPr>
              <w:pStyle w:val="TableParagraph"/>
              <w:rPr>
                <w:sz w:val="18"/>
              </w:rPr>
            </w:pPr>
            <w:r>
              <w:rPr>
                <w:sz w:val="18"/>
              </w:rPr>
              <w:t>95.15</w:t>
            </w:r>
          </w:p>
        </w:tc>
      </w:tr>
      <w:tr>
        <w:trPr>
          <w:trHeight w:val="216" w:hRule="exact"/>
        </w:trPr>
        <w:tc>
          <w:tcPr>
            <w:tcW w:w="1582" w:type="dxa"/>
          </w:tcPr>
          <w:p>
            <w:pPr>
              <w:pStyle w:val="TableParagraph"/>
              <w:rPr>
                <w:sz w:val="18"/>
              </w:rPr>
            </w:pPr>
            <w:r>
              <w:rPr>
                <w:sz w:val="18"/>
              </w:rPr>
              <w:t>8'</w:t>
            </w:r>
          </w:p>
        </w:tc>
        <w:tc>
          <w:tcPr>
            <w:tcW w:w="1582" w:type="dxa"/>
          </w:tcPr>
          <w:p>
            <w:pPr>
              <w:pStyle w:val="TableParagraph"/>
              <w:rPr>
                <w:sz w:val="18"/>
              </w:rPr>
            </w:pPr>
            <w:r>
              <w:rPr>
                <w:sz w:val="18"/>
              </w:rPr>
              <w:t>700</w:t>
            </w:r>
          </w:p>
        </w:tc>
        <w:tc>
          <w:tcPr>
            <w:tcW w:w="1584" w:type="dxa"/>
          </w:tcPr>
          <w:p>
            <w:pPr>
              <w:pStyle w:val="TableParagraph"/>
              <w:rPr>
                <w:sz w:val="18"/>
              </w:rPr>
            </w:pPr>
            <w:r>
              <w:rPr>
                <w:sz w:val="18"/>
              </w:rPr>
              <w:t>8.7</w:t>
            </w:r>
          </w:p>
        </w:tc>
        <w:tc>
          <w:tcPr>
            <w:tcW w:w="1582" w:type="dxa"/>
          </w:tcPr>
          <w:p>
            <w:pPr>
              <w:pStyle w:val="TableParagraph"/>
              <w:rPr>
                <w:sz w:val="18"/>
              </w:rPr>
            </w:pPr>
            <w:r>
              <w:rPr>
                <w:sz w:val="18"/>
              </w:rPr>
              <w:t>72.01</w:t>
            </w:r>
          </w:p>
        </w:tc>
        <w:tc>
          <w:tcPr>
            <w:tcW w:w="1582" w:type="dxa"/>
          </w:tcPr>
          <w:p>
            <w:pPr>
              <w:pStyle w:val="TableParagraph"/>
              <w:rPr>
                <w:sz w:val="18"/>
              </w:rPr>
            </w:pPr>
            <w:r>
              <w:rPr>
                <w:sz w:val="18"/>
              </w:rPr>
              <w:t>95.15</w:t>
            </w:r>
          </w:p>
        </w:tc>
      </w:tr>
      <w:tr>
        <w:trPr>
          <w:trHeight w:val="216" w:hRule="exact"/>
        </w:trPr>
        <w:tc>
          <w:tcPr>
            <w:tcW w:w="1582" w:type="dxa"/>
          </w:tcPr>
          <w:p>
            <w:pPr>
              <w:pStyle w:val="TableParagraph"/>
              <w:rPr>
                <w:sz w:val="18"/>
              </w:rPr>
            </w:pPr>
            <w:r>
              <w:rPr>
                <w:w w:val="99"/>
                <w:sz w:val="18"/>
              </w:rPr>
              <w:t>9</w:t>
            </w:r>
          </w:p>
        </w:tc>
        <w:tc>
          <w:tcPr>
            <w:tcW w:w="1582" w:type="dxa"/>
          </w:tcPr>
          <w:p>
            <w:pPr>
              <w:pStyle w:val="TableParagraph"/>
              <w:rPr>
                <w:sz w:val="18"/>
              </w:rPr>
            </w:pPr>
            <w:r>
              <w:rPr>
                <w:sz w:val="18"/>
              </w:rPr>
              <w:t>656.25</w:t>
            </w:r>
          </w:p>
        </w:tc>
        <w:tc>
          <w:tcPr>
            <w:tcW w:w="1584" w:type="dxa"/>
          </w:tcPr>
          <w:p>
            <w:pPr>
              <w:pStyle w:val="TableParagraph"/>
              <w:rPr>
                <w:sz w:val="18"/>
              </w:rPr>
            </w:pPr>
            <w:r>
              <w:rPr>
                <w:sz w:val="18"/>
              </w:rPr>
              <w:t>29.7</w:t>
            </w:r>
          </w:p>
        </w:tc>
        <w:tc>
          <w:tcPr>
            <w:tcW w:w="1582" w:type="dxa"/>
          </w:tcPr>
          <w:p>
            <w:pPr>
              <w:pStyle w:val="TableParagraph"/>
              <w:rPr>
                <w:sz w:val="18"/>
              </w:rPr>
            </w:pPr>
            <w:r>
              <w:rPr>
                <w:sz w:val="18"/>
              </w:rPr>
              <w:t>76.89</w:t>
            </w:r>
          </w:p>
        </w:tc>
        <w:tc>
          <w:tcPr>
            <w:tcW w:w="1582" w:type="dxa"/>
          </w:tcPr>
          <w:p>
            <w:pPr>
              <w:pStyle w:val="TableParagraph"/>
              <w:rPr>
                <w:sz w:val="18"/>
              </w:rPr>
            </w:pPr>
            <w:r>
              <w:rPr>
                <w:sz w:val="18"/>
              </w:rPr>
              <w:t>87.21</w:t>
            </w:r>
          </w:p>
        </w:tc>
      </w:tr>
      <w:tr>
        <w:trPr>
          <w:trHeight w:val="218" w:hRule="exact"/>
        </w:trPr>
        <w:tc>
          <w:tcPr>
            <w:tcW w:w="1582" w:type="dxa"/>
          </w:tcPr>
          <w:p>
            <w:pPr>
              <w:pStyle w:val="TableParagraph"/>
              <w:spacing w:line="240" w:lineRule="auto" w:before="1"/>
              <w:rPr>
                <w:sz w:val="18"/>
              </w:rPr>
            </w:pPr>
            <w:r>
              <w:rPr>
                <w:sz w:val="18"/>
              </w:rPr>
              <w:t>9'</w:t>
            </w:r>
          </w:p>
        </w:tc>
        <w:tc>
          <w:tcPr>
            <w:tcW w:w="1582" w:type="dxa"/>
          </w:tcPr>
          <w:p>
            <w:pPr>
              <w:pStyle w:val="TableParagraph"/>
              <w:spacing w:line="240" w:lineRule="auto" w:before="1"/>
              <w:rPr>
                <w:sz w:val="18"/>
              </w:rPr>
            </w:pPr>
            <w:r>
              <w:rPr>
                <w:sz w:val="18"/>
              </w:rPr>
              <w:t>656.25</w:t>
            </w:r>
          </w:p>
        </w:tc>
        <w:tc>
          <w:tcPr>
            <w:tcW w:w="1584" w:type="dxa"/>
          </w:tcPr>
          <w:p>
            <w:pPr>
              <w:pStyle w:val="TableParagraph"/>
              <w:spacing w:line="240" w:lineRule="auto" w:before="1"/>
              <w:rPr>
                <w:sz w:val="18"/>
              </w:rPr>
            </w:pPr>
            <w:r>
              <w:rPr>
                <w:sz w:val="18"/>
              </w:rPr>
              <w:t>29.7</w:t>
            </w:r>
          </w:p>
        </w:tc>
        <w:tc>
          <w:tcPr>
            <w:tcW w:w="1582" w:type="dxa"/>
          </w:tcPr>
          <w:p>
            <w:pPr>
              <w:pStyle w:val="TableParagraph"/>
              <w:spacing w:line="240" w:lineRule="auto" w:before="1"/>
              <w:rPr>
                <w:sz w:val="18"/>
              </w:rPr>
            </w:pPr>
            <w:r>
              <w:rPr>
                <w:sz w:val="18"/>
              </w:rPr>
              <w:t>76.89</w:t>
            </w:r>
          </w:p>
        </w:tc>
        <w:tc>
          <w:tcPr>
            <w:tcW w:w="1582" w:type="dxa"/>
          </w:tcPr>
          <w:p>
            <w:pPr>
              <w:pStyle w:val="TableParagraph"/>
              <w:spacing w:line="240" w:lineRule="auto" w:before="1"/>
              <w:rPr>
                <w:sz w:val="18"/>
              </w:rPr>
            </w:pPr>
            <w:r>
              <w:rPr>
                <w:sz w:val="18"/>
              </w:rPr>
              <w:t>87.21</w:t>
            </w:r>
          </w:p>
        </w:tc>
      </w:tr>
      <w:tr>
        <w:trPr>
          <w:trHeight w:val="216" w:hRule="exact"/>
        </w:trPr>
        <w:tc>
          <w:tcPr>
            <w:tcW w:w="1582" w:type="dxa"/>
          </w:tcPr>
          <w:p>
            <w:pPr>
              <w:pStyle w:val="TableParagraph"/>
              <w:rPr>
                <w:sz w:val="18"/>
              </w:rPr>
            </w:pPr>
            <w:r>
              <w:rPr>
                <w:sz w:val="18"/>
              </w:rPr>
              <w:t>10</w:t>
            </w:r>
          </w:p>
        </w:tc>
        <w:tc>
          <w:tcPr>
            <w:tcW w:w="1582" w:type="dxa"/>
          </w:tcPr>
          <w:p>
            <w:pPr>
              <w:pStyle w:val="TableParagraph"/>
              <w:rPr>
                <w:sz w:val="18"/>
              </w:rPr>
            </w:pPr>
            <w:r>
              <w:rPr>
                <w:sz w:val="18"/>
              </w:rPr>
              <w:t>693.75</w:t>
            </w:r>
          </w:p>
        </w:tc>
        <w:tc>
          <w:tcPr>
            <w:tcW w:w="1584" w:type="dxa"/>
          </w:tcPr>
          <w:p>
            <w:pPr>
              <w:pStyle w:val="TableParagraph"/>
              <w:rPr>
                <w:sz w:val="18"/>
              </w:rPr>
            </w:pPr>
            <w:r>
              <w:rPr>
                <w:sz w:val="18"/>
              </w:rPr>
              <w:t>29.7</w:t>
            </w:r>
          </w:p>
        </w:tc>
        <w:tc>
          <w:tcPr>
            <w:tcW w:w="1582" w:type="dxa"/>
          </w:tcPr>
          <w:p>
            <w:pPr>
              <w:pStyle w:val="TableParagraph"/>
              <w:rPr>
                <w:sz w:val="18"/>
              </w:rPr>
            </w:pPr>
            <w:r>
              <w:rPr>
                <w:sz w:val="18"/>
              </w:rPr>
              <w:t>76.89</w:t>
            </w:r>
          </w:p>
        </w:tc>
        <w:tc>
          <w:tcPr>
            <w:tcW w:w="1582" w:type="dxa"/>
          </w:tcPr>
          <w:p>
            <w:pPr>
              <w:pStyle w:val="TableParagraph"/>
              <w:rPr>
                <w:sz w:val="18"/>
              </w:rPr>
            </w:pPr>
            <w:r>
              <w:rPr>
                <w:sz w:val="18"/>
              </w:rPr>
              <w:t>94.78</w:t>
            </w:r>
          </w:p>
        </w:tc>
      </w:tr>
      <w:tr>
        <w:trPr>
          <w:trHeight w:val="218" w:hRule="exact"/>
        </w:trPr>
        <w:tc>
          <w:tcPr>
            <w:tcW w:w="1582" w:type="dxa"/>
          </w:tcPr>
          <w:p>
            <w:pPr>
              <w:pStyle w:val="TableParagraph"/>
              <w:rPr>
                <w:sz w:val="18"/>
              </w:rPr>
            </w:pPr>
            <w:r>
              <w:rPr>
                <w:sz w:val="18"/>
              </w:rPr>
              <w:t>10'</w:t>
            </w:r>
          </w:p>
        </w:tc>
        <w:tc>
          <w:tcPr>
            <w:tcW w:w="1582" w:type="dxa"/>
          </w:tcPr>
          <w:p>
            <w:pPr>
              <w:pStyle w:val="TableParagraph"/>
              <w:rPr>
                <w:sz w:val="18"/>
              </w:rPr>
            </w:pPr>
            <w:r>
              <w:rPr>
                <w:sz w:val="18"/>
              </w:rPr>
              <w:t>693.75</w:t>
            </w:r>
          </w:p>
        </w:tc>
        <w:tc>
          <w:tcPr>
            <w:tcW w:w="1584" w:type="dxa"/>
          </w:tcPr>
          <w:p>
            <w:pPr>
              <w:pStyle w:val="TableParagraph"/>
              <w:rPr>
                <w:sz w:val="18"/>
              </w:rPr>
            </w:pPr>
            <w:r>
              <w:rPr>
                <w:sz w:val="18"/>
              </w:rPr>
              <w:t>29.7</w:t>
            </w:r>
          </w:p>
        </w:tc>
        <w:tc>
          <w:tcPr>
            <w:tcW w:w="1582" w:type="dxa"/>
          </w:tcPr>
          <w:p>
            <w:pPr>
              <w:pStyle w:val="TableParagraph"/>
              <w:rPr>
                <w:sz w:val="18"/>
              </w:rPr>
            </w:pPr>
            <w:r>
              <w:rPr>
                <w:sz w:val="18"/>
              </w:rPr>
              <w:t>76.89</w:t>
            </w:r>
          </w:p>
        </w:tc>
        <w:tc>
          <w:tcPr>
            <w:tcW w:w="1582" w:type="dxa"/>
          </w:tcPr>
          <w:p>
            <w:pPr>
              <w:pStyle w:val="TableParagraph"/>
              <w:rPr>
                <w:sz w:val="18"/>
              </w:rPr>
            </w:pPr>
            <w:r>
              <w:rPr>
                <w:sz w:val="18"/>
              </w:rPr>
              <w:t>94.78</w:t>
            </w:r>
          </w:p>
        </w:tc>
      </w:tr>
      <w:tr>
        <w:trPr>
          <w:trHeight w:val="216" w:hRule="exact"/>
        </w:trPr>
        <w:tc>
          <w:tcPr>
            <w:tcW w:w="1582" w:type="dxa"/>
          </w:tcPr>
          <w:p>
            <w:pPr>
              <w:pStyle w:val="TableParagraph"/>
              <w:rPr>
                <w:sz w:val="18"/>
              </w:rPr>
            </w:pPr>
            <w:r>
              <w:rPr>
                <w:sz w:val="18"/>
              </w:rPr>
              <w:t>11</w:t>
            </w:r>
          </w:p>
        </w:tc>
        <w:tc>
          <w:tcPr>
            <w:tcW w:w="1582" w:type="dxa"/>
          </w:tcPr>
          <w:p>
            <w:pPr>
              <w:pStyle w:val="TableParagraph"/>
              <w:rPr>
                <w:sz w:val="18"/>
              </w:rPr>
            </w:pPr>
            <w:r>
              <w:rPr>
                <w:sz w:val="18"/>
              </w:rPr>
              <w:t>550</w:t>
            </w:r>
          </w:p>
        </w:tc>
        <w:tc>
          <w:tcPr>
            <w:tcW w:w="1584" w:type="dxa"/>
          </w:tcPr>
          <w:p>
            <w:pPr>
              <w:pStyle w:val="TableParagraph"/>
              <w:rPr>
                <w:sz w:val="18"/>
              </w:rPr>
            </w:pPr>
            <w:r>
              <w:rPr>
                <w:sz w:val="18"/>
              </w:rPr>
              <w:t>8.7</w:t>
            </w:r>
          </w:p>
        </w:tc>
        <w:tc>
          <w:tcPr>
            <w:tcW w:w="1582" w:type="dxa"/>
          </w:tcPr>
          <w:p>
            <w:pPr>
              <w:pStyle w:val="TableParagraph"/>
              <w:rPr>
                <w:sz w:val="18"/>
              </w:rPr>
            </w:pPr>
            <w:r>
              <w:rPr>
                <w:sz w:val="18"/>
              </w:rPr>
              <w:t>98.99</w:t>
            </w:r>
          </w:p>
        </w:tc>
        <w:tc>
          <w:tcPr>
            <w:tcW w:w="1582" w:type="dxa"/>
          </w:tcPr>
          <w:p>
            <w:pPr>
              <w:pStyle w:val="TableParagraph"/>
              <w:rPr>
                <w:sz w:val="18"/>
              </w:rPr>
            </w:pPr>
            <w:r>
              <w:rPr>
                <w:sz w:val="18"/>
              </w:rPr>
              <w:t>83.31</w:t>
            </w:r>
          </w:p>
        </w:tc>
      </w:tr>
      <w:tr>
        <w:trPr>
          <w:trHeight w:val="216" w:hRule="exact"/>
        </w:trPr>
        <w:tc>
          <w:tcPr>
            <w:tcW w:w="1582" w:type="dxa"/>
          </w:tcPr>
          <w:p>
            <w:pPr>
              <w:pStyle w:val="TableParagraph"/>
              <w:rPr>
                <w:sz w:val="18"/>
              </w:rPr>
            </w:pPr>
            <w:r>
              <w:rPr>
                <w:sz w:val="18"/>
              </w:rPr>
              <w:t>11'</w:t>
            </w:r>
          </w:p>
        </w:tc>
        <w:tc>
          <w:tcPr>
            <w:tcW w:w="1582" w:type="dxa"/>
          </w:tcPr>
          <w:p>
            <w:pPr>
              <w:pStyle w:val="TableParagraph"/>
              <w:rPr>
                <w:sz w:val="18"/>
              </w:rPr>
            </w:pPr>
            <w:r>
              <w:rPr>
                <w:sz w:val="18"/>
              </w:rPr>
              <w:t>550</w:t>
            </w:r>
          </w:p>
        </w:tc>
        <w:tc>
          <w:tcPr>
            <w:tcW w:w="1584" w:type="dxa"/>
          </w:tcPr>
          <w:p>
            <w:pPr>
              <w:pStyle w:val="TableParagraph"/>
              <w:rPr>
                <w:sz w:val="18"/>
              </w:rPr>
            </w:pPr>
            <w:r>
              <w:rPr>
                <w:sz w:val="18"/>
              </w:rPr>
              <w:t>8.7</w:t>
            </w:r>
          </w:p>
        </w:tc>
        <w:tc>
          <w:tcPr>
            <w:tcW w:w="1582" w:type="dxa"/>
          </w:tcPr>
          <w:p>
            <w:pPr>
              <w:pStyle w:val="TableParagraph"/>
              <w:rPr>
                <w:sz w:val="18"/>
              </w:rPr>
            </w:pPr>
            <w:r>
              <w:rPr>
                <w:sz w:val="18"/>
              </w:rPr>
              <w:t>98.99</w:t>
            </w:r>
          </w:p>
        </w:tc>
        <w:tc>
          <w:tcPr>
            <w:tcW w:w="1582" w:type="dxa"/>
          </w:tcPr>
          <w:p>
            <w:pPr>
              <w:pStyle w:val="TableParagraph"/>
              <w:rPr>
                <w:sz w:val="18"/>
              </w:rPr>
            </w:pPr>
            <w:r>
              <w:rPr>
                <w:sz w:val="18"/>
              </w:rPr>
              <w:t>83.31</w:t>
            </w:r>
          </w:p>
        </w:tc>
      </w:tr>
      <w:tr>
        <w:trPr>
          <w:trHeight w:val="218" w:hRule="exact"/>
        </w:trPr>
        <w:tc>
          <w:tcPr>
            <w:tcW w:w="1582" w:type="dxa"/>
          </w:tcPr>
          <w:p>
            <w:pPr>
              <w:pStyle w:val="TableParagraph"/>
              <w:spacing w:line="240" w:lineRule="auto" w:before="1"/>
              <w:rPr>
                <w:sz w:val="18"/>
              </w:rPr>
            </w:pPr>
            <w:r>
              <w:rPr>
                <w:sz w:val="18"/>
              </w:rPr>
              <w:t>12</w:t>
            </w:r>
          </w:p>
        </w:tc>
        <w:tc>
          <w:tcPr>
            <w:tcW w:w="1582" w:type="dxa"/>
          </w:tcPr>
          <w:p>
            <w:pPr>
              <w:pStyle w:val="TableParagraph"/>
              <w:spacing w:line="240" w:lineRule="auto" w:before="1"/>
              <w:rPr>
                <w:sz w:val="18"/>
              </w:rPr>
            </w:pPr>
            <w:r>
              <w:rPr>
                <w:sz w:val="18"/>
              </w:rPr>
              <w:t>525</w:t>
            </w:r>
          </w:p>
        </w:tc>
        <w:tc>
          <w:tcPr>
            <w:tcW w:w="1584" w:type="dxa"/>
          </w:tcPr>
          <w:p>
            <w:pPr>
              <w:pStyle w:val="TableParagraph"/>
              <w:spacing w:line="240" w:lineRule="auto" w:before="1"/>
              <w:rPr>
                <w:sz w:val="18"/>
              </w:rPr>
            </w:pPr>
            <w:r>
              <w:rPr>
                <w:sz w:val="18"/>
              </w:rPr>
              <w:t>8.7</w:t>
            </w:r>
          </w:p>
        </w:tc>
        <w:tc>
          <w:tcPr>
            <w:tcW w:w="1582" w:type="dxa"/>
          </w:tcPr>
          <w:p>
            <w:pPr>
              <w:pStyle w:val="TableParagraph"/>
              <w:spacing w:line="240" w:lineRule="auto" w:before="1"/>
              <w:rPr>
                <w:sz w:val="18"/>
              </w:rPr>
            </w:pPr>
            <w:r>
              <w:rPr>
                <w:sz w:val="18"/>
              </w:rPr>
              <w:t>102.16</w:t>
            </w:r>
          </w:p>
        </w:tc>
        <w:tc>
          <w:tcPr>
            <w:tcW w:w="1582" w:type="dxa"/>
          </w:tcPr>
          <w:p>
            <w:pPr>
              <w:pStyle w:val="TableParagraph"/>
              <w:spacing w:line="240" w:lineRule="auto" w:before="1"/>
              <w:rPr>
                <w:sz w:val="18"/>
              </w:rPr>
            </w:pPr>
            <w:r>
              <w:rPr>
                <w:sz w:val="18"/>
              </w:rPr>
              <w:t>90.19</w:t>
            </w:r>
          </w:p>
        </w:tc>
      </w:tr>
      <w:tr>
        <w:trPr>
          <w:trHeight w:val="216" w:hRule="exact"/>
        </w:trPr>
        <w:tc>
          <w:tcPr>
            <w:tcW w:w="1582" w:type="dxa"/>
          </w:tcPr>
          <w:p>
            <w:pPr>
              <w:pStyle w:val="TableParagraph"/>
              <w:rPr>
                <w:sz w:val="18"/>
              </w:rPr>
            </w:pPr>
            <w:r>
              <w:rPr>
                <w:sz w:val="18"/>
              </w:rPr>
              <w:t>12'</w:t>
            </w:r>
          </w:p>
        </w:tc>
        <w:tc>
          <w:tcPr>
            <w:tcW w:w="1582" w:type="dxa"/>
          </w:tcPr>
          <w:p>
            <w:pPr>
              <w:pStyle w:val="TableParagraph"/>
              <w:rPr>
                <w:sz w:val="18"/>
              </w:rPr>
            </w:pPr>
            <w:r>
              <w:rPr>
                <w:sz w:val="18"/>
              </w:rPr>
              <w:t>525</w:t>
            </w:r>
          </w:p>
        </w:tc>
        <w:tc>
          <w:tcPr>
            <w:tcW w:w="1584" w:type="dxa"/>
          </w:tcPr>
          <w:p>
            <w:pPr>
              <w:pStyle w:val="TableParagraph"/>
              <w:rPr>
                <w:sz w:val="18"/>
              </w:rPr>
            </w:pPr>
            <w:r>
              <w:rPr>
                <w:sz w:val="18"/>
              </w:rPr>
              <w:t>8.7</w:t>
            </w:r>
          </w:p>
        </w:tc>
        <w:tc>
          <w:tcPr>
            <w:tcW w:w="1582" w:type="dxa"/>
          </w:tcPr>
          <w:p>
            <w:pPr>
              <w:pStyle w:val="TableParagraph"/>
              <w:rPr>
                <w:sz w:val="18"/>
              </w:rPr>
            </w:pPr>
            <w:r>
              <w:rPr>
                <w:sz w:val="18"/>
              </w:rPr>
              <w:t>102.16</w:t>
            </w:r>
          </w:p>
        </w:tc>
        <w:tc>
          <w:tcPr>
            <w:tcW w:w="1582" w:type="dxa"/>
          </w:tcPr>
          <w:p>
            <w:pPr>
              <w:pStyle w:val="TableParagraph"/>
              <w:rPr>
                <w:sz w:val="18"/>
              </w:rPr>
            </w:pPr>
            <w:r>
              <w:rPr>
                <w:sz w:val="18"/>
              </w:rPr>
              <w:t>90.19</w:t>
            </w:r>
          </w:p>
        </w:tc>
      </w:tr>
      <w:tr>
        <w:trPr>
          <w:trHeight w:val="218" w:hRule="exact"/>
        </w:trPr>
        <w:tc>
          <w:tcPr>
            <w:tcW w:w="1582" w:type="dxa"/>
          </w:tcPr>
          <w:p>
            <w:pPr>
              <w:pStyle w:val="TableParagraph"/>
              <w:rPr>
                <w:sz w:val="18"/>
              </w:rPr>
            </w:pPr>
            <w:r>
              <w:rPr>
                <w:sz w:val="18"/>
              </w:rPr>
              <w:t>13</w:t>
            </w:r>
          </w:p>
        </w:tc>
        <w:tc>
          <w:tcPr>
            <w:tcW w:w="1582" w:type="dxa"/>
          </w:tcPr>
          <w:p>
            <w:pPr>
              <w:pStyle w:val="TableParagraph"/>
              <w:rPr>
                <w:sz w:val="18"/>
              </w:rPr>
            </w:pPr>
            <w:r>
              <w:rPr>
                <w:sz w:val="18"/>
              </w:rPr>
              <w:t>500</w:t>
            </w:r>
          </w:p>
        </w:tc>
        <w:tc>
          <w:tcPr>
            <w:tcW w:w="1584" w:type="dxa"/>
          </w:tcPr>
          <w:p>
            <w:pPr>
              <w:pStyle w:val="TableParagraph"/>
              <w:rPr>
                <w:sz w:val="18"/>
              </w:rPr>
            </w:pPr>
            <w:r>
              <w:rPr>
                <w:sz w:val="18"/>
              </w:rPr>
              <w:t>8.7</w:t>
            </w:r>
          </w:p>
        </w:tc>
        <w:tc>
          <w:tcPr>
            <w:tcW w:w="1582" w:type="dxa"/>
          </w:tcPr>
          <w:p>
            <w:pPr>
              <w:pStyle w:val="TableParagraph"/>
              <w:rPr>
                <w:sz w:val="18"/>
              </w:rPr>
            </w:pPr>
            <w:r>
              <w:rPr>
                <w:sz w:val="18"/>
              </w:rPr>
              <w:t>104.82</w:t>
            </w:r>
          </w:p>
        </w:tc>
        <w:tc>
          <w:tcPr>
            <w:tcW w:w="1582" w:type="dxa"/>
          </w:tcPr>
          <w:p>
            <w:pPr>
              <w:pStyle w:val="TableParagraph"/>
              <w:rPr>
                <w:sz w:val="18"/>
              </w:rPr>
            </w:pPr>
            <w:r>
              <w:rPr>
                <w:sz w:val="18"/>
              </w:rPr>
              <w:t>95.15</w:t>
            </w:r>
          </w:p>
        </w:tc>
      </w:tr>
      <w:tr>
        <w:trPr>
          <w:trHeight w:val="216" w:hRule="exact"/>
        </w:trPr>
        <w:tc>
          <w:tcPr>
            <w:tcW w:w="1582" w:type="dxa"/>
          </w:tcPr>
          <w:p>
            <w:pPr>
              <w:pStyle w:val="TableParagraph"/>
              <w:rPr>
                <w:sz w:val="18"/>
              </w:rPr>
            </w:pPr>
            <w:r>
              <w:rPr>
                <w:sz w:val="18"/>
              </w:rPr>
              <w:t>13'</w:t>
            </w:r>
          </w:p>
        </w:tc>
        <w:tc>
          <w:tcPr>
            <w:tcW w:w="1582" w:type="dxa"/>
          </w:tcPr>
          <w:p>
            <w:pPr>
              <w:pStyle w:val="TableParagraph"/>
              <w:rPr>
                <w:sz w:val="18"/>
              </w:rPr>
            </w:pPr>
            <w:r>
              <w:rPr>
                <w:sz w:val="18"/>
              </w:rPr>
              <w:t>500</w:t>
            </w:r>
          </w:p>
        </w:tc>
        <w:tc>
          <w:tcPr>
            <w:tcW w:w="1584" w:type="dxa"/>
          </w:tcPr>
          <w:p>
            <w:pPr>
              <w:pStyle w:val="TableParagraph"/>
              <w:rPr>
                <w:sz w:val="18"/>
              </w:rPr>
            </w:pPr>
            <w:r>
              <w:rPr>
                <w:sz w:val="18"/>
              </w:rPr>
              <w:t>8.7</w:t>
            </w:r>
          </w:p>
        </w:tc>
        <w:tc>
          <w:tcPr>
            <w:tcW w:w="1582" w:type="dxa"/>
          </w:tcPr>
          <w:p>
            <w:pPr>
              <w:pStyle w:val="TableParagraph"/>
              <w:rPr>
                <w:sz w:val="18"/>
              </w:rPr>
            </w:pPr>
            <w:r>
              <w:rPr>
                <w:sz w:val="18"/>
              </w:rPr>
              <w:t>104.82</w:t>
            </w:r>
          </w:p>
        </w:tc>
        <w:tc>
          <w:tcPr>
            <w:tcW w:w="1582" w:type="dxa"/>
          </w:tcPr>
          <w:p>
            <w:pPr>
              <w:pStyle w:val="TableParagraph"/>
              <w:rPr>
                <w:sz w:val="18"/>
              </w:rPr>
            </w:pPr>
            <w:r>
              <w:rPr>
                <w:sz w:val="18"/>
              </w:rPr>
              <w:t>95.15</w:t>
            </w:r>
          </w:p>
        </w:tc>
      </w:tr>
      <w:tr>
        <w:trPr>
          <w:trHeight w:val="218" w:hRule="exact"/>
        </w:trPr>
        <w:tc>
          <w:tcPr>
            <w:tcW w:w="1582" w:type="dxa"/>
          </w:tcPr>
          <w:p>
            <w:pPr>
              <w:pStyle w:val="TableParagraph"/>
              <w:rPr>
                <w:sz w:val="18"/>
              </w:rPr>
            </w:pPr>
            <w:r>
              <w:rPr>
                <w:sz w:val="18"/>
              </w:rPr>
              <w:t>14</w:t>
            </w:r>
          </w:p>
        </w:tc>
        <w:tc>
          <w:tcPr>
            <w:tcW w:w="1582" w:type="dxa"/>
          </w:tcPr>
          <w:p>
            <w:pPr>
              <w:pStyle w:val="TableParagraph"/>
              <w:rPr>
                <w:sz w:val="18"/>
              </w:rPr>
            </w:pPr>
            <w:r>
              <w:rPr>
                <w:sz w:val="18"/>
              </w:rPr>
              <w:t>543.75</w:t>
            </w:r>
          </w:p>
        </w:tc>
        <w:tc>
          <w:tcPr>
            <w:tcW w:w="1584" w:type="dxa"/>
          </w:tcPr>
          <w:p>
            <w:pPr>
              <w:pStyle w:val="TableParagraph"/>
              <w:rPr>
                <w:sz w:val="18"/>
              </w:rPr>
            </w:pPr>
            <w:r>
              <w:rPr>
                <w:sz w:val="18"/>
              </w:rPr>
              <w:t>29.7</w:t>
            </w:r>
          </w:p>
        </w:tc>
        <w:tc>
          <w:tcPr>
            <w:tcW w:w="1582" w:type="dxa"/>
          </w:tcPr>
          <w:p>
            <w:pPr>
              <w:pStyle w:val="TableParagraph"/>
              <w:rPr>
                <w:sz w:val="18"/>
              </w:rPr>
            </w:pPr>
            <w:r>
              <w:rPr>
                <w:sz w:val="18"/>
              </w:rPr>
              <w:t>100.24</w:t>
            </w:r>
          </w:p>
        </w:tc>
        <w:tc>
          <w:tcPr>
            <w:tcW w:w="1582" w:type="dxa"/>
          </w:tcPr>
          <w:p>
            <w:pPr>
              <w:pStyle w:val="TableParagraph"/>
              <w:rPr>
                <w:sz w:val="18"/>
              </w:rPr>
            </w:pPr>
            <w:r>
              <w:rPr>
                <w:sz w:val="18"/>
              </w:rPr>
              <w:t>87.21</w:t>
            </w:r>
          </w:p>
        </w:tc>
      </w:tr>
      <w:tr>
        <w:trPr>
          <w:trHeight w:val="216" w:hRule="exact"/>
        </w:trPr>
        <w:tc>
          <w:tcPr>
            <w:tcW w:w="1582" w:type="dxa"/>
          </w:tcPr>
          <w:p>
            <w:pPr>
              <w:pStyle w:val="TableParagraph"/>
              <w:rPr>
                <w:sz w:val="18"/>
              </w:rPr>
            </w:pPr>
            <w:r>
              <w:rPr>
                <w:sz w:val="18"/>
              </w:rPr>
              <w:t>14'</w:t>
            </w:r>
          </w:p>
        </w:tc>
        <w:tc>
          <w:tcPr>
            <w:tcW w:w="1582" w:type="dxa"/>
          </w:tcPr>
          <w:p>
            <w:pPr>
              <w:pStyle w:val="TableParagraph"/>
              <w:rPr>
                <w:sz w:val="18"/>
              </w:rPr>
            </w:pPr>
            <w:r>
              <w:rPr>
                <w:sz w:val="18"/>
              </w:rPr>
              <w:t>543.75</w:t>
            </w:r>
          </w:p>
        </w:tc>
        <w:tc>
          <w:tcPr>
            <w:tcW w:w="1584" w:type="dxa"/>
          </w:tcPr>
          <w:p>
            <w:pPr>
              <w:pStyle w:val="TableParagraph"/>
              <w:rPr>
                <w:sz w:val="18"/>
              </w:rPr>
            </w:pPr>
            <w:r>
              <w:rPr>
                <w:sz w:val="18"/>
              </w:rPr>
              <w:t>29.7</w:t>
            </w:r>
          </w:p>
        </w:tc>
        <w:tc>
          <w:tcPr>
            <w:tcW w:w="1582" w:type="dxa"/>
          </w:tcPr>
          <w:p>
            <w:pPr>
              <w:pStyle w:val="TableParagraph"/>
              <w:rPr>
                <w:sz w:val="18"/>
              </w:rPr>
            </w:pPr>
            <w:r>
              <w:rPr>
                <w:sz w:val="18"/>
              </w:rPr>
              <w:t>100.24</w:t>
            </w:r>
          </w:p>
        </w:tc>
        <w:tc>
          <w:tcPr>
            <w:tcW w:w="1582" w:type="dxa"/>
          </w:tcPr>
          <w:p>
            <w:pPr>
              <w:pStyle w:val="TableParagraph"/>
              <w:rPr>
                <w:sz w:val="18"/>
              </w:rPr>
            </w:pPr>
            <w:r>
              <w:rPr>
                <w:sz w:val="18"/>
              </w:rPr>
              <w:t>87.21</w:t>
            </w:r>
          </w:p>
        </w:tc>
      </w:tr>
      <w:tr>
        <w:trPr>
          <w:trHeight w:val="216" w:hRule="exact"/>
        </w:trPr>
        <w:tc>
          <w:tcPr>
            <w:tcW w:w="1582" w:type="dxa"/>
          </w:tcPr>
          <w:p>
            <w:pPr>
              <w:pStyle w:val="TableParagraph"/>
              <w:spacing w:line="207" w:lineRule="exact"/>
              <w:rPr>
                <w:sz w:val="18"/>
              </w:rPr>
            </w:pPr>
            <w:r>
              <w:rPr>
                <w:sz w:val="18"/>
              </w:rPr>
              <w:t>15</w:t>
            </w:r>
          </w:p>
        </w:tc>
        <w:tc>
          <w:tcPr>
            <w:tcW w:w="1582" w:type="dxa"/>
          </w:tcPr>
          <w:p>
            <w:pPr>
              <w:pStyle w:val="TableParagraph"/>
              <w:spacing w:line="207" w:lineRule="exact"/>
              <w:rPr>
                <w:sz w:val="18"/>
              </w:rPr>
            </w:pPr>
            <w:r>
              <w:rPr>
                <w:sz w:val="18"/>
              </w:rPr>
              <w:t>506.25</w:t>
            </w:r>
          </w:p>
        </w:tc>
        <w:tc>
          <w:tcPr>
            <w:tcW w:w="1584" w:type="dxa"/>
          </w:tcPr>
          <w:p>
            <w:pPr>
              <w:pStyle w:val="TableParagraph"/>
              <w:spacing w:line="207" w:lineRule="exact"/>
              <w:rPr>
                <w:sz w:val="18"/>
              </w:rPr>
            </w:pPr>
            <w:r>
              <w:rPr>
                <w:sz w:val="18"/>
              </w:rPr>
              <w:t>29.7</w:t>
            </w:r>
          </w:p>
        </w:tc>
        <w:tc>
          <w:tcPr>
            <w:tcW w:w="1582" w:type="dxa"/>
          </w:tcPr>
          <w:p>
            <w:pPr>
              <w:pStyle w:val="TableParagraph"/>
              <w:spacing w:line="207" w:lineRule="exact"/>
              <w:rPr>
                <w:sz w:val="18"/>
              </w:rPr>
            </w:pPr>
            <w:r>
              <w:rPr>
                <w:sz w:val="18"/>
              </w:rPr>
              <w:t>104.43</w:t>
            </w:r>
          </w:p>
        </w:tc>
        <w:tc>
          <w:tcPr>
            <w:tcW w:w="1582" w:type="dxa"/>
          </w:tcPr>
          <w:p>
            <w:pPr>
              <w:pStyle w:val="TableParagraph"/>
              <w:spacing w:line="207" w:lineRule="exact"/>
              <w:rPr>
                <w:sz w:val="18"/>
              </w:rPr>
            </w:pPr>
            <w:r>
              <w:rPr>
                <w:sz w:val="18"/>
              </w:rPr>
              <w:t>94.78</w:t>
            </w:r>
          </w:p>
        </w:tc>
      </w:tr>
      <w:tr>
        <w:trPr>
          <w:trHeight w:val="218" w:hRule="exact"/>
        </w:trPr>
        <w:tc>
          <w:tcPr>
            <w:tcW w:w="1582" w:type="dxa"/>
          </w:tcPr>
          <w:p>
            <w:pPr>
              <w:pStyle w:val="TableParagraph"/>
              <w:spacing w:line="240" w:lineRule="auto" w:before="1"/>
              <w:rPr>
                <w:sz w:val="18"/>
              </w:rPr>
            </w:pPr>
            <w:r>
              <w:rPr>
                <w:sz w:val="18"/>
              </w:rPr>
              <w:t>15'</w:t>
            </w:r>
          </w:p>
        </w:tc>
        <w:tc>
          <w:tcPr>
            <w:tcW w:w="1582" w:type="dxa"/>
          </w:tcPr>
          <w:p>
            <w:pPr>
              <w:pStyle w:val="TableParagraph"/>
              <w:spacing w:line="240" w:lineRule="auto" w:before="1"/>
              <w:rPr>
                <w:sz w:val="18"/>
              </w:rPr>
            </w:pPr>
            <w:r>
              <w:rPr>
                <w:sz w:val="18"/>
              </w:rPr>
              <w:t>506.25</w:t>
            </w:r>
          </w:p>
        </w:tc>
        <w:tc>
          <w:tcPr>
            <w:tcW w:w="1584" w:type="dxa"/>
          </w:tcPr>
          <w:p>
            <w:pPr>
              <w:pStyle w:val="TableParagraph"/>
              <w:spacing w:line="240" w:lineRule="auto" w:before="1"/>
              <w:rPr>
                <w:sz w:val="18"/>
              </w:rPr>
            </w:pPr>
            <w:r>
              <w:rPr>
                <w:sz w:val="18"/>
              </w:rPr>
              <w:t>29.7</w:t>
            </w:r>
          </w:p>
        </w:tc>
        <w:tc>
          <w:tcPr>
            <w:tcW w:w="1582" w:type="dxa"/>
          </w:tcPr>
          <w:p>
            <w:pPr>
              <w:pStyle w:val="TableParagraph"/>
              <w:spacing w:line="240" w:lineRule="auto" w:before="1"/>
              <w:rPr>
                <w:sz w:val="18"/>
              </w:rPr>
            </w:pPr>
            <w:r>
              <w:rPr>
                <w:sz w:val="18"/>
              </w:rPr>
              <w:t>104.43</w:t>
            </w:r>
          </w:p>
        </w:tc>
        <w:tc>
          <w:tcPr>
            <w:tcW w:w="1582" w:type="dxa"/>
          </w:tcPr>
          <w:p>
            <w:pPr>
              <w:pStyle w:val="TableParagraph"/>
              <w:spacing w:line="240" w:lineRule="auto" w:before="1"/>
              <w:rPr>
                <w:sz w:val="18"/>
              </w:rPr>
            </w:pPr>
            <w:r>
              <w:rPr>
                <w:sz w:val="18"/>
              </w:rPr>
              <w:t>94.78</w:t>
            </w:r>
          </w:p>
        </w:tc>
      </w:tr>
      <w:tr>
        <w:trPr>
          <w:trHeight w:val="216" w:hRule="exact"/>
        </w:trPr>
        <w:tc>
          <w:tcPr>
            <w:tcW w:w="1582" w:type="dxa"/>
          </w:tcPr>
          <w:p>
            <w:pPr>
              <w:pStyle w:val="TableParagraph"/>
              <w:rPr>
                <w:sz w:val="18"/>
              </w:rPr>
            </w:pPr>
            <w:r>
              <w:rPr>
                <w:sz w:val="18"/>
              </w:rPr>
              <w:t>16</w:t>
            </w:r>
          </w:p>
        </w:tc>
        <w:tc>
          <w:tcPr>
            <w:tcW w:w="1582" w:type="dxa"/>
          </w:tcPr>
          <w:p>
            <w:pPr>
              <w:pStyle w:val="TableParagraph"/>
              <w:rPr>
                <w:sz w:val="18"/>
              </w:rPr>
            </w:pPr>
            <w:r>
              <w:rPr>
                <w:sz w:val="18"/>
              </w:rPr>
              <w:t>725</w:t>
            </w:r>
          </w:p>
        </w:tc>
        <w:tc>
          <w:tcPr>
            <w:tcW w:w="1584" w:type="dxa"/>
          </w:tcPr>
          <w:p>
            <w:pPr>
              <w:pStyle w:val="TableParagraph"/>
              <w:rPr>
                <w:sz w:val="18"/>
              </w:rPr>
            </w:pPr>
            <w:r>
              <w:rPr>
                <w:sz w:val="18"/>
              </w:rPr>
              <w:t>8.7</w:t>
            </w:r>
          </w:p>
        </w:tc>
        <w:tc>
          <w:tcPr>
            <w:tcW w:w="1582" w:type="dxa"/>
          </w:tcPr>
          <w:p>
            <w:pPr>
              <w:pStyle w:val="TableParagraph"/>
              <w:rPr>
                <w:sz w:val="18"/>
              </w:rPr>
            </w:pPr>
            <w:r>
              <w:rPr>
                <w:sz w:val="18"/>
              </w:rPr>
              <w:t>83.31</w:t>
            </w:r>
          </w:p>
        </w:tc>
        <w:tc>
          <w:tcPr>
            <w:tcW w:w="1582" w:type="dxa"/>
          </w:tcPr>
          <w:p>
            <w:pPr>
              <w:pStyle w:val="TableParagraph"/>
              <w:rPr>
                <w:sz w:val="18"/>
              </w:rPr>
            </w:pPr>
            <w:r>
              <w:rPr>
                <w:sz w:val="18"/>
              </w:rPr>
              <w:t>98.99</w:t>
            </w:r>
          </w:p>
        </w:tc>
      </w:tr>
      <w:tr>
        <w:trPr>
          <w:trHeight w:val="218" w:hRule="exact"/>
        </w:trPr>
        <w:tc>
          <w:tcPr>
            <w:tcW w:w="1582" w:type="dxa"/>
          </w:tcPr>
          <w:p>
            <w:pPr>
              <w:pStyle w:val="TableParagraph"/>
              <w:rPr>
                <w:sz w:val="18"/>
              </w:rPr>
            </w:pPr>
            <w:r>
              <w:rPr>
                <w:sz w:val="18"/>
              </w:rPr>
              <w:t>16'</w:t>
            </w:r>
          </w:p>
        </w:tc>
        <w:tc>
          <w:tcPr>
            <w:tcW w:w="1582" w:type="dxa"/>
          </w:tcPr>
          <w:p>
            <w:pPr>
              <w:pStyle w:val="TableParagraph"/>
              <w:rPr>
                <w:sz w:val="18"/>
              </w:rPr>
            </w:pPr>
            <w:r>
              <w:rPr>
                <w:sz w:val="18"/>
              </w:rPr>
              <w:t>725</w:t>
            </w:r>
          </w:p>
        </w:tc>
        <w:tc>
          <w:tcPr>
            <w:tcW w:w="1584" w:type="dxa"/>
          </w:tcPr>
          <w:p>
            <w:pPr>
              <w:pStyle w:val="TableParagraph"/>
              <w:rPr>
                <w:sz w:val="18"/>
              </w:rPr>
            </w:pPr>
            <w:r>
              <w:rPr>
                <w:sz w:val="18"/>
              </w:rPr>
              <w:t>8.7</w:t>
            </w:r>
          </w:p>
        </w:tc>
        <w:tc>
          <w:tcPr>
            <w:tcW w:w="1582" w:type="dxa"/>
          </w:tcPr>
          <w:p>
            <w:pPr>
              <w:pStyle w:val="TableParagraph"/>
              <w:rPr>
                <w:sz w:val="18"/>
              </w:rPr>
            </w:pPr>
            <w:r>
              <w:rPr>
                <w:sz w:val="18"/>
              </w:rPr>
              <w:t>83.31</w:t>
            </w:r>
          </w:p>
        </w:tc>
        <w:tc>
          <w:tcPr>
            <w:tcW w:w="1582" w:type="dxa"/>
          </w:tcPr>
          <w:p>
            <w:pPr>
              <w:pStyle w:val="TableParagraph"/>
              <w:rPr>
                <w:sz w:val="18"/>
              </w:rPr>
            </w:pPr>
            <w:r>
              <w:rPr>
                <w:sz w:val="18"/>
              </w:rPr>
              <w:t>98.99</w:t>
            </w:r>
          </w:p>
        </w:tc>
      </w:tr>
      <w:tr>
        <w:trPr>
          <w:trHeight w:val="216" w:hRule="exact"/>
        </w:trPr>
        <w:tc>
          <w:tcPr>
            <w:tcW w:w="1582" w:type="dxa"/>
          </w:tcPr>
          <w:p>
            <w:pPr>
              <w:pStyle w:val="TableParagraph"/>
              <w:rPr>
                <w:sz w:val="18"/>
              </w:rPr>
            </w:pPr>
            <w:r>
              <w:rPr>
                <w:sz w:val="18"/>
              </w:rPr>
              <w:t>17</w:t>
            </w:r>
          </w:p>
        </w:tc>
        <w:tc>
          <w:tcPr>
            <w:tcW w:w="1582" w:type="dxa"/>
          </w:tcPr>
          <w:p>
            <w:pPr>
              <w:pStyle w:val="TableParagraph"/>
              <w:rPr>
                <w:sz w:val="18"/>
              </w:rPr>
            </w:pPr>
            <w:r>
              <w:rPr>
                <w:sz w:val="18"/>
              </w:rPr>
              <w:t>750</w:t>
            </w:r>
          </w:p>
        </w:tc>
        <w:tc>
          <w:tcPr>
            <w:tcW w:w="1584" w:type="dxa"/>
          </w:tcPr>
          <w:p>
            <w:pPr>
              <w:pStyle w:val="TableParagraph"/>
              <w:rPr>
                <w:sz w:val="18"/>
              </w:rPr>
            </w:pPr>
            <w:r>
              <w:rPr>
                <w:sz w:val="18"/>
              </w:rPr>
              <w:t>8.7</w:t>
            </w:r>
          </w:p>
        </w:tc>
        <w:tc>
          <w:tcPr>
            <w:tcW w:w="1582" w:type="dxa"/>
          </w:tcPr>
          <w:p>
            <w:pPr>
              <w:pStyle w:val="TableParagraph"/>
              <w:rPr>
                <w:sz w:val="18"/>
              </w:rPr>
            </w:pPr>
            <w:r>
              <w:rPr>
                <w:sz w:val="18"/>
              </w:rPr>
              <w:t>90.19</w:t>
            </w:r>
          </w:p>
        </w:tc>
        <w:tc>
          <w:tcPr>
            <w:tcW w:w="1582" w:type="dxa"/>
          </w:tcPr>
          <w:p>
            <w:pPr>
              <w:pStyle w:val="TableParagraph"/>
              <w:rPr>
                <w:sz w:val="18"/>
              </w:rPr>
            </w:pPr>
            <w:r>
              <w:rPr>
                <w:sz w:val="18"/>
              </w:rPr>
              <w:t>102.16</w:t>
            </w:r>
          </w:p>
        </w:tc>
      </w:tr>
      <w:tr>
        <w:trPr>
          <w:trHeight w:val="216" w:hRule="exact"/>
        </w:trPr>
        <w:tc>
          <w:tcPr>
            <w:tcW w:w="1582" w:type="dxa"/>
          </w:tcPr>
          <w:p>
            <w:pPr>
              <w:pStyle w:val="TableParagraph"/>
              <w:rPr>
                <w:sz w:val="18"/>
              </w:rPr>
            </w:pPr>
            <w:r>
              <w:rPr>
                <w:sz w:val="18"/>
              </w:rPr>
              <w:t>17'</w:t>
            </w:r>
          </w:p>
        </w:tc>
        <w:tc>
          <w:tcPr>
            <w:tcW w:w="1582" w:type="dxa"/>
          </w:tcPr>
          <w:p>
            <w:pPr>
              <w:pStyle w:val="TableParagraph"/>
              <w:rPr>
                <w:sz w:val="18"/>
              </w:rPr>
            </w:pPr>
            <w:r>
              <w:rPr>
                <w:sz w:val="18"/>
              </w:rPr>
              <w:t>750</w:t>
            </w:r>
          </w:p>
        </w:tc>
        <w:tc>
          <w:tcPr>
            <w:tcW w:w="1584" w:type="dxa"/>
          </w:tcPr>
          <w:p>
            <w:pPr>
              <w:pStyle w:val="TableParagraph"/>
              <w:rPr>
                <w:sz w:val="18"/>
              </w:rPr>
            </w:pPr>
            <w:r>
              <w:rPr>
                <w:sz w:val="18"/>
              </w:rPr>
              <w:t>8.7</w:t>
            </w:r>
          </w:p>
        </w:tc>
        <w:tc>
          <w:tcPr>
            <w:tcW w:w="1582" w:type="dxa"/>
          </w:tcPr>
          <w:p>
            <w:pPr>
              <w:pStyle w:val="TableParagraph"/>
              <w:rPr>
                <w:sz w:val="18"/>
              </w:rPr>
            </w:pPr>
            <w:r>
              <w:rPr>
                <w:sz w:val="18"/>
              </w:rPr>
              <w:t>90.19</w:t>
            </w:r>
          </w:p>
        </w:tc>
        <w:tc>
          <w:tcPr>
            <w:tcW w:w="1582" w:type="dxa"/>
          </w:tcPr>
          <w:p>
            <w:pPr>
              <w:pStyle w:val="TableParagraph"/>
              <w:rPr>
                <w:sz w:val="18"/>
              </w:rPr>
            </w:pPr>
            <w:r>
              <w:rPr>
                <w:sz w:val="18"/>
              </w:rPr>
              <w:t>102.16</w:t>
            </w:r>
          </w:p>
        </w:tc>
      </w:tr>
      <w:tr>
        <w:trPr>
          <w:trHeight w:val="218" w:hRule="exact"/>
        </w:trPr>
        <w:tc>
          <w:tcPr>
            <w:tcW w:w="1582" w:type="dxa"/>
          </w:tcPr>
          <w:p>
            <w:pPr>
              <w:pStyle w:val="TableParagraph"/>
              <w:spacing w:line="240" w:lineRule="auto" w:before="1"/>
              <w:rPr>
                <w:sz w:val="18"/>
              </w:rPr>
            </w:pPr>
            <w:r>
              <w:rPr>
                <w:sz w:val="18"/>
              </w:rPr>
              <w:t>18</w:t>
            </w:r>
          </w:p>
        </w:tc>
        <w:tc>
          <w:tcPr>
            <w:tcW w:w="1582" w:type="dxa"/>
          </w:tcPr>
          <w:p>
            <w:pPr>
              <w:pStyle w:val="TableParagraph"/>
              <w:spacing w:line="240" w:lineRule="auto" w:before="1"/>
              <w:rPr>
                <w:sz w:val="18"/>
              </w:rPr>
            </w:pPr>
            <w:r>
              <w:rPr>
                <w:sz w:val="18"/>
              </w:rPr>
              <w:t>775</w:t>
            </w:r>
          </w:p>
        </w:tc>
        <w:tc>
          <w:tcPr>
            <w:tcW w:w="1584" w:type="dxa"/>
          </w:tcPr>
          <w:p>
            <w:pPr>
              <w:pStyle w:val="TableParagraph"/>
              <w:spacing w:line="240" w:lineRule="auto" w:before="1"/>
              <w:rPr>
                <w:sz w:val="18"/>
              </w:rPr>
            </w:pPr>
            <w:r>
              <w:rPr>
                <w:sz w:val="18"/>
              </w:rPr>
              <w:t>8.7</w:t>
            </w:r>
          </w:p>
        </w:tc>
        <w:tc>
          <w:tcPr>
            <w:tcW w:w="1582" w:type="dxa"/>
          </w:tcPr>
          <w:p>
            <w:pPr>
              <w:pStyle w:val="TableParagraph"/>
              <w:spacing w:line="240" w:lineRule="auto" w:before="1"/>
              <w:rPr>
                <w:sz w:val="18"/>
              </w:rPr>
            </w:pPr>
            <w:r>
              <w:rPr>
                <w:sz w:val="18"/>
              </w:rPr>
              <w:t>95.15</w:t>
            </w:r>
          </w:p>
        </w:tc>
        <w:tc>
          <w:tcPr>
            <w:tcW w:w="1582" w:type="dxa"/>
          </w:tcPr>
          <w:p>
            <w:pPr>
              <w:pStyle w:val="TableParagraph"/>
              <w:spacing w:line="240" w:lineRule="auto" w:before="1"/>
              <w:rPr>
                <w:sz w:val="18"/>
              </w:rPr>
            </w:pPr>
            <w:r>
              <w:rPr>
                <w:sz w:val="18"/>
              </w:rPr>
              <w:t>104.82</w:t>
            </w:r>
          </w:p>
        </w:tc>
      </w:tr>
      <w:tr>
        <w:trPr>
          <w:trHeight w:val="216" w:hRule="exact"/>
        </w:trPr>
        <w:tc>
          <w:tcPr>
            <w:tcW w:w="1582" w:type="dxa"/>
          </w:tcPr>
          <w:p>
            <w:pPr>
              <w:pStyle w:val="TableParagraph"/>
              <w:rPr>
                <w:sz w:val="18"/>
              </w:rPr>
            </w:pPr>
            <w:r>
              <w:rPr>
                <w:sz w:val="18"/>
              </w:rPr>
              <w:t>18'</w:t>
            </w:r>
          </w:p>
        </w:tc>
        <w:tc>
          <w:tcPr>
            <w:tcW w:w="1582" w:type="dxa"/>
          </w:tcPr>
          <w:p>
            <w:pPr>
              <w:pStyle w:val="TableParagraph"/>
              <w:rPr>
                <w:sz w:val="18"/>
              </w:rPr>
            </w:pPr>
            <w:r>
              <w:rPr>
                <w:sz w:val="18"/>
              </w:rPr>
              <w:t>775</w:t>
            </w:r>
          </w:p>
        </w:tc>
        <w:tc>
          <w:tcPr>
            <w:tcW w:w="1584" w:type="dxa"/>
          </w:tcPr>
          <w:p>
            <w:pPr>
              <w:pStyle w:val="TableParagraph"/>
              <w:rPr>
                <w:sz w:val="18"/>
              </w:rPr>
            </w:pPr>
            <w:r>
              <w:rPr>
                <w:sz w:val="18"/>
              </w:rPr>
              <w:t>8.7</w:t>
            </w:r>
          </w:p>
        </w:tc>
        <w:tc>
          <w:tcPr>
            <w:tcW w:w="1582" w:type="dxa"/>
          </w:tcPr>
          <w:p>
            <w:pPr>
              <w:pStyle w:val="TableParagraph"/>
              <w:rPr>
                <w:sz w:val="18"/>
              </w:rPr>
            </w:pPr>
            <w:r>
              <w:rPr>
                <w:sz w:val="18"/>
              </w:rPr>
              <w:t>95.15</w:t>
            </w:r>
          </w:p>
        </w:tc>
        <w:tc>
          <w:tcPr>
            <w:tcW w:w="1582" w:type="dxa"/>
          </w:tcPr>
          <w:p>
            <w:pPr>
              <w:pStyle w:val="TableParagraph"/>
              <w:rPr>
                <w:sz w:val="18"/>
              </w:rPr>
            </w:pPr>
            <w:r>
              <w:rPr>
                <w:sz w:val="18"/>
              </w:rPr>
              <w:t>104.82</w:t>
            </w:r>
          </w:p>
        </w:tc>
      </w:tr>
      <w:tr>
        <w:trPr>
          <w:trHeight w:val="218" w:hRule="exact"/>
        </w:trPr>
        <w:tc>
          <w:tcPr>
            <w:tcW w:w="1582" w:type="dxa"/>
          </w:tcPr>
          <w:p>
            <w:pPr>
              <w:pStyle w:val="TableParagraph"/>
              <w:rPr>
                <w:sz w:val="18"/>
              </w:rPr>
            </w:pPr>
            <w:r>
              <w:rPr>
                <w:sz w:val="18"/>
              </w:rPr>
              <w:t>19</w:t>
            </w:r>
          </w:p>
        </w:tc>
        <w:tc>
          <w:tcPr>
            <w:tcW w:w="1582" w:type="dxa"/>
          </w:tcPr>
          <w:p>
            <w:pPr>
              <w:pStyle w:val="TableParagraph"/>
              <w:rPr>
                <w:sz w:val="18"/>
              </w:rPr>
            </w:pPr>
            <w:r>
              <w:rPr>
                <w:sz w:val="18"/>
              </w:rPr>
              <w:t>731.25</w:t>
            </w:r>
          </w:p>
        </w:tc>
        <w:tc>
          <w:tcPr>
            <w:tcW w:w="1584" w:type="dxa"/>
          </w:tcPr>
          <w:p>
            <w:pPr>
              <w:pStyle w:val="TableParagraph"/>
              <w:rPr>
                <w:sz w:val="18"/>
              </w:rPr>
            </w:pPr>
            <w:r>
              <w:rPr>
                <w:sz w:val="18"/>
              </w:rPr>
              <w:t>29.7</w:t>
            </w:r>
          </w:p>
        </w:tc>
        <w:tc>
          <w:tcPr>
            <w:tcW w:w="1582" w:type="dxa"/>
          </w:tcPr>
          <w:p>
            <w:pPr>
              <w:pStyle w:val="TableParagraph"/>
              <w:rPr>
                <w:sz w:val="18"/>
              </w:rPr>
            </w:pPr>
            <w:r>
              <w:rPr>
                <w:sz w:val="18"/>
              </w:rPr>
              <w:t>87.21</w:t>
            </w:r>
          </w:p>
        </w:tc>
        <w:tc>
          <w:tcPr>
            <w:tcW w:w="1582" w:type="dxa"/>
          </w:tcPr>
          <w:p>
            <w:pPr>
              <w:pStyle w:val="TableParagraph"/>
              <w:rPr>
                <w:sz w:val="18"/>
              </w:rPr>
            </w:pPr>
            <w:r>
              <w:rPr>
                <w:sz w:val="18"/>
              </w:rPr>
              <w:t>100.24</w:t>
            </w:r>
          </w:p>
        </w:tc>
      </w:tr>
      <w:tr>
        <w:trPr>
          <w:trHeight w:val="216" w:hRule="exact"/>
        </w:trPr>
        <w:tc>
          <w:tcPr>
            <w:tcW w:w="1582" w:type="dxa"/>
          </w:tcPr>
          <w:p>
            <w:pPr>
              <w:pStyle w:val="TableParagraph"/>
              <w:rPr>
                <w:sz w:val="18"/>
              </w:rPr>
            </w:pPr>
            <w:r>
              <w:rPr>
                <w:sz w:val="18"/>
              </w:rPr>
              <w:t>19'</w:t>
            </w:r>
          </w:p>
        </w:tc>
        <w:tc>
          <w:tcPr>
            <w:tcW w:w="1582" w:type="dxa"/>
          </w:tcPr>
          <w:p>
            <w:pPr>
              <w:pStyle w:val="TableParagraph"/>
              <w:rPr>
                <w:sz w:val="18"/>
              </w:rPr>
            </w:pPr>
            <w:r>
              <w:rPr>
                <w:sz w:val="18"/>
              </w:rPr>
              <w:t>731.25</w:t>
            </w:r>
          </w:p>
        </w:tc>
        <w:tc>
          <w:tcPr>
            <w:tcW w:w="1584" w:type="dxa"/>
          </w:tcPr>
          <w:p>
            <w:pPr>
              <w:pStyle w:val="TableParagraph"/>
              <w:rPr>
                <w:sz w:val="18"/>
              </w:rPr>
            </w:pPr>
            <w:r>
              <w:rPr>
                <w:sz w:val="18"/>
              </w:rPr>
              <w:t>29.7</w:t>
            </w:r>
          </w:p>
        </w:tc>
        <w:tc>
          <w:tcPr>
            <w:tcW w:w="1582" w:type="dxa"/>
          </w:tcPr>
          <w:p>
            <w:pPr>
              <w:pStyle w:val="TableParagraph"/>
              <w:rPr>
                <w:sz w:val="18"/>
              </w:rPr>
            </w:pPr>
            <w:r>
              <w:rPr>
                <w:sz w:val="18"/>
              </w:rPr>
              <w:t>87.21</w:t>
            </w:r>
          </w:p>
        </w:tc>
        <w:tc>
          <w:tcPr>
            <w:tcW w:w="1582" w:type="dxa"/>
          </w:tcPr>
          <w:p>
            <w:pPr>
              <w:pStyle w:val="TableParagraph"/>
              <w:rPr>
                <w:sz w:val="18"/>
              </w:rPr>
            </w:pPr>
            <w:r>
              <w:rPr>
                <w:sz w:val="18"/>
              </w:rPr>
              <w:t>100.24</w:t>
            </w:r>
          </w:p>
        </w:tc>
      </w:tr>
      <w:tr>
        <w:trPr>
          <w:trHeight w:val="216" w:hRule="exact"/>
        </w:trPr>
        <w:tc>
          <w:tcPr>
            <w:tcW w:w="1582" w:type="dxa"/>
          </w:tcPr>
          <w:p>
            <w:pPr>
              <w:pStyle w:val="TableParagraph"/>
              <w:rPr>
                <w:sz w:val="18"/>
              </w:rPr>
            </w:pPr>
            <w:r>
              <w:rPr>
                <w:sz w:val="18"/>
              </w:rPr>
              <w:t>20</w:t>
            </w:r>
          </w:p>
        </w:tc>
        <w:tc>
          <w:tcPr>
            <w:tcW w:w="1582" w:type="dxa"/>
          </w:tcPr>
          <w:p>
            <w:pPr>
              <w:pStyle w:val="TableParagraph"/>
              <w:rPr>
                <w:sz w:val="18"/>
              </w:rPr>
            </w:pPr>
            <w:r>
              <w:rPr>
                <w:sz w:val="18"/>
              </w:rPr>
              <w:t>768.75</w:t>
            </w:r>
          </w:p>
        </w:tc>
        <w:tc>
          <w:tcPr>
            <w:tcW w:w="1584" w:type="dxa"/>
          </w:tcPr>
          <w:p>
            <w:pPr>
              <w:pStyle w:val="TableParagraph"/>
              <w:rPr>
                <w:sz w:val="18"/>
              </w:rPr>
            </w:pPr>
            <w:r>
              <w:rPr>
                <w:sz w:val="18"/>
              </w:rPr>
              <w:t>29.7</w:t>
            </w:r>
          </w:p>
        </w:tc>
        <w:tc>
          <w:tcPr>
            <w:tcW w:w="1582" w:type="dxa"/>
          </w:tcPr>
          <w:p>
            <w:pPr>
              <w:pStyle w:val="TableParagraph"/>
              <w:rPr>
                <w:sz w:val="18"/>
              </w:rPr>
            </w:pPr>
            <w:r>
              <w:rPr>
                <w:sz w:val="18"/>
              </w:rPr>
              <w:t>94.78</w:t>
            </w:r>
          </w:p>
        </w:tc>
        <w:tc>
          <w:tcPr>
            <w:tcW w:w="1582" w:type="dxa"/>
          </w:tcPr>
          <w:p>
            <w:pPr>
              <w:pStyle w:val="TableParagraph"/>
              <w:rPr>
                <w:sz w:val="18"/>
              </w:rPr>
            </w:pPr>
            <w:r>
              <w:rPr>
                <w:sz w:val="18"/>
              </w:rPr>
              <w:t>104.43</w:t>
            </w:r>
          </w:p>
        </w:tc>
      </w:tr>
      <w:tr>
        <w:trPr>
          <w:trHeight w:val="218" w:hRule="exact"/>
        </w:trPr>
        <w:tc>
          <w:tcPr>
            <w:tcW w:w="1582" w:type="dxa"/>
          </w:tcPr>
          <w:p>
            <w:pPr>
              <w:pStyle w:val="TableParagraph"/>
              <w:spacing w:line="240" w:lineRule="auto" w:before="1"/>
              <w:rPr>
                <w:sz w:val="18"/>
              </w:rPr>
            </w:pPr>
            <w:r>
              <w:rPr>
                <w:sz w:val="18"/>
              </w:rPr>
              <w:t>20'</w:t>
            </w:r>
          </w:p>
        </w:tc>
        <w:tc>
          <w:tcPr>
            <w:tcW w:w="1582" w:type="dxa"/>
          </w:tcPr>
          <w:p>
            <w:pPr>
              <w:pStyle w:val="TableParagraph"/>
              <w:spacing w:line="240" w:lineRule="auto" w:before="1"/>
              <w:rPr>
                <w:sz w:val="18"/>
              </w:rPr>
            </w:pPr>
            <w:r>
              <w:rPr>
                <w:sz w:val="18"/>
              </w:rPr>
              <w:t>768.75</w:t>
            </w:r>
          </w:p>
        </w:tc>
        <w:tc>
          <w:tcPr>
            <w:tcW w:w="1584" w:type="dxa"/>
          </w:tcPr>
          <w:p>
            <w:pPr>
              <w:pStyle w:val="TableParagraph"/>
              <w:spacing w:line="240" w:lineRule="auto" w:before="1"/>
              <w:rPr>
                <w:sz w:val="18"/>
              </w:rPr>
            </w:pPr>
            <w:r>
              <w:rPr>
                <w:sz w:val="18"/>
              </w:rPr>
              <w:t>29.7</w:t>
            </w:r>
          </w:p>
        </w:tc>
        <w:tc>
          <w:tcPr>
            <w:tcW w:w="1582" w:type="dxa"/>
          </w:tcPr>
          <w:p>
            <w:pPr>
              <w:pStyle w:val="TableParagraph"/>
              <w:spacing w:line="240" w:lineRule="auto" w:before="1"/>
              <w:rPr>
                <w:sz w:val="18"/>
              </w:rPr>
            </w:pPr>
            <w:r>
              <w:rPr>
                <w:sz w:val="18"/>
              </w:rPr>
              <w:t>94.78</w:t>
            </w:r>
          </w:p>
        </w:tc>
        <w:tc>
          <w:tcPr>
            <w:tcW w:w="1582" w:type="dxa"/>
          </w:tcPr>
          <w:p>
            <w:pPr>
              <w:pStyle w:val="TableParagraph"/>
              <w:spacing w:line="240" w:lineRule="auto" w:before="1"/>
              <w:rPr>
                <w:sz w:val="18"/>
              </w:rPr>
            </w:pPr>
            <w:r>
              <w:rPr>
                <w:sz w:val="18"/>
              </w:rPr>
              <w:t>104.43</w:t>
            </w:r>
          </w:p>
        </w:tc>
      </w:tr>
      <w:tr>
        <w:trPr>
          <w:trHeight w:val="216" w:hRule="exact"/>
        </w:trPr>
        <w:tc>
          <w:tcPr>
            <w:tcW w:w="1582" w:type="dxa"/>
          </w:tcPr>
          <w:p>
            <w:pPr>
              <w:pStyle w:val="TableParagraph"/>
              <w:rPr>
                <w:sz w:val="18"/>
              </w:rPr>
            </w:pPr>
            <w:r>
              <w:rPr>
                <w:sz w:val="18"/>
              </w:rPr>
              <w:t>21</w:t>
            </w:r>
          </w:p>
        </w:tc>
        <w:tc>
          <w:tcPr>
            <w:tcW w:w="1582" w:type="dxa"/>
          </w:tcPr>
          <w:p>
            <w:pPr>
              <w:pStyle w:val="TableParagraph"/>
              <w:rPr>
                <w:sz w:val="18"/>
              </w:rPr>
            </w:pPr>
            <w:r>
              <w:rPr>
                <w:sz w:val="18"/>
              </w:rPr>
              <w:t>475</w:t>
            </w:r>
          </w:p>
        </w:tc>
        <w:tc>
          <w:tcPr>
            <w:tcW w:w="1584" w:type="dxa"/>
          </w:tcPr>
          <w:p>
            <w:pPr>
              <w:pStyle w:val="TableParagraph"/>
              <w:rPr>
                <w:sz w:val="18"/>
              </w:rPr>
            </w:pPr>
            <w:r>
              <w:rPr>
                <w:sz w:val="18"/>
              </w:rPr>
              <w:t>8.7</w:t>
            </w:r>
          </w:p>
        </w:tc>
        <w:tc>
          <w:tcPr>
            <w:tcW w:w="1582" w:type="dxa"/>
          </w:tcPr>
          <w:p>
            <w:pPr>
              <w:pStyle w:val="TableParagraph"/>
              <w:rPr>
                <w:sz w:val="18"/>
              </w:rPr>
            </w:pPr>
            <w:r>
              <w:rPr>
                <w:sz w:val="18"/>
              </w:rPr>
              <w:t>107.14</w:t>
            </w:r>
          </w:p>
        </w:tc>
        <w:tc>
          <w:tcPr>
            <w:tcW w:w="1582" w:type="dxa"/>
          </w:tcPr>
          <w:p>
            <w:pPr>
              <w:pStyle w:val="TableParagraph"/>
              <w:rPr>
                <w:sz w:val="18"/>
              </w:rPr>
            </w:pPr>
            <w:r>
              <w:rPr>
                <w:sz w:val="18"/>
              </w:rPr>
              <w:t>98.99</w:t>
            </w:r>
          </w:p>
        </w:tc>
      </w:tr>
      <w:tr>
        <w:trPr>
          <w:trHeight w:val="218" w:hRule="exact"/>
        </w:trPr>
        <w:tc>
          <w:tcPr>
            <w:tcW w:w="1582" w:type="dxa"/>
          </w:tcPr>
          <w:p>
            <w:pPr>
              <w:pStyle w:val="TableParagraph"/>
              <w:rPr>
                <w:sz w:val="18"/>
              </w:rPr>
            </w:pPr>
            <w:r>
              <w:rPr>
                <w:sz w:val="18"/>
              </w:rPr>
              <w:t>21'</w:t>
            </w:r>
          </w:p>
        </w:tc>
        <w:tc>
          <w:tcPr>
            <w:tcW w:w="1582" w:type="dxa"/>
          </w:tcPr>
          <w:p>
            <w:pPr>
              <w:pStyle w:val="TableParagraph"/>
              <w:rPr>
                <w:sz w:val="18"/>
              </w:rPr>
            </w:pPr>
            <w:r>
              <w:rPr>
                <w:sz w:val="18"/>
              </w:rPr>
              <w:t>475</w:t>
            </w:r>
          </w:p>
        </w:tc>
        <w:tc>
          <w:tcPr>
            <w:tcW w:w="1584" w:type="dxa"/>
          </w:tcPr>
          <w:p>
            <w:pPr>
              <w:pStyle w:val="TableParagraph"/>
              <w:rPr>
                <w:sz w:val="18"/>
              </w:rPr>
            </w:pPr>
            <w:r>
              <w:rPr>
                <w:sz w:val="18"/>
              </w:rPr>
              <w:t>8.7</w:t>
            </w:r>
          </w:p>
        </w:tc>
        <w:tc>
          <w:tcPr>
            <w:tcW w:w="1582" w:type="dxa"/>
          </w:tcPr>
          <w:p>
            <w:pPr>
              <w:pStyle w:val="TableParagraph"/>
              <w:rPr>
                <w:sz w:val="18"/>
              </w:rPr>
            </w:pPr>
            <w:r>
              <w:rPr>
                <w:sz w:val="18"/>
              </w:rPr>
              <w:t>107.14</w:t>
            </w:r>
          </w:p>
        </w:tc>
        <w:tc>
          <w:tcPr>
            <w:tcW w:w="1582" w:type="dxa"/>
          </w:tcPr>
          <w:p>
            <w:pPr>
              <w:pStyle w:val="TableParagraph"/>
              <w:rPr>
                <w:sz w:val="18"/>
              </w:rPr>
            </w:pPr>
            <w:r>
              <w:rPr>
                <w:sz w:val="18"/>
              </w:rPr>
              <w:t>98.99</w:t>
            </w:r>
          </w:p>
        </w:tc>
      </w:tr>
      <w:tr>
        <w:trPr>
          <w:trHeight w:val="216" w:hRule="exact"/>
        </w:trPr>
        <w:tc>
          <w:tcPr>
            <w:tcW w:w="1582" w:type="dxa"/>
          </w:tcPr>
          <w:p>
            <w:pPr>
              <w:pStyle w:val="TableParagraph"/>
              <w:rPr>
                <w:sz w:val="18"/>
              </w:rPr>
            </w:pPr>
            <w:r>
              <w:rPr>
                <w:sz w:val="18"/>
              </w:rPr>
              <w:t>22</w:t>
            </w:r>
          </w:p>
        </w:tc>
        <w:tc>
          <w:tcPr>
            <w:tcW w:w="1582" w:type="dxa"/>
          </w:tcPr>
          <w:p>
            <w:pPr>
              <w:pStyle w:val="TableParagraph"/>
              <w:rPr>
                <w:sz w:val="18"/>
              </w:rPr>
            </w:pPr>
            <w:r>
              <w:rPr>
                <w:sz w:val="18"/>
              </w:rPr>
              <w:t>450</w:t>
            </w:r>
          </w:p>
        </w:tc>
        <w:tc>
          <w:tcPr>
            <w:tcW w:w="1584" w:type="dxa"/>
          </w:tcPr>
          <w:p>
            <w:pPr>
              <w:pStyle w:val="TableParagraph"/>
              <w:rPr>
                <w:sz w:val="18"/>
              </w:rPr>
            </w:pPr>
            <w:r>
              <w:rPr>
                <w:sz w:val="18"/>
              </w:rPr>
              <w:t>8.7</w:t>
            </w:r>
          </w:p>
        </w:tc>
        <w:tc>
          <w:tcPr>
            <w:tcW w:w="1582" w:type="dxa"/>
          </w:tcPr>
          <w:p>
            <w:pPr>
              <w:pStyle w:val="TableParagraph"/>
              <w:rPr>
                <w:sz w:val="18"/>
              </w:rPr>
            </w:pPr>
            <w:r>
              <w:rPr>
                <w:sz w:val="18"/>
              </w:rPr>
              <w:t>109.18</w:t>
            </w:r>
          </w:p>
        </w:tc>
        <w:tc>
          <w:tcPr>
            <w:tcW w:w="1582" w:type="dxa"/>
          </w:tcPr>
          <w:p>
            <w:pPr>
              <w:pStyle w:val="TableParagraph"/>
              <w:rPr>
                <w:sz w:val="18"/>
              </w:rPr>
            </w:pPr>
            <w:r>
              <w:rPr>
                <w:sz w:val="18"/>
              </w:rPr>
              <w:t>102.16</w:t>
            </w:r>
          </w:p>
        </w:tc>
      </w:tr>
      <w:tr>
        <w:trPr>
          <w:trHeight w:val="217" w:hRule="exact"/>
        </w:trPr>
        <w:tc>
          <w:tcPr>
            <w:tcW w:w="1582" w:type="dxa"/>
          </w:tcPr>
          <w:p>
            <w:pPr>
              <w:pStyle w:val="TableParagraph"/>
              <w:spacing w:line="207" w:lineRule="exact"/>
              <w:rPr>
                <w:sz w:val="18"/>
              </w:rPr>
            </w:pPr>
            <w:r>
              <w:rPr>
                <w:sz w:val="18"/>
              </w:rPr>
              <w:t>22'</w:t>
            </w:r>
          </w:p>
        </w:tc>
        <w:tc>
          <w:tcPr>
            <w:tcW w:w="1582" w:type="dxa"/>
          </w:tcPr>
          <w:p>
            <w:pPr>
              <w:pStyle w:val="TableParagraph"/>
              <w:spacing w:line="207" w:lineRule="exact"/>
              <w:rPr>
                <w:sz w:val="18"/>
              </w:rPr>
            </w:pPr>
            <w:r>
              <w:rPr>
                <w:sz w:val="18"/>
              </w:rPr>
              <w:t>450</w:t>
            </w:r>
          </w:p>
        </w:tc>
        <w:tc>
          <w:tcPr>
            <w:tcW w:w="1584" w:type="dxa"/>
          </w:tcPr>
          <w:p>
            <w:pPr>
              <w:pStyle w:val="TableParagraph"/>
              <w:spacing w:line="207" w:lineRule="exact"/>
              <w:rPr>
                <w:sz w:val="18"/>
              </w:rPr>
            </w:pPr>
            <w:r>
              <w:rPr>
                <w:sz w:val="18"/>
              </w:rPr>
              <w:t>8.7</w:t>
            </w:r>
          </w:p>
        </w:tc>
        <w:tc>
          <w:tcPr>
            <w:tcW w:w="1582" w:type="dxa"/>
          </w:tcPr>
          <w:p>
            <w:pPr>
              <w:pStyle w:val="TableParagraph"/>
              <w:spacing w:line="207" w:lineRule="exact"/>
              <w:rPr>
                <w:sz w:val="18"/>
              </w:rPr>
            </w:pPr>
            <w:r>
              <w:rPr>
                <w:sz w:val="18"/>
              </w:rPr>
              <w:t>109.18</w:t>
            </w:r>
          </w:p>
        </w:tc>
        <w:tc>
          <w:tcPr>
            <w:tcW w:w="1582" w:type="dxa"/>
          </w:tcPr>
          <w:p>
            <w:pPr>
              <w:pStyle w:val="TableParagraph"/>
              <w:spacing w:line="207" w:lineRule="exact"/>
              <w:rPr>
                <w:sz w:val="18"/>
              </w:rPr>
            </w:pPr>
            <w:r>
              <w:rPr>
                <w:sz w:val="18"/>
              </w:rPr>
              <w:t>102.16</w:t>
            </w:r>
          </w:p>
        </w:tc>
      </w:tr>
      <w:tr>
        <w:trPr>
          <w:trHeight w:val="218" w:hRule="exact"/>
        </w:trPr>
        <w:tc>
          <w:tcPr>
            <w:tcW w:w="1582" w:type="dxa"/>
          </w:tcPr>
          <w:p>
            <w:pPr>
              <w:pStyle w:val="TableParagraph"/>
              <w:spacing w:line="240" w:lineRule="auto" w:before="1"/>
              <w:rPr>
                <w:sz w:val="18"/>
              </w:rPr>
            </w:pPr>
            <w:r>
              <w:rPr>
                <w:sz w:val="18"/>
              </w:rPr>
              <w:t>23</w:t>
            </w:r>
          </w:p>
        </w:tc>
        <w:tc>
          <w:tcPr>
            <w:tcW w:w="1582" w:type="dxa"/>
          </w:tcPr>
          <w:p>
            <w:pPr>
              <w:pStyle w:val="TableParagraph"/>
              <w:spacing w:line="240" w:lineRule="auto" w:before="1"/>
              <w:rPr>
                <w:sz w:val="18"/>
              </w:rPr>
            </w:pPr>
            <w:r>
              <w:rPr>
                <w:sz w:val="18"/>
              </w:rPr>
              <w:t>425</w:t>
            </w:r>
          </w:p>
        </w:tc>
        <w:tc>
          <w:tcPr>
            <w:tcW w:w="1584" w:type="dxa"/>
          </w:tcPr>
          <w:p>
            <w:pPr>
              <w:pStyle w:val="TableParagraph"/>
              <w:spacing w:line="240" w:lineRule="auto" w:before="1"/>
              <w:rPr>
                <w:sz w:val="18"/>
              </w:rPr>
            </w:pPr>
            <w:r>
              <w:rPr>
                <w:sz w:val="18"/>
              </w:rPr>
              <w:t>8.7</w:t>
            </w:r>
          </w:p>
        </w:tc>
        <w:tc>
          <w:tcPr>
            <w:tcW w:w="1582" w:type="dxa"/>
          </w:tcPr>
          <w:p>
            <w:pPr>
              <w:pStyle w:val="TableParagraph"/>
              <w:spacing w:line="240" w:lineRule="auto" w:before="1"/>
              <w:rPr>
                <w:sz w:val="18"/>
              </w:rPr>
            </w:pPr>
            <w:r>
              <w:rPr>
                <w:sz w:val="18"/>
              </w:rPr>
              <w:t>111.01</w:t>
            </w:r>
          </w:p>
        </w:tc>
        <w:tc>
          <w:tcPr>
            <w:tcW w:w="1582" w:type="dxa"/>
          </w:tcPr>
          <w:p>
            <w:pPr>
              <w:pStyle w:val="TableParagraph"/>
              <w:spacing w:line="240" w:lineRule="auto" w:before="1"/>
              <w:rPr>
                <w:sz w:val="18"/>
              </w:rPr>
            </w:pPr>
            <w:r>
              <w:rPr>
                <w:sz w:val="18"/>
              </w:rPr>
              <w:t>104.82</w:t>
            </w:r>
          </w:p>
        </w:tc>
      </w:tr>
      <w:tr>
        <w:trPr>
          <w:trHeight w:val="216" w:hRule="exact"/>
        </w:trPr>
        <w:tc>
          <w:tcPr>
            <w:tcW w:w="1582" w:type="dxa"/>
          </w:tcPr>
          <w:p>
            <w:pPr>
              <w:pStyle w:val="TableParagraph"/>
              <w:rPr>
                <w:sz w:val="18"/>
              </w:rPr>
            </w:pPr>
            <w:r>
              <w:rPr>
                <w:sz w:val="18"/>
              </w:rPr>
              <w:t>23'</w:t>
            </w:r>
          </w:p>
        </w:tc>
        <w:tc>
          <w:tcPr>
            <w:tcW w:w="1582" w:type="dxa"/>
          </w:tcPr>
          <w:p>
            <w:pPr>
              <w:pStyle w:val="TableParagraph"/>
              <w:rPr>
                <w:sz w:val="18"/>
              </w:rPr>
            </w:pPr>
            <w:r>
              <w:rPr>
                <w:sz w:val="18"/>
              </w:rPr>
              <w:t>425</w:t>
            </w:r>
          </w:p>
        </w:tc>
        <w:tc>
          <w:tcPr>
            <w:tcW w:w="1584" w:type="dxa"/>
          </w:tcPr>
          <w:p>
            <w:pPr>
              <w:pStyle w:val="TableParagraph"/>
              <w:rPr>
                <w:sz w:val="18"/>
              </w:rPr>
            </w:pPr>
            <w:r>
              <w:rPr>
                <w:sz w:val="18"/>
              </w:rPr>
              <w:t>8.7</w:t>
            </w:r>
          </w:p>
        </w:tc>
        <w:tc>
          <w:tcPr>
            <w:tcW w:w="1582" w:type="dxa"/>
          </w:tcPr>
          <w:p>
            <w:pPr>
              <w:pStyle w:val="TableParagraph"/>
              <w:rPr>
                <w:sz w:val="18"/>
              </w:rPr>
            </w:pPr>
            <w:r>
              <w:rPr>
                <w:sz w:val="18"/>
              </w:rPr>
              <w:t>111.01</w:t>
            </w:r>
          </w:p>
        </w:tc>
        <w:tc>
          <w:tcPr>
            <w:tcW w:w="1582" w:type="dxa"/>
          </w:tcPr>
          <w:p>
            <w:pPr>
              <w:pStyle w:val="TableParagraph"/>
              <w:rPr>
                <w:sz w:val="18"/>
              </w:rPr>
            </w:pPr>
            <w:r>
              <w:rPr>
                <w:sz w:val="18"/>
              </w:rPr>
              <w:t>104.82</w:t>
            </w:r>
          </w:p>
        </w:tc>
      </w:tr>
      <w:tr>
        <w:trPr>
          <w:trHeight w:val="218" w:hRule="exact"/>
        </w:trPr>
        <w:tc>
          <w:tcPr>
            <w:tcW w:w="1582" w:type="dxa"/>
          </w:tcPr>
          <w:p>
            <w:pPr>
              <w:pStyle w:val="TableParagraph"/>
              <w:rPr>
                <w:sz w:val="18"/>
              </w:rPr>
            </w:pPr>
            <w:r>
              <w:rPr>
                <w:sz w:val="18"/>
              </w:rPr>
              <w:t>24</w:t>
            </w:r>
          </w:p>
        </w:tc>
        <w:tc>
          <w:tcPr>
            <w:tcW w:w="1582" w:type="dxa"/>
          </w:tcPr>
          <w:p>
            <w:pPr>
              <w:pStyle w:val="TableParagraph"/>
              <w:rPr>
                <w:sz w:val="18"/>
              </w:rPr>
            </w:pPr>
            <w:r>
              <w:rPr>
                <w:sz w:val="18"/>
              </w:rPr>
              <w:t>468.75</w:t>
            </w:r>
          </w:p>
        </w:tc>
        <w:tc>
          <w:tcPr>
            <w:tcW w:w="1584" w:type="dxa"/>
          </w:tcPr>
          <w:p>
            <w:pPr>
              <w:pStyle w:val="TableParagraph"/>
              <w:rPr>
                <w:sz w:val="18"/>
              </w:rPr>
            </w:pPr>
            <w:r>
              <w:rPr>
                <w:sz w:val="18"/>
              </w:rPr>
              <w:t>29.7</w:t>
            </w:r>
          </w:p>
        </w:tc>
        <w:tc>
          <w:tcPr>
            <w:tcW w:w="1582" w:type="dxa"/>
          </w:tcPr>
          <w:p>
            <w:pPr>
              <w:pStyle w:val="TableParagraph"/>
              <w:rPr>
                <w:sz w:val="18"/>
              </w:rPr>
            </w:pPr>
            <w:r>
              <w:rPr>
                <w:sz w:val="18"/>
              </w:rPr>
              <w:t>107.83</w:t>
            </w:r>
          </w:p>
        </w:tc>
        <w:tc>
          <w:tcPr>
            <w:tcW w:w="1582" w:type="dxa"/>
          </w:tcPr>
          <w:p>
            <w:pPr>
              <w:pStyle w:val="TableParagraph"/>
              <w:rPr>
                <w:sz w:val="18"/>
              </w:rPr>
            </w:pPr>
            <w:r>
              <w:rPr>
                <w:sz w:val="18"/>
              </w:rPr>
              <w:t>100.24</w:t>
            </w:r>
          </w:p>
        </w:tc>
      </w:tr>
      <w:tr>
        <w:trPr>
          <w:trHeight w:val="216" w:hRule="exact"/>
        </w:trPr>
        <w:tc>
          <w:tcPr>
            <w:tcW w:w="1582" w:type="dxa"/>
          </w:tcPr>
          <w:p>
            <w:pPr>
              <w:pStyle w:val="TableParagraph"/>
              <w:rPr>
                <w:sz w:val="18"/>
              </w:rPr>
            </w:pPr>
            <w:r>
              <w:rPr>
                <w:sz w:val="18"/>
              </w:rPr>
              <w:t>24'</w:t>
            </w:r>
          </w:p>
        </w:tc>
        <w:tc>
          <w:tcPr>
            <w:tcW w:w="1582" w:type="dxa"/>
          </w:tcPr>
          <w:p>
            <w:pPr>
              <w:pStyle w:val="TableParagraph"/>
              <w:rPr>
                <w:sz w:val="18"/>
              </w:rPr>
            </w:pPr>
            <w:r>
              <w:rPr>
                <w:sz w:val="18"/>
              </w:rPr>
              <w:t>468.75</w:t>
            </w:r>
          </w:p>
        </w:tc>
        <w:tc>
          <w:tcPr>
            <w:tcW w:w="1584" w:type="dxa"/>
          </w:tcPr>
          <w:p>
            <w:pPr>
              <w:pStyle w:val="TableParagraph"/>
              <w:rPr>
                <w:sz w:val="18"/>
              </w:rPr>
            </w:pPr>
            <w:r>
              <w:rPr>
                <w:sz w:val="18"/>
              </w:rPr>
              <w:t>29.7</w:t>
            </w:r>
          </w:p>
        </w:tc>
        <w:tc>
          <w:tcPr>
            <w:tcW w:w="1582" w:type="dxa"/>
          </w:tcPr>
          <w:p>
            <w:pPr>
              <w:pStyle w:val="TableParagraph"/>
              <w:rPr>
                <w:sz w:val="18"/>
              </w:rPr>
            </w:pPr>
            <w:r>
              <w:rPr>
                <w:sz w:val="18"/>
              </w:rPr>
              <w:t>107.83</w:t>
            </w:r>
          </w:p>
        </w:tc>
        <w:tc>
          <w:tcPr>
            <w:tcW w:w="1582" w:type="dxa"/>
          </w:tcPr>
          <w:p>
            <w:pPr>
              <w:pStyle w:val="TableParagraph"/>
              <w:rPr>
                <w:sz w:val="18"/>
              </w:rPr>
            </w:pPr>
            <w:r>
              <w:rPr>
                <w:sz w:val="18"/>
              </w:rPr>
              <w:t>100.24</w:t>
            </w:r>
          </w:p>
        </w:tc>
      </w:tr>
    </w:tbl>
    <w:p>
      <w:pPr>
        <w:pStyle w:val="BodyText"/>
        <w:spacing w:before="4"/>
        <w:rPr>
          <w:sz w:val="27"/>
        </w:rPr>
      </w:pPr>
    </w:p>
    <w:p>
      <w:pPr>
        <w:pStyle w:val="ListParagraph"/>
        <w:numPr>
          <w:ilvl w:val="1"/>
          <w:numId w:val="38"/>
        </w:numPr>
        <w:tabs>
          <w:tab w:pos="1985" w:val="left" w:leader="none"/>
          <w:tab w:pos="1986" w:val="left" w:leader="none"/>
        </w:tabs>
        <w:spacing w:line="240" w:lineRule="auto" w:before="93" w:after="0"/>
        <w:ind w:left="1985" w:right="1136" w:hanging="286"/>
        <w:jc w:val="left"/>
        <w:rPr>
          <w:sz w:val="20"/>
        </w:rPr>
      </w:pPr>
      <w:r>
        <w:rPr>
          <w:sz w:val="20"/>
        </w:rPr>
        <w:t>Transmit on ITS band (e.g., center frequency 5,860 MHz) with bandwidth of 10 MHz; transmitting regular BSM</w:t>
      </w:r>
      <w:r>
        <w:rPr>
          <w:spacing w:val="-9"/>
          <w:sz w:val="20"/>
        </w:rPr>
        <w:t> </w:t>
      </w:r>
      <w:r>
        <w:rPr>
          <w:sz w:val="20"/>
        </w:rPr>
        <w:t>messages</w:t>
      </w:r>
    </w:p>
    <w:p>
      <w:pPr>
        <w:pStyle w:val="ListParagraph"/>
        <w:numPr>
          <w:ilvl w:val="1"/>
          <w:numId w:val="38"/>
        </w:numPr>
        <w:tabs>
          <w:tab w:pos="1985" w:val="left" w:leader="none"/>
          <w:tab w:pos="1986" w:val="left" w:leader="none"/>
        </w:tabs>
        <w:spacing w:line="240" w:lineRule="auto" w:before="180" w:after="0"/>
        <w:ind w:left="1985" w:right="1140" w:hanging="286"/>
        <w:jc w:val="left"/>
        <w:rPr>
          <w:sz w:val="20"/>
        </w:rPr>
      </w:pPr>
      <w:r>
        <w:rPr>
          <w:sz w:val="20"/>
        </w:rPr>
        <w:t>Generation of BSM content shall not be synchronized, i.e., each reference device generates its content at a different (random) point in time to avoid synchronization of transmission</w:t>
      </w:r>
      <w:r>
        <w:rPr>
          <w:spacing w:val="-20"/>
          <w:sz w:val="20"/>
        </w:rPr>
        <w:t> </w:t>
      </w:r>
      <w:r>
        <w:rPr>
          <w:sz w:val="20"/>
        </w:rPr>
        <w:t>behavior</w:t>
      </w:r>
    </w:p>
    <w:p>
      <w:pPr>
        <w:pStyle w:val="ListParagraph"/>
        <w:numPr>
          <w:ilvl w:val="1"/>
          <w:numId w:val="38"/>
        </w:numPr>
        <w:tabs>
          <w:tab w:pos="1985" w:val="left" w:leader="none"/>
          <w:tab w:pos="1986" w:val="left" w:leader="none"/>
        </w:tabs>
        <w:spacing w:line="240" w:lineRule="auto" w:before="177" w:after="0"/>
        <w:ind w:left="1985" w:right="0" w:hanging="286"/>
        <w:jc w:val="left"/>
        <w:rPr>
          <w:sz w:val="20"/>
        </w:rPr>
      </w:pPr>
      <w:r>
        <w:rPr>
          <w:sz w:val="20"/>
        </w:rPr>
        <w:t>Transmit power is kept constant at 21</w:t>
      </w:r>
      <w:r>
        <w:rPr>
          <w:spacing w:val="-12"/>
          <w:sz w:val="20"/>
        </w:rPr>
        <w:t> </w:t>
      </w:r>
      <w:r>
        <w:rPr>
          <w:sz w:val="20"/>
        </w:rPr>
        <w:t>dBm.</w:t>
      </w:r>
    </w:p>
    <w:p>
      <w:pPr>
        <w:spacing w:after="0" w:line="240" w:lineRule="auto"/>
        <w:jc w:val="left"/>
        <w:rPr>
          <w:sz w:val="20"/>
        </w:rPr>
        <w:sectPr>
          <w:headerReference w:type="default" r:id="rId308"/>
          <w:pgSz w:w="11910" w:h="16850"/>
          <w:pgMar w:header="852" w:footer="979" w:top="1040" w:bottom="1160" w:left="0" w:right="0"/>
        </w:sectPr>
      </w:pPr>
    </w:p>
    <w:p>
      <w:pPr>
        <w:pStyle w:val="BodyText"/>
      </w:pPr>
    </w:p>
    <w:p>
      <w:pPr>
        <w:pStyle w:val="BodyText"/>
      </w:pPr>
    </w:p>
    <w:p>
      <w:pPr>
        <w:pStyle w:val="BodyText"/>
        <w:spacing w:before="11"/>
        <w:rPr>
          <w:sz w:val="18"/>
        </w:rPr>
      </w:pPr>
    </w:p>
    <w:p>
      <w:pPr>
        <w:pStyle w:val="ListParagraph"/>
        <w:numPr>
          <w:ilvl w:val="1"/>
          <w:numId w:val="38"/>
        </w:numPr>
        <w:tabs>
          <w:tab w:pos="1985" w:val="left" w:leader="none"/>
          <w:tab w:pos="1986" w:val="left" w:leader="none"/>
        </w:tabs>
        <w:spacing w:line="240" w:lineRule="auto" w:before="92" w:after="0"/>
        <w:ind w:left="1985" w:right="0" w:hanging="286"/>
        <w:jc w:val="left"/>
        <w:rPr>
          <w:sz w:val="20"/>
        </w:rPr>
      </w:pPr>
      <w:r>
        <w:rPr>
          <w:sz w:val="20"/>
        </w:rPr>
        <w:t>Configured to receive on ITS band (e.g., center frequency 5,860 MHz) with a bandwidth of 10</w:t>
      </w:r>
      <w:r>
        <w:rPr>
          <w:spacing w:val="-34"/>
          <w:sz w:val="20"/>
        </w:rPr>
        <w:t> </w:t>
      </w:r>
      <w:r>
        <w:rPr>
          <w:sz w:val="20"/>
        </w:rPr>
        <w:t>MHz</w:t>
      </w:r>
    </w:p>
    <w:p>
      <w:pPr>
        <w:pStyle w:val="ListParagraph"/>
        <w:numPr>
          <w:ilvl w:val="1"/>
          <w:numId w:val="38"/>
        </w:numPr>
        <w:tabs>
          <w:tab w:pos="1985" w:val="left" w:leader="none"/>
          <w:tab w:pos="1986" w:val="left" w:leader="none"/>
        </w:tabs>
        <w:spacing w:line="240" w:lineRule="auto" w:before="179" w:after="0"/>
        <w:ind w:left="1985" w:right="1130" w:hanging="286"/>
        <w:jc w:val="left"/>
        <w:rPr>
          <w:sz w:val="20"/>
        </w:rPr>
      </w:pPr>
      <w:r>
        <w:rPr>
          <w:sz w:val="20"/>
        </w:rPr>
        <w:t>Packet length of standard BSM message (unless the choice is made to vary the packet size as described in earlier</w:t>
      </w:r>
      <w:r>
        <w:rPr>
          <w:spacing w:val="-10"/>
          <w:sz w:val="20"/>
        </w:rPr>
        <w:t> </w:t>
      </w:r>
      <w:r>
        <w:rPr>
          <w:sz w:val="20"/>
        </w:rPr>
        <w:t>bullet)</w:t>
      </w:r>
    </w:p>
    <w:p>
      <w:pPr>
        <w:pStyle w:val="ListParagraph"/>
        <w:numPr>
          <w:ilvl w:val="1"/>
          <w:numId w:val="38"/>
        </w:numPr>
        <w:tabs>
          <w:tab w:pos="1985" w:val="left" w:leader="none"/>
          <w:tab w:pos="1986" w:val="left" w:leader="none"/>
        </w:tabs>
        <w:spacing w:line="240" w:lineRule="auto" w:before="179" w:after="0"/>
        <w:ind w:left="1985" w:right="0" w:hanging="286"/>
        <w:jc w:val="left"/>
        <w:rPr>
          <w:sz w:val="20"/>
        </w:rPr>
      </w:pPr>
      <w:r>
        <w:rPr>
          <w:sz w:val="20"/>
        </w:rPr>
        <w:t>Using static</w:t>
      </w:r>
      <w:r>
        <w:rPr>
          <w:spacing w:val="-7"/>
          <w:sz w:val="20"/>
        </w:rPr>
        <w:t> </w:t>
      </w:r>
      <w:r>
        <w:rPr>
          <w:sz w:val="20"/>
        </w:rPr>
        <w:t>GPS</w:t>
      </w:r>
    </w:p>
    <w:p>
      <w:pPr>
        <w:pStyle w:val="ListParagraph"/>
        <w:numPr>
          <w:ilvl w:val="0"/>
          <w:numId w:val="38"/>
        </w:numPr>
        <w:tabs>
          <w:tab w:pos="1701" w:val="left" w:leader="none"/>
          <w:tab w:pos="1702" w:val="left" w:leader="none"/>
        </w:tabs>
        <w:spacing w:line="240" w:lineRule="auto" w:before="179" w:after="0"/>
        <w:ind w:left="1701" w:right="0" w:hanging="285"/>
        <w:jc w:val="left"/>
        <w:rPr>
          <w:sz w:val="20"/>
        </w:rPr>
      </w:pPr>
      <w:r>
        <w:rPr>
          <w:sz w:val="20"/>
        </w:rPr>
        <w:t>SAE congestion control</w:t>
      </w:r>
      <w:r>
        <w:rPr>
          <w:spacing w:val="-12"/>
          <w:sz w:val="20"/>
        </w:rPr>
        <w:t> </w:t>
      </w:r>
      <w:r>
        <w:rPr>
          <w:sz w:val="20"/>
        </w:rPr>
        <w:t>settings:</w:t>
      </w:r>
    </w:p>
    <w:p>
      <w:pPr>
        <w:pStyle w:val="ListParagraph"/>
        <w:numPr>
          <w:ilvl w:val="1"/>
          <w:numId w:val="38"/>
        </w:numPr>
        <w:tabs>
          <w:tab w:pos="1985" w:val="left" w:leader="none"/>
          <w:tab w:pos="1986" w:val="left" w:leader="none"/>
        </w:tabs>
        <w:spacing w:line="240" w:lineRule="auto" w:before="179" w:after="0"/>
        <w:ind w:left="1985" w:right="1135" w:hanging="286"/>
        <w:jc w:val="left"/>
        <w:rPr>
          <w:sz w:val="20"/>
        </w:rPr>
      </w:pPr>
      <w:r>
        <w:rPr>
          <w:sz w:val="20"/>
        </w:rPr>
        <w:t>Max_ITT</w:t>
      </w:r>
      <w:r>
        <w:rPr>
          <w:spacing w:val="-2"/>
          <w:sz w:val="20"/>
        </w:rPr>
        <w:t> </w:t>
      </w:r>
      <w:r>
        <w:rPr>
          <w:sz w:val="20"/>
        </w:rPr>
        <w:t>of</w:t>
      </w:r>
      <w:r>
        <w:rPr>
          <w:spacing w:val="-3"/>
          <w:sz w:val="20"/>
        </w:rPr>
        <w:t> </w:t>
      </w:r>
      <w:r>
        <w:rPr>
          <w:sz w:val="20"/>
        </w:rPr>
        <w:t>400</w:t>
      </w:r>
      <w:r>
        <w:rPr>
          <w:spacing w:val="-6"/>
          <w:sz w:val="20"/>
        </w:rPr>
        <w:t> </w:t>
      </w:r>
      <w:r>
        <w:rPr>
          <w:sz w:val="20"/>
        </w:rPr>
        <w:t>ms.</w:t>
      </w:r>
      <w:r>
        <w:rPr>
          <w:spacing w:val="-8"/>
          <w:sz w:val="20"/>
        </w:rPr>
        <w:t> </w:t>
      </w:r>
      <w:r>
        <w:rPr>
          <w:sz w:val="20"/>
        </w:rPr>
        <w:t>The</w:t>
      </w:r>
      <w:r>
        <w:rPr>
          <w:spacing w:val="-8"/>
          <w:sz w:val="20"/>
        </w:rPr>
        <w:t> </w:t>
      </w:r>
      <w:r>
        <w:rPr>
          <w:sz w:val="20"/>
        </w:rPr>
        <w:t>max_ITT</w:t>
      </w:r>
      <w:r>
        <w:rPr>
          <w:spacing w:val="-2"/>
          <w:sz w:val="20"/>
        </w:rPr>
        <w:t> </w:t>
      </w:r>
      <w:r>
        <w:rPr>
          <w:sz w:val="20"/>
        </w:rPr>
        <w:t>was</w:t>
      </w:r>
      <w:r>
        <w:rPr>
          <w:spacing w:val="-5"/>
          <w:sz w:val="20"/>
        </w:rPr>
        <w:t> </w:t>
      </w:r>
      <w:r>
        <w:rPr>
          <w:sz w:val="20"/>
        </w:rPr>
        <w:t>pushed</w:t>
      </w:r>
      <w:r>
        <w:rPr>
          <w:spacing w:val="-3"/>
          <w:sz w:val="20"/>
        </w:rPr>
        <w:t> </w:t>
      </w:r>
      <w:r>
        <w:rPr>
          <w:sz w:val="20"/>
        </w:rPr>
        <w:t>lower,</w:t>
      </w:r>
      <w:r>
        <w:rPr>
          <w:spacing w:val="-5"/>
          <w:sz w:val="20"/>
        </w:rPr>
        <w:t> </w:t>
      </w:r>
      <w:r>
        <w:rPr>
          <w:sz w:val="20"/>
        </w:rPr>
        <w:t>from</w:t>
      </w:r>
      <w:r>
        <w:rPr>
          <w:spacing w:val="-1"/>
          <w:sz w:val="20"/>
        </w:rPr>
        <w:t> </w:t>
      </w:r>
      <w:r>
        <w:rPr>
          <w:sz w:val="20"/>
        </w:rPr>
        <w:t>the</w:t>
      </w:r>
      <w:r>
        <w:rPr>
          <w:spacing w:val="-6"/>
          <w:sz w:val="20"/>
        </w:rPr>
        <w:t> </w:t>
      </w:r>
      <w:r>
        <w:rPr>
          <w:sz w:val="20"/>
        </w:rPr>
        <w:t>default</w:t>
      </w:r>
      <w:r>
        <w:rPr>
          <w:spacing w:val="-5"/>
          <w:sz w:val="20"/>
        </w:rPr>
        <w:t> </w:t>
      </w:r>
      <w:r>
        <w:rPr>
          <w:sz w:val="20"/>
        </w:rPr>
        <w:t>of</w:t>
      </w:r>
      <w:r>
        <w:rPr>
          <w:spacing w:val="-4"/>
          <w:sz w:val="20"/>
        </w:rPr>
        <w:t> </w:t>
      </w:r>
      <w:r>
        <w:rPr>
          <w:sz w:val="20"/>
        </w:rPr>
        <w:t>600</w:t>
      </w:r>
      <w:r>
        <w:rPr>
          <w:spacing w:val="-6"/>
          <w:sz w:val="20"/>
        </w:rPr>
        <w:t> </w:t>
      </w:r>
      <w:r>
        <w:rPr>
          <w:sz w:val="20"/>
        </w:rPr>
        <w:t>ms,</w:t>
      </w:r>
      <w:r>
        <w:rPr>
          <w:spacing w:val="-5"/>
          <w:sz w:val="20"/>
        </w:rPr>
        <w:t> </w:t>
      </w:r>
      <w:r>
        <w:rPr>
          <w:sz w:val="20"/>
        </w:rPr>
        <w:t>to</w:t>
      </w:r>
      <w:r>
        <w:rPr>
          <w:spacing w:val="-6"/>
          <w:sz w:val="20"/>
        </w:rPr>
        <w:t> </w:t>
      </w:r>
      <w:r>
        <w:rPr>
          <w:sz w:val="20"/>
        </w:rPr>
        <w:t>ensure</w:t>
      </w:r>
      <w:r>
        <w:rPr>
          <w:spacing w:val="-3"/>
          <w:sz w:val="20"/>
        </w:rPr>
        <w:t> </w:t>
      </w:r>
      <w:r>
        <w:rPr>
          <w:sz w:val="20"/>
        </w:rPr>
        <w:t>a</w:t>
      </w:r>
      <w:r>
        <w:rPr>
          <w:spacing w:val="-6"/>
          <w:sz w:val="20"/>
        </w:rPr>
        <w:t> </w:t>
      </w:r>
      <w:r>
        <w:rPr>
          <w:sz w:val="20"/>
        </w:rPr>
        <w:t>higher load in the</w:t>
      </w:r>
      <w:r>
        <w:rPr>
          <w:spacing w:val="-8"/>
          <w:sz w:val="20"/>
        </w:rPr>
        <w:t> </w:t>
      </w:r>
      <w:r>
        <w:rPr>
          <w:sz w:val="20"/>
        </w:rPr>
        <w:t>system.</w:t>
      </w:r>
    </w:p>
    <w:p>
      <w:pPr>
        <w:pStyle w:val="ListParagraph"/>
        <w:numPr>
          <w:ilvl w:val="1"/>
          <w:numId w:val="38"/>
        </w:numPr>
        <w:tabs>
          <w:tab w:pos="2041" w:val="left" w:leader="none"/>
        </w:tabs>
        <w:spacing w:line="240" w:lineRule="auto" w:before="179" w:after="0"/>
        <w:ind w:left="1985" w:right="1136" w:hanging="286"/>
        <w:jc w:val="both"/>
        <w:rPr>
          <w:sz w:val="20"/>
        </w:rPr>
      </w:pPr>
      <w:r>
        <w:rPr>
          <w:sz w:val="20"/>
        </w:rPr>
        <w:t>DensityCoefficient, B, is set to 25/6 ~= 4. Reason: each device transmits two BSMs and emulates 12</w:t>
      </w:r>
      <w:r>
        <w:rPr>
          <w:spacing w:val="-15"/>
          <w:sz w:val="20"/>
        </w:rPr>
        <w:t> </w:t>
      </w:r>
      <w:r>
        <w:rPr>
          <w:sz w:val="20"/>
        </w:rPr>
        <w:t>devices.</w:t>
      </w:r>
      <w:r>
        <w:rPr>
          <w:spacing w:val="-14"/>
          <w:sz w:val="20"/>
        </w:rPr>
        <w:t> </w:t>
      </w:r>
      <w:r>
        <w:rPr>
          <w:sz w:val="20"/>
        </w:rPr>
        <w:t>Thus,</w:t>
      </w:r>
      <w:r>
        <w:rPr>
          <w:spacing w:val="-14"/>
          <w:sz w:val="20"/>
        </w:rPr>
        <w:t> </w:t>
      </w:r>
      <w:r>
        <w:rPr>
          <w:sz w:val="20"/>
        </w:rPr>
        <w:t>every</w:t>
      </w:r>
      <w:r>
        <w:rPr>
          <w:spacing w:val="-17"/>
          <w:sz w:val="20"/>
        </w:rPr>
        <w:t> </w:t>
      </w:r>
      <w:r>
        <w:rPr>
          <w:sz w:val="20"/>
        </w:rPr>
        <w:t>received</w:t>
      </w:r>
      <w:r>
        <w:rPr>
          <w:spacing w:val="-12"/>
          <w:sz w:val="20"/>
        </w:rPr>
        <w:t> </w:t>
      </w:r>
      <w:r>
        <w:rPr>
          <w:sz w:val="20"/>
        </w:rPr>
        <w:t>BSM</w:t>
      </w:r>
      <w:r>
        <w:rPr>
          <w:spacing w:val="-14"/>
          <w:sz w:val="20"/>
        </w:rPr>
        <w:t> </w:t>
      </w:r>
      <w:r>
        <w:rPr>
          <w:sz w:val="20"/>
        </w:rPr>
        <w:t>emulates</w:t>
      </w:r>
      <w:r>
        <w:rPr>
          <w:spacing w:val="-13"/>
          <w:sz w:val="20"/>
        </w:rPr>
        <w:t> </w:t>
      </w:r>
      <w:r>
        <w:rPr>
          <w:sz w:val="20"/>
        </w:rPr>
        <w:t>six</w:t>
      </w:r>
      <w:r>
        <w:rPr>
          <w:spacing w:val="-13"/>
          <w:sz w:val="20"/>
        </w:rPr>
        <w:t> </w:t>
      </w:r>
      <w:r>
        <w:rPr>
          <w:sz w:val="20"/>
        </w:rPr>
        <w:t>BSMs</w:t>
      </w:r>
      <w:r>
        <w:rPr>
          <w:spacing w:val="-13"/>
          <w:sz w:val="20"/>
        </w:rPr>
        <w:t> </w:t>
      </w:r>
      <w:r>
        <w:rPr>
          <w:sz w:val="20"/>
        </w:rPr>
        <w:t>in</w:t>
      </w:r>
      <w:r>
        <w:rPr>
          <w:spacing w:val="-14"/>
          <w:sz w:val="20"/>
        </w:rPr>
        <w:t> </w:t>
      </w:r>
      <w:r>
        <w:rPr>
          <w:sz w:val="20"/>
        </w:rPr>
        <w:t>the</w:t>
      </w:r>
      <w:r>
        <w:rPr>
          <w:spacing w:val="-12"/>
          <w:sz w:val="20"/>
        </w:rPr>
        <w:t> </w:t>
      </w:r>
      <w:r>
        <w:rPr>
          <w:sz w:val="20"/>
        </w:rPr>
        <w:t>original</w:t>
      </w:r>
      <w:r>
        <w:rPr>
          <w:spacing w:val="-15"/>
          <w:sz w:val="20"/>
        </w:rPr>
        <w:t> </w:t>
      </w:r>
      <w:r>
        <w:rPr>
          <w:sz w:val="20"/>
        </w:rPr>
        <w:t>scenario</w:t>
      </w:r>
      <w:r>
        <w:rPr>
          <w:spacing w:val="-14"/>
          <w:sz w:val="20"/>
        </w:rPr>
        <w:t> </w:t>
      </w:r>
      <w:r>
        <w:rPr>
          <w:sz w:val="20"/>
        </w:rPr>
        <w:t>and</w:t>
      </w:r>
      <w:r>
        <w:rPr>
          <w:spacing w:val="-15"/>
          <w:sz w:val="20"/>
        </w:rPr>
        <w:t> </w:t>
      </w:r>
      <w:r>
        <w:rPr>
          <w:sz w:val="20"/>
        </w:rPr>
        <w:t>the</w:t>
      </w:r>
      <w:r>
        <w:rPr>
          <w:spacing w:val="-14"/>
          <w:sz w:val="20"/>
        </w:rPr>
        <w:t> </w:t>
      </w:r>
      <w:r>
        <w:rPr>
          <w:sz w:val="20"/>
        </w:rPr>
        <w:t>congestion control density coefficient, which has a default value of 25 per specification, should be adjusted accordingly.</w:t>
      </w:r>
    </w:p>
    <w:p>
      <w:pPr>
        <w:pStyle w:val="ListParagraph"/>
        <w:numPr>
          <w:ilvl w:val="0"/>
          <w:numId w:val="38"/>
        </w:numPr>
        <w:tabs>
          <w:tab w:pos="1701" w:val="left" w:leader="none"/>
          <w:tab w:pos="1702" w:val="left" w:leader="none"/>
        </w:tabs>
        <w:spacing w:line="240" w:lineRule="auto" w:before="179" w:after="0"/>
        <w:ind w:left="1701" w:right="0" w:hanging="285"/>
        <w:jc w:val="left"/>
        <w:rPr>
          <w:sz w:val="20"/>
        </w:rPr>
      </w:pPr>
      <w:r>
        <w:rPr>
          <w:sz w:val="20"/>
        </w:rPr>
        <w:t>Data Collection at DUT1 and</w:t>
      </w:r>
      <w:r>
        <w:rPr>
          <w:spacing w:val="-9"/>
          <w:sz w:val="20"/>
        </w:rPr>
        <w:t> </w:t>
      </w:r>
      <w:r>
        <w:rPr>
          <w:sz w:val="20"/>
        </w:rPr>
        <w:t>DUT2:</w:t>
      </w:r>
    </w:p>
    <w:p>
      <w:pPr>
        <w:pStyle w:val="ListParagraph"/>
        <w:numPr>
          <w:ilvl w:val="1"/>
          <w:numId w:val="38"/>
        </w:numPr>
        <w:tabs>
          <w:tab w:pos="1985" w:val="left" w:leader="none"/>
          <w:tab w:pos="1986" w:val="left" w:leader="none"/>
        </w:tabs>
        <w:spacing w:line="240" w:lineRule="auto" w:before="179" w:after="0"/>
        <w:ind w:left="1985" w:right="0" w:hanging="286"/>
        <w:jc w:val="left"/>
        <w:rPr>
          <w:sz w:val="20"/>
        </w:rPr>
      </w:pPr>
      <w:r>
        <w:rPr>
          <w:sz w:val="20"/>
        </w:rPr>
        <w:t>Timestamp for each transmitted</w:t>
      </w:r>
      <w:r>
        <w:rPr>
          <w:spacing w:val="-13"/>
          <w:sz w:val="20"/>
        </w:rPr>
        <w:t> </w:t>
      </w:r>
      <w:r>
        <w:rPr>
          <w:sz w:val="20"/>
        </w:rPr>
        <w:t>packet</w:t>
      </w:r>
    </w:p>
    <w:p>
      <w:pPr>
        <w:pStyle w:val="ListParagraph"/>
        <w:numPr>
          <w:ilvl w:val="1"/>
          <w:numId w:val="38"/>
        </w:numPr>
        <w:tabs>
          <w:tab w:pos="1985" w:val="left" w:leader="none"/>
          <w:tab w:pos="1986" w:val="left" w:leader="none"/>
        </w:tabs>
        <w:spacing w:line="240" w:lineRule="auto" w:before="179" w:after="0"/>
        <w:ind w:left="1985" w:right="0" w:hanging="286"/>
        <w:jc w:val="left"/>
        <w:rPr>
          <w:sz w:val="20"/>
        </w:rPr>
      </w:pPr>
      <w:r>
        <w:rPr>
          <w:sz w:val="20"/>
        </w:rPr>
        <w:t>Timestamp for each received</w:t>
      </w:r>
      <w:r>
        <w:rPr>
          <w:spacing w:val="-8"/>
          <w:sz w:val="20"/>
        </w:rPr>
        <w:t> </w:t>
      </w:r>
      <w:r>
        <w:rPr>
          <w:sz w:val="20"/>
        </w:rPr>
        <w:t>packet</w:t>
      </w:r>
    </w:p>
    <w:p>
      <w:pPr>
        <w:pStyle w:val="ListParagraph"/>
        <w:numPr>
          <w:ilvl w:val="1"/>
          <w:numId w:val="38"/>
        </w:numPr>
        <w:tabs>
          <w:tab w:pos="1985" w:val="left" w:leader="none"/>
          <w:tab w:pos="1986" w:val="left" w:leader="none"/>
        </w:tabs>
        <w:spacing w:line="240" w:lineRule="auto" w:before="177" w:after="0"/>
        <w:ind w:left="1985" w:right="0" w:hanging="286"/>
        <w:jc w:val="left"/>
        <w:rPr>
          <w:sz w:val="20"/>
        </w:rPr>
      </w:pPr>
      <w:r>
        <w:rPr>
          <w:sz w:val="20"/>
        </w:rPr>
        <w:t>Receive signal power for each received</w:t>
      </w:r>
      <w:r>
        <w:rPr>
          <w:spacing w:val="-19"/>
          <w:sz w:val="20"/>
        </w:rPr>
        <w:t> </w:t>
      </w:r>
      <w:r>
        <w:rPr>
          <w:sz w:val="20"/>
        </w:rPr>
        <w:t>packet</w:t>
      </w:r>
    </w:p>
    <w:p>
      <w:pPr>
        <w:pStyle w:val="ListParagraph"/>
        <w:numPr>
          <w:ilvl w:val="1"/>
          <w:numId w:val="38"/>
        </w:numPr>
        <w:tabs>
          <w:tab w:pos="1985" w:val="left" w:leader="none"/>
          <w:tab w:pos="1986" w:val="left" w:leader="none"/>
        </w:tabs>
        <w:spacing w:line="240" w:lineRule="auto" w:before="180" w:after="0"/>
        <w:ind w:left="1985" w:right="0" w:hanging="286"/>
        <w:jc w:val="left"/>
        <w:rPr>
          <w:sz w:val="20"/>
        </w:rPr>
      </w:pPr>
      <w:r>
        <w:rPr>
          <w:sz w:val="20"/>
        </w:rPr>
        <w:t>All KPIs as listed further in this</w:t>
      </w:r>
      <w:r>
        <w:rPr>
          <w:spacing w:val="-16"/>
          <w:sz w:val="20"/>
        </w:rPr>
        <w:t> </w:t>
      </w:r>
      <w:r>
        <w:rPr>
          <w:sz w:val="20"/>
        </w:rPr>
        <w:t>section</w:t>
      </w:r>
    </w:p>
    <w:p>
      <w:pPr>
        <w:pStyle w:val="ListParagraph"/>
        <w:numPr>
          <w:ilvl w:val="0"/>
          <w:numId w:val="38"/>
        </w:numPr>
        <w:tabs>
          <w:tab w:pos="1701" w:val="left" w:leader="none"/>
          <w:tab w:pos="1702" w:val="left" w:leader="none"/>
        </w:tabs>
        <w:spacing w:line="240" w:lineRule="auto" w:before="180" w:after="0"/>
        <w:ind w:left="1701" w:right="0" w:hanging="285"/>
        <w:jc w:val="left"/>
        <w:rPr>
          <w:sz w:val="20"/>
        </w:rPr>
      </w:pPr>
      <w:r>
        <w:rPr>
          <w:sz w:val="20"/>
        </w:rPr>
        <w:t>Data Collection at each reference</w:t>
      </w:r>
      <w:r>
        <w:rPr>
          <w:spacing w:val="-9"/>
          <w:sz w:val="20"/>
        </w:rPr>
        <w:t> </w:t>
      </w:r>
      <w:r>
        <w:rPr>
          <w:sz w:val="20"/>
        </w:rPr>
        <w:t>device:</w:t>
      </w:r>
    </w:p>
    <w:p>
      <w:pPr>
        <w:pStyle w:val="ListParagraph"/>
        <w:numPr>
          <w:ilvl w:val="1"/>
          <w:numId w:val="38"/>
        </w:numPr>
        <w:tabs>
          <w:tab w:pos="1985" w:val="left" w:leader="none"/>
          <w:tab w:pos="1986" w:val="left" w:leader="none"/>
        </w:tabs>
        <w:spacing w:line="240" w:lineRule="auto" w:before="180" w:after="0"/>
        <w:ind w:left="1985" w:right="0" w:hanging="286"/>
        <w:jc w:val="left"/>
        <w:rPr>
          <w:sz w:val="20"/>
        </w:rPr>
      </w:pPr>
      <w:r>
        <w:rPr>
          <w:sz w:val="20"/>
        </w:rPr>
        <w:t>Timestamp for each transmitted</w:t>
      </w:r>
      <w:r>
        <w:rPr>
          <w:spacing w:val="-13"/>
          <w:sz w:val="20"/>
        </w:rPr>
        <w:t> </w:t>
      </w:r>
      <w:r>
        <w:rPr>
          <w:sz w:val="20"/>
        </w:rPr>
        <w:t>packet</w:t>
      </w:r>
    </w:p>
    <w:p>
      <w:pPr>
        <w:pStyle w:val="ListParagraph"/>
        <w:numPr>
          <w:ilvl w:val="1"/>
          <w:numId w:val="38"/>
        </w:numPr>
        <w:tabs>
          <w:tab w:pos="1985" w:val="left" w:leader="none"/>
          <w:tab w:pos="1986" w:val="left" w:leader="none"/>
        </w:tabs>
        <w:spacing w:line="240" w:lineRule="auto" w:before="180" w:after="0"/>
        <w:ind w:left="1985" w:right="0" w:hanging="286"/>
        <w:jc w:val="left"/>
        <w:rPr>
          <w:sz w:val="20"/>
        </w:rPr>
      </w:pPr>
      <w:r>
        <w:rPr>
          <w:sz w:val="20"/>
        </w:rPr>
        <w:t>All KPIs as listed further in this</w:t>
      </w:r>
      <w:r>
        <w:rPr>
          <w:spacing w:val="-16"/>
          <w:sz w:val="20"/>
        </w:rPr>
        <w:t> </w:t>
      </w:r>
      <w:r>
        <w:rPr>
          <w:sz w:val="20"/>
        </w:rPr>
        <w:t>section</w:t>
      </w:r>
    </w:p>
    <w:p>
      <w:pPr>
        <w:pStyle w:val="BodyText"/>
        <w:spacing w:before="1"/>
        <w:rPr>
          <w:sz w:val="26"/>
        </w:rPr>
      </w:pPr>
    </w:p>
    <w:p>
      <w:pPr>
        <w:pStyle w:val="Heading6"/>
        <w:numPr>
          <w:ilvl w:val="4"/>
          <w:numId w:val="36"/>
        </w:numPr>
        <w:tabs>
          <w:tab w:pos="2834" w:val="left" w:leader="none"/>
          <w:tab w:pos="2835" w:val="left" w:leader="none"/>
        </w:tabs>
        <w:spacing w:line="240" w:lineRule="auto" w:before="0" w:after="0"/>
        <w:ind w:left="2834" w:right="0" w:hanging="1701"/>
        <w:jc w:val="left"/>
      </w:pPr>
      <w:r>
        <w:rPr/>
        <w:t>Test</w:t>
      </w:r>
      <w:r>
        <w:rPr>
          <w:spacing w:val="-2"/>
        </w:rPr>
        <w:t> </w:t>
      </w:r>
      <w:r>
        <w:rPr/>
        <w:t>Execution</w:t>
      </w:r>
    </w:p>
    <w:p>
      <w:pPr>
        <w:pStyle w:val="BodyText"/>
        <w:spacing w:before="178"/>
        <w:ind w:left="1133" w:right="1136"/>
      </w:pPr>
      <w:r>
        <w:rPr/>
        <w:t>Overview: With the reference devices creating a congested environment, the PER between the DUTs (DUT1 and DUT2) is observed as the “distance” between them is gradually increased by adjusting the attenuation.</w:t>
      </w:r>
    </w:p>
    <w:p>
      <w:pPr>
        <w:pStyle w:val="BodyText"/>
        <w:spacing w:before="180"/>
        <w:ind w:left="1133" w:right="1136"/>
      </w:pPr>
      <w:r>
        <w:rPr/>
        <w:t>Set up the test bed as explained above, where the total number of reference devices is 48 which effectively simulates 576 devices.</w:t>
      </w:r>
    </w:p>
    <w:p>
      <w:pPr>
        <w:pStyle w:val="ListParagraph"/>
        <w:numPr>
          <w:ilvl w:val="0"/>
          <w:numId w:val="40"/>
        </w:numPr>
        <w:tabs>
          <w:tab w:pos="1702" w:val="left" w:leader="none"/>
        </w:tabs>
        <w:spacing w:line="240" w:lineRule="auto" w:before="180" w:after="0"/>
        <w:ind w:left="1702" w:right="0" w:hanging="286"/>
        <w:jc w:val="left"/>
        <w:rPr>
          <w:sz w:val="20"/>
        </w:rPr>
      </w:pPr>
      <w:r>
        <w:rPr>
          <w:sz w:val="20"/>
        </w:rPr>
        <w:t>Add a default attenuation of 95 dB, between DUT1 and DUT2 as a reference starting point for this</w:t>
      </w:r>
      <w:r>
        <w:rPr>
          <w:spacing w:val="-31"/>
          <w:sz w:val="20"/>
        </w:rPr>
        <w:t> </w:t>
      </w:r>
      <w:r>
        <w:rPr>
          <w:sz w:val="20"/>
        </w:rPr>
        <w:t>test</w:t>
      </w:r>
    </w:p>
    <w:p>
      <w:pPr>
        <w:pStyle w:val="ListParagraph"/>
        <w:numPr>
          <w:ilvl w:val="0"/>
          <w:numId w:val="40"/>
        </w:numPr>
        <w:tabs>
          <w:tab w:pos="1702" w:val="left" w:leader="none"/>
        </w:tabs>
        <w:spacing w:line="240" w:lineRule="auto" w:before="180" w:after="0"/>
        <w:ind w:left="1702" w:right="1141" w:hanging="286"/>
        <w:jc w:val="left"/>
        <w:rPr>
          <w:sz w:val="20"/>
        </w:rPr>
      </w:pPr>
      <w:r>
        <w:rPr>
          <w:sz w:val="20"/>
        </w:rPr>
        <w:t>The default attenuation of 95 dB was chosen to emulate ~75 m according to simulations as mentioned in section</w:t>
      </w:r>
      <w:r>
        <w:rPr>
          <w:spacing w:val="-5"/>
          <w:sz w:val="20"/>
        </w:rPr>
        <w:t> </w:t>
      </w:r>
      <w:r>
        <w:rPr>
          <w:sz w:val="20"/>
        </w:rPr>
        <w:t>7.4.1.1.3.</w:t>
      </w:r>
    </w:p>
    <w:p>
      <w:pPr>
        <w:pStyle w:val="ListParagraph"/>
        <w:numPr>
          <w:ilvl w:val="0"/>
          <w:numId w:val="40"/>
        </w:numPr>
        <w:tabs>
          <w:tab w:pos="1703" w:val="left" w:leader="none"/>
        </w:tabs>
        <w:spacing w:line="240" w:lineRule="auto" w:before="181" w:after="0"/>
        <w:ind w:left="1702" w:right="1130" w:hanging="286"/>
        <w:jc w:val="left"/>
        <w:rPr>
          <w:sz w:val="20"/>
        </w:rPr>
      </w:pPr>
      <w:r>
        <w:rPr>
          <w:sz w:val="20"/>
        </w:rPr>
        <w:t>Set</w:t>
      </w:r>
      <w:r>
        <w:rPr>
          <w:spacing w:val="-12"/>
          <w:sz w:val="20"/>
        </w:rPr>
        <w:t> </w:t>
      </w:r>
      <w:r>
        <w:rPr>
          <w:sz w:val="20"/>
        </w:rPr>
        <w:t>“Variable</w:t>
      </w:r>
      <w:r>
        <w:rPr>
          <w:spacing w:val="-12"/>
          <w:sz w:val="20"/>
        </w:rPr>
        <w:t> </w:t>
      </w:r>
      <w:r>
        <w:rPr>
          <w:sz w:val="20"/>
        </w:rPr>
        <w:t>Attenuator”</w:t>
      </w:r>
      <w:r>
        <w:rPr>
          <w:spacing w:val="-10"/>
          <w:sz w:val="20"/>
        </w:rPr>
        <w:t> </w:t>
      </w:r>
      <w:r>
        <w:rPr>
          <w:sz w:val="20"/>
        </w:rPr>
        <w:t>at</w:t>
      </w:r>
      <w:r>
        <w:rPr>
          <w:spacing w:val="-10"/>
          <w:sz w:val="20"/>
        </w:rPr>
        <w:t> </w:t>
      </w:r>
      <w:r>
        <w:rPr>
          <w:sz w:val="20"/>
        </w:rPr>
        <w:t>the</w:t>
      </w:r>
      <w:r>
        <w:rPr>
          <w:spacing w:val="-12"/>
          <w:sz w:val="20"/>
        </w:rPr>
        <w:t> </w:t>
      </w:r>
      <w:r>
        <w:rPr>
          <w:sz w:val="20"/>
        </w:rPr>
        <w:t>far-right</w:t>
      </w:r>
      <w:r>
        <w:rPr>
          <w:spacing w:val="-12"/>
          <w:sz w:val="20"/>
        </w:rPr>
        <w:t> </w:t>
      </w:r>
      <w:r>
        <w:rPr>
          <w:sz w:val="20"/>
        </w:rPr>
        <w:t>side</w:t>
      </w:r>
      <w:r>
        <w:rPr>
          <w:spacing w:val="-12"/>
          <w:sz w:val="20"/>
        </w:rPr>
        <w:t> </w:t>
      </w:r>
      <w:r>
        <w:rPr>
          <w:sz w:val="20"/>
        </w:rPr>
        <w:t>of</w:t>
      </w:r>
      <w:r>
        <w:rPr>
          <w:spacing w:val="-10"/>
          <w:sz w:val="20"/>
        </w:rPr>
        <w:t> </w:t>
      </w:r>
      <w:r>
        <w:rPr>
          <w:sz w:val="20"/>
        </w:rPr>
        <w:t>the</w:t>
      </w:r>
      <w:r>
        <w:rPr>
          <w:spacing w:val="-12"/>
          <w:sz w:val="20"/>
        </w:rPr>
        <w:t> </w:t>
      </w:r>
      <w:r>
        <w:rPr>
          <w:sz w:val="20"/>
        </w:rPr>
        <w:t>diagram</w:t>
      </w:r>
      <w:r>
        <w:rPr>
          <w:spacing w:val="-7"/>
          <w:sz w:val="20"/>
        </w:rPr>
        <w:t> </w:t>
      </w:r>
      <w:r>
        <w:rPr>
          <w:sz w:val="20"/>
        </w:rPr>
        <w:t>to</w:t>
      </w:r>
      <w:r>
        <w:rPr>
          <w:spacing w:val="-12"/>
          <w:sz w:val="20"/>
        </w:rPr>
        <w:t> </w:t>
      </w:r>
      <w:r>
        <w:rPr>
          <w:sz w:val="20"/>
        </w:rPr>
        <w:t>0</w:t>
      </w:r>
      <w:r>
        <w:rPr>
          <w:spacing w:val="-12"/>
          <w:sz w:val="20"/>
        </w:rPr>
        <w:t> </w:t>
      </w:r>
      <w:r>
        <w:rPr>
          <w:sz w:val="20"/>
        </w:rPr>
        <w:t>dB</w:t>
      </w:r>
      <w:r>
        <w:rPr>
          <w:spacing w:val="-13"/>
          <w:sz w:val="20"/>
        </w:rPr>
        <w:t> </w:t>
      </w:r>
      <w:r>
        <w:rPr>
          <w:sz w:val="20"/>
        </w:rPr>
        <w:t>to</w:t>
      </w:r>
      <w:r>
        <w:rPr>
          <w:spacing w:val="-9"/>
          <w:sz w:val="20"/>
        </w:rPr>
        <w:t> </w:t>
      </w:r>
      <w:r>
        <w:rPr>
          <w:sz w:val="20"/>
        </w:rPr>
        <w:t>simulate</w:t>
      </w:r>
      <w:r>
        <w:rPr>
          <w:spacing w:val="-12"/>
          <w:sz w:val="20"/>
        </w:rPr>
        <w:t> </w:t>
      </w:r>
      <w:r>
        <w:rPr>
          <w:sz w:val="20"/>
        </w:rPr>
        <w:t>a</w:t>
      </w:r>
      <w:r>
        <w:rPr>
          <w:spacing w:val="-12"/>
          <w:sz w:val="20"/>
        </w:rPr>
        <w:t> </w:t>
      </w:r>
      <w:r>
        <w:rPr>
          <w:sz w:val="20"/>
        </w:rPr>
        <w:t>short</w:t>
      </w:r>
      <w:r>
        <w:rPr>
          <w:spacing w:val="-11"/>
          <w:sz w:val="20"/>
        </w:rPr>
        <w:t> </w:t>
      </w:r>
      <w:r>
        <w:rPr>
          <w:sz w:val="20"/>
        </w:rPr>
        <w:t>distance</w:t>
      </w:r>
      <w:r>
        <w:rPr>
          <w:spacing w:val="-12"/>
          <w:sz w:val="20"/>
        </w:rPr>
        <w:t> </w:t>
      </w:r>
      <w:r>
        <w:rPr>
          <w:sz w:val="20"/>
        </w:rPr>
        <w:t>between the</w:t>
      </w:r>
      <w:r>
        <w:rPr>
          <w:spacing w:val="-1"/>
          <w:sz w:val="20"/>
        </w:rPr>
        <w:t> </w:t>
      </w:r>
      <w:r>
        <w:rPr>
          <w:sz w:val="20"/>
        </w:rPr>
        <w:t>DUTs.</w:t>
      </w:r>
    </w:p>
    <w:p>
      <w:pPr>
        <w:pStyle w:val="ListParagraph"/>
        <w:numPr>
          <w:ilvl w:val="0"/>
          <w:numId w:val="40"/>
        </w:numPr>
        <w:tabs>
          <w:tab w:pos="1702" w:val="left" w:leader="none"/>
        </w:tabs>
        <w:spacing w:line="240" w:lineRule="auto" w:before="178" w:after="0"/>
        <w:ind w:left="1702" w:right="0" w:hanging="286"/>
        <w:jc w:val="left"/>
        <w:rPr>
          <w:sz w:val="20"/>
        </w:rPr>
      </w:pPr>
      <w:r>
        <w:rPr>
          <w:sz w:val="20"/>
        </w:rPr>
        <w:t>Start transmission at all reference devices (regular BSM</w:t>
      </w:r>
      <w:r>
        <w:rPr>
          <w:spacing w:val="-20"/>
          <w:sz w:val="20"/>
        </w:rPr>
        <w:t> </w:t>
      </w:r>
      <w:r>
        <w:rPr>
          <w:sz w:val="20"/>
        </w:rPr>
        <w:t>broadcast).</w:t>
      </w:r>
    </w:p>
    <w:p>
      <w:pPr>
        <w:pStyle w:val="ListParagraph"/>
        <w:numPr>
          <w:ilvl w:val="0"/>
          <w:numId w:val="40"/>
        </w:numPr>
        <w:tabs>
          <w:tab w:pos="1702" w:val="left" w:leader="none"/>
        </w:tabs>
        <w:spacing w:line="240" w:lineRule="auto" w:before="180" w:after="0"/>
        <w:ind w:left="1702" w:right="0" w:hanging="286"/>
        <w:jc w:val="left"/>
        <w:rPr>
          <w:sz w:val="20"/>
        </w:rPr>
      </w:pPr>
      <w:r>
        <w:rPr>
          <w:sz w:val="20"/>
        </w:rPr>
        <w:t>Start transmission at DUT1 and DUT2 (regular BSM</w:t>
      </w:r>
      <w:r>
        <w:rPr>
          <w:spacing w:val="-17"/>
          <w:sz w:val="20"/>
        </w:rPr>
        <w:t> </w:t>
      </w:r>
      <w:r>
        <w:rPr>
          <w:sz w:val="20"/>
        </w:rPr>
        <w:t>broadcast).</w:t>
      </w:r>
    </w:p>
    <w:p>
      <w:pPr>
        <w:pStyle w:val="ListParagraph"/>
        <w:numPr>
          <w:ilvl w:val="0"/>
          <w:numId w:val="40"/>
        </w:numPr>
        <w:tabs>
          <w:tab w:pos="1702" w:val="left" w:leader="none"/>
        </w:tabs>
        <w:spacing w:line="240" w:lineRule="auto" w:before="180" w:after="0"/>
        <w:ind w:left="1702" w:right="1133" w:hanging="286"/>
        <w:jc w:val="left"/>
        <w:rPr>
          <w:sz w:val="20"/>
        </w:rPr>
      </w:pPr>
      <w:r>
        <w:rPr>
          <w:sz w:val="20"/>
        </w:rPr>
        <w:t>Record</w:t>
      </w:r>
      <w:r>
        <w:rPr>
          <w:spacing w:val="-5"/>
          <w:sz w:val="20"/>
        </w:rPr>
        <w:t> </w:t>
      </w:r>
      <w:r>
        <w:rPr>
          <w:sz w:val="20"/>
        </w:rPr>
        <w:t>to</w:t>
      </w:r>
      <w:r>
        <w:rPr>
          <w:spacing w:val="-4"/>
          <w:sz w:val="20"/>
        </w:rPr>
        <w:t> </w:t>
      </w:r>
      <w:r>
        <w:rPr>
          <w:sz w:val="20"/>
        </w:rPr>
        <w:t>a</w:t>
      </w:r>
      <w:r>
        <w:rPr>
          <w:spacing w:val="-3"/>
          <w:sz w:val="20"/>
        </w:rPr>
        <w:t> </w:t>
      </w:r>
      <w:r>
        <w:rPr>
          <w:sz w:val="20"/>
        </w:rPr>
        <w:t>log</w:t>
      </w:r>
      <w:r>
        <w:rPr>
          <w:spacing w:val="-4"/>
          <w:sz w:val="20"/>
        </w:rPr>
        <w:t> </w:t>
      </w:r>
      <w:r>
        <w:rPr>
          <w:sz w:val="20"/>
        </w:rPr>
        <w:t>file</w:t>
      </w:r>
      <w:r>
        <w:rPr>
          <w:spacing w:val="-3"/>
          <w:sz w:val="20"/>
        </w:rPr>
        <w:t> </w:t>
      </w:r>
      <w:r>
        <w:rPr>
          <w:sz w:val="20"/>
        </w:rPr>
        <w:t>the</w:t>
      </w:r>
      <w:r>
        <w:rPr>
          <w:spacing w:val="-6"/>
          <w:sz w:val="20"/>
        </w:rPr>
        <w:t> </w:t>
      </w:r>
      <w:r>
        <w:rPr>
          <w:sz w:val="20"/>
        </w:rPr>
        <w:t>statistics</w:t>
      </w:r>
      <w:r>
        <w:rPr>
          <w:spacing w:val="-4"/>
          <w:sz w:val="20"/>
        </w:rPr>
        <w:t> </w:t>
      </w:r>
      <w:r>
        <w:rPr>
          <w:sz w:val="20"/>
        </w:rPr>
        <w:t>and</w:t>
      </w:r>
      <w:r>
        <w:rPr>
          <w:spacing w:val="-3"/>
          <w:sz w:val="20"/>
        </w:rPr>
        <w:t> </w:t>
      </w:r>
      <w:r>
        <w:rPr>
          <w:sz w:val="20"/>
        </w:rPr>
        <w:t>KPIs</w:t>
      </w:r>
      <w:r>
        <w:rPr>
          <w:spacing w:val="-2"/>
          <w:sz w:val="20"/>
        </w:rPr>
        <w:t> </w:t>
      </w:r>
      <w:r>
        <w:rPr>
          <w:sz w:val="20"/>
        </w:rPr>
        <w:t>as</w:t>
      </w:r>
      <w:r>
        <w:rPr>
          <w:spacing w:val="-5"/>
          <w:sz w:val="20"/>
        </w:rPr>
        <w:t> </w:t>
      </w:r>
      <w:r>
        <w:rPr>
          <w:sz w:val="20"/>
        </w:rPr>
        <w:t>defined</w:t>
      </w:r>
      <w:r>
        <w:rPr>
          <w:spacing w:val="-3"/>
          <w:sz w:val="20"/>
        </w:rPr>
        <w:t> </w:t>
      </w:r>
      <w:r>
        <w:rPr>
          <w:sz w:val="20"/>
        </w:rPr>
        <w:t>in</w:t>
      </w:r>
      <w:r>
        <w:rPr>
          <w:spacing w:val="-3"/>
          <w:sz w:val="20"/>
        </w:rPr>
        <w:t> </w:t>
      </w:r>
      <w:r>
        <w:rPr>
          <w:sz w:val="20"/>
        </w:rPr>
        <w:t>this</w:t>
      </w:r>
      <w:r>
        <w:rPr>
          <w:spacing w:val="-4"/>
          <w:sz w:val="20"/>
        </w:rPr>
        <w:t> </w:t>
      </w:r>
      <w:r>
        <w:rPr>
          <w:sz w:val="20"/>
        </w:rPr>
        <w:t>section for</w:t>
      </w:r>
      <w:r>
        <w:rPr>
          <w:spacing w:val="-5"/>
          <w:sz w:val="20"/>
        </w:rPr>
        <w:t> </w:t>
      </w:r>
      <w:r>
        <w:rPr>
          <w:sz w:val="20"/>
        </w:rPr>
        <w:t>DUT1,</w:t>
      </w:r>
      <w:r>
        <w:rPr>
          <w:spacing w:val="-6"/>
          <w:sz w:val="20"/>
        </w:rPr>
        <w:t> </w:t>
      </w:r>
      <w:r>
        <w:rPr>
          <w:sz w:val="20"/>
        </w:rPr>
        <w:t>DUT2,</w:t>
      </w:r>
      <w:r>
        <w:rPr>
          <w:spacing w:val="-6"/>
          <w:sz w:val="20"/>
        </w:rPr>
        <w:t> </w:t>
      </w:r>
      <w:r>
        <w:rPr>
          <w:sz w:val="20"/>
        </w:rPr>
        <w:t>and</w:t>
      </w:r>
      <w:r>
        <w:rPr>
          <w:spacing w:val="-6"/>
          <w:sz w:val="20"/>
        </w:rPr>
        <w:t> </w:t>
      </w:r>
      <w:r>
        <w:rPr>
          <w:sz w:val="20"/>
        </w:rPr>
        <w:t>the</w:t>
      </w:r>
      <w:r>
        <w:rPr>
          <w:spacing w:val="-6"/>
          <w:sz w:val="20"/>
        </w:rPr>
        <w:t> </w:t>
      </w:r>
      <w:r>
        <w:rPr>
          <w:sz w:val="20"/>
        </w:rPr>
        <w:t>reference devices.</w:t>
      </w:r>
    </w:p>
    <w:p>
      <w:pPr>
        <w:pStyle w:val="BodyText"/>
        <w:tabs>
          <w:tab w:pos="2268" w:val="left" w:leader="none"/>
        </w:tabs>
        <w:spacing w:before="180"/>
        <w:ind w:left="2268" w:right="1131" w:hanging="852"/>
      </w:pPr>
      <w:r>
        <w:rPr/>
        <w:t>NOTE:</w:t>
        <w:tab/>
        <w:t>Logging/saving of all KPIs shall be done for at least one reference device.      </w:t>
      </w:r>
      <w:r>
        <w:rPr>
          <w:spacing w:val="9"/>
        </w:rPr>
        <w:t> </w:t>
      </w:r>
      <w:r>
        <w:rPr/>
        <w:t>Logging/saving</w:t>
      </w:r>
      <w:r>
        <w:rPr>
          <w:spacing w:val="20"/>
        </w:rPr>
        <w:t> </w:t>
      </w:r>
      <w:r>
        <w:rPr/>
        <w:t>is</w:t>
      </w:r>
      <w:r>
        <w:rPr>
          <w:w w:val="99"/>
        </w:rPr>
        <w:t> </w:t>
      </w:r>
      <w:r>
        <w:rPr/>
        <w:t>recommended for all reference devices as far as practical for additional</w:t>
      </w:r>
      <w:r>
        <w:rPr>
          <w:spacing w:val="-25"/>
        </w:rPr>
        <w:t> </w:t>
      </w:r>
      <w:r>
        <w:rPr/>
        <w:t>analysis.</w:t>
      </w:r>
    </w:p>
    <w:p>
      <w:pPr>
        <w:spacing w:after="0"/>
        <w:sectPr>
          <w:headerReference w:type="default" r:id="rId309"/>
          <w:pgSz w:w="11910" w:h="16850"/>
          <w:pgMar w:header="852" w:footer="979" w:top="1040" w:bottom="1160" w:left="0" w:right="0"/>
        </w:sectPr>
      </w:pPr>
    </w:p>
    <w:p>
      <w:pPr>
        <w:pStyle w:val="BodyText"/>
      </w:pPr>
    </w:p>
    <w:p>
      <w:pPr>
        <w:pStyle w:val="BodyText"/>
      </w:pPr>
    </w:p>
    <w:p>
      <w:pPr>
        <w:pStyle w:val="BodyText"/>
        <w:spacing w:before="11"/>
        <w:rPr>
          <w:sz w:val="18"/>
        </w:rPr>
      </w:pPr>
    </w:p>
    <w:p>
      <w:pPr>
        <w:pStyle w:val="ListParagraph"/>
        <w:numPr>
          <w:ilvl w:val="0"/>
          <w:numId w:val="40"/>
        </w:numPr>
        <w:tabs>
          <w:tab w:pos="1702" w:val="left" w:leader="none"/>
        </w:tabs>
        <w:spacing w:line="240" w:lineRule="auto" w:before="92" w:after="0"/>
        <w:ind w:left="1702" w:right="0" w:hanging="286"/>
        <w:jc w:val="left"/>
        <w:rPr>
          <w:sz w:val="20"/>
        </w:rPr>
      </w:pPr>
      <w:r>
        <w:rPr>
          <w:sz w:val="20"/>
        </w:rPr>
        <w:t>Calculate the PER between the two DUTs at both DUT1 and</w:t>
      </w:r>
      <w:r>
        <w:rPr>
          <w:spacing w:val="-17"/>
          <w:sz w:val="20"/>
        </w:rPr>
        <w:t> </w:t>
      </w:r>
      <w:r>
        <w:rPr>
          <w:sz w:val="20"/>
        </w:rPr>
        <w:t>DUT2.</w:t>
      </w:r>
    </w:p>
    <w:p>
      <w:pPr>
        <w:pStyle w:val="ListParagraph"/>
        <w:numPr>
          <w:ilvl w:val="0"/>
          <w:numId w:val="40"/>
        </w:numPr>
        <w:tabs>
          <w:tab w:pos="1703" w:val="left" w:leader="none"/>
        </w:tabs>
        <w:spacing w:line="240" w:lineRule="auto" w:before="179" w:after="0"/>
        <w:ind w:left="1702" w:right="1140" w:hanging="286"/>
        <w:jc w:val="left"/>
        <w:rPr>
          <w:sz w:val="20"/>
        </w:rPr>
      </w:pPr>
      <w:r>
        <w:rPr>
          <w:sz w:val="20"/>
        </w:rPr>
        <w:t>Increase</w:t>
      </w:r>
      <w:r>
        <w:rPr>
          <w:spacing w:val="-10"/>
          <w:sz w:val="20"/>
        </w:rPr>
        <w:t> </w:t>
      </w:r>
      <w:r>
        <w:rPr>
          <w:sz w:val="20"/>
        </w:rPr>
        <w:t>the</w:t>
      </w:r>
      <w:r>
        <w:rPr>
          <w:spacing w:val="-8"/>
          <w:sz w:val="20"/>
        </w:rPr>
        <w:t> </w:t>
      </w:r>
      <w:r>
        <w:rPr>
          <w:sz w:val="20"/>
        </w:rPr>
        <w:t>attenuation</w:t>
      </w:r>
      <w:r>
        <w:rPr>
          <w:spacing w:val="-10"/>
          <w:sz w:val="20"/>
        </w:rPr>
        <w:t> </w:t>
      </w:r>
      <w:r>
        <w:rPr>
          <w:sz w:val="20"/>
        </w:rPr>
        <w:t>at</w:t>
      </w:r>
      <w:r>
        <w:rPr>
          <w:spacing w:val="-8"/>
          <w:sz w:val="20"/>
        </w:rPr>
        <w:t> </w:t>
      </w:r>
      <w:r>
        <w:rPr>
          <w:sz w:val="20"/>
        </w:rPr>
        <w:t>“Variable</w:t>
      </w:r>
      <w:r>
        <w:rPr>
          <w:spacing w:val="-8"/>
          <w:sz w:val="20"/>
        </w:rPr>
        <w:t> </w:t>
      </w:r>
      <w:r>
        <w:rPr>
          <w:sz w:val="20"/>
        </w:rPr>
        <w:t>Attenuator”</w:t>
      </w:r>
      <w:r>
        <w:rPr>
          <w:spacing w:val="-9"/>
          <w:sz w:val="20"/>
        </w:rPr>
        <w:t> </w:t>
      </w:r>
      <w:r>
        <w:rPr>
          <w:sz w:val="20"/>
        </w:rPr>
        <w:t>by</w:t>
      </w:r>
      <w:r>
        <w:rPr>
          <w:spacing w:val="-14"/>
          <w:sz w:val="20"/>
        </w:rPr>
        <w:t> </w:t>
      </w:r>
      <w:r>
        <w:rPr>
          <w:sz w:val="20"/>
        </w:rPr>
        <w:t>5</w:t>
      </w:r>
      <w:r>
        <w:rPr>
          <w:spacing w:val="-8"/>
          <w:sz w:val="20"/>
        </w:rPr>
        <w:t> </w:t>
      </w:r>
      <w:r>
        <w:rPr>
          <w:sz w:val="20"/>
        </w:rPr>
        <w:t>dB</w:t>
      </w:r>
      <w:r>
        <w:rPr>
          <w:spacing w:val="-11"/>
          <w:sz w:val="20"/>
        </w:rPr>
        <w:t> </w:t>
      </w:r>
      <w:r>
        <w:rPr>
          <w:sz w:val="20"/>
        </w:rPr>
        <w:t>to</w:t>
      </w:r>
      <w:r>
        <w:rPr>
          <w:spacing w:val="-8"/>
          <w:sz w:val="20"/>
        </w:rPr>
        <w:t> </w:t>
      </w:r>
      <w:r>
        <w:rPr>
          <w:sz w:val="20"/>
        </w:rPr>
        <w:t>simulate</w:t>
      </w:r>
      <w:r>
        <w:rPr>
          <w:spacing w:val="-9"/>
          <w:sz w:val="20"/>
        </w:rPr>
        <w:t> </w:t>
      </w:r>
      <w:r>
        <w:rPr>
          <w:sz w:val="20"/>
        </w:rPr>
        <w:t>an</w:t>
      </w:r>
      <w:r>
        <w:rPr>
          <w:spacing w:val="-9"/>
          <w:sz w:val="20"/>
        </w:rPr>
        <w:t> </w:t>
      </w:r>
      <w:r>
        <w:rPr>
          <w:sz w:val="20"/>
        </w:rPr>
        <w:t>increased</w:t>
      </w:r>
      <w:r>
        <w:rPr>
          <w:spacing w:val="-8"/>
          <w:sz w:val="20"/>
        </w:rPr>
        <w:t> </w:t>
      </w:r>
      <w:r>
        <w:rPr>
          <w:sz w:val="20"/>
        </w:rPr>
        <w:t>distance</w:t>
      </w:r>
      <w:r>
        <w:rPr>
          <w:spacing w:val="-8"/>
          <w:sz w:val="20"/>
        </w:rPr>
        <w:t> </w:t>
      </w:r>
      <w:r>
        <w:rPr>
          <w:sz w:val="20"/>
        </w:rPr>
        <w:t>between</w:t>
      </w:r>
      <w:r>
        <w:rPr>
          <w:spacing w:val="-11"/>
          <w:sz w:val="20"/>
        </w:rPr>
        <w:t> </w:t>
      </w:r>
      <w:r>
        <w:rPr>
          <w:sz w:val="20"/>
        </w:rPr>
        <w:t>the DUTs.</w:t>
      </w:r>
    </w:p>
    <w:p>
      <w:pPr>
        <w:pStyle w:val="ListParagraph"/>
        <w:numPr>
          <w:ilvl w:val="0"/>
          <w:numId w:val="40"/>
        </w:numPr>
        <w:tabs>
          <w:tab w:pos="1702" w:val="left" w:leader="none"/>
        </w:tabs>
        <w:spacing w:line="240" w:lineRule="auto" w:before="179" w:after="0"/>
        <w:ind w:left="1702" w:right="0" w:hanging="286"/>
        <w:jc w:val="left"/>
        <w:rPr>
          <w:sz w:val="20"/>
        </w:rPr>
      </w:pPr>
      <w:r>
        <w:rPr>
          <w:sz w:val="20"/>
        </w:rPr>
        <w:t>Repeat steps 5 through 7 until the overall attenuation reaches 115 dB (near sensitivity</w:t>
      </w:r>
      <w:r>
        <w:rPr>
          <w:spacing w:val="-31"/>
          <w:sz w:val="20"/>
        </w:rPr>
        <w:t> </w:t>
      </w:r>
      <w:r>
        <w:rPr>
          <w:sz w:val="20"/>
        </w:rPr>
        <w:t>level).</w:t>
      </w:r>
    </w:p>
    <w:p>
      <w:pPr>
        <w:pStyle w:val="ListParagraph"/>
        <w:numPr>
          <w:ilvl w:val="0"/>
          <w:numId w:val="40"/>
        </w:numPr>
        <w:tabs>
          <w:tab w:pos="1703" w:val="left" w:leader="none"/>
        </w:tabs>
        <w:spacing w:line="240" w:lineRule="auto" w:before="179" w:after="0"/>
        <w:ind w:left="1702" w:right="1133" w:hanging="286"/>
        <w:jc w:val="left"/>
        <w:rPr>
          <w:sz w:val="20"/>
        </w:rPr>
      </w:pPr>
      <w:r>
        <w:rPr>
          <w:sz w:val="20"/>
        </w:rPr>
        <w:t>Set</w:t>
      </w:r>
      <w:r>
        <w:rPr>
          <w:spacing w:val="-12"/>
          <w:sz w:val="20"/>
        </w:rPr>
        <w:t> </w:t>
      </w:r>
      <w:r>
        <w:rPr>
          <w:sz w:val="20"/>
        </w:rPr>
        <w:t>“Variable</w:t>
      </w:r>
      <w:r>
        <w:rPr>
          <w:spacing w:val="-12"/>
          <w:sz w:val="20"/>
        </w:rPr>
        <w:t> </w:t>
      </w:r>
      <w:r>
        <w:rPr>
          <w:sz w:val="20"/>
        </w:rPr>
        <w:t>Attenuator”</w:t>
      </w:r>
      <w:r>
        <w:rPr>
          <w:spacing w:val="-10"/>
          <w:sz w:val="20"/>
        </w:rPr>
        <w:t> </w:t>
      </w:r>
      <w:r>
        <w:rPr>
          <w:sz w:val="20"/>
        </w:rPr>
        <w:t>at</w:t>
      </w:r>
      <w:r>
        <w:rPr>
          <w:spacing w:val="-10"/>
          <w:sz w:val="20"/>
        </w:rPr>
        <w:t> </w:t>
      </w:r>
      <w:r>
        <w:rPr>
          <w:sz w:val="20"/>
        </w:rPr>
        <w:t>the</w:t>
      </w:r>
      <w:r>
        <w:rPr>
          <w:spacing w:val="-12"/>
          <w:sz w:val="20"/>
        </w:rPr>
        <w:t> </w:t>
      </w:r>
      <w:r>
        <w:rPr>
          <w:sz w:val="20"/>
        </w:rPr>
        <w:t>far-right</w:t>
      </w:r>
      <w:r>
        <w:rPr>
          <w:spacing w:val="-12"/>
          <w:sz w:val="20"/>
        </w:rPr>
        <w:t> </w:t>
      </w:r>
      <w:r>
        <w:rPr>
          <w:sz w:val="20"/>
        </w:rPr>
        <w:t>side</w:t>
      </w:r>
      <w:r>
        <w:rPr>
          <w:spacing w:val="-12"/>
          <w:sz w:val="20"/>
        </w:rPr>
        <w:t> </w:t>
      </w:r>
      <w:r>
        <w:rPr>
          <w:sz w:val="20"/>
        </w:rPr>
        <w:t>of</w:t>
      </w:r>
      <w:r>
        <w:rPr>
          <w:spacing w:val="-10"/>
          <w:sz w:val="20"/>
        </w:rPr>
        <w:t> </w:t>
      </w:r>
      <w:r>
        <w:rPr>
          <w:sz w:val="20"/>
        </w:rPr>
        <w:t>the</w:t>
      </w:r>
      <w:r>
        <w:rPr>
          <w:spacing w:val="-12"/>
          <w:sz w:val="20"/>
        </w:rPr>
        <w:t> </w:t>
      </w:r>
      <w:r>
        <w:rPr>
          <w:sz w:val="20"/>
        </w:rPr>
        <w:t>diagram</w:t>
      </w:r>
      <w:r>
        <w:rPr>
          <w:spacing w:val="-7"/>
          <w:sz w:val="20"/>
        </w:rPr>
        <w:t> </w:t>
      </w:r>
      <w:r>
        <w:rPr>
          <w:sz w:val="20"/>
        </w:rPr>
        <w:t>to</w:t>
      </w:r>
      <w:r>
        <w:rPr>
          <w:spacing w:val="-12"/>
          <w:sz w:val="20"/>
        </w:rPr>
        <w:t> </w:t>
      </w:r>
      <w:r>
        <w:rPr>
          <w:sz w:val="20"/>
        </w:rPr>
        <w:t>0</w:t>
      </w:r>
      <w:r>
        <w:rPr>
          <w:spacing w:val="-12"/>
          <w:sz w:val="20"/>
        </w:rPr>
        <w:t> </w:t>
      </w:r>
      <w:r>
        <w:rPr>
          <w:sz w:val="20"/>
        </w:rPr>
        <w:t>dB</w:t>
      </w:r>
      <w:r>
        <w:rPr>
          <w:spacing w:val="-13"/>
          <w:sz w:val="20"/>
        </w:rPr>
        <w:t> </w:t>
      </w:r>
      <w:r>
        <w:rPr>
          <w:sz w:val="20"/>
        </w:rPr>
        <w:t>to</w:t>
      </w:r>
      <w:r>
        <w:rPr>
          <w:spacing w:val="-12"/>
          <w:sz w:val="20"/>
        </w:rPr>
        <w:t> </w:t>
      </w:r>
      <w:r>
        <w:rPr>
          <w:sz w:val="20"/>
        </w:rPr>
        <w:t>simulate</w:t>
      </w:r>
      <w:r>
        <w:rPr>
          <w:spacing w:val="-12"/>
          <w:sz w:val="20"/>
        </w:rPr>
        <w:t> </w:t>
      </w:r>
      <w:r>
        <w:rPr>
          <w:sz w:val="20"/>
        </w:rPr>
        <w:t>a</w:t>
      </w:r>
      <w:r>
        <w:rPr>
          <w:spacing w:val="-12"/>
          <w:sz w:val="20"/>
        </w:rPr>
        <w:t> </w:t>
      </w:r>
      <w:r>
        <w:rPr>
          <w:sz w:val="20"/>
        </w:rPr>
        <w:t>short</w:t>
      </w:r>
      <w:r>
        <w:rPr>
          <w:spacing w:val="-11"/>
          <w:sz w:val="20"/>
        </w:rPr>
        <w:t> </w:t>
      </w:r>
      <w:r>
        <w:rPr>
          <w:sz w:val="20"/>
        </w:rPr>
        <w:t>distance</w:t>
      </w:r>
      <w:r>
        <w:rPr>
          <w:spacing w:val="-12"/>
          <w:sz w:val="20"/>
        </w:rPr>
        <w:t> </w:t>
      </w:r>
      <w:r>
        <w:rPr>
          <w:sz w:val="20"/>
        </w:rPr>
        <w:t>between the</w:t>
      </w:r>
      <w:r>
        <w:rPr>
          <w:spacing w:val="-1"/>
          <w:sz w:val="20"/>
        </w:rPr>
        <w:t> </w:t>
      </w:r>
      <w:r>
        <w:rPr>
          <w:sz w:val="20"/>
        </w:rPr>
        <w:t>DUTs.</w:t>
      </w:r>
    </w:p>
    <w:p>
      <w:pPr>
        <w:pStyle w:val="BodyText"/>
        <w:spacing w:before="1"/>
        <w:rPr>
          <w:sz w:val="26"/>
        </w:rPr>
      </w:pPr>
    </w:p>
    <w:p>
      <w:pPr>
        <w:pStyle w:val="Heading6"/>
        <w:numPr>
          <w:ilvl w:val="4"/>
          <w:numId w:val="36"/>
        </w:numPr>
        <w:tabs>
          <w:tab w:pos="2834" w:val="left" w:leader="none"/>
          <w:tab w:pos="2835" w:val="left" w:leader="none"/>
        </w:tabs>
        <w:spacing w:line="240" w:lineRule="auto" w:before="0" w:after="0"/>
        <w:ind w:left="2834" w:right="0" w:hanging="1701"/>
        <w:jc w:val="both"/>
      </w:pPr>
      <w:r>
        <w:rPr/>
        <w:t>Unique Tests to be</w:t>
      </w:r>
      <w:r>
        <w:rPr>
          <w:spacing w:val="-8"/>
        </w:rPr>
        <w:t> </w:t>
      </w:r>
      <w:r>
        <w:rPr/>
        <w:t>Conducted</w:t>
      </w:r>
    </w:p>
    <w:p>
      <w:pPr>
        <w:pStyle w:val="BodyText"/>
        <w:spacing w:before="178"/>
        <w:ind w:left="1133" w:right="1132"/>
        <w:jc w:val="both"/>
      </w:pPr>
      <w:r>
        <w:rPr/>
        <w:t>Run this test as described in section 7.4.1.1.4 using two C-V2X DUTs and up to 48 reference devices as explained in section 7.4.1.1.3. All devices (DUT1, DUT2, reference devices) have congestion control turned on.</w:t>
      </w:r>
    </w:p>
    <w:p>
      <w:pPr>
        <w:pStyle w:val="BodyText"/>
        <w:spacing w:before="1"/>
        <w:rPr>
          <w:sz w:val="26"/>
        </w:rPr>
      </w:pPr>
    </w:p>
    <w:p>
      <w:pPr>
        <w:pStyle w:val="Heading6"/>
        <w:numPr>
          <w:ilvl w:val="4"/>
          <w:numId w:val="36"/>
        </w:numPr>
        <w:tabs>
          <w:tab w:pos="2834" w:val="left" w:leader="none"/>
          <w:tab w:pos="2835" w:val="left" w:leader="none"/>
        </w:tabs>
        <w:spacing w:line="240" w:lineRule="auto" w:before="0" w:after="0"/>
        <w:ind w:left="2834" w:right="0" w:hanging="1701"/>
        <w:jc w:val="both"/>
      </w:pPr>
      <w:r>
        <w:rPr/>
        <w:t>Required</w:t>
      </w:r>
      <w:r>
        <w:rPr>
          <w:spacing w:val="-5"/>
        </w:rPr>
        <w:t> </w:t>
      </w:r>
      <w:r>
        <w:rPr/>
        <w:t>Documentation</w:t>
      </w:r>
    </w:p>
    <w:p>
      <w:pPr>
        <w:pStyle w:val="BodyText"/>
        <w:spacing w:before="178"/>
        <w:ind w:left="1133"/>
        <w:jc w:val="both"/>
      </w:pPr>
      <w:r>
        <w:rPr/>
        <w:t>Table 27 summarizes the results based on the data collected from log files.</w:t>
      </w:r>
    </w:p>
    <w:p>
      <w:pPr>
        <w:pStyle w:val="BodyText"/>
        <w:spacing w:before="7"/>
      </w:pPr>
    </w:p>
    <w:p>
      <w:pPr>
        <w:pStyle w:val="Heading7"/>
        <w:spacing w:line="427" w:lineRule="auto" w:before="1" w:after="11"/>
        <w:ind w:right="7456"/>
      </w:pPr>
      <w:r>
        <w:rPr/>
        <w:t>Table 26: Required Documentation Congestion Control</w:t>
      </w:r>
    </w:p>
    <w:tbl>
      <w:tblPr>
        <w:tblW w:w="0" w:type="auto"/>
        <w:jc w:val="left"/>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816"/>
        <w:gridCol w:w="793"/>
        <w:gridCol w:w="725"/>
        <w:gridCol w:w="684"/>
        <w:gridCol w:w="742"/>
        <w:gridCol w:w="742"/>
        <w:gridCol w:w="720"/>
        <w:gridCol w:w="721"/>
        <w:gridCol w:w="917"/>
        <w:gridCol w:w="920"/>
        <w:gridCol w:w="917"/>
      </w:tblGrid>
      <w:tr>
        <w:trPr>
          <w:trHeight w:val="485" w:hRule="exact"/>
        </w:trPr>
        <w:tc>
          <w:tcPr>
            <w:tcW w:w="986" w:type="dxa"/>
            <w:vMerge w:val="restart"/>
            <w:shd w:val="clear" w:color="auto" w:fill="D9D9D9"/>
          </w:tcPr>
          <w:p>
            <w:pPr>
              <w:pStyle w:val="TableParagraph"/>
              <w:spacing w:line="240" w:lineRule="auto"/>
              <w:ind w:left="0"/>
              <w:rPr>
                <w:b/>
                <w:sz w:val="18"/>
              </w:rPr>
            </w:pPr>
          </w:p>
          <w:p>
            <w:pPr>
              <w:pStyle w:val="TableParagraph"/>
              <w:spacing w:line="240" w:lineRule="auto"/>
              <w:ind w:left="0"/>
              <w:rPr>
                <w:b/>
                <w:sz w:val="18"/>
              </w:rPr>
            </w:pPr>
          </w:p>
          <w:p>
            <w:pPr>
              <w:pStyle w:val="TableParagraph"/>
              <w:spacing w:line="240" w:lineRule="auto"/>
              <w:ind w:left="0"/>
              <w:rPr>
                <w:b/>
                <w:sz w:val="18"/>
              </w:rPr>
            </w:pPr>
          </w:p>
          <w:p>
            <w:pPr>
              <w:pStyle w:val="TableParagraph"/>
              <w:spacing w:line="240" w:lineRule="auto" w:before="8"/>
              <w:ind w:left="0"/>
              <w:rPr>
                <w:b/>
                <w:sz w:val="23"/>
              </w:rPr>
            </w:pPr>
          </w:p>
          <w:p>
            <w:pPr>
              <w:pStyle w:val="TableParagraph"/>
              <w:spacing w:line="240" w:lineRule="auto"/>
              <w:ind w:right="136"/>
              <w:rPr>
                <w:b/>
                <w:sz w:val="16"/>
              </w:rPr>
            </w:pPr>
            <w:r>
              <w:rPr>
                <w:b/>
                <w:sz w:val="16"/>
              </w:rPr>
              <w:t>Attenuati on value between DUTs (dB)</w:t>
            </w:r>
          </w:p>
        </w:tc>
        <w:tc>
          <w:tcPr>
            <w:tcW w:w="816" w:type="dxa"/>
            <w:vMerge w:val="restart"/>
            <w:shd w:val="clear" w:color="auto" w:fill="D9D9D9"/>
          </w:tcPr>
          <w:p>
            <w:pPr>
              <w:pStyle w:val="TableParagraph"/>
              <w:spacing w:line="240" w:lineRule="auto"/>
              <w:ind w:left="0"/>
              <w:rPr>
                <w:b/>
                <w:sz w:val="18"/>
              </w:rPr>
            </w:pPr>
          </w:p>
          <w:p>
            <w:pPr>
              <w:pStyle w:val="TableParagraph"/>
              <w:spacing w:line="240" w:lineRule="auto"/>
              <w:ind w:left="0"/>
              <w:rPr>
                <w:b/>
                <w:sz w:val="18"/>
              </w:rPr>
            </w:pPr>
          </w:p>
          <w:p>
            <w:pPr>
              <w:pStyle w:val="TableParagraph"/>
              <w:spacing w:line="240" w:lineRule="auto" w:before="8"/>
              <w:ind w:left="0"/>
              <w:rPr>
                <w:b/>
                <w:sz w:val="17"/>
              </w:rPr>
            </w:pPr>
          </w:p>
          <w:p>
            <w:pPr>
              <w:pStyle w:val="TableParagraph"/>
              <w:tabs>
                <w:tab w:pos="554" w:val="left" w:leader="none"/>
              </w:tabs>
              <w:spacing w:line="240" w:lineRule="auto"/>
              <w:ind w:right="98"/>
              <w:rPr>
                <w:b/>
                <w:sz w:val="16"/>
              </w:rPr>
            </w:pPr>
            <w:r>
              <w:rPr>
                <w:b/>
                <w:sz w:val="16"/>
              </w:rPr>
              <w:t>Numbe r</w:t>
              <w:tab/>
              <w:t>of</w:t>
            </w:r>
          </w:p>
          <w:p>
            <w:pPr>
              <w:pStyle w:val="TableParagraph"/>
              <w:spacing w:line="240" w:lineRule="auto"/>
              <w:ind w:right="96"/>
              <w:rPr>
                <w:b/>
                <w:sz w:val="16"/>
              </w:rPr>
            </w:pPr>
            <w:r>
              <w:rPr>
                <w:b/>
                <w:sz w:val="16"/>
              </w:rPr>
              <w:t>referen ce devices</w:t>
            </w:r>
          </w:p>
        </w:tc>
        <w:tc>
          <w:tcPr>
            <w:tcW w:w="1517" w:type="dxa"/>
            <w:gridSpan w:val="2"/>
            <w:shd w:val="clear" w:color="auto" w:fill="D9D9D9"/>
          </w:tcPr>
          <w:p>
            <w:pPr>
              <w:pStyle w:val="TableParagraph"/>
              <w:tabs>
                <w:tab w:pos="1254" w:val="left" w:leader="none"/>
              </w:tabs>
              <w:spacing w:line="240" w:lineRule="auto" w:before="46"/>
              <w:ind w:left="105"/>
              <w:rPr>
                <w:b/>
                <w:sz w:val="16"/>
              </w:rPr>
            </w:pPr>
            <w:r>
              <w:rPr>
                <w:b/>
                <w:sz w:val="16"/>
              </w:rPr>
              <w:t>No.</w:t>
              <w:tab/>
              <w:t>of</w:t>
            </w:r>
          </w:p>
          <w:p>
            <w:pPr>
              <w:pStyle w:val="TableParagraph"/>
              <w:spacing w:line="240" w:lineRule="auto"/>
              <w:ind w:left="105"/>
              <w:rPr>
                <w:b/>
                <w:sz w:val="16"/>
              </w:rPr>
            </w:pPr>
            <w:r>
              <w:rPr>
                <w:b/>
                <w:sz w:val="16"/>
              </w:rPr>
              <w:t>Transmitted pkts</w:t>
            </w:r>
          </w:p>
        </w:tc>
        <w:tc>
          <w:tcPr>
            <w:tcW w:w="1426" w:type="dxa"/>
            <w:gridSpan w:val="2"/>
            <w:shd w:val="clear" w:color="auto" w:fill="D9D9D9"/>
          </w:tcPr>
          <w:p>
            <w:pPr>
              <w:pStyle w:val="TableParagraph"/>
              <w:spacing w:line="240" w:lineRule="auto" w:before="46"/>
              <w:ind w:right="93"/>
              <w:rPr>
                <w:b/>
                <w:sz w:val="16"/>
              </w:rPr>
            </w:pPr>
            <w:r>
              <w:rPr>
                <w:b/>
                <w:sz w:val="16"/>
              </w:rPr>
              <w:t>No. of Received pkts</w:t>
            </w:r>
          </w:p>
        </w:tc>
        <w:tc>
          <w:tcPr>
            <w:tcW w:w="4935" w:type="dxa"/>
            <w:gridSpan w:val="6"/>
            <w:shd w:val="clear" w:color="auto" w:fill="D9D9D9"/>
          </w:tcPr>
          <w:p>
            <w:pPr>
              <w:pStyle w:val="TableParagraph"/>
              <w:spacing w:line="240" w:lineRule="auto" w:before="1"/>
              <w:ind w:left="0"/>
              <w:rPr>
                <w:b/>
                <w:sz w:val="20"/>
              </w:rPr>
            </w:pPr>
          </w:p>
          <w:p>
            <w:pPr>
              <w:pStyle w:val="TableParagraph"/>
              <w:spacing w:line="240" w:lineRule="auto"/>
              <w:rPr>
                <w:b/>
                <w:sz w:val="16"/>
              </w:rPr>
            </w:pPr>
            <w:r>
              <w:rPr>
                <w:b/>
                <w:sz w:val="16"/>
              </w:rPr>
              <w:t>Calculated at Receiver</w:t>
            </w:r>
          </w:p>
        </w:tc>
      </w:tr>
      <w:tr>
        <w:trPr>
          <w:trHeight w:val="1695" w:hRule="exact"/>
        </w:trPr>
        <w:tc>
          <w:tcPr>
            <w:tcW w:w="986" w:type="dxa"/>
            <w:vMerge/>
            <w:shd w:val="clear" w:color="auto" w:fill="D9D9D9"/>
          </w:tcPr>
          <w:p>
            <w:pPr/>
          </w:p>
        </w:tc>
        <w:tc>
          <w:tcPr>
            <w:tcW w:w="816" w:type="dxa"/>
            <w:vMerge/>
            <w:shd w:val="clear" w:color="auto" w:fill="D9D9D9"/>
          </w:tcPr>
          <w:p>
            <w:pPr/>
          </w:p>
        </w:tc>
        <w:tc>
          <w:tcPr>
            <w:tcW w:w="793" w:type="dxa"/>
            <w:shd w:val="clear" w:color="auto" w:fill="D9D9D9"/>
          </w:tcPr>
          <w:p>
            <w:pPr>
              <w:pStyle w:val="TableParagraph"/>
              <w:spacing w:line="240" w:lineRule="auto"/>
              <w:ind w:left="0"/>
              <w:rPr>
                <w:b/>
                <w:sz w:val="18"/>
              </w:rPr>
            </w:pPr>
          </w:p>
          <w:p>
            <w:pPr>
              <w:pStyle w:val="TableParagraph"/>
              <w:spacing w:line="240" w:lineRule="auto"/>
              <w:ind w:left="0"/>
              <w:rPr>
                <w:b/>
                <w:sz w:val="18"/>
              </w:rPr>
            </w:pPr>
          </w:p>
          <w:p>
            <w:pPr>
              <w:pStyle w:val="TableParagraph"/>
              <w:spacing w:line="240" w:lineRule="auto"/>
              <w:ind w:left="0"/>
              <w:rPr>
                <w:b/>
                <w:sz w:val="18"/>
              </w:rPr>
            </w:pPr>
          </w:p>
          <w:p>
            <w:pPr>
              <w:pStyle w:val="TableParagraph"/>
              <w:spacing w:line="240" w:lineRule="auto" w:before="124"/>
              <w:ind w:left="105"/>
              <w:rPr>
                <w:b/>
                <w:sz w:val="16"/>
              </w:rPr>
            </w:pPr>
            <w:r>
              <w:rPr>
                <w:b/>
                <w:sz w:val="16"/>
              </w:rPr>
              <w:t>DUT1</w:t>
            </w:r>
          </w:p>
        </w:tc>
        <w:tc>
          <w:tcPr>
            <w:tcW w:w="725" w:type="dxa"/>
            <w:shd w:val="clear" w:color="auto" w:fill="D9D9D9"/>
          </w:tcPr>
          <w:p>
            <w:pPr>
              <w:pStyle w:val="TableParagraph"/>
              <w:spacing w:line="240" w:lineRule="auto"/>
              <w:ind w:left="0"/>
              <w:rPr>
                <w:b/>
                <w:sz w:val="18"/>
              </w:rPr>
            </w:pPr>
          </w:p>
          <w:p>
            <w:pPr>
              <w:pStyle w:val="TableParagraph"/>
              <w:spacing w:line="240" w:lineRule="auto"/>
              <w:ind w:left="0"/>
              <w:rPr>
                <w:b/>
                <w:sz w:val="18"/>
              </w:rPr>
            </w:pPr>
          </w:p>
          <w:p>
            <w:pPr>
              <w:pStyle w:val="TableParagraph"/>
              <w:spacing w:line="240" w:lineRule="auto"/>
              <w:ind w:left="0"/>
              <w:rPr>
                <w:b/>
                <w:sz w:val="18"/>
              </w:rPr>
            </w:pPr>
          </w:p>
          <w:p>
            <w:pPr>
              <w:pStyle w:val="TableParagraph"/>
              <w:spacing w:line="240" w:lineRule="auto" w:before="124"/>
              <w:rPr>
                <w:b/>
                <w:sz w:val="16"/>
              </w:rPr>
            </w:pPr>
            <w:r>
              <w:rPr>
                <w:b/>
                <w:sz w:val="16"/>
              </w:rPr>
              <w:t>DUT2</w:t>
            </w:r>
          </w:p>
        </w:tc>
        <w:tc>
          <w:tcPr>
            <w:tcW w:w="684" w:type="dxa"/>
            <w:shd w:val="clear" w:color="auto" w:fill="D9D9D9"/>
          </w:tcPr>
          <w:p>
            <w:pPr>
              <w:pStyle w:val="TableParagraph"/>
              <w:spacing w:line="240" w:lineRule="auto"/>
              <w:ind w:left="0"/>
              <w:rPr>
                <w:b/>
                <w:sz w:val="18"/>
              </w:rPr>
            </w:pPr>
          </w:p>
          <w:p>
            <w:pPr>
              <w:pStyle w:val="TableParagraph"/>
              <w:spacing w:line="240" w:lineRule="auto"/>
              <w:ind w:left="0"/>
              <w:rPr>
                <w:b/>
                <w:sz w:val="18"/>
              </w:rPr>
            </w:pPr>
          </w:p>
          <w:p>
            <w:pPr>
              <w:pStyle w:val="TableParagraph"/>
              <w:spacing w:line="240" w:lineRule="auto"/>
              <w:ind w:left="0"/>
              <w:rPr>
                <w:b/>
                <w:sz w:val="18"/>
              </w:rPr>
            </w:pPr>
          </w:p>
          <w:p>
            <w:pPr>
              <w:pStyle w:val="TableParagraph"/>
              <w:spacing w:line="240" w:lineRule="auto" w:before="124"/>
              <w:rPr>
                <w:b/>
                <w:sz w:val="16"/>
              </w:rPr>
            </w:pPr>
            <w:r>
              <w:rPr>
                <w:b/>
                <w:sz w:val="16"/>
              </w:rPr>
              <w:t>DUT1</w:t>
            </w:r>
          </w:p>
        </w:tc>
        <w:tc>
          <w:tcPr>
            <w:tcW w:w="742" w:type="dxa"/>
            <w:shd w:val="clear" w:color="auto" w:fill="D9D9D9"/>
          </w:tcPr>
          <w:p>
            <w:pPr>
              <w:pStyle w:val="TableParagraph"/>
              <w:spacing w:line="240" w:lineRule="auto"/>
              <w:ind w:left="0"/>
              <w:rPr>
                <w:b/>
                <w:sz w:val="18"/>
              </w:rPr>
            </w:pPr>
          </w:p>
          <w:p>
            <w:pPr>
              <w:pStyle w:val="TableParagraph"/>
              <w:spacing w:line="240" w:lineRule="auto"/>
              <w:ind w:left="0"/>
              <w:rPr>
                <w:b/>
                <w:sz w:val="18"/>
              </w:rPr>
            </w:pPr>
          </w:p>
          <w:p>
            <w:pPr>
              <w:pStyle w:val="TableParagraph"/>
              <w:spacing w:line="240" w:lineRule="auto"/>
              <w:ind w:left="0"/>
              <w:rPr>
                <w:b/>
                <w:sz w:val="18"/>
              </w:rPr>
            </w:pPr>
          </w:p>
          <w:p>
            <w:pPr>
              <w:pStyle w:val="TableParagraph"/>
              <w:spacing w:line="240" w:lineRule="auto" w:before="124"/>
              <w:rPr>
                <w:b/>
                <w:sz w:val="16"/>
              </w:rPr>
            </w:pPr>
            <w:r>
              <w:rPr>
                <w:b/>
                <w:sz w:val="16"/>
              </w:rPr>
              <w:t>DUT2</w:t>
            </w:r>
          </w:p>
        </w:tc>
        <w:tc>
          <w:tcPr>
            <w:tcW w:w="742" w:type="dxa"/>
            <w:shd w:val="clear" w:color="auto" w:fill="D9D9D9"/>
          </w:tcPr>
          <w:p>
            <w:pPr>
              <w:pStyle w:val="TableParagraph"/>
              <w:spacing w:line="240" w:lineRule="auto"/>
              <w:ind w:left="0"/>
              <w:rPr>
                <w:b/>
                <w:sz w:val="18"/>
              </w:rPr>
            </w:pPr>
          </w:p>
          <w:p>
            <w:pPr>
              <w:pStyle w:val="TableParagraph"/>
              <w:spacing w:line="240" w:lineRule="auto"/>
              <w:ind w:left="0"/>
              <w:rPr>
                <w:b/>
                <w:sz w:val="18"/>
              </w:rPr>
            </w:pPr>
          </w:p>
          <w:p>
            <w:pPr>
              <w:pStyle w:val="TableParagraph"/>
              <w:spacing w:line="240" w:lineRule="auto" w:before="146"/>
              <w:rPr>
                <w:b/>
                <w:sz w:val="16"/>
              </w:rPr>
            </w:pPr>
            <w:r>
              <w:rPr>
                <w:b/>
                <w:sz w:val="16"/>
              </w:rPr>
              <w:t>PER %</w:t>
            </w:r>
          </w:p>
          <w:p>
            <w:pPr>
              <w:pStyle w:val="TableParagraph"/>
              <w:spacing w:line="240" w:lineRule="auto" w:before="1"/>
              <w:ind w:right="191"/>
              <w:rPr>
                <w:b/>
                <w:sz w:val="16"/>
              </w:rPr>
            </w:pPr>
            <w:r>
              <w:rPr>
                <w:b/>
                <w:sz w:val="16"/>
              </w:rPr>
              <w:t>at DUT1</w:t>
            </w:r>
          </w:p>
        </w:tc>
        <w:tc>
          <w:tcPr>
            <w:tcW w:w="720" w:type="dxa"/>
            <w:shd w:val="clear" w:color="auto" w:fill="D9D9D9"/>
          </w:tcPr>
          <w:p>
            <w:pPr>
              <w:pStyle w:val="TableParagraph"/>
              <w:spacing w:line="240" w:lineRule="auto"/>
              <w:ind w:left="0"/>
              <w:rPr>
                <w:b/>
                <w:sz w:val="18"/>
              </w:rPr>
            </w:pPr>
          </w:p>
          <w:p>
            <w:pPr>
              <w:pStyle w:val="TableParagraph"/>
              <w:spacing w:line="240" w:lineRule="auto"/>
              <w:ind w:left="0"/>
              <w:rPr>
                <w:b/>
                <w:sz w:val="18"/>
              </w:rPr>
            </w:pPr>
          </w:p>
          <w:p>
            <w:pPr>
              <w:pStyle w:val="TableParagraph"/>
              <w:spacing w:line="240" w:lineRule="auto" w:before="146"/>
              <w:rPr>
                <w:b/>
                <w:sz w:val="16"/>
              </w:rPr>
            </w:pPr>
            <w:r>
              <w:rPr>
                <w:b/>
                <w:sz w:val="16"/>
              </w:rPr>
              <w:t>PER %</w:t>
            </w:r>
          </w:p>
          <w:p>
            <w:pPr>
              <w:pStyle w:val="TableParagraph"/>
              <w:spacing w:line="240" w:lineRule="auto" w:before="1"/>
              <w:ind w:right="169"/>
              <w:rPr>
                <w:b/>
                <w:sz w:val="16"/>
              </w:rPr>
            </w:pPr>
            <w:r>
              <w:rPr>
                <w:b/>
                <w:sz w:val="16"/>
              </w:rPr>
              <w:t>at DUT2</w:t>
            </w:r>
          </w:p>
        </w:tc>
        <w:tc>
          <w:tcPr>
            <w:tcW w:w="721" w:type="dxa"/>
            <w:shd w:val="clear" w:color="auto" w:fill="D9D9D9"/>
          </w:tcPr>
          <w:p>
            <w:pPr>
              <w:pStyle w:val="TableParagraph"/>
              <w:spacing w:line="240" w:lineRule="auto"/>
              <w:ind w:left="0"/>
              <w:rPr>
                <w:b/>
                <w:sz w:val="18"/>
              </w:rPr>
            </w:pPr>
          </w:p>
          <w:p>
            <w:pPr>
              <w:pStyle w:val="TableParagraph"/>
              <w:spacing w:line="240" w:lineRule="auto" w:before="7"/>
              <w:ind w:left="0"/>
              <w:rPr>
                <w:b/>
                <w:sz w:val="14"/>
              </w:rPr>
            </w:pPr>
          </w:p>
          <w:p>
            <w:pPr>
              <w:pStyle w:val="TableParagraph"/>
              <w:spacing w:line="240" w:lineRule="auto"/>
              <w:ind w:left="105" w:right="87"/>
              <w:rPr>
                <w:b/>
                <w:sz w:val="16"/>
              </w:rPr>
            </w:pPr>
            <w:r>
              <w:rPr>
                <w:b/>
                <w:sz w:val="16"/>
              </w:rPr>
              <w:t>95%ile IPG</w:t>
            </w:r>
          </w:p>
          <w:p>
            <w:pPr>
              <w:pStyle w:val="TableParagraph"/>
              <w:spacing w:line="240" w:lineRule="auto"/>
              <w:ind w:left="105" w:right="159"/>
              <w:rPr>
                <w:b/>
                <w:sz w:val="16"/>
              </w:rPr>
            </w:pPr>
            <w:r>
              <w:rPr>
                <w:b/>
                <w:sz w:val="16"/>
              </w:rPr>
              <w:t>Value at DUT1</w:t>
            </w:r>
          </w:p>
        </w:tc>
        <w:tc>
          <w:tcPr>
            <w:tcW w:w="917" w:type="dxa"/>
            <w:shd w:val="clear" w:color="auto" w:fill="D9D9D9"/>
          </w:tcPr>
          <w:p>
            <w:pPr>
              <w:pStyle w:val="TableParagraph"/>
              <w:spacing w:line="240" w:lineRule="auto"/>
              <w:ind w:left="0"/>
              <w:rPr>
                <w:b/>
                <w:sz w:val="18"/>
              </w:rPr>
            </w:pPr>
          </w:p>
          <w:p>
            <w:pPr>
              <w:pStyle w:val="TableParagraph"/>
              <w:spacing w:line="240" w:lineRule="auto" w:before="9"/>
              <w:ind w:left="0"/>
              <w:rPr>
                <w:b/>
                <w:sz w:val="22"/>
              </w:rPr>
            </w:pPr>
          </w:p>
          <w:p>
            <w:pPr>
              <w:pStyle w:val="TableParagraph"/>
              <w:spacing w:line="240" w:lineRule="auto"/>
              <w:ind w:left="105" w:right="186"/>
              <w:rPr>
                <w:b/>
                <w:sz w:val="16"/>
              </w:rPr>
            </w:pPr>
            <w:r>
              <w:rPr>
                <w:b/>
                <w:sz w:val="16"/>
              </w:rPr>
              <w:t>95%Tile IPG</w:t>
            </w:r>
          </w:p>
          <w:p>
            <w:pPr>
              <w:pStyle w:val="TableParagraph"/>
              <w:spacing w:line="240" w:lineRule="auto"/>
              <w:ind w:left="105"/>
              <w:rPr>
                <w:b/>
                <w:sz w:val="16"/>
              </w:rPr>
            </w:pPr>
            <w:r>
              <w:rPr>
                <w:b/>
                <w:sz w:val="16"/>
              </w:rPr>
              <w:t>value at DUT2</w:t>
            </w:r>
          </w:p>
        </w:tc>
        <w:tc>
          <w:tcPr>
            <w:tcW w:w="920" w:type="dxa"/>
            <w:shd w:val="clear" w:color="auto" w:fill="D9D9D9"/>
          </w:tcPr>
          <w:p>
            <w:pPr>
              <w:pStyle w:val="TableParagraph"/>
              <w:spacing w:line="240" w:lineRule="auto"/>
              <w:ind w:left="0"/>
              <w:rPr>
                <w:b/>
                <w:sz w:val="18"/>
              </w:rPr>
            </w:pPr>
          </w:p>
          <w:p>
            <w:pPr>
              <w:pStyle w:val="TableParagraph"/>
              <w:spacing w:line="240" w:lineRule="auto" w:before="9"/>
              <w:ind w:left="0"/>
              <w:rPr>
                <w:b/>
                <w:sz w:val="22"/>
              </w:rPr>
            </w:pPr>
          </w:p>
          <w:p>
            <w:pPr>
              <w:pStyle w:val="TableParagraph"/>
              <w:spacing w:line="240" w:lineRule="auto"/>
              <w:ind w:left="105"/>
              <w:rPr>
                <w:b/>
                <w:sz w:val="16"/>
              </w:rPr>
            </w:pPr>
            <w:r>
              <w:rPr>
                <w:b/>
                <w:sz w:val="16"/>
              </w:rPr>
              <w:t>95%ile Latency Value at DUT1</w:t>
            </w:r>
          </w:p>
        </w:tc>
        <w:tc>
          <w:tcPr>
            <w:tcW w:w="917" w:type="dxa"/>
            <w:shd w:val="clear" w:color="auto" w:fill="D9D9D9"/>
          </w:tcPr>
          <w:p>
            <w:pPr>
              <w:pStyle w:val="TableParagraph"/>
              <w:spacing w:line="240" w:lineRule="auto"/>
              <w:ind w:left="0"/>
              <w:rPr>
                <w:b/>
                <w:sz w:val="18"/>
              </w:rPr>
            </w:pPr>
          </w:p>
          <w:p>
            <w:pPr>
              <w:pStyle w:val="TableParagraph"/>
              <w:spacing w:line="240" w:lineRule="auto" w:before="9"/>
              <w:ind w:left="0"/>
              <w:rPr>
                <w:b/>
                <w:sz w:val="22"/>
              </w:rPr>
            </w:pPr>
          </w:p>
          <w:p>
            <w:pPr>
              <w:pStyle w:val="TableParagraph"/>
              <w:spacing w:line="240" w:lineRule="auto"/>
              <w:rPr>
                <w:b/>
                <w:sz w:val="16"/>
              </w:rPr>
            </w:pPr>
            <w:r>
              <w:rPr>
                <w:b/>
                <w:sz w:val="16"/>
              </w:rPr>
              <w:t>95%Tile Latency value at DUT2</w:t>
            </w:r>
          </w:p>
        </w:tc>
      </w:tr>
      <w:tr>
        <w:trPr>
          <w:trHeight w:val="245" w:hRule="exact"/>
        </w:trPr>
        <w:tc>
          <w:tcPr>
            <w:tcW w:w="986" w:type="dxa"/>
          </w:tcPr>
          <w:p>
            <w:pPr/>
          </w:p>
        </w:tc>
        <w:tc>
          <w:tcPr>
            <w:tcW w:w="816" w:type="dxa"/>
            <w:vMerge w:val="restart"/>
          </w:tcPr>
          <w:p>
            <w:pPr>
              <w:pStyle w:val="TableParagraph"/>
              <w:spacing w:line="240" w:lineRule="auto"/>
              <w:ind w:left="0"/>
              <w:rPr>
                <w:b/>
                <w:sz w:val="20"/>
              </w:rPr>
            </w:pPr>
          </w:p>
          <w:p>
            <w:pPr>
              <w:pStyle w:val="TableParagraph"/>
              <w:spacing w:line="240" w:lineRule="auto"/>
              <w:ind w:left="0"/>
              <w:rPr>
                <w:b/>
                <w:sz w:val="20"/>
              </w:rPr>
            </w:pPr>
          </w:p>
          <w:p>
            <w:pPr>
              <w:pStyle w:val="TableParagraph"/>
              <w:spacing w:line="240" w:lineRule="auto" w:before="10"/>
              <w:ind w:left="0"/>
              <w:rPr>
                <w:b/>
                <w:sz w:val="16"/>
              </w:rPr>
            </w:pPr>
          </w:p>
          <w:p>
            <w:pPr>
              <w:pStyle w:val="TableParagraph"/>
              <w:spacing w:line="240" w:lineRule="auto"/>
              <w:rPr>
                <w:sz w:val="18"/>
              </w:rPr>
            </w:pPr>
            <w:r>
              <w:rPr>
                <w:sz w:val="18"/>
              </w:rPr>
              <w:t>48</w:t>
            </w:r>
          </w:p>
        </w:tc>
        <w:tc>
          <w:tcPr>
            <w:tcW w:w="793" w:type="dxa"/>
          </w:tcPr>
          <w:p>
            <w:pPr/>
          </w:p>
        </w:tc>
        <w:tc>
          <w:tcPr>
            <w:tcW w:w="725" w:type="dxa"/>
          </w:tcPr>
          <w:p>
            <w:pPr/>
          </w:p>
        </w:tc>
        <w:tc>
          <w:tcPr>
            <w:tcW w:w="684" w:type="dxa"/>
          </w:tcPr>
          <w:p>
            <w:pPr/>
          </w:p>
        </w:tc>
        <w:tc>
          <w:tcPr>
            <w:tcW w:w="742" w:type="dxa"/>
          </w:tcPr>
          <w:p>
            <w:pPr/>
          </w:p>
        </w:tc>
        <w:tc>
          <w:tcPr>
            <w:tcW w:w="742" w:type="dxa"/>
          </w:tcPr>
          <w:p>
            <w:pPr/>
          </w:p>
        </w:tc>
        <w:tc>
          <w:tcPr>
            <w:tcW w:w="720" w:type="dxa"/>
          </w:tcPr>
          <w:p>
            <w:pPr/>
          </w:p>
        </w:tc>
        <w:tc>
          <w:tcPr>
            <w:tcW w:w="721" w:type="dxa"/>
          </w:tcPr>
          <w:p>
            <w:pPr/>
          </w:p>
        </w:tc>
        <w:tc>
          <w:tcPr>
            <w:tcW w:w="917" w:type="dxa"/>
          </w:tcPr>
          <w:p>
            <w:pPr/>
          </w:p>
        </w:tc>
        <w:tc>
          <w:tcPr>
            <w:tcW w:w="920" w:type="dxa"/>
          </w:tcPr>
          <w:p>
            <w:pPr/>
          </w:p>
        </w:tc>
        <w:tc>
          <w:tcPr>
            <w:tcW w:w="917" w:type="dxa"/>
          </w:tcPr>
          <w:p>
            <w:pPr/>
          </w:p>
        </w:tc>
      </w:tr>
      <w:tr>
        <w:trPr>
          <w:trHeight w:val="266" w:hRule="exact"/>
        </w:trPr>
        <w:tc>
          <w:tcPr>
            <w:tcW w:w="986" w:type="dxa"/>
          </w:tcPr>
          <w:p>
            <w:pPr>
              <w:pStyle w:val="TableParagraph"/>
              <w:spacing w:line="240" w:lineRule="auto" w:before="32"/>
              <w:rPr>
                <w:sz w:val="16"/>
              </w:rPr>
            </w:pPr>
            <w:r>
              <w:rPr>
                <w:sz w:val="16"/>
              </w:rPr>
              <w:t>95</w:t>
            </w:r>
          </w:p>
        </w:tc>
        <w:tc>
          <w:tcPr>
            <w:tcW w:w="816" w:type="dxa"/>
            <w:vMerge/>
          </w:tcPr>
          <w:p>
            <w:pPr/>
          </w:p>
        </w:tc>
        <w:tc>
          <w:tcPr>
            <w:tcW w:w="793" w:type="dxa"/>
          </w:tcPr>
          <w:p>
            <w:pPr>
              <w:pStyle w:val="TableParagraph"/>
              <w:spacing w:line="240" w:lineRule="auto" w:before="32"/>
              <w:ind w:left="105"/>
              <w:rPr>
                <w:sz w:val="16"/>
              </w:rPr>
            </w:pPr>
            <w:r>
              <w:rPr>
                <w:sz w:val="16"/>
              </w:rPr>
              <w:t>2071</w:t>
            </w:r>
          </w:p>
        </w:tc>
        <w:tc>
          <w:tcPr>
            <w:tcW w:w="725" w:type="dxa"/>
          </w:tcPr>
          <w:p>
            <w:pPr>
              <w:pStyle w:val="TableParagraph"/>
              <w:spacing w:line="240" w:lineRule="auto" w:before="32"/>
              <w:rPr>
                <w:sz w:val="16"/>
              </w:rPr>
            </w:pPr>
            <w:r>
              <w:rPr>
                <w:sz w:val="16"/>
              </w:rPr>
              <w:t>2076</w:t>
            </w:r>
          </w:p>
        </w:tc>
        <w:tc>
          <w:tcPr>
            <w:tcW w:w="684" w:type="dxa"/>
          </w:tcPr>
          <w:p>
            <w:pPr>
              <w:pStyle w:val="TableParagraph"/>
              <w:spacing w:line="240" w:lineRule="auto" w:before="32"/>
              <w:rPr>
                <w:sz w:val="16"/>
              </w:rPr>
            </w:pPr>
            <w:r>
              <w:rPr>
                <w:sz w:val="16"/>
              </w:rPr>
              <w:t>2043</w:t>
            </w:r>
          </w:p>
        </w:tc>
        <w:tc>
          <w:tcPr>
            <w:tcW w:w="742" w:type="dxa"/>
          </w:tcPr>
          <w:p>
            <w:pPr>
              <w:pStyle w:val="TableParagraph"/>
              <w:spacing w:line="240" w:lineRule="auto" w:before="32"/>
              <w:rPr>
                <w:sz w:val="16"/>
              </w:rPr>
            </w:pPr>
            <w:r>
              <w:rPr>
                <w:sz w:val="16"/>
              </w:rPr>
              <w:t>2029</w:t>
            </w:r>
          </w:p>
        </w:tc>
        <w:tc>
          <w:tcPr>
            <w:tcW w:w="742" w:type="dxa"/>
          </w:tcPr>
          <w:p>
            <w:pPr>
              <w:pStyle w:val="TableParagraph"/>
              <w:spacing w:line="240" w:lineRule="auto" w:before="32"/>
              <w:rPr>
                <w:sz w:val="16"/>
              </w:rPr>
            </w:pPr>
            <w:r>
              <w:rPr>
                <w:sz w:val="16"/>
              </w:rPr>
              <w:t>1.6</w:t>
            </w:r>
          </w:p>
        </w:tc>
        <w:tc>
          <w:tcPr>
            <w:tcW w:w="720" w:type="dxa"/>
          </w:tcPr>
          <w:p>
            <w:pPr>
              <w:pStyle w:val="TableParagraph"/>
              <w:spacing w:line="240" w:lineRule="auto" w:before="32"/>
              <w:rPr>
                <w:sz w:val="16"/>
              </w:rPr>
            </w:pPr>
            <w:r>
              <w:rPr>
                <w:sz w:val="16"/>
              </w:rPr>
              <w:t>2.0</w:t>
            </w:r>
          </w:p>
        </w:tc>
        <w:tc>
          <w:tcPr>
            <w:tcW w:w="721" w:type="dxa"/>
          </w:tcPr>
          <w:p>
            <w:pPr>
              <w:pStyle w:val="TableParagraph"/>
              <w:spacing w:line="240" w:lineRule="auto" w:before="32"/>
              <w:ind w:left="105"/>
              <w:rPr>
                <w:sz w:val="16"/>
              </w:rPr>
            </w:pPr>
            <w:r>
              <w:rPr>
                <w:sz w:val="16"/>
              </w:rPr>
              <w:t>105</w:t>
            </w:r>
          </w:p>
        </w:tc>
        <w:tc>
          <w:tcPr>
            <w:tcW w:w="917" w:type="dxa"/>
          </w:tcPr>
          <w:p>
            <w:pPr>
              <w:pStyle w:val="TableParagraph"/>
              <w:spacing w:line="240" w:lineRule="auto" w:before="32"/>
              <w:ind w:left="105"/>
              <w:rPr>
                <w:sz w:val="16"/>
              </w:rPr>
            </w:pPr>
            <w:r>
              <w:rPr>
                <w:sz w:val="16"/>
              </w:rPr>
              <w:t>104</w:t>
            </w:r>
          </w:p>
        </w:tc>
        <w:tc>
          <w:tcPr>
            <w:tcW w:w="920" w:type="dxa"/>
          </w:tcPr>
          <w:p>
            <w:pPr>
              <w:pStyle w:val="TableParagraph"/>
              <w:spacing w:line="240" w:lineRule="auto" w:before="32"/>
              <w:ind w:left="105"/>
              <w:rPr>
                <w:sz w:val="16"/>
              </w:rPr>
            </w:pPr>
            <w:r>
              <w:rPr>
                <w:sz w:val="16"/>
              </w:rPr>
              <w:t>97</w:t>
            </w:r>
          </w:p>
        </w:tc>
        <w:tc>
          <w:tcPr>
            <w:tcW w:w="917" w:type="dxa"/>
          </w:tcPr>
          <w:p>
            <w:pPr>
              <w:pStyle w:val="TableParagraph"/>
              <w:spacing w:line="240" w:lineRule="auto" w:before="32"/>
              <w:rPr>
                <w:sz w:val="16"/>
              </w:rPr>
            </w:pPr>
            <w:r>
              <w:rPr>
                <w:sz w:val="16"/>
              </w:rPr>
              <w:t>102</w:t>
            </w:r>
          </w:p>
        </w:tc>
      </w:tr>
      <w:tr>
        <w:trPr>
          <w:trHeight w:val="254" w:hRule="exact"/>
        </w:trPr>
        <w:tc>
          <w:tcPr>
            <w:tcW w:w="986" w:type="dxa"/>
          </w:tcPr>
          <w:p>
            <w:pPr>
              <w:pStyle w:val="TableParagraph"/>
              <w:spacing w:line="240" w:lineRule="auto" w:before="25"/>
              <w:rPr>
                <w:sz w:val="16"/>
              </w:rPr>
            </w:pPr>
            <w:r>
              <w:rPr>
                <w:sz w:val="16"/>
              </w:rPr>
              <w:t>100</w:t>
            </w:r>
          </w:p>
        </w:tc>
        <w:tc>
          <w:tcPr>
            <w:tcW w:w="816" w:type="dxa"/>
            <w:vMerge/>
          </w:tcPr>
          <w:p>
            <w:pPr/>
          </w:p>
        </w:tc>
        <w:tc>
          <w:tcPr>
            <w:tcW w:w="793" w:type="dxa"/>
          </w:tcPr>
          <w:p>
            <w:pPr>
              <w:pStyle w:val="TableParagraph"/>
              <w:spacing w:line="240" w:lineRule="auto" w:before="25"/>
              <w:ind w:left="105"/>
              <w:rPr>
                <w:sz w:val="16"/>
              </w:rPr>
            </w:pPr>
            <w:r>
              <w:rPr>
                <w:sz w:val="16"/>
              </w:rPr>
              <w:t>2068</w:t>
            </w:r>
          </w:p>
        </w:tc>
        <w:tc>
          <w:tcPr>
            <w:tcW w:w="725" w:type="dxa"/>
          </w:tcPr>
          <w:p>
            <w:pPr>
              <w:pStyle w:val="TableParagraph"/>
              <w:spacing w:line="240" w:lineRule="auto" w:before="25"/>
              <w:rPr>
                <w:sz w:val="16"/>
              </w:rPr>
            </w:pPr>
            <w:r>
              <w:rPr>
                <w:sz w:val="16"/>
              </w:rPr>
              <w:t>2055</w:t>
            </w:r>
          </w:p>
        </w:tc>
        <w:tc>
          <w:tcPr>
            <w:tcW w:w="684" w:type="dxa"/>
          </w:tcPr>
          <w:p>
            <w:pPr>
              <w:pStyle w:val="TableParagraph"/>
              <w:spacing w:line="240" w:lineRule="auto" w:before="25"/>
              <w:rPr>
                <w:sz w:val="16"/>
              </w:rPr>
            </w:pPr>
            <w:r>
              <w:rPr>
                <w:sz w:val="16"/>
              </w:rPr>
              <w:t>1952</w:t>
            </w:r>
          </w:p>
        </w:tc>
        <w:tc>
          <w:tcPr>
            <w:tcW w:w="742" w:type="dxa"/>
          </w:tcPr>
          <w:p>
            <w:pPr>
              <w:pStyle w:val="TableParagraph"/>
              <w:spacing w:line="240" w:lineRule="auto" w:before="25"/>
              <w:rPr>
                <w:sz w:val="16"/>
              </w:rPr>
            </w:pPr>
            <w:r>
              <w:rPr>
                <w:sz w:val="16"/>
              </w:rPr>
              <w:t>1964</w:t>
            </w:r>
          </w:p>
        </w:tc>
        <w:tc>
          <w:tcPr>
            <w:tcW w:w="742" w:type="dxa"/>
          </w:tcPr>
          <w:p>
            <w:pPr>
              <w:pStyle w:val="TableParagraph"/>
              <w:spacing w:line="240" w:lineRule="auto" w:before="25"/>
              <w:rPr>
                <w:sz w:val="16"/>
              </w:rPr>
            </w:pPr>
            <w:r>
              <w:rPr>
                <w:sz w:val="16"/>
              </w:rPr>
              <w:t>5.0</w:t>
            </w:r>
          </w:p>
        </w:tc>
        <w:tc>
          <w:tcPr>
            <w:tcW w:w="720" w:type="dxa"/>
          </w:tcPr>
          <w:p>
            <w:pPr>
              <w:pStyle w:val="TableParagraph"/>
              <w:spacing w:line="240" w:lineRule="auto" w:before="25"/>
              <w:rPr>
                <w:sz w:val="16"/>
              </w:rPr>
            </w:pPr>
            <w:r>
              <w:rPr>
                <w:sz w:val="16"/>
              </w:rPr>
              <w:t>5.0</w:t>
            </w:r>
          </w:p>
        </w:tc>
        <w:tc>
          <w:tcPr>
            <w:tcW w:w="721" w:type="dxa"/>
          </w:tcPr>
          <w:p>
            <w:pPr>
              <w:pStyle w:val="TableParagraph"/>
              <w:spacing w:line="240" w:lineRule="auto" w:before="25"/>
              <w:ind w:left="105"/>
              <w:rPr>
                <w:sz w:val="16"/>
              </w:rPr>
            </w:pPr>
            <w:r>
              <w:rPr>
                <w:sz w:val="16"/>
              </w:rPr>
              <w:t>108</w:t>
            </w:r>
          </w:p>
        </w:tc>
        <w:tc>
          <w:tcPr>
            <w:tcW w:w="917" w:type="dxa"/>
          </w:tcPr>
          <w:p>
            <w:pPr>
              <w:pStyle w:val="TableParagraph"/>
              <w:spacing w:line="240" w:lineRule="auto" w:before="25"/>
              <w:ind w:left="105"/>
              <w:rPr>
                <w:sz w:val="16"/>
              </w:rPr>
            </w:pPr>
            <w:r>
              <w:rPr>
                <w:sz w:val="16"/>
              </w:rPr>
              <w:t>105</w:t>
            </w:r>
          </w:p>
        </w:tc>
        <w:tc>
          <w:tcPr>
            <w:tcW w:w="920" w:type="dxa"/>
          </w:tcPr>
          <w:p>
            <w:pPr>
              <w:pStyle w:val="TableParagraph"/>
              <w:spacing w:line="240" w:lineRule="auto" w:before="25"/>
              <w:ind w:left="105"/>
              <w:rPr>
                <w:sz w:val="16"/>
              </w:rPr>
            </w:pPr>
            <w:r>
              <w:rPr>
                <w:sz w:val="16"/>
              </w:rPr>
              <w:t>104</w:t>
            </w:r>
          </w:p>
        </w:tc>
        <w:tc>
          <w:tcPr>
            <w:tcW w:w="917" w:type="dxa"/>
          </w:tcPr>
          <w:p>
            <w:pPr>
              <w:pStyle w:val="TableParagraph"/>
              <w:spacing w:line="240" w:lineRule="auto" w:before="25"/>
              <w:rPr>
                <w:sz w:val="16"/>
              </w:rPr>
            </w:pPr>
            <w:r>
              <w:rPr>
                <w:sz w:val="16"/>
              </w:rPr>
              <w:t>101</w:t>
            </w:r>
          </w:p>
        </w:tc>
      </w:tr>
      <w:tr>
        <w:trPr>
          <w:trHeight w:val="252" w:hRule="exact"/>
        </w:trPr>
        <w:tc>
          <w:tcPr>
            <w:tcW w:w="986" w:type="dxa"/>
          </w:tcPr>
          <w:p>
            <w:pPr>
              <w:pStyle w:val="TableParagraph"/>
              <w:spacing w:line="240" w:lineRule="auto" w:before="25"/>
              <w:rPr>
                <w:sz w:val="16"/>
              </w:rPr>
            </w:pPr>
            <w:r>
              <w:rPr>
                <w:sz w:val="16"/>
              </w:rPr>
              <w:t>105</w:t>
            </w:r>
          </w:p>
        </w:tc>
        <w:tc>
          <w:tcPr>
            <w:tcW w:w="816" w:type="dxa"/>
            <w:vMerge/>
          </w:tcPr>
          <w:p>
            <w:pPr/>
          </w:p>
        </w:tc>
        <w:tc>
          <w:tcPr>
            <w:tcW w:w="793" w:type="dxa"/>
          </w:tcPr>
          <w:p>
            <w:pPr>
              <w:pStyle w:val="TableParagraph"/>
              <w:spacing w:line="240" w:lineRule="auto" w:before="25"/>
              <w:ind w:left="105"/>
              <w:rPr>
                <w:sz w:val="16"/>
              </w:rPr>
            </w:pPr>
            <w:r>
              <w:rPr>
                <w:sz w:val="16"/>
              </w:rPr>
              <w:t>2068</w:t>
            </w:r>
          </w:p>
        </w:tc>
        <w:tc>
          <w:tcPr>
            <w:tcW w:w="725" w:type="dxa"/>
          </w:tcPr>
          <w:p>
            <w:pPr>
              <w:pStyle w:val="TableParagraph"/>
              <w:spacing w:line="240" w:lineRule="auto" w:before="25"/>
              <w:rPr>
                <w:sz w:val="16"/>
              </w:rPr>
            </w:pPr>
            <w:r>
              <w:rPr>
                <w:sz w:val="16"/>
              </w:rPr>
              <w:t>2072</w:t>
            </w:r>
          </w:p>
        </w:tc>
        <w:tc>
          <w:tcPr>
            <w:tcW w:w="684" w:type="dxa"/>
          </w:tcPr>
          <w:p>
            <w:pPr>
              <w:pStyle w:val="TableParagraph"/>
              <w:spacing w:line="240" w:lineRule="auto" w:before="25"/>
              <w:rPr>
                <w:sz w:val="16"/>
              </w:rPr>
            </w:pPr>
            <w:r>
              <w:rPr>
                <w:sz w:val="16"/>
              </w:rPr>
              <w:t>1850</w:t>
            </w:r>
          </w:p>
        </w:tc>
        <w:tc>
          <w:tcPr>
            <w:tcW w:w="742" w:type="dxa"/>
          </w:tcPr>
          <w:p>
            <w:pPr>
              <w:pStyle w:val="TableParagraph"/>
              <w:spacing w:line="240" w:lineRule="auto" w:before="25"/>
              <w:rPr>
                <w:sz w:val="16"/>
              </w:rPr>
            </w:pPr>
            <w:r>
              <w:rPr>
                <w:sz w:val="16"/>
              </w:rPr>
              <w:t>1967</w:t>
            </w:r>
          </w:p>
        </w:tc>
        <w:tc>
          <w:tcPr>
            <w:tcW w:w="742" w:type="dxa"/>
          </w:tcPr>
          <w:p>
            <w:pPr>
              <w:pStyle w:val="TableParagraph"/>
              <w:spacing w:line="240" w:lineRule="auto" w:before="25"/>
              <w:rPr>
                <w:sz w:val="16"/>
              </w:rPr>
            </w:pPr>
            <w:r>
              <w:rPr>
                <w:sz w:val="16"/>
              </w:rPr>
              <w:t>10.7</w:t>
            </w:r>
          </w:p>
        </w:tc>
        <w:tc>
          <w:tcPr>
            <w:tcW w:w="720" w:type="dxa"/>
          </w:tcPr>
          <w:p>
            <w:pPr>
              <w:pStyle w:val="TableParagraph"/>
              <w:spacing w:line="240" w:lineRule="auto" w:before="25"/>
              <w:rPr>
                <w:sz w:val="16"/>
              </w:rPr>
            </w:pPr>
            <w:r>
              <w:rPr>
                <w:sz w:val="16"/>
              </w:rPr>
              <w:t>4.8</w:t>
            </w:r>
          </w:p>
        </w:tc>
        <w:tc>
          <w:tcPr>
            <w:tcW w:w="721" w:type="dxa"/>
          </w:tcPr>
          <w:p>
            <w:pPr>
              <w:pStyle w:val="TableParagraph"/>
              <w:spacing w:line="240" w:lineRule="auto" w:before="25"/>
              <w:ind w:left="105"/>
              <w:rPr>
                <w:sz w:val="16"/>
              </w:rPr>
            </w:pPr>
            <w:r>
              <w:rPr>
                <w:sz w:val="16"/>
              </w:rPr>
              <w:t>105</w:t>
            </w:r>
          </w:p>
        </w:tc>
        <w:tc>
          <w:tcPr>
            <w:tcW w:w="917" w:type="dxa"/>
          </w:tcPr>
          <w:p>
            <w:pPr>
              <w:pStyle w:val="TableParagraph"/>
              <w:spacing w:line="240" w:lineRule="auto" w:before="25"/>
              <w:ind w:left="105"/>
              <w:rPr>
                <w:sz w:val="16"/>
              </w:rPr>
            </w:pPr>
            <w:r>
              <w:rPr>
                <w:sz w:val="16"/>
              </w:rPr>
              <w:t>105</w:t>
            </w:r>
          </w:p>
        </w:tc>
        <w:tc>
          <w:tcPr>
            <w:tcW w:w="920" w:type="dxa"/>
          </w:tcPr>
          <w:p>
            <w:pPr>
              <w:pStyle w:val="TableParagraph"/>
              <w:spacing w:line="240" w:lineRule="auto" w:before="25"/>
              <w:ind w:left="105"/>
              <w:rPr>
                <w:sz w:val="16"/>
              </w:rPr>
            </w:pPr>
            <w:r>
              <w:rPr>
                <w:sz w:val="16"/>
              </w:rPr>
              <w:t>99</w:t>
            </w:r>
          </w:p>
        </w:tc>
        <w:tc>
          <w:tcPr>
            <w:tcW w:w="917" w:type="dxa"/>
          </w:tcPr>
          <w:p>
            <w:pPr>
              <w:pStyle w:val="TableParagraph"/>
              <w:spacing w:line="240" w:lineRule="auto" w:before="25"/>
              <w:rPr>
                <w:sz w:val="16"/>
              </w:rPr>
            </w:pPr>
            <w:r>
              <w:rPr>
                <w:sz w:val="16"/>
              </w:rPr>
              <w:t>97</w:t>
            </w:r>
          </w:p>
        </w:tc>
      </w:tr>
      <w:tr>
        <w:trPr>
          <w:trHeight w:val="254" w:hRule="exact"/>
        </w:trPr>
        <w:tc>
          <w:tcPr>
            <w:tcW w:w="986" w:type="dxa"/>
          </w:tcPr>
          <w:p>
            <w:pPr>
              <w:pStyle w:val="TableParagraph"/>
              <w:spacing w:line="240" w:lineRule="auto" w:before="27"/>
              <w:rPr>
                <w:sz w:val="16"/>
              </w:rPr>
            </w:pPr>
            <w:r>
              <w:rPr>
                <w:sz w:val="16"/>
              </w:rPr>
              <w:t>110</w:t>
            </w:r>
          </w:p>
        </w:tc>
        <w:tc>
          <w:tcPr>
            <w:tcW w:w="816" w:type="dxa"/>
            <w:vMerge/>
          </w:tcPr>
          <w:p>
            <w:pPr/>
          </w:p>
        </w:tc>
        <w:tc>
          <w:tcPr>
            <w:tcW w:w="793" w:type="dxa"/>
          </w:tcPr>
          <w:p>
            <w:pPr>
              <w:pStyle w:val="TableParagraph"/>
              <w:spacing w:line="240" w:lineRule="auto" w:before="27"/>
              <w:ind w:left="105"/>
              <w:rPr>
                <w:sz w:val="16"/>
              </w:rPr>
            </w:pPr>
            <w:r>
              <w:rPr>
                <w:sz w:val="16"/>
              </w:rPr>
              <w:t>2065</w:t>
            </w:r>
          </w:p>
        </w:tc>
        <w:tc>
          <w:tcPr>
            <w:tcW w:w="725" w:type="dxa"/>
          </w:tcPr>
          <w:p>
            <w:pPr>
              <w:pStyle w:val="TableParagraph"/>
              <w:spacing w:line="240" w:lineRule="auto" w:before="27"/>
              <w:rPr>
                <w:sz w:val="16"/>
              </w:rPr>
            </w:pPr>
            <w:r>
              <w:rPr>
                <w:sz w:val="16"/>
              </w:rPr>
              <w:t>2067</w:t>
            </w:r>
          </w:p>
        </w:tc>
        <w:tc>
          <w:tcPr>
            <w:tcW w:w="684" w:type="dxa"/>
          </w:tcPr>
          <w:p>
            <w:pPr>
              <w:pStyle w:val="TableParagraph"/>
              <w:spacing w:line="240" w:lineRule="auto" w:before="27"/>
              <w:rPr>
                <w:sz w:val="16"/>
              </w:rPr>
            </w:pPr>
            <w:r>
              <w:rPr>
                <w:sz w:val="16"/>
              </w:rPr>
              <w:t>1847</w:t>
            </w:r>
          </w:p>
        </w:tc>
        <w:tc>
          <w:tcPr>
            <w:tcW w:w="742" w:type="dxa"/>
          </w:tcPr>
          <w:p>
            <w:pPr>
              <w:pStyle w:val="TableParagraph"/>
              <w:spacing w:line="240" w:lineRule="auto" w:before="27"/>
              <w:rPr>
                <w:sz w:val="16"/>
              </w:rPr>
            </w:pPr>
            <w:r>
              <w:rPr>
                <w:sz w:val="16"/>
              </w:rPr>
              <w:t>1846</w:t>
            </w:r>
          </w:p>
        </w:tc>
        <w:tc>
          <w:tcPr>
            <w:tcW w:w="742" w:type="dxa"/>
          </w:tcPr>
          <w:p>
            <w:pPr>
              <w:pStyle w:val="TableParagraph"/>
              <w:spacing w:line="240" w:lineRule="auto" w:before="27"/>
              <w:rPr>
                <w:sz w:val="16"/>
              </w:rPr>
            </w:pPr>
            <w:r>
              <w:rPr>
                <w:sz w:val="16"/>
              </w:rPr>
              <w:t>10.6</w:t>
            </w:r>
          </w:p>
        </w:tc>
        <w:tc>
          <w:tcPr>
            <w:tcW w:w="720" w:type="dxa"/>
          </w:tcPr>
          <w:p>
            <w:pPr>
              <w:pStyle w:val="TableParagraph"/>
              <w:spacing w:line="240" w:lineRule="auto" w:before="27"/>
              <w:rPr>
                <w:sz w:val="16"/>
              </w:rPr>
            </w:pPr>
            <w:r>
              <w:rPr>
                <w:sz w:val="16"/>
              </w:rPr>
              <w:t>10.6</w:t>
            </w:r>
          </w:p>
        </w:tc>
        <w:tc>
          <w:tcPr>
            <w:tcW w:w="721" w:type="dxa"/>
          </w:tcPr>
          <w:p>
            <w:pPr>
              <w:pStyle w:val="TableParagraph"/>
              <w:spacing w:line="240" w:lineRule="auto" w:before="27"/>
              <w:ind w:left="105"/>
              <w:rPr>
                <w:sz w:val="16"/>
              </w:rPr>
            </w:pPr>
            <w:r>
              <w:rPr>
                <w:sz w:val="16"/>
              </w:rPr>
              <w:t>212</w:t>
            </w:r>
          </w:p>
        </w:tc>
        <w:tc>
          <w:tcPr>
            <w:tcW w:w="917" w:type="dxa"/>
          </w:tcPr>
          <w:p>
            <w:pPr>
              <w:pStyle w:val="TableParagraph"/>
              <w:spacing w:line="240" w:lineRule="auto" w:before="27"/>
              <w:ind w:left="105"/>
              <w:rPr>
                <w:sz w:val="16"/>
              </w:rPr>
            </w:pPr>
            <w:r>
              <w:rPr>
                <w:sz w:val="16"/>
              </w:rPr>
              <w:t>104</w:t>
            </w:r>
          </w:p>
        </w:tc>
        <w:tc>
          <w:tcPr>
            <w:tcW w:w="920" w:type="dxa"/>
          </w:tcPr>
          <w:p>
            <w:pPr>
              <w:pStyle w:val="TableParagraph"/>
              <w:spacing w:line="240" w:lineRule="auto" w:before="27"/>
              <w:ind w:left="105"/>
              <w:rPr>
                <w:sz w:val="16"/>
              </w:rPr>
            </w:pPr>
            <w:r>
              <w:rPr>
                <w:sz w:val="16"/>
              </w:rPr>
              <w:t>100</w:t>
            </w:r>
          </w:p>
        </w:tc>
        <w:tc>
          <w:tcPr>
            <w:tcW w:w="917" w:type="dxa"/>
          </w:tcPr>
          <w:p>
            <w:pPr>
              <w:pStyle w:val="TableParagraph"/>
              <w:spacing w:line="240" w:lineRule="auto" w:before="27"/>
              <w:rPr>
                <w:sz w:val="16"/>
              </w:rPr>
            </w:pPr>
            <w:r>
              <w:rPr>
                <w:sz w:val="16"/>
              </w:rPr>
              <w:t>90</w:t>
            </w:r>
          </w:p>
        </w:tc>
      </w:tr>
      <w:tr>
        <w:trPr>
          <w:trHeight w:val="254" w:hRule="exact"/>
        </w:trPr>
        <w:tc>
          <w:tcPr>
            <w:tcW w:w="986" w:type="dxa"/>
          </w:tcPr>
          <w:p>
            <w:pPr>
              <w:pStyle w:val="TableParagraph"/>
              <w:spacing w:line="240" w:lineRule="auto" w:before="27"/>
              <w:rPr>
                <w:sz w:val="16"/>
              </w:rPr>
            </w:pPr>
            <w:r>
              <w:rPr>
                <w:sz w:val="16"/>
              </w:rPr>
              <w:t>115</w:t>
            </w:r>
          </w:p>
        </w:tc>
        <w:tc>
          <w:tcPr>
            <w:tcW w:w="816" w:type="dxa"/>
            <w:vMerge/>
          </w:tcPr>
          <w:p>
            <w:pPr/>
          </w:p>
        </w:tc>
        <w:tc>
          <w:tcPr>
            <w:tcW w:w="793" w:type="dxa"/>
          </w:tcPr>
          <w:p>
            <w:pPr>
              <w:pStyle w:val="TableParagraph"/>
              <w:spacing w:line="240" w:lineRule="auto" w:before="27"/>
              <w:ind w:left="105"/>
              <w:rPr>
                <w:sz w:val="16"/>
              </w:rPr>
            </w:pPr>
            <w:r>
              <w:rPr>
                <w:sz w:val="16"/>
              </w:rPr>
              <w:t>2067</w:t>
            </w:r>
          </w:p>
        </w:tc>
        <w:tc>
          <w:tcPr>
            <w:tcW w:w="725" w:type="dxa"/>
          </w:tcPr>
          <w:p>
            <w:pPr>
              <w:pStyle w:val="TableParagraph"/>
              <w:spacing w:line="240" w:lineRule="auto" w:before="27"/>
              <w:rPr>
                <w:sz w:val="16"/>
              </w:rPr>
            </w:pPr>
            <w:r>
              <w:rPr>
                <w:sz w:val="16"/>
              </w:rPr>
              <w:t>2066</w:t>
            </w:r>
          </w:p>
        </w:tc>
        <w:tc>
          <w:tcPr>
            <w:tcW w:w="684" w:type="dxa"/>
          </w:tcPr>
          <w:p>
            <w:pPr>
              <w:pStyle w:val="TableParagraph"/>
              <w:spacing w:line="240" w:lineRule="auto" w:before="27"/>
              <w:rPr>
                <w:sz w:val="16"/>
              </w:rPr>
            </w:pPr>
            <w:r>
              <w:rPr>
                <w:sz w:val="16"/>
              </w:rPr>
              <w:t>1720</w:t>
            </w:r>
          </w:p>
        </w:tc>
        <w:tc>
          <w:tcPr>
            <w:tcW w:w="742" w:type="dxa"/>
          </w:tcPr>
          <w:p>
            <w:pPr>
              <w:pStyle w:val="TableParagraph"/>
              <w:spacing w:line="240" w:lineRule="auto" w:before="27"/>
              <w:rPr>
                <w:sz w:val="16"/>
              </w:rPr>
            </w:pPr>
            <w:r>
              <w:rPr>
                <w:sz w:val="16"/>
              </w:rPr>
              <w:t>1681</w:t>
            </w:r>
          </w:p>
        </w:tc>
        <w:tc>
          <w:tcPr>
            <w:tcW w:w="742" w:type="dxa"/>
          </w:tcPr>
          <w:p>
            <w:pPr>
              <w:pStyle w:val="TableParagraph"/>
              <w:spacing w:line="240" w:lineRule="auto" w:before="27"/>
              <w:rPr>
                <w:sz w:val="16"/>
              </w:rPr>
            </w:pPr>
            <w:r>
              <w:rPr>
                <w:sz w:val="16"/>
              </w:rPr>
              <w:t>16.7</w:t>
            </w:r>
          </w:p>
        </w:tc>
        <w:tc>
          <w:tcPr>
            <w:tcW w:w="720" w:type="dxa"/>
          </w:tcPr>
          <w:p>
            <w:pPr>
              <w:pStyle w:val="TableParagraph"/>
              <w:spacing w:line="240" w:lineRule="auto" w:before="27"/>
              <w:rPr>
                <w:sz w:val="16"/>
              </w:rPr>
            </w:pPr>
            <w:r>
              <w:rPr>
                <w:sz w:val="16"/>
              </w:rPr>
              <w:t>18.6</w:t>
            </w:r>
          </w:p>
        </w:tc>
        <w:tc>
          <w:tcPr>
            <w:tcW w:w="721" w:type="dxa"/>
          </w:tcPr>
          <w:p>
            <w:pPr>
              <w:pStyle w:val="TableParagraph"/>
              <w:spacing w:line="240" w:lineRule="auto" w:before="27"/>
              <w:ind w:left="105"/>
              <w:rPr>
                <w:sz w:val="16"/>
              </w:rPr>
            </w:pPr>
            <w:r>
              <w:rPr>
                <w:sz w:val="16"/>
              </w:rPr>
              <w:t>214</w:t>
            </w:r>
          </w:p>
        </w:tc>
        <w:tc>
          <w:tcPr>
            <w:tcW w:w="917" w:type="dxa"/>
          </w:tcPr>
          <w:p>
            <w:pPr>
              <w:pStyle w:val="TableParagraph"/>
              <w:spacing w:line="240" w:lineRule="auto" w:before="27"/>
              <w:ind w:left="105"/>
              <w:rPr>
                <w:sz w:val="16"/>
              </w:rPr>
            </w:pPr>
            <w:r>
              <w:rPr>
                <w:sz w:val="16"/>
              </w:rPr>
              <w:t>215</w:t>
            </w:r>
          </w:p>
        </w:tc>
        <w:tc>
          <w:tcPr>
            <w:tcW w:w="920" w:type="dxa"/>
          </w:tcPr>
          <w:p>
            <w:pPr>
              <w:pStyle w:val="TableParagraph"/>
              <w:spacing w:line="240" w:lineRule="auto" w:before="27"/>
              <w:ind w:left="105"/>
              <w:rPr>
                <w:sz w:val="16"/>
              </w:rPr>
            </w:pPr>
            <w:r>
              <w:rPr>
                <w:sz w:val="16"/>
              </w:rPr>
              <w:t>92</w:t>
            </w:r>
          </w:p>
        </w:tc>
        <w:tc>
          <w:tcPr>
            <w:tcW w:w="917" w:type="dxa"/>
          </w:tcPr>
          <w:p>
            <w:pPr>
              <w:pStyle w:val="TableParagraph"/>
              <w:spacing w:line="240" w:lineRule="auto" w:before="27"/>
              <w:rPr>
                <w:sz w:val="16"/>
              </w:rPr>
            </w:pPr>
            <w:r>
              <w:rPr>
                <w:sz w:val="16"/>
              </w:rPr>
              <w:t>102</w:t>
            </w:r>
          </w:p>
        </w:tc>
      </w:tr>
    </w:tbl>
    <w:p>
      <w:pPr>
        <w:spacing w:after="0" w:line="240" w:lineRule="auto"/>
        <w:rPr>
          <w:sz w:val="16"/>
        </w:rPr>
        <w:sectPr>
          <w:headerReference w:type="default" r:id="rId310"/>
          <w:pgSz w:w="11910" w:h="16850"/>
          <w:pgMar w:header="852" w:footer="979" w:top="1040" w:bottom="1160" w:left="0" w:right="0"/>
        </w:sectPr>
      </w:pPr>
    </w:p>
    <w:p>
      <w:pPr>
        <w:pStyle w:val="BodyText"/>
        <w:rPr>
          <w:b/>
        </w:rPr>
      </w:pPr>
      <w:r>
        <w:rPr/>
        <w:pict>
          <v:shape style="position:absolute;margin-left:73.921997pt;margin-top:187.009674pt;width:22.05pt;height:34.25pt;mso-position-horizontal-relative:page;mso-position-vertical-relative:page;z-index:7576" type="#_x0000_t202" filled="false" stroked="false">
            <v:textbox inset="0,0,0,0" style="layout-flow:vertical;mso-layout-flow-alt:bottom-to-top">
              <w:txbxContent>
                <w:p>
                  <w:pPr>
                    <w:spacing w:line="428" w:lineRule="exact" w:before="0"/>
                    <w:ind w:left="20" w:right="0" w:firstLine="0"/>
                    <w:jc w:val="left"/>
                    <w:rPr>
                      <w:rFonts w:ascii="Calibri"/>
                      <w:sz w:val="40"/>
                    </w:rPr>
                  </w:pPr>
                  <w:r>
                    <w:rPr>
                      <w:rFonts w:ascii="Calibri"/>
                      <w:color w:val="585858"/>
                      <w:spacing w:val="-1"/>
                      <w:w w:val="100"/>
                      <w:sz w:val="40"/>
                    </w:rPr>
                    <w:t>CDF</w:t>
                  </w:r>
                </w:p>
              </w:txbxContent>
            </v:textbox>
            <w10:wrap type="none"/>
          </v:shape>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23"/>
        </w:rPr>
      </w:pPr>
    </w:p>
    <w:p>
      <w:pPr>
        <w:spacing w:before="0"/>
        <w:ind w:left="1133" w:right="0" w:firstLine="0"/>
        <w:jc w:val="left"/>
        <w:rPr>
          <w:b/>
          <w:sz w:val="24"/>
        </w:rPr>
      </w:pPr>
      <w:r>
        <w:rPr/>
        <w:pict>
          <v:group style="position:absolute;margin-left:56.275002pt;margin-top:-271.769135pt;width:481.35pt;height:256.95pt;mso-position-horizontal-relative:page;mso-position-vertical-relative:paragraph;z-index:7312" coordorigin="1126,-5435" coordsize="9627,5139">
            <v:shape style="position:absolute;left:0;top:6327;width:6384;height:3670" coordorigin="0,6327" coordsize="6384,3670" path="m2403,-930l8787,-930m2403,-966l8787,-966m2403,-1005l8787,-1005m2403,-1041l8787,-1041m2403,-1079l8787,-1079m2403,-1117l8787,-1117m2403,-1153l8787,-1153m2403,-1192l8787,-1192m2403,-1228l8787,-1228m2403,-1305l8787,-1305m2403,-1341l8787,-1341m2403,-1379l8787,-1379m2403,-1415l8787,-1415m2403,-1453l8787,-1453m2403,-1492l8787,-1492m2403,-1528l8787,-1528m2403,-1566l8787,-1566m2403,-1602l8787,-1602m2403,-1679l8787,-1679m2403,-1715l8787,-1715m2403,-1753l8787,-1753m2403,-1789l8787,-1789m2403,-1828l8787,-1828m2403,-1866l8787,-1866m2403,-1902l8787,-1902m2403,-1941l8787,-1941m2403,-1977l8787,-1977m2403,-2053l8787,-2053m2403,-2089l8787,-2089m2403,-2128l8787,-2128m2403,-2164l8787,-2164m2403,-2202l8787,-2202m2403,-2241l8787,-2241m2403,-2277l8787,-2277m2403,-2315l8787,-2315m2403,-2351l8787,-2351m2403,-2428l8787,-2428m2403,-2464l8787,-2464m2403,-2502l8787,-2502m2403,-2538l8787,-2538m2403,-2577l8787,-2577m2403,-2615l8787,-2615m2403,-2651l8787,-2651m2403,-2689l8787,-2689m2403,-2725l8787,-2725m2403,-2802l8787,-2802m2403,-2838l8787,-2838m2403,-2877l8787,-2877m2403,-2913l8787,-2913m2403,-2951l8787,-2951m2403,-2989l8787,-2989m2403,-3025l8787,-3025m2403,-3064l8787,-3064m2403,-3100l8787,-3100m2403,-3177l8787,-3177m2403,-3213l8787,-3213m2403,-3251l8787,-3251m2403,-3289l8787,-3289m2403,-3325l8787,-3325m2403,-3364l8787,-3364m2403,-3400l8787,-3400m2403,-3438l8787,-3438m2403,-3477l8787,-3477m2403,-3551l8787,-3551m2403,-3587l8787,-3587m2403,-3625l8787,-3625m2403,-3664l8787,-3664m2403,-3700l8787,-3700m2403,-3738l8787,-3738m2403,-3774l8787,-3774m2403,-3813l8787,-3813m2403,-3851l8787,-3851m2403,-3925l8787,-3925m2403,-3961l8787,-3961m2403,-4000l8787,-4000m2403,-4038l8787,-4038m2403,-4074l8787,-4074m2403,-4113l8787,-4113m2403,-4149l8787,-4149m2403,-4187l8787,-4187m2403,-4225l8787,-4225m2403,-4300l8787,-4300m2403,-4336l8787,-4336m2403,-4374l8787,-4374m2403,-4413l8787,-4413m2403,-4449l8787,-4449m2403,-4487l8787,-4487m2403,-4523l8787,-4523m2403,-4561l8787,-4561m2403,-4600l8787,-4600e" filled="false" stroked="true" strokeweight=".75pt" strokecolor="#f1f1f1">
              <v:path arrowok="t"/>
              <v:stroke dashstyle="solid"/>
            </v:shape>
            <v:shape style="position:absolute;left:0;top:6627;width:6384;height:3370" coordorigin="0,6627" coordsize="6384,3370" path="m2403,-1266l8787,-1266m2403,-1641l8787,-1641m2403,-2015l8787,-2015m2403,-2389l8787,-2389m2403,-2764l8787,-2764m2403,-3138l8787,-3138m2403,-3513l8787,-3513m2403,-3887l8787,-3887m2403,-4261l8787,-4261m2403,-4636l8787,-4636e" filled="false" stroked="true" strokeweight=".75pt" strokecolor="#d9d9d9">
              <v:path arrowok="t"/>
              <v:stroke dashstyle="solid"/>
            </v:shape>
            <v:shape style="position:absolute;left:0;top:9997;width:5960;height:3745" coordorigin="0,9997" coordsize="5960,3745" path="m2616,-4636l2616,-892m2830,-4636l2830,-892m3041,-4636l3041,-892m3254,-4636l3254,-892m3679,-4636l3679,-892m3893,-4636l3893,-892m4106,-4636l4106,-892m4318,-4636l4318,-892m4745,-4636l4745,-892m4956,-4636l4956,-892m5170,-4636l5170,-892m5383,-4636l5383,-892m5808,-4636l5808,-892m6022,-4636l6022,-892m6233,-4636l6233,-892m6446,-4636l6446,-892m6871,-4636l6871,-892m7085,-4636l7085,-892m7298,-4636l7298,-892m7510,-4636l7510,-892m7937,-4636l7937,-892m8148,-4636l8148,-892m8362,-4636l8362,-892m8575,-4636l8575,-892e" filled="false" stroked="true" strokeweight=".75pt" strokecolor="#f1f1f1">
              <v:path arrowok="t"/>
              <v:stroke dashstyle="solid"/>
            </v:shape>
            <v:shape style="position:absolute;left:0;top:9997;width:5319;height:3745" coordorigin="0,9997" coordsize="5319,3745" path="m3468,-4636l3468,-892m4531,-4636l4531,-892m5594,-4636l5594,-892m6660,-4636l6660,-892m7723,-4636l7723,-892m8787,-4636l8787,-892e" filled="false" stroked="true" strokeweight=".75pt" strokecolor="#d9d9d9">
              <v:path arrowok="t"/>
              <v:stroke dashstyle="solid"/>
            </v:shape>
            <v:line style="position:absolute" from="2403,-892" to="2403,-4636" stroked="true" strokeweight=".75pt" strokecolor="#bebebe">
              <v:stroke dashstyle="solid"/>
            </v:line>
            <v:shape style="position:absolute;left:0;top:6253;width:64;height:3745" coordorigin="0,6253" coordsize="64,3745" path="m2340,-892l2403,-892m2340,-1266l2403,-1266m2340,-1641l2403,-1641m2340,-2015l2403,-2015m2340,-2389l2403,-2389m2340,-2764l2403,-2764m2340,-3138l2403,-3138m2340,-3513l2403,-3513m2340,-3887l2403,-3887m2340,-4261l2403,-4261m2340,-4636l2403,-4636e" filled="false" stroked="true" strokeweight=".75pt" strokecolor="#bebebe">
              <v:path arrowok="t"/>
              <v:stroke dashstyle="solid"/>
            </v:shape>
            <v:shape style="position:absolute;left:0;top:9997;width:6384;height:64" coordorigin="0,9997" coordsize="6384,64" path="m2403,-892l8787,-892m2403,-892l2403,-828m3468,-892l3468,-828m4531,-892l4531,-828m5594,-892l5594,-828m6660,-892l6660,-828m7723,-892l7723,-828m8787,-892l8787,-828e" filled="false" stroked="true" strokeweight=".75pt" strokecolor="#bebebe">
              <v:path arrowok="t"/>
              <v:stroke dashstyle="solid"/>
            </v:shape>
            <v:shape style="position:absolute;left:5382;top:-4636;width:958;height:3727" coordorigin="5382,-4636" coordsize="958,3727" path="m5382,-910l5401,-937,5430,-979,5463,-1036,5489,-1110,5515,-1234,5529,-1309,5542,-1390,5555,-1476,5569,-1569,5582,-1665,5595,-1764,5604,-1834,5613,-1907,5622,-1982,5631,-2061,5640,-2141,5648,-2223,5657,-2307,5666,-2391,5675,-2476,5684,-2560,5693,-2645,5702,-2728,5710,-2805,5718,-2885,5726,-2966,5734,-3048,5743,-3130,5751,-3213,5759,-3295,5767,-3375,5775,-3455,5783,-3532,5792,-3607,5800,-3678,5808,-3746,5820,-3840,5832,-3931,5843,-4019,5855,-4103,5867,-4182,5879,-4256,5891,-4323,5903,-4384,5938,-4505,5968,-4558,6021,-4618,6047,-4631,6074,-4629,6101,-4622,6127,-4618,6154,-4618,6180,-4617,6207,-4617,6234,-4618,6263,-4622,6293,-4627,6321,-4633,6340,-4636e" filled="false" stroked="true" strokeweight="1.5pt" strokecolor="#f0a789">
              <v:path arrowok="t"/>
              <v:stroke dashstyle="solid"/>
            </v:shape>
            <v:shape style="position:absolute;left:5489;top:-4636;width:383;height:3735" coordorigin="5489,-4636" coordsize="383,3735" path="m5489,-902l5512,-920,5536,-938,5557,-957,5574,-977,5582,-994,5586,-1015,5589,-1040,5593,-1072,5608,-1171,5617,-1244,5626,-1334,5635,-1444,5639,-1508,5644,-1578,5650,-1655,5655,-1741,5660,-1835,5666,-1939,5672,-2054,5675,-2116,5678,-2184,5681,-2258,5684,-2337,5688,-2420,5691,-2507,5695,-2596,5699,-2687,5702,-2780,5706,-2873,5710,-2966,5713,-3058,5717,-3148,5720,-3236,5724,-3321,5727,-3402,5730,-3478,5733,-3549,5736,-3613,5744,-3784,5750,-3885,5756,-3974,5761,-4053,5766,-4120,5770,-4178,5774,-4225,5780,-4303,5786,-4367,5791,-4417,5795,-4452,5797,-4468,5799,-4476,5801,-4483,5804,-4501,5809,-4523,5813,-4544,5818,-4561,5821,-4575,5825,-4580,5829,-4587,5834,-4596,5842,-4605,5848,-4612,5854,-4619,5862,-4626,5865,-4630,5869,-4633,5870,-4634,5872,-4636e" filled="false" stroked="true" strokeweight="1.5pt" strokecolor="#9dc3e6">
              <v:path arrowok="t"/>
              <v:stroke dashstyle="solid"/>
            </v:shape>
            <v:shape style="position:absolute;left:5657;top:-4636;width:394;height:3735" coordorigin="5657,-4636" coordsize="394,3735" path="m5657,-902l5669,-903,5682,-905,5693,-907,5719,-952,5723,-970,5739,-1051,5751,-1126,5764,-1253,5772,-1361,5776,-1423,5780,-1491,5785,-1565,5790,-1644,5794,-1728,5799,-1818,5804,-1914,5809,-2015,5812,-2083,5815,-2157,5819,-2236,5822,-2319,5825,-2405,5829,-2493,5832,-2583,5836,-2674,5839,-2765,5843,-2855,5846,-2944,5850,-3030,5853,-3112,5856,-3191,5859,-3264,5862,-3332,5867,-3442,5872,-3544,5877,-3638,5881,-3725,5886,-3806,5890,-3881,5894,-3952,5898,-4020,5903,-4084,5910,-4191,5918,-4283,5926,-4360,5933,-4425,5944,-4508,5962,-4563,5968,-4580,5997,-4631,6006,-4633,6015,-4634,6027,-4635,6039,-4636,6051,-4636e" filled="false" stroked="true" strokeweight="1.5pt" strokecolor="#000000">
              <v:path arrowok="t"/>
              <v:stroke dashstyle="solid"/>
            </v:shape>
            <v:line style="position:absolute" from="8997,-3497" to="9381,-3497" stroked="true" strokeweight="1.5pt" strokecolor="#f0a789">
              <v:stroke dashstyle="solid"/>
            </v:line>
            <v:line style="position:absolute" from="8997,-2963" to="9381,-2963" stroked="true" strokeweight="1.5pt" strokecolor="#9dc3e6">
              <v:stroke dashstyle="solid"/>
            </v:line>
            <v:line style="position:absolute" from="8997,-2428" to="9381,-2428" stroked="true" strokeweight="1.5pt" strokecolor="#000000">
              <v:stroke dashstyle="solid"/>
            </v:line>
            <v:rect style="position:absolute;left:1133;top:-5428;width:9612;height:5124" filled="false" stroked="true" strokeweight=".75pt" strokecolor="#d9d9d9">
              <v:stroke dashstyle="solid"/>
            </v:rect>
            <v:shape style="position:absolute;left:5117;top:-5204;width:1668;height:360" type="#_x0000_t202" filled="false" stroked="false">
              <v:textbox inset="0,0,0,0">
                <w:txbxContent>
                  <w:p>
                    <w:pPr>
                      <w:spacing w:line="360" w:lineRule="exact" w:before="0"/>
                      <w:ind w:left="0" w:right="0" w:firstLine="0"/>
                      <w:jc w:val="left"/>
                      <w:rPr>
                        <w:rFonts w:ascii="Calibri"/>
                        <w:b/>
                        <w:sz w:val="36"/>
                      </w:rPr>
                    </w:pPr>
                    <w:r>
                      <w:rPr>
                        <w:rFonts w:ascii="Calibri"/>
                        <w:b/>
                        <w:sz w:val="36"/>
                      </w:rPr>
                      <w:t>CDF of CBR</w:t>
                    </w:r>
                  </w:p>
                </w:txbxContent>
              </v:textbox>
              <w10:wrap type="none"/>
            </v:shape>
            <v:shape style="position:absolute;left:1966;top:-4729;width:273;height:1323" type="#_x0000_t202" filled="false" stroked="false">
              <v:textbox inset="0,0,0,0">
                <w:txbxContent>
                  <w:p>
                    <w:pPr>
                      <w:spacing w:line="203" w:lineRule="exact" w:before="0"/>
                      <w:ind w:left="131" w:right="0" w:firstLine="0"/>
                      <w:jc w:val="center"/>
                      <w:rPr>
                        <w:rFonts w:ascii="Calibri"/>
                        <w:sz w:val="20"/>
                      </w:rPr>
                    </w:pPr>
                    <w:r>
                      <w:rPr>
                        <w:rFonts w:ascii="Calibri"/>
                        <w:color w:val="585858"/>
                        <w:w w:val="99"/>
                        <w:sz w:val="20"/>
                      </w:rPr>
                      <w:t>1</w:t>
                    </w:r>
                  </w:p>
                  <w:p>
                    <w:pPr>
                      <w:spacing w:before="130"/>
                      <w:ind w:left="0" w:right="18" w:firstLine="0"/>
                      <w:jc w:val="center"/>
                      <w:rPr>
                        <w:rFonts w:ascii="Calibri"/>
                        <w:sz w:val="20"/>
                      </w:rPr>
                    </w:pPr>
                    <w:r>
                      <w:rPr>
                        <w:rFonts w:ascii="Calibri"/>
                        <w:color w:val="585858"/>
                        <w:sz w:val="20"/>
                      </w:rPr>
                      <w:t>0,9</w:t>
                    </w:r>
                  </w:p>
                  <w:p>
                    <w:pPr>
                      <w:spacing w:before="130"/>
                      <w:ind w:left="0" w:right="18" w:firstLine="0"/>
                      <w:jc w:val="center"/>
                      <w:rPr>
                        <w:rFonts w:ascii="Calibri"/>
                        <w:sz w:val="20"/>
                      </w:rPr>
                    </w:pPr>
                    <w:r>
                      <w:rPr>
                        <w:rFonts w:ascii="Calibri"/>
                        <w:color w:val="585858"/>
                        <w:sz w:val="20"/>
                      </w:rPr>
                      <w:t>0,8</w:t>
                    </w:r>
                  </w:p>
                  <w:p>
                    <w:pPr>
                      <w:spacing w:line="240" w:lineRule="exact" w:before="130"/>
                      <w:ind w:left="0" w:right="18" w:firstLine="0"/>
                      <w:jc w:val="center"/>
                      <w:rPr>
                        <w:rFonts w:ascii="Calibri"/>
                        <w:sz w:val="20"/>
                      </w:rPr>
                    </w:pPr>
                    <w:r>
                      <w:rPr>
                        <w:rFonts w:ascii="Calibri"/>
                        <w:color w:val="585858"/>
                        <w:sz w:val="20"/>
                      </w:rPr>
                      <w:t>0,7</w:t>
                    </w:r>
                  </w:p>
                </w:txbxContent>
              </v:textbox>
              <w10:wrap type="none"/>
            </v:shape>
            <v:shape style="position:absolute;left:9423;top:-3573;width:780;height:161" type="#_x0000_t202" filled="false" stroked="false">
              <v:textbox inset="0,0,0,0">
                <w:txbxContent>
                  <w:p>
                    <w:pPr>
                      <w:spacing w:line="161" w:lineRule="exact" w:before="0"/>
                      <w:ind w:left="0" w:right="0" w:firstLine="0"/>
                      <w:jc w:val="left"/>
                      <w:rPr>
                        <w:rFonts w:ascii="Calibri"/>
                        <w:sz w:val="16"/>
                      </w:rPr>
                    </w:pPr>
                    <w:r>
                      <w:rPr>
                        <w:rFonts w:ascii="Calibri"/>
                        <w:color w:val="585858"/>
                        <w:sz w:val="16"/>
                      </w:rPr>
                      <w:t>Lab with CC</w:t>
                    </w:r>
                  </w:p>
                </w:txbxContent>
              </v:textbox>
              <w10:wrap type="none"/>
            </v:shape>
            <v:shape style="position:absolute;left:1966;top:-3231;width:272;height:575" type="#_x0000_t202" filled="false" stroked="false">
              <v:textbox inset="0,0,0,0">
                <w:txbxContent>
                  <w:p>
                    <w:pPr>
                      <w:spacing w:line="203" w:lineRule="exact" w:before="0"/>
                      <w:ind w:left="0" w:right="0" w:firstLine="0"/>
                      <w:jc w:val="left"/>
                      <w:rPr>
                        <w:rFonts w:ascii="Calibri"/>
                        <w:sz w:val="20"/>
                      </w:rPr>
                    </w:pPr>
                    <w:r>
                      <w:rPr>
                        <w:rFonts w:ascii="Calibri"/>
                        <w:color w:val="585858"/>
                        <w:sz w:val="20"/>
                      </w:rPr>
                      <w:t>0,6</w:t>
                    </w:r>
                  </w:p>
                  <w:p>
                    <w:pPr>
                      <w:spacing w:line="240" w:lineRule="exact" w:before="131"/>
                      <w:ind w:left="0" w:right="0" w:firstLine="0"/>
                      <w:jc w:val="left"/>
                      <w:rPr>
                        <w:rFonts w:ascii="Calibri"/>
                        <w:sz w:val="20"/>
                      </w:rPr>
                    </w:pPr>
                    <w:r>
                      <w:rPr>
                        <w:rFonts w:ascii="Calibri"/>
                        <w:color w:val="585858"/>
                        <w:sz w:val="20"/>
                      </w:rPr>
                      <w:t>0,5</w:t>
                    </w:r>
                  </w:p>
                </w:txbxContent>
              </v:textbox>
              <w10:wrap type="none"/>
            </v:shape>
            <v:shape style="position:absolute;left:9423;top:-3038;width:1171;height:357" type="#_x0000_t202" filled="false" stroked="false">
              <v:textbox inset="0,0,0,0">
                <w:txbxContent>
                  <w:p>
                    <w:pPr>
                      <w:spacing w:line="164" w:lineRule="exact" w:before="0"/>
                      <w:ind w:left="0" w:right="0" w:firstLine="0"/>
                      <w:jc w:val="left"/>
                      <w:rPr>
                        <w:rFonts w:ascii="Calibri"/>
                        <w:sz w:val="16"/>
                      </w:rPr>
                    </w:pPr>
                    <w:r>
                      <w:rPr>
                        <w:rFonts w:ascii="Calibri"/>
                        <w:color w:val="585858"/>
                        <w:sz w:val="16"/>
                      </w:rPr>
                      <w:t>Sims - 600 Users -</w:t>
                    </w:r>
                  </w:p>
                  <w:p>
                    <w:pPr>
                      <w:spacing w:line="193" w:lineRule="exact" w:before="0"/>
                      <w:ind w:left="0" w:right="0" w:firstLine="0"/>
                      <w:jc w:val="left"/>
                      <w:rPr>
                        <w:rFonts w:ascii="Calibri"/>
                        <w:sz w:val="16"/>
                      </w:rPr>
                    </w:pPr>
                    <w:r>
                      <w:rPr>
                        <w:rFonts w:ascii="Calibri"/>
                        <w:color w:val="585858"/>
                        <w:sz w:val="16"/>
                      </w:rPr>
                      <w:t>AWGN</w:t>
                    </w:r>
                  </w:p>
                </w:txbxContent>
              </v:textbox>
              <w10:wrap type="none"/>
            </v:shape>
            <v:shape style="position:absolute;left:1966;top:-2482;width:272;height:200" type="#_x0000_t202" filled="false" stroked="false">
              <v:textbox inset="0,0,0,0">
                <w:txbxContent>
                  <w:p>
                    <w:pPr>
                      <w:spacing w:line="199" w:lineRule="exact" w:before="0"/>
                      <w:ind w:left="0" w:right="0" w:firstLine="0"/>
                      <w:jc w:val="left"/>
                      <w:rPr>
                        <w:rFonts w:ascii="Calibri"/>
                        <w:sz w:val="20"/>
                      </w:rPr>
                    </w:pPr>
                    <w:r>
                      <w:rPr>
                        <w:rFonts w:ascii="Calibri"/>
                        <w:color w:val="585858"/>
                        <w:sz w:val="20"/>
                      </w:rPr>
                      <w:t>0,4</w:t>
                    </w:r>
                  </w:p>
                </w:txbxContent>
              </v:textbox>
              <w10:wrap type="none"/>
            </v:shape>
            <v:shape style="position:absolute;left:9423;top:-2503;width:1160;height:356" type="#_x0000_t202" filled="false" stroked="false">
              <v:textbox inset="0,0,0,0">
                <w:txbxContent>
                  <w:p>
                    <w:pPr>
                      <w:spacing w:line="164" w:lineRule="exact" w:before="0"/>
                      <w:ind w:left="0" w:right="0" w:firstLine="0"/>
                      <w:jc w:val="left"/>
                      <w:rPr>
                        <w:rFonts w:ascii="Calibri"/>
                        <w:sz w:val="16"/>
                      </w:rPr>
                    </w:pPr>
                    <w:r>
                      <w:rPr>
                        <w:rFonts w:ascii="Calibri"/>
                        <w:color w:val="585858"/>
                        <w:sz w:val="16"/>
                      </w:rPr>
                      <w:t>Simulation - 1940</w:t>
                    </w:r>
                  </w:p>
                  <w:p>
                    <w:pPr>
                      <w:spacing w:line="192" w:lineRule="exact" w:before="0"/>
                      <w:ind w:left="0" w:right="0" w:firstLine="0"/>
                      <w:jc w:val="left"/>
                      <w:rPr>
                        <w:rFonts w:ascii="Calibri"/>
                        <w:sz w:val="16"/>
                      </w:rPr>
                    </w:pPr>
                    <w:r>
                      <w:rPr>
                        <w:rFonts w:ascii="Calibri"/>
                        <w:color w:val="585858"/>
                        <w:sz w:val="16"/>
                      </w:rPr>
                      <w:t>UEs</w:t>
                    </w:r>
                  </w:p>
                </w:txbxContent>
              </v:textbox>
              <w10:wrap type="none"/>
            </v:shape>
            <v:shape style="position:absolute;left:1966;top:-2107;width:273;height:1323" type="#_x0000_t202" filled="false" stroked="false">
              <v:textbox inset="0,0,0,0">
                <w:txbxContent>
                  <w:p>
                    <w:pPr>
                      <w:spacing w:line="203" w:lineRule="exact" w:before="0"/>
                      <w:ind w:left="0" w:right="18" w:firstLine="0"/>
                      <w:jc w:val="center"/>
                      <w:rPr>
                        <w:rFonts w:ascii="Calibri"/>
                        <w:sz w:val="20"/>
                      </w:rPr>
                    </w:pPr>
                    <w:r>
                      <w:rPr>
                        <w:rFonts w:ascii="Calibri"/>
                        <w:color w:val="585858"/>
                        <w:sz w:val="20"/>
                      </w:rPr>
                      <w:t>0,3</w:t>
                    </w:r>
                  </w:p>
                  <w:p>
                    <w:pPr>
                      <w:spacing w:before="130"/>
                      <w:ind w:left="0" w:right="18" w:firstLine="0"/>
                      <w:jc w:val="center"/>
                      <w:rPr>
                        <w:rFonts w:ascii="Calibri"/>
                        <w:sz w:val="20"/>
                      </w:rPr>
                    </w:pPr>
                    <w:r>
                      <w:rPr>
                        <w:rFonts w:ascii="Calibri"/>
                        <w:color w:val="585858"/>
                        <w:sz w:val="20"/>
                      </w:rPr>
                      <w:t>0,2</w:t>
                    </w:r>
                  </w:p>
                  <w:p>
                    <w:pPr>
                      <w:spacing w:before="130"/>
                      <w:ind w:left="0" w:right="18" w:firstLine="0"/>
                      <w:jc w:val="center"/>
                      <w:rPr>
                        <w:rFonts w:ascii="Calibri"/>
                        <w:sz w:val="20"/>
                      </w:rPr>
                    </w:pPr>
                    <w:r>
                      <w:rPr>
                        <w:rFonts w:ascii="Calibri"/>
                        <w:color w:val="585858"/>
                        <w:sz w:val="20"/>
                      </w:rPr>
                      <w:t>0,1</w:t>
                    </w:r>
                  </w:p>
                  <w:p>
                    <w:pPr>
                      <w:spacing w:line="240" w:lineRule="exact" w:before="130"/>
                      <w:ind w:left="131" w:right="0" w:firstLine="0"/>
                      <w:jc w:val="center"/>
                      <w:rPr>
                        <w:rFonts w:ascii="Calibri"/>
                        <w:sz w:val="20"/>
                      </w:rPr>
                    </w:pPr>
                    <w:r>
                      <w:rPr>
                        <w:rFonts w:ascii="Calibri"/>
                        <w:color w:val="585858"/>
                        <w:w w:val="99"/>
                        <w:sz w:val="20"/>
                      </w:rPr>
                      <w:t>0</w:t>
                    </w:r>
                  </w:p>
                </w:txbxContent>
              </v:textbox>
              <w10:wrap type="none"/>
            </v:shape>
            <v:shape style="position:absolute;left:2353;top:-724;width:121;height:200" type="#_x0000_t202" filled="false" stroked="false">
              <v:textbox inset="0,0,0,0">
                <w:txbxContent>
                  <w:p>
                    <w:pPr>
                      <w:spacing w:line="199" w:lineRule="exact" w:before="0"/>
                      <w:ind w:left="0" w:right="0" w:firstLine="0"/>
                      <w:jc w:val="left"/>
                      <w:rPr>
                        <w:rFonts w:ascii="Calibri"/>
                        <w:sz w:val="20"/>
                      </w:rPr>
                    </w:pPr>
                    <w:r>
                      <w:rPr>
                        <w:rFonts w:ascii="Calibri"/>
                        <w:color w:val="585858"/>
                        <w:w w:val="99"/>
                        <w:sz w:val="20"/>
                      </w:rPr>
                      <w:t>0</w:t>
                    </w:r>
                  </w:p>
                </w:txbxContent>
              </v:textbox>
              <w10:wrap type="none"/>
            </v:shape>
            <v:shape style="position:absolute;left:3367;top:-724;width:222;height:200" type="#_x0000_t202" filled="false" stroked="false">
              <v:textbox inset="0,0,0,0">
                <w:txbxContent>
                  <w:p>
                    <w:pPr>
                      <w:spacing w:line="199" w:lineRule="exact" w:before="0"/>
                      <w:ind w:left="0" w:right="0" w:firstLine="0"/>
                      <w:jc w:val="left"/>
                      <w:rPr>
                        <w:rFonts w:ascii="Calibri"/>
                        <w:sz w:val="20"/>
                      </w:rPr>
                    </w:pPr>
                    <w:r>
                      <w:rPr>
                        <w:rFonts w:ascii="Calibri"/>
                        <w:color w:val="585858"/>
                        <w:sz w:val="20"/>
                      </w:rPr>
                      <w:t>10</w:t>
                    </w:r>
                  </w:p>
                </w:txbxContent>
              </v:textbox>
              <w10:wrap type="none"/>
            </v:shape>
            <v:shape style="position:absolute;left:4431;top:-724;width:222;height:200" type="#_x0000_t202" filled="false" stroked="false">
              <v:textbox inset="0,0,0,0">
                <w:txbxContent>
                  <w:p>
                    <w:pPr>
                      <w:spacing w:line="199" w:lineRule="exact" w:before="0"/>
                      <w:ind w:left="0" w:right="0" w:firstLine="0"/>
                      <w:jc w:val="left"/>
                      <w:rPr>
                        <w:rFonts w:ascii="Calibri"/>
                        <w:sz w:val="20"/>
                      </w:rPr>
                    </w:pPr>
                    <w:r>
                      <w:rPr>
                        <w:rFonts w:ascii="Calibri"/>
                        <w:color w:val="585858"/>
                        <w:sz w:val="20"/>
                      </w:rPr>
                      <w:t>20</w:t>
                    </w:r>
                  </w:p>
                </w:txbxContent>
              </v:textbox>
              <w10:wrap type="none"/>
            </v:shape>
            <v:shape style="position:absolute;left:5436;top:-724;width:342;height:387" type="#_x0000_t202" filled="false" stroked="false">
              <v:textbox inset="0,0,0,0">
                <w:txbxContent>
                  <w:p>
                    <w:pPr>
                      <w:spacing w:line="175" w:lineRule="exact" w:before="0"/>
                      <w:ind w:left="59" w:right="0" w:firstLine="0"/>
                      <w:jc w:val="left"/>
                      <w:rPr>
                        <w:rFonts w:ascii="Calibri"/>
                        <w:sz w:val="20"/>
                      </w:rPr>
                    </w:pPr>
                    <w:r>
                      <w:rPr>
                        <w:rFonts w:ascii="Calibri"/>
                        <w:color w:val="585858"/>
                        <w:sz w:val="20"/>
                      </w:rPr>
                      <w:t>30</w:t>
                    </w:r>
                  </w:p>
                  <w:p>
                    <w:pPr>
                      <w:spacing w:line="212" w:lineRule="exact" w:before="0"/>
                      <w:ind w:left="0" w:right="0" w:firstLine="0"/>
                      <w:jc w:val="left"/>
                      <w:rPr>
                        <w:rFonts w:ascii="Calibri"/>
                        <w:sz w:val="20"/>
                      </w:rPr>
                    </w:pPr>
                    <w:r>
                      <w:rPr>
                        <w:rFonts w:ascii="Calibri"/>
                        <w:color w:val="585858"/>
                        <w:sz w:val="20"/>
                      </w:rPr>
                      <w:t>CBR</w:t>
                    </w:r>
                  </w:p>
                </w:txbxContent>
              </v:textbox>
              <w10:wrap type="none"/>
            </v:shape>
            <v:shape style="position:absolute;left:6559;top:-724;width:222;height:200" type="#_x0000_t202" filled="false" stroked="false">
              <v:textbox inset="0,0,0,0">
                <w:txbxContent>
                  <w:p>
                    <w:pPr>
                      <w:spacing w:line="199" w:lineRule="exact" w:before="0"/>
                      <w:ind w:left="0" w:right="0" w:firstLine="0"/>
                      <w:jc w:val="left"/>
                      <w:rPr>
                        <w:rFonts w:ascii="Calibri"/>
                        <w:sz w:val="20"/>
                      </w:rPr>
                    </w:pPr>
                    <w:r>
                      <w:rPr>
                        <w:rFonts w:ascii="Calibri"/>
                        <w:color w:val="585858"/>
                        <w:sz w:val="20"/>
                      </w:rPr>
                      <w:t>40</w:t>
                    </w:r>
                  </w:p>
                </w:txbxContent>
              </v:textbox>
              <w10:wrap type="none"/>
            </v:shape>
            <v:shape style="position:absolute;left:7623;top:-724;width:222;height:200" type="#_x0000_t202" filled="false" stroked="false">
              <v:textbox inset="0,0,0,0">
                <w:txbxContent>
                  <w:p>
                    <w:pPr>
                      <w:spacing w:line="199" w:lineRule="exact" w:before="0"/>
                      <w:ind w:left="0" w:right="0" w:firstLine="0"/>
                      <w:jc w:val="left"/>
                      <w:rPr>
                        <w:rFonts w:ascii="Calibri"/>
                        <w:sz w:val="20"/>
                      </w:rPr>
                    </w:pPr>
                    <w:r>
                      <w:rPr>
                        <w:rFonts w:ascii="Calibri"/>
                        <w:color w:val="585858"/>
                        <w:sz w:val="20"/>
                      </w:rPr>
                      <w:t>50</w:t>
                    </w:r>
                  </w:p>
                </w:txbxContent>
              </v:textbox>
              <w10:wrap type="none"/>
            </v:shape>
            <v:shape style="position:absolute;left:8688;top:-724;width:222;height:200" type="#_x0000_t202" filled="false" stroked="false">
              <v:textbox inset="0,0,0,0">
                <w:txbxContent>
                  <w:p>
                    <w:pPr>
                      <w:spacing w:line="199" w:lineRule="exact" w:before="0"/>
                      <w:ind w:left="0" w:right="0" w:firstLine="0"/>
                      <w:jc w:val="left"/>
                      <w:rPr>
                        <w:rFonts w:ascii="Calibri"/>
                        <w:sz w:val="20"/>
                      </w:rPr>
                    </w:pPr>
                    <w:r>
                      <w:rPr>
                        <w:rFonts w:ascii="Calibri"/>
                        <w:color w:val="585858"/>
                        <w:sz w:val="20"/>
                      </w:rPr>
                      <w:t>60</w:t>
                    </w:r>
                  </w:p>
                </w:txbxContent>
              </v:textbox>
              <w10:wrap type="none"/>
            </v:shape>
            <w10:wrap type="none"/>
          </v:group>
        </w:pict>
      </w:r>
      <w:r>
        <w:rPr/>
        <w:pict>
          <v:group style="position:absolute;margin-left:56.400002pt;margin-top:40.655857pt;width:468.5pt;height:295.75pt;mso-position-horizontal-relative:page;mso-position-vertical-relative:paragraph;z-index:7528" coordorigin="1128,813" coordsize="9370,5915">
            <v:shape style="position:absolute;left:0;top:9169;width:5186;height:828" coordorigin="0,9169" coordsize="5186,828" path="m2573,5384l7759,5384m2573,4971l7759,4971m2573,4556l7759,4556e" filled="false" stroked="true" strokeweight=".5pt" strokecolor="#888888">
              <v:path arrowok="t"/>
              <v:stroke dashstyle="solid"/>
            </v:shape>
            <v:line style="position:absolute" from="2702,4308" to="2702,5798" stroked="true" strokeweight=".5pt" strokecolor="#bbbbbb">
              <v:stroke dashstyle="solid"/>
            </v:line>
            <v:shape style="position:absolute;left:0;top:6273;width:5186;height:2484" coordorigin="0,6273" coordsize="5186,2484" path="m2573,4143l7759,4143m2573,3728l7759,3728m2573,3315l7759,3315m2573,2900l7759,2900m2573,2487l2911,2487m2573,2075l7759,2075m2573,1660l3559,1660e" filled="false" stroked="true" strokeweight=".5pt" strokecolor="#888888">
              <v:path arrowok="t"/>
              <v:stroke dashstyle="solid"/>
            </v:shape>
            <v:shape style="position:absolute;left:0;top:9997;width:130;height:4139" coordorigin="0,9997" coordsize="130,4139" path="m2702,1660l2702,4207m2832,1660l2832,3456m2832,3557l2832,5798e" filled="false" stroked="true" strokeweight=".5pt" strokecolor="#bbbbbb">
              <v:path arrowok="t"/>
              <v:stroke dashstyle="solid"/>
            </v:shape>
            <v:line style="position:absolute" from="3012,2487" to="7759,2487" stroked="true" strokeweight=".5pt" strokecolor="#888888">
              <v:stroke dashstyle="solid"/>
            </v:line>
            <v:shape style="position:absolute;left:259;top:9997;width:519;height:4139" coordorigin="259,9997" coordsize="519,4139" path="m2962,1660l2962,2421m2962,2522l2962,5798m3091,1660l3091,2179m3091,2280l3091,5798m3350,1660l3350,1752m3350,1853l3350,5798m3480,1752l3480,5798e" filled="false" stroked="true" strokeweight=".5pt" strokecolor="#bbbbbb">
              <v:path arrowok="t"/>
              <v:stroke dashstyle="solid"/>
            </v:shape>
            <v:line style="position:absolute" from="3660,1660" to="7759,1660" stroked="true" strokeweight=".5pt" strokecolor="#888888">
              <v:stroke dashstyle="solid"/>
            </v:line>
            <v:shape style="position:absolute;left:907;top:9997;width:4020;height:4139" coordorigin="907,9997" coordsize="4020,4139" path="m3610,1711l3610,5798m3739,1660l3739,5798m3998,1660l3998,5798m4128,1660l4128,5798m4258,1660l4258,5798m4387,1660l4387,5798m4646,1660l4646,5798m4776,1660l4776,5798m4906,1660l4906,5798m5035,1660l5035,5798m5294,1660l5294,5798m5424,1660l5424,5798m5554,1660l5554,5798m5683,1660l5683,5798m5942,1660l5942,5798m6072,1660l6072,5798m6202,1660l6202,5798m6331,1660l6331,5798m6593,1660l6593,5798m6722,1660l6722,5798m6852,1660l6852,5798m6982,1660l6982,5798m7241,1660l7241,5798m7370,1660l7370,5798m7500,1660l7500,5798m7630,1660l7630,5798e" filled="false" stroked="true" strokeweight=".5pt" strokecolor="#bbbbbb">
              <v:path arrowok="t"/>
              <v:stroke dashstyle="solid"/>
            </v:shape>
            <v:shape style="position:absolute;left:0;top:5859;width:2;height:4139" coordorigin="0,5859" coordsize="0,4139" path="m2573,1660l2573,4308m2573,4409l2573,5798e" filled="false" stroked="true" strokeweight=".5pt" strokecolor="#888888">
              <v:path arrowok="t"/>
              <v:stroke dashstyle="solid"/>
            </v:shape>
            <v:shape style="position:absolute;left:0;top:5859;width:64;height:4139" coordorigin="0,5859" coordsize="64,4139" path="m2509,5798l2573,5798m2509,5384l2573,5384m2509,4971l2573,4971m2509,4556l2573,4556m2509,4143l2573,4143m2509,3728l2573,3728m2509,3315l2573,3315m2509,2900l2573,2900m2509,2487l2573,2487m2509,2075l2573,2075m2509,1660l2573,1660e" filled="false" stroked="true" strokeweight=".5pt" strokecolor="#888888">
              <v:path arrowok="t"/>
              <v:stroke dashstyle="solid"/>
            </v:shape>
            <v:shape style="position:absolute;left:0;top:9997;width:5186;height:64" coordorigin="0,9997" coordsize="5186,64" path="m2573,5798l7759,5798m2573,5798l2573,5862m3221,5798l3221,5862m3869,5798l3869,5862m4517,5798l4517,5862m5165,5798l5165,5862m5813,5798l5813,5862m6463,5798l6463,5862m7111,5798l7111,5862m7759,5798l7759,5862e" filled="false" stroked="true" strokeweight=".5pt" strokecolor="#888888">
              <v:path arrowok="t"/>
              <v:stroke dashstyle="solid"/>
            </v:shape>
            <v:shape style="position:absolute;left:2573;top:1660;width:1038;height:2698" coordorigin="2573,1660" coordsize="1038,2698" path="m2573,4358l2702,4256,2832,3505,2962,2471,3091,2228,3221,1923,3350,1801,3480,1700,3610,1660e" filled="false" stroked="true" strokeweight="1.5pt" strokecolor="#ec7c30">
              <v:path arrowok="t"/>
              <v:stroke dashstyle="solid"/>
            </v:shape>
            <v:shape style="position:absolute;left:2518;top:4202;width:240;height:211" type="#_x0000_t75" stroked="false">
              <v:imagedata r:id="rId312" o:title=""/>
            </v:shape>
            <v:rect style="position:absolute;left:2782;top:3456;width:101;height:101" filled="true" fillcolor="#ec7c30" stroked="false">
              <v:fill type="solid"/>
            </v:rect>
            <v:rect style="position:absolute;left:2782;top:3456;width:101;height:101" filled="false" stroked="true" strokeweight=".48pt" strokecolor="#ec7c30">
              <v:stroke dashstyle="solid"/>
            </v:rect>
            <v:rect style="position:absolute;left:2911;top:2421;width:101;height:101" filled="true" fillcolor="#ec7c30" stroked="false">
              <v:fill type="solid"/>
            </v:rect>
            <v:rect style="position:absolute;left:2911;top:2421;width:101;height:101" filled="false" stroked="true" strokeweight=".48pt" strokecolor="#ec7c30">
              <v:stroke dashstyle="solid"/>
            </v:rect>
            <v:rect style="position:absolute;left:3041;top:2179;width:101;height:101" filled="true" fillcolor="#ec7c30" stroked="false">
              <v:fill type="solid"/>
            </v:rect>
            <v:rect style="position:absolute;left:3041;top:2179;width:101;height:101" filled="false" stroked="true" strokeweight=".48pt" strokecolor="#ec7c30">
              <v:stroke dashstyle="solid"/>
            </v:rect>
            <v:shape style="position:absolute;left:3166;top:1605;width:499;height:374" type="#_x0000_t75" stroked="false">
              <v:imagedata r:id="rId313" o:title=""/>
            </v:shape>
            <v:shape style="position:absolute;left:2518;top:1645;width:848;height:4163" type="#_x0000_t75" stroked="false">
              <v:imagedata r:id="rId314" o:title=""/>
            </v:shape>
            <v:shape style="position:absolute;left:3036;top:1927;width:110;height:617" type="#_x0000_t75" stroked="false">
              <v:imagedata r:id="rId315" o:title=""/>
            </v:shape>
            <v:shape style="position:absolute;left:3295;top:1605;width:110;height:386" type="#_x0000_t75" stroked="false">
              <v:imagedata r:id="rId316" o:title=""/>
            </v:shape>
            <v:shape style="position:absolute;left:2573;top:1660;width:4408;height:4093" coordorigin="2573,1660" coordsize="4408,4093" path="m2573,5752l2573,5752,2573,4235,2832,4189,2832,2900,3091,2855,3091,2027,3350,1981,3350,1705,6981,1660e" filled="false" stroked="true" strokeweight="1.5pt" strokecolor="#a4a4a4">
              <v:path arrowok="t"/>
              <v:stroke dashstyle="solid"/>
            </v:shape>
            <v:shape style="position:absolute;left:2523;top:5702;width:101;height:101" coordorigin="2523,5702" coordsize="101,101" path="m2573,5702l2523,5803,2623,5803,2573,5702xe" filled="true" fillcolor="#a4a4a4" stroked="false">
              <v:path arrowok="t"/>
              <v:fill type="solid"/>
            </v:shape>
            <v:shape style="position:absolute;left:2523;top:5702;width:101;height:101" coordorigin="2523,5702" coordsize="101,101" path="m2573,5702l2623,5803,2523,5803,2573,5702xe" filled="false" stroked="true" strokeweight=".48pt" strokecolor="#a4a4a4">
              <v:path arrowok="t"/>
              <v:stroke dashstyle="solid"/>
            </v:shape>
            <v:shape style="position:absolute;left:2523;top:5657;width:101;height:101" coordorigin="2523,5657" coordsize="101,101" path="m2573,5657l2523,5757,2623,5757,2573,5657xe" filled="true" fillcolor="#a4a4a4" stroked="false">
              <v:path arrowok="t"/>
              <v:fill type="solid"/>
            </v:shape>
            <v:shape style="position:absolute;left:2523;top:5657;width:101;height:101" coordorigin="2523,5657" coordsize="101,101" path="m2573,5657l2623,5757,2523,5757,2573,5657xe" filled="false" stroked="true" strokeweight=".48pt" strokecolor="#a4a4a4">
              <v:path arrowok="t"/>
              <v:stroke dashstyle="solid"/>
            </v:shape>
            <v:shape style="position:absolute;left:2523;top:5611;width:101;height:101" coordorigin="2523,5611" coordsize="101,101" path="m2573,5611l2523,5712,2623,5712,2573,5611xe" filled="true" fillcolor="#a4a4a4" stroked="false">
              <v:path arrowok="t"/>
              <v:fill type="solid"/>
            </v:shape>
            <v:shape style="position:absolute;left:2523;top:5611;width:101;height:101" coordorigin="2523,5611" coordsize="101,101" path="m2573,5611l2623,5712,2523,5712,2573,5611xe" filled="false" stroked="true" strokeweight=".48pt" strokecolor="#a4a4a4">
              <v:path arrowok="t"/>
              <v:stroke dashstyle="solid"/>
            </v:shape>
            <v:shape style="position:absolute;left:2523;top:5565;width:101;height:101" coordorigin="2523,5565" coordsize="101,101" path="m2573,5565l2523,5666,2623,5666,2573,5565xe" filled="true" fillcolor="#a4a4a4" stroked="false">
              <v:path arrowok="t"/>
              <v:fill type="solid"/>
            </v:shape>
            <v:shape style="position:absolute;left:2523;top:5565;width:101;height:101" coordorigin="2523,5565" coordsize="101,101" path="m2573,5565l2623,5666,2523,5666,2573,5565xe" filled="false" stroked="true" strokeweight=".48pt" strokecolor="#a4a4a4">
              <v:path arrowok="t"/>
              <v:stroke dashstyle="solid"/>
            </v:shape>
            <v:shape style="position:absolute;left:2523;top:5520;width:101;height:101" coordorigin="2523,5520" coordsize="101,101" path="m2573,5520l2523,5621,2623,5621,2573,5520xe" filled="true" fillcolor="#a4a4a4" stroked="false">
              <v:path arrowok="t"/>
              <v:fill type="solid"/>
            </v:shape>
            <v:shape style="position:absolute;left:2523;top:5520;width:101;height:101" coordorigin="2523,5520" coordsize="101,101" path="m2573,5520l2623,5621,2523,5621,2573,5520xe" filled="false" stroked="true" strokeweight=".48pt" strokecolor="#a4a4a4">
              <v:path arrowok="t"/>
              <v:stroke dashstyle="solid"/>
            </v:shape>
            <v:shape style="position:absolute;left:2523;top:5472;width:101;height:101" coordorigin="2523,5472" coordsize="101,101" path="m2573,5472l2523,5573,2623,5573,2573,5472xe" filled="true" fillcolor="#a4a4a4" stroked="false">
              <v:path arrowok="t"/>
              <v:fill type="solid"/>
            </v:shape>
            <v:shape style="position:absolute;left:2523;top:5472;width:101;height:101" coordorigin="2523,5472" coordsize="101,101" path="m2573,5472l2623,5573,2523,5573,2573,5472xe" filled="false" stroked="true" strokeweight=".48pt" strokecolor="#a4a4a4">
              <v:path arrowok="t"/>
              <v:stroke dashstyle="solid"/>
            </v:shape>
            <v:shape style="position:absolute;left:2523;top:5426;width:101;height:101" coordorigin="2523,5426" coordsize="101,101" path="m2573,5426l2523,5527,2623,5527,2573,5426xe" filled="true" fillcolor="#a4a4a4" stroked="false">
              <v:path arrowok="t"/>
              <v:fill type="solid"/>
            </v:shape>
            <v:shape style="position:absolute;left:2523;top:5426;width:101;height:101" coordorigin="2523,5426" coordsize="101,101" path="m2573,5426l2623,5527,2523,5527,2573,5426xe" filled="false" stroked="true" strokeweight=".48pt" strokecolor="#a4a4a4">
              <v:path arrowok="t"/>
              <v:stroke dashstyle="solid"/>
            </v:shape>
            <v:shape style="position:absolute;left:2523;top:5381;width:101;height:101" coordorigin="2523,5381" coordsize="101,101" path="m2573,5381l2523,5481,2623,5481,2573,5381xe" filled="true" fillcolor="#a4a4a4" stroked="false">
              <v:path arrowok="t"/>
              <v:fill type="solid"/>
            </v:shape>
            <v:shape style="position:absolute;left:2523;top:5381;width:101;height:101" coordorigin="2523,5381" coordsize="101,101" path="m2573,5381l2623,5481,2523,5481,2573,5381xe" filled="false" stroked="true" strokeweight=".48pt" strokecolor="#a4a4a4">
              <v:path arrowok="t"/>
              <v:stroke dashstyle="solid"/>
            </v:shape>
            <v:shape style="position:absolute;left:2523;top:5335;width:101;height:101" coordorigin="2523,5335" coordsize="101,101" path="m2573,5335l2523,5436,2623,5436,2573,5335xe" filled="true" fillcolor="#a4a4a4" stroked="false">
              <v:path arrowok="t"/>
              <v:fill type="solid"/>
            </v:shape>
            <v:shape style="position:absolute;left:2523;top:5335;width:101;height:101" coordorigin="2523,5335" coordsize="101,101" path="m2573,5335l2623,5436,2523,5436,2573,5335xe" filled="false" stroked="true" strokeweight=".48pt" strokecolor="#a4a4a4">
              <v:path arrowok="t"/>
              <v:stroke dashstyle="solid"/>
            </v:shape>
            <v:shape style="position:absolute;left:2523;top:5289;width:101;height:101" coordorigin="2523,5289" coordsize="101,101" path="m2573,5289l2523,5390,2623,5390,2573,5289xe" filled="true" fillcolor="#a4a4a4" stroked="false">
              <v:path arrowok="t"/>
              <v:fill type="solid"/>
            </v:shape>
            <v:shape style="position:absolute;left:2523;top:5289;width:101;height:101" coordorigin="2523,5289" coordsize="101,101" path="m2573,5289l2623,5390,2523,5390,2573,5289xe" filled="false" stroked="true" strokeweight=".48pt" strokecolor="#a4a4a4">
              <v:path arrowok="t"/>
              <v:stroke dashstyle="solid"/>
            </v:shape>
            <v:shape style="position:absolute;left:2523;top:5244;width:101;height:101" coordorigin="2523,5244" coordsize="101,101" path="m2573,5244l2523,5345,2623,5345,2573,5244xe" filled="true" fillcolor="#a4a4a4" stroked="false">
              <v:path arrowok="t"/>
              <v:fill type="solid"/>
            </v:shape>
            <v:shape style="position:absolute;left:2523;top:5244;width:101;height:101" coordorigin="2523,5244" coordsize="101,101" path="m2573,5244l2623,5345,2523,5345,2573,5244xe" filled="false" stroked="true" strokeweight=".48pt" strokecolor="#a4a4a4">
              <v:path arrowok="t"/>
              <v:stroke dashstyle="solid"/>
            </v:shape>
            <v:shape style="position:absolute;left:2523;top:5198;width:101;height:101" coordorigin="2523,5198" coordsize="101,101" path="m2573,5198l2523,5299,2623,5299,2573,5198xe" filled="true" fillcolor="#a4a4a4" stroked="false">
              <v:path arrowok="t"/>
              <v:fill type="solid"/>
            </v:shape>
            <v:shape style="position:absolute;left:2523;top:5198;width:101;height:101" coordorigin="2523,5198" coordsize="101,101" path="m2573,5198l2623,5299,2523,5299,2573,5198xe" filled="false" stroked="true" strokeweight=".48pt" strokecolor="#a4a4a4">
              <v:path arrowok="t"/>
              <v:stroke dashstyle="solid"/>
            </v:shape>
            <v:shape style="position:absolute;left:2523;top:5150;width:101;height:101" coordorigin="2523,5150" coordsize="101,101" path="m2573,5150l2523,5251,2623,5251,2573,5150xe" filled="true" fillcolor="#a4a4a4" stroked="false">
              <v:path arrowok="t"/>
              <v:fill type="solid"/>
            </v:shape>
            <v:shape style="position:absolute;left:2523;top:5150;width:101;height:101" coordorigin="2523,5150" coordsize="101,101" path="m2573,5150l2623,5251,2523,5251,2573,5150xe" filled="false" stroked="true" strokeweight=".48pt" strokecolor="#a4a4a4">
              <v:path arrowok="t"/>
              <v:stroke dashstyle="solid"/>
            </v:shape>
            <v:shape style="position:absolute;left:2523;top:5105;width:101;height:101" coordorigin="2523,5105" coordsize="101,101" path="m2573,5105l2523,5205,2623,5205,2573,5105xe" filled="true" fillcolor="#a4a4a4" stroked="false">
              <v:path arrowok="t"/>
              <v:fill type="solid"/>
            </v:shape>
            <v:shape style="position:absolute;left:2523;top:5105;width:101;height:101" coordorigin="2523,5105" coordsize="101,101" path="m2573,5105l2623,5205,2523,5205,2573,5105xe" filled="false" stroked="true" strokeweight=".48pt" strokecolor="#a4a4a4">
              <v:path arrowok="t"/>
              <v:stroke dashstyle="solid"/>
            </v:shape>
            <v:shape style="position:absolute;left:2523;top:5059;width:101;height:101" coordorigin="2523,5059" coordsize="101,101" path="m2573,5059l2523,5160,2623,5160,2573,5059xe" filled="true" fillcolor="#a4a4a4" stroked="false">
              <v:path arrowok="t"/>
              <v:fill type="solid"/>
            </v:shape>
            <v:shape style="position:absolute;left:2523;top:5059;width:101;height:101" coordorigin="2523,5059" coordsize="101,101" path="m2573,5059l2623,5160,2523,5160,2573,5059xe" filled="false" stroked="true" strokeweight=".48pt" strokecolor="#a4a4a4">
              <v:path arrowok="t"/>
              <v:stroke dashstyle="solid"/>
            </v:shape>
            <v:shape style="position:absolute;left:2523;top:5013;width:101;height:101" coordorigin="2523,5013" coordsize="101,101" path="m2573,5013l2523,5114,2623,5114,2573,5013xe" filled="true" fillcolor="#a4a4a4" stroked="false">
              <v:path arrowok="t"/>
              <v:fill type="solid"/>
            </v:shape>
            <v:shape style="position:absolute;left:2523;top:5013;width:101;height:101" coordorigin="2523,5013" coordsize="101,101" path="m2573,5013l2623,5114,2523,5114,2573,5013xe" filled="false" stroked="true" strokeweight=".48pt" strokecolor="#a4a4a4">
              <v:path arrowok="t"/>
              <v:stroke dashstyle="solid"/>
            </v:shape>
            <v:shape style="position:absolute;left:2523;top:4968;width:101;height:101" coordorigin="2523,4968" coordsize="101,101" path="m2573,4968l2523,5069,2623,5069,2573,4968xe" filled="true" fillcolor="#a4a4a4" stroked="false">
              <v:path arrowok="t"/>
              <v:fill type="solid"/>
            </v:shape>
            <v:shape style="position:absolute;left:2523;top:4968;width:101;height:101" coordorigin="2523,4968" coordsize="101,101" path="m2573,4968l2623,5069,2523,5069,2573,4968xe" filled="false" stroked="true" strokeweight=".48pt" strokecolor="#a4a4a4">
              <v:path arrowok="t"/>
              <v:stroke dashstyle="solid"/>
            </v:shape>
            <v:shape style="position:absolute;left:2523;top:4922;width:101;height:101" coordorigin="2523,4922" coordsize="101,101" path="m2573,4922l2523,5023,2623,5023,2573,4922xe" filled="true" fillcolor="#a4a4a4" stroked="false">
              <v:path arrowok="t"/>
              <v:fill type="solid"/>
            </v:shape>
            <v:shape style="position:absolute;left:2523;top:4922;width:101;height:101" coordorigin="2523,4922" coordsize="101,101" path="m2573,4922l2623,5023,2523,5023,2573,4922xe" filled="false" stroked="true" strokeweight=".48pt" strokecolor="#a4a4a4">
              <v:path arrowok="t"/>
              <v:stroke dashstyle="solid"/>
            </v:shape>
            <v:shape style="position:absolute;left:2523;top:4874;width:101;height:101" coordorigin="2523,4874" coordsize="101,101" path="m2573,4874l2523,4975,2623,4975,2573,4874xe" filled="true" fillcolor="#a4a4a4" stroked="false">
              <v:path arrowok="t"/>
              <v:fill type="solid"/>
            </v:shape>
            <v:shape style="position:absolute;left:2523;top:4874;width:101;height:101" coordorigin="2523,4874" coordsize="101,101" path="m2573,4874l2623,4975,2523,4975,2573,4874xe" filled="false" stroked="true" strokeweight=".48pt" strokecolor="#a4a4a4">
              <v:path arrowok="t"/>
              <v:stroke dashstyle="solid"/>
            </v:shape>
            <v:shape style="position:absolute;left:2523;top:4829;width:101;height:101" coordorigin="2523,4829" coordsize="101,101" path="m2573,4829l2523,4929,2623,4929,2573,4829xe" filled="true" fillcolor="#a4a4a4" stroked="false">
              <v:path arrowok="t"/>
              <v:fill type="solid"/>
            </v:shape>
            <v:shape style="position:absolute;left:2523;top:4829;width:101;height:101" coordorigin="2523,4829" coordsize="101,101" path="m2573,4829l2623,4929,2523,4929,2573,4829xe" filled="false" stroked="true" strokeweight=".48pt" strokecolor="#a4a4a4">
              <v:path arrowok="t"/>
              <v:stroke dashstyle="solid"/>
            </v:shape>
            <v:shape style="position:absolute;left:2523;top:4783;width:101;height:101" coordorigin="2523,4783" coordsize="101,101" path="m2573,4783l2523,4884,2623,4884,2573,4783xe" filled="true" fillcolor="#a4a4a4" stroked="false">
              <v:path arrowok="t"/>
              <v:fill type="solid"/>
            </v:shape>
            <v:shape style="position:absolute;left:2523;top:4783;width:101;height:101" coordorigin="2523,4783" coordsize="101,101" path="m2573,4783l2623,4884,2523,4884,2573,4783xe" filled="false" stroked="true" strokeweight=".48pt" strokecolor="#a4a4a4">
              <v:path arrowok="t"/>
              <v:stroke dashstyle="solid"/>
            </v:shape>
            <v:shape style="position:absolute;left:2523;top:4737;width:101;height:101" coordorigin="2523,4737" coordsize="101,101" path="m2573,4737l2523,4838,2623,4838,2573,4737xe" filled="true" fillcolor="#a4a4a4" stroked="false">
              <v:path arrowok="t"/>
              <v:fill type="solid"/>
            </v:shape>
            <v:shape style="position:absolute;left:2523;top:4737;width:101;height:101" coordorigin="2523,4737" coordsize="101,101" path="m2573,4737l2623,4838,2523,4838,2573,4737xe" filled="false" stroked="true" strokeweight=".48pt" strokecolor="#a4a4a4">
              <v:path arrowok="t"/>
              <v:stroke dashstyle="solid"/>
            </v:shape>
            <v:shape style="position:absolute;left:2523;top:4692;width:101;height:101" coordorigin="2523,4692" coordsize="101,101" path="m2573,4692l2523,4793,2623,4793,2573,4692xe" filled="true" fillcolor="#a4a4a4" stroked="false">
              <v:path arrowok="t"/>
              <v:fill type="solid"/>
            </v:shape>
            <v:shape style="position:absolute;left:2523;top:4692;width:101;height:101" coordorigin="2523,4692" coordsize="101,101" path="m2573,4692l2623,4793,2523,4793,2573,4692xe" filled="false" stroked="true" strokeweight=".48pt" strokecolor="#a4a4a4">
              <v:path arrowok="t"/>
              <v:stroke dashstyle="solid"/>
            </v:shape>
            <v:shape style="position:absolute;left:2523;top:4646;width:101;height:101" coordorigin="2523,4646" coordsize="101,101" path="m2573,4646l2523,4747,2623,4747,2573,4646xe" filled="true" fillcolor="#a4a4a4" stroked="false">
              <v:path arrowok="t"/>
              <v:fill type="solid"/>
            </v:shape>
            <v:shape style="position:absolute;left:2523;top:4646;width:101;height:101" coordorigin="2523,4646" coordsize="101,101" path="m2573,4646l2623,4747,2523,4747,2573,4646xe" filled="false" stroked="true" strokeweight=".48pt" strokecolor="#a4a4a4">
              <v:path arrowok="t"/>
              <v:stroke dashstyle="solid"/>
            </v:shape>
            <v:shape style="position:absolute;left:2523;top:4598;width:101;height:101" coordorigin="2523,4598" coordsize="101,101" path="m2573,4598l2523,4699,2623,4699,2573,4598xe" filled="true" fillcolor="#a4a4a4" stroked="false">
              <v:path arrowok="t"/>
              <v:fill type="solid"/>
            </v:shape>
            <v:shape style="position:absolute;left:2523;top:4598;width:101;height:101" coordorigin="2523,4598" coordsize="101,101" path="m2573,4598l2623,4699,2523,4699,2573,4598xe" filled="false" stroked="true" strokeweight=".48pt" strokecolor="#a4a4a4">
              <v:path arrowok="t"/>
              <v:stroke dashstyle="solid"/>
            </v:shape>
            <v:shape style="position:absolute;left:2523;top:4553;width:101;height:101" coordorigin="2523,4553" coordsize="101,101" path="m2573,4553l2523,4653,2623,4653,2573,4553xe" filled="true" fillcolor="#a4a4a4" stroked="false">
              <v:path arrowok="t"/>
              <v:fill type="solid"/>
            </v:shape>
            <v:shape style="position:absolute;left:2523;top:4553;width:101;height:101" coordorigin="2523,4553" coordsize="101,101" path="m2573,4553l2623,4653,2523,4653,2573,4553xe" filled="false" stroked="true" strokeweight=".48pt" strokecolor="#a4a4a4">
              <v:path arrowok="t"/>
              <v:stroke dashstyle="solid"/>
            </v:shape>
            <v:shape style="position:absolute;left:2523;top:4507;width:101;height:101" coordorigin="2523,4507" coordsize="101,101" path="m2573,4507l2523,4608,2623,4608,2573,4507xe" filled="true" fillcolor="#a4a4a4" stroked="false">
              <v:path arrowok="t"/>
              <v:fill type="solid"/>
            </v:shape>
            <v:shape style="position:absolute;left:2523;top:4507;width:101;height:101" coordorigin="2523,4507" coordsize="101,101" path="m2573,4507l2623,4608,2523,4608,2573,4507xe" filled="false" stroked="true" strokeweight=".48pt" strokecolor="#a4a4a4">
              <v:path arrowok="t"/>
              <v:stroke dashstyle="solid"/>
            </v:shape>
            <v:shape style="position:absolute;left:2523;top:4461;width:101;height:101" coordorigin="2523,4461" coordsize="101,101" path="m2573,4461l2523,4562,2623,4562,2573,4461xe" filled="true" fillcolor="#a4a4a4" stroked="false">
              <v:path arrowok="t"/>
              <v:fill type="solid"/>
            </v:shape>
            <v:shape style="position:absolute;left:2523;top:4461;width:101;height:101" coordorigin="2523,4461" coordsize="101,101" path="m2573,4461l2623,4562,2523,4562,2573,4461xe" filled="false" stroked="true" strokeweight=".48pt" strokecolor="#a4a4a4">
              <v:path arrowok="t"/>
              <v:stroke dashstyle="solid"/>
            </v:shape>
            <v:shape style="position:absolute;left:2523;top:4416;width:101;height:101" coordorigin="2523,4416" coordsize="101,101" path="m2573,4416l2523,4517,2623,4517,2573,4416xe" filled="true" fillcolor="#a4a4a4" stroked="false">
              <v:path arrowok="t"/>
              <v:fill type="solid"/>
            </v:shape>
            <v:shape style="position:absolute;left:2523;top:4416;width:101;height:101" coordorigin="2523,4416" coordsize="101,101" path="m2573,4416l2623,4517,2523,4517,2573,4416xe" filled="false" stroked="true" strokeweight=".48pt" strokecolor="#a4a4a4">
              <v:path arrowok="t"/>
              <v:stroke dashstyle="solid"/>
            </v:shape>
            <v:shape style="position:absolute;left:2523;top:4370;width:101;height:101" coordorigin="2523,4370" coordsize="101,101" path="m2573,4370l2523,4471,2623,4471,2573,4370xe" filled="true" fillcolor="#a4a4a4" stroked="false">
              <v:path arrowok="t"/>
              <v:fill type="solid"/>
            </v:shape>
            <v:shape style="position:absolute;left:2523;top:4370;width:101;height:101" coordorigin="2523,4370" coordsize="101,101" path="m2573,4370l2623,4471,2523,4471,2573,4370xe" filled="false" stroked="true" strokeweight=".48pt" strokecolor="#a4a4a4">
              <v:path arrowok="t"/>
              <v:stroke dashstyle="solid"/>
            </v:shape>
            <v:shape style="position:absolute;left:2523;top:4325;width:101;height:101" coordorigin="2523,4325" coordsize="101,101" path="m2573,4325l2523,4425,2623,4425,2573,4325xe" filled="true" fillcolor="#a4a4a4" stroked="false">
              <v:path arrowok="t"/>
              <v:fill type="solid"/>
            </v:shape>
            <v:shape style="position:absolute;left:2523;top:4325;width:101;height:101" coordorigin="2523,4325" coordsize="101,101" path="m2573,4325l2623,4425,2523,4425,2573,4325xe" filled="false" stroked="true" strokeweight=".48pt" strokecolor="#a4a4a4">
              <v:path arrowok="t"/>
              <v:stroke dashstyle="solid"/>
            </v:shape>
            <v:shape style="position:absolute;left:2523;top:4277;width:101;height:101" coordorigin="2523,4277" coordsize="101,101" path="m2573,4277l2523,4377,2623,4377,2573,4277xe" filled="true" fillcolor="#a4a4a4" stroked="false">
              <v:path arrowok="t"/>
              <v:fill type="solid"/>
            </v:shape>
            <v:shape style="position:absolute;left:2523;top:4277;width:101;height:101" coordorigin="2523,4277" coordsize="101,101" path="m2573,4277l2623,4377,2523,4377,2573,4277xe" filled="false" stroked="true" strokeweight=".48pt" strokecolor="#a4a4a4">
              <v:path arrowok="t"/>
              <v:stroke dashstyle="solid"/>
            </v:shape>
            <v:shape style="position:absolute;left:2523;top:4231;width:101;height:101" coordorigin="2523,4231" coordsize="101,101" path="m2573,4231l2523,4332,2623,4332,2573,4231xe" filled="true" fillcolor="#a4a4a4" stroked="false">
              <v:path arrowok="t"/>
              <v:fill type="solid"/>
            </v:shape>
            <v:shape style="position:absolute;left:2523;top:4231;width:101;height:101" coordorigin="2523,4231" coordsize="101,101" path="m2573,4231l2623,4332,2523,4332,2573,4231xe" filled="false" stroked="true" strokeweight=".48pt" strokecolor="#a4a4a4">
              <v:path arrowok="t"/>
              <v:stroke dashstyle="solid"/>
            </v:shape>
            <v:shape style="position:absolute;left:2523;top:4185;width:101;height:101" coordorigin="2523,4185" coordsize="101,101" path="m2573,4185l2523,4286,2623,4286,2573,4185xe" filled="true" fillcolor="#a4a4a4" stroked="false">
              <v:path arrowok="t"/>
              <v:fill type="solid"/>
            </v:shape>
            <v:shape style="position:absolute;left:2523;top:4185;width:101;height:101" coordorigin="2523,4185" coordsize="101,101" path="m2573,4185l2623,4286,2523,4286,2573,4185xe" filled="false" stroked="true" strokeweight=".48pt" strokecolor="#a4a4a4">
              <v:path arrowok="t"/>
              <v:stroke dashstyle="solid"/>
            </v:shape>
            <v:shape style="position:absolute;left:2782;top:4140;width:101;height:101" coordorigin="2782,4140" coordsize="101,101" path="m2832,4140l2782,4241,2883,4241,2832,4140xe" filled="true" fillcolor="#a4a4a4" stroked="false">
              <v:path arrowok="t"/>
              <v:fill type="solid"/>
            </v:shape>
            <v:shape style="position:absolute;left:2782;top:4140;width:101;height:101" coordorigin="2782,4140" coordsize="101,101" path="m2832,4140l2883,4241,2782,4241,2832,4140xe" filled="false" stroked="true" strokeweight=".48pt" strokecolor="#a4a4a4">
              <v:path arrowok="t"/>
              <v:stroke dashstyle="solid"/>
            </v:shape>
            <v:shape style="position:absolute;left:2782;top:4094;width:101;height:101" coordorigin="2782,4094" coordsize="101,101" path="m2832,4094l2782,4195,2883,4195,2832,4094xe" filled="true" fillcolor="#a4a4a4" stroked="false">
              <v:path arrowok="t"/>
              <v:fill type="solid"/>
            </v:shape>
            <v:shape style="position:absolute;left:2782;top:4094;width:101;height:101" coordorigin="2782,4094" coordsize="101,101" path="m2832,4094l2883,4195,2782,4195,2832,4094xe" filled="false" stroked="true" strokeweight=".48pt" strokecolor="#a4a4a4">
              <v:path arrowok="t"/>
              <v:stroke dashstyle="solid"/>
            </v:shape>
            <v:shape style="position:absolute;left:2782;top:4049;width:101;height:101" coordorigin="2782,4049" coordsize="101,101" path="m2832,4049l2782,4149,2883,4149,2832,4049xe" filled="true" fillcolor="#a4a4a4" stroked="false">
              <v:path arrowok="t"/>
              <v:fill type="solid"/>
            </v:shape>
            <v:shape style="position:absolute;left:2782;top:4049;width:101;height:101" coordorigin="2782,4049" coordsize="101,101" path="m2832,4049l2883,4149,2782,4149,2832,4049xe" filled="false" stroked="true" strokeweight=".48pt" strokecolor="#a4a4a4">
              <v:path arrowok="t"/>
              <v:stroke dashstyle="solid"/>
            </v:shape>
            <v:shape style="position:absolute;left:2782;top:4001;width:101;height:101" coordorigin="2782,4001" coordsize="101,101" path="m2832,4001l2782,4101,2883,4101,2832,4001xe" filled="true" fillcolor="#a4a4a4" stroked="false">
              <v:path arrowok="t"/>
              <v:fill type="solid"/>
            </v:shape>
            <v:shape style="position:absolute;left:2782;top:4001;width:101;height:101" coordorigin="2782,4001" coordsize="101,101" path="m2832,4001l2883,4101,2782,4101,2832,4001xe" filled="false" stroked="true" strokeweight=".48pt" strokecolor="#a4a4a4">
              <v:path arrowok="t"/>
              <v:stroke dashstyle="solid"/>
            </v:shape>
            <v:shape style="position:absolute;left:2782;top:3955;width:101;height:101" coordorigin="2782,3955" coordsize="101,101" path="m2832,3955l2782,4056,2883,4056,2832,3955xe" filled="true" fillcolor="#a4a4a4" stroked="false">
              <v:path arrowok="t"/>
              <v:fill type="solid"/>
            </v:shape>
            <v:shape style="position:absolute;left:2782;top:3955;width:101;height:101" coordorigin="2782,3955" coordsize="101,101" path="m2832,3955l2883,4056,2782,4056,2832,3955xe" filled="false" stroked="true" strokeweight=".48pt" strokecolor="#a4a4a4">
              <v:path arrowok="t"/>
              <v:stroke dashstyle="solid"/>
            </v:shape>
            <v:shape style="position:absolute;left:2782;top:3909;width:101;height:101" coordorigin="2782,3909" coordsize="101,101" path="m2832,3909l2782,4010,2883,4010,2832,3909xe" filled="true" fillcolor="#a4a4a4" stroked="false">
              <v:path arrowok="t"/>
              <v:fill type="solid"/>
            </v:shape>
            <v:shape style="position:absolute;left:2782;top:3909;width:101;height:101" coordorigin="2782,3909" coordsize="101,101" path="m2832,3909l2883,4010,2782,4010,2832,3909xe" filled="false" stroked="true" strokeweight=".48pt" strokecolor="#a4a4a4">
              <v:path arrowok="t"/>
              <v:stroke dashstyle="solid"/>
            </v:shape>
            <v:shape style="position:absolute;left:2782;top:3864;width:101;height:101" coordorigin="2782,3864" coordsize="101,101" path="m2832,3864l2782,3965,2883,3965,2832,3864xe" filled="true" fillcolor="#a4a4a4" stroked="false">
              <v:path arrowok="t"/>
              <v:fill type="solid"/>
            </v:shape>
            <v:shape style="position:absolute;left:2782;top:3864;width:101;height:101" coordorigin="2782,3864" coordsize="101,101" path="m2832,3864l2883,3965,2782,3965,2832,3864xe" filled="false" stroked="true" strokeweight=".48pt" strokecolor="#a4a4a4">
              <v:path arrowok="t"/>
              <v:stroke dashstyle="solid"/>
            </v:shape>
            <v:shape style="position:absolute;left:2782;top:3818;width:101;height:101" coordorigin="2782,3818" coordsize="101,101" path="m2832,3818l2782,3919,2883,3919,2832,3818xe" filled="true" fillcolor="#a4a4a4" stroked="false">
              <v:path arrowok="t"/>
              <v:fill type="solid"/>
            </v:shape>
            <v:shape style="position:absolute;left:2782;top:3818;width:101;height:101" coordorigin="2782,3818" coordsize="101,101" path="m2832,3818l2883,3919,2782,3919,2832,3818xe" filled="false" stroked="true" strokeweight=".48pt" strokecolor="#a4a4a4">
              <v:path arrowok="t"/>
              <v:stroke dashstyle="solid"/>
            </v:shape>
            <v:shape style="position:absolute;left:2782;top:3773;width:101;height:101" coordorigin="2782,3773" coordsize="101,101" path="m2832,3773l2782,3873,2883,3873,2832,3773xe" filled="true" fillcolor="#a4a4a4" stroked="false">
              <v:path arrowok="t"/>
              <v:fill type="solid"/>
            </v:shape>
            <v:shape style="position:absolute;left:2782;top:3773;width:101;height:101" coordorigin="2782,3773" coordsize="101,101" path="m2832,3773l2883,3873,2782,3873,2832,3773xe" filled="false" stroked="true" strokeweight=".48pt" strokecolor="#a4a4a4">
              <v:path arrowok="t"/>
              <v:stroke dashstyle="solid"/>
            </v:shape>
            <v:shape style="position:absolute;left:2782;top:3725;width:101;height:101" coordorigin="2782,3725" coordsize="101,101" path="m2832,3725l2782,3825,2883,3825,2832,3725xe" filled="true" fillcolor="#a4a4a4" stroked="false">
              <v:path arrowok="t"/>
              <v:fill type="solid"/>
            </v:shape>
            <v:shape style="position:absolute;left:2782;top:3725;width:101;height:101" coordorigin="2782,3725" coordsize="101,101" path="m2832,3725l2883,3825,2782,3825,2832,3725xe" filled="false" stroked="true" strokeweight=".48pt" strokecolor="#a4a4a4">
              <v:path arrowok="t"/>
              <v:stroke dashstyle="solid"/>
            </v:shape>
            <v:shape style="position:absolute;left:2782;top:3679;width:101;height:101" coordorigin="2782,3679" coordsize="101,101" path="m2832,3679l2782,3780,2883,3780,2832,3679xe" filled="true" fillcolor="#a4a4a4" stroked="false">
              <v:path arrowok="t"/>
              <v:fill type="solid"/>
            </v:shape>
            <v:shape style="position:absolute;left:2782;top:3679;width:101;height:101" coordorigin="2782,3679" coordsize="101,101" path="m2832,3679l2883,3780,2782,3780,2832,3679xe" filled="false" stroked="true" strokeweight=".48pt" strokecolor="#a4a4a4">
              <v:path arrowok="t"/>
              <v:stroke dashstyle="solid"/>
            </v:shape>
            <v:shape style="position:absolute;left:2782;top:3633;width:101;height:101" coordorigin="2782,3633" coordsize="101,101" path="m2832,3633l2782,3734,2883,3734,2832,3633xe" filled="true" fillcolor="#a4a4a4" stroked="false">
              <v:path arrowok="t"/>
              <v:fill type="solid"/>
            </v:shape>
            <v:shape style="position:absolute;left:2782;top:3633;width:101;height:101" coordorigin="2782,3633" coordsize="101,101" path="m2832,3633l2883,3734,2782,3734,2832,3633xe" filled="false" stroked="true" strokeweight=".48pt" strokecolor="#a4a4a4">
              <v:path arrowok="t"/>
              <v:stroke dashstyle="solid"/>
            </v:shape>
            <v:shape style="position:absolute;left:2782;top:3588;width:101;height:101" coordorigin="2782,3588" coordsize="101,101" path="m2832,3588l2782,3689,2883,3689,2832,3588xe" filled="true" fillcolor="#a4a4a4" stroked="false">
              <v:path arrowok="t"/>
              <v:fill type="solid"/>
            </v:shape>
            <v:shape style="position:absolute;left:2782;top:3588;width:101;height:101" coordorigin="2782,3588" coordsize="101,101" path="m2832,3588l2883,3689,2782,3689,2832,3588xe" filled="false" stroked="true" strokeweight=".48pt" strokecolor="#a4a4a4">
              <v:path arrowok="t"/>
              <v:stroke dashstyle="solid"/>
            </v:shape>
            <v:shape style="position:absolute;left:2782;top:3542;width:101;height:101" coordorigin="2782,3542" coordsize="101,101" path="m2832,3542l2782,3643,2883,3643,2832,3542xe" filled="true" fillcolor="#a4a4a4" stroked="false">
              <v:path arrowok="t"/>
              <v:fill type="solid"/>
            </v:shape>
            <v:shape style="position:absolute;left:2782;top:3542;width:101;height:101" coordorigin="2782,3542" coordsize="101,101" path="m2832,3542l2883,3643,2782,3643,2832,3542xe" filled="false" stroked="true" strokeweight=".48pt" strokecolor="#a4a4a4">
              <v:path arrowok="t"/>
              <v:stroke dashstyle="solid"/>
            </v:shape>
            <v:shape style="position:absolute;left:2782;top:3497;width:101;height:101" coordorigin="2782,3497" coordsize="101,101" path="m2832,3497l2782,3597,2883,3597,2832,3497xe" filled="true" fillcolor="#a4a4a4" stroked="false">
              <v:path arrowok="t"/>
              <v:fill type="solid"/>
            </v:shape>
            <v:shape style="position:absolute;left:2782;top:3497;width:101;height:101" coordorigin="2782,3497" coordsize="101,101" path="m2832,3497l2883,3597,2782,3597,2832,3497xe" filled="false" stroked="true" strokeweight=".48pt" strokecolor="#a4a4a4">
              <v:path arrowok="t"/>
              <v:stroke dashstyle="solid"/>
            </v:shape>
            <v:shape style="position:absolute;left:2782;top:3449;width:101;height:101" coordorigin="2782,3449" coordsize="101,101" path="m2832,3449l2782,3549,2883,3549,2832,3449xe" filled="true" fillcolor="#a4a4a4" stroked="false">
              <v:path arrowok="t"/>
              <v:fill type="solid"/>
            </v:shape>
            <v:shape style="position:absolute;left:2782;top:3449;width:101;height:101" coordorigin="2782,3449" coordsize="101,101" path="m2832,3449l2883,3549,2782,3549,2832,3449xe" filled="false" stroked="true" strokeweight=".48pt" strokecolor="#a4a4a4">
              <v:path arrowok="t"/>
              <v:stroke dashstyle="solid"/>
            </v:shape>
            <v:shape style="position:absolute;left:2782;top:3403;width:101;height:101" coordorigin="2782,3403" coordsize="101,101" path="m2832,3403l2782,3504,2883,3504,2832,3403xe" filled="true" fillcolor="#a4a4a4" stroked="false">
              <v:path arrowok="t"/>
              <v:fill type="solid"/>
            </v:shape>
            <v:shape style="position:absolute;left:2782;top:3403;width:101;height:101" coordorigin="2782,3403" coordsize="101,101" path="m2832,3403l2883,3504,2782,3504,2832,3403xe" filled="false" stroked="true" strokeweight=".48pt" strokecolor="#a4a4a4">
              <v:path arrowok="t"/>
              <v:stroke dashstyle="solid"/>
            </v:shape>
            <v:shape style="position:absolute;left:2782;top:3357;width:101;height:101" coordorigin="2782,3357" coordsize="101,101" path="m2832,3357l2782,3458,2883,3458,2832,3357xe" filled="true" fillcolor="#a4a4a4" stroked="false">
              <v:path arrowok="t"/>
              <v:fill type="solid"/>
            </v:shape>
            <v:shape style="position:absolute;left:2782;top:3357;width:101;height:101" coordorigin="2782,3357" coordsize="101,101" path="m2832,3357l2883,3458,2782,3458,2832,3357xe" filled="false" stroked="true" strokeweight=".48pt" strokecolor="#a4a4a4">
              <v:path arrowok="t"/>
              <v:stroke dashstyle="solid"/>
            </v:shape>
            <v:shape style="position:absolute;left:2782;top:3312;width:101;height:101" coordorigin="2782,3312" coordsize="101,101" path="m2832,3312l2782,3413,2883,3413,2832,3312xe" filled="true" fillcolor="#a4a4a4" stroked="false">
              <v:path arrowok="t"/>
              <v:fill type="solid"/>
            </v:shape>
            <v:shape style="position:absolute;left:2782;top:3312;width:101;height:101" coordorigin="2782,3312" coordsize="101,101" path="m2832,3312l2883,3413,2782,3413,2832,3312xe" filled="false" stroked="true" strokeweight=".48pt" strokecolor="#a4a4a4">
              <v:path arrowok="t"/>
              <v:stroke dashstyle="solid"/>
            </v:shape>
            <v:shape style="position:absolute;left:2782;top:3266;width:101;height:101" coordorigin="2782,3266" coordsize="101,101" path="m2832,3266l2782,3367,2883,3367,2832,3266xe" filled="true" fillcolor="#a4a4a4" stroked="false">
              <v:path arrowok="t"/>
              <v:fill type="solid"/>
            </v:shape>
            <v:shape style="position:absolute;left:2782;top:3266;width:101;height:101" coordorigin="2782,3266" coordsize="101,101" path="m2832,3266l2883,3367,2782,3367,2832,3266xe" filled="false" stroked="true" strokeweight=".48pt" strokecolor="#a4a4a4">
              <v:path arrowok="t"/>
              <v:stroke dashstyle="solid"/>
            </v:shape>
            <v:shape style="position:absolute;left:2782;top:3221;width:101;height:101" coordorigin="2782,3221" coordsize="101,101" path="m2832,3221l2782,3321,2883,3321,2832,3221xe" filled="true" fillcolor="#a4a4a4" stroked="false">
              <v:path arrowok="t"/>
              <v:fill type="solid"/>
            </v:shape>
            <v:shape style="position:absolute;left:2782;top:3221;width:101;height:101" coordorigin="2782,3221" coordsize="101,101" path="m2832,3221l2883,3321,2782,3321,2832,3221xe" filled="false" stroked="true" strokeweight=".48pt" strokecolor="#a4a4a4">
              <v:path arrowok="t"/>
              <v:stroke dashstyle="solid"/>
            </v:shape>
            <v:shape style="position:absolute;left:2782;top:3175;width:101;height:101" coordorigin="2782,3175" coordsize="101,101" path="m2832,3175l2782,3276,2883,3276,2832,3175xe" filled="true" fillcolor="#a4a4a4" stroked="false">
              <v:path arrowok="t"/>
              <v:fill type="solid"/>
            </v:shape>
            <v:shape style="position:absolute;left:2782;top:3175;width:101;height:101" coordorigin="2782,3175" coordsize="101,101" path="m2832,3175l2883,3276,2782,3276,2832,3175xe" filled="false" stroked="true" strokeweight=".48pt" strokecolor="#a4a4a4">
              <v:path arrowok="t"/>
              <v:stroke dashstyle="solid"/>
            </v:shape>
            <v:shape style="position:absolute;left:2782;top:3127;width:101;height:101" coordorigin="2782,3127" coordsize="101,101" path="m2832,3127l2782,3228,2883,3228,2832,3127xe" filled="true" fillcolor="#a4a4a4" stroked="false">
              <v:path arrowok="t"/>
              <v:fill type="solid"/>
            </v:shape>
            <v:shape style="position:absolute;left:2782;top:3127;width:101;height:101" coordorigin="2782,3127" coordsize="101,101" path="m2832,3127l2883,3228,2782,3228,2832,3127xe" filled="false" stroked="true" strokeweight=".48pt" strokecolor="#a4a4a4">
              <v:path arrowok="t"/>
              <v:stroke dashstyle="solid"/>
            </v:shape>
            <v:shape style="position:absolute;left:2782;top:3081;width:101;height:101" coordorigin="2782,3081" coordsize="101,101" path="m2832,3081l2782,3182,2883,3182,2832,3081xe" filled="true" fillcolor="#a4a4a4" stroked="false">
              <v:path arrowok="t"/>
              <v:fill type="solid"/>
            </v:shape>
            <v:shape style="position:absolute;left:2782;top:3081;width:101;height:101" coordorigin="2782,3081" coordsize="101,101" path="m2832,3081l2883,3182,2782,3182,2832,3081xe" filled="false" stroked="true" strokeweight=".48pt" strokecolor="#a4a4a4">
              <v:path arrowok="t"/>
              <v:stroke dashstyle="solid"/>
            </v:shape>
            <v:shape style="position:absolute;left:2782;top:3036;width:101;height:101" coordorigin="2782,3036" coordsize="101,101" path="m2832,3036l2782,3137,2883,3137,2832,3036xe" filled="true" fillcolor="#a4a4a4" stroked="false">
              <v:path arrowok="t"/>
              <v:fill type="solid"/>
            </v:shape>
            <v:shape style="position:absolute;left:2782;top:3036;width:101;height:101" coordorigin="2782,3036" coordsize="101,101" path="m2832,3036l2883,3137,2782,3137,2832,3036xe" filled="false" stroked="true" strokeweight=".48pt" strokecolor="#a4a4a4">
              <v:path arrowok="t"/>
              <v:stroke dashstyle="solid"/>
            </v:shape>
            <v:shape style="position:absolute;left:2782;top:2990;width:101;height:101" coordorigin="2782,2990" coordsize="101,101" path="m2832,2990l2782,3091,2883,3091,2832,2990xe" filled="true" fillcolor="#a4a4a4" stroked="false">
              <v:path arrowok="t"/>
              <v:fill type="solid"/>
            </v:shape>
            <v:shape style="position:absolute;left:2782;top:2990;width:101;height:101" coordorigin="2782,2990" coordsize="101,101" path="m2832,2990l2883,3091,2782,3091,2832,2990xe" filled="false" stroked="true" strokeweight=".48pt" strokecolor="#a4a4a4">
              <v:path arrowok="t"/>
              <v:stroke dashstyle="solid"/>
            </v:shape>
            <v:shape style="position:absolute;left:2782;top:2945;width:101;height:101" coordorigin="2782,2945" coordsize="101,101" path="m2832,2945l2782,3045,2883,3045,2832,2945xe" filled="true" fillcolor="#a4a4a4" stroked="false">
              <v:path arrowok="t"/>
              <v:fill type="solid"/>
            </v:shape>
            <v:shape style="position:absolute;left:2782;top:2945;width:101;height:101" coordorigin="2782,2945" coordsize="101,101" path="m2832,2945l2883,3045,2782,3045,2832,2945xe" filled="false" stroked="true" strokeweight=".48pt" strokecolor="#a4a4a4">
              <v:path arrowok="t"/>
              <v:stroke dashstyle="solid"/>
            </v:shape>
            <v:shape style="position:absolute;left:2782;top:2899;width:101;height:101" coordorigin="2782,2899" coordsize="101,101" path="m2832,2899l2782,3000,2883,3000,2832,2899xe" filled="true" fillcolor="#a4a4a4" stroked="false">
              <v:path arrowok="t"/>
              <v:fill type="solid"/>
            </v:shape>
            <v:shape style="position:absolute;left:2782;top:2899;width:101;height:101" coordorigin="2782,2899" coordsize="101,101" path="m2832,2899l2883,3000,2782,3000,2832,2899xe" filled="false" stroked="true" strokeweight=".48pt" strokecolor="#a4a4a4">
              <v:path arrowok="t"/>
              <v:stroke dashstyle="solid"/>
            </v:shape>
            <v:shape style="position:absolute;left:2782;top:2851;width:101;height:101" coordorigin="2782,2851" coordsize="101,101" path="m2832,2851l2782,2952,2883,2952,2832,2851xe" filled="true" fillcolor="#a4a4a4" stroked="false">
              <v:path arrowok="t"/>
              <v:fill type="solid"/>
            </v:shape>
            <v:shape style="position:absolute;left:2782;top:2851;width:101;height:101" coordorigin="2782,2851" coordsize="101,101" path="m2832,2851l2883,2952,2782,2952,2832,2851xe" filled="false" stroked="true" strokeweight=".48pt" strokecolor="#a4a4a4">
              <v:path arrowok="t"/>
              <v:stroke dashstyle="solid"/>
            </v:shape>
            <v:shape style="position:absolute;left:3041;top:2805;width:101;height:101" coordorigin="3041,2805" coordsize="101,101" path="m3091,2805l3041,2906,3142,2906,3091,2805xe" filled="true" fillcolor="#a4a4a4" stroked="false">
              <v:path arrowok="t"/>
              <v:fill type="solid"/>
            </v:shape>
            <v:shape style="position:absolute;left:3041;top:2805;width:101;height:101" coordorigin="3041,2805" coordsize="101,101" path="m3091,2805l3142,2906,3041,2906,3091,2805xe" filled="false" stroked="true" strokeweight=".48pt" strokecolor="#a4a4a4">
              <v:path arrowok="t"/>
              <v:stroke dashstyle="solid"/>
            </v:shape>
            <v:shape style="position:absolute;left:3041;top:2760;width:101;height:101" coordorigin="3041,2760" coordsize="101,101" path="m3091,2760l3041,2861,3142,2861,3091,2760xe" filled="true" fillcolor="#a4a4a4" stroked="false">
              <v:path arrowok="t"/>
              <v:fill type="solid"/>
            </v:shape>
            <v:shape style="position:absolute;left:3041;top:2760;width:101;height:101" coordorigin="3041,2760" coordsize="101,101" path="m3091,2760l3142,2861,3041,2861,3091,2760xe" filled="false" stroked="true" strokeweight=".48pt" strokecolor="#a4a4a4">
              <v:path arrowok="t"/>
              <v:stroke dashstyle="solid"/>
            </v:shape>
            <v:shape style="position:absolute;left:3041;top:2714;width:101;height:101" coordorigin="3041,2714" coordsize="101,101" path="m3091,2714l3041,2815,3142,2815,3091,2714xe" filled="true" fillcolor="#a4a4a4" stroked="false">
              <v:path arrowok="t"/>
              <v:fill type="solid"/>
            </v:shape>
            <v:shape style="position:absolute;left:3041;top:2714;width:101;height:101" coordorigin="3041,2714" coordsize="101,101" path="m3091,2714l3142,2815,3041,2815,3091,2714xe" filled="false" stroked="true" strokeweight=".48pt" strokecolor="#a4a4a4">
              <v:path arrowok="t"/>
              <v:stroke dashstyle="solid"/>
            </v:shape>
            <v:shape style="position:absolute;left:3041;top:2669;width:101;height:101" coordorigin="3041,2669" coordsize="101,101" path="m3091,2669l3041,2769,3142,2769,3091,2669xe" filled="true" fillcolor="#a4a4a4" stroked="false">
              <v:path arrowok="t"/>
              <v:fill type="solid"/>
            </v:shape>
            <v:shape style="position:absolute;left:3041;top:2669;width:101;height:101" coordorigin="3041,2669" coordsize="101,101" path="m3091,2669l3142,2769,3041,2769,3091,2669xe" filled="false" stroked="true" strokeweight=".48pt" strokecolor="#a4a4a4">
              <v:path arrowok="t"/>
              <v:stroke dashstyle="solid"/>
            </v:shape>
            <v:shape style="position:absolute;left:3041;top:2623;width:101;height:101" coordorigin="3041,2623" coordsize="101,101" path="m3091,2623l3041,2724,3142,2724,3091,2623xe" filled="true" fillcolor="#a4a4a4" stroked="false">
              <v:path arrowok="t"/>
              <v:fill type="solid"/>
            </v:shape>
            <v:shape style="position:absolute;left:3041;top:2623;width:101;height:101" coordorigin="3041,2623" coordsize="101,101" path="m3091,2623l3142,2724,3041,2724,3091,2623xe" filled="false" stroked="true" strokeweight=".48pt" strokecolor="#a4a4a4">
              <v:path arrowok="t"/>
              <v:stroke dashstyle="solid"/>
            </v:shape>
            <v:shape style="position:absolute;left:3041;top:2575;width:101;height:101" coordorigin="3041,2575" coordsize="101,101" path="m3091,2575l3041,2676,3142,2676,3091,2575xe" filled="true" fillcolor="#a4a4a4" stroked="false">
              <v:path arrowok="t"/>
              <v:fill type="solid"/>
            </v:shape>
            <v:shape style="position:absolute;left:3041;top:2575;width:101;height:101" coordorigin="3041,2575" coordsize="101,101" path="m3091,2575l3142,2676,3041,2676,3091,2575xe" filled="false" stroked="true" strokeweight=".48pt" strokecolor="#a4a4a4">
              <v:path arrowok="t"/>
              <v:stroke dashstyle="solid"/>
            </v:shape>
            <v:shape style="position:absolute;left:3041;top:2529;width:101;height:101" coordorigin="3041,2529" coordsize="101,101" path="m3091,2529l3041,2630,3142,2630,3091,2529xe" filled="true" fillcolor="#a4a4a4" stroked="false">
              <v:path arrowok="t"/>
              <v:fill type="solid"/>
            </v:shape>
            <v:shape style="position:absolute;left:3041;top:2529;width:101;height:101" coordorigin="3041,2529" coordsize="101,101" path="m3091,2529l3142,2630,3041,2630,3091,2529xe" filled="false" stroked="true" strokeweight=".48pt" strokecolor="#a4a4a4">
              <v:path arrowok="t"/>
              <v:stroke dashstyle="solid"/>
            </v:shape>
            <v:shape style="position:absolute;left:3041;top:2484;width:101;height:101" coordorigin="3041,2484" coordsize="101,101" path="m3091,2484l3041,2585,3142,2585,3091,2484xe" filled="true" fillcolor="#a4a4a4" stroked="false">
              <v:path arrowok="t"/>
              <v:fill type="solid"/>
            </v:shape>
            <v:shape style="position:absolute;left:3041;top:2484;width:101;height:101" coordorigin="3041,2484" coordsize="101,101" path="m3091,2484l3142,2585,3041,2585,3091,2484xe" filled="false" stroked="true" strokeweight=".48pt" strokecolor="#a4a4a4">
              <v:path arrowok="t"/>
              <v:stroke dashstyle="solid"/>
            </v:shape>
            <v:shape style="position:absolute;left:3041;top:2438;width:101;height:101" coordorigin="3041,2438" coordsize="101,101" path="m3091,2438l3041,2539,3142,2539,3091,2438xe" filled="true" fillcolor="#a4a4a4" stroked="false">
              <v:path arrowok="t"/>
              <v:fill type="solid"/>
            </v:shape>
            <v:shape style="position:absolute;left:3041;top:2438;width:101;height:101" coordorigin="3041,2438" coordsize="101,101" path="m3091,2438l3142,2539,3041,2539,3091,2438xe" filled="false" stroked="true" strokeweight=".48pt" strokecolor="#a4a4a4">
              <v:path arrowok="t"/>
              <v:stroke dashstyle="solid"/>
            </v:shape>
            <v:shape style="position:absolute;left:3041;top:2393;width:101;height:101" coordorigin="3041,2393" coordsize="101,101" path="m3091,2393l3041,2493,3142,2493,3091,2393xe" filled="true" fillcolor="#a4a4a4" stroked="false">
              <v:path arrowok="t"/>
              <v:fill type="solid"/>
            </v:shape>
            <v:shape style="position:absolute;left:3041;top:2393;width:101;height:101" coordorigin="3041,2393" coordsize="101,101" path="m3091,2393l3142,2493,3041,2493,3091,2393xe" filled="false" stroked="true" strokeweight=".48pt" strokecolor="#a4a4a4">
              <v:path arrowok="t"/>
              <v:stroke dashstyle="solid"/>
            </v:shape>
            <v:shape style="position:absolute;left:3041;top:2347;width:101;height:101" coordorigin="3041,2347" coordsize="101,101" path="m3091,2347l3041,2448,3142,2448,3091,2347xe" filled="true" fillcolor="#a4a4a4" stroked="false">
              <v:path arrowok="t"/>
              <v:fill type="solid"/>
            </v:shape>
            <v:shape style="position:absolute;left:3041;top:2347;width:101;height:101" coordorigin="3041,2347" coordsize="101,101" path="m3091,2347l3142,2448,3041,2448,3091,2347xe" filled="false" stroked="true" strokeweight=".48pt" strokecolor="#a4a4a4">
              <v:path arrowok="t"/>
              <v:stroke dashstyle="solid"/>
            </v:shape>
            <v:shape style="position:absolute;left:3041;top:2301;width:101;height:101" coordorigin="3041,2301" coordsize="101,101" path="m3091,2301l3041,2402,3142,2402,3091,2301xe" filled="true" fillcolor="#a4a4a4" stroked="false">
              <v:path arrowok="t"/>
              <v:fill type="solid"/>
            </v:shape>
            <v:shape style="position:absolute;left:3041;top:2301;width:101;height:101" coordorigin="3041,2301" coordsize="101,101" path="m3091,2301l3142,2402,3041,2402,3091,2301xe" filled="false" stroked="true" strokeweight=".48pt" strokecolor="#a4a4a4">
              <v:path arrowok="t"/>
              <v:stroke dashstyle="solid"/>
            </v:shape>
            <v:shape style="position:absolute;left:3041;top:2253;width:101;height:101" coordorigin="3041,2253" coordsize="101,101" path="m3091,2253l3041,2354,3142,2354,3091,2253xe" filled="true" fillcolor="#a4a4a4" stroked="false">
              <v:path arrowok="t"/>
              <v:fill type="solid"/>
            </v:shape>
            <v:shape style="position:absolute;left:3041;top:2253;width:101;height:101" coordorigin="3041,2253" coordsize="101,101" path="m3091,2253l3142,2354,3041,2354,3091,2253xe" filled="false" stroked="true" strokeweight=".48pt" strokecolor="#a4a4a4">
              <v:path arrowok="t"/>
              <v:stroke dashstyle="solid"/>
            </v:shape>
            <v:shape style="position:absolute;left:3041;top:2208;width:101;height:101" coordorigin="3041,2208" coordsize="101,101" path="m3091,2208l3041,2309,3142,2309,3091,2208xe" filled="true" fillcolor="#a4a4a4" stroked="false">
              <v:path arrowok="t"/>
              <v:fill type="solid"/>
            </v:shape>
            <v:shape style="position:absolute;left:3041;top:2208;width:101;height:101" coordorigin="3041,2208" coordsize="101,101" path="m3091,2208l3142,2309,3041,2309,3091,2208xe" filled="false" stroked="true" strokeweight=".48pt" strokecolor="#a4a4a4">
              <v:path arrowok="t"/>
              <v:stroke dashstyle="solid"/>
            </v:shape>
            <v:shape style="position:absolute;left:3041;top:2162;width:101;height:101" coordorigin="3041,2162" coordsize="101,101" path="m3091,2162l3041,2263,3142,2263,3091,2162xe" filled="true" fillcolor="#a4a4a4" stroked="false">
              <v:path arrowok="t"/>
              <v:fill type="solid"/>
            </v:shape>
            <v:shape style="position:absolute;left:3041;top:2162;width:101;height:101" coordorigin="3041,2162" coordsize="101,101" path="m3091,2162l3142,2263,3041,2263,3091,2162xe" filled="false" stroked="true" strokeweight=".48pt" strokecolor="#a4a4a4">
              <v:path arrowok="t"/>
              <v:stroke dashstyle="solid"/>
            </v:shape>
            <v:shape style="position:absolute;left:3041;top:2117;width:101;height:101" coordorigin="3041,2117" coordsize="101,101" path="m3091,2117l3041,2217,3142,2217,3091,2117xe" filled="true" fillcolor="#a4a4a4" stroked="false">
              <v:path arrowok="t"/>
              <v:fill type="solid"/>
            </v:shape>
            <v:shape style="position:absolute;left:3041;top:2117;width:101;height:101" coordorigin="3041,2117" coordsize="101,101" path="m3091,2117l3142,2217,3041,2217,3091,2117xe" filled="false" stroked="true" strokeweight=".48pt" strokecolor="#a4a4a4">
              <v:path arrowok="t"/>
              <v:stroke dashstyle="solid"/>
            </v:shape>
            <v:shape style="position:absolute;left:3041;top:2071;width:101;height:101" coordorigin="3041,2071" coordsize="101,101" path="m3091,2071l3041,2172,3142,2172,3091,2071xe" filled="true" fillcolor="#a4a4a4" stroked="false">
              <v:path arrowok="t"/>
              <v:fill type="solid"/>
            </v:shape>
            <v:shape style="position:absolute;left:3041;top:2071;width:101;height:101" coordorigin="3041,2071" coordsize="101,101" path="m3091,2071l3142,2172,3041,2172,3091,2071xe" filled="false" stroked="true" strokeweight=".48pt" strokecolor="#a4a4a4">
              <v:path arrowok="t"/>
              <v:stroke dashstyle="solid"/>
            </v:shape>
            <v:shape style="position:absolute;left:3041;top:2025;width:101;height:101" coordorigin="3041,2025" coordsize="101,101" path="m3091,2025l3041,2126,3142,2126,3091,2025xe" filled="true" fillcolor="#a4a4a4" stroked="false">
              <v:path arrowok="t"/>
              <v:fill type="solid"/>
            </v:shape>
            <v:shape style="position:absolute;left:3041;top:2025;width:101;height:101" coordorigin="3041,2025" coordsize="101,101" path="m3091,2025l3142,2126,3041,2126,3091,2025xe" filled="false" stroked="true" strokeweight=".48pt" strokecolor="#a4a4a4">
              <v:path arrowok="t"/>
              <v:stroke dashstyle="solid"/>
            </v:shape>
            <v:shape style="position:absolute;left:3041;top:1977;width:101;height:101" coordorigin="3041,1977" coordsize="101,101" path="m3091,1977l3041,2078,3142,2078,3091,1977xe" filled="true" fillcolor="#a4a4a4" stroked="false">
              <v:path arrowok="t"/>
              <v:fill type="solid"/>
            </v:shape>
            <v:shape style="position:absolute;left:3041;top:1977;width:101;height:101" coordorigin="3041,1977" coordsize="101,101" path="m3091,1977l3142,2078,3041,2078,3091,1977xe" filled="false" stroked="true" strokeweight=".48pt" strokecolor="#a4a4a4">
              <v:path arrowok="t"/>
              <v:stroke dashstyle="solid"/>
            </v:shape>
            <v:shape style="position:absolute;left:3295;top:1651;width:110;height:386" type="#_x0000_t75" stroked="false">
              <v:imagedata r:id="rId317" o:title=""/>
            </v:shape>
            <v:shape style="position:absolute;left:6927;top:1605;width:110;height:110" type="#_x0000_t75" stroked="false">
              <v:imagedata r:id="rId318" o:title=""/>
            </v:shape>
            <v:shape style="position:absolute;left:0;top:9997;width:384;height:2" coordorigin="0,9997" coordsize="384,0" path="m8438,3719l8582,3719m8198,3719l8338,3719e" filled="false" stroked="true" strokeweight="1.5pt" strokecolor="#ec7c30">
              <v:path arrowok="t"/>
              <v:stroke dashstyle="solid"/>
            </v:shape>
            <v:rect style="position:absolute;left:8338;top:3668;width:101;height:101" filled="true" fillcolor="#ec7c30" stroked="false">
              <v:fill type="solid"/>
            </v:rect>
            <v:rect style="position:absolute;left:8338;top:3668;width:101;height:101" filled="false" stroked="true" strokeweight=".5pt" strokecolor="#ec7c30">
              <v:stroke dashstyle="solid"/>
            </v:rect>
            <v:shape style="position:absolute;left:8183;top:4023;width:414;height:110" type="#_x0000_t75" stroked="false">
              <v:imagedata r:id="rId319" o:title=""/>
            </v:shape>
            <v:shape style="position:absolute;left:8183;top:4386;width:414;height:110" type="#_x0000_t75" stroked="false">
              <v:imagedata r:id="rId320" o:title=""/>
            </v:shape>
            <v:rect style="position:absolute;left:1133;top:818;width:9360;height:5905" filled="false" stroked="true" strokeweight=".5pt" strokecolor="#888888">
              <v:stroke dashstyle="solid"/>
            </v:rect>
            <v:shape style="position:absolute;left:4950;top:1042;width:1747;height:360" type="#_x0000_t202" filled="false" stroked="false">
              <v:textbox inset="0,0,0,0">
                <w:txbxContent>
                  <w:p>
                    <w:pPr>
                      <w:spacing w:line="360" w:lineRule="exact" w:before="0"/>
                      <w:ind w:left="0" w:right="0" w:firstLine="0"/>
                      <w:jc w:val="left"/>
                      <w:rPr>
                        <w:rFonts w:ascii="Calibri"/>
                        <w:b/>
                        <w:sz w:val="36"/>
                      </w:rPr>
                    </w:pPr>
                    <w:r>
                      <w:rPr>
                        <w:rFonts w:ascii="Calibri"/>
                        <w:b/>
                        <w:sz w:val="36"/>
                      </w:rPr>
                      <w:t>RV PER CDF</w:t>
                    </w:r>
                  </w:p>
                </w:txbxContent>
              </v:textbox>
              <w10:wrap type="none"/>
            </v:shape>
            <v:shape style="position:absolute;left:1688;top:1568;width:720;height:3097" type="#_x0000_t202" filled="false" stroked="false">
              <v:textbox inset="0,0,0,0">
                <w:txbxContent>
                  <w:p>
                    <w:pPr>
                      <w:spacing w:line="203" w:lineRule="exact" w:before="0"/>
                      <w:ind w:left="0" w:right="18" w:firstLine="0"/>
                      <w:jc w:val="center"/>
                      <w:rPr>
                        <w:rFonts w:ascii="Calibri"/>
                        <w:sz w:val="20"/>
                      </w:rPr>
                    </w:pPr>
                    <w:r>
                      <w:rPr>
                        <w:rFonts w:ascii="Calibri"/>
                        <w:w w:val="95"/>
                        <w:sz w:val="20"/>
                      </w:rPr>
                      <w:t>100,00%</w:t>
                    </w:r>
                  </w:p>
                  <w:p>
                    <w:pPr>
                      <w:spacing w:before="169"/>
                      <w:ind w:left="81" w:right="0" w:firstLine="0"/>
                      <w:jc w:val="center"/>
                      <w:rPr>
                        <w:rFonts w:ascii="Calibri"/>
                        <w:sz w:val="20"/>
                      </w:rPr>
                    </w:pPr>
                    <w:r>
                      <w:rPr>
                        <w:rFonts w:ascii="Calibri"/>
                        <w:sz w:val="20"/>
                      </w:rPr>
                      <w:t>90,00%</w:t>
                    </w:r>
                  </w:p>
                  <w:p>
                    <w:pPr>
                      <w:spacing w:before="169"/>
                      <w:ind w:left="81" w:right="0" w:firstLine="0"/>
                      <w:jc w:val="center"/>
                      <w:rPr>
                        <w:rFonts w:ascii="Calibri"/>
                        <w:sz w:val="20"/>
                      </w:rPr>
                    </w:pPr>
                    <w:r>
                      <w:rPr>
                        <w:rFonts w:ascii="Calibri"/>
                        <w:sz w:val="20"/>
                      </w:rPr>
                      <w:t>80,00%</w:t>
                    </w:r>
                  </w:p>
                  <w:p>
                    <w:pPr>
                      <w:spacing w:before="169"/>
                      <w:ind w:left="81" w:right="0" w:firstLine="0"/>
                      <w:jc w:val="center"/>
                      <w:rPr>
                        <w:rFonts w:ascii="Calibri"/>
                        <w:sz w:val="20"/>
                      </w:rPr>
                    </w:pPr>
                    <w:r>
                      <w:rPr>
                        <w:rFonts w:ascii="Calibri"/>
                        <w:sz w:val="20"/>
                      </w:rPr>
                      <w:t>70,00%</w:t>
                    </w:r>
                  </w:p>
                  <w:p>
                    <w:pPr>
                      <w:spacing w:before="169"/>
                      <w:ind w:left="81" w:right="0" w:firstLine="0"/>
                      <w:jc w:val="center"/>
                      <w:rPr>
                        <w:rFonts w:ascii="Calibri"/>
                        <w:sz w:val="20"/>
                      </w:rPr>
                    </w:pPr>
                    <w:r>
                      <w:rPr>
                        <w:rFonts w:ascii="Calibri"/>
                        <w:sz w:val="20"/>
                      </w:rPr>
                      <w:t>60,00%</w:t>
                    </w:r>
                  </w:p>
                  <w:p>
                    <w:pPr>
                      <w:spacing w:before="169"/>
                      <w:ind w:left="81" w:right="0" w:firstLine="0"/>
                      <w:jc w:val="center"/>
                      <w:rPr>
                        <w:rFonts w:ascii="Calibri"/>
                        <w:sz w:val="20"/>
                      </w:rPr>
                    </w:pPr>
                    <w:r>
                      <w:rPr>
                        <w:rFonts w:ascii="Calibri"/>
                        <w:sz w:val="20"/>
                      </w:rPr>
                      <w:t>50,00%</w:t>
                    </w:r>
                  </w:p>
                  <w:p>
                    <w:pPr>
                      <w:spacing w:before="170"/>
                      <w:ind w:left="81" w:right="0" w:firstLine="0"/>
                      <w:jc w:val="center"/>
                      <w:rPr>
                        <w:rFonts w:ascii="Calibri"/>
                        <w:sz w:val="20"/>
                      </w:rPr>
                    </w:pPr>
                    <w:r>
                      <w:rPr>
                        <w:rFonts w:ascii="Calibri"/>
                        <w:sz w:val="20"/>
                      </w:rPr>
                      <w:t>40,00%</w:t>
                    </w:r>
                  </w:p>
                  <w:p>
                    <w:pPr>
                      <w:spacing w:line="240" w:lineRule="exact" w:before="170"/>
                      <w:ind w:left="81" w:right="0" w:firstLine="0"/>
                      <w:jc w:val="center"/>
                      <w:rPr>
                        <w:rFonts w:ascii="Calibri"/>
                        <w:sz w:val="20"/>
                      </w:rPr>
                    </w:pPr>
                    <w:r>
                      <w:rPr>
                        <w:rFonts w:ascii="Calibri"/>
                        <w:sz w:val="20"/>
                      </w:rPr>
                      <w:t>30,00%</w:t>
                    </w:r>
                  </w:p>
                </w:txbxContent>
              </v:textbox>
              <w10:wrap type="none"/>
            </v:shape>
            <v:shape style="position:absolute;left:8624;top:3627;width:1686;height:923" type="#_x0000_t202" filled="false" stroked="false">
              <v:textbox inset="0,0,0,0">
                <w:txbxContent>
                  <w:p>
                    <w:pPr>
                      <w:spacing w:line="203" w:lineRule="exact" w:before="0"/>
                      <w:ind w:left="0" w:right="0" w:firstLine="0"/>
                      <w:jc w:val="left"/>
                      <w:rPr>
                        <w:rFonts w:ascii="Calibri"/>
                        <w:sz w:val="20"/>
                      </w:rPr>
                    </w:pPr>
                    <w:r>
                      <w:rPr>
                        <w:rFonts w:ascii="Calibri"/>
                        <w:sz w:val="20"/>
                      </w:rPr>
                      <w:t>Lab PER CDF</w:t>
                    </w:r>
                  </w:p>
                  <w:p>
                    <w:pPr>
                      <w:spacing w:before="118"/>
                      <w:ind w:left="0" w:right="0" w:firstLine="0"/>
                      <w:jc w:val="left"/>
                      <w:rPr>
                        <w:rFonts w:ascii="Calibri"/>
                        <w:sz w:val="20"/>
                      </w:rPr>
                    </w:pPr>
                    <w:r>
                      <w:rPr>
                        <w:rFonts w:ascii="Calibri"/>
                        <w:sz w:val="20"/>
                      </w:rPr>
                      <w:t>Simulation 600 UEs</w:t>
                    </w:r>
                  </w:p>
                  <w:p>
                    <w:pPr>
                      <w:spacing w:line="240" w:lineRule="exact" w:before="117"/>
                      <w:ind w:left="0" w:right="0" w:firstLine="0"/>
                      <w:jc w:val="left"/>
                      <w:rPr>
                        <w:rFonts w:ascii="Calibri"/>
                        <w:sz w:val="20"/>
                      </w:rPr>
                    </w:pPr>
                    <w:r>
                      <w:rPr>
                        <w:rFonts w:ascii="Calibri"/>
                        <w:sz w:val="20"/>
                      </w:rPr>
                      <w:t>Simulation 1940 UEs</w:t>
                    </w:r>
                  </w:p>
                </w:txbxContent>
              </v:textbox>
              <w10:wrap type="none"/>
            </v:shape>
            <v:shape style="position:absolute;left:1789;top:4879;width:619;height:1028" type="#_x0000_t202" filled="false" stroked="false">
              <v:textbox inset="0,0,0,0">
                <w:txbxContent>
                  <w:p>
                    <w:pPr>
                      <w:spacing w:line="203" w:lineRule="exact" w:before="0"/>
                      <w:ind w:left="0" w:right="18" w:firstLine="0"/>
                      <w:jc w:val="center"/>
                      <w:rPr>
                        <w:rFonts w:ascii="Calibri"/>
                        <w:sz w:val="20"/>
                      </w:rPr>
                    </w:pPr>
                    <w:r>
                      <w:rPr>
                        <w:rFonts w:ascii="Calibri"/>
                        <w:w w:val="95"/>
                        <w:sz w:val="20"/>
                      </w:rPr>
                      <w:t>20,00%</w:t>
                    </w:r>
                  </w:p>
                  <w:p>
                    <w:pPr>
                      <w:spacing w:before="169"/>
                      <w:ind w:left="0" w:right="18" w:firstLine="0"/>
                      <w:jc w:val="center"/>
                      <w:rPr>
                        <w:rFonts w:ascii="Calibri"/>
                        <w:sz w:val="20"/>
                      </w:rPr>
                    </w:pPr>
                    <w:r>
                      <w:rPr>
                        <w:rFonts w:ascii="Calibri"/>
                        <w:w w:val="95"/>
                        <w:sz w:val="20"/>
                      </w:rPr>
                      <w:t>10,00%</w:t>
                    </w:r>
                  </w:p>
                  <w:p>
                    <w:pPr>
                      <w:spacing w:line="240" w:lineRule="exact" w:before="170"/>
                      <w:ind w:left="81" w:right="0" w:firstLine="0"/>
                      <w:jc w:val="center"/>
                      <w:rPr>
                        <w:rFonts w:ascii="Calibri"/>
                        <w:sz w:val="20"/>
                      </w:rPr>
                    </w:pPr>
                    <w:r>
                      <w:rPr>
                        <w:rFonts w:ascii="Calibri"/>
                        <w:sz w:val="20"/>
                      </w:rPr>
                      <w:t>0,00%</w:t>
                    </w:r>
                  </w:p>
                </w:txbxContent>
              </v:textbox>
              <w10:wrap type="none"/>
            </v:shape>
            <v:shape style="position:absolute;left:2522;top:5967;width:12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3045;top:5967;width:1670;height:200" type="#_x0000_t202" filled="false" stroked="false">
              <v:textbox inset="0,0,0,0">
                <w:txbxContent>
                  <w:p>
                    <w:pPr>
                      <w:tabs>
                        <w:tab w:pos="698" w:val="left" w:leader="none"/>
                        <w:tab w:pos="1296" w:val="left" w:leader="none"/>
                      </w:tabs>
                      <w:spacing w:line="199" w:lineRule="exact" w:before="0"/>
                      <w:ind w:left="0" w:right="0" w:firstLine="0"/>
                      <w:jc w:val="left"/>
                      <w:rPr>
                        <w:rFonts w:ascii="Calibri"/>
                        <w:sz w:val="20"/>
                      </w:rPr>
                    </w:pPr>
                    <w:r>
                      <w:rPr>
                        <w:rFonts w:ascii="Calibri"/>
                        <w:sz w:val="20"/>
                      </w:rPr>
                      <w:t>0,05</w:t>
                      <w:tab/>
                      <w:t>0,1</w:t>
                      <w:tab/>
                      <w:t>0,15</w:t>
                    </w:r>
                  </w:p>
                </w:txbxContent>
              </v:textbox>
              <w10:wrap type="none"/>
            </v:shape>
            <v:shape style="position:absolute;left:5008;top:5967;width:334;height:504" type="#_x0000_t202" filled="false" stroked="false">
              <v:textbox inset="0,0,0,0">
                <w:txbxContent>
                  <w:p>
                    <w:pPr>
                      <w:spacing w:line="203" w:lineRule="exact" w:before="0"/>
                      <w:ind w:left="32" w:right="0" w:firstLine="0"/>
                      <w:jc w:val="left"/>
                      <w:rPr>
                        <w:rFonts w:ascii="Calibri"/>
                        <w:sz w:val="20"/>
                      </w:rPr>
                    </w:pPr>
                    <w:r>
                      <w:rPr>
                        <w:rFonts w:ascii="Calibri"/>
                        <w:sz w:val="20"/>
                      </w:rPr>
                      <w:t>0,2</w:t>
                    </w:r>
                  </w:p>
                  <w:p>
                    <w:pPr>
                      <w:spacing w:line="240" w:lineRule="exact" w:before="60"/>
                      <w:ind w:left="0" w:right="0" w:firstLine="0"/>
                      <w:jc w:val="left"/>
                      <w:rPr>
                        <w:rFonts w:ascii="Calibri"/>
                        <w:b/>
                        <w:sz w:val="20"/>
                      </w:rPr>
                    </w:pPr>
                    <w:r>
                      <w:rPr>
                        <w:rFonts w:ascii="Calibri"/>
                        <w:b/>
                        <w:sz w:val="20"/>
                      </w:rPr>
                      <w:t>PER</w:t>
                    </w:r>
                  </w:p>
                </w:txbxContent>
              </v:textbox>
              <w10:wrap type="none"/>
            </v:shape>
            <v:shape style="position:absolute;left:5638;top:5967;width:2268;height:200" type="#_x0000_t202" filled="false" stroked="false">
              <v:textbox inset="0,0,0,0">
                <w:txbxContent>
                  <w:p>
                    <w:pPr>
                      <w:tabs>
                        <w:tab w:pos="698" w:val="left" w:leader="none"/>
                        <w:tab w:pos="1296" w:val="left" w:leader="none"/>
                        <w:tab w:pos="1995" w:val="left" w:leader="none"/>
                      </w:tabs>
                      <w:spacing w:line="199" w:lineRule="exact" w:before="0"/>
                      <w:ind w:left="0" w:right="0" w:firstLine="0"/>
                      <w:jc w:val="left"/>
                      <w:rPr>
                        <w:rFonts w:ascii="Calibri"/>
                        <w:sz w:val="20"/>
                      </w:rPr>
                    </w:pPr>
                    <w:r>
                      <w:rPr>
                        <w:rFonts w:ascii="Calibri"/>
                        <w:sz w:val="20"/>
                      </w:rPr>
                      <w:t>0,25</w:t>
                      <w:tab/>
                      <w:t>0,3</w:t>
                      <w:tab/>
                      <w:t>0,35</w:t>
                      <w:tab/>
                      <w:t>0,4</w:t>
                    </w:r>
                  </w:p>
                </w:txbxContent>
              </v:textbox>
              <w10:wrap type="none"/>
            </v:shape>
            <w10:wrap type="none"/>
          </v:group>
        </w:pict>
      </w:r>
      <w:r>
        <w:rPr/>
        <w:pict>
          <v:shape style="position:absolute;margin-left:70.178001pt;margin-top:177.452942pt;width:12pt;height:18.150pt;mso-position-horizontal-relative:page;mso-position-vertical-relative:paragraph;z-index:7552" type="#_x0000_t202"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pacing w:val="-1"/>
                      <w:w w:val="99"/>
                      <w:sz w:val="20"/>
                    </w:rPr>
                    <w:t>CDF</w:t>
                  </w:r>
                </w:p>
              </w:txbxContent>
            </v:textbox>
            <w10:wrap type="none"/>
          </v:shape>
        </w:pict>
      </w:r>
      <w:r>
        <w:rPr>
          <w:b/>
          <w:sz w:val="24"/>
        </w:rPr>
        <w:t>Figure 32: CDF of CBR</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spacing w:before="172"/>
        <w:ind w:left="1133" w:right="0" w:firstLine="0"/>
        <w:jc w:val="left"/>
        <w:rPr>
          <w:b/>
          <w:sz w:val="24"/>
        </w:rPr>
      </w:pPr>
      <w:r>
        <w:rPr>
          <w:b/>
          <w:sz w:val="24"/>
        </w:rPr>
        <w:t>Figure 33: CDF of PER</w:t>
      </w:r>
    </w:p>
    <w:p>
      <w:pPr>
        <w:spacing w:after="0"/>
        <w:jc w:val="left"/>
        <w:rPr>
          <w:sz w:val="24"/>
        </w:rPr>
        <w:sectPr>
          <w:headerReference w:type="default" r:id="rId311"/>
          <w:pgSz w:w="11910" w:h="16850"/>
          <w:pgMar w:header="852" w:footer="979" w:top="1040" w:bottom="1160" w:left="0" w:right="0"/>
        </w:sectPr>
      </w:pPr>
    </w:p>
    <w:p>
      <w:pPr>
        <w:pStyle w:val="BodyText"/>
        <w:spacing w:before="2"/>
        <w:rPr>
          <w:b/>
          <w:sz w:val="23"/>
        </w:rPr>
      </w:pPr>
    </w:p>
    <w:p>
      <w:pPr>
        <w:pStyle w:val="Heading6"/>
        <w:numPr>
          <w:ilvl w:val="4"/>
          <w:numId w:val="36"/>
        </w:numPr>
        <w:tabs>
          <w:tab w:pos="2834" w:val="left" w:leader="none"/>
          <w:tab w:pos="2835" w:val="left" w:leader="none"/>
        </w:tabs>
        <w:spacing w:line="240" w:lineRule="auto" w:before="94" w:after="0"/>
        <w:ind w:left="2834" w:right="0" w:hanging="1701"/>
        <w:jc w:val="both"/>
      </w:pPr>
      <w:r>
        <w:rPr/>
        <w:t>Evaluation</w:t>
      </w:r>
      <w:r>
        <w:rPr>
          <w:spacing w:val="-7"/>
        </w:rPr>
        <w:t> </w:t>
      </w:r>
      <w:r>
        <w:rPr/>
        <w:t>Criteria</w:t>
      </w:r>
    </w:p>
    <w:p>
      <w:pPr>
        <w:pStyle w:val="BodyText"/>
        <w:spacing w:before="179"/>
        <w:ind w:left="1133" w:right="1138"/>
        <w:jc w:val="both"/>
      </w:pPr>
      <w:r>
        <w:rPr/>
        <w:t>Evaluation criteria assesses the performance of V2X in a highly congested environment, including the performance of the distributed congestion control mechanism implemented on the device under test under different values of CBR. For CBR implementation details see: J2945-1.</w:t>
      </w:r>
    </w:p>
    <w:p>
      <w:pPr>
        <w:pStyle w:val="BodyText"/>
        <w:spacing w:before="180"/>
        <w:ind w:left="1133" w:right="1130" w:firstLine="55"/>
        <w:jc w:val="both"/>
      </w:pPr>
      <w:r>
        <w:rPr/>
        <w:t>Verify that lab data at the 75-m distance point (95 dB Attenuation) matches the SIM data for the CDF of</w:t>
      </w:r>
      <w:r>
        <w:rPr>
          <w:spacing w:val="-30"/>
        </w:rPr>
        <w:t> </w:t>
      </w:r>
      <w:r>
        <w:rPr/>
        <w:t>CBR and the CDF of PER. A satisfactory match for both these metrics implies that channel utilization was commensurate</w:t>
      </w:r>
      <w:r>
        <w:rPr>
          <w:spacing w:val="-6"/>
        </w:rPr>
        <w:t> </w:t>
      </w:r>
      <w:r>
        <w:rPr/>
        <w:t>to</w:t>
      </w:r>
      <w:r>
        <w:rPr>
          <w:spacing w:val="-6"/>
        </w:rPr>
        <w:t> </w:t>
      </w:r>
      <w:r>
        <w:rPr/>
        <w:t>the</w:t>
      </w:r>
      <w:r>
        <w:rPr>
          <w:spacing w:val="-6"/>
        </w:rPr>
        <w:t> </w:t>
      </w:r>
      <w:r>
        <w:rPr/>
        <w:t>load</w:t>
      </w:r>
      <w:r>
        <w:rPr>
          <w:spacing w:val="-3"/>
        </w:rPr>
        <w:t> </w:t>
      </w:r>
      <w:r>
        <w:rPr/>
        <w:t>on</w:t>
      </w:r>
      <w:r>
        <w:rPr>
          <w:spacing w:val="-6"/>
        </w:rPr>
        <w:t> </w:t>
      </w:r>
      <w:r>
        <w:rPr/>
        <w:t>the</w:t>
      </w:r>
      <w:r>
        <w:rPr>
          <w:spacing w:val="-6"/>
        </w:rPr>
        <w:t> </w:t>
      </w:r>
      <w:r>
        <w:rPr/>
        <w:t>system</w:t>
      </w:r>
      <w:r>
        <w:rPr>
          <w:spacing w:val="-1"/>
        </w:rPr>
        <w:t> </w:t>
      </w:r>
      <w:r>
        <w:rPr/>
        <w:t>and</w:t>
      </w:r>
      <w:r>
        <w:rPr>
          <w:spacing w:val="-6"/>
        </w:rPr>
        <w:t> </w:t>
      </w:r>
      <w:r>
        <w:rPr/>
        <w:t>that</w:t>
      </w:r>
      <w:r>
        <w:rPr>
          <w:spacing w:val="-5"/>
        </w:rPr>
        <w:t> </w:t>
      </w:r>
      <w:r>
        <w:rPr/>
        <w:t>Packet</w:t>
      </w:r>
      <w:r>
        <w:rPr>
          <w:spacing w:val="-6"/>
        </w:rPr>
        <w:t> </w:t>
      </w:r>
      <w:r>
        <w:rPr/>
        <w:t>Loss</w:t>
      </w:r>
      <w:r>
        <w:rPr>
          <w:spacing w:val="-4"/>
        </w:rPr>
        <w:t> </w:t>
      </w:r>
      <w:r>
        <w:rPr/>
        <w:t>under</w:t>
      </w:r>
      <w:r>
        <w:rPr>
          <w:spacing w:val="-5"/>
        </w:rPr>
        <w:t> </w:t>
      </w:r>
      <w:r>
        <w:rPr/>
        <w:t>the</w:t>
      </w:r>
      <w:r>
        <w:rPr>
          <w:spacing w:val="-6"/>
        </w:rPr>
        <w:t> </w:t>
      </w:r>
      <w:r>
        <w:rPr/>
        <w:t>observed</w:t>
      </w:r>
      <w:r>
        <w:rPr>
          <w:spacing w:val="-6"/>
        </w:rPr>
        <w:t> </w:t>
      </w:r>
      <w:r>
        <w:rPr/>
        <w:t>congestion</w:t>
      </w:r>
      <w:r>
        <w:rPr>
          <w:spacing w:val="-6"/>
        </w:rPr>
        <w:t> </w:t>
      </w:r>
      <w:r>
        <w:rPr/>
        <w:t>environment</w:t>
      </w:r>
      <w:r>
        <w:rPr>
          <w:spacing w:val="-5"/>
        </w:rPr>
        <w:t> </w:t>
      </w:r>
      <w:r>
        <w:rPr/>
        <w:t>is as per</w:t>
      </w:r>
      <w:r>
        <w:rPr>
          <w:spacing w:val="-7"/>
        </w:rPr>
        <w:t> </w:t>
      </w:r>
      <w:r>
        <w:rPr/>
        <w:t>expectation.</w:t>
      </w:r>
    </w:p>
    <w:p>
      <w:pPr>
        <w:pStyle w:val="BodyText"/>
        <w:spacing w:before="1"/>
        <w:rPr>
          <w:sz w:val="26"/>
        </w:rPr>
      </w:pPr>
    </w:p>
    <w:p>
      <w:pPr>
        <w:pStyle w:val="Heading6"/>
        <w:numPr>
          <w:ilvl w:val="4"/>
          <w:numId w:val="36"/>
        </w:numPr>
        <w:tabs>
          <w:tab w:pos="2834" w:val="left" w:leader="none"/>
          <w:tab w:pos="2835" w:val="left" w:leader="none"/>
        </w:tabs>
        <w:spacing w:line="240" w:lineRule="auto" w:before="0" w:after="0"/>
        <w:ind w:left="2835" w:right="0" w:hanging="1702"/>
        <w:jc w:val="both"/>
      </w:pPr>
      <w:r>
        <w:rPr/>
        <w:t>Key</w:t>
      </w:r>
      <w:r>
        <w:rPr>
          <w:spacing w:val="-4"/>
        </w:rPr>
        <w:t> </w:t>
      </w:r>
      <w:r>
        <w:rPr/>
        <w:t>Takeaway</w:t>
      </w:r>
    </w:p>
    <w:p>
      <w:pPr>
        <w:pStyle w:val="BodyText"/>
        <w:spacing w:before="180"/>
        <w:ind w:left="1133" w:right="1134"/>
        <w:jc w:val="both"/>
      </w:pPr>
      <w:r>
        <w:rPr/>
        <w:t>As can be observed, both CBR metrics and PER metrics observed in the lab and the SIM closely resemble each other. SAE congestion control is working as expected for C-V2X. All the devices in the system back off to an ITT of 400 ms as soon as congestion is detected per the parameters set in the test. The devices in the setup</w:t>
      </w:r>
      <w:r>
        <w:rPr>
          <w:spacing w:val="-9"/>
        </w:rPr>
        <w:t> </w:t>
      </w:r>
      <w:r>
        <w:rPr/>
        <w:t>choose</w:t>
      </w:r>
      <w:r>
        <w:rPr>
          <w:spacing w:val="-9"/>
        </w:rPr>
        <w:t> </w:t>
      </w:r>
      <w:r>
        <w:rPr/>
        <w:t>their</w:t>
      </w:r>
      <w:r>
        <w:rPr>
          <w:spacing w:val="-8"/>
        </w:rPr>
        <w:t> </w:t>
      </w:r>
      <w:r>
        <w:rPr/>
        <w:t>transmission</w:t>
      </w:r>
      <w:r>
        <w:rPr>
          <w:spacing w:val="-9"/>
        </w:rPr>
        <w:t> </w:t>
      </w:r>
      <w:r>
        <w:rPr/>
        <w:t>resources</w:t>
      </w:r>
      <w:r>
        <w:rPr>
          <w:spacing w:val="-6"/>
        </w:rPr>
        <w:t> </w:t>
      </w:r>
      <w:r>
        <w:rPr/>
        <w:t>while</w:t>
      </w:r>
      <w:r>
        <w:rPr>
          <w:spacing w:val="-9"/>
        </w:rPr>
        <w:t> </w:t>
      </w:r>
      <w:r>
        <w:rPr/>
        <w:t>avoiding</w:t>
      </w:r>
      <w:r>
        <w:rPr>
          <w:spacing w:val="-9"/>
        </w:rPr>
        <w:t> </w:t>
      </w:r>
      <w:r>
        <w:rPr/>
        <w:t>transmissions</w:t>
      </w:r>
      <w:r>
        <w:rPr>
          <w:spacing w:val="-8"/>
        </w:rPr>
        <w:t> </w:t>
      </w:r>
      <w:r>
        <w:rPr/>
        <w:t>chosen</w:t>
      </w:r>
      <w:r>
        <w:rPr>
          <w:spacing w:val="-7"/>
        </w:rPr>
        <w:t> </w:t>
      </w:r>
      <w:r>
        <w:rPr/>
        <w:t>by</w:t>
      </w:r>
      <w:r>
        <w:rPr>
          <w:spacing w:val="-10"/>
        </w:rPr>
        <w:t> </w:t>
      </w:r>
      <w:r>
        <w:rPr/>
        <w:t>other</w:t>
      </w:r>
      <w:r>
        <w:rPr>
          <w:spacing w:val="-6"/>
        </w:rPr>
        <w:t> </w:t>
      </w:r>
      <w:r>
        <w:rPr/>
        <w:t>devices,</w:t>
      </w:r>
      <w:r>
        <w:rPr>
          <w:spacing w:val="-6"/>
        </w:rPr>
        <w:t> </w:t>
      </w:r>
      <w:r>
        <w:rPr/>
        <w:t>which</w:t>
      </w:r>
      <w:r>
        <w:rPr>
          <w:spacing w:val="-7"/>
        </w:rPr>
        <w:t> </w:t>
      </w:r>
      <w:r>
        <w:rPr/>
        <w:t>helps improve overall PER as measured on DUT1 and</w:t>
      </w:r>
      <w:r>
        <w:rPr>
          <w:spacing w:val="-14"/>
        </w:rPr>
        <w:t> </w:t>
      </w:r>
      <w:r>
        <w:rPr/>
        <w:t>DUT2.</w:t>
      </w:r>
    </w:p>
    <w:p>
      <w:pPr>
        <w:pStyle w:val="BodyText"/>
        <w:spacing w:before="180"/>
        <w:ind w:left="1133" w:right="1140"/>
        <w:jc w:val="both"/>
      </w:pPr>
      <w:r>
        <w:rPr/>
        <w:t>This confirms the channel utilization under operating load is an efficient use of the channel while also maintaining a low packet error rate to improve overall PER performance in a congested environment.</w:t>
      </w:r>
    </w:p>
    <w:p>
      <w:pPr>
        <w:pStyle w:val="BodyText"/>
        <w:spacing w:before="8"/>
        <w:rPr>
          <w:sz w:val="25"/>
        </w:rPr>
      </w:pPr>
    </w:p>
    <w:p>
      <w:pPr>
        <w:pStyle w:val="ListParagraph"/>
        <w:numPr>
          <w:ilvl w:val="3"/>
          <w:numId w:val="41"/>
        </w:numPr>
        <w:tabs>
          <w:tab w:pos="2552" w:val="left" w:leader="none"/>
        </w:tabs>
        <w:spacing w:line="240" w:lineRule="auto" w:before="1" w:after="0"/>
        <w:ind w:left="2551" w:right="0" w:hanging="1418"/>
        <w:jc w:val="both"/>
        <w:rPr>
          <w:sz w:val="24"/>
        </w:rPr>
      </w:pPr>
      <w:r>
        <w:rPr>
          <w:sz w:val="24"/>
        </w:rPr>
        <w:t>V2V Congestion Control in lab – Critical BSM</w:t>
      </w:r>
      <w:r>
        <w:rPr>
          <w:spacing w:val="-15"/>
          <w:sz w:val="24"/>
        </w:rPr>
        <w:t> </w:t>
      </w:r>
      <w:r>
        <w:rPr>
          <w:sz w:val="24"/>
        </w:rPr>
        <w:t>broadcast</w:t>
      </w:r>
    </w:p>
    <w:p>
      <w:pPr>
        <w:pStyle w:val="BodyText"/>
        <w:spacing w:before="181"/>
        <w:ind w:left="1133" w:right="1139"/>
        <w:jc w:val="both"/>
      </w:pPr>
      <w:r>
        <w:rPr/>
        <w:t>Most of the test setup and test steps for this 7.4.1.2 test case are the same as for the 7.4.1.1 test case. Therefore, the following subsections describe only key differences.</w:t>
      </w:r>
    </w:p>
    <w:p>
      <w:pPr>
        <w:pStyle w:val="BodyText"/>
        <w:spacing w:before="1"/>
        <w:rPr>
          <w:sz w:val="26"/>
        </w:rPr>
      </w:pPr>
    </w:p>
    <w:p>
      <w:pPr>
        <w:pStyle w:val="Heading6"/>
        <w:numPr>
          <w:ilvl w:val="4"/>
          <w:numId w:val="41"/>
        </w:numPr>
        <w:tabs>
          <w:tab w:pos="2834" w:val="left" w:leader="none"/>
          <w:tab w:pos="2835" w:val="left" w:leader="none"/>
        </w:tabs>
        <w:spacing w:line="240" w:lineRule="auto" w:before="0" w:after="0"/>
        <w:ind w:left="2834" w:right="0" w:hanging="1701"/>
        <w:jc w:val="both"/>
      </w:pPr>
      <w:r>
        <w:rPr/>
        <w:t>Background</w:t>
      </w:r>
    </w:p>
    <w:p>
      <w:pPr>
        <w:pStyle w:val="BodyText"/>
        <w:spacing w:before="178"/>
        <w:ind w:left="1133"/>
        <w:jc w:val="both"/>
      </w:pPr>
      <w:r>
        <w:rPr/>
        <w:t>Same as Section 7.4.1.1.1 except for the following:</w:t>
      </w:r>
    </w:p>
    <w:p>
      <w:pPr>
        <w:pStyle w:val="BodyText"/>
        <w:spacing w:before="180"/>
        <w:ind w:left="1133" w:right="1133"/>
        <w:jc w:val="both"/>
      </w:pPr>
      <w:r>
        <w:rPr/>
        <w:t>The purpose of this test is to verify that C-V2X devices can transmit and receive BSM messages, with critical priority, over the PC5 interface in a congestion-challenged channel. This corresponds to a critical event condition, as defined in SAE J2945/1, and corresponding messages are transmitted with a higher 3GPP priority.</w:t>
      </w:r>
    </w:p>
    <w:p>
      <w:pPr>
        <w:pStyle w:val="BodyText"/>
        <w:spacing w:before="180"/>
        <w:ind w:left="1133" w:right="1139"/>
        <w:jc w:val="both"/>
      </w:pPr>
      <w:r>
        <w:rPr/>
        <w:t>In the following lab tests, we have an equivalent load of 578 devices like the earlier test with 48 special configured devices and two DUTs.</w:t>
      </w:r>
    </w:p>
    <w:p>
      <w:pPr>
        <w:pStyle w:val="Heading7"/>
        <w:spacing w:before="178"/>
        <w:jc w:val="both"/>
      </w:pPr>
      <w:r>
        <w:rPr/>
        <w:t>Assumptions</w:t>
      </w:r>
    </w:p>
    <w:p>
      <w:pPr>
        <w:pStyle w:val="BodyText"/>
        <w:spacing w:before="182"/>
        <w:ind w:left="1416"/>
      </w:pPr>
      <w:r>
        <w:rPr/>
        <w:t>Same as section 7.4.1.1.2.</w:t>
      </w:r>
    </w:p>
    <w:p>
      <w:pPr>
        <w:pStyle w:val="BodyText"/>
        <w:spacing w:before="1"/>
        <w:rPr>
          <w:sz w:val="26"/>
        </w:rPr>
      </w:pPr>
    </w:p>
    <w:p>
      <w:pPr>
        <w:pStyle w:val="Heading6"/>
        <w:numPr>
          <w:ilvl w:val="4"/>
          <w:numId w:val="41"/>
        </w:numPr>
        <w:tabs>
          <w:tab w:pos="2834" w:val="left" w:leader="none"/>
          <w:tab w:pos="2835" w:val="left" w:leader="none"/>
        </w:tabs>
        <w:spacing w:line="240" w:lineRule="auto" w:before="0" w:after="0"/>
        <w:ind w:left="2834" w:right="0" w:hanging="1701"/>
        <w:jc w:val="both"/>
      </w:pPr>
      <w:r>
        <w:rPr/>
        <w:t>Setup</w:t>
      </w:r>
    </w:p>
    <w:p>
      <w:pPr>
        <w:pStyle w:val="BodyText"/>
        <w:spacing w:before="179"/>
        <w:ind w:left="1133"/>
        <w:jc w:val="both"/>
      </w:pPr>
      <w:r>
        <w:rPr/>
        <w:t>Same as section 7.4.1.1.3 except for the following:</w:t>
      </w:r>
    </w:p>
    <w:p>
      <w:pPr>
        <w:pStyle w:val="BodyText"/>
        <w:spacing w:before="180"/>
        <w:ind w:left="1133" w:right="1129"/>
        <w:jc w:val="both"/>
      </w:pPr>
      <w:r>
        <w:rPr/>
        <w:t>The two devices under test, DUT1 and DUT2, send BSM messages as in section 7.4.1.1.3. While most of</w:t>
      </w:r>
      <w:r>
        <w:rPr>
          <w:spacing w:val="-36"/>
        </w:rPr>
        <w:t> </w:t>
      </w:r>
      <w:r>
        <w:rPr/>
        <w:t>the messages are regular BSM messages, a subset of the sent BSM messages is critical, as detailed below. (As in section 7.4.1.1.3, the REF devices provide the congested environment, and they send only regular, not critical BSM</w:t>
      </w:r>
      <w:r>
        <w:rPr>
          <w:spacing w:val="-8"/>
        </w:rPr>
        <w:t> </w:t>
      </w:r>
      <w:r>
        <w:rPr/>
        <w:t>messages.)</w:t>
      </w:r>
    </w:p>
    <w:p>
      <w:pPr>
        <w:pStyle w:val="ListParagraph"/>
        <w:numPr>
          <w:ilvl w:val="5"/>
          <w:numId w:val="41"/>
        </w:numPr>
        <w:tabs>
          <w:tab w:pos="1701" w:val="left" w:leader="none"/>
          <w:tab w:pos="1702" w:val="left" w:leader="none"/>
        </w:tabs>
        <w:spacing w:line="240" w:lineRule="auto" w:before="177" w:after="0"/>
        <w:ind w:left="1701" w:right="0" w:hanging="285"/>
        <w:jc w:val="left"/>
        <w:rPr>
          <w:sz w:val="20"/>
        </w:rPr>
      </w:pPr>
      <w:r>
        <w:rPr>
          <w:sz w:val="20"/>
        </w:rPr>
        <w:t>Settings on Device 1 (DUT1) and Device 2</w:t>
      </w:r>
      <w:r>
        <w:rPr>
          <w:spacing w:val="-11"/>
          <w:sz w:val="20"/>
        </w:rPr>
        <w:t> </w:t>
      </w:r>
      <w:r>
        <w:rPr>
          <w:sz w:val="20"/>
        </w:rPr>
        <w:t>(DUT2):</w:t>
      </w:r>
    </w:p>
    <w:p>
      <w:pPr>
        <w:pStyle w:val="ListParagraph"/>
        <w:numPr>
          <w:ilvl w:val="6"/>
          <w:numId w:val="41"/>
        </w:numPr>
        <w:tabs>
          <w:tab w:pos="1985" w:val="left" w:leader="none"/>
          <w:tab w:pos="1986" w:val="left" w:leader="none"/>
        </w:tabs>
        <w:spacing w:line="240" w:lineRule="auto" w:before="180" w:after="0"/>
        <w:ind w:left="1985" w:right="0" w:hanging="286"/>
        <w:jc w:val="left"/>
        <w:rPr>
          <w:sz w:val="20"/>
        </w:rPr>
      </w:pPr>
      <w:r>
        <w:rPr>
          <w:sz w:val="20"/>
        </w:rPr>
        <w:t>Same as in Section 7.4.1.1.3 except as described</w:t>
      </w:r>
      <w:r>
        <w:rPr>
          <w:spacing w:val="-19"/>
          <w:sz w:val="20"/>
        </w:rPr>
        <w:t> </w:t>
      </w:r>
      <w:r>
        <w:rPr>
          <w:sz w:val="20"/>
        </w:rPr>
        <w:t>below:</w:t>
      </w:r>
    </w:p>
    <w:p>
      <w:pPr>
        <w:pStyle w:val="ListParagraph"/>
        <w:numPr>
          <w:ilvl w:val="6"/>
          <w:numId w:val="41"/>
        </w:numPr>
        <w:tabs>
          <w:tab w:pos="1986" w:val="left" w:leader="none"/>
        </w:tabs>
        <w:spacing w:line="240" w:lineRule="auto" w:before="180" w:after="0"/>
        <w:ind w:left="1985" w:right="1135" w:hanging="286"/>
        <w:jc w:val="both"/>
        <w:rPr>
          <w:sz w:val="20"/>
        </w:rPr>
      </w:pPr>
      <w:r>
        <w:rPr>
          <w:sz w:val="20"/>
        </w:rPr>
        <w:t>BSM messages are sent according to the same cadence in Section 7.4.1.1.3. The only difference</w:t>
      </w:r>
      <w:r>
        <w:rPr>
          <w:spacing w:val="-27"/>
          <w:sz w:val="20"/>
        </w:rPr>
        <w:t> </w:t>
      </w:r>
      <w:r>
        <w:rPr>
          <w:sz w:val="20"/>
        </w:rPr>
        <w:t>is that critical BSM messages (i.e., priority 0) are sent at random occasions (in place of regular BSM messages) to simulate the event or incident.  More</w:t>
      </w:r>
      <w:r>
        <w:rPr>
          <w:spacing w:val="-20"/>
          <w:sz w:val="20"/>
        </w:rPr>
        <w:t> </w:t>
      </w:r>
      <w:r>
        <w:rPr>
          <w:sz w:val="20"/>
        </w:rPr>
        <w:t>specifically:</w:t>
      </w:r>
    </w:p>
    <w:p>
      <w:pPr>
        <w:pStyle w:val="ListParagraph"/>
        <w:numPr>
          <w:ilvl w:val="7"/>
          <w:numId w:val="41"/>
        </w:numPr>
        <w:tabs>
          <w:tab w:pos="2268" w:val="left" w:leader="none"/>
          <w:tab w:pos="2269" w:val="left" w:leader="none"/>
        </w:tabs>
        <w:spacing w:line="240" w:lineRule="auto" w:before="179" w:after="0"/>
        <w:ind w:left="2268" w:right="1130" w:hanging="283"/>
        <w:jc w:val="left"/>
        <w:rPr>
          <w:sz w:val="20"/>
        </w:rPr>
      </w:pPr>
      <w:r>
        <w:rPr>
          <w:sz w:val="20"/>
        </w:rPr>
        <w:t>At</w:t>
      </w:r>
      <w:r>
        <w:rPr>
          <w:spacing w:val="-10"/>
          <w:sz w:val="20"/>
        </w:rPr>
        <w:t> </w:t>
      </w:r>
      <w:r>
        <w:rPr>
          <w:sz w:val="20"/>
        </w:rPr>
        <w:t>a</w:t>
      </w:r>
      <w:r>
        <w:rPr>
          <w:spacing w:val="-10"/>
          <w:sz w:val="20"/>
        </w:rPr>
        <w:t> </w:t>
      </w:r>
      <w:r>
        <w:rPr>
          <w:sz w:val="20"/>
        </w:rPr>
        <w:t>random</w:t>
      </w:r>
      <w:r>
        <w:rPr>
          <w:spacing w:val="-6"/>
          <w:sz w:val="20"/>
        </w:rPr>
        <w:t> </w:t>
      </w:r>
      <w:r>
        <w:rPr>
          <w:sz w:val="20"/>
        </w:rPr>
        <w:t>time,</w:t>
      </w:r>
      <w:r>
        <w:rPr>
          <w:spacing w:val="-11"/>
          <w:sz w:val="20"/>
        </w:rPr>
        <w:t> </w:t>
      </w:r>
      <w:r>
        <w:rPr>
          <w:sz w:val="20"/>
        </w:rPr>
        <w:t>the</w:t>
      </w:r>
      <w:r>
        <w:rPr>
          <w:spacing w:val="-11"/>
          <w:sz w:val="20"/>
        </w:rPr>
        <w:t> </w:t>
      </w:r>
      <w:r>
        <w:rPr>
          <w:sz w:val="20"/>
        </w:rPr>
        <w:t>device</w:t>
      </w:r>
      <w:r>
        <w:rPr>
          <w:spacing w:val="-10"/>
          <w:sz w:val="20"/>
        </w:rPr>
        <w:t> </w:t>
      </w:r>
      <w:r>
        <w:rPr>
          <w:sz w:val="20"/>
        </w:rPr>
        <w:t>starts</w:t>
      </w:r>
      <w:r>
        <w:rPr>
          <w:spacing w:val="-9"/>
          <w:sz w:val="20"/>
        </w:rPr>
        <w:t> </w:t>
      </w:r>
      <w:r>
        <w:rPr>
          <w:sz w:val="20"/>
        </w:rPr>
        <w:t>sending</w:t>
      </w:r>
      <w:r>
        <w:rPr>
          <w:spacing w:val="-10"/>
          <w:sz w:val="20"/>
        </w:rPr>
        <w:t> </w:t>
      </w:r>
      <w:r>
        <w:rPr>
          <w:sz w:val="20"/>
        </w:rPr>
        <w:t>BSM</w:t>
      </w:r>
      <w:r>
        <w:rPr>
          <w:spacing w:val="-10"/>
          <w:sz w:val="20"/>
        </w:rPr>
        <w:t> </w:t>
      </w:r>
      <w:r>
        <w:rPr>
          <w:sz w:val="20"/>
        </w:rPr>
        <w:t>messages</w:t>
      </w:r>
      <w:r>
        <w:rPr>
          <w:spacing w:val="-7"/>
          <w:sz w:val="20"/>
        </w:rPr>
        <w:t> </w:t>
      </w:r>
      <w:r>
        <w:rPr>
          <w:sz w:val="20"/>
        </w:rPr>
        <w:t>with</w:t>
      </w:r>
      <w:r>
        <w:rPr>
          <w:spacing w:val="-10"/>
          <w:sz w:val="20"/>
        </w:rPr>
        <w:t> </w:t>
      </w:r>
      <w:r>
        <w:rPr>
          <w:sz w:val="20"/>
        </w:rPr>
        <w:t>critical</w:t>
      </w:r>
      <w:r>
        <w:rPr>
          <w:spacing w:val="-11"/>
          <w:sz w:val="20"/>
        </w:rPr>
        <w:t> </w:t>
      </w:r>
      <w:r>
        <w:rPr>
          <w:sz w:val="20"/>
        </w:rPr>
        <w:t>priority</w:t>
      </w:r>
      <w:r>
        <w:rPr>
          <w:spacing w:val="-11"/>
          <w:sz w:val="20"/>
        </w:rPr>
        <w:t> </w:t>
      </w:r>
      <w:r>
        <w:rPr>
          <w:sz w:val="20"/>
        </w:rPr>
        <w:t>in</w:t>
      </w:r>
      <w:r>
        <w:rPr>
          <w:spacing w:val="-8"/>
          <w:sz w:val="20"/>
        </w:rPr>
        <w:t> </w:t>
      </w:r>
      <w:r>
        <w:rPr>
          <w:sz w:val="20"/>
        </w:rPr>
        <w:t>place</w:t>
      </w:r>
      <w:r>
        <w:rPr>
          <w:spacing w:val="-10"/>
          <w:sz w:val="20"/>
        </w:rPr>
        <w:t> </w:t>
      </w:r>
      <w:r>
        <w:rPr>
          <w:sz w:val="20"/>
        </w:rPr>
        <w:t>of</w:t>
      </w:r>
      <w:r>
        <w:rPr>
          <w:spacing w:val="-8"/>
          <w:sz w:val="20"/>
        </w:rPr>
        <w:t> </w:t>
      </w:r>
      <w:r>
        <w:rPr>
          <w:sz w:val="20"/>
        </w:rPr>
        <w:t>regular priority</w:t>
      </w:r>
      <w:r>
        <w:rPr>
          <w:spacing w:val="12"/>
          <w:sz w:val="20"/>
        </w:rPr>
        <w:t> </w:t>
      </w:r>
      <w:r>
        <w:rPr>
          <w:sz w:val="20"/>
        </w:rPr>
        <w:t>BSM.</w:t>
      </w:r>
      <w:r>
        <w:rPr>
          <w:spacing w:val="17"/>
          <w:sz w:val="20"/>
        </w:rPr>
        <w:t> </w:t>
      </w:r>
      <w:r>
        <w:rPr>
          <w:sz w:val="20"/>
        </w:rPr>
        <w:t>Critical</w:t>
      </w:r>
      <w:r>
        <w:rPr>
          <w:spacing w:val="17"/>
          <w:sz w:val="20"/>
        </w:rPr>
        <w:t> </w:t>
      </w:r>
      <w:r>
        <w:rPr>
          <w:sz w:val="20"/>
        </w:rPr>
        <w:t>BSMs</w:t>
      </w:r>
      <w:r>
        <w:rPr>
          <w:spacing w:val="14"/>
          <w:sz w:val="20"/>
        </w:rPr>
        <w:t> </w:t>
      </w:r>
      <w:r>
        <w:rPr>
          <w:sz w:val="20"/>
        </w:rPr>
        <w:t>are</w:t>
      </w:r>
      <w:r>
        <w:rPr>
          <w:spacing w:val="16"/>
          <w:sz w:val="20"/>
        </w:rPr>
        <w:t> </w:t>
      </w:r>
      <w:r>
        <w:rPr>
          <w:sz w:val="20"/>
        </w:rPr>
        <w:t>transmitted</w:t>
      </w:r>
      <w:r>
        <w:rPr>
          <w:spacing w:val="16"/>
          <w:sz w:val="20"/>
        </w:rPr>
        <w:t> </w:t>
      </w:r>
      <w:r>
        <w:rPr>
          <w:sz w:val="20"/>
        </w:rPr>
        <w:t>with</w:t>
      </w:r>
      <w:r>
        <w:rPr>
          <w:spacing w:val="15"/>
          <w:sz w:val="20"/>
        </w:rPr>
        <w:t> </w:t>
      </w:r>
      <w:r>
        <w:rPr>
          <w:sz w:val="20"/>
        </w:rPr>
        <w:t>highest</w:t>
      </w:r>
      <w:r>
        <w:rPr>
          <w:spacing w:val="14"/>
          <w:sz w:val="20"/>
        </w:rPr>
        <w:t> </w:t>
      </w:r>
      <w:r>
        <w:rPr>
          <w:sz w:val="20"/>
        </w:rPr>
        <w:t>priority</w:t>
      </w:r>
      <w:r>
        <w:rPr>
          <w:spacing w:val="12"/>
          <w:sz w:val="20"/>
        </w:rPr>
        <w:t> </w:t>
      </w:r>
      <w:r>
        <w:rPr>
          <w:sz w:val="20"/>
        </w:rPr>
        <w:t>at</w:t>
      </w:r>
      <w:r>
        <w:rPr>
          <w:spacing w:val="15"/>
          <w:sz w:val="20"/>
        </w:rPr>
        <w:t> </w:t>
      </w:r>
      <w:r>
        <w:rPr>
          <w:sz w:val="20"/>
        </w:rPr>
        <w:t>the</w:t>
      </w:r>
      <w:r>
        <w:rPr>
          <w:spacing w:val="16"/>
          <w:sz w:val="20"/>
        </w:rPr>
        <w:t> </w:t>
      </w:r>
      <w:r>
        <w:rPr>
          <w:sz w:val="20"/>
        </w:rPr>
        <w:t>occurrence</w:t>
      </w:r>
      <w:r>
        <w:rPr>
          <w:spacing w:val="13"/>
          <w:sz w:val="20"/>
        </w:rPr>
        <w:t> </w:t>
      </w:r>
      <w:r>
        <w:rPr>
          <w:sz w:val="20"/>
        </w:rPr>
        <w:t>of</w:t>
      </w:r>
      <w:r>
        <w:rPr>
          <w:spacing w:val="15"/>
          <w:sz w:val="20"/>
        </w:rPr>
        <w:t> </w:t>
      </w:r>
      <w:r>
        <w:rPr>
          <w:sz w:val="20"/>
        </w:rPr>
        <w:t>an</w:t>
      </w:r>
      <w:r>
        <w:rPr>
          <w:spacing w:val="13"/>
          <w:sz w:val="20"/>
        </w:rPr>
        <w:t> </w:t>
      </w:r>
      <w:r>
        <w:rPr>
          <w:sz w:val="20"/>
        </w:rPr>
        <w:t>event.</w:t>
      </w:r>
    </w:p>
    <w:p>
      <w:pPr>
        <w:spacing w:after="0" w:line="240" w:lineRule="auto"/>
        <w:jc w:val="left"/>
        <w:rPr>
          <w:sz w:val="20"/>
        </w:rPr>
        <w:sectPr>
          <w:headerReference w:type="default" r:id="rId321"/>
          <w:pgSz w:w="11910" w:h="16850"/>
          <w:pgMar w:header="852" w:footer="979" w:top="1040" w:bottom="1160" w:left="0" w:right="0"/>
        </w:sectPr>
      </w:pPr>
    </w:p>
    <w:p>
      <w:pPr>
        <w:pStyle w:val="BodyText"/>
        <w:spacing w:before="2"/>
        <w:rPr>
          <w:sz w:val="23"/>
        </w:rPr>
      </w:pPr>
    </w:p>
    <w:p>
      <w:pPr>
        <w:pStyle w:val="BodyText"/>
        <w:spacing w:before="93"/>
        <w:ind w:left="2268" w:right="1053"/>
      </w:pPr>
      <w:r>
        <w:rPr/>
        <w:t>After the first transmission of a critical BSM, a periodicity of 10 Hz is maintained until the event is over. The duration of an event has been set to 5 seconds for the test.</w:t>
      </w:r>
    </w:p>
    <w:p>
      <w:pPr>
        <w:pStyle w:val="ListParagraph"/>
        <w:numPr>
          <w:ilvl w:val="7"/>
          <w:numId w:val="41"/>
        </w:numPr>
        <w:tabs>
          <w:tab w:pos="2268" w:val="left" w:leader="none"/>
          <w:tab w:pos="2269" w:val="left" w:leader="none"/>
        </w:tabs>
        <w:spacing w:line="240" w:lineRule="auto" w:before="180" w:after="0"/>
        <w:ind w:left="2268" w:right="0" w:hanging="283"/>
        <w:jc w:val="left"/>
        <w:rPr>
          <w:sz w:val="20"/>
        </w:rPr>
      </w:pPr>
      <w:r>
        <w:rPr>
          <w:sz w:val="20"/>
        </w:rPr>
        <w:t>At the end of the event the device reverts to sending the BSM messages with regular</w:t>
      </w:r>
      <w:r>
        <w:rPr>
          <w:spacing w:val="-32"/>
          <w:sz w:val="20"/>
        </w:rPr>
        <w:t> </w:t>
      </w:r>
      <w:r>
        <w:rPr>
          <w:sz w:val="20"/>
        </w:rPr>
        <w:t>priority.</w:t>
      </w:r>
    </w:p>
    <w:p>
      <w:pPr>
        <w:pStyle w:val="ListParagraph"/>
        <w:numPr>
          <w:ilvl w:val="5"/>
          <w:numId w:val="41"/>
        </w:numPr>
        <w:tabs>
          <w:tab w:pos="1702" w:val="left" w:leader="none"/>
          <w:tab w:pos="1703" w:val="left" w:leader="none"/>
        </w:tabs>
        <w:spacing w:line="240" w:lineRule="auto" w:before="178" w:after="0"/>
        <w:ind w:left="1702" w:right="0" w:hanging="286"/>
        <w:jc w:val="left"/>
        <w:rPr>
          <w:sz w:val="20"/>
        </w:rPr>
      </w:pPr>
      <w:r>
        <w:rPr>
          <w:sz w:val="20"/>
        </w:rPr>
        <w:t>Adjustable attenuator (“Variable Attenuator” at far-right side of Figure</w:t>
      </w:r>
      <w:r>
        <w:rPr>
          <w:spacing w:val="-19"/>
          <w:sz w:val="20"/>
        </w:rPr>
        <w:t> </w:t>
      </w:r>
      <w:r>
        <w:rPr>
          <w:sz w:val="20"/>
        </w:rPr>
        <w:t>30):</w:t>
      </w:r>
    </w:p>
    <w:p>
      <w:pPr>
        <w:pStyle w:val="ListParagraph"/>
        <w:numPr>
          <w:ilvl w:val="6"/>
          <w:numId w:val="41"/>
        </w:numPr>
        <w:tabs>
          <w:tab w:pos="1985" w:val="left" w:leader="none"/>
          <w:tab w:pos="1986" w:val="left" w:leader="none"/>
        </w:tabs>
        <w:spacing w:line="240" w:lineRule="auto" w:before="180" w:after="0"/>
        <w:ind w:left="1985" w:right="0" w:hanging="286"/>
        <w:jc w:val="left"/>
        <w:rPr>
          <w:sz w:val="20"/>
        </w:rPr>
      </w:pPr>
      <w:r>
        <w:rPr>
          <w:sz w:val="20"/>
        </w:rPr>
        <w:t>Same as specified in Section</w:t>
      </w:r>
      <w:r>
        <w:rPr>
          <w:spacing w:val="-10"/>
          <w:sz w:val="20"/>
        </w:rPr>
        <w:t> </w:t>
      </w:r>
      <w:r>
        <w:rPr>
          <w:sz w:val="20"/>
        </w:rPr>
        <w:t>7.4.1.1.3</w:t>
      </w:r>
    </w:p>
    <w:p>
      <w:pPr>
        <w:pStyle w:val="ListParagraph"/>
        <w:numPr>
          <w:ilvl w:val="5"/>
          <w:numId w:val="41"/>
        </w:numPr>
        <w:tabs>
          <w:tab w:pos="1701" w:val="left" w:leader="none"/>
          <w:tab w:pos="1702" w:val="left" w:leader="none"/>
        </w:tabs>
        <w:spacing w:line="240" w:lineRule="auto" w:before="180" w:after="0"/>
        <w:ind w:left="1701" w:right="0" w:hanging="285"/>
        <w:jc w:val="left"/>
        <w:rPr>
          <w:sz w:val="20"/>
        </w:rPr>
      </w:pPr>
      <w:r>
        <w:rPr>
          <w:sz w:val="20"/>
        </w:rPr>
        <w:t>Settings on the reference</w:t>
      </w:r>
      <w:r>
        <w:rPr>
          <w:spacing w:val="-10"/>
          <w:sz w:val="20"/>
        </w:rPr>
        <w:t> </w:t>
      </w:r>
      <w:r>
        <w:rPr>
          <w:sz w:val="20"/>
        </w:rPr>
        <w:t>devices:</w:t>
      </w:r>
    </w:p>
    <w:p>
      <w:pPr>
        <w:pStyle w:val="ListParagraph"/>
        <w:numPr>
          <w:ilvl w:val="6"/>
          <w:numId w:val="41"/>
        </w:numPr>
        <w:tabs>
          <w:tab w:pos="1985" w:val="left" w:leader="none"/>
          <w:tab w:pos="1986" w:val="left" w:leader="none"/>
        </w:tabs>
        <w:spacing w:line="240" w:lineRule="auto" w:before="180" w:after="0"/>
        <w:ind w:left="1985" w:right="1141" w:hanging="286"/>
        <w:jc w:val="left"/>
        <w:rPr>
          <w:sz w:val="20"/>
        </w:rPr>
      </w:pPr>
      <w:r>
        <w:rPr>
          <w:sz w:val="20"/>
        </w:rPr>
        <w:t>Same as specified in Section 7.4.1.1.3. This includes the fact that the reference devices will send only regular BSM messages (no critical</w:t>
      </w:r>
      <w:r>
        <w:rPr>
          <w:spacing w:val="-13"/>
          <w:sz w:val="20"/>
        </w:rPr>
        <w:t> </w:t>
      </w:r>
      <w:r>
        <w:rPr>
          <w:sz w:val="20"/>
        </w:rPr>
        <w:t>ones).</w:t>
      </w:r>
    </w:p>
    <w:p>
      <w:pPr>
        <w:pStyle w:val="ListParagraph"/>
        <w:numPr>
          <w:ilvl w:val="5"/>
          <w:numId w:val="41"/>
        </w:numPr>
        <w:tabs>
          <w:tab w:pos="1701" w:val="left" w:leader="none"/>
          <w:tab w:pos="1702" w:val="left" w:leader="none"/>
        </w:tabs>
        <w:spacing w:line="240" w:lineRule="auto" w:before="180" w:after="0"/>
        <w:ind w:left="1701" w:right="0" w:hanging="285"/>
        <w:jc w:val="left"/>
        <w:rPr>
          <w:sz w:val="20"/>
        </w:rPr>
      </w:pPr>
      <w:r>
        <w:rPr>
          <w:sz w:val="20"/>
        </w:rPr>
        <w:t>Data Collection at DUT1 and</w:t>
      </w:r>
      <w:r>
        <w:rPr>
          <w:spacing w:val="-9"/>
          <w:sz w:val="20"/>
        </w:rPr>
        <w:t> </w:t>
      </w:r>
      <w:r>
        <w:rPr>
          <w:sz w:val="20"/>
        </w:rPr>
        <w:t>DUT2:</w:t>
      </w:r>
    </w:p>
    <w:p>
      <w:pPr>
        <w:pStyle w:val="ListParagraph"/>
        <w:numPr>
          <w:ilvl w:val="6"/>
          <w:numId w:val="41"/>
        </w:numPr>
        <w:tabs>
          <w:tab w:pos="1985" w:val="left" w:leader="none"/>
          <w:tab w:pos="1986" w:val="left" w:leader="none"/>
        </w:tabs>
        <w:spacing w:line="240" w:lineRule="auto" w:before="178" w:after="0"/>
        <w:ind w:left="1985" w:right="0" w:hanging="286"/>
        <w:jc w:val="left"/>
        <w:rPr>
          <w:sz w:val="20"/>
        </w:rPr>
      </w:pPr>
      <w:r>
        <w:rPr>
          <w:sz w:val="20"/>
        </w:rPr>
        <w:t>Same as specified in Section 7.4.1.1.3 with the additions listed</w:t>
      </w:r>
      <w:r>
        <w:rPr>
          <w:spacing w:val="-23"/>
          <w:sz w:val="20"/>
        </w:rPr>
        <w:t> </w:t>
      </w:r>
      <w:r>
        <w:rPr>
          <w:sz w:val="20"/>
        </w:rPr>
        <w:t>below</w:t>
      </w:r>
    </w:p>
    <w:p>
      <w:pPr>
        <w:pStyle w:val="ListParagraph"/>
        <w:numPr>
          <w:ilvl w:val="6"/>
          <w:numId w:val="41"/>
        </w:numPr>
        <w:tabs>
          <w:tab w:pos="1985" w:val="left" w:leader="none"/>
          <w:tab w:pos="1986" w:val="left" w:leader="none"/>
        </w:tabs>
        <w:spacing w:line="240" w:lineRule="auto" w:before="181" w:after="0"/>
        <w:ind w:left="1985" w:right="0" w:hanging="286"/>
        <w:jc w:val="left"/>
        <w:rPr>
          <w:sz w:val="20"/>
        </w:rPr>
      </w:pPr>
      <w:r>
        <w:rPr>
          <w:sz w:val="20"/>
        </w:rPr>
        <w:t>Priority (critical or regular) for each transmitted</w:t>
      </w:r>
      <w:r>
        <w:rPr>
          <w:spacing w:val="-19"/>
          <w:sz w:val="20"/>
        </w:rPr>
        <w:t> </w:t>
      </w:r>
      <w:r>
        <w:rPr>
          <w:sz w:val="20"/>
        </w:rPr>
        <w:t>packet</w:t>
      </w:r>
    </w:p>
    <w:p>
      <w:pPr>
        <w:pStyle w:val="ListParagraph"/>
        <w:numPr>
          <w:ilvl w:val="6"/>
          <w:numId w:val="41"/>
        </w:numPr>
        <w:tabs>
          <w:tab w:pos="1985" w:val="left" w:leader="none"/>
          <w:tab w:pos="1986" w:val="left" w:leader="none"/>
        </w:tabs>
        <w:spacing w:line="240" w:lineRule="auto" w:before="180" w:after="0"/>
        <w:ind w:left="1985" w:right="0" w:hanging="286"/>
        <w:jc w:val="left"/>
        <w:rPr>
          <w:sz w:val="20"/>
        </w:rPr>
      </w:pPr>
      <w:r>
        <w:rPr>
          <w:sz w:val="20"/>
        </w:rPr>
        <w:t>Priority (critical or regular) for each received</w:t>
      </w:r>
      <w:r>
        <w:rPr>
          <w:spacing w:val="-15"/>
          <w:sz w:val="20"/>
        </w:rPr>
        <w:t> </w:t>
      </w:r>
      <w:r>
        <w:rPr>
          <w:sz w:val="20"/>
        </w:rPr>
        <w:t>packet</w:t>
      </w:r>
    </w:p>
    <w:p>
      <w:pPr>
        <w:pStyle w:val="ListParagraph"/>
        <w:numPr>
          <w:ilvl w:val="1"/>
          <w:numId w:val="6"/>
        </w:numPr>
        <w:tabs>
          <w:tab w:pos="1416" w:val="left" w:leader="none"/>
          <w:tab w:pos="1417" w:val="left" w:leader="none"/>
        </w:tabs>
        <w:spacing w:line="240" w:lineRule="auto" w:before="180" w:after="0"/>
        <w:ind w:left="1416" w:right="0" w:hanging="283"/>
        <w:jc w:val="left"/>
        <w:rPr>
          <w:sz w:val="20"/>
        </w:rPr>
      </w:pPr>
      <w:r>
        <w:rPr>
          <w:sz w:val="20"/>
        </w:rPr>
        <w:t>Data Collection at each reference</w:t>
      </w:r>
      <w:r>
        <w:rPr>
          <w:spacing w:val="-12"/>
          <w:sz w:val="20"/>
        </w:rPr>
        <w:t> </w:t>
      </w:r>
      <w:r>
        <w:rPr>
          <w:sz w:val="20"/>
        </w:rPr>
        <w:t>device:</w:t>
      </w:r>
    </w:p>
    <w:p>
      <w:pPr>
        <w:pStyle w:val="BodyText"/>
        <w:tabs>
          <w:tab w:pos="1985" w:val="left" w:leader="none"/>
        </w:tabs>
        <w:spacing w:before="180"/>
        <w:ind w:left="1699"/>
      </w:pPr>
      <w:r>
        <w:rPr/>
        <w:t>-</w:t>
        <w:tab/>
        <w:t>Same as specified in Section</w:t>
      </w:r>
      <w:r>
        <w:rPr>
          <w:spacing w:val="-10"/>
        </w:rPr>
        <w:t> </w:t>
      </w:r>
      <w:r>
        <w:rPr/>
        <w:t>7.4.1.1.3</w:t>
      </w:r>
    </w:p>
    <w:p>
      <w:pPr>
        <w:pStyle w:val="BodyText"/>
        <w:spacing w:before="1"/>
        <w:rPr>
          <w:sz w:val="26"/>
        </w:rPr>
      </w:pPr>
    </w:p>
    <w:p>
      <w:pPr>
        <w:pStyle w:val="Heading6"/>
        <w:numPr>
          <w:ilvl w:val="4"/>
          <w:numId w:val="41"/>
        </w:numPr>
        <w:tabs>
          <w:tab w:pos="2834" w:val="left" w:leader="none"/>
          <w:tab w:pos="2835" w:val="left" w:leader="none"/>
        </w:tabs>
        <w:spacing w:line="240" w:lineRule="auto" w:before="0" w:after="0"/>
        <w:ind w:left="2834" w:right="0" w:hanging="1701"/>
        <w:jc w:val="left"/>
      </w:pPr>
      <w:r>
        <w:rPr/>
        <w:t>Test</w:t>
      </w:r>
      <w:r>
        <w:rPr>
          <w:spacing w:val="-2"/>
        </w:rPr>
        <w:t> </w:t>
      </w:r>
      <w:r>
        <w:rPr/>
        <w:t>Execution</w:t>
      </w:r>
    </w:p>
    <w:p>
      <w:pPr>
        <w:pStyle w:val="BodyText"/>
        <w:spacing w:before="178"/>
        <w:ind w:left="1133" w:right="1136"/>
      </w:pPr>
      <w:r>
        <w:rPr/>
        <w:t>The overall idea of the testing is the same as in section 7.4.1.1.4. The “Overview” from section 7.4.1.1.4 is repeated here:</w:t>
      </w:r>
    </w:p>
    <w:p>
      <w:pPr>
        <w:pStyle w:val="BodyText"/>
        <w:spacing w:before="180"/>
        <w:ind w:left="1133" w:right="1053"/>
      </w:pPr>
      <w:r>
        <w:rPr/>
        <w:t>With the reference devices creating a congested environment, the PER between the DUTs (DUT1 and DUT2) is observed as the “distance” between them is gradually increased by adjusting the attenuation.</w:t>
      </w:r>
    </w:p>
    <w:p>
      <w:pPr>
        <w:pStyle w:val="BodyText"/>
        <w:spacing w:before="180"/>
        <w:ind w:left="1133"/>
      </w:pPr>
      <w:r>
        <w:rPr/>
        <w:t>Following is the complete set of test execution steps.</w:t>
      </w:r>
    </w:p>
    <w:p>
      <w:pPr>
        <w:pStyle w:val="ListParagraph"/>
        <w:numPr>
          <w:ilvl w:val="0"/>
          <w:numId w:val="42"/>
        </w:numPr>
        <w:tabs>
          <w:tab w:pos="1702" w:val="left" w:leader="none"/>
        </w:tabs>
        <w:spacing w:line="240" w:lineRule="auto" w:before="180" w:after="0"/>
        <w:ind w:left="1702" w:right="0" w:hanging="286"/>
        <w:jc w:val="left"/>
        <w:rPr>
          <w:sz w:val="20"/>
        </w:rPr>
      </w:pPr>
      <w:r>
        <w:rPr>
          <w:sz w:val="20"/>
        </w:rPr>
        <w:t>Set</w:t>
      </w:r>
      <w:r>
        <w:rPr>
          <w:spacing w:val="-6"/>
          <w:sz w:val="20"/>
        </w:rPr>
        <w:t> </w:t>
      </w:r>
      <w:r>
        <w:rPr>
          <w:sz w:val="20"/>
        </w:rPr>
        <w:t>up</w:t>
      </w:r>
      <w:r>
        <w:rPr>
          <w:spacing w:val="-8"/>
          <w:sz w:val="20"/>
        </w:rPr>
        <w:t> </w:t>
      </w:r>
      <w:r>
        <w:rPr>
          <w:sz w:val="20"/>
        </w:rPr>
        <w:t>the</w:t>
      </w:r>
      <w:r>
        <w:rPr>
          <w:spacing w:val="-8"/>
          <w:sz w:val="20"/>
        </w:rPr>
        <w:t> </w:t>
      </w:r>
      <w:r>
        <w:rPr>
          <w:sz w:val="20"/>
        </w:rPr>
        <w:t>test</w:t>
      </w:r>
      <w:r>
        <w:rPr>
          <w:spacing w:val="-5"/>
          <w:sz w:val="20"/>
        </w:rPr>
        <w:t> </w:t>
      </w:r>
      <w:r>
        <w:rPr>
          <w:sz w:val="20"/>
        </w:rPr>
        <w:t>bed</w:t>
      </w:r>
      <w:r>
        <w:rPr>
          <w:spacing w:val="-6"/>
          <w:sz w:val="20"/>
        </w:rPr>
        <w:t> </w:t>
      </w:r>
      <w:r>
        <w:rPr>
          <w:sz w:val="20"/>
        </w:rPr>
        <w:t>as</w:t>
      </w:r>
      <w:r>
        <w:rPr>
          <w:spacing w:val="-7"/>
          <w:sz w:val="20"/>
        </w:rPr>
        <w:t> </w:t>
      </w:r>
      <w:r>
        <w:rPr>
          <w:sz w:val="20"/>
        </w:rPr>
        <w:t>explained</w:t>
      </w:r>
      <w:r>
        <w:rPr>
          <w:spacing w:val="-8"/>
          <w:sz w:val="20"/>
        </w:rPr>
        <w:t> </w:t>
      </w:r>
      <w:r>
        <w:rPr>
          <w:sz w:val="20"/>
        </w:rPr>
        <w:t>in</w:t>
      </w:r>
      <w:r>
        <w:rPr>
          <w:spacing w:val="-8"/>
          <w:sz w:val="20"/>
        </w:rPr>
        <w:t> </w:t>
      </w:r>
      <w:r>
        <w:rPr>
          <w:sz w:val="20"/>
        </w:rPr>
        <w:t>section</w:t>
      </w:r>
      <w:r>
        <w:rPr>
          <w:spacing w:val="-8"/>
          <w:sz w:val="20"/>
        </w:rPr>
        <w:t> </w:t>
      </w:r>
      <w:r>
        <w:rPr>
          <w:sz w:val="20"/>
        </w:rPr>
        <w:t>7.4.1.1.3,</w:t>
      </w:r>
      <w:r>
        <w:rPr>
          <w:spacing w:val="-5"/>
          <w:sz w:val="20"/>
        </w:rPr>
        <w:t> </w:t>
      </w:r>
      <w:r>
        <w:rPr>
          <w:sz w:val="20"/>
        </w:rPr>
        <w:t>where</w:t>
      </w:r>
      <w:r>
        <w:rPr>
          <w:spacing w:val="-8"/>
          <w:sz w:val="20"/>
        </w:rPr>
        <w:t> </w:t>
      </w:r>
      <w:r>
        <w:rPr>
          <w:sz w:val="20"/>
        </w:rPr>
        <w:t>the</w:t>
      </w:r>
      <w:r>
        <w:rPr>
          <w:spacing w:val="-8"/>
          <w:sz w:val="20"/>
        </w:rPr>
        <w:t> </w:t>
      </w:r>
      <w:r>
        <w:rPr>
          <w:sz w:val="20"/>
        </w:rPr>
        <w:t>total</w:t>
      </w:r>
      <w:r>
        <w:rPr>
          <w:spacing w:val="-7"/>
          <w:sz w:val="20"/>
        </w:rPr>
        <w:t> </w:t>
      </w:r>
      <w:r>
        <w:rPr>
          <w:sz w:val="20"/>
        </w:rPr>
        <w:t>quantity</w:t>
      </w:r>
      <w:r>
        <w:rPr>
          <w:spacing w:val="-9"/>
          <w:sz w:val="20"/>
        </w:rPr>
        <w:t> </w:t>
      </w:r>
      <w:r>
        <w:rPr>
          <w:sz w:val="20"/>
        </w:rPr>
        <w:t>of</w:t>
      </w:r>
      <w:r>
        <w:rPr>
          <w:spacing w:val="-6"/>
          <w:sz w:val="20"/>
        </w:rPr>
        <w:t> </w:t>
      </w:r>
      <w:r>
        <w:rPr>
          <w:sz w:val="20"/>
        </w:rPr>
        <w:t>reference</w:t>
      </w:r>
      <w:r>
        <w:rPr>
          <w:spacing w:val="-8"/>
          <w:sz w:val="20"/>
        </w:rPr>
        <w:t> </w:t>
      </w:r>
      <w:r>
        <w:rPr>
          <w:sz w:val="20"/>
        </w:rPr>
        <w:t>devices</w:t>
      </w:r>
      <w:r>
        <w:rPr>
          <w:spacing w:val="-7"/>
          <w:sz w:val="20"/>
        </w:rPr>
        <w:t> </w:t>
      </w:r>
      <w:r>
        <w:rPr>
          <w:sz w:val="20"/>
        </w:rPr>
        <w:t>is</w:t>
      </w:r>
      <w:r>
        <w:rPr>
          <w:spacing w:val="-7"/>
          <w:sz w:val="20"/>
        </w:rPr>
        <w:t> </w:t>
      </w:r>
      <w:r>
        <w:rPr>
          <w:sz w:val="20"/>
        </w:rPr>
        <w:t>48.</w:t>
      </w:r>
    </w:p>
    <w:p>
      <w:pPr>
        <w:pStyle w:val="ListParagraph"/>
        <w:numPr>
          <w:ilvl w:val="0"/>
          <w:numId w:val="42"/>
        </w:numPr>
        <w:tabs>
          <w:tab w:pos="1702" w:val="left" w:leader="none"/>
        </w:tabs>
        <w:spacing w:line="240" w:lineRule="auto" w:before="180" w:after="0"/>
        <w:ind w:left="1702" w:right="0" w:hanging="286"/>
        <w:jc w:val="left"/>
        <w:rPr>
          <w:sz w:val="20"/>
        </w:rPr>
      </w:pPr>
      <w:r>
        <w:rPr>
          <w:sz w:val="20"/>
        </w:rPr>
        <w:t>The default attenuation of 95 dB was chosen to emulate ~75 m according to</w:t>
      </w:r>
      <w:r>
        <w:rPr>
          <w:spacing w:val="-27"/>
          <w:sz w:val="20"/>
        </w:rPr>
        <w:t> </w:t>
      </w:r>
      <w:r>
        <w:rPr>
          <w:sz w:val="20"/>
        </w:rPr>
        <w:t>Simulations.</w:t>
      </w:r>
    </w:p>
    <w:p>
      <w:pPr>
        <w:pStyle w:val="ListParagraph"/>
        <w:numPr>
          <w:ilvl w:val="0"/>
          <w:numId w:val="42"/>
        </w:numPr>
        <w:tabs>
          <w:tab w:pos="1703" w:val="left" w:leader="none"/>
        </w:tabs>
        <w:spacing w:line="240" w:lineRule="auto" w:before="180" w:after="0"/>
        <w:ind w:left="1702" w:right="1128" w:hanging="286"/>
        <w:jc w:val="left"/>
        <w:rPr>
          <w:sz w:val="20"/>
        </w:rPr>
      </w:pPr>
      <w:r>
        <w:rPr>
          <w:sz w:val="20"/>
        </w:rPr>
        <w:t>Set “Variable Attenuator” (at the far-right side of diagram in Figure 7 20) to 0 dB to simulate a short distance between the</w:t>
      </w:r>
      <w:r>
        <w:rPr>
          <w:spacing w:val="-7"/>
          <w:sz w:val="20"/>
        </w:rPr>
        <w:t> </w:t>
      </w:r>
      <w:r>
        <w:rPr>
          <w:sz w:val="20"/>
        </w:rPr>
        <w:t>DUTs.</w:t>
      </w:r>
    </w:p>
    <w:p>
      <w:pPr>
        <w:pStyle w:val="ListParagraph"/>
        <w:numPr>
          <w:ilvl w:val="0"/>
          <w:numId w:val="42"/>
        </w:numPr>
        <w:tabs>
          <w:tab w:pos="1702" w:val="left" w:leader="none"/>
        </w:tabs>
        <w:spacing w:line="240" w:lineRule="auto" w:before="178" w:after="0"/>
        <w:ind w:left="1702" w:right="0" w:hanging="286"/>
        <w:jc w:val="left"/>
        <w:rPr>
          <w:sz w:val="20"/>
        </w:rPr>
      </w:pPr>
      <w:r>
        <w:rPr>
          <w:sz w:val="20"/>
        </w:rPr>
        <w:t>Start transmission at all reference devices (regular BSM</w:t>
      </w:r>
      <w:r>
        <w:rPr>
          <w:spacing w:val="-20"/>
          <w:sz w:val="20"/>
        </w:rPr>
        <w:t> </w:t>
      </w:r>
      <w:r>
        <w:rPr>
          <w:sz w:val="20"/>
        </w:rPr>
        <w:t>broadcast).</w:t>
      </w:r>
    </w:p>
    <w:p>
      <w:pPr>
        <w:pStyle w:val="ListParagraph"/>
        <w:numPr>
          <w:ilvl w:val="0"/>
          <w:numId w:val="42"/>
        </w:numPr>
        <w:tabs>
          <w:tab w:pos="1702" w:val="left" w:leader="none"/>
        </w:tabs>
        <w:spacing w:line="240" w:lineRule="auto" w:before="180" w:after="0"/>
        <w:ind w:left="1702" w:right="1136" w:hanging="286"/>
        <w:jc w:val="both"/>
        <w:rPr>
          <w:sz w:val="20"/>
        </w:rPr>
      </w:pPr>
      <w:r>
        <w:rPr>
          <w:sz w:val="20"/>
        </w:rPr>
        <w:t>Start transmission at DUT1 and DUT2 (BSM broadcast). Normally the BSM messages of a given DUT shall be sent with regular priority, but at times they shall instead be sent with critical priority, according to the</w:t>
      </w:r>
      <w:r>
        <w:rPr>
          <w:spacing w:val="-9"/>
          <w:sz w:val="20"/>
        </w:rPr>
        <w:t> </w:t>
      </w:r>
      <w:r>
        <w:rPr>
          <w:sz w:val="20"/>
        </w:rPr>
        <w:t>following:</w:t>
      </w:r>
    </w:p>
    <w:p>
      <w:pPr>
        <w:pStyle w:val="ListParagraph"/>
        <w:numPr>
          <w:ilvl w:val="1"/>
          <w:numId w:val="42"/>
        </w:numPr>
        <w:tabs>
          <w:tab w:pos="1986" w:val="left" w:leader="none"/>
        </w:tabs>
        <w:spacing w:line="240" w:lineRule="auto" w:before="180" w:after="0"/>
        <w:ind w:left="1985" w:right="1131" w:hanging="286"/>
        <w:jc w:val="both"/>
        <w:rPr>
          <w:sz w:val="20"/>
        </w:rPr>
      </w:pPr>
      <w:r>
        <w:rPr>
          <w:sz w:val="20"/>
        </w:rPr>
        <w:t>At a random time, the device starts sending BSM messages with critical priority in place of regular priority BSM. Critical BSMs are transmitted with highest priority at </w:t>
      </w:r>
      <w:r>
        <w:rPr>
          <w:spacing w:val="2"/>
          <w:sz w:val="20"/>
        </w:rPr>
        <w:t>the </w:t>
      </w:r>
      <w:r>
        <w:rPr>
          <w:sz w:val="20"/>
        </w:rPr>
        <w:t>occurrence of an event. After the first transmission of a critical BSM, a periodicity of 10 Hz is maintained until the event is over. The duration of an event has been set to 5 seconds for the</w:t>
      </w:r>
      <w:r>
        <w:rPr>
          <w:spacing w:val="-18"/>
          <w:sz w:val="20"/>
        </w:rPr>
        <w:t> </w:t>
      </w:r>
      <w:r>
        <w:rPr>
          <w:sz w:val="20"/>
        </w:rPr>
        <w:t>test</w:t>
      </w:r>
    </w:p>
    <w:p>
      <w:pPr>
        <w:pStyle w:val="ListParagraph"/>
        <w:numPr>
          <w:ilvl w:val="1"/>
          <w:numId w:val="42"/>
        </w:numPr>
        <w:tabs>
          <w:tab w:pos="1985" w:val="left" w:leader="none"/>
          <w:tab w:pos="1986" w:val="left" w:leader="none"/>
        </w:tabs>
        <w:spacing w:line="240" w:lineRule="auto" w:before="179" w:after="0"/>
        <w:ind w:left="1985" w:right="1135" w:hanging="286"/>
        <w:jc w:val="left"/>
        <w:rPr>
          <w:sz w:val="20"/>
        </w:rPr>
      </w:pPr>
      <w:r>
        <w:rPr>
          <w:sz w:val="20"/>
        </w:rPr>
        <w:t>At the end of the event the device reverts to sending the BSM messages with regular priority. The event repeats for five to 10 times in the overall test</w:t>
      </w:r>
      <w:r>
        <w:rPr>
          <w:spacing w:val="-21"/>
          <w:sz w:val="20"/>
        </w:rPr>
        <w:t> </w:t>
      </w:r>
      <w:r>
        <w:rPr>
          <w:sz w:val="20"/>
        </w:rPr>
        <w:t>duration.</w:t>
      </w:r>
    </w:p>
    <w:p>
      <w:pPr>
        <w:pStyle w:val="ListParagraph"/>
        <w:numPr>
          <w:ilvl w:val="0"/>
          <w:numId w:val="42"/>
        </w:numPr>
        <w:tabs>
          <w:tab w:pos="1703" w:val="left" w:leader="none"/>
        </w:tabs>
        <w:spacing w:line="240" w:lineRule="auto" w:before="179" w:after="0"/>
        <w:ind w:left="1133" w:right="1141" w:firstLine="221"/>
        <w:jc w:val="left"/>
        <w:rPr>
          <w:sz w:val="20"/>
        </w:rPr>
      </w:pPr>
      <w:r>
        <w:rPr>
          <w:sz w:val="20"/>
        </w:rPr>
        <w:t>Record to a log file the data and KPIs as defined in this section for DUT1, DUT2, and the reference devices.</w:t>
      </w:r>
    </w:p>
    <w:p>
      <w:pPr>
        <w:pStyle w:val="BodyText"/>
        <w:tabs>
          <w:tab w:pos="2268" w:val="left" w:leader="none"/>
        </w:tabs>
        <w:spacing w:before="179"/>
        <w:ind w:left="2268" w:right="1137" w:hanging="852"/>
      </w:pPr>
      <w:r>
        <w:rPr/>
        <w:t>NOTE:</w:t>
        <w:tab/>
        <w:t>Logging/saving of all KPIs shall be done for at least one reference device.      </w:t>
      </w:r>
      <w:r>
        <w:rPr>
          <w:spacing w:val="3"/>
        </w:rPr>
        <w:t> </w:t>
      </w:r>
      <w:r>
        <w:rPr/>
        <w:t>Logging/saving</w:t>
      </w:r>
      <w:r>
        <w:rPr>
          <w:spacing w:val="20"/>
        </w:rPr>
        <w:t> </w:t>
      </w:r>
      <w:r>
        <w:rPr/>
        <w:t>is</w:t>
      </w:r>
      <w:r>
        <w:rPr>
          <w:w w:val="99"/>
        </w:rPr>
        <w:t> </w:t>
      </w:r>
      <w:r>
        <w:rPr/>
        <w:t>recommended for all reference devices as far as practical, for additional</w:t>
      </w:r>
      <w:r>
        <w:rPr>
          <w:spacing w:val="-26"/>
        </w:rPr>
        <w:t> </w:t>
      </w:r>
      <w:r>
        <w:rPr/>
        <w:t>analysis.</w:t>
      </w:r>
    </w:p>
    <w:p>
      <w:pPr>
        <w:spacing w:after="0"/>
        <w:sectPr>
          <w:headerReference w:type="default" r:id="rId322"/>
          <w:pgSz w:w="11910" w:h="16850"/>
          <w:pgMar w:header="852" w:footer="979" w:top="1040" w:bottom="1160" w:left="0" w:right="0"/>
        </w:sectPr>
      </w:pPr>
    </w:p>
    <w:p>
      <w:pPr>
        <w:pStyle w:val="BodyText"/>
      </w:pPr>
    </w:p>
    <w:p>
      <w:pPr>
        <w:pStyle w:val="BodyText"/>
      </w:pPr>
    </w:p>
    <w:p>
      <w:pPr>
        <w:pStyle w:val="BodyText"/>
        <w:spacing w:before="11"/>
        <w:rPr>
          <w:sz w:val="18"/>
        </w:rPr>
      </w:pPr>
    </w:p>
    <w:p>
      <w:pPr>
        <w:pStyle w:val="ListParagraph"/>
        <w:numPr>
          <w:ilvl w:val="0"/>
          <w:numId w:val="42"/>
        </w:numPr>
        <w:tabs>
          <w:tab w:pos="1702" w:val="left" w:leader="none"/>
        </w:tabs>
        <w:spacing w:line="240" w:lineRule="auto" w:before="92" w:after="0"/>
        <w:ind w:left="1702" w:right="0" w:hanging="286"/>
        <w:jc w:val="left"/>
        <w:rPr>
          <w:sz w:val="20"/>
        </w:rPr>
      </w:pPr>
      <w:r>
        <w:rPr>
          <w:sz w:val="20"/>
        </w:rPr>
        <w:t>Calculate the PER between the two DUTs at both DUT1 and</w:t>
      </w:r>
      <w:r>
        <w:rPr>
          <w:spacing w:val="-18"/>
          <w:sz w:val="20"/>
        </w:rPr>
        <w:t> </w:t>
      </w:r>
      <w:r>
        <w:rPr>
          <w:sz w:val="20"/>
        </w:rPr>
        <w:t>DUT2.</w:t>
      </w:r>
    </w:p>
    <w:p>
      <w:pPr>
        <w:pStyle w:val="BodyText"/>
        <w:tabs>
          <w:tab w:pos="2268" w:val="left" w:leader="none"/>
        </w:tabs>
        <w:spacing w:before="179"/>
        <w:ind w:left="1416"/>
      </w:pPr>
      <w:r>
        <w:rPr/>
        <w:t>NOTE:</w:t>
        <w:tab/>
        <w:t>Perform these calculations separately for critical and regular BSM</w:t>
      </w:r>
      <w:r>
        <w:rPr>
          <w:spacing w:val="-21"/>
        </w:rPr>
        <w:t> </w:t>
      </w:r>
      <w:r>
        <w:rPr/>
        <w:t>messages.</w:t>
      </w:r>
    </w:p>
    <w:p>
      <w:pPr>
        <w:pStyle w:val="ListParagraph"/>
        <w:numPr>
          <w:ilvl w:val="0"/>
          <w:numId w:val="42"/>
        </w:numPr>
        <w:tabs>
          <w:tab w:pos="1703" w:val="left" w:leader="none"/>
        </w:tabs>
        <w:spacing w:line="240" w:lineRule="auto" w:before="177" w:after="0"/>
        <w:ind w:left="1702" w:right="1130" w:hanging="286"/>
        <w:jc w:val="left"/>
        <w:rPr>
          <w:sz w:val="20"/>
        </w:rPr>
      </w:pPr>
      <w:r>
        <w:rPr>
          <w:sz w:val="20"/>
        </w:rPr>
        <w:t>Increase the attenuation at “Variable Attenuator” (at far-right side of Figure 30) by 10 dB to simulate an increase in distance between the</w:t>
      </w:r>
      <w:r>
        <w:rPr>
          <w:spacing w:val="-13"/>
          <w:sz w:val="20"/>
        </w:rPr>
        <w:t> </w:t>
      </w:r>
      <w:r>
        <w:rPr>
          <w:sz w:val="20"/>
        </w:rPr>
        <w:t>DUTs.</w:t>
      </w:r>
    </w:p>
    <w:p>
      <w:pPr>
        <w:pStyle w:val="ListParagraph"/>
        <w:numPr>
          <w:ilvl w:val="0"/>
          <w:numId w:val="42"/>
        </w:numPr>
        <w:tabs>
          <w:tab w:pos="1702" w:val="left" w:leader="none"/>
        </w:tabs>
        <w:spacing w:line="240" w:lineRule="auto" w:before="180" w:after="0"/>
        <w:ind w:left="1702" w:right="1137" w:hanging="286"/>
        <w:jc w:val="left"/>
        <w:rPr>
          <w:sz w:val="20"/>
        </w:rPr>
      </w:pPr>
      <w:r>
        <w:rPr>
          <w:sz w:val="20"/>
        </w:rPr>
        <w:t>Repeat steps 5 through 7 until the overall attenuation between DUT1 and DUT2 reaches 115 dB. PER shall be considered separately for critical and regular BSM</w:t>
      </w:r>
      <w:r>
        <w:rPr>
          <w:spacing w:val="-23"/>
          <w:sz w:val="20"/>
        </w:rPr>
        <w:t> </w:t>
      </w:r>
      <w:r>
        <w:rPr>
          <w:sz w:val="20"/>
        </w:rPr>
        <w:t>messages.</w:t>
      </w:r>
    </w:p>
    <w:p>
      <w:pPr>
        <w:pStyle w:val="BodyText"/>
        <w:spacing w:before="1"/>
        <w:rPr>
          <w:sz w:val="26"/>
        </w:rPr>
      </w:pPr>
    </w:p>
    <w:p>
      <w:pPr>
        <w:pStyle w:val="Heading6"/>
        <w:numPr>
          <w:ilvl w:val="4"/>
          <w:numId w:val="41"/>
        </w:numPr>
        <w:tabs>
          <w:tab w:pos="2834" w:val="left" w:leader="none"/>
          <w:tab w:pos="2835" w:val="left" w:leader="none"/>
        </w:tabs>
        <w:spacing w:line="240" w:lineRule="auto" w:before="0" w:after="0"/>
        <w:ind w:left="2834" w:right="0" w:hanging="1701"/>
        <w:jc w:val="both"/>
      </w:pPr>
      <w:r>
        <w:rPr/>
        <w:t>Unique Tests to be</w:t>
      </w:r>
      <w:r>
        <w:rPr>
          <w:spacing w:val="-8"/>
        </w:rPr>
        <w:t> </w:t>
      </w:r>
      <w:r>
        <w:rPr/>
        <w:t>Conducted</w:t>
      </w:r>
    </w:p>
    <w:p>
      <w:pPr>
        <w:pStyle w:val="BodyText"/>
        <w:spacing w:before="178"/>
        <w:ind w:left="1133" w:right="1136"/>
      </w:pPr>
      <w:r>
        <w:rPr/>
        <w:t>Run this test as described in section 7.4.1.2.3 using two C-V2X DUTs and up to 48 reference devices with special configuration as explained above. Run the test in section 7.4.1.2.4 as follows:</w:t>
      </w:r>
    </w:p>
    <w:p>
      <w:pPr>
        <w:pStyle w:val="ListParagraph"/>
        <w:numPr>
          <w:ilvl w:val="1"/>
          <w:numId w:val="6"/>
        </w:numPr>
        <w:tabs>
          <w:tab w:pos="1417" w:val="left" w:leader="none"/>
        </w:tabs>
        <w:spacing w:line="240" w:lineRule="auto" w:before="181" w:after="0"/>
        <w:ind w:left="1416" w:right="0" w:hanging="283"/>
        <w:jc w:val="both"/>
        <w:rPr>
          <w:sz w:val="20"/>
        </w:rPr>
      </w:pPr>
      <w:r>
        <w:rPr>
          <w:sz w:val="20"/>
        </w:rPr>
        <w:t>All devices (DUT1, DUT2, reference devices) have congestions control switched</w:t>
      </w:r>
      <w:r>
        <w:rPr>
          <w:spacing w:val="-27"/>
          <w:sz w:val="20"/>
        </w:rPr>
        <w:t> </w:t>
      </w:r>
      <w:r>
        <w:rPr>
          <w:sz w:val="20"/>
        </w:rPr>
        <w:t>on</w:t>
      </w:r>
    </w:p>
    <w:p>
      <w:pPr>
        <w:pStyle w:val="BodyText"/>
        <w:spacing w:before="1"/>
        <w:rPr>
          <w:sz w:val="26"/>
        </w:rPr>
      </w:pPr>
    </w:p>
    <w:p>
      <w:pPr>
        <w:pStyle w:val="Heading6"/>
        <w:numPr>
          <w:ilvl w:val="4"/>
          <w:numId w:val="41"/>
        </w:numPr>
        <w:tabs>
          <w:tab w:pos="2834" w:val="left" w:leader="none"/>
          <w:tab w:pos="2835" w:val="left" w:leader="none"/>
        </w:tabs>
        <w:spacing w:line="240" w:lineRule="auto" w:before="0" w:after="0"/>
        <w:ind w:left="2834" w:right="0" w:hanging="1701"/>
        <w:jc w:val="both"/>
      </w:pPr>
      <w:r>
        <w:rPr/>
        <w:t>Required</w:t>
      </w:r>
      <w:r>
        <w:rPr>
          <w:spacing w:val="-5"/>
        </w:rPr>
        <w:t> </w:t>
      </w:r>
      <w:r>
        <w:rPr/>
        <w:t>Documentation</w:t>
      </w:r>
    </w:p>
    <w:p>
      <w:pPr>
        <w:pStyle w:val="BodyText"/>
        <w:spacing w:before="178"/>
        <w:ind w:left="1133"/>
        <w:jc w:val="both"/>
      </w:pPr>
      <w:r>
        <w:rPr/>
        <w:t>Table 27 uses the data collected from log files or observed from any OBU user interface.</w:t>
      </w:r>
    </w:p>
    <w:p>
      <w:pPr>
        <w:pStyle w:val="BodyText"/>
        <w:rPr>
          <w:sz w:val="22"/>
        </w:rPr>
      </w:pPr>
    </w:p>
    <w:p>
      <w:pPr>
        <w:pStyle w:val="BodyText"/>
        <w:rPr>
          <w:sz w:val="22"/>
        </w:rPr>
      </w:pPr>
    </w:p>
    <w:p>
      <w:pPr>
        <w:pStyle w:val="Heading7"/>
        <w:spacing w:before="142"/>
        <w:jc w:val="both"/>
      </w:pPr>
      <w:r>
        <w:rPr/>
        <w:t>Table 27: Required Documentation</w:t>
      </w:r>
    </w:p>
    <w:p>
      <w:pPr>
        <w:pStyle w:val="BodyText"/>
        <w:spacing w:before="1"/>
        <w:rPr>
          <w:b/>
          <w:sz w:val="16"/>
        </w:rPr>
      </w:pPr>
    </w:p>
    <w:tbl>
      <w:tblPr>
        <w:tblW w:w="0" w:type="auto"/>
        <w:jc w:val="left"/>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6"/>
        <w:gridCol w:w="540"/>
        <w:gridCol w:w="540"/>
        <w:gridCol w:w="541"/>
        <w:gridCol w:w="540"/>
        <w:gridCol w:w="540"/>
        <w:gridCol w:w="540"/>
        <w:gridCol w:w="540"/>
        <w:gridCol w:w="540"/>
        <w:gridCol w:w="540"/>
        <w:gridCol w:w="540"/>
        <w:gridCol w:w="541"/>
        <w:gridCol w:w="631"/>
        <w:gridCol w:w="629"/>
        <w:gridCol w:w="632"/>
        <w:gridCol w:w="629"/>
        <w:gridCol w:w="631"/>
      </w:tblGrid>
      <w:tr>
        <w:trPr>
          <w:trHeight w:val="485" w:hRule="exact"/>
        </w:trPr>
        <w:tc>
          <w:tcPr>
            <w:tcW w:w="1076" w:type="dxa"/>
            <w:vMerge w:val="restart"/>
            <w:shd w:val="clear" w:color="auto" w:fill="D9D9D9"/>
          </w:tcPr>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before="10"/>
              <w:ind w:left="0"/>
              <w:rPr>
                <w:b/>
                <w:sz w:val="22"/>
              </w:rPr>
            </w:pPr>
          </w:p>
          <w:p>
            <w:pPr>
              <w:pStyle w:val="TableParagraph"/>
              <w:spacing w:line="240" w:lineRule="auto"/>
              <w:ind w:right="64"/>
              <w:rPr>
                <w:b/>
                <w:sz w:val="14"/>
              </w:rPr>
            </w:pPr>
            <w:r>
              <w:rPr>
                <w:b/>
                <w:w w:val="95"/>
                <w:sz w:val="14"/>
              </w:rPr>
              <w:t>Attenuation </w:t>
            </w:r>
            <w:r>
              <w:rPr>
                <w:b/>
                <w:sz w:val="14"/>
              </w:rPr>
              <w:t>value between DUTs (dB)</w:t>
            </w:r>
          </w:p>
        </w:tc>
        <w:tc>
          <w:tcPr>
            <w:tcW w:w="2161" w:type="dxa"/>
            <w:gridSpan w:val="4"/>
            <w:shd w:val="clear" w:color="auto" w:fill="D9D9D9"/>
          </w:tcPr>
          <w:p>
            <w:pPr>
              <w:pStyle w:val="TableParagraph"/>
              <w:spacing w:line="240" w:lineRule="auto" w:before="2"/>
              <w:ind w:left="0"/>
              <w:rPr>
                <w:b/>
                <w:sz w:val="13"/>
              </w:rPr>
            </w:pPr>
          </w:p>
          <w:p>
            <w:pPr>
              <w:pStyle w:val="TableParagraph"/>
              <w:spacing w:line="240" w:lineRule="auto"/>
              <w:rPr>
                <w:b/>
                <w:sz w:val="14"/>
              </w:rPr>
            </w:pPr>
            <w:r>
              <w:rPr>
                <w:b/>
                <w:sz w:val="14"/>
              </w:rPr>
              <w:t>No. of Transmitted pkts</w:t>
            </w:r>
          </w:p>
        </w:tc>
        <w:tc>
          <w:tcPr>
            <w:tcW w:w="2160" w:type="dxa"/>
            <w:gridSpan w:val="4"/>
            <w:shd w:val="clear" w:color="auto" w:fill="D9D9D9"/>
          </w:tcPr>
          <w:p>
            <w:pPr>
              <w:pStyle w:val="TableParagraph"/>
              <w:spacing w:line="240" w:lineRule="auto" w:before="2"/>
              <w:ind w:left="0"/>
              <w:rPr>
                <w:b/>
                <w:sz w:val="13"/>
              </w:rPr>
            </w:pPr>
          </w:p>
          <w:p>
            <w:pPr>
              <w:pStyle w:val="TableParagraph"/>
              <w:spacing w:line="240" w:lineRule="auto"/>
              <w:rPr>
                <w:b/>
                <w:sz w:val="14"/>
              </w:rPr>
            </w:pPr>
            <w:r>
              <w:rPr>
                <w:b/>
                <w:sz w:val="14"/>
              </w:rPr>
              <w:t>No. of Received pkts</w:t>
            </w:r>
          </w:p>
        </w:tc>
        <w:tc>
          <w:tcPr>
            <w:tcW w:w="4772" w:type="dxa"/>
            <w:gridSpan w:val="8"/>
            <w:shd w:val="clear" w:color="auto" w:fill="D9D9D9"/>
          </w:tcPr>
          <w:p>
            <w:pPr>
              <w:pStyle w:val="TableParagraph"/>
              <w:spacing w:line="240" w:lineRule="auto" w:before="3"/>
              <w:ind w:left="0"/>
              <w:rPr>
                <w:b/>
                <w:sz w:val="20"/>
              </w:rPr>
            </w:pPr>
          </w:p>
          <w:p>
            <w:pPr>
              <w:pStyle w:val="TableParagraph"/>
              <w:spacing w:line="240" w:lineRule="auto"/>
              <w:rPr>
                <w:b/>
                <w:sz w:val="14"/>
              </w:rPr>
            </w:pPr>
            <w:r>
              <w:rPr>
                <w:b/>
                <w:sz w:val="14"/>
              </w:rPr>
              <w:t>Calculated at Receiver</w:t>
            </w:r>
          </w:p>
        </w:tc>
      </w:tr>
      <w:tr>
        <w:trPr>
          <w:trHeight w:val="1695" w:hRule="exact"/>
        </w:trPr>
        <w:tc>
          <w:tcPr>
            <w:tcW w:w="1076" w:type="dxa"/>
            <w:vMerge/>
            <w:shd w:val="clear" w:color="auto" w:fill="D9D9D9"/>
          </w:tcPr>
          <w:p>
            <w:pPr/>
          </w:p>
        </w:tc>
        <w:tc>
          <w:tcPr>
            <w:tcW w:w="1080" w:type="dxa"/>
            <w:gridSpan w:val="2"/>
            <w:shd w:val="clear" w:color="auto" w:fill="D9D9D9"/>
          </w:tcPr>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ind w:left="0"/>
              <w:rPr>
                <w:b/>
                <w:sz w:val="18"/>
              </w:rPr>
            </w:pPr>
          </w:p>
          <w:p>
            <w:pPr>
              <w:pStyle w:val="TableParagraph"/>
              <w:spacing w:line="240" w:lineRule="auto"/>
              <w:rPr>
                <w:b/>
                <w:sz w:val="14"/>
              </w:rPr>
            </w:pPr>
            <w:r>
              <w:rPr>
                <w:b/>
                <w:sz w:val="14"/>
              </w:rPr>
              <w:t>DUT1</w:t>
            </w:r>
          </w:p>
        </w:tc>
        <w:tc>
          <w:tcPr>
            <w:tcW w:w="1081" w:type="dxa"/>
            <w:gridSpan w:val="2"/>
            <w:shd w:val="clear" w:color="auto" w:fill="D9D9D9"/>
          </w:tcPr>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ind w:left="0"/>
              <w:rPr>
                <w:b/>
                <w:sz w:val="18"/>
              </w:rPr>
            </w:pPr>
          </w:p>
          <w:p>
            <w:pPr>
              <w:pStyle w:val="TableParagraph"/>
              <w:spacing w:line="240" w:lineRule="auto"/>
              <w:rPr>
                <w:b/>
                <w:sz w:val="14"/>
              </w:rPr>
            </w:pPr>
            <w:r>
              <w:rPr>
                <w:b/>
                <w:sz w:val="14"/>
              </w:rPr>
              <w:t>DUT2</w:t>
            </w:r>
          </w:p>
        </w:tc>
        <w:tc>
          <w:tcPr>
            <w:tcW w:w="1080" w:type="dxa"/>
            <w:gridSpan w:val="2"/>
            <w:shd w:val="clear" w:color="auto" w:fill="D9D9D9"/>
          </w:tcPr>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ind w:left="0"/>
              <w:rPr>
                <w:b/>
                <w:sz w:val="18"/>
              </w:rPr>
            </w:pPr>
          </w:p>
          <w:p>
            <w:pPr>
              <w:pStyle w:val="TableParagraph"/>
              <w:spacing w:line="240" w:lineRule="auto"/>
              <w:rPr>
                <w:b/>
                <w:sz w:val="14"/>
              </w:rPr>
            </w:pPr>
            <w:r>
              <w:rPr>
                <w:b/>
                <w:sz w:val="14"/>
              </w:rPr>
              <w:t>DUT1</w:t>
            </w:r>
          </w:p>
        </w:tc>
        <w:tc>
          <w:tcPr>
            <w:tcW w:w="1080" w:type="dxa"/>
            <w:gridSpan w:val="2"/>
            <w:shd w:val="clear" w:color="auto" w:fill="D9D9D9"/>
          </w:tcPr>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ind w:left="0"/>
              <w:rPr>
                <w:b/>
                <w:sz w:val="18"/>
              </w:rPr>
            </w:pPr>
          </w:p>
          <w:p>
            <w:pPr>
              <w:pStyle w:val="TableParagraph"/>
              <w:spacing w:line="240" w:lineRule="auto"/>
              <w:rPr>
                <w:b/>
                <w:sz w:val="14"/>
              </w:rPr>
            </w:pPr>
            <w:r>
              <w:rPr>
                <w:b/>
                <w:sz w:val="14"/>
              </w:rPr>
              <w:t>DUT2</w:t>
            </w:r>
          </w:p>
        </w:tc>
        <w:tc>
          <w:tcPr>
            <w:tcW w:w="1080" w:type="dxa"/>
            <w:gridSpan w:val="2"/>
            <w:shd w:val="clear" w:color="auto" w:fill="D9D9D9"/>
          </w:tcPr>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before="126"/>
              <w:ind w:right="7"/>
              <w:rPr>
                <w:b/>
                <w:sz w:val="14"/>
              </w:rPr>
            </w:pPr>
            <w:r>
              <w:rPr>
                <w:b/>
                <w:sz w:val="14"/>
              </w:rPr>
              <w:t>PER % at DUT1</w:t>
            </w:r>
          </w:p>
        </w:tc>
        <w:tc>
          <w:tcPr>
            <w:tcW w:w="1172" w:type="dxa"/>
            <w:gridSpan w:val="2"/>
            <w:shd w:val="clear" w:color="auto" w:fill="D9D9D9"/>
          </w:tcPr>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ind w:left="0"/>
              <w:rPr>
                <w:b/>
                <w:sz w:val="16"/>
              </w:rPr>
            </w:pPr>
          </w:p>
          <w:p>
            <w:pPr>
              <w:pStyle w:val="TableParagraph"/>
              <w:tabs>
                <w:tab w:pos="599" w:val="left" w:leader="none"/>
                <w:tab w:pos="930" w:val="left" w:leader="none"/>
              </w:tabs>
              <w:spacing w:line="240" w:lineRule="auto" w:before="126"/>
              <w:ind w:right="104"/>
              <w:rPr>
                <w:b/>
                <w:sz w:val="14"/>
              </w:rPr>
            </w:pPr>
            <w:r>
              <w:rPr>
                <w:b/>
                <w:sz w:val="14"/>
              </w:rPr>
              <w:t>PER</w:t>
              <w:tab/>
              <w:t>%</w:t>
              <w:tab/>
              <w:t>at DUT2</w:t>
            </w:r>
          </w:p>
        </w:tc>
        <w:tc>
          <w:tcPr>
            <w:tcW w:w="1260" w:type="dxa"/>
            <w:gridSpan w:val="2"/>
          </w:tcPr>
          <w:p>
            <w:pPr>
              <w:pStyle w:val="TableParagraph"/>
              <w:spacing w:line="240" w:lineRule="auto"/>
              <w:ind w:left="0"/>
              <w:rPr>
                <w:b/>
                <w:sz w:val="16"/>
              </w:rPr>
            </w:pPr>
          </w:p>
          <w:p>
            <w:pPr>
              <w:pStyle w:val="TableParagraph"/>
              <w:spacing w:line="240" w:lineRule="auto"/>
              <w:ind w:left="0"/>
              <w:rPr>
                <w:b/>
                <w:sz w:val="16"/>
              </w:rPr>
            </w:pPr>
          </w:p>
          <w:p>
            <w:pPr>
              <w:pStyle w:val="TableParagraph"/>
              <w:spacing w:line="254" w:lineRule="auto" w:before="122"/>
              <w:ind w:left="100"/>
              <w:rPr>
                <w:b/>
                <w:sz w:val="14"/>
              </w:rPr>
            </w:pPr>
            <w:r>
              <w:rPr>
                <w:b/>
                <w:sz w:val="14"/>
              </w:rPr>
              <w:t>95</w:t>
            </w:r>
            <w:r>
              <w:rPr>
                <w:position w:val="6"/>
                <w:sz w:val="13"/>
              </w:rPr>
              <w:t>th </w:t>
            </w:r>
            <w:r>
              <w:rPr>
                <w:b/>
                <w:sz w:val="14"/>
              </w:rPr>
              <w:t>Percentile IPG</w:t>
            </w:r>
          </w:p>
          <w:p>
            <w:pPr>
              <w:pStyle w:val="TableParagraph"/>
              <w:spacing w:line="240" w:lineRule="auto" w:before="1"/>
              <w:ind w:left="0"/>
              <w:rPr>
                <w:b/>
                <w:sz w:val="13"/>
              </w:rPr>
            </w:pPr>
          </w:p>
          <w:p>
            <w:pPr>
              <w:pStyle w:val="TableParagraph"/>
              <w:spacing w:line="240" w:lineRule="auto"/>
              <w:ind w:left="100"/>
              <w:rPr>
                <w:b/>
                <w:sz w:val="14"/>
              </w:rPr>
            </w:pPr>
            <w:r>
              <w:rPr>
                <w:b/>
                <w:sz w:val="14"/>
              </w:rPr>
              <w:t>(ms)</w:t>
            </w:r>
          </w:p>
        </w:tc>
        <w:tc>
          <w:tcPr>
            <w:tcW w:w="1260" w:type="dxa"/>
            <w:gridSpan w:val="2"/>
          </w:tcPr>
          <w:p>
            <w:pPr>
              <w:pStyle w:val="TableParagraph"/>
              <w:spacing w:line="240" w:lineRule="auto"/>
              <w:ind w:left="0"/>
              <w:rPr>
                <w:b/>
                <w:sz w:val="16"/>
              </w:rPr>
            </w:pPr>
          </w:p>
          <w:p>
            <w:pPr>
              <w:pStyle w:val="TableParagraph"/>
              <w:spacing w:line="240" w:lineRule="auto"/>
              <w:ind w:left="0"/>
              <w:rPr>
                <w:b/>
                <w:sz w:val="16"/>
              </w:rPr>
            </w:pPr>
          </w:p>
          <w:p>
            <w:pPr>
              <w:pStyle w:val="TableParagraph"/>
              <w:spacing w:line="240" w:lineRule="auto" w:before="11"/>
              <w:ind w:left="0"/>
              <w:rPr>
                <w:b/>
                <w:sz w:val="12"/>
              </w:rPr>
            </w:pPr>
          </w:p>
          <w:p>
            <w:pPr>
              <w:pStyle w:val="TableParagraph"/>
              <w:spacing w:line="240" w:lineRule="auto"/>
              <w:ind w:left="100" w:right="166"/>
              <w:rPr>
                <w:b/>
                <w:sz w:val="14"/>
              </w:rPr>
            </w:pPr>
            <w:r>
              <w:rPr>
                <w:b/>
                <w:sz w:val="14"/>
              </w:rPr>
              <w:t>95</w:t>
            </w:r>
            <w:r>
              <w:rPr>
                <w:b/>
                <w:position w:val="4"/>
                <w:sz w:val="9"/>
              </w:rPr>
              <w:t>th </w:t>
            </w:r>
            <w:r>
              <w:rPr>
                <w:b/>
                <w:sz w:val="14"/>
              </w:rPr>
              <w:t>Percentile Latency</w:t>
            </w:r>
          </w:p>
          <w:p>
            <w:pPr>
              <w:pStyle w:val="TableParagraph"/>
              <w:spacing w:line="240" w:lineRule="auto" w:before="11"/>
              <w:ind w:left="0"/>
              <w:rPr>
                <w:b/>
                <w:sz w:val="13"/>
              </w:rPr>
            </w:pPr>
          </w:p>
          <w:p>
            <w:pPr>
              <w:pStyle w:val="TableParagraph"/>
              <w:spacing w:line="240" w:lineRule="auto"/>
              <w:ind w:left="100"/>
              <w:rPr>
                <w:b/>
                <w:sz w:val="14"/>
              </w:rPr>
            </w:pPr>
            <w:r>
              <w:rPr>
                <w:b/>
                <w:sz w:val="14"/>
              </w:rPr>
              <w:t>(ms)</w:t>
            </w:r>
          </w:p>
        </w:tc>
      </w:tr>
      <w:tr>
        <w:trPr>
          <w:trHeight w:val="331" w:hRule="exact"/>
        </w:trPr>
        <w:tc>
          <w:tcPr>
            <w:tcW w:w="1076" w:type="dxa"/>
          </w:tcPr>
          <w:p>
            <w:pPr/>
          </w:p>
        </w:tc>
        <w:tc>
          <w:tcPr>
            <w:tcW w:w="540" w:type="dxa"/>
          </w:tcPr>
          <w:p>
            <w:pPr>
              <w:pStyle w:val="TableParagraph"/>
              <w:spacing w:line="240" w:lineRule="auto"/>
              <w:ind w:right="103"/>
              <w:rPr>
                <w:sz w:val="14"/>
              </w:rPr>
            </w:pPr>
            <w:r>
              <w:rPr>
                <w:sz w:val="14"/>
              </w:rPr>
              <w:t>Crit. BSM</w:t>
            </w:r>
          </w:p>
        </w:tc>
        <w:tc>
          <w:tcPr>
            <w:tcW w:w="540" w:type="dxa"/>
          </w:tcPr>
          <w:p>
            <w:pPr>
              <w:pStyle w:val="TableParagraph"/>
              <w:spacing w:line="240" w:lineRule="auto"/>
              <w:ind w:right="104"/>
              <w:rPr>
                <w:sz w:val="14"/>
              </w:rPr>
            </w:pPr>
            <w:r>
              <w:rPr>
                <w:sz w:val="14"/>
              </w:rPr>
              <w:t>Reg. BSM</w:t>
            </w:r>
          </w:p>
        </w:tc>
        <w:tc>
          <w:tcPr>
            <w:tcW w:w="541" w:type="dxa"/>
          </w:tcPr>
          <w:p>
            <w:pPr>
              <w:pStyle w:val="TableParagraph"/>
              <w:spacing w:line="240" w:lineRule="auto"/>
              <w:ind w:right="104"/>
              <w:rPr>
                <w:sz w:val="14"/>
              </w:rPr>
            </w:pPr>
            <w:r>
              <w:rPr>
                <w:sz w:val="14"/>
              </w:rPr>
              <w:t>Crit. BSM</w:t>
            </w:r>
          </w:p>
        </w:tc>
        <w:tc>
          <w:tcPr>
            <w:tcW w:w="540" w:type="dxa"/>
          </w:tcPr>
          <w:p>
            <w:pPr>
              <w:pStyle w:val="TableParagraph"/>
              <w:spacing w:line="240" w:lineRule="auto"/>
              <w:ind w:right="104"/>
              <w:rPr>
                <w:sz w:val="14"/>
              </w:rPr>
            </w:pPr>
            <w:r>
              <w:rPr>
                <w:sz w:val="14"/>
              </w:rPr>
              <w:t>Reg. BSM</w:t>
            </w:r>
          </w:p>
        </w:tc>
        <w:tc>
          <w:tcPr>
            <w:tcW w:w="540" w:type="dxa"/>
          </w:tcPr>
          <w:p>
            <w:pPr>
              <w:pStyle w:val="TableParagraph"/>
              <w:spacing w:line="240" w:lineRule="auto"/>
              <w:ind w:right="104"/>
              <w:rPr>
                <w:sz w:val="14"/>
              </w:rPr>
            </w:pPr>
            <w:r>
              <w:rPr>
                <w:sz w:val="14"/>
              </w:rPr>
              <w:t>Crit. BSM</w:t>
            </w:r>
          </w:p>
        </w:tc>
        <w:tc>
          <w:tcPr>
            <w:tcW w:w="540" w:type="dxa"/>
          </w:tcPr>
          <w:p>
            <w:pPr>
              <w:pStyle w:val="TableParagraph"/>
              <w:spacing w:line="240" w:lineRule="auto"/>
              <w:ind w:right="104"/>
              <w:rPr>
                <w:sz w:val="14"/>
              </w:rPr>
            </w:pPr>
            <w:r>
              <w:rPr>
                <w:sz w:val="14"/>
              </w:rPr>
              <w:t>Reg. BSM</w:t>
            </w:r>
          </w:p>
        </w:tc>
        <w:tc>
          <w:tcPr>
            <w:tcW w:w="540" w:type="dxa"/>
          </w:tcPr>
          <w:p>
            <w:pPr>
              <w:pStyle w:val="TableParagraph"/>
              <w:spacing w:line="240" w:lineRule="auto"/>
              <w:ind w:right="104"/>
              <w:rPr>
                <w:sz w:val="14"/>
              </w:rPr>
            </w:pPr>
            <w:r>
              <w:rPr>
                <w:sz w:val="14"/>
              </w:rPr>
              <w:t>Crit. BSM</w:t>
            </w:r>
          </w:p>
        </w:tc>
        <w:tc>
          <w:tcPr>
            <w:tcW w:w="540" w:type="dxa"/>
          </w:tcPr>
          <w:p>
            <w:pPr>
              <w:pStyle w:val="TableParagraph"/>
              <w:spacing w:line="240" w:lineRule="auto"/>
              <w:ind w:right="104"/>
              <w:rPr>
                <w:sz w:val="14"/>
              </w:rPr>
            </w:pPr>
            <w:r>
              <w:rPr>
                <w:sz w:val="14"/>
              </w:rPr>
              <w:t>Reg. BSM</w:t>
            </w:r>
          </w:p>
        </w:tc>
        <w:tc>
          <w:tcPr>
            <w:tcW w:w="540" w:type="dxa"/>
          </w:tcPr>
          <w:p>
            <w:pPr>
              <w:pStyle w:val="TableParagraph"/>
              <w:spacing w:line="240" w:lineRule="auto"/>
              <w:ind w:right="104"/>
              <w:rPr>
                <w:sz w:val="14"/>
              </w:rPr>
            </w:pPr>
            <w:r>
              <w:rPr>
                <w:sz w:val="14"/>
              </w:rPr>
              <w:t>Crit. BSM</w:t>
            </w:r>
          </w:p>
        </w:tc>
        <w:tc>
          <w:tcPr>
            <w:tcW w:w="540" w:type="dxa"/>
          </w:tcPr>
          <w:p>
            <w:pPr>
              <w:pStyle w:val="TableParagraph"/>
              <w:spacing w:line="240" w:lineRule="auto"/>
              <w:ind w:right="104"/>
              <w:rPr>
                <w:sz w:val="14"/>
              </w:rPr>
            </w:pPr>
            <w:r>
              <w:rPr>
                <w:sz w:val="14"/>
              </w:rPr>
              <w:t>Reg. BSM</w:t>
            </w:r>
          </w:p>
        </w:tc>
        <w:tc>
          <w:tcPr>
            <w:tcW w:w="541" w:type="dxa"/>
          </w:tcPr>
          <w:p>
            <w:pPr>
              <w:pStyle w:val="TableParagraph"/>
              <w:spacing w:line="240" w:lineRule="auto"/>
              <w:ind w:right="104"/>
              <w:rPr>
                <w:sz w:val="14"/>
              </w:rPr>
            </w:pPr>
            <w:r>
              <w:rPr>
                <w:sz w:val="14"/>
              </w:rPr>
              <w:t>Crit. BSM</w:t>
            </w:r>
          </w:p>
        </w:tc>
        <w:tc>
          <w:tcPr>
            <w:tcW w:w="631" w:type="dxa"/>
          </w:tcPr>
          <w:p>
            <w:pPr>
              <w:pStyle w:val="TableParagraph"/>
              <w:spacing w:line="240" w:lineRule="auto"/>
              <w:ind w:right="195"/>
              <w:rPr>
                <w:sz w:val="14"/>
              </w:rPr>
            </w:pPr>
            <w:r>
              <w:rPr>
                <w:sz w:val="14"/>
              </w:rPr>
              <w:t>Reg. BSM</w:t>
            </w:r>
          </w:p>
        </w:tc>
        <w:tc>
          <w:tcPr>
            <w:tcW w:w="629" w:type="dxa"/>
          </w:tcPr>
          <w:p>
            <w:pPr>
              <w:pStyle w:val="TableParagraph"/>
              <w:spacing w:line="240" w:lineRule="auto" w:before="80"/>
              <w:ind w:left="100"/>
              <w:rPr>
                <w:sz w:val="14"/>
              </w:rPr>
            </w:pPr>
            <w:r>
              <w:rPr>
                <w:sz w:val="14"/>
              </w:rPr>
              <w:t>DUT1</w:t>
            </w:r>
          </w:p>
        </w:tc>
        <w:tc>
          <w:tcPr>
            <w:tcW w:w="632" w:type="dxa"/>
          </w:tcPr>
          <w:p>
            <w:pPr>
              <w:pStyle w:val="TableParagraph"/>
              <w:spacing w:line="240" w:lineRule="auto" w:before="80"/>
              <w:ind w:left="82" w:right="130"/>
              <w:jc w:val="center"/>
              <w:rPr>
                <w:sz w:val="14"/>
              </w:rPr>
            </w:pPr>
            <w:r>
              <w:rPr>
                <w:sz w:val="14"/>
              </w:rPr>
              <w:t>DUT2</w:t>
            </w:r>
          </w:p>
        </w:tc>
        <w:tc>
          <w:tcPr>
            <w:tcW w:w="629" w:type="dxa"/>
          </w:tcPr>
          <w:p>
            <w:pPr>
              <w:pStyle w:val="TableParagraph"/>
              <w:spacing w:line="240" w:lineRule="auto" w:before="80"/>
              <w:ind w:left="80" w:right="130"/>
              <w:jc w:val="center"/>
              <w:rPr>
                <w:sz w:val="14"/>
              </w:rPr>
            </w:pPr>
            <w:r>
              <w:rPr>
                <w:sz w:val="14"/>
              </w:rPr>
              <w:t>DUT1</w:t>
            </w:r>
          </w:p>
        </w:tc>
        <w:tc>
          <w:tcPr>
            <w:tcW w:w="631" w:type="dxa"/>
          </w:tcPr>
          <w:p>
            <w:pPr>
              <w:pStyle w:val="TableParagraph"/>
              <w:spacing w:line="240" w:lineRule="auto" w:before="80"/>
              <w:rPr>
                <w:sz w:val="14"/>
              </w:rPr>
            </w:pPr>
            <w:r>
              <w:rPr>
                <w:sz w:val="14"/>
              </w:rPr>
              <w:t>DUT2</w:t>
            </w:r>
          </w:p>
        </w:tc>
      </w:tr>
      <w:tr>
        <w:trPr>
          <w:trHeight w:val="266" w:hRule="exact"/>
        </w:trPr>
        <w:tc>
          <w:tcPr>
            <w:tcW w:w="1076" w:type="dxa"/>
          </w:tcPr>
          <w:p>
            <w:pPr>
              <w:pStyle w:val="TableParagraph"/>
              <w:spacing w:line="159" w:lineRule="exact"/>
              <w:rPr>
                <w:sz w:val="14"/>
              </w:rPr>
            </w:pPr>
            <w:r>
              <w:rPr>
                <w:sz w:val="14"/>
              </w:rPr>
              <w:t>95</w:t>
            </w:r>
          </w:p>
        </w:tc>
        <w:tc>
          <w:tcPr>
            <w:tcW w:w="540" w:type="dxa"/>
          </w:tcPr>
          <w:p>
            <w:pPr>
              <w:pStyle w:val="TableParagraph"/>
              <w:spacing w:line="159" w:lineRule="exact"/>
              <w:ind w:left="82" w:right="173"/>
              <w:jc w:val="center"/>
              <w:rPr>
                <w:sz w:val="14"/>
              </w:rPr>
            </w:pPr>
            <w:r>
              <w:rPr>
                <w:sz w:val="14"/>
              </w:rPr>
              <w:t>350</w:t>
            </w:r>
          </w:p>
        </w:tc>
        <w:tc>
          <w:tcPr>
            <w:tcW w:w="540" w:type="dxa"/>
          </w:tcPr>
          <w:p>
            <w:pPr>
              <w:pStyle w:val="TableParagraph"/>
              <w:spacing w:line="159" w:lineRule="exact"/>
              <w:rPr>
                <w:sz w:val="14"/>
              </w:rPr>
            </w:pPr>
            <w:r>
              <w:rPr>
                <w:sz w:val="14"/>
              </w:rPr>
              <w:t>1448</w:t>
            </w:r>
          </w:p>
        </w:tc>
        <w:tc>
          <w:tcPr>
            <w:tcW w:w="541" w:type="dxa"/>
          </w:tcPr>
          <w:p>
            <w:pPr>
              <w:pStyle w:val="TableParagraph"/>
              <w:spacing w:line="159" w:lineRule="exact"/>
              <w:rPr>
                <w:sz w:val="14"/>
              </w:rPr>
            </w:pPr>
            <w:r>
              <w:rPr>
                <w:sz w:val="14"/>
              </w:rPr>
              <w:t>399</w:t>
            </w:r>
          </w:p>
        </w:tc>
        <w:tc>
          <w:tcPr>
            <w:tcW w:w="540" w:type="dxa"/>
          </w:tcPr>
          <w:p>
            <w:pPr>
              <w:pStyle w:val="TableParagraph"/>
              <w:spacing w:line="159" w:lineRule="exact"/>
              <w:ind w:left="82" w:right="93"/>
              <w:jc w:val="center"/>
              <w:rPr>
                <w:sz w:val="14"/>
              </w:rPr>
            </w:pPr>
            <w:r>
              <w:rPr>
                <w:sz w:val="14"/>
              </w:rPr>
              <w:t>1669</w:t>
            </w:r>
          </w:p>
        </w:tc>
        <w:tc>
          <w:tcPr>
            <w:tcW w:w="540" w:type="dxa"/>
          </w:tcPr>
          <w:p>
            <w:pPr>
              <w:pStyle w:val="TableParagraph"/>
              <w:spacing w:line="159" w:lineRule="exact"/>
              <w:ind w:left="3" w:right="94"/>
              <w:jc w:val="center"/>
              <w:rPr>
                <w:sz w:val="14"/>
              </w:rPr>
            </w:pPr>
            <w:r>
              <w:rPr>
                <w:sz w:val="14"/>
              </w:rPr>
              <w:t>394</w:t>
            </w:r>
          </w:p>
        </w:tc>
        <w:tc>
          <w:tcPr>
            <w:tcW w:w="540" w:type="dxa"/>
          </w:tcPr>
          <w:p>
            <w:pPr>
              <w:pStyle w:val="TableParagraph"/>
              <w:spacing w:line="159" w:lineRule="exact"/>
              <w:rPr>
                <w:sz w:val="14"/>
              </w:rPr>
            </w:pPr>
            <w:r>
              <w:rPr>
                <w:sz w:val="14"/>
              </w:rPr>
              <w:t>1667</w:t>
            </w:r>
          </w:p>
        </w:tc>
        <w:tc>
          <w:tcPr>
            <w:tcW w:w="540" w:type="dxa"/>
          </w:tcPr>
          <w:p>
            <w:pPr>
              <w:pStyle w:val="TableParagraph"/>
              <w:spacing w:line="159" w:lineRule="exact"/>
              <w:rPr>
                <w:sz w:val="14"/>
              </w:rPr>
            </w:pPr>
            <w:r>
              <w:rPr>
                <w:sz w:val="14"/>
              </w:rPr>
              <w:t>347</w:t>
            </w:r>
          </w:p>
        </w:tc>
        <w:tc>
          <w:tcPr>
            <w:tcW w:w="540" w:type="dxa"/>
          </w:tcPr>
          <w:p>
            <w:pPr>
              <w:pStyle w:val="TableParagraph"/>
              <w:spacing w:line="159" w:lineRule="exact"/>
              <w:ind w:left="82" w:right="93"/>
              <w:jc w:val="center"/>
              <w:rPr>
                <w:sz w:val="14"/>
              </w:rPr>
            </w:pPr>
            <w:r>
              <w:rPr>
                <w:sz w:val="14"/>
              </w:rPr>
              <w:t>1426</w:t>
            </w:r>
          </w:p>
        </w:tc>
        <w:tc>
          <w:tcPr>
            <w:tcW w:w="540" w:type="dxa"/>
          </w:tcPr>
          <w:p>
            <w:pPr>
              <w:pStyle w:val="TableParagraph"/>
              <w:spacing w:line="159" w:lineRule="exact"/>
              <w:ind w:left="82" w:right="211"/>
              <w:jc w:val="center"/>
              <w:rPr>
                <w:sz w:val="14"/>
              </w:rPr>
            </w:pPr>
            <w:r>
              <w:rPr>
                <w:sz w:val="14"/>
              </w:rPr>
              <w:t>1.2</w:t>
            </w:r>
          </w:p>
        </w:tc>
        <w:tc>
          <w:tcPr>
            <w:tcW w:w="540" w:type="dxa"/>
          </w:tcPr>
          <w:p>
            <w:pPr>
              <w:pStyle w:val="TableParagraph"/>
              <w:spacing w:line="159" w:lineRule="exact"/>
              <w:rPr>
                <w:sz w:val="14"/>
              </w:rPr>
            </w:pPr>
            <w:r>
              <w:rPr>
                <w:sz w:val="14"/>
              </w:rPr>
              <w:t>1.9</w:t>
            </w:r>
          </w:p>
        </w:tc>
        <w:tc>
          <w:tcPr>
            <w:tcW w:w="541" w:type="dxa"/>
          </w:tcPr>
          <w:p>
            <w:pPr>
              <w:pStyle w:val="TableParagraph"/>
              <w:spacing w:line="159" w:lineRule="exact"/>
              <w:rPr>
                <w:sz w:val="14"/>
              </w:rPr>
            </w:pPr>
            <w:r>
              <w:rPr>
                <w:sz w:val="14"/>
              </w:rPr>
              <w:t>0.8</w:t>
            </w:r>
          </w:p>
        </w:tc>
        <w:tc>
          <w:tcPr>
            <w:tcW w:w="631" w:type="dxa"/>
          </w:tcPr>
          <w:p>
            <w:pPr>
              <w:pStyle w:val="TableParagraph"/>
              <w:spacing w:line="159" w:lineRule="exact"/>
              <w:rPr>
                <w:sz w:val="14"/>
              </w:rPr>
            </w:pPr>
            <w:r>
              <w:rPr>
                <w:sz w:val="14"/>
              </w:rPr>
              <w:t>1.5</w:t>
            </w:r>
          </w:p>
        </w:tc>
        <w:tc>
          <w:tcPr>
            <w:tcW w:w="629" w:type="dxa"/>
          </w:tcPr>
          <w:p>
            <w:pPr>
              <w:pStyle w:val="TableParagraph"/>
              <w:spacing w:line="159" w:lineRule="exact"/>
              <w:ind w:left="100"/>
              <w:rPr>
                <w:sz w:val="14"/>
              </w:rPr>
            </w:pPr>
            <w:r>
              <w:rPr>
                <w:sz w:val="14"/>
              </w:rPr>
              <w:t>105</w:t>
            </w:r>
          </w:p>
        </w:tc>
        <w:tc>
          <w:tcPr>
            <w:tcW w:w="632" w:type="dxa"/>
          </w:tcPr>
          <w:p>
            <w:pPr>
              <w:pStyle w:val="TableParagraph"/>
              <w:spacing w:line="159" w:lineRule="exact"/>
              <w:ind w:left="82" w:right="265"/>
              <w:jc w:val="center"/>
              <w:rPr>
                <w:sz w:val="14"/>
              </w:rPr>
            </w:pPr>
            <w:r>
              <w:rPr>
                <w:sz w:val="14"/>
              </w:rPr>
              <w:t>105</w:t>
            </w:r>
          </w:p>
        </w:tc>
        <w:tc>
          <w:tcPr>
            <w:tcW w:w="629" w:type="dxa"/>
          </w:tcPr>
          <w:p>
            <w:pPr>
              <w:pStyle w:val="TableParagraph"/>
              <w:spacing w:line="159" w:lineRule="exact"/>
              <w:ind w:left="3" w:right="265"/>
              <w:jc w:val="center"/>
              <w:rPr>
                <w:sz w:val="14"/>
              </w:rPr>
            </w:pPr>
            <w:r>
              <w:rPr>
                <w:sz w:val="14"/>
              </w:rPr>
              <w:t>98</w:t>
            </w:r>
          </w:p>
        </w:tc>
        <w:tc>
          <w:tcPr>
            <w:tcW w:w="631" w:type="dxa"/>
          </w:tcPr>
          <w:p>
            <w:pPr>
              <w:pStyle w:val="TableParagraph"/>
              <w:spacing w:line="159" w:lineRule="exact"/>
              <w:rPr>
                <w:sz w:val="14"/>
              </w:rPr>
            </w:pPr>
            <w:r>
              <w:rPr>
                <w:sz w:val="14"/>
              </w:rPr>
              <w:t>101</w:t>
            </w:r>
          </w:p>
        </w:tc>
      </w:tr>
      <w:tr>
        <w:trPr>
          <w:trHeight w:val="254" w:hRule="exact"/>
        </w:trPr>
        <w:tc>
          <w:tcPr>
            <w:tcW w:w="1076" w:type="dxa"/>
          </w:tcPr>
          <w:p>
            <w:pPr>
              <w:pStyle w:val="TableParagraph"/>
              <w:spacing w:line="159" w:lineRule="exact"/>
              <w:rPr>
                <w:sz w:val="14"/>
              </w:rPr>
            </w:pPr>
            <w:r>
              <w:rPr>
                <w:sz w:val="14"/>
              </w:rPr>
              <w:t>100</w:t>
            </w:r>
          </w:p>
        </w:tc>
        <w:tc>
          <w:tcPr>
            <w:tcW w:w="540" w:type="dxa"/>
          </w:tcPr>
          <w:p>
            <w:pPr>
              <w:pStyle w:val="TableParagraph"/>
              <w:spacing w:line="159" w:lineRule="exact"/>
              <w:ind w:left="82" w:right="173"/>
              <w:jc w:val="center"/>
              <w:rPr>
                <w:sz w:val="14"/>
              </w:rPr>
            </w:pPr>
            <w:r>
              <w:rPr>
                <w:sz w:val="14"/>
              </w:rPr>
              <w:t>350</w:t>
            </w:r>
          </w:p>
        </w:tc>
        <w:tc>
          <w:tcPr>
            <w:tcW w:w="540" w:type="dxa"/>
          </w:tcPr>
          <w:p>
            <w:pPr>
              <w:pStyle w:val="TableParagraph"/>
              <w:spacing w:line="159" w:lineRule="exact"/>
              <w:rPr>
                <w:sz w:val="14"/>
              </w:rPr>
            </w:pPr>
            <w:r>
              <w:rPr>
                <w:sz w:val="14"/>
              </w:rPr>
              <w:t>1449</w:t>
            </w:r>
          </w:p>
        </w:tc>
        <w:tc>
          <w:tcPr>
            <w:tcW w:w="541" w:type="dxa"/>
          </w:tcPr>
          <w:p>
            <w:pPr>
              <w:pStyle w:val="TableParagraph"/>
              <w:spacing w:line="159" w:lineRule="exact"/>
              <w:rPr>
                <w:sz w:val="14"/>
              </w:rPr>
            </w:pPr>
            <w:r>
              <w:rPr>
                <w:sz w:val="14"/>
              </w:rPr>
              <w:t>400</w:t>
            </w:r>
          </w:p>
        </w:tc>
        <w:tc>
          <w:tcPr>
            <w:tcW w:w="540" w:type="dxa"/>
          </w:tcPr>
          <w:p>
            <w:pPr>
              <w:pStyle w:val="TableParagraph"/>
              <w:spacing w:line="159" w:lineRule="exact"/>
              <w:ind w:left="82" w:right="93"/>
              <w:jc w:val="center"/>
              <w:rPr>
                <w:sz w:val="14"/>
              </w:rPr>
            </w:pPr>
            <w:r>
              <w:rPr>
                <w:sz w:val="14"/>
              </w:rPr>
              <w:t>1660</w:t>
            </w:r>
          </w:p>
        </w:tc>
        <w:tc>
          <w:tcPr>
            <w:tcW w:w="540" w:type="dxa"/>
          </w:tcPr>
          <w:p>
            <w:pPr>
              <w:pStyle w:val="TableParagraph"/>
              <w:spacing w:line="159" w:lineRule="exact"/>
              <w:ind w:left="3" w:right="94"/>
              <w:jc w:val="center"/>
              <w:rPr>
                <w:sz w:val="14"/>
              </w:rPr>
            </w:pPr>
            <w:r>
              <w:rPr>
                <w:sz w:val="14"/>
              </w:rPr>
              <w:t>388</w:t>
            </w:r>
          </w:p>
        </w:tc>
        <w:tc>
          <w:tcPr>
            <w:tcW w:w="540" w:type="dxa"/>
          </w:tcPr>
          <w:p>
            <w:pPr>
              <w:pStyle w:val="TableParagraph"/>
              <w:spacing w:line="159" w:lineRule="exact"/>
              <w:rPr>
                <w:sz w:val="14"/>
              </w:rPr>
            </w:pPr>
            <w:r>
              <w:rPr>
                <w:sz w:val="14"/>
              </w:rPr>
              <w:t>1542</w:t>
            </w:r>
          </w:p>
        </w:tc>
        <w:tc>
          <w:tcPr>
            <w:tcW w:w="540" w:type="dxa"/>
          </w:tcPr>
          <w:p>
            <w:pPr>
              <w:pStyle w:val="TableParagraph"/>
              <w:spacing w:line="159" w:lineRule="exact"/>
              <w:rPr>
                <w:sz w:val="14"/>
              </w:rPr>
            </w:pPr>
            <w:r>
              <w:rPr>
                <w:sz w:val="14"/>
              </w:rPr>
              <w:t>340</w:t>
            </w:r>
          </w:p>
        </w:tc>
        <w:tc>
          <w:tcPr>
            <w:tcW w:w="540" w:type="dxa"/>
          </w:tcPr>
          <w:p>
            <w:pPr>
              <w:pStyle w:val="TableParagraph"/>
              <w:spacing w:line="159" w:lineRule="exact"/>
              <w:ind w:left="82" w:right="93"/>
              <w:jc w:val="center"/>
              <w:rPr>
                <w:sz w:val="14"/>
              </w:rPr>
            </w:pPr>
            <w:r>
              <w:rPr>
                <w:sz w:val="14"/>
              </w:rPr>
              <w:t>1320</w:t>
            </w:r>
          </w:p>
        </w:tc>
        <w:tc>
          <w:tcPr>
            <w:tcW w:w="540" w:type="dxa"/>
          </w:tcPr>
          <w:p>
            <w:pPr>
              <w:pStyle w:val="TableParagraph"/>
              <w:spacing w:line="159" w:lineRule="exact"/>
              <w:ind w:left="82" w:right="211"/>
              <w:jc w:val="center"/>
              <w:rPr>
                <w:sz w:val="14"/>
              </w:rPr>
            </w:pPr>
            <w:r>
              <w:rPr>
                <w:sz w:val="14"/>
              </w:rPr>
              <w:t>2.9</w:t>
            </w:r>
          </w:p>
        </w:tc>
        <w:tc>
          <w:tcPr>
            <w:tcW w:w="540" w:type="dxa"/>
          </w:tcPr>
          <w:p>
            <w:pPr>
              <w:pStyle w:val="TableParagraph"/>
              <w:spacing w:line="159" w:lineRule="exact"/>
              <w:rPr>
                <w:sz w:val="14"/>
              </w:rPr>
            </w:pPr>
            <w:r>
              <w:rPr>
                <w:sz w:val="14"/>
              </w:rPr>
              <w:t>7.1</w:t>
            </w:r>
          </w:p>
        </w:tc>
        <w:tc>
          <w:tcPr>
            <w:tcW w:w="541" w:type="dxa"/>
          </w:tcPr>
          <w:p>
            <w:pPr>
              <w:pStyle w:val="TableParagraph"/>
              <w:spacing w:line="159" w:lineRule="exact"/>
              <w:rPr>
                <w:sz w:val="14"/>
              </w:rPr>
            </w:pPr>
            <w:r>
              <w:rPr>
                <w:sz w:val="14"/>
              </w:rPr>
              <w:t>2.8</w:t>
            </w:r>
          </w:p>
        </w:tc>
        <w:tc>
          <w:tcPr>
            <w:tcW w:w="631" w:type="dxa"/>
          </w:tcPr>
          <w:p>
            <w:pPr>
              <w:pStyle w:val="TableParagraph"/>
              <w:spacing w:line="159" w:lineRule="exact"/>
              <w:rPr>
                <w:sz w:val="14"/>
              </w:rPr>
            </w:pPr>
            <w:r>
              <w:rPr>
                <w:sz w:val="14"/>
              </w:rPr>
              <w:t>8.8</w:t>
            </w:r>
          </w:p>
        </w:tc>
        <w:tc>
          <w:tcPr>
            <w:tcW w:w="629" w:type="dxa"/>
          </w:tcPr>
          <w:p>
            <w:pPr>
              <w:pStyle w:val="TableParagraph"/>
              <w:spacing w:line="159" w:lineRule="exact"/>
              <w:ind w:left="100"/>
              <w:rPr>
                <w:sz w:val="14"/>
              </w:rPr>
            </w:pPr>
            <w:r>
              <w:rPr>
                <w:sz w:val="14"/>
              </w:rPr>
              <w:t>105</w:t>
            </w:r>
          </w:p>
        </w:tc>
        <w:tc>
          <w:tcPr>
            <w:tcW w:w="632" w:type="dxa"/>
          </w:tcPr>
          <w:p>
            <w:pPr>
              <w:pStyle w:val="TableParagraph"/>
              <w:spacing w:line="159" w:lineRule="exact"/>
              <w:ind w:left="82" w:right="265"/>
              <w:jc w:val="center"/>
              <w:rPr>
                <w:sz w:val="14"/>
              </w:rPr>
            </w:pPr>
            <w:r>
              <w:rPr>
                <w:sz w:val="14"/>
              </w:rPr>
              <w:t>105</w:t>
            </w:r>
          </w:p>
        </w:tc>
        <w:tc>
          <w:tcPr>
            <w:tcW w:w="629" w:type="dxa"/>
          </w:tcPr>
          <w:p>
            <w:pPr>
              <w:pStyle w:val="TableParagraph"/>
              <w:spacing w:line="159" w:lineRule="exact"/>
              <w:ind w:left="80" w:right="265"/>
              <w:jc w:val="center"/>
              <w:rPr>
                <w:sz w:val="14"/>
              </w:rPr>
            </w:pPr>
            <w:r>
              <w:rPr>
                <w:sz w:val="14"/>
              </w:rPr>
              <w:t>101</w:t>
            </w:r>
          </w:p>
        </w:tc>
        <w:tc>
          <w:tcPr>
            <w:tcW w:w="631" w:type="dxa"/>
          </w:tcPr>
          <w:p>
            <w:pPr>
              <w:pStyle w:val="TableParagraph"/>
              <w:spacing w:line="159" w:lineRule="exact"/>
              <w:rPr>
                <w:sz w:val="14"/>
              </w:rPr>
            </w:pPr>
            <w:r>
              <w:rPr>
                <w:sz w:val="14"/>
              </w:rPr>
              <w:t>103</w:t>
            </w:r>
          </w:p>
        </w:tc>
      </w:tr>
      <w:tr>
        <w:trPr>
          <w:trHeight w:val="254" w:hRule="exact"/>
        </w:trPr>
        <w:tc>
          <w:tcPr>
            <w:tcW w:w="1076" w:type="dxa"/>
          </w:tcPr>
          <w:p>
            <w:pPr>
              <w:pStyle w:val="TableParagraph"/>
              <w:spacing w:line="159" w:lineRule="exact"/>
              <w:rPr>
                <w:sz w:val="14"/>
              </w:rPr>
            </w:pPr>
            <w:r>
              <w:rPr>
                <w:sz w:val="14"/>
              </w:rPr>
              <w:t>105</w:t>
            </w:r>
          </w:p>
        </w:tc>
        <w:tc>
          <w:tcPr>
            <w:tcW w:w="540" w:type="dxa"/>
          </w:tcPr>
          <w:p>
            <w:pPr>
              <w:pStyle w:val="TableParagraph"/>
              <w:spacing w:line="159" w:lineRule="exact"/>
              <w:ind w:left="82" w:right="173"/>
              <w:jc w:val="center"/>
              <w:rPr>
                <w:sz w:val="14"/>
              </w:rPr>
            </w:pPr>
            <w:r>
              <w:rPr>
                <w:sz w:val="14"/>
              </w:rPr>
              <w:t>350</w:t>
            </w:r>
          </w:p>
        </w:tc>
        <w:tc>
          <w:tcPr>
            <w:tcW w:w="540" w:type="dxa"/>
          </w:tcPr>
          <w:p>
            <w:pPr>
              <w:pStyle w:val="TableParagraph"/>
              <w:spacing w:line="159" w:lineRule="exact"/>
              <w:rPr>
                <w:sz w:val="14"/>
              </w:rPr>
            </w:pPr>
            <w:r>
              <w:rPr>
                <w:sz w:val="14"/>
              </w:rPr>
              <w:t>1451</w:t>
            </w:r>
          </w:p>
        </w:tc>
        <w:tc>
          <w:tcPr>
            <w:tcW w:w="541" w:type="dxa"/>
          </w:tcPr>
          <w:p>
            <w:pPr>
              <w:pStyle w:val="TableParagraph"/>
              <w:spacing w:line="159" w:lineRule="exact"/>
              <w:rPr>
                <w:sz w:val="14"/>
              </w:rPr>
            </w:pPr>
            <w:r>
              <w:rPr>
                <w:sz w:val="14"/>
              </w:rPr>
              <w:t>395</w:t>
            </w:r>
          </w:p>
        </w:tc>
        <w:tc>
          <w:tcPr>
            <w:tcW w:w="540" w:type="dxa"/>
          </w:tcPr>
          <w:p>
            <w:pPr>
              <w:pStyle w:val="TableParagraph"/>
              <w:spacing w:line="159" w:lineRule="exact"/>
              <w:ind w:left="82" w:right="93"/>
              <w:jc w:val="center"/>
              <w:rPr>
                <w:sz w:val="14"/>
              </w:rPr>
            </w:pPr>
            <w:r>
              <w:rPr>
                <w:sz w:val="14"/>
              </w:rPr>
              <w:t>1658</w:t>
            </w:r>
          </w:p>
        </w:tc>
        <w:tc>
          <w:tcPr>
            <w:tcW w:w="540" w:type="dxa"/>
          </w:tcPr>
          <w:p>
            <w:pPr>
              <w:pStyle w:val="TableParagraph"/>
              <w:spacing w:line="159" w:lineRule="exact"/>
              <w:ind w:left="3" w:right="94"/>
              <w:jc w:val="center"/>
              <w:rPr>
                <w:sz w:val="14"/>
              </w:rPr>
            </w:pPr>
            <w:r>
              <w:rPr>
                <w:sz w:val="14"/>
              </w:rPr>
              <w:t>383</w:t>
            </w:r>
          </w:p>
        </w:tc>
        <w:tc>
          <w:tcPr>
            <w:tcW w:w="540" w:type="dxa"/>
          </w:tcPr>
          <w:p>
            <w:pPr>
              <w:pStyle w:val="TableParagraph"/>
              <w:spacing w:line="159" w:lineRule="exact"/>
              <w:rPr>
                <w:sz w:val="14"/>
              </w:rPr>
            </w:pPr>
            <w:r>
              <w:rPr>
                <w:sz w:val="14"/>
              </w:rPr>
              <w:t>1511</w:t>
            </w:r>
          </w:p>
        </w:tc>
        <w:tc>
          <w:tcPr>
            <w:tcW w:w="540" w:type="dxa"/>
          </w:tcPr>
          <w:p>
            <w:pPr>
              <w:pStyle w:val="TableParagraph"/>
              <w:spacing w:line="159" w:lineRule="exact"/>
              <w:rPr>
                <w:sz w:val="14"/>
              </w:rPr>
            </w:pPr>
            <w:r>
              <w:rPr>
                <w:sz w:val="14"/>
              </w:rPr>
              <w:t>330</w:t>
            </w:r>
          </w:p>
        </w:tc>
        <w:tc>
          <w:tcPr>
            <w:tcW w:w="540" w:type="dxa"/>
          </w:tcPr>
          <w:p>
            <w:pPr>
              <w:pStyle w:val="TableParagraph"/>
              <w:spacing w:line="159" w:lineRule="exact"/>
              <w:ind w:left="82" w:right="93"/>
              <w:jc w:val="center"/>
              <w:rPr>
                <w:sz w:val="14"/>
              </w:rPr>
            </w:pPr>
            <w:r>
              <w:rPr>
                <w:sz w:val="14"/>
              </w:rPr>
              <w:t>1291</w:t>
            </w:r>
          </w:p>
        </w:tc>
        <w:tc>
          <w:tcPr>
            <w:tcW w:w="540" w:type="dxa"/>
          </w:tcPr>
          <w:p>
            <w:pPr>
              <w:pStyle w:val="TableParagraph"/>
              <w:spacing w:line="159" w:lineRule="exact"/>
              <w:ind w:left="82" w:right="211"/>
              <w:jc w:val="center"/>
              <w:rPr>
                <w:sz w:val="14"/>
              </w:rPr>
            </w:pPr>
            <w:r>
              <w:rPr>
                <w:sz w:val="14"/>
              </w:rPr>
              <w:t>3.1</w:t>
            </w:r>
          </w:p>
        </w:tc>
        <w:tc>
          <w:tcPr>
            <w:tcW w:w="540" w:type="dxa"/>
          </w:tcPr>
          <w:p>
            <w:pPr>
              <w:pStyle w:val="TableParagraph"/>
              <w:spacing w:line="159" w:lineRule="exact"/>
              <w:rPr>
                <w:sz w:val="14"/>
              </w:rPr>
            </w:pPr>
            <w:r>
              <w:rPr>
                <w:sz w:val="14"/>
              </w:rPr>
              <w:t>8.8</w:t>
            </w:r>
          </w:p>
        </w:tc>
        <w:tc>
          <w:tcPr>
            <w:tcW w:w="541" w:type="dxa"/>
          </w:tcPr>
          <w:p>
            <w:pPr>
              <w:pStyle w:val="TableParagraph"/>
              <w:spacing w:line="159" w:lineRule="exact"/>
              <w:rPr>
                <w:sz w:val="14"/>
              </w:rPr>
            </w:pPr>
            <w:r>
              <w:rPr>
                <w:sz w:val="14"/>
              </w:rPr>
              <w:t>5.6</w:t>
            </w:r>
          </w:p>
        </w:tc>
        <w:tc>
          <w:tcPr>
            <w:tcW w:w="631" w:type="dxa"/>
          </w:tcPr>
          <w:p>
            <w:pPr>
              <w:pStyle w:val="TableParagraph"/>
              <w:spacing w:line="159" w:lineRule="exact"/>
              <w:rPr>
                <w:sz w:val="14"/>
              </w:rPr>
            </w:pPr>
            <w:r>
              <w:rPr>
                <w:sz w:val="14"/>
              </w:rPr>
              <w:t>11.0</w:t>
            </w:r>
          </w:p>
        </w:tc>
        <w:tc>
          <w:tcPr>
            <w:tcW w:w="629" w:type="dxa"/>
          </w:tcPr>
          <w:p>
            <w:pPr>
              <w:pStyle w:val="TableParagraph"/>
              <w:spacing w:line="159" w:lineRule="exact"/>
              <w:ind w:left="100"/>
              <w:rPr>
                <w:sz w:val="14"/>
              </w:rPr>
            </w:pPr>
            <w:r>
              <w:rPr>
                <w:sz w:val="14"/>
              </w:rPr>
              <w:t>105</w:t>
            </w:r>
          </w:p>
        </w:tc>
        <w:tc>
          <w:tcPr>
            <w:tcW w:w="632" w:type="dxa"/>
          </w:tcPr>
          <w:p>
            <w:pPr>
              <w:pStyle w:val="TableParagraph"/>
              <w:spacing w:line="159" w:lineRule="exact"/>
              <w:ind w:left="82" w:right="265"/>
              <w:jc w:val="center"/>
              <w:rPr>
                <w:sz w:val="14"/>
              </w:rPr>
            </w:pPr>
            <w:r>
              <w:rPr>
                <w:sz w:val="14"/>
              </w:rPr>
              <w:t>105</w:t>
            </w:r>
          </w:p>
        </w:tc>
        <w:tc>
          <w:tcPr>
            <w:tcW w:w="629" w:type="dxa"/>
          </w:tcPr>
          <w:p>
            <w:pPr>
              <w:pStyle w:val="TableParagraph"/>
              <w:spacing w:line="159" w:lineRule="exact"/>
              <w:ind w:left="80" w:right="265"/>
              <w:jc w:val="center"/>
              <w:rPr>
                <w:sz w:val="14"/>
              </w:rPr>
            </w:pPr>
            <w:r>
              <w:rPr>
                <w:sz w:val="14"/>
              </w:rPr>
              <w:t>103</w:t>
            </w:r>
          </w:p>
        </w:tc>
        <w:tc>
          <w:tcPr>
            <w:tcW w:w="631" w:type="dxa"/>
          </w:tcPr>
          <w:p>
            <w:pPr>
              <w:pStyle w:val="TableParagraph"/>
              <w:spacing w:line="159" w:lineRule="exact"/>
              <w:rPr>
                <w:sz w:val="14"/>
              </w:rPr>
            </w:pPr>
            <w:r>
              <w:rPr>
                <w:sz w:val="14"/>
              </w:rPr>
              <w:t>102</w:t>
            </w:r>
          </w:p>
        </w:tc>
      </w:tr>
      <w:tr>
        <w:trPr>
          <w:trHeight w:val="254" w:hRule="exact"/>
        </w:trPr>
        <w:tc>
          <w:tcPr>
            <w:tcW w:w="1076" w:type="dxa"/>
          </w:tcPr>
          <w:p>
            <w:pPr>
              <w:pStyle w:val="TableParagraph"/>
              <w:spacing w:line="159" w:lineRule="exact"/>
              <w:rPr>
                <w:sz w:val="14"/>
              </w:rPr>
            </w:pPr>
            <w:r>
              <w:rPr>
                <w:sz w:val="14"/>
              </w:rPr>
              <w:t>110</w:t>
            </w:r>
          </w:p>
        </w:tc>
        <w:tc>
          <w:tcPr>
            <w:tcW w:w="540" w:type="dxa"/>
          </w:tcPr>
          <w:p>
            <w:pPr>
              <w:pStyle w:val="TableParagraph"/>
              <w:spacing w:line="159" w:lineRule="exact"/>
              <w:ind w:left="82" w:right="173"/>
              <w:jc w:val="center"/>
              <w:rPr>
                <w:sz w:val="14"/>
              </w:rPr>
            </w:pPr>
            <w:r>
              <w:rPr>
                <w:sz w:val="14"/>
              </w:rPr>
              <w:t>350</w:t>
            </w:r>
          </w:p>
        </w:tc>
        <w:tc>
          <w:tcPr>
            <w:tcW w:w="540" w:type="dxa"/>
          </w:tcPr>
          <w:p>
            <w:pPr>
              <w:pStyle w:val="TableParagraph"/>
              <w:spacing w:line="159" w:lineRule="exact"/>
              <w:rPr>
                <w:sz w:val="14"/>
              </w:rPr>
            </w:pPr>
            <w:r>
              <w:rPr>
                <w:sz w:val="14"/>
              </w:rPr>
              <w:t>1449</w:t>
            </w:r>
          </w:p>
        </w:tc>
        <w:tc>
          <w:tcPr>
            <w:tcW w:w="541" w:type="dxa"/>
          </w:tcPr>
          <w:p>
            <w:pPr>
              <w:pStyle w:val="TableParagraph"/>
              <w:spacing w:line="159" w:lineRule="exact"/>
              <w:rPr>
                <w:sz w:val="14"/>
              </w:rPr>
            </w:pPr>
            <w:r>
              <w:rPr>
                <w:sz w:val="14"/>
              </w:rPr>
              <w:t>400</w:t>
            </w:r>
          </w:p>
        </w:tc>
        <w:tc>
          <w:tcPr>
            <w:tcW w:w="540" w:type="dxa"/>
          </w:tcPr>
          <w:p>
            <w:pPr>
              <w:pStyle w:val="TableParagraph"/>
              <w:spacing w:line="159" w:lineRule="exact"/>
              <w:ind w:left="82" w:right="93"/>
              <w:jc w:val="center"/>
              <w:rPr>
                <w:sz w:val="14"/>
              </w:rPr>
            </w:pPr>
            <w:r>
              <w:rPr>
                <w:sz w:val="14"/>
              </w:rPr>
              <w:t>1662</w:t>
            </w:r>
          </w:p>
        </w:tc>
        <w:tc>
          <w:tcPr>
            <w:tcW w:w="540" w:type="dxa"/>
          </w:tcPr>
          <w:p>
            <w:pPr>
              <w:pStyle w:val="TableParagraph"/>
              <w:spacing w:line="159" w:lineRule="exact"/>
              <w:ind w:left="3" w:right="94"/>
              <w:jc w:val="center"/>
              <w:rPr>
                <w:sz w:val="14"/>
              </w:rPr>
            </w:pPr>
            <w:r>
              <w:rPr>
                <w:sz w:val="14"/>
              </w:rPr>
              <w:t>367</w:t>
            </w:r>
          </w:p>
        </w:tc>
        <w:tc>
          <w:tcPr>
            <w:tcW w:w="540" w:type="dxa"/>
          </w:tcPr>
          <w:p>
            <w:pPr>
              <w:pStyle w:val="TableParagraph"/>
              <w:spacing w:line="159" w:lineRule="exact"/>
              <w:rPr>
                <w:sz w:val="14"/>
              </w:rPr>
            </w:pPr>
            <w:r>
              <w:rPr>
                <w:sz w:val="14"/>
              </w:rPr>
              <w:t>1408</w:t>
            </w:r>
          </w:p>
        </w:tc>
        <w:tc>
          <w:tcPr>
            <w:tcW w:w="540" w:type="dxa"/>
          </w:tcPr>
          <w:p>
            <w:pPr>
              <w:pStyle w:val="TableParagraph"/>
              <w:spacing w:line="159" w:lineRule="exact"/>
              <w:rPr>
                <w:sz w:val="14"/>
              </w:rPr>
            </w:pPr>
            <w:r>
              <w:rPr>
                <w:sz w:val="14"/>
              </w:rPr>
              <w:t>323</w:t>
            </w:r>
          </w:p>
        </w:tc>
        <w:tc>
          <w:tcPr>
            <w:tcW w:w="540" w:type="dxa"/>
          </w:tcPr>
          <w:p>
            <w:pPr>
              <w:pStyle w:val="TableParagraph"/>
              <w:spacing w:line="159" w:lineRule="exact"/>
              <w:ind w:left="82" w:right="93"/>
              <w:jc w:val="center"/>
              <w:rPr>
                <w:sz w:val="14"/>
              </w:rPr>
            </w:pPr>
            <w:r>
              <w:rPr>
                <w:sz w:val="14"/>
              </w:rPr>
              <w:t>1279</w:t>
            </w:r>
          </w:p>
        </w:tc>
        <w:tc>
          <w:tcPr>
            <w:tcW w:w="540" w:type="dxa"/>
          </w:tcPr>
          <w:p>
            <w:pPr>
              <w:pStyle w:val="TableParagraph"/>
              <w:spacing w:line="159" w:lineRule="exact"/>
              <w:ind w:left="82" w:right="211"/>
              <w:jc w:val="center"/>
              <w:rPr>
                <w:sz w:val="14"/>
              </w:rPr>
            </w:pPr>
            <w:r>
              <w:rPr>
                <w:sz w:val="14"/>
              </w:rPr>
              <w:t>8.2</w:t>
            </w:r>
          </w:p>
        </w:tc>
        <w:tc>
          <w:tcPr>
            <w:tcW w:w="540" w:type="dxa"/>
          </w:tcPr>
          <w:p>
            <w:pPr>
              <w:pStyle w:val="TableParagraph"/>
              <w:spacing w:line="159" w:lineRule="exact"/>
              <w:rPr>
                <w:sz w:val="14"/>
              </w:rPr>
            </w:pPr>
            <w:r>
              <w:rPr>
                <w:sz w:val="14"/>
              </w:rPr>
              <w:t>15.3</w:t>
            </w:r>
          </w:p>
        </w:tc>
        <w:tc>
          <w:tcPr>
            <w:tcW w:w="541" w:type="dxa"/>
          </w:tcPr>
          <w:p>
            <w:pPr>
              <w:pStyle w:val="TableParagraph"/>
              <w:spacing w:line="159" w:lineRule="exact"/>
              <w:rPr>
                <w:sz w:val="14"/>
              </w:rPr>
            </w:pPr>
            <w:r>
              <w:rPr>
                <w:sz w:val="14"/>
              </w:rPr>
              <w:t>7.5</w:t>
            </w:r>
          </w:p>
        </w:tc>
        <w:tc>
          <w:tcPr>
            <w:tcW w:w="631" w:type="dxa"/>
          </w:tcPr>
          <w:p>
            <w:pPr>
              <w:pStyle w:val="TableParagraph"/>
              <w:spacing w:line="159" w:lineRule="exact"/>
              <w:rPr>
                <w:sz w:val="14"/>
              </w:rPr>
            </w:pPr>
            <w:r>
              <w:rPr>
                <w:sz w:val="14"/>
              </w:rPr>
              <w:t>11.4</w:t>
            </w:r>
          </w:p>
        </w:tc>
        <w:tc>
          <w:tcPr>
            <w:tcW w:w="629" w:type="dxa"/>
          </w:tcPr>
          <w:p>
            <w:pPr>
              <w:pStyle w:val="TableParagraph"/>
              <w:spacing w:line="159" w:lineRule="exact"/>
              <w:ind w:left="100"/>
              <w:rPr>
                <w:sz w:val="14"/>
              </w:rPr>
            </w:pPr>
            <w:r>
              <w:rPr>
                <w:sz w:val="14"/>
              </w:rPr>
              <w:t>215</w:t>
            </w:r>
          </w:p>
        </w:tc>
        <w:tc>
          <w:tcPr>
            <w:tcW w:w="632" w:type="dxa"/>
          </w:tcPr>
          <w:p>
            <w:pPr>
              <w:pStyle w:val="TableParagraph"/>
              <w:spacing w:line="159" w:lineRule="exact"/>
              <w:ind w:left="82" w:right="265"/>
              <w:jc w:val="center"/>
              <w:rPr>
                <w:sz w:val="14"/>
              </w:rPr>
            </w:pPr>
            <w:r>
              <w:rPr>
                <w:sz w:val="14"/>
              </w:rPr>
              <w:t>105</w:t>
            </w:r>
          </w:p>
        </w:tc>
        <w:tc>
          <w:tcPr>
            <w:tcW w:w="629" w:type="dxa"/>
          </w:tcPr>
          <w:p>
            <w:pPr>
              <w:pStyle w:val="TableParagraph"/>
              <w:spacing w:line="159" w:lineRule="exact"/>
              <w:ind w:left="80" w:right="265"/>
              <w:jc w:val="center"/>
              <w:rPr>
                <w:sz w:val="14"/>
              </w:rPr>
            </w:pPr>
            <w:r>
              <w:rPr>
                <w:sz w:val="14"/>
              </w:rPr>
              <w:t>102</w:t>
            </w:r>
          </w:p>
        </w:tc>
        <w:tc>
          <w:tcPr>
            <w:tcW w:w="631" w:type="dxa"/>
          </w:tcPr>
          <w:p>
            <w:pPr>
              <w:pStyle w:val="TableParagraph"/>
              <w:spacing w:line="159" w:lineRule="exact"/>
              <w:rPr>
                <w:sz w:val="14"/>
              </w:rPr>
            </w:pPr>
            <w:r>
              <w:rPr>
                <w:sz w:val="14"/>
              </w:rPr>
              <w:t>101</w:t>
            </w:r>
          </w:p>
        </w:tc>
      </w:tr>
      <w:tr>
        <w:trPr>
          <w:trHeight w:val="254" w:hRule="exact"/>
        </w:trPr>
        <w:tc>
          <w:tcPr>
            <w:tcW w:w="1076" w:type="dxa"/>
          </w:tcPr>
          <w:p>
            <w:pPr>
              <w:pStyle w:val="TableParagraph"/>
              <w:spacing w:line="159" w:lineRule="exact"/>
              <w:rPr>
                <w:sz w:val="14"/>
              </w:rPr>
            </w:pPr>
            <w:r>
              <w:rPr>
                <w:sz w:val="14"/>
              </w:rPr>
              <w:t>115</w:t>
            </w:r>
          </w:p>
        </w:tc>
        <w:tc>
          <w:tcPr>
            <w:tcW w:w="540" w:type="dxa"/>
          </w:tcPr>
          <w:p>
            <w:pPr>
              <w:pStyle w:val="TableParagraph"/>
              <w:spacing w:line="159" w:lineRule="exact"/>
              <w:ind w:left="82" w:right="173"/>
              <w:jc w:val="center"/>
              <w:rPr>
                <w:sz w:val="14"/>
              </w:rPr>
            </w:pPr>
            <w:r>
              <w:rPr>
                <w:sz w:val="14"/>
              </w:rPr>
              <w:t>350</w:t>
            </w:r>
          </w:p>
        </w:tc>
        <w:tc>
          <w:tcPr>
            <w:tcW w:w="540" w:type="dxa"/>
          </w:tcPr>
          <w:p>
            <w:pPr>
              <w:pStyle w:val="TableParagraph"/>
              <w:spacing w:line="159" w:lineRule="exact"/>
              <w:rPr>
                <w:sz w:val="14"/>
              </w:rPr>
            </w:pPr>
            <w:r>
              <w:rPr>
                <w:sz w:val="14"/>
              </w:rPr>
              <w:t>1450</w:t>
            </w:r>
          </w:p>
        </w:tc>
        <w:tc>
          <w:tcPr>
            <w:tcW w:w="541" w:type="dxa"/>
          </w:tcPr>
          <w:p>
            <w:pPr>
              <w:pStyle w:val="TableParagraph"/>
              <w:spacing w:line="159" w:lineRule="exact"/>
              <w:rPr>
                <w:sz w:val="14"/>
              </w:rPr>
            </w:pPr>
            <w:r>
              <w:rPr>
                <w:sz w:val="14"/>
              </w:rPr>
              <w:t>400</w:t>
            </w:r>
          </w:p>
        </w:tc>
        <w:tc>
          <w:tcPr>
            <w:tcW w:w="540" w:type="dxa"/>
          </w:tcPr>
          <w:p>
            <w:pPr>
              <w:pStyle w:val="TableParagraph"/>
              <w:spacing w:line="159" w:lineRule="exact"/>
              <w:ind w:left="82" w:right="93"/>
              <w:jc w:val="center"/>
              <w:rPr>
                <w:sz w:val="14"/>
              </w:rPr>
            </w:pPr>
            <w:r>
              <w:rPr>
                <w:sz w:val="14"/>
              </w:rPr>
              <w:t>1665</w:t>
            </w:r>
          </w:p>
        </w:tc>
        <w:tc>
          <w:tcPr>
            <w:tcW w:w="540" w:type="dxa"/>
          </w:tcPr>
          <w:p>
            <w:pPr>
              <w:pStyle w:val="TableParagraph"/>
              <w:spacing w:line="159" w:lineRule="exact"/>
              <w:ind w:left="3" w:right="94"/>
              <w:jc w:val="center"/>
              <w:rPr>
                <w:sz w:val="14"/>
              </w:rPr>
            </w:pPr>
            <w:r>
              <w:rPr>
                <w:sz w:val="14"/>
              </w:rPr>
              <w:t>351</w:t>
            </w:r>
          </w:p>
        </w:tc>
        <w:tc>
          <w:tcPr>
            <w:tcW w:w="540" w:type="dxa"/>
          </w:tcPr>
          <w:p>
            <w:pPr>
              <w:pStyle w:val="TableParagraph"/>
              <w:spacing w:line="159" w:lineRule="exact"/>
              <w:rPr>
                <w:sz w:val="14"/>
              </w:rPr>
            </w:pPr>
            <w:r>
              <w:rPr>
                <w:sz w:val="14"/>
              </w:rPr>
              <w:t>1281</w:t>
            </w:r>
          </w:p>
        </w:tc>
        <w:tc>
          <w:tcPr>
            <w:tcW w:w="540" w:type="dxa"/>
          </w:tcPr>
          <w:p>
            <w:pPr>
              <w:pStyle w:val="TableParagraph"/>
              <w:spacing w:line="159" w:lineRule="exact"/>
              <w:rPr>
                <w:sz w:val="14"/>
              </w:rPr>
            </w:pPr>
            <w:r>
              <w:rPr>
                <w:sz w:val="14"/>
              </w:rPr>
              <w:t>322</w:t>
            </w:r>
          </w:p>
        </w:tc>
        <w:tc>
          <w:tcPr>
            <w:tcW w:w="540" w:type="dxa"/>
          </w:tcPr>
          <w:p>
            <w:pPr>
              <w:pStyle w:val="TableParagraph"/>
              <w:spacing w:line="159" w:lineRule="exact"/>
              <w:ind w:left="82" w:right="93"/>
              <w:jc w:val="center"/>
              <w:rPr>
                <w:sz w:val="14"/>
              </w:rPr>
            </w:pPr>
            <w:r>
              <w:rPr>
                <w:sz w:val="14"/>
              </w:rPr>
              <w:t>1201</w:t>
            </w:r>
          </w:p>
        </w:tc>
        <w:tc>
          <w:tcPr>
            <w:tcW w:w="540" w:type="dxa"/>
          </w:tcPr>
          <w:p>
            <w:pPr>
              <w:pStyle w:val="TableParagraph"/>
              <w:spacing w:line="159" w:lineRule="exact"/>
              <w:ind w:left="44" w:right="94"/>
              <w:jc w:val="center"/>
              <w:rPr>
                <w:sz w:val="14"/>
              </w:rPr>
            </w:pPr>
            <w:r>
              <w:rPr>
                <w:sz w:val="14"/>
              </w:rPr>
              <w:t>12.3</w:t>
            </w:r>
          </w:p>
        </w:tc>
        <w:tc>
          <w:tcPr>
            <w:tcW w:w="540" w:type="dxa"/>
          </w:tcPr>
          <w:p>
            <w:pPr>
              <w:pStyle w:val="TableParagraph"/>
              <w:spacing w:line="159" w:lineRule="exact"/>
              <w:rPr>
                <w:sz w:val="14"/>
              </w:rPr>
            </w:pPr>
            <w:r>
              <w:rPr>
                <w:sz w:val="14"/>
              </w:rPr>
              <w:t>23.1</w:t>
            </w:r>
          </w:p>
        </w:tc>
        <w:tc>
          <w:tcPr>
            <w:tcW w:w="541" w:type="dxa"/>
          </w:tcPr>
          <w:p>
            <w:pPr>
              <w:pStyle w:val="TableParagraph"/>
              <w:spacing w:line="159" w:lineRule="exact"/>
              <w:rPr>
                <w:sz w:val="14"/>
              </w:rPr>
            </w:pPr>
            <w:r>
              <w:rPr>
                <w:w w:val="99"/>
                <w:sz w:val="14"/>
              </w:rPr>
              <w:t>8</w:t>
            </w:r>
          </w:p>
        </w:tc>
        <w:tc>
          <w:tcPr>
            <w:tcW w:w="631" w:type="dxa"/>
          </w:tcPr>
          <w:p>
            <w:pPr>
              <w:pStyle w:val="TableParagraph"/>
              <w:spacing w:line="159" w:lineRule="exact"/>
              <w:rPr>
                <w:sz w:val="14"/>
              </w:rPr>
            </w:pPr>
            <w:r>
              <w:rPr>
                <w:sz w:val="14"/>
              </w:rPr>
              <w:t>17.2</w:t>
            </w:r>
          </w:p>
        </w:tc>
        <w:tc>
          <w:tcPr>
            <w:tcW w:w="629" w:type="dxa"/>
          </w:tcPr>
          <w:p>
            <w:pPr>
              <w:pStyle w:val="TableParagraph"/>
              <w:spacing w:line="159" w:lineRule="exact"/>
              <w:ind w:left="100"/>
              <w:rPr>
                <w:sz w:val="14"/>
              </w:rPr>
            </w:pPr>
            <w:r>
              <w:rPr>
                <w:sz w:val="14"/>
              </w:rPr>
              <w:t>219</w:t>
            </w:r>
          </w:p>
        </w:tc>
        <w:tc>
          <w:tcPr>
            <w:tcW w:w="632" w:type="dxa"/>
          </w:tcPr>
          <w:p>
            <w:pPr>
              <w:pStyle w:val="TableParagraph"/>
              <w:spacing w:line="159" w:lineRule="exact"/>
              <w:ind w:left="82" w:right="265"/>
              <w:jc w:val="center"/>
              <w:rPr>
                <w:sz w:val="14"/>
              </w:rPr>
            </w:pPr>
            <w:r>
              <w:rPr>
                <w:sz w:val="14"/>
              </w:rPr>
              <w:t>105</w:t>
            </w:r>
          </w:p>
        </w:tc>
        <w:tc>
          <w:tcPr>
            <w:tcW w:w="629" w:type="dxa"/>
          </w:tcPr>
          <w:p>
            <w:pPr>
              <w:pStyle w:val="TableParagraph"/>
              <w:spacing w:line="159" w:lineRule="exact"/>
              <w:ind w:left="80" w:right="265"/>
              <w:jc w:val="center"/>
              <w:rPr>
                <w:sz w:val="14"/>
              </w:rPr>
            </w:pPr>
            <w:r>
              <w:rPr>
                <w:sz w:val="14"/>
              </w:rPr>
              <w:t>100</w:t>
            </w:r>
          </w:p>
        </w:tc>
        <w:tc>
          <w:tcPr>
            <w:tcW w:w="631" w:type="dxa"/>
          </w:tcPr>
          <w:p>
            <w:pPr>
              <w:pStyle w:val="TableParagraph"/>
              <w:spacing w:line="159" w:lineRule="exact"/>
              <w:rPr>
                <w:sz w:val="14"/>
              </w:rPr>
            </w:pPr>
            <w:r>
              <w:rPr>
                <w:sz w:val="14"/>
              </w:rPr>
              <w:t>100</w:t>
            </w:r>
          </w:p>
        </w:tc>
      </w:tr>
    </w:tbl>
    <w:p>
      <w:pPr>
        <w:pStyle w:val="BodyText"/>
        <w:rPr>
          <w:b/>
          <w:sz w:val="22"/>
        </w:rPr>
      </w:pPr>
    </w:p>
    <w:p>
      <w:pPr>
        <w:spacing w:before="150"/>
        <w:ind w:left="1133" w:right="0" w:firstLine="0"/>
        <w:jc w:val="both"/>
        <w:rPr>
          <w:b/>
          <w:sz w:val="20"/>
        </w:rPr>
      </w:pPr>
      <w:r>
        <w:rPr>
          <w:b/>
          <w:sz w:val="20"/>
        </w:rPr>
        <w:t>Evaluation Criteria</w:t>
      </w:r>
    </w:p>
    <w:p>
      <w:pPr>
        <w:pStyle w:val="BodyText"/>
        <w:spacing w:before="183"/>
        <w:ind w:left="1133" w:right="1136"/>
      </w:pPr>
      <w:r>
        <w:rPr/>
        <w:t>Evaluation criteria assesses the performance of high-priority BSM messages in a highly congested lab environment and multi-priority BSM usages.</w:t>
      </w:r>
    </w:p>
    <w:p>
      <w:pPr>
        <w:pStyle w:val="BodyText"/>
        <w:spacing w:before="180"/>
        <w:ind w:left="1133" w:right="1136"/>
      </w:pPr>
      <w:r>
        <w:rPr/>
        <w:t>The evaluation criteria is satisfactory performance of lab tests with congestion control where the PER performance of high-priority BSM messages is better than, or at least, equal to the low-priority messages.</w:t>
      </w:r>
    </w:p>
    <w:p>
      <w:pPr>
        <w:pStyle w:val="Heading7"/>
        <w:spacing w:before="175"/>
        <w:jc w:val="both"/>
      </w:pPr>
      <w:r>
        <w:rPr/>
        <w:t>Key Takeaway</w:t>
      </w:r>
    </w:p>
    <w:p>
      <w:pPr>
        <w:pStyle w:val="BodyText"/>
        <w:spacing w:before="182"/>
        <w:ind w:left="1133" w:right="1053"/>
      </w:pPr>
      <w:r>
        <w:rPr/>
        <w:t>The results showed that the PER performance of high-priority BSM messages is noticeably better than lower- priority messages when high attenuations are used, or reception signals are weak.</w:t>
      </w:r>
    </w:p>
    <w:p>
      <w:pPr>
        <w:pStyle w:val="BodyText"/>
        <w:spacing w:before="180"/>
        <w:ind w:left="1133" w:right="1132"/>
        <w:jc w:val="both"/>
      </w:pPr>
      <w:r>
        <w:rPr/>
        <w:t>Under poor communication environments, high-priority BSM messages showed more reliable performance compared</w:t>
      </w:r>
      <w:r>
        <w:rPr>
          <w:spacing w:val="-5"/>
        </w:rPr>
        <w:t> </w:t>
      </w:r>
      <w:r>
        <w:rPr/>
        <w:t>to</w:t>
      </w:r>
      <w:r>
        <w:rPr>
          <w:spacing w:val="-5"/>
        </w:rPr>
        <w:t> </w:t>
      </w:r>
      <w:r>
        <w:rPr/>
        <w:t>lower</w:t>
      </w:r>
      <w:r>
        <w:rPr>
          <w:spacing w:val="-4"/>
        </w:rPr>
        <w:t> </w:t>
      </w:r>
      <w:r>
        <w:rPr/>
        <w:t>priority</w:t>
      </w:r>
      <w:r>
        <w:rPr>
          <w:spacing w:val="-5"/>
        </w:rPr>
        <w:t> </w:t>
      </w:r>
      <w:r>
        <w:rPr/>
        <w:t>messages.</w:t>
      </w:r>
      <w:r>
        <w:rPr>
          <w:spacing w:val="-4"/>
        </w:rPr>
        <w:t> </w:t>
      </w:r>
      <w:r>
        <w:rPr/>
        <w:t>The</w:t>
      </w:r>
      <w:r>
        <w:rPr>
          <w:spacing w:val="-5"/>
        </w:rPr>
        <w:t> </w:t>
      </w:r>
      <w:r>
        <w:rPr/>
        <w:t>reason</w:t>
      </w:r>
      <w:r>
        <w:rPr>
          <w:spacing w:val="-5"/>
        </w:rPr>
        <w:t> </w:t>
      </w:r>
      <w:r>
        <w:rPr/>
        <w:t>is</w:t>
      </w:r>
      <w:r>
        <w:rPr>
          <w:spacing w:val="-3"/>
        </w:rPr>
        <w:t> </w:t>
      </w:r>
      <w:r>
        <w:rPr/>
        <w:t>that</w:t>
      </w:r>
      <w:r>
        <w:rPr>
          <w:spacing w:val="-4"/>
        </w:rPr>
        <w:t> </w:t>
      </w:r>
      <w:r>
        <w:rPr/>
        <w:t>high-priority</w:t>
      </w:r>
      <w:r>
        <w:rPr>
          <w:spacing w:val="-10"/>
        </w:rPr>
        <w:t> </w:t>
      </w:r>
      <w:r>
        <w:rPr/>
        <w:t>safety</w:t>
      </w:r>
      <w:r>
        <w:rPr>
          <w:spacing w:val="-10"/>
        </w:rPr>
        <w:t> </w:t>
      </w:r>
      <w:r>
        <w:rPr/>
        <w:t>messages</w:t>
      </w:r>
      <w:r>
        <w:rPr>
          <w:spacing w:val="-4"/>
        </w:rPr>
        <w:t> </w:t>
      </w:r>
      <w:r>
        <w:rPr/>
        <w:t>can</w:t>
      </w:r>
      <w:r>
        <w:rPr>
          <w:spacing w:val="-5"/>
        </w:rPr>
        <w:t> </w:t>
      </w:r>
      <w:r>
        <w:rPr/>
        <w:t>be</w:t>
      </w:r>
      <w:r>
        <w:rPr>
          <w:spacing w:val="-5"/>
        </w:rPr>
        <w:t> </w:t>
      </w:r>
      <w:r>
        <w:rPr/>
        <w:t>protected</w:t>
      </w:r>
      <w:r>
        <w:rPr>
          <w:spacing w:val="-5"/>
        </w:rPr>
        <w:t> </w:t>
      </w:r>
      <w:r>
        <w:rPr/>
        <w:t>more efficiently for congested and collision scenarios by the C-V2X resource selection</w:t>
      </w:r>
      <w:r>
        <w:rPr>
          <w:spacing w:val="-24"/>
        </w:rPr>
        <w:t> </w:t>
      </w:r>
      <w:r>
        <w:rPr/>
        <w:t>algorithm.</w:t>
      </w:r>
    </w:p>
    <w:p>
      <w:pPr>
        <w:spacing w:after="0"/>
        <w:jc w:val="both"/>
        <w:sectPr>
          <w:headerReference w:type="default" r:id="rId323"/>
          <w:pgSz w:w="11910" w:h="16850"/>
          <w:pgMar w:header="852" w:footer="979" w:top="1040" w:bottom="1160" w:left="0" w:right="0"/>
        </w:sectPr>
      </w:pPr>
    </w:p>
    <w:p>
      <w:pPr>
        <w:pStyle w:val="BodyText"/>
        <w:spacing w:before="2"/>
        <w:rPr>
          <w:sz w:val="23"/>
        </w:rPr>
      </w:pPr>
    </w:p>
    <w:p>
      <w:pPr>
        <w:pStyle w:val="BodyText"/>
        <w:spacing w:before="93"/>
        <w:ind w:left="1133" w:right="1129"/>
        <w:jc w:val="both"/>
      </w:pPr>
      <w:r>
        <w:rPr/>
        <w:t>Under low attenuation or strong reception signal environments, the PER improvement of high-priority BSM messages is marginal, which is expected because the PER performance of low- priority BSM messages is already satisfactory.</w:t>
      </w:r>
    </w:p>
    <w:p>
      <w:pPr>
        <w:pStyle w:val="BodyText"/>
        <w:spacing w:before="177"/>
        <w:ind w:left="1133" w:right="1133"/>
        <w:jc w:val="both"/>
      </w:pPr>
      <w:r>
        <w:rPr/>
        <w:t>For the actual deployment, we expect that this PER improvement of high-priority BSM messages can be translated into noticeable and meaningful reliability improvement of critical safety messages under highly congested scenarios.</w:t>
      </w:r>
    </w:p>
    <w:p>
      <w:pPr>
        <w:pStyle w:val="BodyText"/>
      </w:pPr>
    </w:p>
    <w:p>
      <w:pPr>
        <w:pStyle w:val="BodyText"/>
        <w:spacing w:before="4"/>
        <w:rPr>
          <w:sz w:val="13"/>
        </w:rPr>
      </w:pPr>
      <w:r>
        <w:rPr/>
        <w:pict>
          <v:line style="position:absolute;mso-position-horizontal-relative:page;mso-position-vertical-relative:paragraph;z-index:7600;mso-wrap-distance-left:0;mso-wrap-distance-right:0" from="55.223999pt,10.349849pt" to="540.243999pt,10.349849pt" stroked="true" strokeweight="1.44pt" strokecolor="#000000">
            <v:stroke dashstyle="solid"/>
            <w10:wrap type="topAndBottom"/>
          </v:line>
        </w:pict>
      </w:r>
    </w:p>
    <w:p>
      <w:pPr>
        <w:pStyle w:val="Heading1"/>
        <w:numPr>
          <w:ilvl w:val="0"/>
          <w:numId w:val="32"/>
        </w:numPr>
        <w:tabs>
          <w:tab w:pos="2266" w:val="left" w:leader="none"/>
        </w:tabs>
        <w:spacing w:line="240" w:lineRule="auto" w:before="27" w:after="0"/>
        <w:ind w:left="2265" w:right="0" w:hanging="1132"/>
        <w:jc w:val="both"/>
      </w:pPr>
      <w:bookmarkStart w:name="_bookmark142" w:id="215"/>
      <w:bookmarkEnd w:id="215"/>
      <w:r>
        <w:rPr/>
      </w:r>
      <w:bookmarkStart w:name="_bookmark142" w:id="216"/>
      <w:bookmarkEnd w:id="216"/>
      <w:r>
        <w:rPr/>
        <w:t>Fie</w:t>
      </w:r>
      <w:r>
        <w:rPr/>
        <w:t>ld Test Procedures and</w:t>
      </w:r>
      <w:r>
        <w:rPr>
          <w:spacing w:val="-6"/>
        </w:rPr>
        <w:t> </w:t>
      </w:r>
      <w:r>
        <w:rPr/>
        <w:t>Results</w:t>
      </w:r>
    </w:p>
    <w:p>
      <w:pPr>
        <w:pStyle w:val="BodyText"/>
        <w:spacing w:before="7"/>
        <w:rPr>
          <w:sz w:val="23"/>
        </w:rPr>
      </w:pPr>
    </w:p>
    <w:p>
      <w:pPr>
        <w:pStyle w:val="Heading2"/>
        <w:numPr>
          <w:ilvl w:val="1"/>
          <w:numId w:val="43"/>
        </w:numPr>
        <w:tabs>
          <w:tab w:pos="2267" w:val="left" w:leader="none"/>
        </w:tabs>
        <w:spacing w:line="240" w:lineRule="auto" w:before="89" w:after="0"/>
        <w:ind w:left="2266" w:right="0" w:hanging="1133"/>
        <w:jc w:val="both"/>
      </w:pPr>
      <w:bookmarkStart w:name="_bookmark143" w:id="217"/>
      <w:bookmarkEnd w:id="217"/>
      <w:r>
        <w:rPr/>
      </w:r>
      <w:bookmarkStart w:name="_bookmark143" w:id="218"/>
      <w:bookmarkEnd w:id="218"/>
      <w:r>
        <w:rPr/>
        <w:t>Introducti</w:t>
      </w:r>
      <w:r>
        <w:rPr/>
        <w:t>on</w:t>
      </w:r>
    </w:p>
    <w:p>
      <w:pPr>
        <w:pStyle w:val="BodyText"/>
        <w:spacing w:before="181"/>
        <w:ind w:left="1133" w:right="1136"/>
        <w:jc w:val="both"/>
      </w:pPr>
      <w:r>
        <w:rPr/>
        <w:t>These field tests provided a realistic, but controlled, open-sky setting for comparative testing of the V2V technologies.</w:t>
      </w:r>
      <w:r>
        <w:rPr>
          <w:spacing w:val="-4"/>
        </w:rPr>
        <w:t> </w:t>
      </w:r>
      <w:r>
        <w:rPr/>
        <w:t>Each</w:t>
      </w:r>
      <w:r>
        <w:rPr>
          <w:spacing w:val="-8"/>
        </w:rPr>
        <w:t> </w:t>
      </w:r>
      <w:r>
        <w:rPr/>
        <w:t>test</w:t>
      </w:r>
      <w:r>
        <w:rPr>
          <w:spacing w:val="-5"/>
        </w:rPr>
        <w:t> </w:t>
      </w:r>
      <w:r>
        <w:rPr/>
        <w:t>is</w:t>
      </w:r>
      <w:r>
        <w:rPr>
          <w:spacing w:val="-7"/>
        </w:rPr>
        <w:t> </w:t>
      </w:r>
      <w:r>
        <w:rPr/>
        <w:t>executed</w:t>
      </w:r>
      <w:r>
        <w:rPr>
          <w:spacing w:val="-8"/>
        </w:rPr>
        <w:t> </w:t>
      </w:r>
      <w:r>
        <w:rPr/>
        <w:t>exactly</w:t>
      </w:r>
      <w:r>
        <w:rPr>
          <w:spacing w:val="-11"/>
        </w:rPr>
        <w:t> </w:t>
      </w:r>
      <w:r>
        <w:rPr/>
        <w:t>the</w:t>
      </w:r>
      <w:r>
        <w:rPr>
          <w:spacing w:val="-8"/>
        </w:rPr>
        <w:t> </w:t>
      </w:r>
      <w:r>
        <w:rPr/>
        <w:t>same</w:t>
      </w:r>
      <w:r>
        <w:rPr>
          <w:spacing w:val="-8"/>
        </w:rPr>
        <w:t> </w:t>
      </w:r>
      <w:r>
        <w:rPr/>
        <w:t>for</w:t>
      </w:r>
      <w:r>
        <w:rPr>
          <w:spacing w:val="-7"/>
        </w:rPr>
        <w:t> </w:t>
      </w:r>
      <w:r>
        <w:rPr/>
        <w:t>both</w:t>
      </w:r>
      <w:r>
        <w:rPr>
          <w:spacing w:val="-8"/>
        </w:rPr>
        <w:t> </w:t>
      </w:r>
      <w:r>
        <w:rPr/>
        <w:t>technologies,</w:t>
      </w:r>
      <w:r>
        <w:rPr>
          <w:spacing w:val="-8"/>
        </w:rPr>
        <w:t> </w:t>
      </w:r>
      <w:r>
        <w:rPr/>
        <w:t>and</w:t>
      </w:r>
      <w:r>
        <w:rPr>
          <w:spacing w:val="-8"/>
        </w:rPr>
        <w:t> </w:t>
      </w:r>
      <w:r>
        <w:rPr/>
        <w:t>the</w:t>
      </w:r>
      <w:r>
        <w:rPr>
          <w:spacing w:val="-8"/>
        </w:rPr>
        <w:t> </w:t>
      </w:r>
      <w:r>
        <w:rPr/>
        <w:t>results</w:t>
      </w:r>
      <w:r>
        <w:rPr>
          <w:spacing w:val="-7"/>
        </w:rPr>
        <w:t> </w:t>
      </w:r>
      <w:r>
        <w:rPr/>
        <w:t>are</w:t>
      </w:r>
      <w:r>
        <w:rPr>
          <w:spacing w:val="-7"/>
        </w:rPr>
        <w:t> </w:t>
      </w:r>
      <w:r>
        <w:rPr/>
        <w:t>compared.</w:t>
      </w:r>
      <w:r>
        <w:rPr>
          <w:spacing w:val="-8"/>
        </w:rPr>
        <w:t> </w:t>
      </w:r>
      <w:r>
        <w:rPr/>
        <w:t>For comparative tests, the following must be the same when testing the two</w:t>
      </w:r>
      <w:r>
        <w:rPr>
          <w:spacing w:val="-31"/>
        </w:rPr>
        <w:t> </w:t>
      </w:r>
      <w:r>
        <w:rPr/>
        <w:t>technologies:</w:t>
      </w:r>
    </w:p>
    <w:p>
      <w:pPr>
        <w:pStyle w:val="ListParagraph"/>
        <w:numPr>
          <w:ilvl w:val="2"/>
          <w:numId w:val="43"/>
        </w:numPr>
        <w:tabs>
          <w:tab w:pos="1701" w:val="left" w:leader="none"/>
          <w:tab w:pos="1702" w:val="left" w:leader="none"/>
        </w:tabs>
        <w:spacing w:line="240" w:lineRule="auto" w:before="180" w:after="0"/>
        <w:ind w:left="1701" w:right="0" w:hanging="285"/>
        <w:jc w:val="left"/>
        <w:rPr>
          <w:sz w:val="20"/>
        </w:rPr>
      </w:pPr>
      <w:r>
        <w:rPr>
          <w:sz w:val="20"/>
        </w:rPr>
        <w:t>Test</w:t>
      </w:r>
      <w:r>
        <w:rPr>
          <w:spacing w:val="-6"/>
          <w:sz w:val="20"/>
        </w:rPr>
        <w:t> </w:t>
      </w:r>
      <w:r>
        <w:rPr>
          <w:sz w:val="20"/>
        </w:rPr>
        <w:t>procedure</w:t>
      </w:r>
    </w:p>
    <w:p>
      <w:pPr>
        <w:pStyle w:val="ListParagraph"/>
        <w:numPr>
          <w:ilvl w:val="2"/>
          <w:numId w:val="43"/>
        </w:numPr>
        <w:tabs>
          <w:tab w:pos="1701" w:val="left" w:leader="none"/>
          <w:tab w:pos="1702" w:val="left" w:leader="none"/>
        </w:tabs>
        <w:spacing w:line="240" w:lineRule="auto" w:before="180" w:after="0"/>
        <w:ind w:left="1701" w:right="0" w:hanging="285"/>
        <w:jc w:val="left"/>
        <w:rPr>
          <w:sz w:val="20"/>
        </w:rPr>
      </w:pPr>
      <w:r>
        <w:rPr>
          <w:sz w:val="20"/>
        </w:rPr>
        <w:t>Test</w:t>
      </w:r>
      <w:r>
        <w:rPr>
          <w:spacing w:val="-8"/>
          <w:sz w:val="20"/>
        </w:rPr>
        <w:t> </w:t>
      </w:r>
      <w:r>
        <w:rPr>
          <w:sz w:val="20"/>
        </w:rPr>
        <w:t>conditions</w:t>
      </w:r>
    </w:p>
    <w:p>
      <w:pPr>
        <w:pStyle w:val="BodyText"/>
        <w:spacing w:before="177"/>
        <w:ind w:left="1133"/>
        <w:jc w:val="both"/>
      </w:pPr>
      <w:r>
        <w:rPr/>
        <w:t>Under test conditions we ensured that the following are the same:</w:t>
      </w:r>
    </w:p>
    <w:p>
      <w:pPr>
        <w:pStyle w:val="ListParagraph"/>
        <w:numPr>
          <w:ilvl w:val="2"/>
          <w:numId w:val="43"/>
        </w:numPr>
        <w:tabs>
          <w:tab w:pos="1701" w:val="left" w:leader="none"/>
          <w:tab w:pos="1702" w:val="left" w:leader="none"/>
        </w:tabs>
        <w:spacing w:line="240" w:lineRule="auto" w:before="179" w:after="0"/>
        <w:ind w:left="1701" w:right="0" w:hanging="285"/>
        <w:jc w:val="left"/>
        <w:rPr>
          <w:sz w:val="20"/>
        </w:rPr>
      </w:pPr>
      <w:r>
        <w:rPr>
          <w:sz w:val="20"/>
        </w:rPr>
        <w:t>Antenna characteristics and</w:t>
      </w:r>
      <w:r>
        <w:rPr>
          <w:spacing w:val="-11"/>
          <w:sz w:val="20"/>
        </w:rPr>
        <w:t> </w:t>
      </w:r>
      <w:r>
        <w:rPr>
          <w:sz w:val="20"/>
        </w:rPr>
        <w:t>placement</w:t>
      </w:r>
    </w:p>
    <w:p>
      <w:pPr>
        <w:pStyle w:val="ListParagraph"/>
        <w:numPr>
          <w:ilvl w:val="2"/>
          <w:numId w:val="43"/>
        </w:numPr>
        <w:tabs>
          <w:tab w:pos="1701" w:val="left" w:leader="none"/>
          <w:tab w:pos="1702" w:val="left" w:leader="none"/>
        </w:tabs>
        <w:spacing w:line="240" w:lineRule="auto" w:before="179" w:after="0"/>
        <w:ind w:left="1701" w:right="0" w:hanging="285"/>
        <w:jc w:val="left"/>
        <w:rPr>
          <w:sz w:val="20"/>
        </w:rPr>
      </w:pPr>
      <w:r>
        <w:rPr>
          <w:sz w:val="20"/>
        </w:rPr>
        <w:t>Vehicle geometry and</w:t>
      </w:r>
      <w:r>
        <w:rPr>
          <w:spacing w:val="-9"/>
          <w:sz w:val="20"/>
        </w:rPr>
        <w:t> </w:t>
      </w:r>
      <w:r>
        <w:rPr>
          <w:sz w:val="20"/>
        </w:rPr>
        <w:t>cabling</w:t>
      </w:r>
    </w:p>
    <w:p>
      <w:pPr>
        <w:pStyle w:val="ListParagraph"/>
        <w:numPr>
          <w:ilvl w:val="2"/>
          <w:numId w:val="43"/>
        </w:numPr>
        <w:tabs>
          <w:tab w:pos="1701" w:val="left" w:leader="none"/>
          <w:tab w:pos="1702" w:val="left" w:leader="none"/>
        </w:tabs>
        <w:spacing w:line="240" w:lineRule="auto" w:before="179" w:after="0"/>
        <w:ind w:left="1701" w:right="0" w:hanging="285"/>
        <w:jc w:val="left"/>
        <w:rPr>
          <w:sz w:val="20"/>
        </w:rPr>
      </w:pPr>
      <w:r>
        <w:rPr>
          <w:sz w:val="20"/>
        </w:rPr>
        <w:t>Track topology and</w:t>
      </w:r>
      <w:r>
        <w:rPr>
          <w:spacing w:val="-8"/>
          <w:sz w:val="20"/>
        </w:rPr>
        <w:t> </w:t>
      </w:r>
      <w:r>
        <w:rPr>
          <w:sz w:val="20"/>
        </w:rPr>
        <w:t>arrangement</w:t>
      </w:r>
    </w:p>
    <w:p>
      <w:pPr>
        <w:pStyle w:val="ListParagraph"/>
        <w:numPr>
          <w:ilvl w:val="2"/>
          <w:numId w:val="43"/>
        </w:numPr>
        <w:tabs>
          <w:tab w:pos="1701" w:val="left" w:leader="none"/>
          <w:tab w:pos="1702" w:val="left" w:leader="none"/>
        </w:tabs>
        <w:spacing w:line="240" w:lineRule="auto" w:before="179" w:after="0"/>
        <w:ind w:left="1701" w:right="0" w:hanging="285"/>
        <w:jc w:val="left"/>
        <w:rPr>
          <w:sz w:val="20"/>
        </w:rPr>
      </w:pPr>
      <w:r>
        <w:rPr>
          <w:sz w:val="20"/>
        </w:rPr>
        <w:t>Sample size and</w:t>
      </w:r>
      <w:r>
        <w:rPr>
          <w:spacing w:val="-10"/>
          <w:sz w:val="20"/>
        </w:rPr>
        <w:t> </w:t>
      </w:r>
      <w:r>
        <w:rPr>
          <w:sz w:val="20"/>
        </w:rPr>
        <w:t>repeatability</w:t>
      </w:r>
    </w:p>
    <w:p>
      <w:pPr>
        <w:pStyle w:val="ListParagraph"/>
        <w:numPr>
          <w:ilvl w:val="2"/>
          <w:numId w:val="43"/>
        </w:numPr>
        <w:tabs>
          <w:tab w:pos="1701" w:val="left" w:leader="none"/>
          <w:tab w:pos="1702" w:val="left" w:leader="none"/>
        </w:tabs>
        <w:spacing w:line="240" w:lineRule="auto" w:before="180" w:after="0"/>
        <w:ind w:left="1701" w:right="0" w:hanging="285"/>
        <w:jc w:val="left"/>
        <w:rPr>
          <w:sz w:val="20"/>
        </w:rPr>
      </w:pPr>
      <w:r>
        <w:rPr>
          <w:sz w:val="20"/>
        </w:rPr>
        <w:t>Environmental conditions and</w:t>
      </w:r>
      <w:r>
        <w:rPr>
          <w:spacing w:val="-13"/>
          <w:sz w:val="20"/>
        </w:rPr>
        <w:t> </w:t>
      </w:r>
      <w:r>
        <w:rPr>
          <w:sz w:val="20"/>
        </w:rPr>
        <w:t>interference</w:t>
      </w:r>
    </w:p>
    <w:p>
      <w:pPr>
        <w:pStyle w:val="ListParagraph"/>
        <w:numPr>
          <w:ilvl w:val="2"/>
          <w:numId w:val="43"/>
        </w:numPr>
        <w:tabs>
          <w:tab w:pos="1701" w:val="left" w:leader="none"/>
          <w:tab w:pos="1702" w:val="left" w:leader="none"/>
        </w:tabs>
        <w:spacing w:line="240" w:lineRule="auto" w:before="178" w:after="0"/>
        <w:ind w:left="1701" w:right="0" w:hanging="285"/>
        <w:jc w:val="left"/>
        <w:rPr>
          <w:sz w:val="20"/>
        </w:rPr>
      </w:pPr>
      <w:r>
        <w:rPr>
          <w:sz w:val="20"/>
        </w:rPr>
        <w:t>Power and other radio</w:t>
      </w:r>
      <w:r>
        <w:rPr>
          <w:spacing w:val="-12"/>
          <w:sz w:val="20"/>
        </w:rPr>
        <w:t> </w:t>
      </w:r>
      <w:r>
        <w:rPr>
          <w:sz w:val="20"/>
        </w:rPr>
        <w:t>settings</w:t>
      </w:r>
    </w:p>
    <w:p>
      <w:pPr>
        <w:pStyle w:val="BodyText"/>
        <w:spacing w:before="180"/>
        <w:ind w:left="1133" w:right="1129"/>
        <w:jc w:val="both"/>
      </w:pPr>
      <w:r>
        <w:rPr/>
        <w:t>In our tests, our main goal is to collect data for an apples-to-apples comparison between DSRC and C-V2X technologies. The performance metrics or KPIs used for the comparison are:</w:t>
      </w:r>
    </w:p>
    <w:p>
      <w:pPr>
        <w:pStyle w:val="ListParagraph"/>
        <w:numPr>
          <w:ilvl w:val="2"/>
          <w:numId w:val="43"/>
        </w:numPr>
        <w:tabs>
          <w:tab w:pos="1701" w:val="left" w:leader="none"/>
          <w:tab w:pos="1702" w:val="left" w:leader="none"/>
        </w:tabs>
        <w:spacing w:line="240" w:lineRule="auto" w:before="180" w:after="0"/>
        <w:ind w:left="1701" w:right="0" w:hanging="285"/>
        <w:jc w:val="left"/>
        <w:rPr>
          <w:sz w:val="20"/>
        </w:rPr>
      </w:pPr>
      <w:r>
        <w:rPr>
          <w:sz w:val="20"/>
        </w:rPr>
        <w:t>Packet reception rate</w:t>
      </w:r>
      <w:r>
        <w:rPr>
          <w:spacing w:val="-9"/>
          <w:sz w:val="20"/>
        </w:rPr>
        <w:t> </w:t>
      </w:r>
      <w:r>
        <w:rPr>
          <w:sz w:val="20"/>
        </w:rPr>
        <w:t>(PRR)</w:t>
      </w:r>
    </w:p>
    <w:p>
      <w:pPr>
        <w:pStyle w:val="ListParagraph"/>
        <w:numPr>
          <w:ilvl w:val="2"/>
          <w:numId w:val="43"/>
        </w:numPr>
        <w:tabs>
          <w:tab w:pos="1702" w:val="left" w:leader="none"/>
          <w:tab w:pos="1703" w:val="left" w:leader="none"/>
        </w:tabs>
        <w:spacing w:line="240" w:lineRule="auto" w:before="180" w:after="0"/>
        <w:ind w:left="1702" w:right="0" w:hanging="286"/>
        <w:jc w:val="left"/>
        <w:rPr>
          <w:sz w:val="20"/>
        </w:rPr>
      </w:pPr>
      <w:r>
        <w:rPr>
          <w:sz w:val="20"/>
        </w:rPr>
        <w:t>Inter-packet gap</w:t>
      </w:r>
      <w:r>
        <w:rPr>
          <w:spacing w:val="-11"/>
          <w:sz w:val="20"/>
        </w:rPr>
        <w:t> </w:t>
      </w:r>
      <w:r>
        <w:rPr>
          <w:sz w:val="20"/>
        </w:rPr>
        <w:t>(IPG)</w:t>
      </w:r>
    </w:p>
    <w:p>
      <w:pPr>
        <w:pStyle w:val="BodyText"/>
        <w:spacing w:before="177"/>
        <w:ind w:left="1133" w:right="1134"/>
        <w:jc w:val="both"/>
      </w:pPr>
      <w:r>
        <w:rPr/>
        <w:t>Receive Signal Strength Indicator (RSSI) is collected and presented for DSRC only. While this performance measure has issues with accuracy, as discussed in section 5.1.3, it can be used for relative comparisons of the two technologies.</w:t>
      </w:r>
    </w:p>
    <w:p>
      <w:pPr>
        <w:pStyle w:val="BodyText"/>
        <w:spacing w:before="180"/>
        <w:ind w:left="1133" w:right="1126"/>
        <w:jc w:val="both"/>
      </w:pPr>
      <w:r>
        <w:rPr/>
        <w:t>Field tests were performed on several test tracks and in more realistic road conditions for benchmarking. Range</w:t>
      </w:r>
      <w:r>
        <w:rPr>
          <w:spacing w:val="-8"/>
        </w:rPr>
        <w:t> </w:t>
      </w:r>
      <w:r>
        <w:rPr/>
        <w:t>tests</w:t>
      </w:r>
      <w:r>
        <w:rPr>
          <w:spacing w:val="-7"/>
        </w:rPr>
        <w:t> </w:t>
      </w:r>
      <w:r>
        <w:rPr/>
        <w:t>determine</w:t>
      </w:r>
      <w:r>
        <w:rPr>
          <w:spacing w:val="-8"/>
        </w:rPr>
        <w:t> </w:t>
      </w:r>
      <w:r>
        <w:rPr/>
        <w:t>the</w:t>
      </w:r>
      <w:r>
        <w:rPr>
          <w:spacing w:val="-6"/>
        </w:rPr>
        <w:t> </w:t>
      </w:r>
      <w:r>
        <w:rPr/>
        <w:t>distance</w:t>
      </w:r>
      <w:r>
        <w:rPr>
          <w:spacing w:val="-6"/>
        </w:rPr>
        <w:t> </w:t>
      </w:r>
      <w:r>
        <w:rPr/>
        <w:t>at</w:t>
      </w:r>
      <w:r>
        <w:rPr>
          <w:spacing w:val="-6"/>
        </w:rPr>
        <w:t> </w:t>
      </w:r>
      <w:r>
        <w:rPr/>
        <w:t>which</w:t>
      </w:r>
      <w:r>
        <w:rPr>
          <w:spacing w:val="-8"/>
        </w:rPr>
        <w:t> </w:t>
      </w:r>
      <w:r>
        <w:rPr/>
        <w:t>PRR</w:t>
      </w:r>
      <w:r>
        <w:rPr>
          <w:spacing w:val="-7"/>
        </w:rPr>
        <w:t> </w:t>
      </w:r>
      <w:r>
        <w:rPr/>
        <w:t>or</w:t>
      </w:r>
      <w:r>
        <w:rPr>
          <w:spacing w:val="-7"/>
        </w:rPr>
        <w:t> </w:t>
      </w:r>
      <w:r>
        <w:rPr/>
        <w:t>the</w:t>
      </w:r>
      <w:r>
        <w:rPr>
          <w:spacing w:val="-8"/>
        </w:rPr>
        <w:t> </w:t>
      </w:r>
      <w:r>
        <w:rPr/>
        <w:t>reliability</w:t>
      </w:r>
      <w:r>
        <w:rPr>
          <w:spacing w:val="-11"/>
        </w:rPr>
        <w:t> </w:t>
      </w:r>
      <w:r>
        <w:rPr/>
        <w:t>of</w:t>
      </w:r>
      <w:r>
        <w:rPr>
          <w:spacing w:val="-6"/>
        </w:rPr>
        <w:t> </w:t>
      </w:r>
      <w:r>
        <w:rPr/>
        <w:t>the</w:t>
      </w:r>
      <w:r>
        <w:rPr>
          <w:spacing w:val="-6"/>
        </w:rPr>
        <w:t> </w:t>
      </w:r>
      <w:r>
        <w:rPr/>
        <w:t>BSM</w:t>
      </w:r>
      <w:r>
        <w:rPr>
          <w:spacing w:val="-8"/>
        </w:rPr>
        <w:t> </w:t>
      </w:r>
      <w:r>
        <w:rPr/>
        <w:t>message</w:t>
      </w:r>
      <w:r>
        <w:rPr>
          <w:spacing w:val="-8"/>
        </w:rPr>
        <w:t> </w:t>
      </w:r>
      <w:r>
        <w:rPr/>
        <w:t>reception</w:t>
      </w:r>
      <w:r>
        <w:rPr>
          <w:spacing w:val="-8"/>
        </w:rPr>
        <w:t> </w:t>
      </w:r>
      <w:r>
        <w:rPr/>
        <w:t>drops</w:t>
      </w:r>
      <w:r>
        <w:rPr>
          <w:spacing w:val="-7"/>
        </w:rPr>
        <w:t> </w:t>
      </w:r>
      <w:r>
        <w:rPr/>
        <w:t>below an acceptable level. The PRR threshold for range determination is 90%. The range tests were performed on the following test</w:t>
      </w:r>
      <w:r>
        <w:rPr>
          <w:spacing w:val="-5"/>
        </w:rPr>
        <w:t> </w:t>
      </w:r>
      <w:r>
        <w:rPr/>
        <w:t>tracks:</w:t>
      </w:r>
    </w:p>
    <w:p>
      <w:pPr>
        <w:pStyle w:val="ListParagraph"/>
        <w:numPr>
          <w:ilvl w:val="2"/>
          <w:numId w:val="43"/>
        </w:numPr>
        <w:tabs>
          <w:tab w:pos="1701" w:val="left" w:leader="none"/>
          <w:tab w:pos="1702" w:val="left" w:leader="none"/>
        </w:tabs>
        <w:spacing w:line="240" w:lineRule="auto" w:before="180" w:after="0"/>
        <w:ind w:left="1701" w:right="0" w:hanging="285"/>
        <w:jc w:val="left"/>
        <w:rPr>
          <w:sz w:val="20"/>
        </w:rPr>
      </w:pPr>
      <w:r>
        <w:rPr>
          <w:sz w:val="20"/>
        </w:rPr>
        <w:t>Road A – Straightaway (Fowlerville Proving Ground - FPG,</w:t>
      </w:r>
      <w:r>
        <w:rPr>
          <w:spacing w:val="-20"/>
          <w:sz w:val="20"/>
        </w:rPr>
        <w:t> </w:t>
      </w:r>
      <w:r>
        <w:rPr>
          <w:sz w:val="20"/>
        </w:rPr>
        <w:t>Michigan)</w:t>
      </w:r>
    </w:p>
    <w:p>
      <w:pPr>
        <w:pStyle w:val="ListParagraph"/>
        <w:numPr>
          <w:ilvl w:val="2"/>
          <w:numId w:val="43"/>
        </w:numPr>
        <w:tabs>
          <w:tab w:pos="1701" w:val="left" w:leader="none"/>
          <w:tab w:pos="1702" w:val="left" w:leader="none"/>
        </w:tabs>
        <w:spacing w:line="240" w:lineRule="auto" w:before="180" w:after="0"/>
        <w:ind w:left="1701" w:right="0" w:hanging="285"/>
        <w:jc w:val="left"/>
        <w:rPr>
          <w:sz w:val="20"/>
        </w:rPr>
      </w:pPr>
      <w:r>
        <w:rPr>
          <w:sz w:val="20"/>
        </w:rPr>
        <w:t>Perryman test track (Aberdeen Proving Grounds,</w:t>
      </w:r>
      <w:r>
        <w:rPr>
          <w:spacing w:val="-19"/>
          <w:sz w:val="20"/>
        </w:rPr>
        <w:t> </w:t>
      </w:r>
      <w:r>
        <w:rPr>
          <w:sz w:val="20"/>
        </w:rPr>
        <w:t>Maryland)</w:t>
      </w:r>
    </w:p>
    <w:p>
      <w:pPr>
        <w:pStyle w:val="ListParagraph"/>
        <w:numPr>
          <w:ilvl w:val="2"/>
          <w:numId w:val="43"/>
        </w:numPr>
        <w:tabs>
          <w:tab w:pos="1701" w:val="left" w:leader="none"/>
          <w:tab w:pos="1702" w:val="left" w:leader="none"/>
        </w:tabs>
        <w:spacing w:line="240" w:lineRule="auto" w:before="180" w:after="0"/>
        <w:ind w:left="1701" w:right="0" w:hanging="285"/>
        <w:jc w:val="left"/>
        <w:rPr>
          <w:sz w:val="20"/>
        </w:rPr>
      </w:pPr>
      <w:r>
        <w:rPr>
          <w:sz w:val="20"/>
        </w:rPr>
        <w:t>Straightaway (Ford Michigan Proving Grounds,</w:t>
      </w:r>
      <w:r>
        <w:rPr>
          <w:spacing w:val="-24"/>
          <w:sz w:val="20"/>
        </w:rPr>
        <w:t> </w:t>
      </w:r>
      <w:r>
        <w:rPr>
          <w:sz w:val="20"/>
        </w:rPr>
        <w:t>Michigan)</w:t>
      </w:r>
    </w:p>
    <w:p>
      <w:pPr>
        <w:pStyle w:val="BodyText"/>
        <w:spacing w:before="180"/>
        <w:ind w:left="1133" w:right="1133"/>
        <w:jc w:val="both"/>
      </w:pPr>
      <w:r>
        <w:rPr/>
        <w:t>The most comprehensive tests were performed at FPG, and this section discusses those test results. Test results from other test tracks were consistent with the results from FPG in terms of comparative testing. </w:t>
      </w:r>
      <w:r>
        <w:rPr>
          <w:spacing w:val="4"/>
        </w:rPr>
        <w:t>We </w:t>
      </w:r>
      <w:r>
        <w:rPr/>
        <w:t>note</w:t>
      </w:r>
      <w:r>
        <w:rPr>
          <w:spacing w:val="-3"/>
        </w:rPr>
        <w:t> </w:t>
      </w:r>
      <w:r>
        <w:rPr/>
        <w:t>that</w:t>
      </w:r>
      <w:r>
        <w:rPr>
          <w:spacing w:val="-2"/>
        </w:rPr>
        <w:t> </w:t>
      </w:r>
      <w:r>
        <w:rPr/>
        <w:t>different</w:t>
      </w:r>
      <w:r>
        <w:rPr>
          <w:spacing w:val="-5"/>
        </w:rPr>
        <w:t> </w:t>
      </w:r>
      <w:r>
        <w:rPr/>
        <w:t>test</w:t>
      </w:r>
      <w:r>
        <w:rPr>
          <w:spacing w:val="-4"/>
        </w:rPr>
        <w:t> </w:t>
      </w:r>
      <w:r>
        <w:rPr/>
        <w:t>tracks</w:t>
      </w:r>
      <w:r>
        <w:rPr>
          <w:spacing w:val="-3"/>
        </w:rPr>
        <w:t> </w:t>
      </w:r>
      <w:r>
        <w:rPr/>
        <w:t>produced</w:t>
      </w:r>
      <w:r>
        <w:rPr>
          <w:spacing w:val="-2"/>
        </w:rPr>
        <w:t> </w:t>
      </w:r>
      <w:r>
        <w:rPr/>
        <w:t>different</w:t>
      </w:r>
      <w:r>
        <w:rPr>
          <w:spacing w:val="-5"/>
        </w:rPr>
        <w:t> </w:t>
      </w:r>
      <w:r>
        <w:rPr/>
        <w:t>range</w:t>
      </w:r>
      <w:r>
        <w:rPr>
          <w:spacing w:val="-2"/>
        </w:rPr>
        <w:t> </w:t>
      </w:r>
      <w:r>
        <w:rPr/>
        <w:t>results,</w:t>
      </w:r>
      <w:r>
        <w:rPr>
          <w:spacing w:val="-2"/>
        </w:rPr>
        <w:t> </w:t>
      </w:r>
      <w:r>
        <w:rPr/>
        <w:t>emphasizing</w:t>
      </w:r>
      <w:r>
        <w:rPr>
          <w:spacing w:val="-3"/>
        </w:rPr>
        <w:t> </w:t>
      </w:r>
      <w:r>
        <w:rPr/>
        <w:t>that</w:t>
      </w:r>
      <w:r>
        <w:rPr>
          <w:spacing w:val="-3"/>
        </w:rPr>
        <w:t> </w:t>
      </w:r>
      <w:r>
        <w:rPr/>
        <w:t>the</w:t>
      </w:r>
      <w:r>
        <w:rPr>
          <w:spacing w:val="-5"/>
        </w:rPr>
        <w:t> </w:t>
      </w:r>
      <w:r>
        <w:rPr/>
        <w:t>uniformity</w:t>
      </w:r>
      <w:r>
        <w:rPr>
          <w:spacing w:val="-8"/>
        </w:rPr>
        <w:t> </w:t>
      </w:r>
      <w:r>
        <w:rPr/>
        <w:t>of</w:t>
      </w:r>
      <w:r>
        <w:rPr>
          <w:spacing w:val="-3"/>
        </w:rPr>
        <w:t> </w:t>
      </w:r>
      <w:r>
        <w:rPr/>
        <w:t>conditions</w:t>
      </w:r>
      <w:r>
        <w:rPr>
          <w:spacing w:val="-4"/>
        </w:rPr>
        <w:t> </w:t>
      </w:r>
      <w:r>
        <w:rPr/>
        <w:t>is key for comparison</w:t>
      </w:r>
      <w:r>
        <w:rPr>
          <w:spacing w:val="-10"/>
        </w:rPr>
        <w:t> </w:t>
      </w:r>
      <w:r>
        <w:rPr/>
        <w:t>testing.</w:t>
      </w:r>
    </w:p>
    <w:p>
      <w:pPr>
        <w:pStyle w:val="BodyText"/>
        <w:spacing w:before="180"/>
        <w:ind w:left="1133"/>
        <w:jc w:val="both"/>
      </w:pPr>
      <w:r>
        <w:rPr/>
        <w:t>It is commonly accepted that range is reached when the PRR drops below 90%.</w:t>
      </w:r>
    </w:p>
    <w:p>
      <w:pPr>
        <w:spacing w:after="0"/>
        <w:jc w:val="both"/>
        <w:sectPr>
          <w:headerReference w:type="default" r:id="rId324"/>
          <w:pgSz w:w="11910" w:h="16850"/>
          <w:pgMar w:header="852" w:footer="979" w:top="1040" w:bottom="1160" w:left="0" w:right="0"/>
        </w:sectPr>
      </w:pPr>
    </w:p>
    <w:p>
      <w:pPr>
        <w:pStyle w:val="BodyText"/>
        <w:spacing w:before="2"/>
        <w:rPr>
          <w:sz w:val="23"/>
        </w:rPr>
      </w:pPr>
    </w:p>
    <w:p>
      <w:pPr>
        <w:pStyle w:val="BodyText"/>
        <w:spacing w:before="93"/>
        <w:ind w:left="1133" w:right="1137"/>
        <w:jc w:val="both"/>
      </w:pPr>
      <w:r>
        <w:rPr/>
        <w:t>In realistic conditions, the signal sometimes drops and then quickly recovers, resulting in packet loss over a short</w:t>
      </w:r>
      <w:r>
        <w:rPr>
          <w:spacing w:val="-7"/>
        </w:rPr>
        <w:t> </w:t>
      </w:r>
      <w:r>
        <w:rPr/>
        <w:t>period</w:t>
      </w:r>
      <w:r>
        <w:rPr>
          <w:spacing w:val="-5"/>
        </w:rPr>
        <w:t> </w:t>
      </w:r>
      <w:r>
        <w:rPr/>
        <w:t>of</w:t>
      </w:r>
      <w:r>
        <w:rPr>
          <w:spacing w:val="-5"/>
        </w:rPr>
        <w:t> </w:t>
      </w:r>
      <w:r>
        <w:rPr/>
        <w:t>time</w:t>
      </w:r>
      <w:r>
        <w:rPr>
          <w:spacing w:val="-7"/>
        </w:rPr>
        <w:t> </w:t>
      </w:r>
      <w:r>
        <w:rPr/>
        <w:t>and,</w:t>
      </w:r>
      <w:r>
        <w:rPr>
          <w:spacing w:val="-5"/>
        </w:rPr>
        <w:t> </w:t>
      </w:r>
      <w:r>
        <w:rPr/>
        <w:t>since</w:t>
      </w:r>
      <w:r>
        <w:rPr>
          <w:spacing w:val="-7"/>
        </w:rPr>
        <w:t> </w:t>
      </w:r>
      <w:r>
        <w:rPr/>
        <w:t>the</w:t>
      </w:r>
      <w:r>
        <w:rPr>
          <w:spacing w:val="-3"/>
        </w:rPr>
        <w:t> </w:t>
      </w:r>
      <w:r>
        <w:rPr/>
        <w:t>vehicle</w:t>
      </w:r>
      <w:r>
        <w:rPr>
          <w:spacing w:val="-5"/>
        </w:rPr>
        <w:t> </w:t>
      </w:r>
      <w:r>
        <w:rPr/>
        <w:t>is</w:t>
      </w:r>
      <w:r>
        <w:rPr>
          <w:spacing w:val="-3"/>
        </w:rPr>
        <w:t> </w:t>
      </w:r>
      <w:r>
        <w:rPr/>
        <w:t>moving,</w:t>
      </w:r>
      <w:r>
        <w:rPr>
          <w:spacing w:val="-5"/>
        </w:rPr>
        <w:t> </w:t>
      </w:r>
      <w:r>
        <w:rPr/>
        <w:t>over</w:t>
      </w:r>
      <w:r>
        <w:rPr>
          <w:spacing w:val="-6"/>
        </w:rPr>
        <w:t> </w:t>
      </w:r>
      <w:r>
        <w:rPr/>
        <w:t>a</w:t>
      </w:r>
      <w:r>
        <w:rPr>
          <w:spacing w:val="-7"/>
        </w:rPr>
        <w:t> </w:t>
      </w:r>
      <w:r>
        <w:rPr/>
        <w:t>short</w:t>
      </w:r>
      <w:r>
        <w:rPr>
          <w:spacing w:val="-4"/>
        </w:rPr>
        <w:t> </w:t>
      </w:r>
      <w:r>
        <w:rPr/>
        <w:t>distance.</w:t>
      </w:r>
      <w:r>
        <w:rPr>
          <w:spacing w:val="-7"/>
        </w:rPr>
        <w:t> </w:t>
      </w:r>
      <w:r>
        <w:rPr/>
        <w:t>There</w:t>
      </w:r>
      <w:r>
        <w:rPr>
          <w:spacing w:val="-5"/>
        </w:rPr>
        <w:t> </w:t>
      </w:r>
      <w:r>
        <w:rPr/>
        <w:t>is</w:t>
      </w:r>
      <w:r>
        <w:rPr>
          <w:spacing w:val="-6"/>
        </w:rPr>
        <w:t> </w:t>
      </w:r>
      <w:r>
        <w:rPr/>
        <w:t>no</w:t>
      </w:r>
      <w:r>
        <w:rPr>
          <w:spacing w:val="-5"/>
        </w:rPr>
        <w:t> </w:t>
      </w:r>
      <w:r>
        <w:rPr/>
        <w:t>industry</w:t>
      </w:r>
      <w:r>
        <w:rPr>
          <w:spacing w:val="-8"/>
        </w:rPr>
        <w:t> </w:t>
      </w:r>
      <w:r>
        <w:rPr/>
        <w:t>agreement</w:t>
      </w:r>
      <w:r>
        <w:rPr>
          <w:spacing w:val="-7"/>
        </w:rPr>
        <w:t> </w:t>
      </w:r>
      <w:r>
        <w:rPr/>
        <w:t>on how</w:t>
      </w:r>
      <w:r>
        <w:rPr>
          <w:spacing w:val="-9"/>
        </w:rPr>
        <w:t> </w:t>
      </w:r>
      <w:r>
        <w:rPr/>
        <w:t>to</w:t>
      </w:r>
      <w:r>
        <w:rPr>
          <w:spacing w:val="-7"/>
        </w:rPr>
        <w:t> </w:t>
      </w:r>
      <w:r>
        <w:rPr/>
        <w:t>treat</w:t>
      </w:r>
      <w:r>
        <w:rPr>
          <w:spacing w:val="-7"/>
        </w:rPr>
        <w:t> </w:t>
      </w:r>
      <w:r>
        <w:rPr/>
        <w:t>these</w:t>
      </w:r>
      <w:r>
        <w:rPr>
          <w:spacing w:val="-7"/>
        </w:rPr>
        <w:t> </w:t>
      </w:r>
      <w:r>
        <w:rPr/>
        <w:t>short</w:t>
      </w:r>
      <w:r>
        <w:rPr>
          <w:spacing w:val="-7"/>
        </w:rPr>
        <w:t> </w:t>
      </w:r>
      <w:r>
        <w:rPr/>
        <w:t>outages.</w:t>
      </w:r>
      <w:r>
        <w:rPr>
          <w:spacing w:val="-7"/>
        </w:rPr>
        <w:t> </w:t>
      </w:r>
      <w:r>
        <w:rPr/>
        <w:t>The</w:t>
      </w:r>
      <w:r>
        <w:rPr>
          <w:spacing w:val="-7"/>
        </w:rPr>
        <w:t> </w:t>
      </w:r>
      <w:r>
        <w:rPr/>
        <w:t>goal</w:t>
      </w:r>
      <w:r>
        <w:rPr>
          <w:spacing w:val="-8"/>
        </w:rPr>
        <w:t> </w:t>
      </w:r>
      <w:r>
        <w:rPr/>
        <w:t>of</w:t>
      </w:r>
      <w:r>
        <w:rPr>
          <w:spacing w:val="-6"/>
        </w:rPr>
        <w:t> </w:t>
      </w:r>
      <w:r>
        <w:rPr/>
        <w:t>this</w:t>
      </w:r>
      <w:r>
        <w:rPr>
          <w:spacing w:val="-7"/>
        </w:rPr>
        <w:t> </w:t>
      </w:r>
      <w:r>
        <w:rPr/>
        <w:t>document</w:t>
      </w:r>
      <w:r>
        <w:rPr>
          <w:spacing w:val="-7"/>
        </w:rPr>
        <w:t> </w:t>
      </w:r>
      <w:r>
        <w:rPr/>
        <w:t>is</w:t>
      </w:r>
      <w:r>
        <w:rPr>
          <w:spacing w:val="-7"/>
        </w:rPr>
        <w:t> </w:t>
      </w:r>
      <w:r>
        <w:rPr/>
        <w:t>to</w:t>
      </w:r>
      <w:r>
        <w:rPr>
          <w:spacing w:val="-10"/>
        </w:rPr>
        <w:t> </w:t>
      </w:r>
      <w:r>
        <w:rPr/>
        <w:t>make</w:t>
      </w:r>
      <w:r>
        <w:rPr>
          <w:spacing w:val="-7"/>
        </w:rPr>
        <w:t> </w:t>
      </w:r>
      <w:r>
        <w:rPr/>
        <w:t>a</w:t>
      </w:r>
      <w:r>
        <w:rPr>
          <w:spacing w:val="-7"/>
        </w:rPr>
        <w:t> </w:t>
      </w:r>
      <w:r>
        <w:rPr/>
        <w:t>wider</w:t>
      </w:r>
      <w:r>
        <w:rPr>
          <w:spacing w:val="-7"/>
        </w:rPr>
        <w:t> </w:t>
      </w:r>
      <w:r>
        <w:rPr/>
        <w:t>industry</w:t>
      </w:r>
      <w:r>
        <w:rPr>
          <w:spacing w:val="-10"/>
        </w:rPr>
        <w:t> </w:t>
      </w:r>
      <w:r>
        <w:rPr/>
        <w:t>audience</w:t>
      </w:r>
      <w:r>
        <w:rPr>
          <w:spacing w:val="-7"/>
        </w:rPr>
        <w:t> </w:t>
      </w:r>
      <w:r>
        <w:rPr/>
        <w:t>aware</w:t>
      </w:r>
      <w:r>
        <w:rPr>
          <w:spacing w:val="-7"/>
        </w:rPr>
        <w:t> </w:t>
      </w:r>
      <w:r>
        <w:rPr/>
        <w:t>of</w:t>
      </w:r>
      <w:r>
        <w:rPr>
          <w:spacing w:val="-6"/>
        </w:rPr>
        <w:t> </w:t>
      </w:r>
      <w:r>
        <w:rPr/>
        <w:t>this effect and promote discussion leading to a consensus. In this section, we report both the first time the PRR crosses 90% and the last time before the PRR deteriorates beyond</w:t>
      </w:r>
      <w:r>
        <w:rPr>
          <w:spacing w:val="-22"/>
        </w:rPr>
        <w:t> </w:t>
      </w:r>
      <w:r>
        <w:rPr/>
        <w:t>recovery.</w:t>
      </w:r>
    </w:p>
    <w:p>
      <w:pPr>
        <w:pStyle w:val="BodyText"/>
        <w:spacing w:before="180"/>
        <w:ind w:left="1133"/>
        <w:jc w:val="both"/>
      </w:pPr>
      <w:r>
        <w:rPr/>
        <w:t>The rest of this section presents test procedures and results for the following tests:</w:t>
      </w:r>
    </w:p>
    <w:p>
      <w:pPr>
        <w:pStyle w:val="ListParagraph"/>
        <w:numPr>
          <w:ilvl w:val="2"/>
          <w:numId w:val="43"/>
        </w:numPr>
        <w:tabs>
          <w:tab w:pos="1701" w:val="left" w:leader="none"/>
          <w:tab w:pos="1702" w:val="left" w:leader="none"/>
        </w:tabs>
        <w:spacing w:line="240" w:lineRule="auto" w:before="180" w:after="0"/>
        <w:ind w:left="1701" w:right="0" w:hanging="285"/>
        <w:jc w:val="left"/>
        <w:rPr>
          <w:sz w:val="20"/>
        </w:rPr>
      </w:pPr>
      <w:r>
        <w:rPr>
          <w:sz w:val="20"/>
        </w:rPr>
        <w:t>Range</w:t>
      </w:r>
    </w:p>
    <w:p>
      <w:pPr>
        <w:pStyle w:val="ListParagraph"/>
        <w:numPr>
          <w:ilvl w:val="3"/>
          <w:numId w:val="43"/>
        </w:numPr>
        <w:tabs>
          <w:tab w:pos="285" w:val="left" w:leader="none"/>
          <w:tab w:pos="1986" w:val="left" w:leader="none"/>
        </w:tabs>
        <w:spacing w:line="240" w:lineRule="auto" w:before="180" w:after="0"/>
        <w:ind w:left="1985" w:right="6499" w:hanging="286"/>
        <w:jc w:val="left"/>
        <w:rPr>
          <w:sz w:val="20"/>
        </w:rPr>
      </w:pPr>
      <w:r>
        <w:rPr>
          <w:sz w:val="20"/>
        </w:rPr>
        <w:t>Line-of-Sight</w:t>
      </w:r>
      <w:r>
        <w:rPr>
          <w:spacing w:val="-9"/>
          <w:sz w:val="20"/>
        </w:rPr>
        <w:t> </w:t>
      </w:r>
      <w:r>
        <w:rPr>
          <w:sz w:val="20"/>
        </w:rPr>
        <w:t>(LOS)</w:t>
      </w:r>
    </w:p>
    <w:p>
      <w:pPr>
        <w:pStyle w:val="ListParagraph"/>
        <w:numPr>
          <w:ilvl w:val="3"/>
          <w:numId w:val="43"/>
        </w:numPr>
        <w:tabs>
          <w:tab w:pos="1985" w:val="left" w:leader="none"/>
          <w:tab w:pos="1986" w:val="left" w:leader="none"/>
        </w:tabs>
        <w:spacing w:line="240" w:lineRule="auto" w:before="180" w:after="0"/>
        <w:ind w:left="1985" w:right="0" w:hanging="286"/>
        <w:jc w:val="left"/>
        <w:rPr>
          <w:sz w:val="20"/>
        </w:rPr>
      </w:pPr>
      <w:r>
        <w:rPr>
          <w:sz w:val="20"/>
        </w:rPr>
        <w:t>Non-Line-of-Sight</w:t>
      </w:r>
      <w:r>
        <w:rPr>
          <w:spacing w:val="-10"/>
          <w:sz w:val="20"/>
        </w:rPr>
        <w:t> </w:t>
      </w:r>
      <w:r>
        <w:rPr>
          <w:sz w:val="20"/>
        </w:rPr>
        <w:t>(NLOS)</w:t>
      </w:r>
    </w:p>
    <w:p>
      <w:pPr>
        <w:pStyle w:val="ListParagraph"/>
        <w:numPr>
          <w:ilvl w:val="4"/>
          <w:numId w:val="43"/>
        </w:numPr>
        <w:tabs>
          <w:tab w:pos="282" w:val="left" w:leader="none"/>
          <w:tab w:pos="2269" w:val="left" w:leader="none"/>
        </w:tabs>
        <w:spacing w:line="240" w:lineRule="auto" w:before="177" w:after="0"/>
        <w:ind w:left="2268" w:right="6664" w:hanging="283"/>
        <w:jc w:val="left"/>
        <w:rPr>
          <w:sz w:val="20"/>
        </w:rPr>
      </w:pPr>
      <w:r>
        <w:rPr>
          <w:sz w:val="20"/>
        </w:rPr>
        <w:t>Shadowing</w:t>
      </w:r>
    </w:p>
    <w:p>
      <w:pPr>
        <w:pStyle w:val="ListParagraph"/>
        <w:numPr>
          <w:ilvl w:val="4"/>
          <w:numId w:val="43"/>
        </w:numPr>
        <w:tabs>
          <w:tab w:pos="282" w:val="left" w:leader="none"/>
          <w:tab w:pos="2269" w:val="left" w:leader="none"/>
        </w:tabs>
        <w:spacing w:line="240" w:lineRule="auto" w:before="179" w:after="0"/>
        <w:ind w:left="2268" w:right="6619" w:hanging="283"/>
        <w:jc w:val="left"/>
        <w:rPr>
          <w:sz w:val="20"/>
        </w:rPr>
      </w:pPr>
      <w:r>
        <w:rPr>
          <w:sz w:val="20"/>
        </w:rPr>
        <w:t>Intersection</w:t>
      </w:r>
    </w:p>
    <w:p>
      <w:pPr>
        <w:pStyle w:val="ListParagraph"/>
        <w:numPr>
          <w:ilvl w:val="2"/>
          <w:numId w:val="43"/>
        </w:numPr>
        <w:tabs>
          <w:tab w:pos="1701" w:val="left" w:leader="none"/>
          <w:tab w:pos="1702" w:val="left" w:leader="none"/>
        </w:tabs>
        <w:spacing w:line="240" w:lineRule="auto" w:before="180" w:after="0"/>
        <w:ind w:left="1701" w:right="0" w:hanging="285"/>
        <w:jc w:val="left"/>
        <w:rPr>
          <w:sz w:val="20"/>
        </w:rPr>
      </w:pPr>
      <w:r>
        <w:rPr>
          <w:sz w:val="20"/>
        </w:rPr>
        <w:t>LOS interference from U-NII-3</w:t>
      </w:r>
      <w:r>
        <w:rPr>
          <w:spacing w:val="-12"/>
          <w:sz w:val="20"/>
        </w:rPr>
        <w:t> </w:t>
      </w:r>
      <w:r>
        <w:rPr>
          <w:sz w:val="20"/>
        </w:rPr>
        <w:t>band</w:t>
      </w:r>
    </w:p>
    <w:p>
      <w:pPr>
        <w:pStyle w:val="ListParagraph"/>
        <w:numPr>
          <w:ilvl w:val="2"/>
          <w:numId w:val="43"/>
        </w:numPr>
        <w:tabs>
          <w:tab w:pos="1701" w:val="left" w:leader="none"/>
          <w:tab w:pos="1702" w:val="left" w:leader="none"/>
        </w:tabs>
        <w:spacing w:line="240" w:lineRule="auto" w:before="180" w:after="0"/>
        <w:ind w:left="1701" w:right="0" w:hanging="285"/>
        <w:jc w:val="left"/>
        <w:rPr>
          <w:sz w:val="20"/>
        </w:rPr>
      </w:pPr>
      <w:r>
        <w:rPr>
          <w:sz w:val="20"/>
        </w:rPr>
        <w:t>LOS interference from adjacent</w:t>
      </w:r>
      <w:r>
        <w:rPr>
          <w:spacing w:val="-11"/>
          <w:sz w:val="20"/>
        </w:rPr>
        <w:t> </w:t>
      </w:r>
      <w:r>
        <w:rPr>
          <w:sz w:val="20"/>
        </w:rPr>
        <w:t>channel</w:t>
      </w:r>
    </w:p>
    <w:p>
      <w:pPr>
        <w:pStyle w:val="BodyText"/>
        <w:spacing w:before="1"/>
        <w:rPr>
          <w:sz w:val="31"/>
        </w:rPr>
      </w:pPr>
    </w:p>
    <w:p>
      <w:pPr>
        <w:pStyle w:val="Heading2"/>
        <w:numPr>
          <w:ilvl w:val="1"/>
          <w:numId w:val="43"/>
        </w:numPr>
        <w:tabs>
          <w:tab w:pos="2267" w:val="left" w:leader="none"/>
        </w:tabs>
        <w:spacing w:line="240" w:lineRule="auto" w:before="0" w:after="0"/>
        <w:ind w:left="2266" w:right="0" w:hanging="1133"/>
        <w:jc w:val="both"/>
      </w:pPr>
      <w:bookmarkStart w:name="_bookmark144" w:id="219"/>
      <w:bookmarkEnd w:id="219"/>
      <w:r>
        <w:rPr/>
      </w:r>
      <w:bookmarkStart w:name="_bookmark144" w:id="220"/>
      <w:bookmarkEnd w:id="220"/>
      <w:r>
        <w:rPr/>
        <w:t>Har</w:t>
      </w:r>
      <w:r>
        <w:rPr/>
        <w:t>dware</w:t>
      </w:r>
      <w:r>
        <w:rPr>
          <w:spacing w:val="-5"/>
        </w:rPr>
        <w:t> </w:t>
      </w:r>
      <w:r>
        <w:rPr/>
        <w:t>Setup</w:t>
      </w:r>
    </w:p>
    <w:p>
      <w:pPr>
        <w:pStyle w:val="BodyText"/>
        <w:spacing w:before="180"/>
        <w:ind w:left="1133" w:right="1129"/>
        <w:jc w:val="both"/>
      </w:pPr>
      <w:r>
        <w:rPr/>
        <w:t>Figure</w:t>
      </w:r>
      <w:r>
        <w:rPr>
          <w:spacing w:val="-9"/>
        </w:rPr>
        <w:t> </w:t>
      </w:r>
      <w:r>
        <w:rPr/>
        <w:t>34</w:t>
      </w:r>
      <w:r>
        <w:rPr>
          <w:spacing w:val="-9"/>
        </w:rPr>
        <w:t> </w:t>
      </w:r>
      <w:r>
        <w:rPr/>
        <w:t>shows</w:t>
      </w:r>
      <w:r>
        <w:rPr>
          <w:spacing w:val="-10"/>
        </w:rPr>
        <w:t> </w:t>
      </w:r>
      <w:r>
        <w:rPr/>
        <w:t>the</w:t>
      </w:r>
      <w:r>
        <w:rPr>
          <w:spacing w:val="-12"/>
        </w:rPr>
        <w:t> </w:t>
      </w:r>
      <w:r>
        <w:rPr/>
        <w:t>setup</w:t>
      </w:r>
      <w:r>
        <w:rPr>
          <w:spacing w:val="-8"/>
        </w:rPr>
        <w:t> </w:t>
      </w:r>
      <w:r>
        <w:rPr/>
        <w:t>of</w:t>
      </w:r>
      <w:r>
        <w:rPr>
          <w:spacing w:val="-10"/>
        </w:rPr>
        <w:t> </w:t>
      </w:r>
      <w:r>
        <w:rPr/>
        <w:t>the</w:t>
      </w:r>
      <w:r>
        <w:rPr>
          <w:spacing w:val="-12"/>
        </w:rPr>
        <w:t> </w:t>
      </w:r>
      <w:r>
        <w:rPr/>
        <w:t>transmitter</w:t>
      </w:r>
      <w:r>
        <w:rPr>
          <w:spacing w:val="-11"/>
        </w:rPr>
        <w:t> </w:t>
      </w:r>
      <w:r>
        <w:rPr/>
        <w:t>and</w:t>
      </w:r>
      <w:r>
        <w:rPr>
          <w:spacing w:val="-10"/>
        </w:rPr>
        <w:t> </w:t>
      </w:r>
      <w:r>
        <w:rPr/>
        <w:t>receiver.</w:t>
      </w:r>
      <w:r>
        <w:rPr>
          <w:spacing w:val="-11"/>
        </w:rPr>
        <w:t> </w:t>
      </w:r>
      <w:r>
        <w:rPr/>
        <w:t>The</w:t>
      </w:r>
      <w:r>
        <w:rPr>
          <w:spacing w:val="-12"/>
        </w:rPr>
        <w:t> </w:t>
      </w:r>
      <w:r>
        <w:rPr/>
        <w:t>connector</w:t>
      </w:r>
      <w:r>
        <w:rPr>
          <w:spacing w:val="-11"/>
        </w:rPr>
        <w:t> </w:t>
      </w:r>
      <w:r>
        <w:rPr/>
        <w:t>on</w:t>
      </w:r>
      <w:r>
        <w:rPr>
          <w:spacing w:val="-12"/>
        </w:rPr>
        <w:t> </w:t>
      </w:r>
      <w:r>
        <w:rPr/>
        <w:t>the</w:t>
      </w:r>
      <w:r>
        <w:rPr>
          <w:spacing w:val="-12"/>
        </w:rPr>
        <w:t> </w:t>
      </w:r>
      <w:r>
        <w:rPr/>
        <w:t>DSRC</w:t>
      </w:r>
      <w:r>
        <w:rPr>
          <w:spacing w:val="-11"/>
        </w:rPr>
        <w:t> </w:t>
      </w:r>
      <w:r>
        <w:rPr/>
        <w:t>OBU</w:t>
      </w:r>
      <w:r>
        <w:rPr>
          <w:spacing w:val="-9"/>
        </w:rPr>
        <w:t> </w:t>
      </w:r>
      <w:r>
        <w:rPr>
          <w:spacing w:val="2"/>
        </w:rPr>
        <w:t>was</w:t>
      </w:r>
      <w:r>
        <w:rPr>
          <w:spacing w:val="-11"/>
        </w:rPr>
        <w:t> </w:t>
      </w:r>
      <w:r>
        <w:rPr/>
        <w:t>FAKRA</w:t>
      </w:r>
      <w:r>
        <w:rPr>
          <w:spacing w:val="-12"/>
        </w:rPr>
        <w:t> </w:t>
      </w:r>
      <w:r>
        <w:rPr/>
        <w:t>Type Z with a 6’’ SMA cable. The connector on the C-V2X OBU was Quad FAKRA with a 2’’ SMA cable. One antenna was used for transmission and two antennas for reception (1Tx 2Rx configuration). The effective transmit power was varied by changing both attenuators simultaneously at the primary and the secondary ports. The sum of the attenuator values at the transmit and receive sides represents the effective transmit power reduction (10 dB and 16 dB total path loss increase for 5 dB and 8 dB attenuator values,</w:t>
      </w:r>
      <w:r>
        <w:rPr>
          <w:spacing w:val="-26"/>
        </w:rPr>
        <w:t> </w:t>
      </w:r>
      <w:r>
        <w:rPr/>
        <w:t>respectively).</w:t>
      </w:r>
    </w:p>
    <w:p>
      <w:pPr>
        <w:pStyle w:val="BodyText"/>
        <w:spacing w:before="6"/>
        <w:rPr>
          <w:sz w:val="17"/>
        </w:rPr>
      </w:pPr>
      <w:r>
        <w:rPr/>
        <w:drawing>
          <wp:anchor distT="0" distB="0" distL="0" distR="0" allowOverlap="1" layoutInCell="1" locked="0" behindDoc="0" simplePos="0" relativeHeight="7624">
            <wp:simplePos x="0" y="0"/>
            <wp:positionH relativeFrom="page">
              <wp:posOffset>719455</wp:posOffset>
            </wp:positionH>
            <wp:positionV relativeFrom="paragraph">
              <wp:posOffset>153315</wp:posOffset>
            </wp:positionV>
            <wp:extent cx="5257100" cy="1924812"/>
            <wp:effectExtent l="0" t="0" r="0" b="0"/>
            <wp:wrapTopAndBottom/>
            <wp:docPr id="75" name="image139.png" descr=""/>
            <wp:cNvGraphicFramePr>
              <a:graphicFrameLocks noChangeAspect="1"/>
            </wp:cNvGraphicFramePr>
            <a:graphic>
              <a:graphicData uri="http://schemas.openxmlformats.org/drawingml/2006/picture">
                <pic:pic>
                  <pic:nvPicPr>
                    <pic:cNvPr id="76" name="image139.png"/>
                    <pic:cNvPicPr/>
                  </pic:nvPicPr>
                  <pic:blipFill>
                    <a:blip r:embed="rId327" cstate="print"/>
                    <a:stretch>
                      <a:fillRect/>
                    </a:stretch>
                  </pic:blipFill>
                  <pic:spPr>
                    <a:xfrm>
                      <a:off x="0" y="0"/>
                      <a:ext cx="5257100" cy="1924812"/>
                    </a:xfrm>
                    <a:prstGeom prst="rect">
                      <a:avLst/>
                    </a:prstGeom>
                  </pic:spPr>
                </pic:pic>
              </a:graphicData>
            </a:graphic>
          </wp:anchor>
        </w:drawing>
      </w:r>
    </w:p>
    <w:p>
      <w:pPr>
        <w:pStyle w:val="BodyText"/>
        <w:spacing w:before="6"/>
        <w:rPr>
          <w:sz w:val="23"/>
        </w:rPr>
      </w:pPr>
    </w:p>
    <w:p>
      <w:pPr>
        <w:pStyle w:val="Heading4"/>
        <w:jc w:val="both"/>
      </w:pPr>
      <w:r>
        <w:rPr/>
        <w:t>Figure 34: Transmitter and receiver setup</w:t>
      </w:r>
    </w:p>
    <w:p>
      <w:pPr>
        <w:pStyle w:val="BodyText"/>
        <w:rPr>
          <w:b/>
          <w:sz w:val="26"/>
        </w:rPr>
      </w:pPr>
    </w:p>
    <w:p>
      <w:pPr>
        <w:pStyle w:val="BodyText"/>
        <w:spacing w:before="182"/>
        <w:ind w:left="1133" w:right="1134"/>
        <w:jc w:val="both"/>
      </w:pPr>
      <w:r>
        <w:rPr/>
        <w:t>In</w:t>
      </w:r>
      <w:r>
        <w:rPr>
          <w:spacing w:val="-14"/>
        </w:rPr>
        <w:t> </w:t>
      </w:r>
      <w:r>
        <w:rPr/>
        <w:t>the</w:t>
      </w:r>
      <w:r>
        <w:rPr>
          <w:spacing w:val="-12"/>
        </w:rPr>
        <w:t> </w:t>
      </w:r>
      <w:r>
        <w:rPr/>
        <w:t>field</w:t>
      </w:r>
      <w:r>
        <w:rPr>
          <w:spacing w:val="-12"/>
        </w:rPr>
        <w:t> </w:t>
      </w:r>
      <w:r>
        <w:rPr/>
        <w:t>tests</w:t>
      </w:r>
      <w:r>
        <w:rPr>
          <w:spacing w:val="-13"/>
        </w:rPr>
        <w:t> </w:t>
      </w:r>
      <w:r>
        <w:rPr/>
        <w:t>both</w:t>
      </w:r>
      <w:r>
        <w:rPr>
          <w:spacing w:val="-14"/>
        </w:rPr>
        <w:t> </w:t>
      </w:r>
      <w:r>
        <w:rPr/>
        <w:t>OBUs</w:t>
      </w:r>
      <w:r>
        <w:rPr>
          <w:spacing w:val="-10"/>
        </w:rPr>
        <w:t> </w:t>
      </w:r>
      <w:r>
        <w:rPr/>
        <w:t>were</w:t>
      </w:r>
      <w:r>
        <w:rPr>
          <w:spacing w:val="-14"/>
        </w:rPr>
        <w:t> </w:t>
      </w:r>
      <w:r>
        <w:rPr/>
        <w:t>transmitting</w:t>
      </w:r>
      <w:r>
        <w:rPr>
          <w:spacing w:val="-12"/>
        </w:rPr>
        <w:t> </w:t>
      </w:r>
      <w:r>
        <w:rPr/>
        <w:t>and</w:t>
      </w:r>
      <w:r>
        <w:rPr>
          <w:spacing w:val="-14"/>
        </w:rPr>
        <w:t> </w:t>
      </w:r>
      <w:r>
        <w:rPr/>
        <w:t>receiving</w:t>
      </w:r>
      <w:r>
        <w:rPr>
          <w:spacing w:val="-12"/>
        </w:rPr>
        <w:t> </w:t>
      </w:r>
      <w:r>
        <w:rPr/>
        <w:t>at</w:t>
      </w:r>
      <w:r>
        <w:rPr>
          <w:spacing w:val="-12"/>
        </w:rPr>
        <w:t> </w:t>
      </w:r>
      <w:r>
        <w:rPr/>
        <w:t>the</w:t>
      </w:r>
      <w:r>
        <w:rPr>
          <w:spacing w:val="-12"/>
        </w:rPr>
        <w:t> </w:t>
      </w:r>
      <w:r>
        <w:rPr/>
        <w:t>same</w:t>
      </w:r>
      <w:r>
        <w:rPr>
          <w:spacing w:val="-14"/>
        </w:rPr>
        <w:t> </w:t>
      </w:r>
      <w:r>
        <w:rPr/>
        <w:t>time.</w:t>
      </w:r>
      <w:r>
        <w:rPr>
          <w:spacing w:val="-14"/>
        </w:rPr>
        <w:t> </w:t>
      </w:r>
      <w:r>
        <w:rPr/>
        <w:t>As</w:t>
      </w:r>
      <w:r>
        <w:rPr>
          <w:spacing w:val="-10"/>
        </w:rPr>
        <w:t> </w:t>
      </w:r>
      <w:r>
        <w:rPr/>
        <w:t>discussed,</w:t>
      </w:r>
      <w:r>
        <w:rPr>
          <w:spacing w:val="-14"/>
        </w:rPr>
        <w:t> </w:t>
      </w:r>
      <w:r>
        <w:rPr/>
        <w:t>all</w:t>
      </w:r>
      <w:r>
        <w:rPr>
          <w:spacing w:val="-12"/>
        </w:rPr>
        <w:t> </w:t>
      </w:r>
      <w:r>
        <w:rPr/>
        <w:t>three</w:t>
      </w:r>
      <w:r>
        <w:rPr>
          <w:spacing w:val="-12"/>
        </w:rPr>
        <w:t> </w:t>
      </w:r>
      <w:r>
        <w:rPr/>
        <w:t>antennas: primary (Tx and Rx), secondary (Rx only) and GPS, were placed on the roof. The OBUs are connected to a power supply, CAN connector, and a laptop for test control and data</w:t>
      </w:r>
      <w:r>
        <w:rPr>
          <w:spacing w:val="-28"/>
        </w:rPr>
        <w:t> </w:t>
      </w:r>
      <w:r>
        <w:rPr/>
        <w:t>logging.</w:t>
      </w:r>
    </w:p>
    <w:p>
      <w:pPr>
        <w:pStyle w:val="BodyText"/>
        <w:spacing w:before="180"/>
        <w:ind w:left="1133" w:right="1128"/>
        <w:jc w:val="both"/>
      </w:pPr>
      <w:r>
        <w:rPr/>
        <w:t>Each OBU has a primary antenna port to transmit the RF signal out of the unit. The antenna port connectors are different for each technology and are shown in Table 28. In Figure 35, we show the link power budget for both technologies for the field test. Assuming the same antenna cabling and gain used for both technologies (same car), the only variable component is the antenna connector with a short SMA-terminated cable. We measured transmit power at the output of each connector/cable as shown in the table in Figure 35. section</w:t>
      </w:r>
    </w:p>
    <w:p>
      <w:pPr>
        <w:pStyle w:val="BodyText"/>
        <w:ind w:left="1133" w:right="1137"/>
        <w:jc w:val="both"/>
      </w:pPr>
      <w:r>
        <w:rPr/>
        <w:t>7.1.2 described the measurement technique. Based on the connector loss values and the requirement to guarantee</w:t>
      </w:r>
      <w:r>
        <w:rPr>
          <w:spacing w:val="-13"/>
        </w:rPr>
        <w:t> </w:t>
      </w:r>
      <w:r>
        <w:rPr/>
        <w:t>the</w:t>
      </w:r>
      <w:r>
        <w:rPr>
          <w:spacing w:val="-14"/>
        </w:rPr>
        <w:t> </w:t>
      </w:r>
      <w:r>
        <w:rPr/>
        <w:t>same</w:t>
      </w:r>
      <w:r>
        <w:rPr>
          <w:spacing w:val="-14"/>
        </w:rPr>
        <w:t> </w:t>
      </w:r>
      <w:r>
        <w:rPr/>
        <w:t>end-to-end</w:t>
      </w:r>
      <w:r>
        <w:rPr>
          <w:spacing w:val="-13"/>
        </w:rPr>
        <w:t> </w:t>
      </w:r>
      <w:r>
        <w:rPr/>
        <w:t>loss</w:t>
      </w:r>
      <w:r>
        <w:rPr>
          <w:spacing w:val="-13"/>
        </w:rPr>
        <w:t> </w:t>
      </w:r>
      <w:r>
        <w:rPr/>
        <w:t>conditions</w:t>
      </w:r>
      <w:r>
        <w:rPr>
          <w:spacing w:val="-13"/>
        </w:rPr>
        <w:t> </w:t>
      </w:r>
      <w:r>
        <w:rPr/>
        <w:t>for</w:t>
      </w:r>
      <w:r>
        <w:rPr>
          <w:spacing w:val="-13"/>
        </w:rPr>
        <w:t> </w:t>
      </w:r>
      <w:r>
        <w:rPr/>
        <w:t>comparative</w:t>
      </w:r>
      <w:r>
        <w:rPr>
          <w:spacing w:val="-13"/>
        </w:rPr>
        <w:t> </w:t>
      </w:r>
      <w:r>
        <w:rPr/>
        <w:t>testing,</w:t>
      </w:r>
      <w:r>
        <w:rPr>
          <w:spacing w:val="-13"/>
        </w:rPr>
        <w:t> </w:t>
      </w:r>
      <w:r>
        <w:rPr/>
        <w:t>we</w:t>
      </w:r>
      <w:r>
        <w:rPr>
          <w:spacing w:val="-13"/>
        </w:rPr>
        <w:t> </w:t>
      </w:r>
      <w:r>
        <w:rPr/>
        <w:t>set</w:t>
      </w:r>
      <w:r>
        <w:rPr>
          <w:spacing w:val="-14"/>
        </w:rPr>
        <w:t> </w:t>
      </w:r>
      <w:r>
        <w:rPr/>
        <w:t>the</w:t>
      </w:r>
      <w:r>
        <w:rPr>
          <w:spacing w:val="-13"/>
        </w:rPr>
        <w:t> </w:t>
      </w:r>
      <w:r>
        <w:rPr/>
        <w:t>transmit</w:t>
      </w:r>
      <w:r>
        <w:rPr>
          <w:spacing w:val="-14"/>
        </w:rPr>
        <w:t> </w:t>
      </w:r>
      <w:r>
        <w:rPr/>
        <w:t>power</w:t>
      </w:r>
      <w:r>
        <w:rPr>
          <w:spacing w:val="-12"/>
        </w:rPr>
        <w:t> </w:t>
      </w:r>
      <w:r>
        <w:rPr/>
        <w:t>of</w:t>
      </w:r>
      <w:r>
        <w:rPr>
          <w:spacing w:val="-13"/>
        </w:rPr>
        <w:t> </w:t>
      </w:r>
      <w:r>
        <w:rPr/>
        <w:t>the</w:t>
      </w:r>
      <w:r>
        <w:rPr>
          <w:spacing w:val="-13"/>
        </w:rPr>
        <w:t> </w:t>
      </w:r>
      <w:r>
        <w:rPr/>
        <w:t>DSRC OBU to 23 dBm. This gives a 0.8 dB to DSRC units at the receive antenna ports. </w:t>
      </w:r>
      <w:r>
        <w:rPr>
          <w:spacing w:val="4"/>
        </w:rPr>
        <w:t>We </w:t>
      </w:r>
      <w:r>
        <w:rPr/>
        <w:t>believe that this small difference is within measurement error of the test and should not affect the conclusions of the</w:t>
      </w:r>
      <w:r>
        <w:rPr>
          <w:spacing w:val="-27"/>
        </w:rPr>
        <w:t> </w:t>
      </w:r>
      <w:r>
        <w:rPr/>
        <w:t>test.</w:t>
      </w:r>
    </w:p>
    <w:p>
      <w:pPr>
        <w:spacing w:after="0"/>
        <w:jc w:val="both"/>
        <w:sectPr>
          <w:headerReference w:type="default" r:id="rId325"/>
          <w:footerReference w:type="default" r:id="rId326"/>
          <w:pgSz w:w="11910" w:h="16850"/>
          <w:pgMar w:header="852" w:footer="979" w:top="1040" w:bottom="1160" w:left="0" w:right="0"/>
        </w:sectPr>
      </w:pPr>
    </w:p>
    <w:p>
      <w:pPr>
        <w:pStyle w:val="BodyText"/>
        <w:rPr>
          <w:sz w:val="23"/>
        </w:rPr>
      </w:pPr>
    </w:p>
    <w:p>
      <w:pPr>
        <w:pStyle w:val="Heading7"/>
        <w:spacing w:before="93"/>
      </w:pPr>
      <w:r>
        <w:rPr/>
        <w:t>Table 28: Antenna connectors and cables with illustrations</w:t>
      </w:r>
    </w:p>
    <w:p>
      <w:pPr>
        <w:pStyle w:val="BodyText"/>
        <w:spacing w:before="2"/>
        <w:rPr>
          <w:b/>
          <w:sz w:val="16"/>
        </w:rPr>
      </w:pPr>
    </w:p>
    <w:tbl>
      <w:tblPr>
        <w:tblW w:w="0" w:type="auto"/>
        <w:jc w:val="left"/>
        <w:tblInd w:w="2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1"/>
        <w:gridCol w:w="1980"/>
        <w:gridCol w:w="1169"/>
        <w:gridCol w:w="1356"/>
      </w:tblGrid>
      <w:tr>
        <w:trPr>
          <w:trHeight w:val="216" w:hRule="exact"/>
        </w:trPr>
        <w:tc>
          <w:tcPr>
            <w:tcW w:w="1621" w:type="dxa"/>
          </w:tcPr>
          <w:p>
            <w:pPr>
              <w:pStyle w:val="TableParagraph"/>
              <w:spacing w:line="201" w:lineRule="exact"/>
              <w:rPr>
                <w:b/>
                <w:sz w:val="18"/>
              </w:rPr>
            </w:pPr>
            <w:r>
              <w:rPr>
                <w:b/>
                <w:sz w:val="18"/>
              </w:rPr>
              <w:t>Technology</w:t>
            </w:r>
          </w:p>
        </w:tc>
        <w:tc>
          <w:tcPr>
            <w:tcW w:w="1980" w:type="dxa"/>
          </w:tcPr>
          <w:p>
            <w:pPr>
              <w:pStyle w:val="TableParagraph"/>
              <w:spacing w:line="201" w:lineRule="exact"/>
              <w:rPr>
                <w:b/>
                <w:sz w:val="18"/>
              </w:rPr>
            </w:pPr>
            <w:r>
              <w:rPr>
                <w:b/>
                <w:sz w:val="18"/>
              </w:rPr>
              <w:t>Connector</w:t>
            </w:r>
          </w:p>
        </w:tc>
        <w:tc>
          <w:tcPr>
            <w:tcW w:w="1169" w:type="dxa"/>
          </w:tcPr>
          <w:p>
            <w:pPr>
              <w:pStyle w:val="TableParagraph"/>
              <w:spacing w:line="201" w:lineRule="exact"/>
              <w:rPr>
                <w:b/>
                <w:sz w:val="18"/>
              </w:rPr>
            </w:pPr>
            <w:r>
              <w:rPr>
                <w:b/>
                <w:sz w:val="18"/>
              </w:rPr>
              <w:t>Loss</w:t>
            </w:r>
          </w:p>
        </w:tc>
        <w:tc>
          <w:tcPr>
            <w:tcW w:w="1356" w:type="dxa"/>
          </w:tcPr>
          <w:p>
            <w:pPr/>
          </w:p>
        </w:tc>
      </w:tr>
      <w:tr>
        <w:trPr>
          <w:trHeight w:val="799" w:hRule="exact"/>
        </w:trPr>
        <w:tc>
          <w:tcPr>
            <w:tcW w:w="1621" w:type="dxa"/>
          </w:tcPr>
          <w:p>
            <w:pPr>
              <w:pStyle w:val="TableParagraph"/>
              <w:rPr>
                <w:sz w:val="18"/>
              </w:rPr>
            </w:pPr>
            <w:r>
              <w:rPr>
                <w:sz w:val="18"/>
              </w:rPr>
              <w:t>C-V2X</w:t>
            </w:r>
          </w:p>
        </w:tc>
        <w:tc>
          <w:tcPr>
            <w:tcW w:w="1980" w:type="dxa"/>
          </w:tcPr>
          <w:p>
            <w:pPr>
              <w:pStyle w:val="TableParagraph"/>
              <w:rPr>
                <w:sz w:val="18"/>
              </w:rPr>
            </w:pPr>
            <w:r>
              <w:rPr>
                <w:sz w:val="18"/>
              </w:rPr>
              <w:t>Quad FAKRA</w:t>
            </w:r>
          </w:p>
        </w:tc>
        <w:tc>
          <w:tcPr>
            <w:tcW w:w="1169" w:type="dxa"/>
          </w:tcPr>
          <w:p>
            <w:pPr>
              <w:pStyle w:val="TableParagraph"/>
              <w:rPr>
                <w:sz w:val="18"/>
              </w:rPr>
            </w:pPr>
            <w:r>
              <w:rPr>
                <w:sz w:val="18"/>
              </w:rPr>
              <w:t>0.4 dB</w:t>
            </w:r>
          </w:p>
        </w:tc>
        <w:tc>
          <w:tcPr>
            <w:tcW w:w="1356" w:type="dxa"/>
          </w:tcPr>
          <w:p>
            <w:pPr>
              <w:pStyle w:val="TableParagraph"/>
              <w:spacing w:line="240" w:lineRule="auto"/>
              <w:ind w:left="101"/>
              <w:rPr>
                <w:sz w:val="20"/>
              </w:rPr>
            </w:pPr>
            <w:r>
              <w:rPr>
                <w:sz w:val="20"/>
              </w:rPr>
              <w:drawing>
                <wp:inline distT="0" distB="0" distL="0" distR="0">
                  <wp:extent cx="536494" cy="384048"/>
                  <wp:effectExtent l="0" t="0" r="0" b="0"/>
                  <wp:docPr id="79" name="image140.jpeg" descr=""/>
                  <wp:cNvGraphicFramePr>
                    <a:graphicFrameLocks noChangeAspect="1"/>
                  </wp:cNvGraphicFramePr>
                  <a:graphic>
                    <a:graphicData uri="http://schemas.openxmlformats.org/drawingml/2006/picture">
                      <pic:pic>
                        <pic:nvPicPr>
                          <pic:cNvPr id="80" name="image140.jpeg"/>
                          <pic:cNvPicPr/>
                        </pic:nvPicPr>
                        <pic:blipFill>
                          <a:blip r:embed="rId330" cstate="print"/>
                          <a:stretch>
                            <a:fillRect/>
                          </a:stretch>
                        </pic:blipFill>
                        <pic:spPr>
                          <a:xfrm>
                            <a:off x="0" y="0"/>
                            <a:ext cx="536494" cy="384048"/>
                          </a:xfrm>
                          <a:prstGeom prst="rect">
                            <a:avLst/>
                          </a:prstGeom>
                        </pic:spPr>
                      </pic:pic>
                    </a:graphicData>
                  </a:graphic>
                </wp:inline>
              </w:drawing>
            </w:r>
            <w:r>
              <w:rPr>
                <w:sz w:val="20"/>
              </w:rPr>
            </w:r>
          </w:p>
          <w:p>
            <w:pPr>
              <w:pStyle w:val="TableParagraph"/>
              <w:spacing w:line="240" w:lineRule="auto"/>
              <w:ind w:left="0"/>
              <w:rPr>
                <w:b/>
                <w:sz w:val="16"/>
              </w:rPr>
            </w:pPr>
          </w:p>
        </w:tc>
      </w:tr>
      <w:tr>
        <w:trPr>
          <w:trHeight w:val="686" w:hRule="exact"/>
        </w:trPr>
        <w:tc>
          <w:tcPr>
            <w:tcW w:w="1621" w:type="dxa"/>
          </w:tcPr>
          <w:p>
            <w:pPr>
              <w:pStyle w:val="TableParagraph"/>
              <w:rPr>
                <w:sz w:val="18"/>
              </w:rPr>
            </w:pPr>
            <w:r>
              <w:rPr>
                <w:sz w:val="18"/>
              </w:rPr>
              <w:t>DSRC</w:t>
            </w:r>
          </w:p>
        </w:tc>
        <w:tc>
          <w:tcPr>
            <w:tcW w:w="1980" w:type="dxa"/>
          </w:tcPr>
          <w:p>
            <w:pPr>
              <w:pStyle w:val="TableParagraph"/>
              <w:rPr>
                <w:sz w:val="18"/>
              </w:rPr>
            </w:pPr>
            <w:r>
              <w:rPr>
                <w:sz w:val="18"/>
              </w:rPr>
              <w:t>FAKRA Type Z</w:t>
            </w:r>
          </w:p>
        </w:tc>
        <w:tc>
          <w:tcPr>
            <w:tcW w:w="1169" w:type="dxa"/>
          </w:tcPr>
          <w:p>
            <w:pPr>
              <w:pStyle w:val="TableParagraph"/>
              <w:rPr>
                <w:sz w:val="18"/>
              </w:rPr>
            </w:pPr>
            <w:r>
              <w:rPr>
                <w:sz w:val="18"/>
              </w:rPr>
              <w:t>1.0 dB</w:t>
            </w:r>
          </w:p>
        </w:tc>
        <w:tc>
          <w:tcPr>
            <w:tcW w:w="1356" w:type="dxa"/>
          </w:tcPr>
          <w:p>
            <w:pPr>
              <w:pStyle w:val="TableParagraph"/>
              <w:spacing w:line="240" w:lineRule="auto"/>
              <w:ind w:left="101"/>
              <w:rPr>
                <w:sz w:val="20"/>
              </w:rPr>
            </w:pPr>
            <w:r>
              <w:rPr>
                <w:sz w:val="20"/>
              </w:rPr>
              <w:drawing>
                <wp:inline distT="0" distB="0" distL="0" distR="0">
                  <wp:extent cx="536981" cy="310896"/>
                  <wp:effectExtent l="0" t="0" r="0" b="0"/>
                  <wp:docPr id="81" name="image141.jpeg" descr=""/>
                  <wp:cNvGraphicFramePr>
                    <a:graphicFrameLocks noChangeAspect="1"/>
                  </wp:cNvGraphicFramePr>
                  <a:graphic>
                    <a:graphicData uri="http://schemas.openxmlformats.org/drawingml/2006/picture">
                      <pic:pic>
                        <pic:nvPicPr>
                          <pic:cNvPr id="82" name="image141.jpeg"/>
                          <pic:cNvPicPr/>
                        </pic:nvPicPr>
                        <pic:blipFill>
                          <a:blip r:embed="rId331" cstate="print"/>
                          <a:stretch>
                            <a:fillRect/>
                          </a:stretch>
                        </pic:blipFill>
                        <pic:spPr>
                          <a:xfrm>
                            <a:off x="0" y="0"/>
                            <a:ext cx="536981" cy="310896"/>
                          </a:xfrm>
                          <a:prstGeom prst="rect">
                            <a:avLst/>
                          </a:prstGeom>
                        </pic:spPr>
                      </pic:pic>
                    </a:graphicData>
                  </a:graphic>
                </wp:inline>
              </w:drawing>
            </w:r>
            <w:r>
              <w:rPr>
                <w:sz w:val="20"/>
              </w:rPr>
            </w:r>
          </w:p>
          <w:p>
            <w:pPr>
              <w:pStyle w:val="TableParagraph"/>
              <w:spacing w:line="240" w:lineRule="auto" w:before="2"/>
              <w:ind w:left="0"/>
              <w:rPr>
                <w:b/>
                <w:sz w:val="16"/>
              </w:rPr>
            </w:pPr>
          </w:p>
        </w:tc>
      </w:tr>
    </w:tbl>
    <w:p>
      <w:pPr>
        <w:pStyle w:val="BodyText"/>
        <w:rPr>
          <w:b/>
        </w:rPr>
      </w:pPr>
    </w:p>
    <w:p>
      <w:pPr>
        <w:pStyle w:val="BodyText"/>
        <w:rPr>
          <w:b/>
        </w:rPr>
      </w:pPr>
    </w:p>
    <w:p>
      <w:pPr>
        <w:pStyle w:val="BodyText"/>
        <w:rPr>
          <w:b/>
        </w:rPr>
      </w:pPr>
    </w:p>
    <w:p>
      <w:pPr>
        <w:pStyle w:val="BodyText"/>
        <w:rPr>
          <w:b/>
          <w:sz w:val="13"/>
        </w:rPr>
      </w:pPr>
      <w:r>
        <w:rPr/>
        <w:drawing>
          <wp:anchor distT="0" distB="0" distL="0" distR="0" allowOverlap="1" layoutInCell="1" locked="0" behindDoc="0" simplePos="0" relativeHeight="7648">
            <wp:simplePos x="0" y="0"/>
            <wp:positionH relativeFrom="page">
              <wp:posOffset>719455</wp:posOffset>
            </wp:positionH>
            <wp:positionV relativeFrom="paragraph">
              <wp:posOffset>120052</wp:posOffset>
            </wp:positionV>
            <wp:extent cx="5797021" cy="2002536"/>
            <wp:effectExtent l="0" t="0" r="0" b="0"/>
            <wp:wrapTopAndBottom/>
            <wp:docPr id="83" name="image142.png" descr=""/>
            <wp:cNvGraphicFramePr>
              <a:graphicFrameLocks noChangeAspect="1"/>
            </wp:cNvGraphicFramePr>
            <a:graphic>
              <a:graphicData uri="http://schemas.openxmlformats.org/drawingml/2006/picture">
                <pic:pic>
                  <pic:nvPicPr>
                    <pic:cNvPr id="84" name="image142.png"/>
                    <pic:cNvPicPr/>
                  </pic:nvPicPr>
                  <pic:blipFill>
                    <a:blip r:embed="rId332" cstate="print"/>
                    <a:stretch>
                      <a:fillRect/>
                    </a:stretch>
                  </pic:blipFill>
                  <pic:spPr>
                    <a:xfrm>
                      <a:off x="0" y="0"/>
                      <a:ext cx="5797021" cy="2002536"/>
                    </a:xfrm>
                    <a:prstGeom prst="rect">
                      <a:avLst/>
                    </a:prstGeom>
                  </pic:spPr>
                </pic:pic>
              </a:graphicData>
            </a:graphic>
          </wp:anchor>
        </w:drawing>
      </w:r>
    </w:p>
    <w:p>
      <w:pPr>
        <w:pStyle w:val="BodyText"/>
        <w:spacing w:before="9"/>
        <w:rPr>
          <w:b/>
          <w:sz w:val="23"/>
        </w:rPr>
      </w:pPr>
    </w:p>
    <w:p>
      <w:pPr>
        <w:spacing w:before="0"/>
        <w:ind w:left="1133" w:right="0" w:firstLine="0"/>
        <w:jc w:val="left"/>
        <w:rPr>
          <w:b/>
          <w:sz w:val="24"/>
        </w:rPr>
      </w:pPr>
      <w:r>
        <w:rPr>
          <w:b/>
          <w:sz w:val="24"/>
        </w:rPr>
        <w:t>Figure 35: Link budget for the two technologies</w:t>
      </w:r>
    </w:p>
    <w:p>
      <w:pPr>
        <w:spacing w:after="0"/>
        <w:jc w:val="left"/>
        <w:rPr>
          <w:sz w:val="24"/>
        </w:rPr>
        <w:sectPr>
          <w:headerReference w:type="default" r:id="rId328"/>
          <w:footerReference w:type="default" r:id="rId329"/>
          <w:pgSz w:w="11910" w:h="16850"/>
          <w:pgMar w:header="852" w:footer="876" w:top="1040" w:bottom="1060" w:left="0" w:right="0"/>
          <w:pgNumType w:start="71"/>
        </w:sectPr>
      </w:pPr>
    </w:p>
    <w:p>
      <w:pPr>
        <w:pStyle w:val="BodyText"/>
        <w:spacing w:before="4"/>
        <w:rPr>
          <w:b/>
          <w:sz w:val="23"/>
        </w:rPr>
      </w:pPr>
    </w:p>
    <w:p>
      <w:pPr>
        <w:pStyle w:val="Heading2"/>
        <w:numPr>
          <w:ilvl w:val="1"/>
          <w:numId w:val="44"/>
        </w:numPr>
        <w:tabs>
          <w:tab w:pos="1703" w:val="left" w:leader="none"/>
        </w:tabs>
        <w:spacing w:line="240" w:lineRule="auto" w:before="89" w:after="0"/>
        <w:ind w:left="1702" w:right="0" w:hanging="569"/>
        <w:jc w:val="both"/>
      </w:pPr>
      <w:bookmarkStart w:name="_bookmark145" w:id="221"/>
      <w:bookmarkEnd w:id="221"/>
      <w:r>
        <w:rPr/>
      </w:r>
      <w:bookmarkStart w:name="_bookmark145" w:id="222"/>
      <w:bookmarkEnd w:id="222"/>
      <w:r>
        <w:rPr/>
        <w:t>Fie</w:t>
      </w:r>
      <w:r>
        <w:rPr/>
        <w:t>ld Test</w:t>
      </w:r>
      <w:r>
        <w:rPr>
          <w:spacing w:val="-6"/>
        </w:rPr>
        <w:t> </w:t>
      </w:r>
      <w:r>
        <w:rPr/>
        <w:t>Parameters</w:t>
      </w:r>
    </w:p>
    <w:p>
      <w:pPr>
        <w:pStyle w:val="BodyText"/>
        <w:spacing w:before="180"/>
        <w:ind w:left="1133"/>
        <w:jc w:val="both"/>
      </w:pPr>
      <w:r>
        <w:rPr/>
        <w:t>As Section 6.1 describes, the OBUs used in the tests are:</w:t>
      </w:r>
    </w:p>
    <w:p>
      <w:pPr>
        <w:pStyle w:val="ListParagraph"/>
        <w:numPr>
          <w:ilvl w:val="2"/>
          <w:numId w:val="44"/>
        </w:numPr>
        <w:tabs>
          <w:tab w:pos="1701" w:val="left" w:leader="none"/>
          <w:tab w:pos="1702" w:val="left" w:leader="none"/>
        </w:tabs>
        <w:spacing w:line="240" w:lineRule="auto" w:before="179" w:after="0"/>
        <w:ind w:left="1701" w:right="0" w:hanging="285"/>
        <w:jc w:val="left"/>
        <w:rPr>
          <w:sz w:val="20"/>
        </w:rPr>
      </w:pPr>
      <w:r>
        <w:rPr>
          <w:sz w:val="20"/>
        </w:rPr>
        <w:t>Savari MW1000</w:t>
      </w:r>
      <w:r>
        <w:rPr>
          <w:spacing w:val="-9"/>
          <w:sz w:val="20"/>
        </w:rPr>
        <w:t> </w:t>
      </w:r>
      <w:r>
        <w:rPr>
          <w:sz w:val="20"/>
        </w:rPr>
        <w:t>(DSRC)</w:t>
      </w:r>
    </w:p>
    <w:p>
      <w:pPr>
        <w:pStyle w:val="ListParagraph"/>
        <w:numPr>
          <w:ilvl w:val="2"/>
          <w:numId w:val="44"/>
        </w:numPr>
        <w:tabs>
          <w:tab w:pos="1701" w:val="left" w:leader="none"/>
          <w:tab w:pos="1702" w:val="left" w:leader="none"/>
        </w:tabs>
        <w:spacing w:line="240" w:lineRule="auto" w:before="179" w:after="0"/>
        <w:ind w:left="1701" w:right="0" w:hanging="285"/>
        <w:jc w:val="left"/>
        <w:rPr>
          <w:sz w:val="20"/>
        </w:rPr>
      </w:pPr>
      <w:r>
        <w:rPr>
          <w:sz w:val="20"/>
        </w:rPr>
        <w:t>Qualcomm Roadrunner</w:t>
      </w:r>
      <w:r>
        <w:rPr>
          <w:spacing w:val="-5"/>
          <w:sz w:val="20"/>
        </w:rPr>
        <w:t> </w:t>
      </w:r>
      <w:r>
        <w:rPr>
          <w:sz w:val="20"/>
        </w:rPr>
        <w:t>(C-V2X)</w:t>
      </w:r>
    </w:p>
    <w:p>
      <w:pPr>
        <w:pStyle w:val="BodyText"/>
        <w:spacing w:before="179"/>
        <w:ind w:left="1133" w:right="1128"/>
        <w:jc w:val="both"/>
      </w:pPr>
      <w:r>
        <w:rPr/>
        <w:t>Table</w:t>
      </w:r>
      <w:r>
        <w:rPr>
          <w:spacing w:val="-9"/>
        </w:rPr>
        <w:t> </w:t>
      </w:r>
      <w:r>
        <w:rPr/>
        <w:t>29</w:t>
      </w:r>
      <w:r>
        <w:rPr>
          <w:spacing w:val="-7"/>
        </w:rPr>
        <w:t> </w:t>
      </w:r>
      <w:r>
        <w:rPr/>
        <w:t>shows</w:t>
      </w:r>
      <w:r>
        <w:rPr>
          <w:spacing w:val="-8"/>
        </w:rPr>
        <w:t> </w:t>
      </w:r>
      <w:r>
        <w:rPr/>
        <w:t>the</w:t>
      </w:r>
      <w:r>
        <w:rPr>
          <w:spacing w:val="-10"/>
        </w:rPr>
        <w:t> </w:t>
      </w:r>
      <w:r>
        <w:rPr/>
        <w:t>main</w:t>
      </w:r>
      <w:r>
        <w:rPr>
          <w:spacing w:val="-9"/>
        </w:rPr>
        <w:t> </w:t>
      </w:r>
      <w:r>
        <w:rPr/>
        <w:t>parameters</w:t>
      </w:r>
      <w:r>
        <w:rPr>
          <w:spacing w:val="-8"/>
        </w:rPr>
        <w:t> </w:t>
      </w:r>
      <w:r>
        <w:rPr/>
        <w:t>used</w:t>
      </w:r>
      <w:r>
        <w:rPr>
          <w:spacing w:val="-10"/>
        </w:rPr>
        <w:t> </w:t>
      </w:r>
      <w:r>
        <w:rPr/>
        <w:t>in</w:t>
      </w:r>
      <w:r>
        <w:rPr>
          <w:spacing w:val="-7"/>
        </w:rPr>
        <w:t> </w:t>
      </w:r>
      <w:r>
        <w:rPr/>
        <w:t>the</w:t>
      </w:r>
      <w:r>
        <w:rPr>
          <w:spacing w:val="-10"/>
        </w:rPr>
        <w:t> </w:t>
      </w:r>
      <w:r>
        <w:rPr/>
        <w:t>field</w:t>
      </w:r>
      <w:r>
        <w:rPr>
          <w:spacing w:val="-7"/>
        </w:rPr>
        <w:t> </w:t>
      </w:r>
      <w:r>
        <w:rPr/>
        <w:t>tests.</w:t>
      </w:r>
      <w:r>
        <w:rPr>
          <w:spacing w:val="-9"/>
        </w:rPr>
        <w:t> </w:t>
      </w:r>
      <w:r>
        <w:rPr/>
        <w:t>Due</w:t>
      </w:r>
      <w:r>
        <w:rPr>
          <w:spacing w:val="-10"/>
        </w:rPr>
        <w:t> </w:t>
      </w:r>
      <w:r>
        <w:rPr/>
        <w:t>to</w:t>
      </w:r>
      <w:r>
        <w:rPr>
          <w:spacing w:val="-9"/>
        </w:rPr>
        <w:t> </w:t>
      </w:r>
      <w:r>
        <w:rPr/>
        <w:t>high</w:t>
      </w:r>
      <w:r>
        <w:rPr>
          <w:spacing w:val="-9"/>
        </w:rPr>
        <w:t> </w:t>
      </w:r>
      <w:r>
        <w:rPr/>
        <w:t>activity</w:t>
      </w:r>
      <w:r>
        <w:rPr>
          <w:spacing w:val="-10"/>
        </w:rPr>
        <w:t> </w:t>
      </w:r>
      <w:r>
        <w:rPr/>
        <w:t>of</w:t>
      </w:r>
      <w:r>
        <w:rPr>
          <w:spacing w:val="-7"/>
        </w:rPr>
        <w:t> </w:t>
      </w:r>
      <w:r>
        <w:rPr/>
        <w:t>the</w:t>
      </w:r>
      <w:r>
        <w:rPr>
          <w:spacing w:val="-10"/>
        </w:rPr>
        <w:t> </w:t>
      </w:r>
      <w:r>
        <w:rPr/>
        <w:t>U-NII-3</w:t>
      </w:r>
      <w:r>
        <w:rPr>
          <w:spacing w:val="-9"/>
        </w:rPr>
        <w:t> </w:t>
      </w:r>
      <w:r>
        <w:rPr/>
        <w:t>devices</w:t>
      </w:r>
      <w:r>
        <w:rPr>
          <w:spacing w:val="-8"/>
        </w:rPr>
        <w:t> </w:t>
      </w:r>
      <w:r>
        <w:rPr/>
        <w:t>on</w:t>
      </w:r>
      <w:r>
        <w:rPr>
          <w:spacing w:val="-10"/>
        </w:rPr>
        <w:t> </w:t>
      </w:r>
      <w:r>
        <w:rPr/>
        <w:t>most test</w:t>
      </w:r>
      <w:r>
        <w:rPr>
          <w:spacing w:val="-4"/>
        </w:rPr>
        <w:t> </w:t>
      </w:r>
      <w:r>
        <w:rPr/>
        <w:t>tracks</w:t>
      </w:r>
      <w:r>
        <w:rPr>
          <w:spacing w:val="-3"/>
        </w:rPr>
        <w:t> </w:t>
      </w:r>
      <w:r>
        <w:rPr/>
        <w:t>including</w:t>
      </w:r>
      <w:r>
        <w:rPr>
          <w:spacing w:val="-5"/>
        </w:rPr>
        <w:t> </w:t>
      </w:r>
      <w:r>
        <w:rPr/>
        <w:t>FPG,</w:t>
      </w:r>
      <w:r>
        <w:rPr>
          <w:spacing w:val="-2"/>
        </w:rPr>
        <w:t> </w:t>
      </w:r>
      <w:r>
        <w:rPr/>
        <w:t>we</w:t>
      </w:r>
      <w:r>
        <w:rPr>
          <w:spacing w:val="-5"/>
        </w:rPr>
        <w:t> </w:t>
      </w:r>
      <w:r>
        <w:rPr/>
        <w:t>decided</w:t>
      </w:r>
      <w:r>
        <w:rPr>
          <w:spacing w:val="-2"/>
        </w:rPr>
        <w:t> </w:t>
      </w:r>
      <w:r>
        <w:rPr/>
        <w:t>to</w:t>
      </w:r>
      <w:r>
        <w:rPr>
          <w:spacing w:val="-5"/>
        </w:rPr>
        <w:t> </w:t>
      </w:r>
      <w:r>
        <w:rPr/>
        <w:t>move</w:t>
      </w:r>
      <w:r>
        <w:rPr>
          <w:spacing w:val="-5"/>
        </w:rPr>
        <w:t> </w:t>
      </w:r>
      <w:r>
        <w:rPr/>
        <w:t>the</w:t>
      </w:r>
      <w:r>
        <w:rPr>
          <w:spacing w:val="-5"/>
        </w:rPr>
        <w:t> </w:t>
      </w:r>
      <w:r>
        <w:rPr/>
        <w:t>test</w:t>
      </w:r>
      <w:r>
        <w:rPr>
          <w:spacing w:val="-4"/>
        </w:rPr>
        <w:t> </w:t>
      </w:r>
      <w:r>
        <w:rPr/>
        <w:t>frequency</w:t>
      </w:r>
      <w:r>
        <w:rPr>
          <w:spacing w:val="-5"/>
        </w:rPr>
        <w:t> </w:t>
      </w:r>
      <w:r>
        <w:rPr/>
        <w:t>as</w:t>
      </w:r>
      <w:r>
        <w:rPr>
          <w:spacing w:val="-4"/>
        </w:rPr>
        <w:t> </w:t>
      </w:r>
      <w:r>
        <w:rPr/>
        <w:t>far</w:t>
      </w:r>
      <w:r>
        <w:rPr>
          <w:spacing w:val="-4"/>
        </w:rPr>
        <w:t> </w:t>
      </w:r>
      <w:r>
        <w:rPr/>
        <w:t>as</w:t>
      </w:r>
      <w:r>
        <w:rPr>
          <w:spacing w:val="-4"/>
        </w:rPr>
        <w:t> </w:t>
      </w:r>
      <w:r>
        <w:rPr/>
        <w:t>possible</w:t>
      </w:r>
      <w:r>
        <w:rPr>
          <w:spacing w:val="-5"/>
        </w:rPr>
        <w:t> </w:t>
      </w:r>
      <w:r>
        <w:rPr/>
        <w:t>from the</w:t>
      </w:r>
      <w:r>
        <w:rPr>
          <w:spacing w:val="-5"/>
        </w:rPr>
        <w:t> </w:t>
      </w:r>
      <w:r>
        <w:rPr/>
        <w:t>U-NII-3</w:t>
      </w:r>
      <w:r>
        <w:rPr>
          <w:spacing w:val="-5"/>
        </w:rPr>
        <w:t> </w:t>
      </w:r>
      <w:r>
        <w:rPr/>
        <w:t>band</w:t>
      </w:r>
      <w:r>
        <w:rPr>
          <w:spacing w:val="-2"/>
        </w:rPr>
        <w:t> </w:t>
      </w:r>
      <w:r>
        <w:rPr/>
        <w:t>but keep it in the ITS band, i.e., to CH184 (center frequency 5,920 MHz). Based on free-space and plane-earth propagation models (see (Parsons, 1994)) the change in operating frequency should have less than 0.1 dB effect on propagation loss, ensuring that the conclusions from CH172 and CH184 testing are the same. This equivalence is ensured under the interference-free conditions required for the range tests. Additionally, while the C-V2X has the same channel bandwidth as DSRC, the actual transmission bandwidth of C-V2X can be a fraction of 10 MHz (in our case it is ~4.5 MHz) due to the frequency division multiplexing feature of</w:t>
      </w:r>
      <w:r>
        <w:rPr>
          <w:spacing w:val="-24"/>
        </w:rPr>
        <w:t> </w:t>
      </w:r>
      <w:r>
        <w:rPr/>
        <w:t>C-V2X.</w:t>
      </w:r>
    </w:p>
    <w:p>
      <w:pPr>
        <w:pStyle w:val="BodyText"/>
        <w:spacing w:before="5"/>
      </w:pPr>
    </w:p>
    <w:p>
      <w:pPr>
        <w:pStyle w:val="Heading7"/>
        <w:jc w:val="both"/>
      </w:pPr>
      <w:r>
        <w:rPr/>
        <w:t>Table 29: OBU and system parameters used in the field tests</w:t>
      </w:r>
    </w:p>
    <w:p>
      <w:pPr>
        <w:pStyle w:val="BodyText"/>
        <w:spacing w:before="1"/>
        <w:rPr>
          <w:b/>
          <w:sz w:val="16"/>
        </w:rPr>
      </w:pPr>
    </w:p>
    <w:tbl>
      <w:tblPr>
        <w:tblW w:w="0" w:type="auto"/>
        <w:jc w:val="left"/>
        <w:tblInd w:w="2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5"/>
        <w:gridCol w:w="2463"/>
        <w:gridCol w:w="2466"/>
      </w:tblGrid>
      <w:tr>
        <w:trPr>
          <w:trHeight w:val="259" w:hRule="exact"/>
        </w:trPr>
        <w:tc>
          <w:tcPr>
            <w:tcW w:w="2465" w:type="dxa"/>
            <w:shd w:val="clear" w:color="auto" w:fill="D9D9D9"/>
          </w:tcPr>
          <w:p>
            <w:pPr>
              <w:pStyle w:val="TableParagraph"/>
              <w:spacing w:line="242" w:lineRule="exact"/>
              <w:rPr>
                <w:sz w:val="16"/>
              </w:rPr>
            </w:pPr>
            <w:r>
              <w:rPr>
                <w:b/>
                <w:sz w:val="18"/>
              </w:rPr>
              <w:t>Parameter1</w:t>
            </w:r>
            <w:r>
              <w:rPr>
                <w:position w:val="6"/>
                <w:sz w:val="16"/>
              </w:rPr>
              <w:t>1</w:t>
            </w:r>
          </w:p>
        </w:tc>
        <w:tc>
          <w:tcPr>
            <w:tcW w:w="2463" w:type="dxa"/>
            <w:shd w:val="clear" w:color="auto" w:fill="D9D9D9"/>
          </w:tcPr>
          <w:p>
            <w:pPr>
              <w:pStyle w:val="TableParagraph"/>
              <w:spacing w:line="201" w:lineRule="exact"/>
              <w:ind w:left="100"/>
              <w:rPr>
                <w:b/>
                <w:sz w:val="18"/>
              </w:rPr>
            </w:pPr>
            <w:r>
              <w:rPr>
                <w:b/>
                <w:sz w:val="18"/>
              </w:rPr>
              <w:t>DSRC</w:t>
            </w:r>
          </w:p>
        </w:tc>
        <w:tc>
          <w:tcPr>
            <w:tcW w:w="2466" w:type="dxa"/>
            <w:shd w:val="clear" w:color="auto" w:fill="D9D9D9"/>
          </w:tcPr>
          <w:p>
            <w:pPr>
              <w:pStyle w:val="TableParagraph"/>
              <w:spacing w:line="201" w:lineRule="exact"/>
              <w:rPr>
                <w:b/>
                <w:sz w:val="18"/>
              </w:rPr>
            </w:pPr>
            <w:r>
              <w:rPr>
                <w:b/>
                <w:sz w:val="18"/>
              </w:rPr>
              <w:t>C-V2X</w:t>
            </w:r>
          </w:p>
        </w:tc>
      </w:tr>
      <w:tr>
        <w:trPr>
          <w:trHeight w:val="216" w:hRule="exact"/>
        </w:trPr>
        <w:tc>
          <w:tcPr>
            <w:tcW w:w="2465" w:type="dxa"/>
          </w:tcPr>
          <w:p>
            <w:pPr>
              <w:pStyle w:val="TableParagraph"/>
              <w:rPr>
                <w:sz w:val="18"/>
              </w:rPr>
            </w:pPr>
            <w:r>
              <w:rPr>
                <w:sz w:val="18"/>
              </w:rPr>
              <w:t>Vehicle</w:t>
            </w:r>
          </w:p>
        </w:tc>
        <w:tc>
          <w:tcPr>
            <w:tcW w:w="2463" w:type="dxa"/>
          </w:tcPr>
          <w:p>
            <w:pPr>
              <w:pStyle w:val="TableParagraph"/>
              <w:ind w:left="100"/>
              <w:rPr>
                <w:sz w:val="18"/>
              </w:rPr>
            </w:pPr>
            <w:r>
              <w:rPr>
                <w:sz w:val="18"/>
              </w:rPr>
              <w:t>Fusion (w/o moon roof)</w:t>
            </w:r>
          </w:p>
        </w:tc>
        <w:tc>
          <w:tcPr>
            <w:tcW w:w="2466" w:type="dxa"/>
          </w:tcPr>
          <w:p>
            <w:pPr>
              <w:pStyle w:val="TableParagraph"/>
              <w:rPr>
                <w:sz w:val="18"/>
              </w:rPr>
            </w:pPr>
            <w:r>
              <w:rPr>
                <w:sz w:val="18"/>
              </w:rPr>
              <w:t>Fusion (w/o moon roof)</w:t>
            </w:r>
          </w:p>
        </w:tc>
      </w:tr>
      <w:tr>
        <w:trPr>
          <w:trHeight w:val="259" w:hRule="exact"/>
        </w:trPr>
        <w:tc>
          <w:tcPr>
            <w:tcW w:w="2465" w:type="dxa"/>
          </w:tcPr>
          <w:p>
            <w:pPr>
              <w:pStyle w:val="TableParagraph"/>
              <w:spacing w:line="247" w:lineRule="exact"/>
              <w:rPr>
                <w:b/>
                <w:sz w:val="16"/>
              </w:rPr>
            </w:pPr>
            <w:r>
              <w:rPr>
                <w:sz w:val="18"/>
              </w:rPr>
              <w:t>Modulation and coding</w:t>
            </w:r>
            <w:r>
              <w:rPr>
                <w:b/>
                <w:position w:val="6"/>
                <w:sz w:val="16"/>
              </w:rPr>
              <w:t>2</w:t>
            </w:r>
          </w:p>
        </w:tc>
        <w:tc>
          <w:tcPr>
            <w:tcW w:w="2463" w:type="dxa"/>
          </w:tcPr>
          <w:p>
            <w:pPr>
              <w:pStyle w:val="TableParagraph"/>
              <w:ind w:left="100"/>
              <w:rPr>
                <w:sz w:val="18"/>
              </w:rPr>
            </w:pPr>
            <w:r>
              <w:rPr>
                <w:sz w:val="18"/>
              </w:rPr>
              <w:t>QPSK, 0.5</w:t>
            </w:r>
          </w:p>
        </w:tc>
        <w:tc>
          <w:tcPr>
            <w:tcW w:w="2466" w:type="dxa"/>
          </w:tcPr>
          <w:p>
            <w:pPr>
              <w:pStyle w:val="TableParagraph"/>
              <w:rPr>
                <w:sz w:val="18"/>
              </w:rPr>
            </w:pPr>
            <w:r>
              <w:rPr>
                <w:sz w:val="18"/>
              </w:rPr>
              <w:t>MCS5 (QPSK, 0.46)</w:t>
            </w:r>
          </w:p>
        </w:tc>
      </w:tr>
      <w:tr>
        <w:trPr>
          <w:trHeight w:val="216" w:hRule="exact"/>
        </w:trPr>
        <w:tc>
          <w:tcPr>
            <w:tcW w:w="2465" w:type="dxa"/>
          </w:tcPr>
          <w:p>
            <w:pPr>
              <w:pStyle w:val="TableParagraph"/>
              <w:rPr>
                <w:sz w:val="18"/>
              </w:rPr>
            </w:pPr>
            <w:r>
              <w:rPr>
                <w:sz w:val="18"/>
              </w:rPr>
              <w:t>HARQ</w:t>
            </w:r>
          </w:p>
        </w:tc>
        <w:tc>
          <w:tcPr>
            <w:tcW w:w="2463" w:type="dxa"/>
          </w:tcPr>
          <w:p>
            <w:pPr>
              <w:pStyle w:val="TableParagraph"/>
              <w:ind w:left="100"/>
              <w:rPr>
                <w:sz w:val="18"/>
              </w:rPr>
            </w:pPr>
            <w:r>
              <w:rPr>
                <w:sz w:val="18"/>
              </w:rPr>
              <w:t>Not available</w:t>
            </w:r>
          </w:p>
        </w:tc>
        <w:tc>
          <w:tcPr>
            <w:tcW w:w="2466" w:type="dxa"/>
          </w:tcPr>
          <w:p>
            <w:pPr>
              <w:pStyle w:val="TableParagraph"/>
              <w:rPr>
                <w:sz w:val="18"/>
              </w:rPr>
            </w:pPr>
            <w:r>
              <w:rPr>
                <w:sz w:val="18"/>
              </w:rPr>
              <w:t>Yes</w:t>
            </w:r>
          </w:p>
        </w:tc>
      </w:tr>
      <w:tr>
        <w:trPr>
          <w:trHeight w:val="259" w:hRule="exact"/>
        </w:trPr>
        <w:tc>
          <w:tcPr>
            <w:tcW w:w="2465" w:type="dxa"/>
          </w:tcPr>
          <w:p>
            <w:pPr>
              <w:pStyle w:val="TableParagraph"/>
              <w:spacing w:line="247" w:lineRule="exact"/>
              <w:rPr>
                <w:b/>
                <w:sz w:val="16"/>
              </w:rPr>
            </w:pPr>
            <w:r>
              <w:rPr>
                <w:sz w:val="18"/>
              </w:rPr>
              <w:t>Channel</w:t>
            </w:r>
            <w:r>
              <w:rPr>
                <w:b/>
                <w:position w:val="6"/>
                <w:sz w:val="16"/>
              </w:rPr>
              <w:t>3</w:t>
            </w:r>
          </w:p>
        </w:tc>
        <w:tc>
          <w:tcPr>
            <w:tcW w:w="2463" w:type="dxa"/>
          </w:tcPr>
          <w:p>
            <w:pPr>
              <w:pStyle w:val="TableParagraph"/>
              <w:ind w:left="100"/>
              <w:rPr>
                <w:sz w:val="18"/>
              </w:rPr>
            </w:pPr>
            <w:r>
              <w:rPr>
                <w:sz w:val="18"/>
              </w:rPr>
              <w:t>CH184 (5,920 MHz)</w:t>
            </w:r>
          </w:p>
        </w:tc>
        <w:tc>
          <w:tcPr>
            <w:tcW w:w="2466" w:type="dxa"/>
          </w:tcPr>
          <w:p>
            <w:pPr>
              <w:pStyle w:val="TableParagraph"/>
              <w:rPr>
                <w:sz w:val="18"/>
              </w:rPr>
            </w:pPr>
            <w:r>
              <w:rPr>
                <w:sz w:val="18"/>
              </w:rPr>
              <w:t>CH184 (5,920 MHz)</w:t>
            </w:r>
          </w:p>
        </w:tc>
      </w:tr>
      <w:tr>
        <w:trPr>
          <w:trHeight w:val="216" w:hRule="exact"/>
        </w:trPr>
        <w:tc>
          <w:tcPr>
            <w:tcW w:w="2465" w:type="dxa"/>
          </w:tcPr>
          <w:p>
            <w:pPr>
              <w:pStyle w:val="TableParagraph"/>
              <w:rPr>
                <w:sz w:val="18"/>
              </w:rPr>
            </w:pPr>
            <w:r>
              <w:rPr>
                <w:sz w:val="18"/>
              </w:rPr>
              <w:t>Bandwidth (message)</w:t>
            </w:r>
          </w:p>
        </w:tc>
        <w:tc>
          <w:tcPr>
            <w:tcW w:w="2463" w:type="dxa"/>
          </w:tcPr>
          <w:p>
            <w:pPr>
              <w:pStyle w:val="TableParagraph"/>
              <w:ind w:left="100"/>
              <w:rPr>
                <w:sz w:val="18"/>
              </w:rPr>
            </w:pPr>
            <w:r>
              <w:rPr>
                <w:sz w:val="18"/>
              </w:rPr>
              <w:t>10 MHz</w:t>
            </w:r>
          </w:p>
        </w:tc>
        <w:tc>
          <w:tcPr>
            <w:tcW w:w="2466" w:type="dxa"/>
          </w:tcPr>
          <w:p>
            <w:pPr>
              <w:pStyle w:val="TableParagraph"/>
              <w:rPr>
                <w:sz w:val="18"/>
              </w:rPr>
            </w:pPr>
            <w:r>
              <w:rPr>
                <w:sz w:val="18"/>
              </w:rPr>
              <w:t>10 MHz</w:t>
            </w:r>
          </w:p>
        </w:tc>
      </w:tr>
      <w:tr>
        <w:trPr>
          <w:trHeight w:val="218" w:hRule="exact"/>
        </w:trPr>
        <w:tc>
          <w:tcPr>
            <w:tcW w:w="2465" w:type="dxa"/>
          </w:tcPr>
          <w:p>
            <w:pPr>
              <w:pStyle w:val="TableParagraph"/>
              <w:rPr>
                <w:sz w:val="18"/>
              </w:rPr>
            </w:pPr>
            <w:r>
              <w:rPr>
                <w:sz w:val="18"/>
              </w:rPr>
              <w:t>Packet size</w:t>
            </w:r>
          </w:p>
        </w:tc>
        <w:tc>
          <w:tcPr>
            <w:tcW w:w="2463" w:type="dxa"/>
          </w:tcPr>
          <w:p>
            <w:pPr>
              <w:pStyle w:val="TableParagraph"/>
              <w:ind w:left="100"/>
              <w:rPr>
                <w:sz w:val="18"/>
              </w:rPr>
            </w:pPr>
            <w:r>
              <w:rPr>
                <w:sz w:val="18"/>
              </w:rPr>
              <w:t>193B</w:t>
            </w:r>
          </w:p>
        </w:tc>
        <w:tc>
          <w:tcPr>
            <w:tcW w:w="2466" w:type="dxa"/>
          </w:tcPr>
          <w:p>
            <w:pPr>
              <w:pStyle w:val="TableParagraph"/>
              <w:rPr>
                <w:sz w:val="18"/>
              </w:rPr>
            </w:pPr>
            <w:r>
              <w:rPr>
                <w:sz w:val="18"/>
              </w:rPr>
              <w:t>193B</w:t>
            </w:r>
          </w:p>
        </w:tc>
      </w:tr>
      <w:tr>
        <w:trPr>
          <w:trHeight w:val="216" w:hRule="exact"/>
        </w:trPr>
        <w:tc>
          <w:tcPr>
            <w:tcW w:w="2465" w:type="dxa"/>
          </w:tcPr>
          <w:p>
            <w:pPr>
              <w:pStyle w:val="TableParagraph"/>
              <w:rPr>
                <w:sz w:val="18"/>
              </w:rPr>
            </w:pPr>
            <w:r>
              <w:rPr>
                <w:sz w:val="18"/>
              </w:rPr>
              <w:t>Message frequency</w:t>
            </w:r>
          </w:p>
        </w:tc>
        <w:tc>
          <w:tcPr>
            <w:tcW w:w="2463" w:type="dxa"/>
          </w:tcPr>
          <w:p>
            <w:pPr>
              <w:pStyle w:val="TableParagraph"/>
              <w:ind w:left="100"/>
              <w:rPr>
                <w:sz w:val="18"/>
              </w:rPr>
            </w:pPr>
            <w:r>
              <w:rPr>
                <w:sz w:val="18"/>
              </w:rPr>
              <w:t>10 Hz</w:t>
            </w:r>
          </w:p>
        </w:tc>
        <w:tc>
          <w:tcPr>
            <w:tcW w:w="2466" w:type="dxa"/>
          </w:tcPr>
          <w:p>
            <w:pPr>
              <w:pStyle w:val="TableParagraph"/>
              <w:rPr>
                <w:sz w:val="18"/>
              </w:rPr>
            </w:pPr>
            <w:r>
              <w:rPr>
                <w:sz w:val="18"/>
              </w:rPr>
              <w:t>10 Hz</w:t>
            </w:r>
          </w:p>
        </w:tc>
      </w:tr>
      <w:tr>
        <w:trPr>
          <w:trHeight w:val="259" w:hRule="exact"/>
        </w:trPr>
        <w:tc>
          <w:tcPr>
            <w:tcW w:w="2465" w:type="dxa"/>
          </w:tcPr>
          <w:p>
            <w:pPr>
              <w:pStyle w:val="TableParagraph"/>
              <w:spacing w:line="247" w:lineRule="exact"/>
              <w:rPr>
                <w:b/>
                <w:sz w:val="16"/>
              </w:rPr>
            </w:pPr>
            <w:r>
              <w:rPr>
                <w:sz w:val="18"/>
              </w:rPr>
              <w:t>Antenna</w:t>
            </w:r>
            <w:r>
              <w:rPr>
                <w:b/>
                <w:position w:val="6"/>
                <w:sz w:val="16"/>
              </w:rPr>
              <w:t>4</w:t>
            </w:r>
          </w:p>
        </w:tc>
        <w:tc>
          <w:tcPr>
            <w:tcW w:w="2463" w:type="dxa"/>
          </w:tcPr>
          <w:p>
            <w:pPr>
              <w:pStyle w:val="TableParagraph"/>
              <w:ind w:left="100"/>
              <w:rPr>
                <w:sz w:val="18"/>
              </w:rPr>
            </w:pPr>
            <w:r>
              <w:rPr>
                <w:sz w:val="18"/>
              </w:rPr>
              <w:t>ECOM6-5500 (6 dBi)</w:t>
            </w:r>
          </w:p>
        </w:tc>
        <w:tc>
          <w:tcPr>
            <w:tcW w:w="2466" w:type="dxa"/>
          </w:tcPr>
          <w:p>
            <w:pPr>
              <w:pStyle w:val="TableParagraph"/>
              <w:rPr>
                <w:sz w:val="18"/>
              </w:rPr>
            </w:pPr>
            <w:r>
              <w:rPr>
                <w:sz w:val="18"/>
              </w:rPr>
              <w:t>ECOM6-5500 (6 dBi)</w:t>
            </w:r>
          </w:p>
        </w:tc>
      </w:tr>
      <w:tr>
        <w:trPr>
          <w:trHeight w:val="216" w:hRule="exact"/>
        </w:trPr>
        <w:tc>
          <w:tcPr>
            <w:tcW w:w="2465" w:type="dxa"/>
          </w:tcPr>
          <w:p>
            <w:pPr>
              <w:pStyle w:val="TableParagraph"/>
              <w:rPr>
                <w:sz w:val="18"/>
              </w:rPr>
            </w:pPr>
            <w:r>
              <w:rPr>
                <w:sz w:val="18"/>
              </w:rPr>
              <w:t>Diversity</w:t>
            </w:r>
          </w:p>
        </w:tc>
        <w:tc>
          <w:tcPr>
            <w:tcW w:w="2463" w:type="dxa"/>
          </w:tcPr>
          <w:p>
            <w:pPr>
              <w:pStyle w:val="TableParagraph"/>
              <w:ind w:left="100"/>
              <w:rPr>
                <w:sz w:val="18"/>
              </w:rPr>
            </w:pPr>
            <w:r>
              <w:rPr>
                <w:sz w:val="18"/>
              </w:rPr>
              <w:t>1Tx, 2Rx</w:t>
            </w:r>
          </w:p>
        </w:tc>
        <w:tc>
          <w:tcPr>
            <w:tcW w:w="2466" w:type="dxa"/>
          </w:tcPr>
          <w:p>
            <w:pPr>
              <w:pStyle w:val="TableParagraph"/>
              <w:rPr>
                <w:sz w:val="18"/>
              </w:rPr>
            </w:pPr>
            <w:r>
              <w:rPr>
                <w:sz w:val="18"/>
              </w:rPr>
              <w:t>1Tx, 2Rx</w:t>
            </w:r>
          </w:p>
        </w:tc>
      </w:tr>
      <w:tr>
        <w:trPr>
          <w:trHeight w:val="466" w:hRule="exact"/>
        </w:trPr>
        <w:tc>
          <w:tcPr>
            <w:tcW w:w="2465" w:type="dxa"/>
          </w:tcPr>
          <w:p>
            <w:pPr>
              <w:pStyle w:val="TableParagraph"/>
              <w:spacing w:line="240" w:lineRule="auto"/>
              <w:rPr>
                <w:b/>
                <w:sz w:val="16"/>
              </w:rPr>
            </w:pPr>
            <w:r>
              <w:rPr>
                <w:sz w:val="18"/>
              </w:rPr>
              <w:t>Equivalent Tx Power (with attenuation)</w:t>
            </w:r>
            <w:r>
              <w:rPr>
                <w:b/>
                <w:position w:val="6"/>
                <w:sz w:val="16"/>
              </w:rPr>
              <w:t>5</w:t>
            </w:r>
          </w:p>
        </w:tc>
        <w:tc>
          <w:tcPr>
            <w:tcW w:w="2463" w:type="dxa"/>
          </w:tcPr>
          <w:p>
            <w:pPr>
              <w:pStyle w:val="TableParagraph"/>
              <w:ind w:left="100"/>
              <w:rPr>
                <w:sz w:val="18"/>
              </w:rPr>
            </w:pPr>
            <w:r>
              <w:rPr>
                <w:sz w:val="18"/>
              </w:rPr>
              <w:t>5 dBm, 11 dBm</w:t>
            </w:r>
          </w:p>
        </w:tc>
        <w:tc>
          <w:tcPr>
            <w:tcW w:w="2466" w:type="dxa"/>
          </w:tcPr>
          <w:p>
            <w:pPr>
              <w:pStyle w:val="TableParagraph"/>
              <w:rPr>
                <w:sz w:val="18"/>
              </w:rPr>
            </w:pPr>
            <w:r>
              <w:rPr>
                <w:sz w:val="18"/>
              </w:rPr>
              <w:t>5 dBm, 11 dBm</w:t>
            </w:r>
          </w:p>
        </w:tc>
      </w:tr>
    </w:tbl>
    <w:p>
      <w:pPr>
        <w:pStyle w:val="BodyText"/>
        <w:rPr>
          <w:b/>
          <w:sz w:val="22"/>
        </w:rPr>
      </w:pPr>
    </w:p>
    <w:p>
      <w:pPr>
        <w:pStyle w:val="BodyText"/>
        <w:spacing w:before="10"/>
        <w:rPr>
          <w:b/>
          <w:sz w:val="28"/>
        </w:rPr>
      </w:pPr>
    </w:p>
    <w:p>
      <w:pPr>
        <w:pStyle w:val="ListParagraph"/>
        <w:numPr>
          <w:ilvl w:val="1"/>
          <w:numId w:val="44"/>
        </w:numPr>
        <w:tabs>
          <w:tab w:pos="1703" w:val="left" w:leader="none"/>
        </w:tabs>
        <w:spacing w:line="240" w:lineRule="auto" w:before="0" w:after="0"/>
        <w:ind w:left="1702" w:right="0" w:hanging="569"/>
        <w:jc w:val="both"/>
        <w:rPr>
          <w:sz w:val="32"/>
        </w:rPr>
      </w:pPr>
      <w:bookmarkStart w:name="_bookmark146" w:id="223"/>
      <w:bookmarkEnd w:id="223"/>
      <w:r>
        <w:rPr/>
      </w:r>
      <w:bookmarkStart w:name="_bookmark146" w:id="224"/>
      <w:bookmarkEnd w:id="224"/>
      <w:r>
        <w:rPr>
          <w:sz w:val="32"/>
        </w:rPr>
        <w:t>Presentat</w:t>
      </w:r>
      <w:r>
        <w:rPr>
          <w:sz w:val="32"/>
        </w:rPr>
        <w:t>ion of</w:t>
      </w:r>
      <w:r>
        <w:rPr>
          <w:spacing w:val="-7"/>
          <w:sz w:val="32"/>
        </w:rPr>
        <w:t> </w:t>
      </w:r>
      <w:r>
        <w:rPr>
          <w:sz w:val="32"/>
        </w:rPr>
        <w:t>Results</w:t>
      </w:r>
    </w:p>
    <w:p>
      <w:pPr>
        <w:pStyle w:val="BodyText"/>
        <w:spacing w:before="181"/>
        <w:ind w:left="1133" w:right="1128"/>
        <w:jc w:val="both"/>
      </w:pPr>
      <w:r>
        <w:rPr/>
        <w:t>The main performance metrics used in this section include: Packet Reception Ratio (PRR), Inter-Packet Gap (IPG), and Receive Signal Strength Indicator (RSSI). All metrics are defined in section 5.1. Average PRR is plotted as a function of the distance between stationary vehicle (SV) and the </w:t>
      </w:r>
      <w:r>
        <w:rPr>
          <w:spacing w:val="2"/>
        </w:rPr>
        <w:t>moving </w:t>
      </w:r>
      <w:r>
        <w:rPr/>
        <w:t>vehicle (MV). PRR is computed using the sliding window approach explained in section 5.1. PRR from multiple loops is combined in a single plot. </w:t>
      </w:r>
      <w:r>
        <w:rPr>
          <w:spacing w:val="4"/>
        </w:rPr>
        <w:t>We </w:t>
      </w:r>
      <w:r>
        <w:rPr/>
        <w:t>are typically showing the plots of PRR at the SV receiving BSM when MV is approaching. In</w:t>
      </w:r>
      <w:r>
        <w:rPr>
          <w:spacing w:val="-6"/>
        </w:rPr>
        <w:t> </w:t>
      </w:r>
      <w:r>
        <w:rPr/>
        <w:t>cases</w:t>
      </w:r>
      <w:r>
        <w:rPr>
          <w:spacing w:val="-2"/>
        </w:rPr>
        <w:t> </w:t>
      </w:r>
      <w:r>
        <w:rPr/>
        <w:t>where</w:t>
      </w:r>
      <w:r>
        <w:rPr>
          <w:spacing w:val="-3"/>
        </w:rPr>
        <w:t> </w:t>
      </w:r>
      <w:r>
        <w:rPr/>
        <w:t>MV’s environment</w:t>
      </w:r>
      <w:r>
        <w:rPr>
          <w:spacing w:val="-5"/>
        </w:rPr>
        <w:t> </w:t>
      </w:r>
      <w:r>
        <w:rPr/>
        <w:t>is</w:t>
      </w:r>
      <w:r>
        <w:rPr>
          <w:spacing w:val="-4"/>
        </w:rPr>
        <w:t> </w:t>
      </w:r>
      <w:r>
        <w:rPr/>
        <w:t>different,</w:t>
      </w:r>
      <w:r>
        <w:rPr>
          <w:spacing w:val="-6"/>
        </w:rPr>
        <w:t> </w:t>
      </w:r>
      <w:r>
        <w:rPr/>
        <w:t>e.g.,</w:t>
      </w:r>
      <w:r>
        <w:rPr>
          <w:spacing w:val="-3"/>
        </w:rPr>
        <w:t> </w:t>
      </w:r>
      <w:r>
        <w:rPr/>
        <w:t>interference</w:t>
      </w:r>
      <w:r>
        <w:rPr>
          <w:spacing w:val="-6"/>
        </w:rPr>
        <w:t> </w:t>
      </w:r>
      <w:r>
        <w:rPr/>
        <w:t>scenarios,</w:t>
      </w:r>
      <w:r>
        <w:rPr>
          <w:spacing w:val="-3"/>
        </w:rPr>
        <w:t> </w:t>
      </w:r>
      <w:r>
        <w:rPr/>
        <w:t>we</w:t>
      </w:r>
      <w:r>
        <w:rPr>
          <w:spacing w:val="-6"/>
        </w:rPr>
        <w:t> </w:t>
      </w:r>
      <w:r>
        <w:rPr/>
        <w:t>show</w:t>
      </w:r>
      <w:r>
        <w:rPr>
          <w:spacing w:val="-5"/>
        </w:rPr>
        <w:t> </w:t>
      </w:r>
      <w:r>
        <w:rPr/>
        <w:t>PRR</w:t>
      </w:r>
      <w:r>
        <w:rPr>
          <w:spacing w:val="-5"/>
        </w:rPr>
        <w:t> </w:t>
      </w:r>
      <w:r>
        <w:rPr/>
        <w:t>at</w:t>
      </w:r>
      <w:r>
        <w:rPr>
          <w:spacing w:val="-5"/>
        </w:rPr>
        <w:t> </w:t>
      </w:r>
      <w:r>
        <w:rPr/>
        <w:t>the</w:t>
      </w:r>
      <w:r>
        <w:rPr>
          <w:spacing w:val="-3"/>
        </w:rPr>
        <w:t> </w:t>
      </w:r>
      <w:r>
        <w:rPr/>
        <w:t>MV</w:t>
      </w:r>
      <w:r>
        <w:rPr>
          <w:spacing w:val="-2"/>
        </w:rPr>
        <w:t> </w:t>
      </w:r>
      <w:r>
        <w:rPr/>
        <w:t>when</w:t>
      </w:r>
      <w:r>
        <w:rPr>
          <w:spacing w:val="-4"/>
        </w:rPr>
        <w:t> </w:t>
      </w:r>
      <w:r>
        <w:rPr/>
        <w:t>it</w:t>
      </w:r>
      <w:r>
        <w:rPr>
          <w:spacing w:val="-3"/>
        </w:rPr>
        <w:t> </w:t>
      </w:r>
      <w:r>
        <w:rPr/>
        <w:t>is approaching SV and when SV is transmitting. IPG is plotted as a function of distance as an average over all loops. The distance at which average IPG increases sharply beyond 100 ms is closely correlated with the distance at which PRR drops below 90%. Small drops in PRR are also visible on the average IPG plot; however,</w:t>
      </w:r>
      <w:r>
        <w:rPr>
          <w:spacing w:val="-3"/>
        </w:rPr>
        <w:t> </w:t>
      </w:r>
      <w:r>
        <w:rPr/>
        <w:t>they</w:t>
      </w:r>
      <w:r>
        <w:rPr>
          <w:spacing w:val="-6"/>
        </w:rPr>
        <w:t> </w:t>
      </w:r>
      <w:r>
        <w:rPr/>
        <w:t>are</w:t>
      </w:r>
      <w:r>
        <w:rPr>
          <w:spacing w:val="-3"/>
        </w:rPr>
        <w:t> </w:t>
      </w:r>
      <w:r>
        <w:rPr/>
        <w:t>of</w:t>
      </w:r>
      <w:r>
        <w:rPr>
          <w:spacing w:val="-2"/>
        </w:rPr>
        <w:t> </w:t>
      </w:r>
      <w:r>
        <w:rPr/>
        <w:t>smaller</w:t>
      </w:r>
      <w:r>
        <w:rPr>
          <w:spacing w:val="-5"/>
        </w:rPr>
        <w:t> </w:t>
      </w:r>
      <w:r>
        <w:rPr/>
        <w:t>magnitude.</w:t>
      </w:r>
      <w:r>
        <w:rPr>
          <w:spacing w:val="-3"/>
        </w:rPr>
        <w:t> </w:t>
      </w:r>
      <w:r>
        <w:rPr/>
        <w:t>Cumulative</w:t>
      </w:r>
      <w:r>
        <w:rPr>
          <w:spacing w:val="-3"/>
        </w:rPr>
        <w:t> </w:t>
      </w:r>
      <w:r>
        <w:rPr/>
        <w:t>distribution</w:t>
      </w:r>
      <w:r>
        <w:rPr>
          <w:spacing w:val="-3"/>
        </w:rPr>
        <w:t> </w:t>
      </w:r>
      <w:r>
        <w:rPr/>
        <w:t>function</w:t>
      </w:r>
      <w:r>
        <w:rPr>
          <w:spacing w:val="-3"/>
        </w:rPr>
        <w:t> </w:t>
      </w:r>
      <w:r>
        <w:rPr/>
        <w:t>(CDF)</w:t>
      </w:r>
      <w:r>
        <w:rPr>
          <w:spacing w:val="-3"/>
        </w:rPr>
        <w:t> </w:t>
      </w:r>
      <w:r>
        <w:rPr/>
        <w:t>of</w:t>
      </w:r>
      <w:r>
        <w:rPr>
          <w:spacing w:val="-4"/>
        </w:rPr>
        <w:t> </w:t>
      </w:r>
      <w:r>
        <w:rPr/>
        <w:t>IPG</w:t>
      </w:r>
      <w:r>
        <w:rPr>
          <w:spacing w:val="-3"/>
        </w:rPr>
        <w:t> </w:t>
      </w:r>
      <w:r>
        <w:rPr/>
        <w:t>is</w:t>
      </w:r>
      <w:r>
        <w:rPr>
          <w:spacing w:val="-3"/>
        </w:rPr>
        <w:t> </w:t>
      </w:r>
      <w:r>
        <w:rPr/>
        <w:t>used</w:t>
      </w:r>
      <w:r>
        <w:rPr>
          <w:spacing w:val="-3"/>
        </w:rPr>
        <w:t> </w:t>
      </w:r>
      <w:r>
        <w:rPr/>
        <w:t>to</w:t>
      </w:r>
      <w:r>
        <w:rPr>
          <w:spacing w:val="-3"/>
        </w:rPr>
        <w:t> </w:t>
      </w:r>
      <w:r>
        <w:rPr/>
        <w:t>illustrate</w:t>
      </w:r>
      <w:r>
        <w:rPr>
          <w:spacing w:val="-3"/>
        </w:rPr>
        <w:t> </w:t>
      </w:r>
      <w:r>
        <w:rPr>
          <w:spacing w:val="2"/>
        </w:rPr>
        <w:t>the </w:t>
      </w:r>
      <w:r>
        <w:rPr/>
        <w:t>ratio</w:t>
      </w:r>
      <w:r>
        <w:rPr>
          <w:spacing w:val="-3"/>
        </w:rPr>
        <w:t> </w:t>
      </w:r>
      <w:r>
        <w:rPr/>
        <w:t>of</w:t>
      </w:r>
      <w:r>
        <w:rPr>
          <w:spacing w:val="-4"/>
        </w:rPr>
        <w:t> </w:t>
      </w:r>
      <w:r>
        <w:rPr/>
        <w:t>“good”</w:t>
      </w:r>
      <w:r>
        <w:rPr>
          <w:spacing w:val="-5"/>
        </w:rPr>
        <w:t> </w:t>
      </w:r>
      <w:r>
        <w:rPr/>
        <w:t>IPG</w:t>
      </w:r>
      <w:r>
        <w:rPr>
          <w:spacing w:val="-2"/>
        </w:rPr>
        <w:t> </w:t>
      </w:r>
      <w:r>
        <w:rPr/>
        <w:t>points</w:t>
      </w:r>
      <w:r>
        <w:rPr>
          <w:spacing w:val="-5"/>
        </w:rPr>
        <w:t> </w:t>
      </w:r>
      <w:r>
        <w:rPr/>
        <w:t>(values</w:t>
      </w:r>
      <w:r>
        <w:rPr>
          <w:spacing w:val="-5"/>
        </w:rPr>
        <w:t> </w:t>
      </w:r>
      <w:r>
        <w:rPr/>
        <w:t>close</w:t>
      </w:r>
      <w:r>
        <w:rPr>
          <w:spacing w:val="-3"/>
        </w:rPr>
        <w:t> </w:t>
      </w:r>
      <w:r>
        <w:rPr/>
        <w:t>to</w:t>
      </w:r>
      <w:r>
        <w:rPr>
          <w:spacing w:val="-4"/>
        </w:rPr>
        <w:t> </w:t>
      </w:r>
      <w:r>
        <w:rPr/>
        <w:t>100</w:t>
      </w:r>
      <w:r>
        <w:rPr>
          <w:spacing w:val="-6"/>
        </w:rPr>
        <w:t> </w:t>
      </w:r>
      <w:r>
        <w:rPr/>
        <w:t>ms)</w:t>
      </w:r>
      <w:r>
        <w:rPr>
          <w:spacing w:val="-5"/>
        </w:rPr>
        <w:t> </w:t>
      </w:r>
      <w:r>
        <w:rPr/>
        <w:t>to</w:t>
      </w:r>
      <w:r>
        <w:rPr>
          <w:spacing w:val="-6"/>
        </w:rPr>
        <w:t> </w:t>
      </w:r>
      <w:r>
        <w:rPr/>
        <w:t>the</w:t>
      </w:r>
      <w:r>
        <w:rPr>
          <w:spacing w:val="-6"/>
        </w:rPr>
        <w:t> </w:t>
      </w:r>
      <w:r>
        <w:rPr/>
        <w:t>total</w:t>
      </w:r>
      <w:r>
        <w:rPr>
          <w:spacing w:val="-5"/>
        </w:rPr>
        <w:t> </w:t>
      </w:r>
      <w:r>
        <w:rPr/>
        <w:t>number</w:t>
      </w:r>
      <w:r>
        <w:rPr>
          <w:spacing w:val="-5"/>
        </w:rPr>
        <w:t> </w:t>
      </w:r>
      <w:r>
        <w:rPr/>
        <w:t>of</w:t>
      </w:r>
      <w:r>
        <w:rPr>
          <w:spacing w:val="-4"/>
        </w:rPr>
        <w:t> </w:t>
      </w:r>
      <w:r>
        <w:rPr/>
        <w:t>IPG</w:t>
      </w:r>
      <w:r>
        <w:rPr>
          <w:spacing w:val="-4"/>
        </w:rPr>
        <w:t> </w:t>
      </w:r>
      <w:r>
        <w:rPr/>
        <w:t>data</w:t>
      </w:r>
      <w:r>
        <w:rPr>
          <w:spacing w:val="-1"/>
        </w:rPr>
        <w:t> </w:t>
      </w:r>
      <w:r>
        <w:rPr/>
        <w:t>points</w:t>
      </w:r>
      <w:r>
        <w:rPr>
          <w:spacing w:val="-5"/>
        </w:rPr>
        <w:t> </w:t>
      </w:r>
      <w:r>
        <w:rPr/>
        <w:t>collected.</w:t>
      </w:r>
      <w:r>
        <w:rPr>
          <w:spacing w:val="-4"/>
        </w:rPr>
        <w:t> </w:t>
      </w:r>
      <w:r>
        <w:rPr/>
        <w:t>RSSI</w:t>
      </w:r>
      <w:r>
        <w:rPr>
          <w:spacing w:val="-1"/>
        </w:rPr>
        <w:t> </w:t>
      </w:r>
      <w:r>
        <w:rPr/>
        <w:t>was collected at the DSRC OBU. It represents the estimate of the receive signal power as a function of distance for</w:t>
      </w:r>
      <w:r>
        <w:rPr>
          <w:spacing w:val="-7"/>
        </w:rPr>
        <w:t> </w:t>
      </w:r>
      <w:r>
        <w:rPr/>
        <w:t>both</w:t>
      </w:r>
      <w:r>
        <w:rPr>
          <w:spacing w:val="-8"/>
        </w:rPr>
        <w:t> </w:t>
      </w:r>
      <w:r>
        <w:rPr/>
        <w:t>technologies.</w:t>
      </w:r>
      <w:r>
        <w:rPr>
          <w:spacing w:val="-5"/>
        </w:rPr>
        <w:t> </w:t>
      </w:r>
      <w:r>
        <w:rPr/>
        <w:t>Average</w:t>
      </w:r>
      <w:r>
        <w:rPr>
          <w:spacing w:val="-8"/>
        </w:rPr>
        <w:t> </w:t>
      </w:r>
      <w:r>
        <w:rPr/>
        <w:t>RSSI</w:t>
      </w:r>
      <w:r>
        <w:rPr>
          <w:spacing w:val="-5"/>
        </w:rPr>
        <w:t> </w:t>
      </w:r>
      <w:r>
        <w:rPr/>
        <w:t>over</w:t>
      </w:r>
      <w:r>
        <w:rPr>
          <w:spacing w:val="-5"/>
        </w:rPr>
        <w:t> </w:t>
      </w:r>
      <w:r>
        <w:rPr/>
        <w:t>all</w:t>
      </w:r>
      <w:r>
        <w:rPr>
          <w:spacing w:val="-6"/>
        </w:rPr>
        <w:t> </w:t>
      </w:r>
      <w:r>
        <w:rPr/>
        <w:t>loops</w:t>
      </w:r>
      <w:r>
        <w:rPr>
          <w:spacing w:val="-7"/>
        </w:rPr>
        <w:t> </w:t>
      </w:r>
      <w:r>
        <w:rPr/>
        <w:t>is</w:t>
      </w:r>
      <w:r>
        <w:rPr>
          <w:spacing w:val="-7"/>
        </w:rPr>
        <w:t> </w:t>
      </w:r>
      <w:r>
        <w:rPr/>
        <w:t>plotted</w:t>
      </w:r>
      <w:r>
        <w:rPr>
          <w:spacing w:val="-8"/>
        </w:rPr>
        <w:t> </w:t>
      </w:r>
      <w:r>
        <w:rPr/>
        <w:t>as</w:t>
      </w:r>
      <w:r>
        <w:rPr>
          <w:spacing w:val="-5"/>
        </w:rPr>
        <w:t> </w:t>
      </w:r>
      <w:r>
        <w:rPr/>
        <w:t>a</w:t>
      </w:r>
      <w:r>
        <w:rPr>
          <w:spacing w:val="-8"/>
        </w:rPr>
        <w:t> </w:t>
      </w:r>
      <w:r>
        <w:rPr/>
        <w:t>function</w:t>
      </w:r>
      <w:r>
        <w:rPr>
          <w:spacing w:val="-8"/>
        </w:rPr>
        <w:t> </w:t>
      </w:r>
      <w:r>
        <w:rPr/>
        <w:t>of</w:t>
      </w:r>
      <w:r>
        <w:rPr>
          <w:spacing w:val="-6"/>
        </w:rPr>
        <w:t> </w:t>
      </w:r>
      <w:r>
        <w:rPr/>
        <w:t>the</w:t>
      </w:r>
      <w:r>
        <w:rPr>
          <w:spacing w:val="-8"/>
        </w:rPr>
        <w:t> </w:t>
      </w:r>
      <w:r>
        <w:rPr/>
        <w:t>distance</w:t>
      </w:r>
      <w:r>
        <w:rPr>
          <w:spacing w:val="-8"/>
        </w:rPr>
        <w:t> </w:t>
      </w:r>
      <w:r>
        <w:rPr/>
        <w:t>between</w:t>
      </w:r>
      <w:r>
        <w:rPr>
          <w:spacing w:val="-8"/>
        </w:rPr>
        <w:t> </w:t>
      </w:r>
      <w:r>
        <w:rPr/>
        <w:t>the</w:t>
      </w:r>
      <w:r>
        <w:rPr>
          <w:spacing w:val="-6"/>
        </w:rPr>
        <w:t> </w:t>
      </w:r>
      <w:r>
        <w:rPr/>
        <w:t>SV</w:t>
      </w:r>
      <w:r>
        <w:rPr>
          <w:spacing w:val="-6"/>
        </w:rPr>
        <w:t> </w:t>
      </w:r>
      <w:r>
        <w:rPr/>
        <w:t>and MV. It provides an insight into the path loss characteristics of a particular test</w:t>
      </w:r>
      <w:r>
        <w:rPr>
          <w:spacing w:val="-29"/>
        </w:rPr>
        <w:t> </w:t>
      </w:r>
      <w:r>
        <w:rPr/>
        <w:t>track.</w:t>
      </w:r>
    </w:p>
    <w:p>
      <w:pPr>
        <w:pStyle w:val="BodyText"/>
      </w:pPr>
    </w:p>
    <w:p>
      <w:pPr>
        <w:pStyle w:val="BodyText"/>
      </w:pPr>
    </w:p>
    <w:p>
      <w:pPr>
        <w:pStyle w:val="BodyText"/>
        <w:spacing w:before="8"/>
        <w:rPr>
          <w:sz w:val="10"/>
        </w:rPr>
      </w:pPr>
      <w:r>
        <w:rPr/>
        <w:pict>
          <v:line style="position:absolute;mso-position-horizontal-relative:page;mso-position-vertical-relative:paragraph;z-index:7672;mso-wrap-distance-left:0;mso-wrap-distance-right:0" from="56.664001pt,8.367938pt" to="200.684001pt,8.367938pt" stroked="true" strokeweight=".48pt" strokecolor="#000000">
            <v:stroke dashstyle="solid"/>
            <w10:wrap type="topAndBottom"/>
          </v:line>
        </w:pict>
      </w:r>
    </w:p>
    <w:p>
      <w:pPr>
        <w:pStyle w:val="BodyText"/>
        <w:spacing w:before="4"/>
        <w:rPr>
          <w:sz w:val="12"/>
        </w:rPr>
      </w:pPr>
    </w:p>
    <w:p>
      <w:pPr>
        <w:pStyle w:val="ListParagraph"/>
        <w:numPr>
          <w:ilvl w:val="0"/>
          <w:numId w:val="45"/>
        </w:numPr>
        <w:tabs>
          <w:tab w:pos="1256" w:val="left" w:leader="none"/>
        </w:tabs>
        <w:spacing w:line="243" w:lineRule="exact" w:before="94" w:after="0"/>
        <w:ind w:left="1224" w:right="0" w:hanging="91"/>
        <w:jc w:val="left"/>
        <w:rPr>
          <w:rFonts w:ascii="Times New Roman"/>
          <w:sz w:val="16"/>
        </w:rPr>
      </w:pPr>
      <w:r>
        <w:rPr>
          <w:rFonts w:ascii="Times New Roman"/>
          <w:sz w:val="16"/>
        </w:rPr>
        <w:t>Selected</w:t>
      </w:r>
      <w:r>
        <w:rPr>
          <w:rFonts w:ascii="Times New Roman"/>
          <w:spacing w:val="-4"/>
          <w:sz w:val="16"/>
        </w:rPr>
        <w:t> </w:t>
      </w:r>
      <w:r>
        <w:rPr>
          <w:rFonts w:ascii="Times New Roman"/>
          <w:sz w:val="16"/>
        </w:rPr>
        <w:t>parameters</w:t>
      </w:r>
      <w:r>
        <w:rPr>
          <w:rFonts w:ascii="Times New Roman"/>
          <w:spacing w:val="-5"/>
          <w:sz w:val="16"/>
        </w:rPr>
        <w:t> </w:t>
      </w:r>
      <w:r>
        <w:rPr>
          <w:rFonts w:ascii="Times New Roman"/>
          <w:sz w:val="16"/>
        </w:rPr>
        <w:t>include</w:t>
      </w:r>
      <w:r>
        <w:rPr>
          <w:rFonts w:ascii="Times New Roman"/>
          <w:spacing w:val="-5"/>
          <w:sz w:val="16"/>
        </w:rPr>
        <w:t> </w:t>
      </w:r>
      <w:r>
        <w:rPr>
          <w:rFonts w:ascii="Times New Roman"/>
          <w:b/>
          <w:sz w:val="16"/>
        </w:rPr>
        <w:t>standard</w:t>
      </w:r>
      <w:r>
        <w:rPr>
          <w:rFonts w:ascii="Times New Roman"/>
          <w:b/>
          <w:spacing w:val="-5"/>
          <w:sz w:val="16"/>
        </w:rPr>
        <w:t> </w:t>
      </w:r>
      <w:r>
        <w:rPr>
          <w:rFonts w:ascii="Times New Roman"/>
          <w:b/>
          <w:sz w:val="16"/>
        </w:rPr>
        <w:t>options</w:t>
      </w:r>
      <w:r>
        <w:rPr>
          <w:rFonts w:ascii="Times New Roman"/>
          <w:sz w:val="16"/>
        </w:rPr>
        <w:t>.</w:t>
      </w:r>
      <w:r>
        <w:rPr>
          <w:rFonts w:ascii="Times New Roman"/>
          <w:spacing w:val="-4"/>
          <w:sz w:val="16"/>
        </w:rPr>
        <w:t> </w:t>
      </w:r>
      <w:r>
        <w:rPr>
          <w:rFonts w:ascii="Times New Roman"/>
          <w:sz w:val="16"/>
        </w:rPr>
        <w:t>Proprietary</w:t>
      </w:r>
      <w:r>
        <w:rPr>
          <w:rFonts w:ascii="Times New Roman"/>
          <w:spacing w:val="-8"/>
          <w:sz w:val="16"/>
        </w:rPr>
        <w:t> </w:t>
      </w:r>
      <w:r>
        <w:rPr>
          <w:rFonts w:ascii="Times New Roman"/>
          <w:sz w:val="16"/>
        </w:rPr>
        <w:t>options</w:t>
      </w:r>
      <w:r>
        <w:rPr>
          <w:rFonts w:ascii="Times New Roman"/>
          <w:spacing w:val="-7"/>
          <w:sz w:val="16"/>
        </w:rPr>
        <w:t> </w:t>
      </w:r>
      <w:r>
        <w:rPr>
          <w:rFonts w:ascii="Times New Roman"/>
          <w:sz w:val="16"/>
        </w:rPr>
        <w:t>were</w:t>
      </w:r>
      <w:r>
        <w:rPr>
          <w:rFonts w:ascii="Times New Roman"/>
          <w:spacing w:val="-7"/>
          <w:sz w:val="16"/>
        </w:rPr>
        <w:t> </w:t>
      </w:r>
      <w:r>
        <w:rPr>
          <w:rFonts w:ascii="Times New Roman"/>
          <w:sz w:val="16"/>
        </w:rPr>
        <w:t>not</w:t>
      </w:r>
      <w:r>
        <w:rPr>
          <w:rFonts w:ascii="Times New Roman"/>
          <w:spacing w:val="-4"/>
          <w:sz w:val="16"/>
        </w:rPr>
        <w:t> </w:t>
      </w:r>
      <w:r>
        <w:rPr>
          <w:rFonts w:ascii="Times New Roman"/>
          <w:sz w:val="16"/>
        </w:rPr>
        <w:t>considered.</w:t>
      </w:r>
    </w:p>
    <w:p>
      <w:pPr>
        <w:pStyle w:val="ListParagraph"/>
        <w:numPr>
          <w:ilvl w:val="0"/>
          <w:numId w:val="45"/>
        </w:numPr>
        <w:tabs>
          <w:tab w:pos="1256" w:val="left" w:leader="none"/>
        </w:tabs>
        <w:spacing w:line="243" w:lineRule="exact" w:before="0" w:after="0"/>
        <w:ind w:left="1255" w:right="0" w:hanging="122"/>
        <w:jc w:val="left"/>
        <w:rPr>
          <w:rFonts w:ascii="Times New Roman"/>
          <w:sz w:val="16"/>
        </w:rPr>
      </w:pPr>
      <w:r>
        <w:rPr>
          <w:rFonts w:ascii="Times New Roman"/>
          <w:sz w:val="16"/>
        </w:rPr>
        <w:t>Code</w:t>
      </w:r>
      <w:r>
        <w:rPr>
          <w:rFonts w:ascii="Times New Roman"/>
          <w:spacing w:val="-4"/>
          <w:sz w:val="16"/>
        </w:rPr>
        <w:t> </w:t>
      </w:r>
      <w:r>
        <w:rPr>
          <w:rFonts w:ascii="Times New Roman"/>
          <w:sz w:val="16"/>
        </w:rPr>
        <w:t>rates</w:t>
      </w:r>
      <w:r>
        <w:rPr>
          <w:rFonts w:ascii="Times New Roman"/>
          <w:spacing w:val="-3"/>
          <w:sz w:val="16"/>
        </w:rPr>
        <w:t> </w:t>
      </w:r>
      <w:r>
        <w:rPr>
          <w:rFonts w:ascii="Times New Roman"/>
          <w:sz w:val="16"/>
        </w:rPr>
        <w:t>of</w:t>
      </w:r>
      <w:r>
        <w:rPr>
          <w:rFonts w:ascii="Times New Roman"/>
          <w:spacing w:val="-3"/>
          <w:sz w:val="16"/>
        </w:rPr>
        <w:t> </w:t>
      </w:r>
      <w:r>
        <w:rPr>
          <w:rFonts w:ascii="Times New Roman"/>
          <w:sz w:val="16"/>
        </w:rPr>
        <w:t>0.5</w:t>
      </w:r>
      <w:r>
        <w:rPr>
          <w:rFonts w:ascii="Times New Roman"/>
          <w:spacing w:val="-3"/>
          <w:sz w:val="16"/>
        </w:rPr>
        <w:t> </w:t>
      </w:r>
      <w:r>
        <w:rPr>
          <w:rFonts w:ascii="Times New Roman"/>
          <w:sz w:val="16"/>
        </w:rPr>
        <w:t>and</w:t>
      </w:r>
      <w:r>
        <w:rPr>
          <w:rFonts w:ascii="Times New Roman"/>
          <w:spacing w:val="-3"/>
          <w:sz w:val="16"/>
        </w:rPr>
        <w:t> </w:t>
      </w:r>
      <w:r>
        <w:rPr>
          <w:rFonts w:ascii="Times New Roman"/>
          <w:sz w:val="16"/>
        </w:rPr>
        <w:t>0.46</w:t>
      </w:r>
      <w:r>
        <w:rPr>
          <w:rFonts w:ascii="Times New Roman"/>
          <w:spacing w:val="-2"/>
          <w:sz w:val="16"/>
        </w:rPr>
        <w:t> </w:t>
      </w:r>
      <w:r>
        <w:rPr>
          <w:rFonts w:ascii="Times New Roman"/>
          <w:sz w:val="16"/>
        </w:rPr>
        <w:t>for</w:t>
      </w:r>
      <w:r>
        <w:rPr>
          <w:rFonts w:ascii="Times New Roman"/>
          <w:spacing w:val="-3"/>
          <w:sz w:val="16"/>
        </w:rPr>
        <w:t> </w:t>
      </w:r>
      <w:r>
        <w:rPr>
          <w:rFonts w:ascii="Times New Roman"/>
          <w:sz w:val="16"/>
        </w:rPr>
        <w:t>DSRC</w:t>
      </w:r>
      <w:r>
        <w:rPr>
          <w:rFonts w:ascii="Times New Roman"/>
          <w:spacing w:val="-6"/>
          <w:sz w:val="16"/>
        </w:rPr>
        <w:t> </w:t>
      </w:r>
      <w:r>
        <w:rPr>
          <w:rFonts w:ascii="Times New Roman"/>
          <w:sz w:val="16"/>
        </w:rPr>
        <w:t>and</w:t>
      </w:r>
      <w:r>
        <w:rPr>
          <w:rFonts w:ascii="Times New Roman"/>
          <w:spacing w:val="-3"/>
          <w:sz w:val="16"/>
        </w:rPr>
        <w:t> </w:t>
      </w:r>
      <w:r>
        <w:rPr>
          <w:rFonts w:ascii="Times New Roman"/>
          <w:sz w:val="16"/>
        </w:rPr>
        <w:t>C-V2X,</w:t>
      </w:r>
      <w:r>
        <w:rPr>
          <w:rFonts w:ascii="Times New Roman"/>
          <w:spacing w:val="-2"/>
          <w:sz w:val="16"/>
        </w:rPr>
        <w:t> </w:t>
      </w:r>
      <w:r>
        <w:rPr>
          <w:rFonts w:ascii="Times New Roman"/>
          <w:sz w:val="16"/>
        </w:rPr>
        <w:t>respectively.</w:t>
      </w:r>
    </w:p>
    <w:p>
      <w:pPr>
        <w:pStyle w:val="ListParagraph"/>
        <w:numPr>
          <w:ilvl w:val="0"/>
          <w:numId w:val="45"/>
        </w:numPr>
        <w:tabs>
          <w:tab w:pos="1256" w:val="left" w:leader="none"/>
        </w:tabs>
        <w:spacing w:line="240" w:lineRule="auto" w:before="1" w:after="0"/>
        <w:ind w:left="1255" w:right="0" w:hanging="122"/>
        <w:jc w:val="left"/>
        <w:rPr>
          <w:rFonts w:ascii="Times New Roman"/>
          <w:sz w:val="16"/>
        </w:rPr>
      </w:pPr>
      <w:r>
        <w:rPr>
          <w:rFonts w:ascii="Times New Roman"/>
          <w:sz w:val="16"/>
        </w:rPr>
        <w:t>We</w:t>
      </w:r>
      <w:r>
        <w:rPr>
          <w:rFonts w:ascii="Times New Roman"/>
          <w:spacing w:val="-4"/>
          <w:sz w:val="16"/>
        </w:rPr>
        <w:t> </w:t>
      </w:r>
      <w:r>
        <w:rPr>
          <w:rFonts w:ascii="Times New Roman"/>
          <w:sz w:val="16"/>
        </w:rPr>
        <w:t>used</w:t>
      </w:r>
      <w:r>
        <w:rPr>
          <w:rFonts w:ascii="Times New Roman"/>
          <w:spacing w:val="-1"/>
          <w:sz w:val="16"/>
        </w:rPr>
        <w:t> </w:t>
      </w:r>
      <w:r>
        <w:rPr>
          <w:rFonts w:ascii="Times New Roman"/>
          <w:sz w:val="16"/>
        </w:rPr>
        <w:t>CH184</w:t>
      </w:r>
      <w:r>
        <w:rPr>
          <w:rFonts w:ascii="Times New Roman"/>
          <w:spacing w:val="-1"/>
          <w:sz w:val="16"/>
        </w:rPr>
        <w:t> </w:t>
      </w:r>
      <w:r>
        <w:rPr>
          <w:rFonts w:ascii="Times New Roman"/>
          <w:sz w:val="16"/>
        </w:rPr>
        <w:t>to</w:t>
      </w:r>
      <w:r>
        <w:rPr>
          <w:rFonts w:ascii="Times New Roman"/>
          <w:spacing w:val="-5"/>
          <w:sz w:val="16"/>
        </w:rPr>
        <w:t> </w:t>
      </w:r>
      <w:r>
        <w:rPr>
          <w:rFonts w:ascii="Times New Roman"/>
          <w:sz w:val="16"/>
        </w:rPr>
        <w:t>avoid</w:t>
      </w:r>
      <w:r>
        <w:rPr>
          <w:rFonts w:ascii="Times New Roman"/>
          <w:spacing w:val="-3"/>
          <w:sz w:val="16"/>
        </w:rPr>
        <w:t> </w:t>
      </w:r>
      <w:r>
        <w:rPr>
          <w:rFonts w:ascii="Times New Roman"/>
          <w:sz w:val="16"/>
        </w:rPr>
        <w:t>any</w:t>
      </w:r>
      <w:r>
        <w:rPr>
          <w:rFonts w:ascii="Times New Roman"/>
          <w:spacing w:val="-5"/>
          <w:sz w:val="16"/>
        </w:rPr>
        <w:t> </w:t>
      </w:r>
      <w:r>
        <w:rPr>
          <w:rFonts w:ascii="Times New Roman"/>
          <w:sz w:val="16"/>
        </w:rPr>
        <w:t>impact</w:t>
      </w:r>
      <w:r>
        <w:rPr>
          <w:rFonts w:ascii="Times New Roman"/>
          <w:spacing w:val="-5"/>
          <w:sz w:val="16"/>
        </w:rPr>
        <w:t> </w:t>
      </w:r>
      <w:r>
        <w:rPr>
          <w:rFonts w:ascii="Times New Roman"/>
          <w:sz w:val="16"/>
        </w:rPr>
        <w:t>of</w:t>
      </w:r>
      <w:r>
        <w:rPr>
          <w:rFonts w:ascii="Times New Roman"/>
          <w:spacing w:val="-3"/>
          <w:sz w:val="16"/>
        </w:rPr>
        <w:t> </w:t>
      </w:r>
      <w:r>
        <w:rPr>
          <w:rFonts w:ascii="Times New Roman"/>
          <w:sz w:val="16"/>
        </w:rPr>
        <w:t>the</w:t>
      </w:r>
      <w:r>
        <w:rPr>
          <w:rFonts w:ascii="Times New Roman"/>
          <w:spacing w:val="-4"/>
          <w:sz w:val="16"/>
        </w:rPr>
        <w:t> </w:t>
      </w:r>
      <w:r>
        <w:rPr>
          <w:rFonts w:ascii="Times New Roman"/>
          <w:sz w:val="16"/>
        </w:rPr>
        <w:t>existing</w:t>
      </w:r>
      <w:r>
        <w:rPr>
          <w:rFonts w:ascii="Times New Roman"/>
          <w:spacing w:val="-3"/>
          <w:sz w:val="16"/>
        </w:rPr>
        <w:t> </w:t>
      </w:r>
      <w:r>
        <w:rPr>
          <w:rFonts w:ascii="Times New Roman"/>
          <w:sz w:val="16"/>
        </w:rPr>
        <w:t>U-NII-3</w:t>
      </w:r>
      <w:r>
        <w:rPr>
          <w:rFonts w:ascii="Times New Roman"/>
          <w:spacing w:val="-1"/>
          <w:sz w:val="16"/>
        </w:rPr>
        <w:t> </w:t>
      </w:r>
      <w:r>
        <w:rPr>
          <w:rFonts w:ascii="Times New Roman"/>
          <w:sz w:val="16"/>
        </w:rPr>
        <w:t>devices</w:t>
      </w:r>
      <w:r>
        <w:rPr>
          <w:rFonts w:ascii="Times New Roman"/>
          <w:spacing w:val="-2"/>
          <w:sz w:val="16"/>
        </w:rPr>
        <w:t> </w:t>
      </w:r>
      <w:r>
        <w:rPr>
          <w:rFonts w:ascii="Times New Roman"/>
          <w:sz w:val="16"/>
        </w:rPr>
        <w:t>operating</w:t>
      </w:r>
      <w:r>
        <w:rPr>
          <w:rFonts w:ascii="Times New Roman"/>
          <w:spacing w:val="-5"/>
          <w:sz w:val="16"/>
        </w:rPr>
        <w:t> </w:t>
      </w:r>
      <w:r>
        <w:rPr>
          <w:rFonts w:ascii="Times New Roman"/>
          <w:sz w:val="16"/>
        </w:rPr>
        <w:t>near</w:t>
      </w:r>
      <w:r>
        <w:rPr>
          <w:rFonts w:ascii="Times New Roman"/>
          <w:spacing w:val="-3"/>
          <w:sz w:val="16"/>
        </w:rPr>
        <w:t> </w:t>
      </w:r>
      <w:r>
        <w:rPr>
          <w:rFonts w:ascii="Times New Roman"/>
          <w:sz w:val="16"/>
        </w:rPr>
        <w:t>the</w:t>
      </w:r>
      <w:r>
        <w:rPr>
          <w:rFonts w:ascii="Times New Roman"/>
          <w:spacing w:val="-4"/>
          <w:sz w:val="16"/>
        </w:rPr>
        <w:t> </w:t>
      </w:r>
      <w:r>
        <w:rPr>
          <w:rFonts w:ascii="Times New Roman"/>
          <w:sz w:val="16"/>
        </w:rPr>
        <w:t>test</w:t>
      </w:r>
      <w:r>
        <w:rPr>
          <w:rFonts w:ascii="Times New Roman"/>
          <w:spacing w:val="-3"/>
          <w:sz w:val="16"/>
        </w:rPr>
        <w:t> </w:t>
      </w:r>
      <w:r>
        <w:rPr>
          <w:rFonts w:ascii="Times New Roman"/>
          <w:sz w:val="16"/>
        </w:rPr>
        <w:t>track</w:t>
      </w:r>
      <w:r>
        <w:rPr>
          <w:rFonts w:ascii="Times New Roman"/>
          <w:spacing w:val="-3"/>
          <w:sz w:val="16"/>
        </w:rPr>
        <w:t> </w:t>
      </w:r>
      <w:r>
        <w:rPr>
          <w:rFonts w:ascii="Times New Roman"/>
          <w:sz w:val="16"/>
        </w:rPr>
        <w:t>that</w:t>
      </w:r>
      <w:r>
        <w:rPr>
          <w:rFonts w:ascii="Times New Roman"/>
          <w:spacing w:val="-3"/>
          <w:sz w:val="16"/>
        </w:rPr>
        <w:t> </w:t>
      </w:r>
      <w:r>
        <w:rPr>
          <w:rFonts w:ascii="Times New Roman"/>
          <w:sz w:val="16"/>
        </w:rPr>
        <w:t>we</w:t>
      </w:r>
      <w:r>
        <w:rPr>
          <w:rFonts w:ascii="Times New Roman"/>
          <w:spacing w:val="-4"/>
          <w:sz w:val="16"/>
        </w:rPr>
        <w:t> </w:t>
      </w:r>
      <w:r>
        <w:rPr>
          <w:rFonts w:ascii="Times New Roman"/>
          <w:sz w:val="16"/>
        </w:rPr>
        <w:t>do</w:t>
      </w:r>
      <w:r>
        <w:rPr>
          <w:rFonts w:ascii="Times New Roman"/>
          <w:spacing w:val="-3"/>
          <w:sz w:val="16"/>
        </w:rPr>
        <w:t> </w:t>
      </w:r>
      <w:r>
        <w:rPr>
          <w:rFonts w:ascii="Times New Roman"/>
          <w:sz w:val="16"/>
        </w:rPr>
        <w:t>not</w:t>
      </w:r>
      <w:r>
        <w:rPr>
          <w:rFonts w:ascii="Times New Roman"/>
          <w:spacing w:val="-3"/>
          <w:sz w:val="16"/>
        </w:rPr>
        <w:t> </w:t>
      </w:r>
      <w:r>
        <w:rPr>
          <w:rFonts w:ascii="Times New Roman"/>
          <w:sz w:val="16"/>
        </w:rPr>
        <w:t>have</w:t>
      </w:r>
      <w:r>
        <w:rPr>
          <w:rFonts w:ascii="Times New Roman"/>
          <w:spacing w:val="-4"/>
          <w:sz w:val="16"/>
        </w:rPr>
        <w:t> </w:t>
      </w:r>
      <w:r>
        <w:rPr>
          <w:rFonts w:ascii="Times New Roman"/>
          <w:sz w:val="16"/>
        </w:rPr>
        <w:t>control</w:t>
      </w:r>
      <w:r>
        <w:rPr>
          <w:rFonts w:ascii="Times New Roman"/>
          <w:spacing w:val="-3"/>
          <w:sz w:val="16"/>
        </w:rPr>
        <w:t> </w:t>
      </w:r>
      <w:r>
        <w:rPr>
          <w:rFonts w:ascii="Times New Roman"/>
          <w:sz w:val="16"/>
        </w:rPr>
        <w:t>over.</w:t>
      </w:r>
    </w:p>
    <w:p>
      <w:pPr>
        <w:pStyle w:val="ListParagraph"/>
        <w:numPr>
          <w:ilvl w:val="0"/>
          <w:numId w:val="45"/>
        </w:numPr>
        <w:tabs>
          <w:tab w:pos="1256" w:val="left" w:leader="none"/>
        </w:tabs>
        <w:spacing w:line="243" w:lineRule="exact" w:before="0" w:after="0"/>
        <w:ind w:left="1255" w:right="0" w:hanging="122"/>
        <w:jc w:val="left"/>
        <w:rPr>
          <w:rFonts w:ascii="Times New Roman" w:hAnsi="Times New Roman"/>
          <w:sz w:val="16"/>
        </w:rPr>
      </w:pPr>
      <w:r>
        <w:rPr>
          <w:rFonts w:ascii="Times New Roman" w:hAnsi="Times New Roman"/>
          <w:sz w:val="16"/>
        </w:rPr>
        <w:t>Antennas</w:t>
      </w:r>
      <w:r>
        <w:rPr>
          <w:rFonts w:ascii="Times New Roman" w:hAnsi="Times New Roman"/>
          <w:spacing w:val="-3"/>
          <w:sz w:val="16"/>
        </w:rPr>
        <w:t> </w:t>
      </w:r>
      <w:r>
        <w:rPr>
          <w:rFonts w:ascii="Times New Roman" w:hAnsi="Times New Roman"/>
          <w:sz w:val="16"/>
        </w:rPr>
        <w:t>were</w:t>
      </w:r>
      <w:r>
        <w:rPr>
          <w:rFonts w:ascii="Times New Roman" w:hAnsi="Times New Roman"/>
          <w:spacing w:val="-5"/>
          <w:sz w:val="16"/>
        </w:rPr>
        <w:t> </w:t>
      </w:r>
      <w:r>
        <w:rPr>
          <w:rFonts w:ascii="Times New Roman" w:hAnsi="Times New Roman"/>
          <w:sz w:val="16"/>
        </w:rPr>
        <w:t>mounted</w:t>
      </w:r>
      <w:r>
        <w:rPr>
          <w:rFonts w:ascii="Times New Roman" w:hAnsi="Times New Roman"/>
          <w:spacing w:val="-4"/>
          <w:sz w:val="16"/>
        </w:rPr>
        <w:t> </w:t>
      </w:r>
      <w:r>
        <w:rPr>
          <w:rFonts w:ascii="Times New Roman" w:hAnsi="Times New Roman"/>
          <w:sz w:val="16"/>
        </w:rPr>
        <w:t>24</w:t>
      </w:r>
      <w:r>
        <w:rPr>
          <w:rFonts w:ascii="Times New Roman" w:hAnsi="Times New Roman"/>
          <w:spacing w:val="-4"/>
          <w:sz w:val="16"/>
        </w:rPr>
        <w:t> </w:t>
      </w:r>
      <w:r>
        <w:rPr>
          <w:rFonts w:ascii="Times New Roman" w:hAnsi="Times New Roman"/>
          <w:sz w:val="16"/>
        </w:rPr>
        <w:t>inches</w:t>
      </w:r>
      <w:r>
        <w:rPr>
          <w:rFonts w:ascii="Times New Roman" w:hAnsi="Times New Roman"/>
          <w:spacing w:val="-3"/>
          <w:sz w:val="16"/>
        </w:rPr>
        <w:t> </w:t>
      </w:r>
      <w:r>
        <w:rPr>
          <w:rFonts w:ascii="Times New Roman" w:hAnsi="Times New Roman"/>
          <w:sz w:val="16"/>
        </w:rPr>
        <w:t>apart</w:t>
      </w:r>
      <w:r>
        <w:rPr>
          <w:rFonts w:ascii="Times New Roman" w:hAnsi="Times New Roman"/>
          <w:spacing w:val="-2"/>
          <w:sz w:val="16"/>
        </w:rPr>
        <w:t> </w:t>
      </w:r>
      <w:r>
        <w:rPr>
          <w:rFonts w:ascii="Times New Roman" w:hAnsi="Times New Roman"/>
          <w:sz w:val="16"/>
        </w:rPr>
        <w:t>in</w:t>
      </w:r>
      <w:r>
        <w:rPr>
          <w:rFonts w:ascii="Times New Roman" w:hAnsi="Times New Roman"/>
          <w:spacing w:val="-4"/>
          <w:sz w:val="16"/>
        </w:rPr>
        <w:t> </w:t>
      </w:r>
      <w:r>
        <w:rPr>
          <w:rFonts w:ascii="Times New Roman" w:hAnsi="Times New Roman"/>
          <w:sz w:val="16"/>
        </w:rPr>
        <w:t>the</w:t>
      </w:r>
      <w:r>
        <w:rPr>
          <w:rFonts w:ascii="Times New Roman" w:hAnsi="Times New Roman"/>
          <w:spacing w:val="-5"/>
          <w:sz w:val="16"/>
        </w:rPr>
        <w:t> </w:t>
      </w:r>
      <w:r>
        <w:rPr>
          <w:rFonts w:ascii="Times New Roman" w:hAnsi="Times New Roman"/>
          <w:sz w:val="16"/>
        </w:rPr>
        <w:t>middle</w:t>
      </w:r>
      <w:r>
        <w:rPr>
          <w:rFonts w:ascii="Times New Roman" w:hAnsi="Times New Roman"/>
          <w:spacing w:val="-5"/>
          <w:sz w:val="16"/>
        </w:rPr>
        <w:t> </w:t>
      </w:r>
      <w:r>
        <w:rPr>
          <w:rFonts w:ascii="Times New Roman" w:hAnsi="Times New Roman"/>
          <w:sz w:val="16"/>
        </w:rPr>
        <w:t>of</w:t>
      </w:r>
      <w:r>
        <w:rPr>
          <w:rFonts w:ascii="Times New Roman" w:hAnsi="Times New Roman"/>
          <w:spacing w:val="-4"/>
          <w:sz w:val="16"/>
        </w:rPr>
        <w:t> </w:t>
      </w:r>
      <w:r>
        <w:rPr>
          <w:rFonts w:ascii="Times New Roman" w:hAnsi="Times New Roman"/>
          <w:sz w:val="16"/>
        </w:rPr>
        <w:t>the</w:t>
      </w:r>
      <w:r>
        <w:rPr>
          <w:rFonts w:ascii="Times New Roman" w:hAnsi="Times New Roman"/>
          <w:spacing w:val="-5"/>
          <w:sz w:val="16"/>
        </w:rPr>
        <w:t> </w:t>
      </w:r>
      <w:r>
        <w:rPr>
          <w:rFonts w:ascii="Times New Roman" w:hAnsi="Times New Roman"/>
          <w:sz w:val="16"/>
        </w:rPr>
        <w:t>roof</w:t>
      </w:r>
      <w:r>
        <w:rPr>
          <w:rFonts w:ascii="Times New Roman" w:hAnsi="Times New Roman"/>
          <w:spacing w:val="-4"/>
          <w:sz w:val="16"/>
        </w:rPr>
        <w:t> </w:t>
      </w:r>
      <w:r>
        <w:rPr>
          <w:rFonts w:ascii="Times New Roman" w:hAnsi="Times New Roman"/>
          <w:sz w:val="16"/>
        </w:rPr>
        <w:t>(driver</w:t>
      </w:r>
      <w:r>
        <w:rPr>
          <w:rFonts w:ascii="Times New Roman" w:hAnsi="Times New Roman"/>
          <w:spacing w:val="-4"/>
          <w:sz w:val="16"/>
        </w:rPr>
        <w:t> </w:t>
      </w:r>
      <w:r>
        <w:rPr>
          <w:rFonts w:ascii="Times New Roman" w:hAnsi="Times New Roman"/>
          <w:sz w:val="16"/>
        </w:rPr>
        <w:t>side</w:t>
      </w:r>
      <w:r>
        <w:rPr>
          <w:rFonts w:ascii="Times New Roman" w:hAnsi="Times New Roman"/>
          <w:spacing w:val="-5"/>
          <w:sz w:val="16"/>
        </w:rPr>
        <w:t> </w:t>
      </w:r>
      <w:r>
        <w:rPr>
          <w:rFonts w:ascii="Times New Roman" w:hAnsi="Times New Roman"/>
          <w:sz w:val="16"/>
        </w:rPr>
        <w:t>Primary,</w:t>
      </w:r>
      <w:r>
        <w:rPr>
          <w:rFonts w:ascii="Times New Roman" w:hAnsi="Times New Roman"/>
          <w:spacing w:val="-2"/>
          <w:sz w:val="16"/>
        </w:rPr>
        <w:t> </w:t>
      </w:r>
      <w:r>
        <w:rPr>
          <w:rFonts w:ascii="Times New Roman" w:hAnsi="Times New Roman"/>
          <w:sz w:val="16"/>
        </w:rPr>
        <w:t>passenger</w:t>
      </w:r>
      <w:r>
        <w:rPr>
          <w:rFonts w:ascii="Times New Roman" w:hAnsi="Times New Roman"/>
          <w:spacing w:val="-4"/>
          <w:sz w:val="16"/>
        </w:rPr>
        <w:t> </w:t>
      </w:r>
      <w:r>
        <w:rPr>
          <w:rFonts w:ascii="Times New Roman" w:hAnsi="Times New Roman"/>
          <w:sz w:val="16"/>
        </w:rPr>
        <w:t>side</w:t>
      </w:r>
      <w:r>
        <w:rPr>
          <w:rFonts w:ascii="Times New Roman" w:hAnsi="Times New Roman"/>
          <w:spacing w:val="-5"/>
          <w:sz w:val="16"/>
        </w:rPr>
        <w:t> </w:t>
      </w:r>
      <w:r>
        <w:rPr>
          <w:rFonts w:ascii="Times New Roman" w:hAnsi="Times New Roman"/>
          <w:sz w:val="16"/>
        </w:rPr>
        <w:t>Secondary</w:t>
      </w:r>
      <w:r>
        <w:rPr>
          <w:rFonts w:ascii="Times New Roman" w:hAnsi="Times New Roman"/>
          <w:spacing w:val="4"/>
          <w:sz w:val="16"/>
        </w:rPr>
        <w:t> </w:t>
      </w:r>
      <w:r>
        <w:rPr>
          <w:rFonts w:ascii="Times New Roman" w:hAnsi="Times New Roman"/>
          <w:sz w:val="16"/>
        </w:rPr>
        <w:t>–</w:t>
      </w:r>
      <w:r>
        <w:rPr>
          <w:rFonts w:ascii="Times New Roman" w:hAnsi="Times New Roman"/>
          <w:spacing w:val="-1"/>
          <w:sz w:val="16"/>
        </w:rPr>
        <w:t> </w:t>
      </w:r>
      <w:r>
        <w:rPr>
          <w:rFonts w:ascii="Times New Roman" w:hAnsi="Times New Roman"/>
          <w:sz w:val="16"/>
        </w:rPr>
        <w:t>Primary</w:t>
      </w:r>
      <w:r>
        <w:rPr>
          <w:rFonts w:ascii="Times New Roman" w:hAnsi="Times New Roman"/>
          <w:spacing w:val="-6"/>
          <w:sz w:val="16"/>
        </w:rPr>
        <w:t> </w:t>
      </w:r>
      <w:r>
        <w:rPr>
          <w:rFonts w:ascii="Times New Roman" w:hAnsi="Times New Roman"/>
          <w:sz w:val="16"/>
        </w:rPr>
        <w:t>used</w:t>
      </w:r>
      <w:r>
        <w:rPr>
          <w:rFonts w:ascii="Times New Roman" w:hAnsi="Times New Roman"/>
          <w:spacing w:val="-2"/>
          <w:sz w:val="16"/>
        </w:rPr>
        <w:t> </w:t>
      </w:r>
      <w:r>
        <w:rPr>
          <w:rFonts w:ascii="Times New Roman" w:hAnsi="Times New Roman"/>
          <w:sz w:val="16"/>
        </w:rPr>
        <w:t>for</w:t>
      </w:r>
      <w:r>
        <w:rPr>
          <w:rFonts w:ascii="Times New Roman" w:hAnsi="Times New Roman"/>
          <w:spacing w:val="-4"/>
          <w:sz w:val="16"/>
        </w:rPr>
        <w:t> </w:t>
      </w:r>
      <w:r>
        <w:rPr>
          <w:rFonts w:ascii="Times New Roman" w:hAnsi="Times New Roman"/>
          <w:sz w:val="16"/>
        </w:rPr>
        <w:t>Tx).</w:t>
      </w:r>
    </w:p>
    <w:p>
      <w:pPr>
        <w:pStyle w:val="ListParagraph"/>
        <w:numPr>
          <w:ilvl w:val="0"/>
          <w:numId w:val="45"/>
        </w:numPr>
        <w:tabs>
          <w:tab w:pos="1256" w:val="left" w:leader="none"/>
        </w:tabs>
        <w:spacing w:line="240" w:lineRule="auto" w:before="0" w:after="0"/>
        <w:ind w:left="1224" w:right="1181" w:hanging="91"/>
        <w:jc w:val="left"/>
        <w:rPr>
          <w:rFonts w:ascii="Times New Roman"/>
          <w:sz w:val="16"/>
        </w:rPr>
      </w:pPr>
      <w:r>
        <w:rPr>
          <w:rFonts w:ascii="Times New Roman"/>
          <w:sz w:val="16"/>
        </w:rPr>
        <w:t>Equivalent Tx power is the OBU total Tx power out minus attenuation on each RF antenna cable. Tx power was 21 dBm and the total attenuation was 10 dB (on both Rx ends combined) resulting in 11 dBm equivalent Tx power. Note that for DSRC OBU the matching Tx power was 23 dBm. To simplify, we will refer to Tx powers of both OBUs as 21 dBm. We have also done tests with 5 dBm equivalent transmit power by introducing 16 dB of total attenuation. This was done to fit the C-V2X range into the test track as well as match the same setting in previous tests by the industry (USDOT NHTSA, CAMP, September</w:t>
      </w:r>
      <w:r>
        <w:rPr>
          <w:rFonts w:ascii="Times New Roman"/>
          <w:spacing w:val="-16"/>
          <w:sz w:val="16"/>
        </w:rPr>
        <w:t> </w:t>
      </w:r>
      <w:r>
        <w:rPr>
          <w:rFonts w:ascii="Times New Roman"/>
          <w:sz w:val="16"/>
        </w:rPr>
        <w:t>2011).</w:t>
      </w:r>
    </w:p>
    <w:p>
      <w:pPr>
        <w:spacing w:after="0" w:line="240" w:lineRule="auto"/>
        <w:jc w:val="left"/>
        <w:rPr>
          <w:rFonts w:ascii="Times New Roman"/>
          <w:sz w:val="16"/>
        </w:rPr>
        <w:sectPr>
          <w:headerReference w:type="default" r:id="rId333"/>
          <w:pgSz w:w="11910" w:h="16850"/>
          <w:pgMar w:header="852" w:footer="876" w:top="1040" w:bottom="1060" w:left="0" w:right="0"/>
        </w:sectPr>
      </w:pPr>
    </w:p>
    <w:p>
      <w:pPr>
        <w:pStyle w:val="BodyText"/>
        <w:spacing w:before="4"/>
        <w:rPr>
          <w:rFonts w:ascii="Times New Roman"/>
          <w:sz w:val="23"/>
        </w:rPr>
      </w:pPr>
    </w:p>
    <w:p>
      <w:pPr>
        <w:pStyle w:val="Heading2"/>
        <w:numPr>
          <w:ilvl w:val="1"/>
          <w:numId w:val="44"/>
        </w:numPr>
        <w:tabs>
          <w:tab w:pos="2266" w:val="left" w:leader="none"/>
        </w:tabs>
        <w:spacing w:line="240" w:lineRule="auto" w:before="89" w:after="0"/>
        <w:ind w:left="2266" w:right="0" w:hanging="1133"/>
        <w:jc w:val="both"/>
      </w:pPr>
      <w:bookmarkStart w:name="_bookmark147" w:id="225"/>
      <w:bookmarkEnd w:id="225"/>
      <w:r>
        <w:rPr/>
      </w:r>
      <w:bookmarkStart w:name="_bookmark147" w:id="226"/>
      <w:bookmarkEnd w:id="226"/>
      <w:r>
        <w:rPr/>
        <w:t>Rang</w:t>
      </w:r>
      <w:r>
        <w:rPr/>
        <w:t>e</w:t>
      </w:r>
      <w:r>
        <w:rPr>
          <w:spacing w:val="-12"/>
        </w:rPr>
        <w:t> </w:t>
      </w:r>
      <w:r>
        <w:rPr/>
        <w:t>tests</w:t>
      </w:r>
    </w:p>
    <w:p>
      <w:pPr>
        <w:pStyle w:val="BodyText"/>
        <w:spacing w:before="180"/>
        <w:ind w:left="1133" w:right="1131"/>
        <w:jc w:val="both"/>
      </w:pPr>
      <w:r>
        <w:rPr/>
        <w:t>Range tests verify the distance at which a V2V technology achieves communication in various scenarios. Range</w:t>
      </w:r>
      <w:r>
        <w:rPr>
          <w:spacing w:val="-14"/>
        </w:rPr>
        <w:t> </w:t>
      </w:r>
      <w:r>
        <w:rPr/>
        <w:t>or</w:t>
      </w:r>
      <w:r>
        <w:rPr>
          <w:spacing w:val="-13"/>
        </w:rPr>
        <w:t> </w:t>
      </w:r>
      <w:r>
        <w:rPr/>
        <w:t>reliability</w:t>
      </w:r>
      <w:r>
        <w:rPr>
          <w:spacing w:val="-17"/>
        </w:rPr>
        <w:t> </w:t>
      </w:r>
      <w:r>
        <w:rPr/>
        <w:t>tests</w:t>
      </w:r>
      <w:r>
        <w:rPr>
          <w:spacing w:val="-13"/>
        </w:rPr>
        <w:t> </w:t>
      </w:r>
      <w:r>
        <w:rPr/>
        <w:t>also</w:t>
      </w:r>
      <w:r>
        <w:rPr>
          <w:spacing w:val="-14"/>
        </w:rPr>
        <w:t> </w:t>
      </w:r>
      <w:r>
        <w:rPr/>
        <w:t>verify</w:t>
      </w:r>
      <w:r>
        <w:rPr>
          <w:spacing w:val="-17"/>
        </w:rPr>
        <w:t> </w:t>
      </w:r>
      <w:r>
        <w:rPr/>
        <w:t>the</w:t>
      </w:r>
      <w:r>
        <w:rPr>
          <w:spacing w:val="-15"/>
        </w:rPr>
        <w:t> </w:t>
      </w:r>
      <w:r>
        <w:rPr/>
        <w:t>reliability</w:t>
      </w:r>
      <w:r>
        <w:rPr>
          <w:spacing w:val="-17"/>
        </w:rPr>
        <w:t> </w:t>
      </w:r>
      <w:r>
        <w:rPr/>
        <w:t>of</w:t>
      </w:r>
      <w:r>
        <w:rPr>
          <w:spacing w:val="-12"/>
        </w:rPr>
        <w:t> </w:t>
      </w:r>
      <w:r>
        <w:rPr/>
        <w:t>basic</w:t>
      </w:r>
      <w:r>
        <w:rPr>
          <w:spacing w:val="-13"/>
        </w:rPr>
        <w:t> </w:t>
      </w:r>
      <w:r>
        <w:rPr/>
        <w:t>safety</w:t>
      </w:r>
      <w:r>
        <w:rPr>
          <w:spacing w:val="-20"/>
        </w:rPr>
        <w:t> </w:t>
      </w:r>
      <w:r>
        <w:rPr/>
        <w:t>packet</w:t>
      </w:r>
      <w:r>
        <w:rPr>
          <w:spacing w:val="-14"/>
        </w:rPr>
        <w:t> </w:t>
      </w:r>
      <w:r>
        <w:rPr/>
        <w:t>communication</w:t>
      </w:r>
      <w:r>
        <w:rPr>
          <w:spacing w:val="-12"/>
        </w:rPr>
        <w:t> </w:t>
      </w:r>
      <w:r>
        <w:rPr/>
        <w:t>as</w:t>
      </w:r>
      <w:r>
        <w:rPr>
          <w:spacing w:val="-13"/>
        </w:rPr>
        <w:t> </w:t>
      </w:r>
      <w:r>
        <w:rPr/>
        <w:t>a</w:t>
      </w:r>
      <w:r>
        <w:rPr>
          <w:spacing w:val="-14"/>
        </w:rPr>
        <w:t> </w:t>
      </w:r>
      <w:r>
        <w:rPr/>
        <w:t>function</w:t>
      </w:r>
      <w:r>
        <w:rPr>
          <w:spacing w:val="-14"/>
        </w:rPr>
        <w:t> </w:t>
      </w:r>
      <w:r>
        <w:rPr/>
        <w:t>of</w:t>
      </w:r>
      <w:r>
        <w:rPr>
          <w:spacing w:val="-12"/>
        </w:rPr>
        <w:t> </w:t>
      </w:r>
      <w:r>
        <w:rPr/>
        <w:t>distance between the vehicles. Range test scenarios are categorized as</w:t>
      </w:r>
      <w:r>
        <w:rPr>
          <w:spacing w:val="-25"/>
        </w:rPr>
        <w:t> </w:t>
      </w:r>
      <w:r>
        <w:rPr/>
        <w:t>follows:</w:t>
      </w:r>
    </w:p>
    <w:p>
      <w:pPr>
        <w:pStyle w:val="ListParagraph"/>
        <w:numPr>
          <w:ilvl w:val="1"/>
          <w:numId w:val="6"/>
        </w:numPr>
        <w:tabs>
          <w:tab w:pos="1417" w:val="left" w:leader="none"/>
        </w:tabs>
        <w:spacing w:line="240" w:lineRule="auto" w:before="179" w:after="0"/>
        <w:ind w:left="1416" w:right="0" w:hanging="283"/>
        <w:jc w:val="both"/>
        <w:rPr>
          <w:sz w:val="20"/>
        </w:rPr>
      </w:pPr>
      <w:r>
        <w:rPr>
          <w:sz w:val="20"/>
        </w:rPr>
        <w:t>Line-of-Sight (LOS)</w:t>
      </w:r>
      <w:r>
        <w:rPr>
          <w:spacing w:val="-10"/>
          <w:sz w:val="20"/>
        </w:rPr>
        <w:t> </w:t>
      </w:r>
      <w:r>
        <w:rPr>
          <w:sz w:val="20"/>
        </w:rPr>
        <w:t>tests</w:t>
      </w:r>
    </w:p>
    <w:p>
      <w:pPr>
        <w:pStyle w:val="ListParagraph"/>
        <w:numPr>
          <w:ilvl w:val="1"/>
          <w:numId w:val="6"/>
        </w:numPr>
        <w:tabs>
          <w:tab w:pos="1417" w:val="left" w:leader="none"/>
        </w:tabs>
        <w:spacing w:line="240" w:lineRule="auto" w:before="179" w:after="0"/>
        <w:ind w:left="1416" w:right="0" w:hanging="283"/>
        <w:jc w:val="both"/>
        <w:rPr>
          <w:sz w:val="20"/>
        </w:rPr>
      </w:pPr>
      <w:r>
        <w:rPr>
          <w:sz w:val="20"/>
        </w:rPr>
        <w:t>Non-Line-of-Sight (NLOS)</w:t>
      </w:r>
      <w:r>
        <w:rPr>
          <w:spacing w:val="-11"/>
          <w:sz w:val="20"/>
        </w:rPr>
        <w:t> </w:t>
      </w:r>
      <w:r>
        <w:rPr>
          <w:sz w:val="20"/>
        </w:rPr>
        <w:t>tests</w:t>
      </w:r>
    </w:p>
    <w:p>
      <w:pPr>
        <w:pStyle w:val="BodyText"/>
        <w:rPr>
          <w:sz w:val="22"/>
        </w:rPr>
      </w:pPr>
    </w:p>
    <w:p>
      <w:pPr>
        <w:pStyle w:val="BodyText"/>
        <w:spacing w:before="1"/>
        <w:rPr>
          <w:sz w:val="29"/>
        </w:rPr>
      </w:pPr>
    </w:p>
    <w:p>
      <w:pPr>
        <w:pStyle w:val="BodyText"/>
        <w:ind w:left="1133"/>
        <w:jc w:val="both"/>
      </w:pPr>
      <w:r>
        <w:rPr/>
        <w:t>The results for LOS and NLOS scenarios follow.</w:t>
      </w:r>
    </w:p>
    <w:p>
      <w:pPr>
        <w:pStyle w:val="BodyText"/>
        <w:rPr>
          <w:sz w:val="26"/>
        </w:rPr>
      </w:pPr>
    </w:p>
    <w:p>
      <w:pPr>
        <w:pStyle w:val="Heading3"/>
        <w:numPr>
          <w:ilvl w:val="2"/>
          <w:numId w:val="46"/>
        </w:numPr>
        <w:tabs>
          <w:tab w:pos="2266" w:val="left" w:leader="none"/>
        </w:tabs>
        <w:spacing w:line="240" w:lineRule="auto" w:before="0" w:after="0"/>
        <w:ind w:left="2266" w:right="0" w:hanging="1133"/>
        <w:jc w:val="both"/>
      </w:pPr>
      <w:bookmarkStart w:name="_bookmark148" w:id="227"/>
      <w:bookmarkEnd w:id="227"/>
      <w:r>
        <w:rPr/>
      </w:r>
      <w:bookmarkStart w:name="_bookmark148" w:id="228"/>
      <w:bookmarkEnd w:id="228"/>
      <w:r>
        <w:rPr/>
        <w:t>Lin</w:t>
      </w:r>
      <w:r>
        <w:rPr/>
        <w:t>e-of-Sight (LOS)</w:t>
      </w:r>
      <w:r>
        <w:rPr>
          <w:spacing w:val="-7"/>
        </w:rPr>
        <w:t> </w:t>
      </w:r>
      <w:r>
        <w:rPr/>
        <w:t>Tests</w:t>
      </w:r>
    </w:p>
    <w:p>
      <w:pPr>
        <w:pStyle w:val="BodyText"/>
        <w:spacing w:before="180"/>
        <w:ind w:left="1133" w:right="1139"/>
        <w:jc w:val="both"/>
      </w:pPr>
      <w:r>
        <w:rPr/>
        <w:t>LOS</w:t>
      </w:r>
      <w:r>
        <w:rPr>
          <w:spacing w:val="-6"/>
        </w:rPr>
        <w:t> </w:t>
      </w:r>
      <w:r>
        <w:rPr/>
        <w:t>range</w:t>
      </w:r>
      <w:r>
        <w:rPr>
          <w:spacing w:val="-6"/>
        </w:rPr>
        <w:t> </w:t>
      </w:r>
      <w:r>
        <w:rPr/>
        <w:t>tests</w:t>
      </w:r>
      <w:r>
        <w:rPr>
          <w:spacing w:val="-4"/>
        </w:rPr>
        <w:t> </w:t>
      </w:r>
      <w:r>
        <w:rPr/>
        <w:t>are</w:t>
      </w:r>
      <w:r>
        <w:rPr>
          <w:spacing w:val="-3"/>
        </w:rPr>
        <w:t> </w:t>
      </w:r>
      <w:r>
        <w:rPr/>
        <w:t>described</w:t>
      </w:r>
      <w:r>
        <w:rPr>
          <w:spacing w:val="-3"/>
        </w:rPr>
        <w:t> </w:t>
      </w:r>
      <w:r>
        <w:rPr/>
        <w:t>in</w:t>
      </w:r>
      <w:r>
        <w:rPr>
          <w:spacing w:val="-3"/>
        </w:rPr>
        <w:t> </w:t>
      </w:r>
      <w:r>
        <w:rPr/>
        <w:t>Section</w:t>
      </w:r>
      <w:r>
        <w:rPr>
          <w:spacing w:val="-4"/>
        </w:rPr>
        <w:t> </w:t>
      </w:r>
      <w:r>
        <w:rPr/>
        <w:t>9.1.1</w:t>
      </w:r>
      <w:r>
        <w:rPr>
          <w:spacing w:val="-4"/>
        </w:rPr>
        <w:t> </w:t>
      </w:r>
      <w:r>
        <w:rPr/>
        <w:t>of</w:t>
      </w:r>
      <w:r>
        <w:rPr>
          <w:spacing w:val="-4"/>
        </w:rPr>
        <w:t> </w:t>
      </w:r>
      <w:r>
        <w:rPr/>
        <w:t>(5GAA,</w:t>
      </w:r>
      <w:r>
        <w:rPr>
          <w:spacing w:val="-3"/>
        </w:rPr>
        <w:t> </w:t>
      </w:r>
      <w:r>
        <w:rPr/>
        <w:t>March</w:t>
      </w:r>
      <w:r>
        <w:rPr>
          <w:spacing w:val="-3"/>
        </w:rPr>
        <w:t> </w:t>
      </w:r>
      <w:r>
        <w:rPr/>
        <w:t>2018).</w:t>
      </w:r>
      <w:r>
        <w:rPr>
          <w:spacing w:val="-5"/>
        </w:rPr>
        <w:t> </w:t>
      </w:r>
      <w:r>
        <w:rPr/>
        <w:t>The</w:t>
      </w:r>
      <w:r>
        <w:rPr>
          <w:spacing w:val="-3"/>
        </w:rPr>
        <w:t> </w:t>
      </w:r>
      <w:r>
        <w:rPr/>
        <w:t>procedure</w:t>
      </w:r>
      <w:r>
        <w:rPr>
          <w:spacing w:val="-3"/>
        </w:rPr>
        <w:t> </w:t>
      </w:r>
      <w:r>
        <w:rPr/>
        <w:t>tests</w:t>
      </w:r>
      <w:r>
        <w:rPr>
          <w:spacing w:val="-2"/>
        </w:rPr>
        <w:t> </w:t>
      </w:r>
      <w:r>
        <w:rPr/>
        <w:t>the</w:t>
      </w:r>
      <w:r>
        <w:rPr>
          <w:spacing w:val="-3"/>
        </w:rPr>
        <w:t> </w:t>
      </w:r>
      <w:r>
        <w:rPr/>
        <w:t>performance characteristics</w:t>
      </w:r>
      <w:r>
        <w:rPr>
          <w:spacing w:val="-2"/>
        </w:rPr>
        <w:t> </w:t>
      </w:r>
      <w:r>
        <w:rPr/>
        <w:t>of</w:t>
      </w:r>
      <w:r>
        <w:rPr>
          <w:spacing w:val="-1"/>
        </w:rPr>
        <w:t> </w:t>
      </w:r>
      <w:r>
        <w:rPr/>
        <w:t>the</w:t>
      </w:r>
      <w:r>
        <w:rPr>
          <w:spacing w:val="-3"/>
        </w:rPr>
        <w:t> </w:t>
      </w:r>
      <w:r>
        <w:rPr/>
        <w:t>radio</w:t>
      </w:r>
      <w:r>
        <w:rPr>
          <w:spacing w:val="-3"/>
        </w:rPr>
        <w:t> </w:t>
      </w:r>
      <w:r>
        <w:rPr/>
        <w:t>technology</w:t>
      </w:r>
      <w:r>
        <w:rPr>
          <w:spacing w:val="-6"/>
        </w:rPr>
        <w:t> </w:t>
      </w:r>
      <w:r>
        <w:rPr/>
        <w:t>in</w:t>
      </w:r>
      <w:r>
        <w:rPr>
          <w:spacing w:val="-3"/>
        </w:rPr>
        <w:t> </w:t>
      </w:r>
      <w:r>
        <w:rPr/>
        <w:t>a realistic,</w:t>
      </w:r>
      <w:r>
        <w:rPr>
          <w:spacing w:val="-1"/>
        </w:rPr>
        <w:t> </w:t>
      </w:r>
      <w:r>
        <w:rPr/>
        <w:t>yet</w:t>
      </w:r>
      <w:r>
        <w:rPr>
          <w:spacing w:val="-1"/>
        </w:rPr>
        <w:t> </w:t>
      </w:r>
      <w:r>
        <w:rPr/>
        <w:t>controlled,</w:t>
      </w:r>
      <w:r>
        <w:rPr>
          <w:spacing w:val="-3"/>
        </w:rPr>
        <w:t> </w:t>
      </w:r>
      <w:r>
        <w:rPr/>
        <w:t>environment</w:t>
      </w:r>
      <w:r>
        <w:rPr>
          <w:spacing w:val="-3"/>
        </w:rPr>
        <w:t> </w:t>
      </w:r>
      <w:r>
        <w:rPr/>
        <w:t>of</w:t>
      </w:r>
      <w:r>
        <w:rPr>
          <w:spacing w:val="-3"/>
        </w:rPr>
        <w:t> </w:t>
      </w:r>
      <w:r>
        <w:rPr/>
        <w:t>a</w:t>
      </w:r>
      <w:r>
        <w:rPr>
          <w:spacing w:val="-3"/>
        </w:rPr>
        <w:t> </w:t>
      </w:r>
      <w:r>
        <w:rPr/>
        <w:t>test</w:t>
      </w:r>
      <w:r>
        <w:rPr>
          <w:spacing w:val="-3"/>
        </w:rPr>
        <w:t> </w:t>
      </w:r>
      <w:r>
        <w:rPr/>
        <w:t>track.</w:t>
      </w:r>
      <w:r>
        <w:rPr>
          <w:spacing w:val="-5"/>
        </w:rPr>
        <w:t> </w:t>
      </w:r>
      <w:r>
        <w:rPr/>
        <w:t>The</w:t>
      </w:r>
      <w:r>
        <w:rPr>
          <w:spacing w:val="-3"/>
        </w:rPr>
        <w:t> </w:t>
      </w:r>
      <w:r>
        <w:rPr/>
        <w:t>conditions are open sky with no obstructions and minimal disturbance in the RF</w:t>
      </w:r>
      <w:r>
        <w:rPr>
          <w:spacing w:val="-24"/>
        </w:rPr>
        <w:t> </w:t>
      </w:r>
      <w:r>
        <w:rPr/>
        <w:t>environment.</w:t>
      </w:r>
    </w:p>
    <w:p>
      <w:pPr>
        <w:pStyle w:val="BodyText"/>
        <w:spacing w:before="180"/>
        <w:ind w:left="1133"/>
        <w:jc w:val="both"/>
      </w:pPr>
      <w:r>
        <w:rPr/>
        <w:t>The objectives of the test are:</w:t>
      </w:r>
    </w:p>
    <w:p>
      <w:pPr>
        <w:pStyle w:val="ListParagraph"/>
        <w:numPr>
          <w:ilvl w:val="3"/>
          <w:numId w:val="46"/>
        </w:numPr>
        <w:tabs>
          <w:tab w:pos="1702" w:val="left" w:leader="none"/>
        </w:tabs>
        <w:spacing w:line="240" w:lineRule="auto" w:before="180" w:after="0"/>
        <w:ind w:left="1702" w:right="1132" w:hanging="286"/>
        <w:jc w:val="left"/>
        <w:rPr>
          <w:sz w:val="20"/>
        </w:rPr>
      </w:pPr>
      <w:r>
        <w:rPr>
          <w:sz w:val="20"/>
        </w:rPr>
        <w:t>Compare communication range (packet reception rate vs. distance) and reliability of safety message exchange under LOS conditions for C-V2X and</w:t>
      </w:r>
      <w:r>
        <w:rPr>
          <w:spacing w:val="-13"/>
          <w:sz w:val="20"/>
        </w:rPr>
        <w:t> </w:t>
      </w:r>
      <w:r>
        <w:rPr>
          <w:sz w:val="20"/>
        </w:rPr>
        <w:t>DSRC.</w:t>
      </w:r>
    </w:p>
    <w:p>
      <w:pPr>
        <w:pStyle w:val="ListParagraph"/>
        <w:numPr>
          <w:ilvl w:val="3"/>
          <w:numId w:val="46"/>
        </w:numPr>
        <w:tabs>
          <w:tab w:pos="1702" w:val="left" w:leader="none"/>
        </w:tabs>
        <w:spacing w:line="240" w:lineRule="auto" w:before="180" w:after="0"/>
        <w:ind w:left="1702" w:right="0" w:hanging="286"/>
        <w:jc w:val="left"/>
        <w:rPr>
          <w:sz w:val="20"/>
        </w:rPr>
      </w:pPr>
      <w:r>
        <w:rPr>
          <w:sz w:val="20"/>
        </w:rPr>
        <w:t>Compare inter-packet gap (IPG) for both</w:t>
      </w:r>
      <w:r>
        <w:rPr>
          <w:spacing w:val="-19"/>
          <w:sz w:val="20"/>
        </w:rPr>
        <w:t> </w:t>
      </w:r>
      <w:r>
        <w:rPr>
          <w:sz w:val="20"/>
        </w:rPr>
        <w:t>technologies.</w:t>
      </w:r>
    </w:p>
    <w:p>
      <w:pPr>
        <w:pStyle w:val="BodyText"/>
        <w:spacing w:before="180"/>
        <w:ind w:left="1133"/>
        <w:jc w:val="both"/>
      </w:pPr>
      <w:r>
        <w:rPr/>
        <w:t>The scenario includes the following for both RF technologies tested:</w:t>
      </w:r>
    </w:p>
    <w:p>
      <w:pPr>
        <w:pStyle w:val="ListParagraph"/>
        <w:numPr>
          <w:ilvl w:val="0"/>
          <w:numId w:val="47"/>
        </w:numPr>
        <w:tabs>
          <w:tab w:pos="1701" w:val="left" w:leader="none"/>
          <w:tab w:pos="1702" w:val="left" w:leader="none"/>
        </w:tabs>
        <w:spacing w:line="240" w:lineRule="auto" w:before="180" w:after="0"/>
        <w:ind w:left="1702" w:right="1135" w:hanging="286"/>
        <w:jc w:val="left"/>
        <w:rPr>
          <w:sz w:val="20"/>
        </w:rPr>
      </w:pPr>
      <w:r>
        <w:rPr>
          <w:sz w:val="20"/>
        </w:rPr>
        <w:t>One stationary and one moving vehicle (SV, MV) broadcasting BSM messages (packets) without security.</w:t>
      </w:r>
    </w:p>
    <w:p>
      <w:pPr>
        <w:pStyle w:val="ListParagraph"/>
        <w:numPr>
          <w:ilvl w:val="0"/>
          <w:numId w:val="47"/>
        </w:numPr>
        <w:tabs>
          <w:tab w:pos="1701" w:val="left" w:leader="none"/>
          <w:tab w:pos="1702" w:val="left" w:leader="none"/>
        </w:tabs>
        <w:spacing w:line="240" w:lineRule="auto" w:before="180" w:after="0"/>
        <w:ind w:left="1701" w:right="0" w:hanging="285"/>
        <w:jc w:val="left"/>
        <w:rPr>
          <w:sz w:val="20"/>
        </w:rPr>
      </w:pPr>
      <w:r>
        <w:rPr>
          <w:sz w:val="20"/>
        </w:rPr>
        <w:t>Packets are fixed at 193</w:t>
      </w:r>
      <w:r>
        <w:rPr>
          <w:spacing w:val="-10"/>
          <w:sz w:val="20"/>
        </w:rPr>
        <w:t> </w:t>
      </w:r>
      <w:r>
        <w:rPr>
          <w:sz w:val="20"/>
        </w:rPr>
        <w:t>bytes.</w:t>
      </w:r>
    </w:p>
    <w:p>
      <w:pPr>
        <w:pStyle w:val="ListParagraph"/>
        <w:numPr>
          <w:ilvl w:val="0"/>
          <w:numId w:val="47"/>
        </w:numPr>
        <w:tabs>
          <w:tab w:pos="1701" w:val="left" w:leader="none"/>
          <w:tab w:pos="1702" w:val="left" w:leader="none"/>
        </w:tabs>
        <w:spacing w:line="240" w:lineRule="auto" w:before="177" w:after="0"/>
        <w:ind w:left="1701" w:right="0" w:hanging="285"/>
        <w:jc w:val="left"/>
        <w:rPr>
          <w:sz w:val="20"/>
        </w:rPr>
      </w:pPr>
      <w:r>
        <w:rPr>
          <w:sz w:val="20"/>
        </w:rPr>
        <w:t>Fixed attenuators are used so that the tests can be scaled to the test track maximum</w:t>
      </w:r>
      <w:r>
        <w:rPr>
          <w:spacing w:val="-24"/>
          <w:sz w:val="20"/>
        </w:rPr>
        <w:t> </w:t>
      </w:r>
      <w:r>
        <w:rPr>
          <w:sz w:val="20"/>
        </w:rPr>
        <w:t>length.</w:t>
      </w:r>
    </w:p>
    <w:p>
      <w:pPr>
        <w:pStyle w:val="ListParagraph"/>
        <w:numPr>
          <w:ilvl w:val="0"/>
          <w:numId w:val="47"/>
        </w:numPr>
        <w:tabs>
          <w:tab w:pos="1701" w:val="left" w:leader="none"/>
          <w:tab w:pos="1702" w:val="left" w:leader="none"/>
        </w:tabs>
        <w:spacing w:line="240" w:lineRule="auto" w:before="180" w:after="0"/>
        <w:ind w:left="1702" w:right="1133" w:hanging="286"/>
        <w:jc w:val="left"/>
        <w:rPr>
          <w:sz w:val="20"/>
        </w:rPr>
      </w:pPr>
      <w:r>
        <w:rPr>
          <w:sz w:val="20"/>
        </w:rPr>
        <w:t>Transmit power fixed at the same equivalent value to guarantee the same link budget. Typically, two levels are tested: 5 dBm and 11 dBm equivalent transmit</w:t>
      </w:r>
      <w:r>
        <w:rPr>
          <w:spacing w:val="-22"/>
          <w:sz w:val="20"/>
        </w:rPr>
        <w:t> </w:t>
      </w:r>
      <w:r>
        <w:rPr>
          <w:sz w:val="20"/>
        </w:rPr>
        <w:t>power.</w:t>
      </w:r>
    </w:p>
    <w:p>
      <w:pPr>
        <w:pStyle w:val="ListParagraph"/>
        <w:numPr>
          <w:ilvl w:val="0"/>
          <w:numId w:val="47"/>
        </w:numPr>
        <w:tabs>
          <w:tab w:pos="1701" w:val="left" w:leader="none"/>
          <w:tab w:pos="1702" w:val="left" w:leader="none"/>
        </w:tabs>
        <w:spacing w:line="240" w:lineRule="auto" w:before="180" w:after="0"/>
        <w:ind w:left="1701" w:right="0" w:hanging="285"/>
        <w:jc w:val="left"/>
        <w:rPr>
          <w:sz w:val="20"/>
        </w:rPr>
      </w:pPr>
      <w:r>
        <w:rPr>
          <w:sz w:val="20"/>
        </w:rPr>
        <w:t>RF cabling including attenuation identical for both</w:t>
      </w:r>
      <w:r>
        <w:rPr>
          <w:spacing w:val="-22"/>
          <w:sz w:val="20"/>
        </w:rPr>
        <w:t> </w:t>
      </w:r>
      <w:r>
        <w:rPr>
          <w:sz w:val="20"/>
        </w:rPr>
        <w:t>technologies.</w:t>
      </w:r>
    </w:p>
    <w:p>
      <w:pPr>
        <w:pStyle w:val="ListParagraph"/>
        <w:numPr>
          <w:ilvl w:val="0"/>
          <w:numId w:val="47"/>
        </w:numPr>
        <w:tabs>
          <w:tab w:pos="1701" w:val="left" w:leader="none"/>
          <w:tab w:pos="1702" w:val="left" w:leader="none"/>
        </w:tabs>
        <w:spacing w:line="240" w:lineRule="auto" w:before="180" w:after="0"/>
        <w:ind w:left="1702" w:right="1128" w:hanging="286"/>
        <w:jc w:val="left"/>
        <w:rPr>
          <w:sz w:val="20"/>
        </w:rPr>
      </w:pPr>
      <w:r>
        <w:rPr>
          <w:sz w:val="20"/>
        </w:rPr>
        <w:t>Same</w:t>
      </w:r>
      <w:r>
        <w:rPr>
          <w:spacing w:val="-6"/>
          <w:sz w:val="20"/>
        </w:rPr>
        <w:t> </w:t>
      </w:r>
      <w:r>
        <w:rPr>
          <w:sz w:val="20"/>
        </w:rPr>
        <w:t>vehicles,</w:t>
      </w:r>
      <w:r>
        <w:rPr>
          <w:spacing w:val="-3"/>
          <w:sz w:val="20"/>
        </w:rPr>
        <w:t> </w:t>
      </w:r>
      <w:r>
        <w:rPr>
          <w:sz w:val="20"/>
        </w:rPr>
        <w:t>instrumentation</w:t>
      </w:r>
      <w:r>
        <w:rPr>
          <w:spacing w:val="-3"/>
          <w:sz w:val="20"/>
        </w:rPr>
        <w:t> </w:t>
      </w:r>
      <w:r>
        <w:rPr>
          <w:sz w:val="20"/>
        </w:rPr>
        <w:t>and</w:t>
      </w:r>
      <w:r>
        <w:rPr>
          <w:spacing w:val="-6"/>
          <w:sz w:val="20"/>
        </w:rPr>
        <w:t> </w:t>
      </w:r>
      <w:r>
        <w:rPr>
          <w:sz w:val="20"/>
        </w:rPr>
        <w:t>antenna</w:t>
      </w:r>
      <w:r>
        <w:rPr>
          <w:spacing w:val="-6"/>
          <w:sz w:val="20"/>
        </w:rPr>
        <w:t> </w:t>
      </w:r>
      <w:r>
        <w:rPr>
          <w:sz w:val="20"/>
        </w:rPr>
        <w:t>placements</w:t>
      </w:r>
      <w:r>
        <w:rPr>
          <w:spacing w:val="-4"/>
          <w:sz w:val="20"/>
        </w:rPr>
        <w:t> </w:t>
      </w:r>
      <w:r>
        <w:rPr>
          <w:sz w:val="20"/>
        </w:rPr>
        <w:t>are</w:t>
      </w:r>
      <w:r>
        <w:rPr>
          <w:spacing w:val="-5"/>
          <w:sz w:val="20"/>
        </w:rPr>
        <w:t> </w:t>
      </w:r>
      <w:r>
        <w:rPr>
          <w:sz w:val="20"/>
        </w:rPr>
        <w:t>used</w:t>
      </w:r>
      <w:r>
        <w:rPr>
          <w:spacing w:val="-3"/>
          <w:sz w:val="20"/>
        </w:rPr>
        <w:t> </w:t>
      </w:r>
      <w:r>
        <w:rPr>
          <w:sz w:val="20"/>
        </w:rPr>
        <w:t>during</w:t>
      </w:r>
      <w:r>
        <w:rPr>
          <w:spacing w:val="-6"/>
          <w:sz w:val="20"/>
        </w:rPr>
        <w:t> </w:t>
      </w:r>
      <w:r>
        <w:rPr>
          <w:sz w:val="20"/>
        </w:rPr>
        <w:t>the</w:t>
      </w:r>
      <w:r>
        <w:rPr>
          <w:spacing w:val="-6"/>
          <w:sz w:val="20"/>
        </w:rPr>
        <w:t> </w:t>
      </w:r>
      <w:r>
        <w:rPr>
          <w:sz w:val="20"/>
        </w:rPr>
        <w:t>comparison</w:t>
      </w:r>
      <w:r>
        <w:rPr>
          <w:spacing w:val="-3"/>
          <w:sz w:val="20"/>
        </w:rPr>
        <w:t> </w:t>
      </w:r>
      <w:r>
        <w:rPr>
          <w:sz w:val="20"/>
        </w:rPr>
        <w:t>tests</w:t>
      </w:r>
      <w:r>
        <w:rPr>
          <w:spacing w:val="-4"/>
          <w:sz w:val="20"/>
        </w:rPr>
        <w:t> </w:t>
      </w:r>
      <w:r>
        <w:rPr>
          <w:sz w:val="20"/>
        </w:rPr>
        <w:t>for</w:t>
      </w:r>
      <w:r>
        <w:rPr>
          <w:spacing w:val="3"/>
          <w:sz w:val="20"/>
        </w:rPr>
        <w:t> </w:t>
      </w:r>
      <w:r>
        <w:rPr>
          <w:sz w:val="20"/>
        </w:rPr>
        <w:t>both technologies.</w:t>
      </w:r>
    </w:p>
    <w:p>
      <w:pPr>
        <w:pStyle w:val="ListParagraph"/>
        <w:numPr>
          <w:ilvl w:val="0"/>
          <w:numId w:val="47"/>
        </w:numPr>
        <w:tabs>
          <w:tab w:pos="1701" w:val="left" w:leader="none"/>
          <w:tab w:pos="1702" w:val="left" w:leader="none"/>
        </w:tabs>
        <w:spacing w:line="240" w:lineRule="auto" w:before="180" w:after="0"/>
        <w:ind w:left="1702" w:right="1138" w:hanging="286"/>
        <w:jc w:val="left"/>
        <w:rPr>
          <w:sz w:val="20"/>
        </w:rPr>
      </w:pPr>
      <w:r>
        <w:rPr>
          <w:sz w:val="20"/>
        </w:rPr>
        <w:t>Same vehicle models are used, so that the vehicle antenna characteristics are identical between SV and</w:t>
      </w:r>
      <w:r>
        <w:rPr>
          <w:spacing w:val="-5"/>
          <w:sz w:val="20"/>
        </w:rPr>
        <w:t> </w:t>
      </w:r>
      <w:r>
        <w:rPr>
          <w:sz w:val="20"/>
        </w:rPr>
        <w:t>MV.</w:t>
      </w:r>
    </w:p>
    <w:p>
      <w:pPr>
        <w:pStyle w:val="ListParagraph"/>
        <w:numPr>
          <w:ilvl w:val="0"/>
          <w:numId w:val="47"/>
        </w:numPr>
        <w:tabs>
          <w:tab w:pos="1701" w:val="left" w:leader="none"/>
          <w:tab w:pos="1702" w:val="left" w:leader="none"/>
        </w:tabs>
        <w:spacing w:line="240" w:lineRule="auto" w:before="180" w:after="0"/>
        <w:ind w:left="1702" w:right="1129" w:hanging="286"/>
        <w:jc w:val="left"/>
        <w:rPr>
          <w:sz w:val="20"/>
        </w:rPr>
      </w:pPr>
      <w:r>
        <w:rPr>
          <w:sz w:val="20"/>
        </w:rPr>
        <w:t>MV is performing loops by moving away and returning towards the SV (see Figure 36). The two directions are referred to as receding and approaching. Each test consists of 10</w:t>
      </w:r>
      <w:r>
        <w:rPr>
          <w:spacing w:val="-24"/>
          <w:sz w:val="20"/>
        </w:rPr>
        <w:t> </w:t>
      </w:r>
      <w:r>
        <w:rPr>
          <w:sz w:val="20"/>
        </w:rPr>
        <w:t>loops.</w:t>
      </w:r>
    </w:p>
    <w:p>
      <w:pPr>
        <w:pStyle w:val="ListParagraph"/>
        <w:numPr>
          <w:ilvl w:val="0"/>
          <w:numId w:val="47"/>
        </w:numPr>
        <w:tabs>
          <w:tab w:pos="1701" w:val="left" w:leader="none"/>
          <w:tab w:pos="1702" w:val="left" w:leader="none"/>
        </w:tabs>
        <w:spacing w:line="240" w:lineRule="auto" w:before="179" w:after="0"/>
        <w:ind w:left="1702" w:right="1142" w:hanging="286"/>
        <w:jc w:val="left"/>
        <w:rPr>
          <w:sz w:val="20"/>
        </w:rPr>
      </w:pPr>
      <w:r>
        <w:rPr>
          <w:sz w:val="20"/>
        </w:rPr>
        <w:t>MV uses cruise control to maintain a constant speed of 20 mph or approximately 32 kph (except in the turns) per lap to be consistent for both</w:t>
      </w:r>
      <w:r>
        <w:rPr>
          <w:spacing w:val="-18"/>
          <w:sz w:val="20"/>
        </w:rPr>
        <w:t> </w:t>
      </w:r>
      <w:r>
        <w:rPr>
          <w:sz w:val="20"/>
        </w:rPr>
        <w:t>technologies.</w:t>
      </w:r>
    </w:p>
    <w:p>
      <w:pPr>
        <w:spacing w:after="0" w:line="240" w:lineRule="auto"/>
        <w:jc w:val="left"/>
        <w:rPr>
          <w:sz w:val="20"/>
        </w:rPr>
        <w:sectPr>
          <w:headerReference w:type="default" r:id="rId334"/>
          <w:pgSz w:w="11910" w:h="16850"/>
          <w:pgMar w:header="852" w:footer="876" w:top="1040" w:bottom="1160" w:left="0" w:right="0"/>
        </w:sectPr>
      </w:pPr>
    </w:p>
    <w:p>
      <w:pPr>
        <w:pStyle w:val="BodyText"/>
      </w:pPr>
    </w:p>
    <w:p>
      <w:pPr>
        <w:pStyle w:val="BodyText"/>
        <w:spacing w:before="6"/>
        <w:rPr>
          <w:sz w:val="11"/>
        </w:rPr>
      </w:pPr>
    </w:p>
    <w:p>
      <w:pPr>
        <w:pStyle w:val="BodyText"/>
        <w:ind w:left="1133"/>
      </w:pPr>
      <w:r>
        <w:rPr/>
        <w:drawing>
          <wp:inline distT="0" distB="0" distL="0" distR="0">
            <wp:extent cx="5543045" cy="2024348"/>
            <wp:effectExtent l="0" t="0" r="0" b="0"/>
            <wp:docPr id="85" name="image143.png" descr=""/>
            <wp:cNvGraphicFramePr>
              <a:graphicFrameLocks noChangeAspect="1"/>
            </wp:cNvGraphicFramePr>
            <a:graphic>
              <a:graphicData uri="http://schemas.openxmlformats.org/drawingml/2006/picture">
                <pic:pic>
                  <pic:nvPicPr>
                    <pic:cNvPr id="86" name="image143.png"/>
                    <pic:cNvPicPr/>
                  </pic:nvPicPr>
                  <pic:blipFill>
                    <a:blip r:embed="rId336" cstate="print"/>
                    <a:stretch>
                      <a:fillRect/>
                    </a:stretch>
                  </pic:blipFill>
                  <pic:spPr>
                    <a:xfrm>
                      <a:off x="0" y="0"/>
                      <a:ext cx="5543045" cy="2024348"/>
                    </a:xfrm>
                    <a:prstGeom prst="rect">
                      <a:avLst/>
                    </a:prstGeom>
                  </pic:spPr>
                </pic:pic>
              </a:graphicData>
            </a:graphic>
          </wp:inline>
        </w:drawing>
      </w:r>
      <w:r>
        <w:rPr/>
      </w:r>
    </w:p>
    <w:p>
      <w:pPr>
        <w:pStyle w:val="BodyText"/>
        <w:spacing w:before="9"/>
        <w:rPr>
          <w:sz w:val="19"/>
        </w:rPr>
      </w:pPr>
    </w:p>
    <w:p>
      <w:pPr>
        <w:pStyle w:val="Heading4"/>
        <w:spacing w:before="92"/>
        <w:jc w:val="both"/>
      </w:pPr>
      <w:r>
        <w:rPr/>
        <w:t>Figure 36: LOS Ranging Setup. D is the length of the test track (1.35 km)</w:t>
      </w:r>
    </w:p>
    <w:p>
      <w:pPr>
        <w:pStyle w:val="BodyText"/>
        <w:rPr>
          <w:b/>
          <w:sz w:val="26"/>
        </w:rPr>
      </w:pPr>
    </w:p>
    <w:p>
      <w:pPr>
        <w:pStyle w:val="BodyText"/>
        <w:spacing w:before="179"/>
        <w:ind w:left="1133" w:right="1134"/>
        <w:jc w:val="both"/>
      </w:pPr>
      <w:r>
        <w:rPr/>
        <w:t>Table</w:t>
      </w:r>
      <w:r>
        <w:rPr>
          <w:spacing w:val="-13"/>
        </w:rPr>
        <w:t> </w:t>
      </w:r>
      <w:r>
        <w:rPr/>
        <w:t>29</w:t>
      </w:r>
      <w:r>
        <w:rPr>
          <w:spacing w:val="-11"/>
        </w:rPr>
        <w:t> </w:t>
      </w:r>
      <w:r>
        <w:rPr/>
        <w:t>shows</w:t>
      </w:r>
      <w:r>
        <w:rPr>
          <w:spacing w:val="-9"/>
        </w:rPr>
        <w:t> </w:t>
      </w:r>
      <w:r>
        <w:rPr/>
        <w:t>parameters</w:t>
      </w:r>
      <w:r>
        <w:rPr>
          <w:spacing w:val="-11"/>
        </w:rPr>
        <w:t> </w:t>
      </w:r>
      <w:r>
        <w:rPr/>
        <w:t>used</w:t>
      </w:r>
      <w:r>
        <w:rPr>
          <w:spacing w:val="-11"/>
        </w:rPr>
        <w:t> </w:t>
      </w:r>
      <w:r>
        <w:rPr/>
        <w:t>in</w:t>
      </w:r>
      <w:r>
        <w:rPr>
          <w:spacing w:val="-10"/>
        </w:rPr>
        <w:t> </w:t>
      </w:r>
      <w:r>
        <w:rPr/>
        <w:t>the</w:t>
      </w:r>
      <w:r>
        <w:rPr>
          <w:spacing w:val="-11"/>
        </w:rPr>
        <w:t> </w:t>
      </w:r>
      <w:r>
        <w:rPr/>
        <w:t>LOS</w:t>
      </w:r>
      <w:r>
        <w:rPr>
          <w:spacing w:val="-11"/>
        </w:rPr>
        <w:t> </w:t>
      </w:r>
      <w:r>
        <w:rPr/>
        <w:t>test.</w:t>
      </w:r>
      <w:r>
        <w:rPr>
          <w:spacing w:val="35"/>
        </w:rPr>
        <w:t> </w:t>
      </w:r>
      <w:r>
        <w:rPr/>
        <w:t>The</w:t>
      </w:r>
      <w:r>
        <w:rPr>
          <w:spacing w:val="-13"/>
        </w:rPr>
        <w:t> </w:t>
      </w:r>
      <w:r>
        <w:rPr/>
        <w:t>test</w:t>
      </w:r>
      <w:r>
        <w:rPr>
          <w:spacing w:val="-13"/>
        </w:rPr>
        <w:t> </w:t>
      </w:r>
      <w:r>
        <w:rPr/>
        <w:t>track</w:t>
      </w:r>
      <w:r>
        <w:rPr>
          <w:spacing w:val="-9"/>
        </w:rPr>
        <w:t> </w:t>
      </w:r>
      <w:r>
        <w:rPr/>
        <w:t>was</w:t>
      </w:r>
      <w:r>
        <w:rPr>
          <w:spacing w:val="-12"/>
        </w:rPr>
        <w:t> </w:t>
      </w:r>
      <w:r>
        <w:rPr/>
        <w:t>not</w:t>
      </w:r>
      <w:r>
        <w:rPr>
          <w:spacing w:val="-13"/>
        </w:rPr>
        <w:t> </w:t>
      </w:r>
      <w:r>
        <w:rPr/>
        <w:t>long</w:t>
      </w:r>
      <w:r>
        <w:rPr>
          <w:spacing w:val="-11"/>
        </w:rPr>
        <w:t> </w:t>
      </w:r>
      <w:r>
        <w:rPr/>
        <w:t>enough</w:t>
      </w:r>
      <w:r>
        <w:rPr>
          <w:spacing w:val="-13"/>
        </w:rPr>
        <w:t> </w:t>
      </w:r>
      <w:r>
        <w:rPr/>
        <w:t>to</w:t>
      </w:r>
      <w:r>
        <w:rPr>
          <w:spacing w:val="-11"/>
        </w:rPr>
        <w:t> </w:t>
      </w:r>
      <w:r>
        <w:rPr/>
        <w:t>observe</w:t>
      </w:r>
      <w:r>
        <w:rPr>
          <w:spacing w:val="-11"/>
        </w:rPr>
        <w:t> </w:t>
      </w:r>
      <w:r>
        <w:rPr/>
        <w:t>packet</w:t>
      </w:r>
      <w:r>
        <w:rPr>
          <w:spacing w:val="-13"/>
        </w:rPr>
        <w:t> </w:t>
      </w:r>
      <w:r>
        <w:rPr/>
        <w:t>errors with a transmit power of 21 dBm. For that reason, the tests were performed with the reduced equivalent transmit</w:t>
      </w:r>
      <w:r>
        <w:rPr>
          <w:spacing w:val="-4"/>
        </w:rPr>
        <w:t> </w:t>
      </w:r>
      <w:r>
        <w:rPr/>
        <w:t>power</w:t>
      </w:r>
      <w:r>
        <w:rPr>
          <w:spacing w:val="-3"/>
        </w:rPr>
        <w:t> </w:t>
      </w:r>
      <w:r>
        <w:rPr/>
        <w:t>of</w:t>
      </w:r>
      <w:r>
        <w:rPr>
          <w:spacing w:val="-3"/>
        </w:rPr>
        <w:t> </w:t>
      </w:r>
      <w:r>
        <w:rPr/>
        <w:t>5</w:t>
      </w:r>
      <w:r>
        <w:rPr>
          <w:spacing w:val="-5"/>
        </w:rPr>
        <w:t> </w:t>
      </w:r>
      <w:r>
        <w:rPr/>
        <w:t>dBm</w:t>
      </w:r>
      <w:r>
        <w:rPr>
          <w:spacing w:val="-1"/>
        </w:rPr>
        <w:t> </w:t>
      </w:r>
      <w:r>
        <w:rPr/>
        <w:t>and</w:t>
      </w:r>
      <w:r>
        <w:rPr>
          <w:spacing w:val="-5"/>
        </w:rPr>
        <w:t> </w:t>
      </w:r>
      <w:r>
        <w:rPr/>
        <w:t>11</w:t>
      </w:r>
      <w:r>
        <w:rPr>
          <w:spacing w:val="-4"/>
        </w:rPr>
        <w:t> </w:t>
      </w:r>
      <w:r>
        <w:rPr/>
        <w:t>dBm.</w:t>
      </w:r>
      <w:r>
        <w:rPr>
          <w:spacing w:val="-4"/>
        </w:rPr>
        <w:t> </w:t>
      </w:r>
      <w:r>
        <w:rPr/>
        <w:t>The</w:t>
      </w:r>
      <w:r>
        <w:rPr>
          <w:spacing w:val="-5"/>
        </w:rPr>
        <w:t> </w:t>
      </w:r>
      <w:r>
        <w:rPr/>
        <w:t>equivalent</w:t>
      </w:r>
      <w:r>
        <w:rPr>
          <w:spacing w:val="-3"/>
        </w:rPr>
        <w:t> </w:t>
      </w:r>
      <w:r>
        <w:rPr/>
        <w:t>transmit</w:t>
      </w:r>
      <w:r>
        <w:rPr>
          <w:spacing w:val="-4"/>
        </w:rPr>
        <w:t> </w:t>
      </w:r>
      <w:r>
        <w:rPr/>
        <w:t>power</w:t>
      </w:r>
      <w:r>
        <w:rPr>
          <w:spacing w:val="-3"/>
        </w:rPr>
        <w:t> </w:t>
      </w:r>
      <w:r>
        <w:rPr/>
        <w:t>was</w:t>
      </w:r>
      <w:r>
        <w:rPr>
          <w:spacing w:val="-4"/>
        </w:rPr>
        <w:t> </w:t>
      </w:r>
      <w:r>
        <w:rPr/>
        <w:t>achieved</w:t>
      </w:r>
      <w:r>
        <w:rPr>
          <w:spacing w:val="-3"/>
        </w:rPr>
        <w:t> </w:t>
      </w:r>
      <w:r>
        <w:rPr/>
        <w:t>by</w:t>
      </w:r>
      <w:r>
        <w:rPr>
          <w:spacing w:val="-5"/>
        </w:rPr>
        <w:t> </w:t>
      </w:r>
      <w:r>
        <w:rPr/>
        <w:t>placing</w:t>
      </w:r>
      <w:r>
        <w:rPr>
          <w:spacing w:val="-3"/>
        </w:rPr>
        <w:t> </w:t>
      </w:r>
      <w:r>
        <w:rPr/>
        <w:t>the</w:t>
      </w:r>
      <w:r>
        <w:rPr>
          <w:spacing w:val="-3"/>
        </w:rPr>
        <w:t> </w:t>
      </w:r>
      <w:r>
        <w:rPr/>
        <w:t>same</w:t>
      </w:r>
      <w:r>
        <w:rPr>
          <w:spacing w:val="-5"/>
        </w:rPr>
        <w:t> </w:t>
      </w:r>
      <w:r>
        <w:rPr/>
        <w:t>fixed attenuators</w:t>
      </w:r>
      <w:r>
        <w:rPr>
          <w:spacing w:val="-8"/>
        </w:rPr>
        <w:t> </w:t>
      </w:r>
      <w:r>
        <w:rPr/>
        <w:t>on</w:t>
      </w:r>
      <w:r>
        <w:rPr>
          <w:spacing w:val="-11"/>
        </w:rPr>
        <w:t> </w:t>
      </w:r>
      <w:r>
        <w:rPr/>
        <w:t>both</w:t>
      </w:r>
      <w:r>
        <w:rPr>
          <w:spacing w:val="-11"/>
        </w:rPr>
        <w:t> </w:t>
      </w:r>
      <w:r>
        <w:rPr/>
        <w:t>RF</w:t>
      </w:r>
      <w:r>
        <w:rPr>
          <w:spacing w:val="-7"/>
        </w:rPr>
        <w:t> </w:t>
      </w:r>
      <w:r>
        <w:rPr/>
        <w:t>antenna</w:t>
      </w:r>
      <w:r>
        <w:rPr>
          <w:spacing w:val="-9"/>
        </w:rPr>
        <w:t> </w:t>
      </w:r>
      <w:r>
        <w:rPr/>
        <w:t>cables</w:t>
      </w:r>
      <w:r>
        <w:rPr>
          <w:spacing w:val="-9"/>
        </w:rPr>
        <w:t> </w:t>
      </w:r>
      <w:r>
        <w:rPr/>
        <w:t>(primary</w:t>
      </w:r>
      <w:r>
        <w:rPr>
          <w:spacing w:val="-14"/>
        </w:rPr>
        <w:t> </w:t>
      </w:r>
      <w:r>
        <w:rPr/>
        <w:t>and</w:t>
      </w:r>
      <w:r>
        <w:rPr>
          <w:spacing w:val="-10"/>
        </w:rPr>
        <w:t> </w:t>
      </w:r>
      <w:r>
        <w:rPr/>
        <w:t>secondary)</w:t>
      </w:r>
      <w:r>
        <w:rPr>
          <w:spacing w:val="-9"/>
        </w:rPr>
        <w:t> </w:t>
      </w:r>
      <w:r>
        <w:rPr/>
        <w:t>between</w:t>
      </w:r>
      <w:r>
        <w:rPr>
          <w:spacing w:val="-10"/>
        </w:rPr>
        <w:t> </w:t>
      </w:r>
      <w:r>
        <w:rPr/>
        <w:t>the</w:t>
      </w:r>
      <w:r>
        <w:rPr>
          <w:spacing w:val="-10"/>
        </w:rPr>
        <w:t> </w:t>
      </w:r>
      <w:r>
        <w:rPr/>
        <w:t>OBU</w:t>
      </w:r>
      <w:r>
        <w:rPr>
          <w:spacing w:val="-10"/>
        </w:rPr>
        <w:t> </w:t>
      </w:r>
      <w:r>
        <w:rPr/>
        <w:t>connector</w:t>
      </w:r>
      <w:r>
        <w:rPr>
          <w:spacing w:val="-9"/>
        </w:rPr>
        <w:t> </w:t>
      </w:r>
      <w:r>
        <w:rPr/>
        <w:t>and</w:t>
      </w:r>
      <w:r>
        <w:rPr>
          <w:spacing w:val="-8"/>
        </w:rPr>
        <w:t> </w:t>
      </w:r>
      <w:r>
        <w:rPr/>
        <w:t>the</w:t>
      </w:r>
      <w:r>
        <w:rPr>
          <w:spacing w:val="-9"/>
        </w:rPr>
        <w:t> </w:t>
      </w:r>
      <w:r>
        <w:rPr/>
        <w:t>antenna cable (see Figure 34.). The fixed attenuators were measured in the lab using a VNA (Vector Network Analyzer).</w:t>
      </w:r>
    </w:p>
    <w:p>
      <w:pPr>
        <w:pStyle w:val="BodyText"/>
        <w:spacing w:before="177"/>
        <w:ind w:left="1133" w:right="1126"/>
        <w:jc w:val="both"/>
      </w:pPr>
      <w:r>
        <w:rPr/>
        <w:t>The test was performed on Road A at the Fowlerville Proving Grounds (FPG), Fowlerville, Michigan. Road A is a 1.35-km long straightaway shown in Figure 37. Figure 38 shows a more detailed aerial view of the Stationary Vehicle setup and the U-turn performed by the Moving Vehicle i.</w:t>
      </w:r>
    </w:p>
    <w:p>
      <w:pPr>
        <w:pStyle w:val="BodyText"/>
        <w:spacing w:before="7"/>
        <w:rPr>
          <w:sz w:val="17"/>
        </w:rPr>
      </w:pPr>
      <w:r>
        <w:rPr/>
        <w:drawing>
          <wp:anchor distT="0" distB="0" distL="0" distR="0" allowOverlap="1" layoutInCell="1" locked="0" behindDoc="0" simplePos="0" relativeHeight="7696">
            <wp:simplePos x="0" y="0"/>
            <wp:positionH relativeFrom="page">
              <wp:posOffset>719455</wp:posOffset>
            </wp:positionH>
            <wp:positionV relativeFrom="paragraph">
              <wp:posOffset>153521</wp:posOffset>
            </wp:positionV>
            <wp:extent cx="3680381" cy="4094511"/>
            <wp:effectExtent l="0" t="0" r="0" b="0"/>
            <wp:wrapTopAndBottom/>
            <wp:docPr id="87" name="image144.jpeg" descr=""/>
            <wp:cNvGraphicFramePr>
              <a:graphicFrameLocks noChangeAspect="1"/>
            </wp:cNvGraphicFramePr>
            <a:graphic>
              <a:graphicData uri="http://schemas.openxmlformats.org/drawingml/2006/picture">
                <pic:pic>
                  <pic:nvPicPr>
                    <pic:cNvPr id="88" name="image144.jpeg"/>
                    <pic:cNvPicPr/>
                  </pic:nvPicPr>
                  <pic:blipFill>
                    <a:blip r:embed="rId337" cstate="print"/>
                    <a:stretch>
                      <a:fillRect/>
                    </a:stretch>
                  </pic:blipFill>
                  <pic:spPr>
                    <a:xfrm>
                      <a:off x="0" y="0"/>
                      <a:ext cx="3680381" cy="4094511"/>
                    </a:xfrm>
                    <a:prstGeom prst="rect">
                      <a:avLst/>
                    </a:prstGeom>
                  </pic:spPr>
                </pic:pic>
              </a:graphicData>
            </a:graphic>
          </wp:anchor>
        </w:drawing>
      </w:r>
    </w:p>
    <w:p>
      <w:pPr>
        <w:pStyle w:val="BodyText"/>
        <w:spacing w:before="1"/>
        <w:rPr>
          <w:sz w:val="21"/>
        </w:rPr>
      </w:pPr>
    </w:p>
    <w:p>
      <w:pPr>
        <w:pStyle w:val="Heading4"/>
        <w:jc w:val="both"/>
      </w:pPr>
      <w:r>
        <w:rPr/>
        <w:t>Figure 37: Map of FPG Road A</w:t>
      </w:r>
    </w:p>
    <w:p>
      <w:pPr>
        <w:spacing w:after="0"/>
        <w:jc w:val="both"/>
        <w:sectPr>
          <w:headerReference w:type="default" r:id="rId335"/>
          <w:pgSz w:w="11910" w:h="16850"/>
          <w:pgMar w:header="852" w:footer="876" w:top="1040" w:bottom="1160" w:left="0" w:right="0"/>
        </w:sectPr>
      </w:pPr>
    </w:p>
    <w:p>
      <w:pPr>
        <w:pStyle w:val="BodyText"/>
        <w:spacing w:before="2"/>
        <w:rPr>
          <w:b/>
          <w:sz w:val="23"/>
        </w:rPr>
      </w:pPr>
    </w:p>
    <w:p>
      <w:pPr>
        <w:pStyle w:val="BodyText"/>
        <w:spacing w:before="93"/>
        <w:ind w:left="2268" w:right="1136" w:hanging="852"/>
      </w:pPr>
      <w:r>
        <w:rPr/>
        <w:t>NOTE:</w:t>
      </w:r>
      <w:r>
        <w:rPr>
          <w:spacing w:val="-15"/>
        </w:rPr>
        <w:t> </w:t>
      </w:r>
      <w:r>
        <w:rPr/>
        <w:t>The</w:t>
      </w:r>
      <w:r>
        <w:rPr>
          <w:spacing w:val="-16"/>
        </w:rPr>
        <w:t> </w:t>
      </w:r>
      <w:r>
        <w:rPr/>
        <w:t>blue</w:t>
      </w:r>
      <w:r>
        <w:rPr>
          <w:spacing w:val="-16"/>
        </w:rPr>
        <w:t> </w:t>
      </w:r>
      <w:r>
        <w:rPr/>
        <w:t>square</w:t>
      </w:r>
      <w:r>
        <w:rPr>
          <w:spacing w:val="-13"/>
        </w:rPr>
        <w:t> </w:t>
      </w:r>
      <w:r>
        <w:rPr/>
        <w:t>on</w:t>
      </w:r>
      <w:r>
        <w:rPr>
          <w:spacing w:val="-16"/>
        </w:rPr>
        <w:t> </w:t>
      </w:r>
      <w:r>
        <w:rPr/>
        <w:t>the</w:t>
      </w:r>
      <w:r>
        <w:rPr>
          <w:spacing w:val="-16"/>
        </w:rPr>
        <w:t> </w:t>
      </w:r>
      <w:r>
        <w:rPr/>
        <w:t>map</w:t>
      </w:r>
      <w:r>
        <w:rPr>
          <w:spacing w:val="-16"/>
        </w:rPr>
        <w:t> </w:t>
      </w:r>
      <w:r>
        <w:rPr/>
        <w:t>above</w:t>
      </w:r>
      <w:r>
        <w:rPr>
          <w:spacing w:val="-15"/>
        </w:rPr>
        <w:t> </w:t>
      </w:r>
      <w:r>
        <w:rPr/>
        <w:t>represents</w:t>
      </w:r>
      <w:r>
        <w:rPr>
          <w:spacing w:val="-14"/>
        </w:rPr>
        <w:t> </w:t>
      </w:r>
      <w:r>
        <w:rPr/>
        <w:t>the</w:t>
      </w:r>
      <w:r>
        <w:rPr>
          <w:spacing w:val="-15"/>
        </w:rPr>
        <w:t> </w:t>
      </w:r>
      <w:r>
        <w:rPr/>
        <w:t>north</w:t>
      </w:r>
      <w:r>
        <w:rPr>
          <w:spacing w:val="-13"/>
        </w:rPr>
        <w:t> </w:t>
      </w:r>
      <w:r>
        <w:rPr/>
        <w:t>circle</w:t>
      </w:r>
      <w:r>
        <w:rPr>
          <w:spacing w:val="-13"/>
        </w:rPr>
        <w:t> </w:t>
      </w:r>
      <w:r>
        <w:rPr/>
        <w:t>where</w:t>
      </w:r>
      <w:r>
        <w:rPr>
          <w:spacing w:val="-13"/>
        </w:rPr>
        <w:t> </w:t>
      </w:r>
      <w:r>
        <w:rPr/>
        <w:t>the</w:t>
      </w:r>
      <w:r>
        <w:rPr>
          <w:spacing w:val="-13"/>
        </w:rPr>
        <w:t> </w:t>
      </w:r>
      <w:r>
        <w:rPr/>
        <w:t>SV</w:t>
      </w:r>
      <w:r>
        <w:rPr>
          <w:spacing w:val="-13"/>
        </w:rPr>
        <w:t> </w:t>
      </w:r>
      <w:r>
        <w:rPr/>
        <w:t>was</w:t>
      </w:r>
      <w:r>
        <w:rPr>
          <w:spacing w:val="-14"/>
        </w:rPr>
        <w:t> </w:t>
      </w:r>
      <w:r>
        <w:rPr/>
        <w:t>located</w:t>
      </w:r>
      <w:r>
        <w:rPr>
          <w:spacing w:val="-16"/>
        </w:rPr>
        <w:t> </w:t>
      </w:r>
      <w:r>
        <w:rPr/>
        <w:t>(see</w:t>
      </w:r>
      <w:r>
        <w:rPr>
          <w:spacing w:val="-13"/>
        </w:rPr>
        <w:t> </w:t>
      </w:r>
      <w:r>
        <w:rPr/>
        <w:t>Figure 38).</w:t>
      </w:r>
    </w:p>
    <w:p>
      <w:pPr>
        <w:pStyle w:val="BodyText"/>
        <w:spacing w:before="6"/>
        <w:rPr>
          <w:sz w:val="17"/>
        </w:rPr>
      </w:pPr>
      <w:r>
        <w:rPr/>
        <w:drawing>
          <wp:anchor distT="0" distB="0" distL="0" distR="0" allowOverlap="1" layoutInCell="1" locked="0" behindDoc="0" simplePos="0" relativeHeight="7720">
            <wp:simplePos x="0" y="0"/>
            <wp:positionH relativeFrom="page">
              <wp:posOffset>719455</wp:posOffset>
            </wp:positionH>
            <wp:positionV relativeFrom="paragraph">
              <wp:posOffset>153312</wp:posOffset>
            </wp:positionV>
            <wp:extent cx="4311290" cy="2720911"/>
            <wp:effectExtent l="0" t="0" r="0" b="0"/>
            <wp:wrapTopAndBottom/>
            <wp:docPr id="89" name="image145.jpeg" descr=""/>
            <wp:cNvGraphicFramePr>
              <a:graphicFrameLocks noChangeAspect="1"/>
            </wp:cNvGraphicFramePr>
            <a:graphic>
              <a:graphicData uri="http://schemas.openxmlformats.org/drawingml/2006/picture">
                <pic:pic>
                  <pic:nvPicPr>
                    <pic:cNvPr id="90" name="image145.jpeg"/>
                    <pic:cNvPicPr/>
                  </pic:nvPicPr>
                  <pic:blipFill>
                    <a:blip r:embed="rId339" cstate="print"/>
                    <a:stretch>
                      <a:fillRect/>
                    </a:stretch>
                  </pic:blipFill>
                  <pic:spPr>
                    <a:xfrm>
                      <a:off x="0" y="0"/>
                      <a:ext cx="4311290" cy="2720911"/>
                    </a:xfrm>
                    <a:prstGeom prst="rect">
                      <a:avLst/>
                    </a:prstGeom>
                  </pic:spPr>
                </pic:pic>
              </a:graphicData>
            </a:graphic>
          </wp:anchor>
        </w:drawing>
      </w:r>
    </w:p>
    <w:p>
      <w:pPr>
        <w:pStyle w:val="BodyText"/>
        <w:spacing w:before="4"/>
        <w:rPr>
          <w:sz w:val="26"/>
        </w:rPr>
      </w:pPr>
    </w:p>
    <w:p>
      <w:pPr>
        <w:pStyle w:val="Heading4"/>
        <w:spacing w:before="1"/>
        <w:jc w:val="both"/>
      </w:pPr>
      <w:r>
        <w:rPr/>
        <w:t>Figure 39: Map of the north circle at FPG Road A</w:t>
      </w:r>
    </w:p>
    <w:p>
      <w:pPr>
        <w:pStyle w:val="BodyText"/>
        <w:rPr>
          <w:b/>
          <w:sz w:val="26"/>
        </w:rPr>
      </w:pPr>
    </w:p>
    <w:p>
      <w:pPr>
        <w:pStyle w:val="BodyText"/>
        <w:spacing w:before="182"/>
        <w:ind w:left="2268" w:right="1136" w:hanging="852"/>
      </w:pPr>
      <w:r>
        <w:rPr/>
        <w:t>NOTE: The red vehicle is the SV, and the blue vehicle is the MV with its trajectory labeled with the white arrow.</w:t>
      </w:r>
    </w:p>
    <w:p>
      <w:pPr>
        <w:pStyle w:val="BodyText"/>
        <w:spacing w:before="11"/>
        <w:rPr>
          <w:sz w:val="25"/>
        </w:rPr>
      </w:pPr>
    </w:p>
    <w:p>
      <w:pPr>
        <w:pStyle w:val="Heading5"/>
        <w:ind w:left="1133"/>
        <w:jc w:val="both"/>
        <w:rPr>
          <w:rFonts w:ascii="Arial"/>
        </w:rPr>
      </w:pPr>
      <w:r>
        <w:rPr>
          <w:rFonts w:ascii="Arial"/>
        </w:rPr>
        <w:t>8.5.1.1          LOS Test Results</w:t>
      </w:r>
    </w:p>
    <w:p>
      <w:pPr>
        <w:pStyle w:val="BodyText"/>
        <w:spacing w:before="181"/>
        <w:ind w:left="1133" w:right="1128"/>
        <w:jc w:val="both"/>
      </w:pPr>
      <w:r>
        <w:rPr/>
        <w:t>The first test was done to assess range of the devices on the track and collect the RSSI with no additional attenuation. Figure 40 shows the RSSI of a two-loop test. The RSSI KPI logs were collected by the DSRC OBUs. We observed that the equivalent path loss OBU-to-OBU at 1200 m (~85% of the test track) is approximately 113 dB (=23 dBm-(-90 dBm)). This path loss includes connector and cable losses, antenna gains, as well as propagation loss.</w:t>
      </w:r>
    </w:p>
    <w:p>
      <w:pPr>
        <w:pStyle w:val="BodyText"/>
        <w:spacing w:before="180"/>
        <w:ind w:left="1133" w:right="1128"/>
        <w:jc w:val="both"/>
      </w:pPr>
      <w:r>
        <w:rPr/>
        <w:t>In Figure 40, we also show DSRC sensitivity based on Lab tests in section 7.2.2. Below this level the packet reception starts to deteriorate rapidly. The intersection of the sensitivity levels with the RSSI plot indicates roughly</w:t>
      </w:r>
      <w:r>
        <w:rPr>
          <w:spacing w:val="-11"/>
        </w:rPr>
        <w:t> </w:t>
      </w:r>
      <w:r>
        <w:rPr/>
        <w:t>the</w:t>
      </w:r>
      <w:r>
        <w:rPr>
          <w:spacing w:val="-8"/>
        </w:rPr>
        <w:t> </w:t>
      </w:r>
      <w:r>
        <w:rPr/>
        <w:t>range</w:t>
      </w:r>
      <w:r>
        <w:rPr>
          <w:spacing w:val="-8"/>
        </w:rPr>
        <w:t> </w:t>
      </w:r>
      <w:r>
        <w:rPr/>
        <w:t>for</w:t>
      </w:r>
      <w:r>
        <w:rPr>
          <w:spacing w:val="-7"/>
        </w:rPr>
        <w:t> </w:t>
      </w:r>
      <w:r>
        <w:rPr/>
        <w:t>DSRC.</w:t>
      </w:r>
      <w:r>
        <w:rPr>
          <w:spacing w:val="-8"/>
        </w:rPr>
        <w:t> </w:t>
      </w:r>
      <w:r>
        <w:rPr/>
        <w:t>Since</w:t>
      </w:r>
      <w:r>
        <w:rPr>
          <w:spacing w:val="-8"/>
        </w:rPr>
        <w:t> </w:t>
      </w:r>
      <w:r>
        <w:rPr/>
        <w:t>the</w:t>
      </w:r>
      <w:r>
        <w:rPr>
          <w:spacing w:val="-8"/>
        </w:rPr>
        <w:t> </w:t>
      </w:r>
      <w:r>
        <w:rPr/>
        <w:t>accuracy</w:t>
      </w:r>
      <w:r>
        <w:rPr>
          <w:spacing w:val="-11"/>
        </w:rPr>
        <w:t> </w:t>
      </w:r>
      <w:r>
        <w:rPr/>
        <w:t>of</w:t>
      </w:r>
      <w:r>
        <w:rPr>
          <w:spacing w:val="-6"/>
        </w:rPr>
        <w:t> </w:t>
      </w:r>
      <w:r>
        <w:rPr/>
        <w:t>the</w:t>
      </w:r>
      <w:r>
        <w:rPr>
          <w:spacing w:val="-6"/>
        </w:rPr>
        <w:t> </w:t>
      </w:r>
      <w:r>
        <w:rPr/>
        <w:t>RSSI</w:t>
      </w:r>
      <w:r>
        <w:rPr>
          <w:spacing w:val="-8"/>
        </w:rPr>
        <w:t> </w:t>
      </w:r>
      <w:r>
        <w:rPr/>
        <w:t>measurements</w:t>
      </w:r>
      <w:r>
        <w:rPr>
          <w:spacing w:val="-9"/>
        </w:rPr>
        <w:t> </w:t>
      </w:r>
      <w:r>
        <w:rPr/>
        <w:t>from</w:t>
      </w:r>
      <w:r>
        <w:rPr>
          <w:spacing w:val="-3"/>
        </w:rPr>
        <w:t> </w:t>
      </w:r>
      <w:r>
        <w:rPr/>
        <w:t>the</w:t>
      </w:r>
      <w:r>
        <w:rPr>
          <w:spacing w:val="-8"/>
        </w:rPr>
        <w:t> </w:t>
      </w:r>
      <w:r>
        <w:rPr/>
        <w:t>DSRC</w:t>
      </w:r>
      <w:r>
        <w:rPr>
          <w:spacing w:val="-7"/>
        </w:rPr>
        <w:t> </w:t>
      </w:r>
      <w:r>
        <w:rPr/>
        <w:t>OBU</w:t>
      </w:r>
      <w:r>
        <w:rPr>
          <w:spacing w:val="-7"/>
        </w:rPr>
        <w:t> </w:t>
      </w:r>
      <w:r>
        <w:rPr/>
        <w:t>is</w:t>
      </w:r>
      <w:r>
        <w:rPr>
          <w:spacing w:val="-7"/>
        </w:rPr>
        <w:t> </w:t>
      </w:r>
      <w:r>
        <w:rPr/>
        <w:t>unknown, the range estimate is only approximate. From the Lab tests we know that C-V2X can sustain an additional 11 to 14 dB signal loss before the PRR starts to degrade. Therefore, we expect that at 21 dBm transmit power the test track is not long enough for C-V2X to experience packet loss. For that reason, as we discussed, we introduced</w:t>
      </w:r>
      <w:r>
        <w:rPr>
          <w:spacing w:val="-8"/>
        </w:rPr>
        <w:t> </w:t>
      </w:r>
      <w:r>
        <w:rPr/>
        <w:t>additional</w:t>
      </w:r>
      <w:r>
        <w:rPr>
          <w:spacing w:val="-9"/>
        </w:rPr>
        <w:t> </w:t>
      </w:r>
      <w:r>
        <w:rPr/>
        <w:t>loss</w:t>
      </w:r>
      <w:r>
        <w:rPr>
          <w:spacing w:val="-7"/>
        </w:rPr>
        <w:t> </w:t>
      </w:r>
      <w:r>
        <w:rPr/>
        <w:t>into</w:t>
      </w:r>
      <w:r>
        <w:rPr>
          <w:spacing w:val="-8"/>
        </w:rPr>
        <w:t> </w:t>
      </w:r>
      <w:r>
        <w:rPr/>
        <w:t>the</w:t>
      </w:r>
      <w:r>
        <w:rPr>
          <w:spacing w:val="-8"/>
        </w:rPr>
        <w:t> </w:t>
      </w:r>
      <w:r>
        <w:rPr/>
        <w:t>system</w:t>
      </w:r>
      <w:r>
        <w:rPr>
          <w:spacing w:val="-4"/>
        </w:rPr>
        <w:t> </w:t>
      </w:r>
      <w:r>
        <w:rPr/>
        <w:t>by</w:t>
      </w:r>
      <w:r>
        <w:rPr>
          <w:spacing w:val="-14"/>
        </w:rPr>
        <w:t> </w:t>
      </w:r>
      <w:r>
        <w:rPr/>
        <w:t>adding</w:t>
      </w:r>
      <w:r>
        <w:rPr>
          <w:spacing w:val="-8"/>
        </w:rPr>
        <w:t> </w:t>
      </w:r>
      <w:r>
        <w:rPr/>
        <w:t>5</w:t>
      </w:r>
      <w:r>
        <w:rPr>
          <w:spacing w:val="-8"/>
        </w:rPr>
        <w:t> </w:t>
      </w:r>
      <w:r>
        <w:rPr/>
        <w:t>dB</w:t>
      </w:r>
      <w:r>
        <w:rPr>
          <w:spacing w:val="-8"/>
        </w:rPr>
        <w:t> </w:t>
      </w:r>
      <w:r>
        <w:rPr/>
        <w:t>or</w:t>
      </w:r>
      <w:r>
        <w:rPr>
          <w:spacing w:val="-7"/>
        </w:rPr>
        <w:t> </w:t>
      </w:r>
      <w:r>
        <w:rPr/>
        <w:t>8</w:t>
      </w:r>
      <w:r>
        <w:rPr>
          <w:spacing w:val="-8"/>
        </w:rPr>
        <w:t> </w:t>
      </w:r>
      <w:r>
        <w:rPr/>
        <w:t>dB</w:t>
      </w:r>
      <w:r>
        <w:rPr>
          <w:spacing w:val="-9"/>
        </w:rPr>
        <w:t> </w:t>
      </w:r>
      <w:r>
        <w:rPr/>
        <w:t>attenuators</w:t>
      </w:r>
      <w:r>
        <w:rPr>
          <w:spacing w:val="-7"/>
        </w:rPr>
        <w:t> </w:t>
      </w:r>
      <w:r>
        <w:rPr/>
        <w:t>on</w:t>
      </w:r>
      <w:r>
        <w:rPr>
          <w:spacing w:val="-8"/>
        </w:rPr>
        <w:t> </w:t>
      </w:r>
      <w:r>
        <w:rPr/>
        <w:t>each</w:t>
      </w:r>
      <w:r>
        <w:rPr>
          <w:spacing w:val="-8"/>
        </w:rPr>
        <w:t> </w:t>
      </w:r>
      <w:r>
        <w:rPr/>
        <w:t>RF</w:t>
      </w:r>
      <w:r>
        <w:rPr>
          <w:spacing w:val="-7"/>
        </w:rPr>
        <w:t> </w:t>
      </w:r>
      <w:r>
        <w:rPr/>
        <w:t>cable</w:t>
      </w:r>
      <w:r>
        <w:rPr>
          <w:spacing w:val="-8"/>
        </w:rPr>
        <w:t> </w:t>
      </w:r>
      <w:r>
        <w:rPr/>
        <w:t>(two</w:t>
      </w:r>
      <w:r>
        <w:rPr>
          <w:spacing w:val="-8"/>
        </w:rPr>
        <w:t> </w:t>
      </w:r>
      <w:r>
        <w:rPr/>
        <w:t>per</w:t>
      </w:r>
      <w:r>
        <w:rPr>
          <w:spacing w:val="-7"/>
        </w:rPr>
        <w:t> </w:t>
      </w:r>
      <w:r>
        <w:rPr/>
        <w:t>OBU) increasing the path loss by a total of 10 dB or 16dB, respectively. This is equivalent to reducing the transmit power from 21 dBm down to 11 dBm or 5 dBm, respectively. Note </w:t>
      </w:r>
      <w:r>
        <w:rPr>
          <w:spacing w:val="2"/>
        </w:rPr>
        <w:t>that </w:t>
      </w:r>
      <w:r>
        <w:rPr/>
        <w:t>because of power adjustment for the DSRC</w:t>
      </w:r>
      <w:r>
        <w:rPr>
          <w:spacing w:val="-6"/>
        </w:rPr>
        <w:t> </w:t>
      </w:r>
      <w:r>
        <w:rPr/>
        <w:t>system</w:t>
      </w:r>
      <w:r>
        <w:rPr>
          <w:spacing w:val="-2"/>
        </w:rPr>
        <w:t> </w:t>
      </w:r>
      <w:r>
        <w:rPr/>
        <w:t>(23</w:t>
      </w:r>
      <w:r>
        <w:rPr>
          <w:spacing w:val="-6"/>
        </w:rPr>
        <w:t> </w:t>
      </w:r>
      <w:r>
        <w:rPr/>
        <w:t>dBm</w:t>
      </w:r>
      <w:r>
        <w:rPr>
          <w:spacing w:val="-2"/>
        </w:rPr>
        <w:t> </w:t>
      </w:r>
      <w:r>
        <w:rPr/>
        <w:t>transmit</w:t>
      </w:r>
      <w:r>
        <w:rPr>
          <w:spacing w:val="-6"/>
        </w:rPr>
        <w:t> </w:t>
      </w:r>
      <w:r>
        <w:rPr/>
        <w:t>power),</w:t>
      </w:r>
      <w:r>
        <w:rPr>
          <w:spacing w:val="-6"/>
        </w:rPr>
        <w:t> </w:t>
      </w:r>
      <w:r>
        <w:rPr/>
        <w:t>the</w:t>
      </w:r>
      <w:r>
        <w:rPr>
          <w:spacing w:val="-4"/>
        </w:rPr>
        <w:t> </w:t>
      </w:r>
      <w:r>
        <w:rPr/>
        <w:t>equivalent</w:t>
      </w:r>
      <w:r>
        <w:rPr>
          <w:spacing w:val="-4"/>
        </w:rPr>
        <w:t> </w:t>
      </w:r>
      <w:r>
        <w:rPr/>
        <w:t>transmit</w:t>
      </w:r>
      <w:r>
        <w:rPr>
          <w:spacing w:val="-6"/>
        </w:rPr>
        <w:t> </w:t>
      </w:r>
      <w:r>
        <w:rPr/>
        <w:t>power</w:t>
      </w:r>
      <w:r>
        <w:rPr>
          <w:spacing w:val="-6"/>
        </w:rPr>
        <w:t> </w:t>
      </w:r>
      <w:r>
        <w:rPr/>
        <w:t>for</w:t>
      </w:r>
      <w:r>
        <w:rPr>
          <w:spacing w:val="-6"/>
        </w:rPr>
        <w:t> </w:t>
      </w:r>
      <w:r>
        <w:rPr/>
        <w:t>the</w:t>
      </w:r>
      <w:r>
        <w:rPr>
          <w:spacing w:val="-6"/>
        </w:rPr>
        <w:t> </w:t>
      </w:r>
      <w:r>
        <w:rPr/>
        <w:t>DSRC</w:t>
      </w:r>
      <w:r>
        <w:rPr>
          <w:spacing w:val="-6"/>
        </w:rPr>
        <w:t> </w:t>
      </w:r>
      <w:r>
        <w:rPr/>
        <w:t>tests</w:t>
      </w:r>
      <w:r>
        <w:rPr>
          <w:spacing w:val="-5"/>
        </w:rPr>
        <w:t> </w:t>
      </w:r>
      <w:r>
        <w:rPr/>
        <w:t>will</w:t>
      </w:r>
      <w:r>
        <w:rPr>
          <w:spacing w:val="-6"/>
        </w:rPr>
        <w:t> </w:t>
      </w:r>
      <w:r>
        <w:rPr/>
        <w:t>be</w:t>
      </w:r>
      <w:r>
        <w:rPr>
          <w:spacing w:val="-4"/>
        </w:rPr>
        <w:t> </w:t>
      </w:r>
      <w:r>
        <w:rPr/>
        <w:t>13</w:t>
      </w:r>
      <w:r>
        <w:rPr>
          <w:spacing w:val="-6"/>
        </w:rPr>
        <w:t> </w:t>
      </w:r>
      <w:r>
        <w:rPr/>
        <w:t>dBm</w:t>
      </w:r>
      <w:r>
        <w:rPr>
          <w:spacing w:val="-2"/>
        </w:rPr>
        <w:t> </w:t>
      </w:r>
      <w:r>
        <w:rPr/>
        <w:t>and 7 dBm, respectively. To avoid confusion, we refer to this power level for comparison testing as 21 dBm. With additional 10 dB/16 dB attenuation, we expect that DSRC PRR will start deteriorating at approximately 700 m/500 m, respectively (see Figure</w:t>
      </w:r>
      <w:r>
        <w:rPr>
          <w:spacing w:val="-14"/>
        </w:rPr>
        <w:t> </w:t>
      </w:r>
      <w:r>
        <w:rPr/>
        <w:t>40).</w:t>
      </w:r>
    </w:p>
    <w:p>
      <w:pPr>
        <w:pStyle w:val="BodyText"/>
        <w:spacing w:before="180"/>
        <w:ind w:left="1133" w:right="1138"/>
        <w:jc w:val="both"/>
      </w:pPr>
      <w:r>
        <w:rPr/>
        <w:t>We note that the RSSI plot in Figure 40 exhibits a classic example of the constructive and destructive superposition of direct and reflective paths. The sharp drops of RSSI at 50 m and 100 m distances are predicted by the plane-earth propagation equation; see (Parsons, 1994), which also predicts the slope of the RSSI curve at larger distance (~1/(distance) 4 or approximately 12 dB for each doubling of the distance).</w:t>
      </w:r>
    </w:p>
    <w:p>
      <w:pPr>
        <w:spacing w:after="0"/>
        <w:jc w:val="both"/>
        <w:sectPr>
          <w:headerReference w:type="default" r:id="rId338"/>
          <w:pgSz w:w="11910" w:h="16850"/>
          <w:pgMar w:header="852" w:footer="876" w:top="1040" w:bottom="1160" w:left="0" w:right="0"/>
        </w:sectPr>
      </w:pPr>
    </w:p>
    <w:p>
      <w:pPr>
        <w:pStyle w:val="BodyText"/>
      </w:pPr>
    </w:p>
    <w:p>
      <w:pPr>
        <w:pStyle w:val="BodyText"/>
        <w:spacing w:before="6"/>
        <w:rPr>
          <w:sz w:val="11"/>
        </w:rPr>
      </w:pPr>
    </w:p>
    <w:p>
      <w:pPr>
        <w:pStyle w:val="BodyText"/>
        <w:ind w:left="1133"/>
      </w:pPr>
      <w:r>
        <w:rPr/>
        <w:drawing>
          <wp:inline distT="0" distB="0" distL="0" distR="0">
            <wp:extent cx="5070487" cy="3664743"/>
            <wp:effectExtent l="0" t="0" r="0" b="0"/>
            <wp:docPr id="91" name="image146.png" descr=""/>
            <wp:cNvGraphicFramePr>
              <a:graphicFrameLocks noChangeAspect="1"/>
            </wp:cNvGraphicFramePr>
            <a:graphic>
              <a:graphicData uri="http://schemas.openxmlformats.org/drawingml/2006/picture">
                <pic:pic>
                  <pic:nvPicPr>
                    <pic:cNvPr id="92" name="image146.png"/>
                    <pic:cNvPicPr/>
                  </pic:nvPicPr>
                  <pic:blipFill>
                    <a:blip r:embed="rId341" cstate="print"/>
                    <a:stretch>
                      <a:fillRect/>
                    </a:stretch>
                  </pic:blipFill>
                  <pic:spPr>
                    <a:xfrm>
                      <a:off x="0" y="0"/>
                      <a:ext cx="5070487" cy="3664743"/>
                    </a:xfrm>
                    <a:prstGeom prst="rect">
                      <a:avLst/>
                    </a:prstGeom>
                  </pic:spPr>
                </pic:pic>
              </a:graphicData>
            </a:graphic>
          </wp:inline>
        </w:drawing>
      </w:r>
      <w:r>
        <w:rPr/>
      </w:r>
    </w:p>
    <w:p>
      <w:pPr>
        <w:pStyle w:val="BodyText"/>
        <w:spacing w:before="5"/>
        <w:rPr>
          <w:sz w:val="19"/>
        </w:rPr>
      </w:pPr>
    </w:p>
    <w:p>
      <w:pPr>
        <w:pStyle w:val="Heading4"/>
        <w:spacing w:line="274" w:lineRule="exact" w:before="98"/>
        <w:ind w:right="1136"/>
        <w:jc w:val="both"/>
      </w:pPr>
      <w:r>
        <w:rPr/>
        <w:t>Figure 40: Receive Signal Strength measured by the stationary vehicle DSRC OBU with 23 dBm transmit power</w:t>
      </w:r>
    </w:p>
    <w:p>
      <w:pPr>
        <w:pStyle w:val="BodyText"/>
        <w:rPr>
          <w:b/>
          <w:sz w:val="26"/>
        </w:rPr>
      </w:pPr>
    </w:p>
    <w:p>
      <w:pPr>
        <w:pStyle w:val="BodyText"/>
        <w:spacing w:before="178"/>
        <w:ind w:left="1133" w:right="1127"/>
        <w:jc w:val="both"/>
      </w:pPr>
      <w:r>
        <w:rPr/>
        <w:t>In</w:t>
      </w:r>
      <w:r>
        <w:rPr>
          <w:spacing w:val="-14"/>
        </w:rPr>
        <w:t> </w:t>
      </w:r>
      <w:r>
        <w:rPr/>
        <w:t>Figure</w:t>
      </w:r>
      <w:r>
        <w:rPr>
          <w:spacing w:val="-11"/>
        </w:rPr>
        <w:t> </w:t>
      </w:r>
      <w:r>
        <w:rPr/>
        <w:t>41,</w:t>
      </w:r>
      <w:r>
        <w:rPr>
          <w:spacing w:val="-12"/>
        </w:rPr>
        <w:t> </w:t>
      </w:r>
      <w:r>
        <w:rPr/>
        <w:t>we</w:t>
      </w:r>
      <w:r>
        <w:rPr>
          <w:spacing w:val="-14"/>
        </w:rPr>
        <w:t> </w:t>
      </w:r>
      <w:r>
        <w:rPr/>
        <w:t>show</w:t>
      </w:r>
      <w:r>
        <w:rPr>
          <w:spacing w:val="-14"/>
        </w:rPr>
        <w:t> </w:t>
      </w:r>
      <w:r>
        <w:rPr/>
        <w:t>average</w:t>
      </w:r>
      <w:r>
        <w:rPr>
          <w:spacing w:val="-12"/>
        </w:rPr>
        <w:t> </w:t>
      </w:r>
      <w:r>
        <w:rPr/>
        <w:t>Packet</w:t>
      </w:r>
      <w:r>
        <w:rPr>
          <w:spacing w:val="-14"/>
        </w:rPr>
        <w:t> </w:t>
      </w:r>
      <w:r>
        <w:rPr/>
        <w:t>Reception</w:t>
      </w:r>
      <w:r>
        <w:rPr>
          <w:spacing w:val="-12"/>
        </w:rPr>
        <w:t> </w:t>
      </w:r>
      <w:r>
        <w:rPr/>
        <w:t>Ratio</w:t>
      </w:r>
      <w:r>
        <w:rPr>
          <w:spacing w:val="-10"/>
        </w:rPr>
        <w:t> </w:t>
      </w:r>
      <w:r>
        <w:rPr/>
        <w:t>as</w:t>
      </w:r>
      <w:r>
        <w:rPr>
          <w:spacing w:val="-13"/>
        </w:rPr>
        <w:t> </w:t>
      </w:r>
      <w:r>
        <w:rPr/>
        <w:t>a</w:t>
      </w:r>
      <w:r>
        <w:rPr>
          <w:spacing w:val="-14"/>
        </w:rPr>
        <w:t> </w:t>
      </w:r>
      <w:r>
        <w:rPr/>
        <w:t>function</w:t>
      </w:r>
      <w:r>
        <w:rPr>
          <w:spacing w:val="-12"/>
        </w:rPr>
        <w:t> </w:t>
      </w:r>
      <w:r>
        <w:rPr/>
        <w:t>of</w:t>
      </w:r>
      <w:r>
        <w:rPr>
          <w:spacing w:val="-12"/>
        </w:rPr>
        <w:t> </w:t>
      </w:r>
      <w:r>
        <w:rPr/>
        <w:t>distance</w:t>
      </w:r>
      <w:r>
        <w:rPr>
          <w:spacing w:val="-12"/>
        </w:rPr>
        <w:t> </w:t>
      </w:r>
      <w:r>
        <w:rPr/>
        <w:t>between</w:t>
      </w:r>
      <w:r>
        <w:rPr>
          <w:spacing w:val="-12"/>
        </w:rPr>
        <w:t> </w:t>
      </w:r>
      <w:r>
        <w:rPr/>
        <w:t>the</w:t>
      </w:r>
      <w:r>
        <w:rPr>
          <w:spacing w:val="-12"/>
        </w:rPr>
        <w:t> </w:t>
      </w:r>
      <w:r>
        <w:rPr/>
        <w:t>stationary</w:t>
      </w:r>
      <w:r>
        <w:rPr>
          <w:spacing w:val="-15"/>
        </w:rPr>
        <w:t> </w:t>
      </w:r>
      <w:r>
        <w:rPr/>
        <w:t>vehicle (SV)</w:t>
      </w:r>
      <w:r>
        <w:rPr>
          <w:spacing w:val="-3"/>
        </w:rPr>
        <w:t> </w:t>
      </w:r>
      <w:r>
        <w:rPr/>
        <w:t>and</w:t>
      </w:r>
      <w:r>
        <w:rPr>
          <w:spacing w:val="-3"/>
        </w:rPr>
        <w:t> </w:t>
      </w:r>
      <w:r>
        <w:rPr/>
        <w:t>the</w:t>
      </w:r>
      <w:r>
        <w:rPr>
          <w:spacing w:val="-3"/>
        </w:rPr>
        <w:t> </w:t>
      </w:r>
      <w:r>
        <w:rPr/>
        <w:t>moving</w:t>
      </w:r>
      <w:r>
        <w:rPr>
          <w:spacing w:val="-2"/>
        </w:rPr>
        <w:t> </w:t>
      </w:r>
      <w:r>
        <w:rPr/>
        <w:t>vehicle</w:t>
      </w:r>
      <w:r>
        <w:rPr>
          <w:spacing w:val="-3"/>
        </w:rPr>
        <w:t> </w:t>
      </w:r>
      <w:r>
        <w:rPr/>
        <w:t>(MV)</w:t>
      </w:r>
      <w:r>
        <w:rPr>
          <w:spacing w:val="-1"/>
        </w:rPr>
        <w:t> </w:t>
      </w:r>
      <w:r>
        <w:rPr/>
        <w:t>which</w:t>
      </w:r>
      <w:r>
        <w:rPr>
          <w:spacing w:val="-3"/>
        </w:rPr>
        <w:t> </w:t>
      </w:r>
      <w:r>
        <w:rPr/>
        <w:t>MV</w:t>
      </w:r>
      <w:r>
        <w:rPr>
          <w:spacing w:val="-3"/>
        </w:rPr>
        <w:t> </w:t>
      </w:r>
      <w:r>
        <w:rPr/>
        <w:t>is</w:t>
      </w:r>
      <w:r>
        <w:rPr>
          <w:spacing w:val="-3"/>
        </w:rPr>
        <w:t> </w:t>
      </w:r>
      <w:r>
        <w:rPr/>
        <w:t>approaching</w:t>
      </w:r>
      <w:r>
        <w:rPr>
          <w:spacing w:val="-2"/>
        </w:rPr>
        <w:t> </w:t>
      </w:r>
      <w:r>
        <w:rPr/>
        <w:t>averaged</w:t>
      </w:r>
      <w:r>
        <w:rPr>
          <w:spacing w:val="-3"/>
        </w:rPr>
        <w:t> </w:t>
      </w:r>
      <w:r>
        <w:rPr/>
        <w:t>over</w:t>
      </w:r>
      <w:r>
        <w:rPr>
          <w:spacing w:val="-3"/>
        </w:rPr>
        <w:t> </w:t>
      </w:r>
      <w:r>
        <w:rPr/>
        <w:t>all</w:t>
      </w:r>
      <w:r>
        <w:rPr>
          <w:spacing w:val="-4"/>
        </w:rPr>
        <w:t> </w:t>
      </w:r>
      <w:r>
        <w:rPr/>
        <w:t>the</w:t>
      </w:r>
      <w:r>
        <w:rPr>
          <w:spacing w:val="-2"/>
        </w:rPr>
        <w:t> </w:t>
      </w:r>
      <w:r>
        <w:rPr/>
        <w:t>loops.</w:t>
      </w:r>
      <w:r>
        <w:rPr>
          <w:spacing w:val="-3"/>
        </w:rPr>
        <w:t> </w:t>
      </w:r>
      <w:r>
        <w:rPr/>
        <w:t>Assuming</w:t>
      </w:r>
      <w:r>
        <w:rPr>
          <w:spacing w:val="-3"/>
        </w:rPr>
        <w:t> </w:t>
      </w:r>
      <w:r>
        <w:rPr/>
        <w:t>90%</w:t>
      </w:r>
      <w:r>
        <w:rPr>
          <w:spacing w:val="-1"/>
        </w:rPr>
        <w:t> </w:t>
      </w:r>
      <w:r>
        <w:rPr/>
        <w:t>PRR as the threshold, DSRC range for 5 dBm and 11 dBm is 475 m and 675 m, respectively. Similarly, C-V2X range</w:t>
      </w:r>
      <w:r>
        <w:rPr>
          <w:spacing w:val="-4"/>
        </w:rPr>
        <w:t> </w:t>
      </w:r>
      <w:r>
        <w:rPr/>
        <w:t>is</w:t>
      </w:r>
      <w:r>
        <w:rPr>
          <w:spacing w:val="-2"/>
        </w:rPr>
        <w:t> </w:t>
      </w:r>
      <w:r>
        <w:rPr/>
        <w:t>780</w:t>
      </w:r>
      <w:r>
        <w:rPr>
          <w:spacing w:val="-3"/>
        </w:rPr>
        <w:t> </w:t>
      </w:r>
      <w:r>
        <w:rPr/>
        <w:t>m</w:t>
      </w:r>
      <w:r>
        <w:rPr>
          <w:spacing w:val="-1"/>
        </w:rPr>
        <w:t> </w:t>
      </w:r>
      <w:r>
        <w:rPr/>
        <w:t>and</w:t>
      </w:r>
      <w:r>
        <w:rPr>
          <w:spacing w:val="-3"/>
        </w:rPr>
        <w:t> </w:t>
      </w:r>
      <w:r>
        <w:rPr/>
        <w:t>1175</w:t>
      </w:r>
      <w:r>
        <w:rPr>
          <w:spacing w:val="-4"/>
        </w:rPr>
        <w:t> </w:t>
      </w:r>
      <w:r>
        <w:rPr/>
        <w:t>m</w:t>
      </w:r>
      <w:r>
        <w:rPr>
          <w:spacing w:val="-3"/>
        </w:rPr>
        <w:t> </w:t>
      </w:r>
      <w:r>
        <w:rPr/>
        <w:t>for</w:t>
      </w:r>
      <w:r>
        <w:rPr>
          <w:spacing w:val="-5"/>
        </w:rPr>
        <w:t> </w:t>
      </w:r>
      <w:r>
        <w:rPr/>
        <w:t>effective</w:t>
      </w:r>
      <w:r>
        <w:rPr>
          <w:spacing w:val="-6"/>
        </w:rPr>
        <w:t> </w:t>
      </w:r>
      <w:r>
        <w:rPr/>
        <w:t>transmit</w:t>
      </w:r>
      <w:r>
        <w:rPr>
          <w:spacing w:val="-5"/>
        </w:rPr>
        <w:t> </w:t>
      </w:r>
      <w:r>
        <w:rPr/>
        <w:t>power</w:t>
      </w:r>
      <w:r>
        <w:rPr>
          <w:spacing w:val="-2"/>
        </w:rPr>
        <w:t> </w:t>
      </w:r>
      <w:r>
        <w:rPr/>
        <w:t>of</w:t>
      </w:r>
      <w:r>
        <w:rPr>
          <w:spacing w:val="-4"/>
        </w:rPr>
        <w:t> </w:t>
      </w:r>
      <w:r>
        <w:rPr/>
        <w:t>5</w:t>
      </w:r>
      <w:r>
        <w:rPr>
          <w:spacing w:val="-3"/>
        </w:rPr>
        <w:t> </w:t>
      </w:r>
      <w:r>
        <w:rPr/>
        <w:t>dBm</w:t>
      </w:r>
      <w:r>
        <w:rPr>
          <w:spacing w:val="-1"/>
        </w:rPr>
        <w:t> </w:t>
      </w:r>
      <w:r>
        <w:rPr/>
        <w:t>and</w:t>
      </w:r>
      <w:r>
        <w:rPr>
          <w:spacing w:val="-3"/>
        </w:rPr>
        <w:t> </w:t>
      </w:r>
      <w:r>
        <w:rPr/>
        <w:t>11</w:t>
      </w:r>
      <w:r>
        <w:rPr>
          <w:spacing w:val="-3"/>
        </w:rPr>
        <w:t> </w:t>
      </w:r>
      <w:r>
        <w:rPr/>
        <w:t>dBm,</w:t>
      </w:r>
      <w:r>
        <w:rPr>
          <w:spacing w:val="-5"/>
        </w:rPr>
        <w:t> </w:t>
      </w:r>
      <w:r>
        <w:rPr/>
        <w:t>respectively.</w:t>
      </w:r>
      <w:r>
        <w:rPr>
          <w:spacing w:val="-3"/>
        </w:rPr>
        <w:t> </w:t>
      </w:r>
      <w:r>
        <w:rPr/>
        <w:t>Note</w:t>
      </w:r>
      <w:r>
        <w:rPr>
          <w:spacing w:val="-4"/>
        </w:rPr>
        <w:t> </w:t>
      </w:r>
      <w:r>
        <w:rPr/>
        <w:t>that</w:t>
      </w:r>
      <w:r>
        <w:rPr>
          <w:spacing w:val="-3"/>
        </w:rPr>
        <w:t> </w:t>
      </w:r>
      <w:r>
        <w:rPr/>
        <w:t>PRR</w:t>
      </w:r>
      <w:r>
        <w:rPr>
          <w:spacing w:val="-3"/>
        </w:rPr>
        <w:t> </w:t>
      </w:r>
      <w:r>
        <w:rPr/>
        <w:t>of C-V2X at 5 dBm effective transmit power has a higher range than PRR for DSRC at 11 dBm. It is interesting to note that the RSSI plot in Figure 40 provided a reasonable sanity check for the DSRC range performance on this test</w:t>
      </w:r>
      <w:r>
        <w:rPr>
          <w:spacing w:val="-4"/>
        </w:rPr>
        <w:t> </w:t>
      </w:r>
      <w:r>
        <w:rPr/>
        <w:t>track.</w:t>
      </w:r>
    </w:p>
    <w:p>
      <w:pPr>
        <w:pStyle w:val="BodyText"/>
        <w:spacing w:before="4"/>
        <w:rPr>
          <w:sz w:val="12"/>
        </w:rPr>
      </w:pPr>
      <w:r>
        <w:rPr/>
        <w:drawing>
          <wp:anchor distT="0" distB="0" distL="0" distR="0" allowOverlap="1" layoutInCell="1" locked="0" behindDoc="0" simplePos="0" relativeHeight="7744">
            <wp:simplePos x="0" y="0"/>
            <wp:positionH relativeFrom="page">
              <wp:posOffset>719455</wp:posOffset>
            </wp:positionH>
            <wp:positionV relativeFrom="paragraph">
              <wp:posOffset>115384</wp:posOffset>
            </wp:positionV>
            <wp:extent cx="4925440" cy="2798064"/>
            <wp:effectExtent l="0" t="0" r="0" b="0"/>
            <wp:wrapTopAndBottom/>
            <wp:docPr id="93" name="image147.png" descr=""/>
            <wp:cNvGraphicFramePr>
              <a:graphicFrameLocks noChangeAspect="1"/>
            </wp:cNvGraphicFramePr>
            <a:graphic>
              <a:graphicData uri="http://schemas.openxmlformats.org/drawingml/2006/picture">
                <pic:pic>
                  <pic:nvPicPr>
                    <pic:cNvPr id="94" name="image147.png"/>
                    <pic:cNvPicPr/>
                  </pic:nvPicPr>
                  <pic:blipFill>
                    <a:blip r:embed="rId342" cstate="print"/>
                    <a:stretch>
                      <a:fillRect/>
                    </a:stretch>
                  </pic:blipFill>
                  <pic:spPr>
                    <a:xfrm>
                      <a:off x="0" y="0"/>
                      <a:ext cx="4925440" cy="2798064"/>
                    </a:xfrm>
                    <a:prstGeom prst="rect">
                      <a:avLst/>
                    </a:prstGeom>
                  </pic:spPr>
                </pic:pic>
              </a:graphicData>
            </a:graphic>
          </wp:anchor>
        </w:drawing>
      </w:r>
    </w:p>
    <w:p>
      <w:pPr>
        <w:pStyle w:val="Heading4"/>
        <w:spacing w:before="121"/>
        <w:ind w:right="1138"/>
        <w:jc w:val="both"/>
      </w:pPr>
      <w:r>
        <w:rPr/>
        <w:t>Figure 41: LOS average Packet Reception Ratio at the SV as a function of distance between the SV and MV</w:t>
      </w:r>
    </w:p>
    <w:p>
      <w:pPr>
        <w:spacing w:after="0"/>
        <w:jc w:val="both"/>
        <w:sectPr>
          <w:headerReference w:type="default" r:id="rId340"/>
          <w:pgSz w:w="11910" w:h="16850"/>
          <w:pgMar w:header="852" w:footer="876" w:top="1040" w:bottom="1160" w:left="0" w:right="0"/>
        </w:sectPr>
      </w:pPr>
    </w:p>
    <w:p>
      <w:pPr>
        <w:pStyle w:val="BodyText"/>
        <w:spacing w:before="2"/>
        <w:rPr>
          <w:b/>
          <w:sz w:val="23"/>
        </w:rPr>
      </w:pPr>
    </w:p>
    <w:p>
      <w:pPr>
        <w:pStyle w:val="BodyText"/>
        <w:spacing w:before="93"/>
        <w:ind w:left="1133" w:right="1130"/>
        <w:jc w:val="both"/>
      </w:pPr>
      <w:r>
        <w:rPr/>
        <w:t>In Figure 42 we show the average Inter-Packet Gap (IPG) as a function of distance between SV and MV observed</w:t>
      </w:r>
      <w:r>
        <w:rPr>
          <w:spacing w:val="-6"/>
        </w:rPr>
        <w:t> </w:t>
      </w:r>
      <w:r>
        <w:rPr/>
        <w:t>by</w:t>
      </w:r>
      <w:r>
        <w:rPr>
          <w:spacing w:val="-9"/>
        </w:rPr>
        <w:t> </w:t>
      </w:r>
      <w:r>
        <w:rPr/>
        <w:t>SV</w:t>
      </w:r>
      <w:r>
        <w:rPr>
          <w:spacing w:val="-6"/>
        </w:rPr>
        <w:t> </w:t>
      </w:r>
      <w:r>
        <w:rPr/>
        <w:t>for</w:t>
      </w:r>
      <w:r>
        <w:rPr>
          <w:spacing w:val="-5"/>
        </w:rPr>
        <w:t> </w:t>
      </w:r>
      <w:r>
        <w:rPr/>
        <w:t>both</w:t>
      </w:r>
      <w:r>
        <w:rPr>
          <w:spacing w:val="-6"/>
        </w:rPr>
        <w:t> </w:t>
      </w:r>
      <w:r>
        <w:rPr/>
        <w:t>technologies</w:t>
      </w:r>
      <w:r>
        <w:rPr>
          <w:spacing w:val="-5"/>
        </w:rPr>
        <w:t> </w:t>
      </w:r>
      <w:r>
        <w:rPr/>
        <w:t>at</w:t>
      </w:r>
      <w:r>
        <w:rPr>
          <w:spacing w:val="-6"/>
        </w:rPr>
        <w:t> </w:t>
      </w:r>
      <w:r>
        <w:rPr/>
        <w:t>5</w:t>
      </w:r>
      <w:r>
        <w:rPr>
          <w:spacing w:val="-6"/>
        </w:rPr>
        <w:t> </w:t>
      </w:r>
      <w:r>
        <w:rPr/>
        <w:t>dBm</w:t>
      </w:r>
      <w:r>
        <w:rPr>
          <w:spacing w:val="-2"/>
        </w:rPr>
        <w:t> </w:t>
      </w:r>
      <w:r>
        <w:rPr/>
        <w:t>effective</w:t>
      </w:r>
      <w:r>
        <w:rPr>
          <w:spacing w:val="-6"/>
        </w:rPr>
        <w:t> </w:t>
      </w:r>
      <w:r>
        <w:rPr/>
        <w:t>power.</w:t>
      </w:r>
      <w:r>
        <w:rPr>
          <w:spacing w:val="-7"/>
        </w:rPr>
        <w:t> </w:t>
      </w:r>
      <w:r>
        <w:rPr>
          <w:spacing w:val="4"/>
        </w:rPr>
        <w:t>We</w:t>
      </w:r>
      <w:r>
        <w:rPr>
          <w:spacing w:val="-6"/>
        </w:rPr>
        <w:t> </w:t>
      </w:r>
      <w:r>
        <w:rPr/>
        <w:t>observe</w:t>
      </w:r>
      <w:r>
        <w:rPr>
          <w:spacing w:val="-6"/>
        </w:rPr>
        <w:t> </w:t>
      </w:r>
      <w:r>
        <w:rPr/>
        <w:t>that</w:t>
      </w:r>
      <w:r>
        <w:rPr>
          <w:spacing w:val="-5"/>
        </w:rPr>
        <w:t> </w:t>
      </w:r>
      <w:r>
        <w:rPr/>
        <w:t>average</w:t>
      </w:r>
      <w:r>
        <w:rPr>
          <w:spacing w:val="-6"/>
        </w:rPr>
        <w:t> </w:t>
      </w:r>
      <w:r>
        <w:rPr/>
        <w:t>IPG</w:t>
      </w:r>
      <w:r>
        <w:rPr>
          <w:spacing w:val="-4"/>
        </w:rPr>
        <w:t> </w:t>
      </w:r>
      <w:r>
        <w:rPr/>
        <w:t>is</w:t>
      </w:r>
      <w:r>
        <w:rPr>
          <w:spacing w:val="-4"/>
        </w:rPr>
        <w:t> </w:t>
      </w:r>
      <w:r>
        <w:rPr/>
        <w:t>a</w:t>
      </w:r>
      <w:r>
        <w:rPr>
          <w:spacing w:val="-6"/>
        </w:rPr>
        <w:t> </w:t>
      </w:r>
      <w:r>
        <w:rPr/>
        <w:t>fixed</w:t>
      </w:r>
      <w:r>
        <w:rPr>
          <w:spacing w:val="-6"/>
        </w:rPr>
        <w:t> </w:t>
      </w:r>
      <w:r>
        <w:rPr/>
        <w:t>value (100 ms) for distances below PRR range for each technology. This is expected when no packets are lost. Small variations around the average are due to radio access and protocol stack processing variability. When N packets are lost the next received packet will record IPG which is approximately (N+1) inter-packet gaps or (N+1) x 100 ms. With a larger number of packets lost, the IPG increases rapidly, meaning that consecutive packets</w:t>
      </w:r>
      <w:r>
        <w:rPr>
          <w:spacing w:val="-5"/>
        </w:rPr>
        <w:t> </w:t>
      </w:r>
      <w:r>
        <w:rPr/>
        <w:t>are</w:t>
      </w:r>
      <w:r>
        <w:rPr>
          <w:spacing w:val="-5"/>
        </w:rPr>
        <w:t> </w:t>
      </w:r>
      <w:r>
        <w:rPr/>
        <w:t>being</w:t>
      </w:r>
      <w:r>
        <w:rPr>
          <w:spacing w:val="-3"/>
        </w:rPr>
        <w:t> </w:t>
      </w:r>
      <w:r>
        <w:rPr/>
        <w:t>dropped.</w:t>
      </w:r>
      <w:r>
        <w:rPr>
          <w:spacing w:val="-3"/>
        </w:rPr>
        <w:t> </w:t>
      </w:r>
      <w:r>
        <w:rPr/>
        <w:t>It</w:t>
      </w:r>
      <w:r>
        <w:rPr>
          <w:spacing w:val="-6"/>
        </w:rPr>
        <w:t> </w:t>
      </w:r>
      <w:r>
        <w:rPr/>
        <w:t>can</w:t>
      </w:r>
      <w:r>
        <w:rPr>
          <w:spacing w:val="-6"/>
        </w:rPr>
        <w:t> </w:t>
      </w:r>
      <w:r>
        <w:rPr/>
        <w:t>be</w:t>
      </w:r>
      <w:r>
        <w:rPr>
          <w:spacing w:val="-6"/>
        </w:rPr>
        <w:t> </w:t>
      </w:r>
      <w:r>
        <w:rPr/>
        <w:t>observed</w:t>
      </w:r>
      <w:r>
        <w:rPr>
          <w:spacing w:val="-6"/>
        </w:rPr>
        <w:t> </w:t>
      </w:r>
      <w:r>
        <w:rPr/>
        <w:t>that</w:t>
      </w:r>
      <w:r>
        <w:rPr>
          <w:spacing w:val="-6"/>
        </w:rPr>
        <w:t> </w:t>
      </w:r>
      <w:r>
        <w:rPr/>
        <w:t>the</w:t>
      </w:r>
      <w:r>
        <w:rPr>
          <w:spacing w:val="-3"/>
        </w:rPr>
        <w:t> </w:t>
      </w:r>
      <w:r>
        <w:rPr/>
        <w:t>rapid</w:t>
      </w:r>
      <w:r>
        <w:rPr>
          <w:spacing w:val="-3"/>
        </w:rPr>
        <w:t> </w:t>
      </w:r>
      <w:r>
        <w:rPr/>
        <w:t>increase</w:t>
      </w:r>
      <w:r>
        <w:rPr>
          <w:spacing w:val="-3"/>
        </w:rPr>
        <w:t> </w:t>
      </w:r>
      <w:r>
        <w:rPr/>
        <w:t>in</w:t>
      </w:r>
      <w:r>
        <w:rPr>
          <w:spacing w:val="-6"/>
        </w:rPr>
        <w:t> </w:t>
      </w:r>
      <w:r>
        <w:rPr/>
        <w:t>the</w:t>
      </w:r>
      <w:r>
        <w:rPr>
          <w:spacing w:val="-6"/>
        </w:rPr>
        <w:t> </w:t>
      </w:r>
      <w:r>
        <w:rPr/>
        <w:t>average</w:t>
      </w:r>
      <w:r>
        <w:rPr>
          <w:spacing w:val="-6"/>
        </w:rPr>
        <w:t> </w:t>
      </w:r>
      <w:r>
        <w:rPr/>
        <w:t>IPG</w:t>
      </w:r>
      <w:r>
        <w:rPr>
          <w:spacing w:val="-2"/>
        </w:rPr>
        <w:t> </w:t>
      </w:r>
      <w:r>
        <w:rPr/>
        <w:t>is</w:t>
      </w:r>
      <w:r>
        <w:rPr>
          <w:spacing w:val="-4"/>
        </w:rPr>
        <w:t> </w:t>
      </w:r>
      <w:r>
        <w:rPr/>
        <w:t>closely</w:t>
      </w:r>
      <w:r>
        <w:rPr>
          <w:spacing w:val="-9"/>
        </w:rPr>
        <w:t> </w:t>
      </w:r>
      <w:r>
        <w:rPr/>
        <w:t>correlated with range (see corresponding curves in Figure</w:t>
      </w:r>
      <w:r>
        <w:rPr>
          <w:spacing w:val="-18"/>
        </w:rPr>
        <w:t> </w:t>
      </w:r>
      <w:r>
        <w:rPr/>
        <w:t>41).</w:t>
      </w:r>
    </w:p>
    <w:p>
      <w:pPr>
        <w:pStyle w:val="BodyText"/>
        <w:spacing w:before="180"/>
        <w:ind w:left="1133" w:right="1126"/>
        <w:jc w:val="both"/>
      </w:pPr>
      <w:r>
        <w:rPr/>
        <w:t>In</w:t>
      </w:r>
      <w:r>
        <w:rPr>
          <w:spacing w:val="-6"/>
        </w:rPr>
        <w:t> </w:t>
      </w:r>
      <w:r>
        <w:rPr/>
        <w:t>Figure</w:t>
      </w:r>
      <w:r>
        <w:rPr>
          <w:spacing w:val="-6"/>
        </w:rPr>
        <w:t> </w:t>
      </w:r>
      <w:r>
        <w:rPr/>
        <w:t>43</w:t>
      </w:r>
      <w:r>
        <w:rPr>
          <w:spacing w:val="-3"/>
        </w:rPr>
        <w:t> </w:t>
      </w:r>
      <w:r>
        <w:rPr/>
        <w:t>we</w:t>
      </w:r>
      <w:r>
        <w:rPr>
          <w:spacing w:val="-6"/>
        </w:rPr>
        <w:t> </w:t>
      </w:r>
      <w:r>
        <w:rPr/>
        <w:t>show</w:t>
      </w:r>
      <w:r>
        <w:rPr>
          <w:spacing w:val="-7"/>
        </w:rPr>
        <w:t> </w:t>
      </w:r>
      <w:r>
        <w:rPr/>
        <w:t>the</w:t>
      </w:r>
      <w:r>
        <w:rPr>
          <w:spacing w:val="-6"/>
        </w:rPr>
        <w:t> </w:t>
      </w:r>
      <w:r>
        <w:rPr/>
        <w:t>Cumulative</w:t>
      </w:r>
      <w:r>
        <w:rPr>
          <w:spacing w:val="-6"/>
        </w:rPr>
        <w:t> </w:t>
      </w:r>
      <w:r>
        <w:rPr/>
        <w:t>Distribution</w:t>
      </w:r>
      <w:r>
        <w:rPr>
          <w:spacing w:val="-6"/>
        </w:rPr>
        <w:t> </w:t>
      </w:r>
      <w:r>
        <w:rPr/>
        <w:t>Function</w:t>
      </w:r>
      <w:r>
        <w:rPr>
          <w:spacing w:val="-6"/>
        </w:rPr>
        <w:t> </w:t>
      </w:r>
      <w:r>
        <w:rPr/>
        <w:t>(CDF)</w:t>
      </w:r>
      <w:r>
        <w:rPr>
          <w:spacing w:val="-5"/>
        </w:rPr>
        <w:t> </w:t>
      </w:r>
      <w:r>
        <w:rPr/>
        <w:t>of</w:t>
      </w:r>
      <w:r>
        <w:rPr>
          <w:spacing w:val="-4"/>
        </w:rPr>
        <w:t> </w:t>
      </w:r>
      <w:r>
        <w:rPr/>
        <w:t>the</w:t>
      </w:r>
      <w:r>
        <w:rPr>
          <w:spacing w:val="-6"/>
        </w:rPr>
        <w:t> </w:t>
      </w:r>
      <w:r>
        <w:rPr/>
        <w:t>IPG</w:t>
      </w:r>
      <w:r>
        <w:rPr>
          <w:spacing w:val="-4"/>
        </w:rPr>
        <w:t> </w:t>
      </w:r>
      <w:r>
        <w:rPr/>
        <w:t>data</w:t>
      </w:r>
      <w:r>
        <w:rPr>
          <w:spacing w:val="-6"/>
        </w:rPr>
        <w:t> </w:t>
      </w:r>
      <w:r>
        <w:rPr/>
        <w:t>from</w:t>
      </w:r>
      <w:r>
        <w:rPr>
          <w:spacing w:val="-4"/>
        </w:rPr>
        <w:t> </w:t>
      </w:r>
      <w:r>
        <w:rPr/>
        <w:t>Figure</w:t>
      </w:r>
      <w:r>
        <w:rPr>
          <w:spacing w:val="-6"/>
        </w:rPr>
        <w:t> </w:t>
      </w:r>
      <w:r>
        <w:rPr/>
        <w:t>42.</w:t>
      </w:r>
      <w:r>
        <w:rPr>
          <w:spacing w:val="-10"/>
        </w:rPr>
        <w:t> </w:t>
      </w:r>
      <w:r>
        <w:rPr>
          <w:spacing w:val="5"/>
        </w:rPr>
        <w:t>We</w:t>
      </w:r>
      <w:r>
        <w:rPr>
          <w:spacing w:val="-8"/>
        </w:rPr>
        <w:t> </w:t>
      </w:r>
      <w:r>
        <w:rPr/>
        <w:t>observe that</w:t>
      </w:r>
      <w:r>
        <w:rPr>
          <w:spacing w:val="-10"/>
        </w:rPr>
        <w:t> </w:t>
      </w:r>
      <w:r>
        <w:rPr/>
        <w:t>for</w:t>
      </w:r>
      <w:r>
        <w:rPr>
          <w:spacing w:val="-9"/>
        </w:rPr>
        <w:t> </w:t>
      </w:r>
      <w:r>
        <w:rPr/>
        <w:t>both</w:t>
      </w:r>
      <w:r>
        <w:rPr>
          <w:spacing w:val="-11"/>
        </w:rPr>
        <w:t> </w:t>
      </w:r>
      <w:r>
        <w:rPr/>
        <w:t>DSRC</w:t>
      </w:r>
      <w:r>
        <w:rPr>
          <w:spacing w:val="-7"/>
        </w:rPr>
        <w:t> </w:t>
      </w:r>
      <w:r>
        <w:rPr/>
        <w:t>and</w:t>
      </w:r>
      <w:r>
        <w:rPr>
          <w:spacing w:val="-10"/>
        </w:rPr>
        <w:t> </w:t>
      </w:r>
      <w:r>
        <w:rPr/>
        <w:t>C-V2X</w:t>
      </w:r>
      <w:r>
        <w:rPr>
          <w:spacing w:val="-9"/>
        </w:rPr>
        <w:t> </w:t>
      </w:r>
      <w:r>
        <w:rPr/>
        <w:t>~82</w:t>
      </w:r>
      <w:r>
        <w:rPr>
          <w:spacing w:val="-11"/>
        </w:rPr>
        <w:t> </w:t>
      </w:r>
      <w:r>
        <w:rPr/>
        <w:t>to</w:t>
      </w:r>
      <w:r>
        <w:rPr>
          <w:spacing w:val="-10"/>
        </w:rPr>
        <w:t> </w:t>
      </w:r>
      <w:r>
        <w:rPr/>
        <w:t>83%</w:t>
      </w:r>
      <w:r>
        <w:rPr>
          <w:spacing w:val="-7"/>
        </w:rPr>
        <w:t> </w:t>
      </w:r>
      <w:r>
        <w:rPr/>
        <w:t>of</w:t>
      </w:r>
      <w:r>
        <w:rPr>
          <w:spacing w:val="-8"/>
        </w:rPr>
        <w:t> </w:t>
      </w:r>
      <w:r>
        <w:rPr/>
        <w:t>all</w:t>
      </w:r>
      <w:r>
        <w:rPr>
          <w:spacing w:val="-9"/>
        </w:rPr>
        <w:t> </w:t>
      </w:r>
      <w:r>
        <w:rPr/>
        <w:t>BSMs</w:t>
      </w:r>
      <w:r>
        <w:rPr>
          <w:spacing w:val="-9"/>
        </w:rPr>
        <w:t> </w:t>
      </w:r>
      <w:r>
        <w:rPr/>
        <w:t>received</w:t>
      </w:r>
      <w:r>
        <w:rPr>
          <w:spacing w:val="-8"/>
        </w:rPr>
        <w:t> </w:t>
      </w:r>
      <w:r>
        <w:rPr/>
        <w:t>during</w:t>
      </w:r>
      <w:r>
        <w:rPr>
          <w:spacing w:val="-10"/>
        </w:rPr>
        <w:t> </w:t>
      </w:r>
      <w:r>
        <w:rPr/>
        <w:t>the</w:t>
      </w:r>
      <w:r>
        <w:rPr>
          <w:spacing w:val="-10"/>
        </w:rPr>
        <w:t> </w:t>
      </w:r>
      <w:r>
        <w:rPr/>
        <w:t>test</w:t>
      </w:r>
      <w:r>
        <w:rPr>
          <w:spacing w:val="-10"/>
        </w:rPr>
        <w:t> </w:t>
      </w:r>
      <w:r>
        <w:rPr/>
        <w:t>recorded</w:t>
      </w:r>
      <w:r>
        <w:rPr>
          <w:spacing w:val="-10"/>
        </w:rPr>
        <w:t> </w:t>
      </w:r>
      <w:r>
        <w:rPr/>
        <w:t>a</w:t>
      </w:r>
      <w:r>
        <w:rPr>
          <w:spacing w:val="-10"/>
        </w:rPr>
        <w:t> </w:t>
      </w:r>
      <w:r>
        <w:rPr/>
        <w:t>regular</w:t>
      </w:r>
      <w:r>
        <w:rPr>
          <w:spacing w:val="-9"/>
        </w:rPr>
        <w:t> </w:t>
      </w:r>
      <w:r>
        <w:rPr/>
        <w:t>inter-packet gap of 100 ms. The other ~17% of BSM messages were received after at least one of the preceding packets was lost. It can also be observed that ~2% of all BSMs collected had a gap of 20 missing packets preceding it. This clearly occurs beyond the range for both technologies. Similar observation from Figure 42 and Figure 43 apply to Figure 44 and Figure 45,</w:t>
      </w:r>
      <w:r>
        <w:rPr>
          <w:spacing w:val="-24"/>
        </w:rPr>
        <w:t> </w:t>
      </w:r>
      <w:r>
        <w:rPr/>
        <w:t>respectively.</w:t>
      </w:r>
    </w:p>
    <w:p>
      <w:pPr>
        <w:pStyle w:val="BodyText"/>
        <w:spacing w:before="5"/>
        <w:rPr>
          <w:sz w:val="12"/>
        </w:rPr>
      </w:pPr>
      <w:r>
        <w:rPr/>
        <w:drawing>
          <wp:anchor distT="0" distB="0" distL="0" distR="0" allowOverlap="1" layoutInCell="1" locked="0" behindDoc="0" simplePos="0" relativeHeight="7768">
            <wp:simplePos x="0" y="0"/>
            <wp:positionH relativeFrom="page">
              <wp:posOffset>719455</wp:posOffset>
            </wp:positionH>
            <wp:positionV relativeFrom="paragraph">
              <wp:posOffset>116064</wp:posOffset>
            </wp:positionV>
            <wp:extent cx="5341111" cy="3208020"/>
            <wp:effectExtent l="0" t="0" r="0" b="0"/>
            <wp:wrapTopAndBottom/>
            <wp:docPr id="95" name="image148.jpeg" descr=""/>
            <wp:cNvGraphicFramePr>
              <a:graphicFrameLocks noChangeAspect="1"/>
            </wp:cNvGraphicFramePr>
            <a:graphic>
              <a:graphicData uri="http://schemas.openxmlformats.org/drawingml/2006/picture">
                <pic:pic>
                  <pic:nvPicPr>
                    <pic:cNvPr id="96" name="image148.jpeg"/>
                    <pic:cNvPicPr/>
                  </pic:nvPicPr>
                  <pic:blipFill>
                    <a:blip r:embed="rId344" cstate="print"/>
                    <a:stretch>
                      <a:fillRect/>
                    </a:stretch>
                  </pic:blipFill>
                  <pic:spPr>
                    <a:xfrm>
                      <a:off x="0" y="0"/>
                      <a:ext cx="5341111" cy="3208020"/>
                    </a:xfrm>
                    <a:prstGeom prst="rect">
                      <a:avLst/>
                    </a:prstGeom>
                  </pic:spPr>
                </pic:pic>
              </a:graphicData>
            </a:graphic>
          </wp:anchor>
        </w:drawing>
      </w:r>
    </w:p>
    <w:p>
      <w:pPr>
        <w:pStyle w:val="Heading4"/>
        <w:spacing w:before="88"/>
        <w:ind w:right="1130"/>
        <w:jc w:val="both"/>
      </w:pPr>
      <w:r>
        <w:rPr/>
        <w:t>Figure 42: LOS average Inter-Packet Gap at the SV as a function of distance</w:t>
      </w:r>
      <w:r>
        <w:rPr>
          <w:spacing w:val="-40"/>
        </w:rPr>
        <w:t> </w:t>
      </w:r>
      <w:r>
        <w:rPr/>
        <w:t>between the SV and MV (5</w:t>
      </w:r>
      <w:r>
        <w:rPr>
          <w:spacing w:val="-6"/>
        </w:rPr>
        <w:t> </w:t>
      </w:r>
      <w:r>
        <w:rPr/>
        <w:t>dBm).</w:t>
      </w:r>
    </w:p>
    <w:p>
      <w:pPr>
        <w:spacing w:after="0"/>
        <w:jc w:val="both"/>
        <w:sectPr>
          <w:headerReference w:type="default" r:id="rId343"/>
          <w:pgSz w:w="11910" w:h="16850"/>
          <w:pgMar w:header="852" w:footer="876" w:top="1040" w:bottom="1160" w:left="0" w:right="0"/>
        </w:sectPr>
      </w:pPr>
    </w:p>
    <w:p>
      <w:pPr>
        <w:pStyle w:val="BodyText"/>
        <w:rPr>
          <w:b/>
        </w:rPr>
      </w:pPr>
    </w:p>
    <w:p>
      <w:pPr>
        <w:pStyle w:val="BodyText"/>
        <w:spacing w:before="6"/>
        <w:rPr>
          <w:b/>
          <w:sz w:val="11"/>
        </w:rPr>
      </w:pPr>
    </w:p>
    <w:p>
      <w:pPr>
        <w:pStyle w:val="BodyText"/>
        <w:ind w:left="1133"/>
      </w:pPr>
      <w:r>
        <w:rPr/>
        <w:drawing>
          <wp:inline distT="0" distB="0" distL="0" distR="0">
            <wp:extent cx="5339039" cy="3208020"/>
            <wp:effectExtent l="0" t="0" r="0" b="0"/>
            <wp:docPr id="97" name="image149.png" descr=""/>
            <wp:cNvGraphicFramePr>
              <a:graphicFrameLocks noChangeAspect="1"/>
            </wp:cNvGraphicFramePr>
            <a:graphic>
              <a:graphicData uri="http://schemas.openxmlformats.org/drawingml/2006/picture">
                <pic:pic>
                  <pic:nvPicPr>
                    <pic:cNvPr id="98" name="image149.png"/>
                    <pic:cNvPicPr/>
                  </pic:nvPicPr>
                  <pic:blipFill>
                    <a:blip r:embed="rId346" cstate="print"/>
                    <a:stretch>
                      <a:fillRect/>
                    </a:stretch>
                  </pic:blipFill>
                  <pic:spPr>
                    <a:xfrm>
                      <a:off x="0" y="0"/>
                      <a:ext cx="5339039" cy="3208020"/>
                    </a:xfrm>
                    <a:prstGeom prst="rect">
                      <a:avLst/>
                    </a:prstGeom>
                  </pic:spPr>
                </pic:pic>
              </a:graphicData>
            </a:graphic>
          </wp:inline>
        </w:drawing>
      </w:r>
      <w:r>
        <w:rPr/>
      </w:r>
    </w:p>
    <w:p>
      <w:pPr>
        <w:pStyle w:val="BodyText"/>
        <w:rPr>
          <w:b/>
        </w:rPr>
      </w:pPr>
    </w:p>
    <w:p>
      <w:pPr>
        <w:pStyle w:val="BodyText"/>
        <w:spacing w:before="7"/>
        <w:rPr>
          <w:b/>
          <w:sz w:val="18"/>
        </w:rPr>
      </w:pPr>
    </w:p>
    <w:p>
      <w:pPr>
        <w:pStyle w:val="Heading4"/>
        <w:spacing w:before="92"/>
      </w:pPr>
      <w:r>
        <w:rPr/>
        <w:t>Figure 43: LOS Inter-Packet Gap CDF (5 dBm)</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3"/>
        </w:rPr>
      </w:pPr>
      <w:r>
        <w:rPr/>
        <w:drawing>
          <wp:anchor distT="0" distB="0" distL="0" distR="0" allowOverlap="1" layoutInCell="1" locked="0" behindDoc="0" simplePos="0" relativeHeight="7792">
            <wp:simplePos x="0" y="0"/>
            <wp:positionH relativeFrom="page">
              <wp:posOffset>719455</wp:posOffset>
            </wp:positionH>
            <wp:positionV relativeFrom="paragraph">
              <wp:posOffset>126820</wp:posOffset>
            </wp:positionV>
            <wp:extent cx="5200593" cy="3343275"/>
            <wp:effectExtent l="0" t="0" r="0" b="0"/>
            <wp:wrapTopAndBottom/>
            <wp:docPr id="99" name="image150.jpeg" descr=""/>
            <wp:cNvGraphicFramePr>
              <a:graphicFrameLocks noChangeAspect="1"/>
            </wp:cNvGraphicFramePr>
            <a:graphic>
              <a:graphicData uri="http://schemas.openxmlformats.org/drawingml/2006/picture">
                <pic:pic>
                  <pic:nvPicPr>
                    <pic:cNvPr id="100" name="image150.jpeg"/>
                    <pic:cNvPicPr/>
                  </pic:nvPicPr>
                  <pic:blipFill>
                    <a:blip r:embed="rId347" cstate="print"/>
                    <a:stretch>
                      <a:fillRect/>
                    </a:stretch>
                  </pic:blipFill>
                  <pic:spPr>
                    <a:xfrm>
                      <a:off x="0" y="0"/>
                      <a:ext cx="5200593" cy="3343275"/>
                    </a:xfrm>
                    <a:prstGeom prst="rect">
                      <a:avLst/>
                    </a:prstGeom>
                  </pic:spPr>
                </pic:pic>
              </a:graphicData>
            </a:graphic>
          </wp:anchor>
        </w:drawing>
      </w:r>
    </w:p>
    <w:p>
      <w:pPr>
        <w:spacing w:before="74"/>
        <w:ind w:left="1133" w:right="1053" w:firstLine="0"/>
        <w:jc w:val="left"/>
        <w:rPr>
          <w:b/>
          <w:sz w:val="24"/>
        </w:rPr>
      </w:pPr>
      <w:r>
        <w:rPr>
          <w:b/>
          <w:sz w:val="24"/>
        </w:rPr>
        <w:t>Figure 44: LOS average Inter-Packet Gap at the SV as a function of distance between the SV and MV (11 dBm)</w:t>
      </w:r>
    </w:p>
    <w:p>
      <w:pPr>
        <w:spacing w:after="0"/>
        <w:jc w:val="left"/>
        <w:rPr>
          <w:sz w:val="24"/>
        </w:rPr>
        <w:sectPr>
          <w:headerReference w:type="default" r:id="rId345"/>
          <w:pgSz w:w="11910" w:h="16850"/>
          <w:pgMar w:header="852" w:footer="876" w:top="1040" w:bottom="1160" w:left="0" w:right="0"/>
        </w:sectPr>
      </w:pPr>
    </w:p>
    <w:p>
      <w:pPr>
        <w:pStyle w:val="BodyText"/>
        <w:rPr>
          <w:b/>
        </w:rPr>
      </w:pPr>
    </w:p>
    <w:p>
      <w:pPr>
        <w:pStyle w:val="BodyText"/>
        <w:spacing w:before="6"/>
        <w:rPr>
          <w:b/>
          <w:sz w:val="11"/>
        </w:rPr>
      </w:pPr>
    </w:p>
    <w:p>
      <w:pPr>
        <w:pStyle w:val="BodyText"/>
        <w:ind w:left="1133"/>
      </w:pPr>
      <w:r>
        <w:rPr/>
        <w:drawing>
          <wp:inline distT="0" distB="0" distL="0" distR="0">
            <wp:extent cx="5335488" cy="3429000"/>
            <wp:effectExtent l="0" t="0" r="0" b="0"/>
            <wp:docPr id="101" name="image151.jpeg" descr=""/>
            <wp:cNvGraphicFramePr>
              <a:graphicFrameLocks noChangeAspect="1"/>
            </wp:cNvGraphicFramePr>
            <a:graphic>
              <a:graphicData uri="http://schemas.openxmlformats.org/drawingml/2006/picture">
                <pic:pic>
                  <pic:nvPicPr>
                    <pic:cNvPr id="102" name="image151.jpeg"/>
                    <pic:cNvPicPr/>
                  </pic:nvPicPr>
                  <pic:blipFill>
                    <a:blip r:embed="rId349" cstate="print"/>
                    <a:stretch>
                      <a:fillRect/>
                    </a:stretch>
                  </pic:blipFill>
                  <pic:spPr>
                    <a:xfrm>
                      <a:off x="0" y="0"/>
                      <a:ext cx="5335488" cy="3429000"/>
                    </a:xfrm>
                    <a:prstGeom prst="rect">
                      <a:avLst/>
                    </a:prstGeom>
                  </pic:spPr>
                </pic:pic>
              </a:graphicData>
            </a:graphic>
          </wp:inline>
        </w:drawing>
      </w:r>
      <w:r>
        <w:rPr/>
      </w:r>
    </w:p>
    <w:p>
      <w:pPr>
        <w:pStyle w:val="Heading4"/>
        <w:spacing w:before="92"/>
        <w:jc w:val="both"/>
      </w:pPr>
      <w:r>
        <w:rPr/>
        <w:t>Figure 45: LOS Inter-Packet Gap CDF (11 dBm)</w:t>
      </w:r>
    </w:p>
    <w:p>
      <w:pPr>
        <w:pStyle w:val="BodyText"/>
        <w:rPr>
          <w:b/>
          <w:sz w:val="26"/>
        </w:rPr>
      </w:pPr>
    </w:p>
    <w:p>
      <w:pPr>
        <w:pStyle w:val="BodyText"/>
        <w:spacing w:before="182"/>
        <w:ind w:left="1133" w:right="1128"/>
        <w:jc w:val="both"/>
      </w:pPr>
      <w:r>
        <w:rPr/>
        <w:t>Figure 46 illustrates RSSI measured by the SV DSRC OBU for the 5dBm and 11 dBm effective power levels. DSRC OBU reports RSSI approximately -92 dBm at range. Beyond range average RSSI drops only slightly even though the signal level has dropped on average due to increased path loss. It should be noted that the 11 dBm curve in Figure 46 is 10 dB shifted version of the RSSI measurement in the initial test illustrated in Figure 46. The difference between RSSI curves in Figure 46 is approximately 6 dB which is expected based on the difference in the effective transmit powers.</w:t>
      </w:r>
    </w:p>
    <w:p>
      <w:pPr>
        <w:pStyle w:val="BodyText"/>
      </w:pPr>
    </w:p>
    <w:p>
      <w:pPr>
        <w:pStyle w:val="BodyText"/>
        <w:spacing w:before="11"/>
        <w:rPr>
          <w:sz w:val="29"/>
        </w:rPr>
      </w:pPr>
      <w:r>
        <w:rPr/>
        <w:pict>
          <v:group style="position:absolute;margin-left:56.650002pt;margin-top:19.197563pt;width:394.45pt;height:237.25pt;mso-position-horizontal-relative:page;mso-position-vertical-relative:paragraph;z-index:7816;mso-wrap-distance-left:0;mso-wrap-distance-right:0" coordorigin="1133,384" coordsize="7889,4745">
            <v:shape style="position:absolute;left:1133;top:384;width:7889;height:4744" type="#_x0000_t75" stroked="false">
              <v:imagedata r:id="rId350" o:title=""/>
            </v:shape>
            <v:shape style="position:absolute;left:6540;top:659;width:2310;height:585" type="#_x0000_t75" stroked="false">
              <v:imagedata r:id="rId351" o:title=""/>
            </v:shape>
            <w10:wrap type="topAndBottom"/>
          </v:group>
        </w:pict>
      </w:r>
    </w:p>
    <w:p>
      <w:pPr>
        <w:pStyle w:val="BodyText"/>
        <w:rPr>
          <w:sz w:val="22"/>
        </w:rPr>
      </w:pPr>
    </w:p>
    <w:p>
      <w:pPr>
        <w:pStyle w:val="BodyText"/>
        <w:spacing w:before="4"/>
        <w:rPr>
          <w:sz w:val="23"/>
        </w:rPr>
      </w:pPr>
    </w:p>
    <w:p>
      <w:pPr>
        <w:pStyle w:val="Heading4"/>
        <w:jc w:val="both"/>
      </w:pPr>
      <w:r>
        <w:rPr/>
        <w:t>Figure 46: LOS DSRC RSSI as a function of distance between the SV and MV</w:t>
      </w:r>
    </w:p>
    <w:p>
      <w:pPr>
        <w:spacing w:after="0"/>
        <w:jc w:val="both"/>
        <w:sectPr>
          <w:headerReference w:type="default" r:id="rId348"/>
          <w:pgSz w:w="11910" w:h="16850"/>
          <w:pgMar w:header="852" w:footer="876" w:top="1040" w:bottom="1160" w:left="0" w:right="0"/>
        </w:sectPr>
      </w:pPr>
    </w:p>
    <w:p>
      <w:pPr>
        <w:pStyle w:val="BodyText"/>
        <w:spacing w:before="3"/>
        <w:rPr>
          <w:b/>
          <w:sz w:val="23"/>
        </w:rPr>
      </w:pPr>
    </w:p>
    <w:p>
      <w:pPr>
        <w:pStyle w:val="Heading3"/>
        <w:numPr>
          <w:ilvl w:val="2"/>
          <w:numId w:val="48"/>
        </w:numPr>
        <w:tabs>
          <w:tab w:pos="2267" w:val="left" w:leader="none"/>
        </w:tabs>
        <w:spacing w:line="240" w:lineRule="auto" w:before="91" w:after="0"/>
        <w:ind w:left="2266" w:right="0" w:hanging="1133"/>
        <w:jc w:val="both"/>
      </w:pPr>
      <w:bookmarkStart w:name="_bookmark149" w:id="229"/>
      <w:bookmarkEnd w:id="229"/>
      <w:r>
        <w:rPr/>
      </w:r>
      <w:bookmarkStart w:name="_bookmark149" w:id="230"/>
      <w:bookmarkEnd w:id="230"/>
      <w:r>
        <w:rPr/>
        <w:t>N</w:t>
      </w:r>
      <w:r>
        <w:rPr/>
        <w:t>on-Line-of-Sight (NLOS) Range</w:t>
      </w:r>
      <w:r>
        <w:rPr>
          <w:spacing w:val="-14"/>
        </w:rPr>
        <w:t> </w:t>
      </w:r>
      <w:r>
        <w:rPr/>
        <w:t>Tests</w:t>
      </w:r>
    </w:p>
    <w:p>
      <w:pPr>
        <w:pStyle w:val="BodyText"/>
        <w:spacing w:before="180"/>
        <w:ind w:left="1133" w:right="1144"/>
        <w:jc w:val="both"/>
      </w:pPr>
      <w:r>
        <w:rPr/>
        <w:t>In this section we describe the test procedure and present results for two NLOS tests. The two NLOS tests that were performed are:</w:t>
      </w:r>
    </w:p>
    <w:p>
      <w:pPr>
        <w:pStyle w:val="ListParagraph"/>
        <w:numPr>
          <w:ilvl w:val="3"/>
          <w:numId w:val="48"/>
        </w:numPr>
        <w:tabs>
          <w:tab w:pos="1702" w:val="left" w:leader="none"/>
        </w:tabs>
        <w:spacing w:line="240" w:lineRule="auto" w:before="180" w:after="0"/>
        <w:ind w:left="1702" w:right="1135" w:hanging="286"/>
        <w:jc w:val="both"/>
        <w:rPr>
          <w:sz w:val="20"/>
        </w:rPr>
      </w:pPr>
      <w:r>
        <w:rPr>
          <w:sz w:val="20"/>
        </w:rPr>
        <w:t>NLOS</w:t>
      </w:r>
      <w:r>
        <w:rPr>
          <w:spacing w:val="-11"/>
          <w:sz w:val="20"/>
        </w:rPr>
        <w:t> </w:t>
      </w:r>
      <w:r>
        <w:rPr>
          <w:sz w:val="20"/>
        </w:rPr>
        <w:t>shadowing</w:t>
      </w:r>
      <w:r>
        <w:rPr>
          <w:spacing w:val="-11"/>
          <w:sz w:val="20"/>
        </w:rPr>
        <w:t> </w:t>
      </w:r>
      <w:r>
        <w:rPr>
          <w:sz w:val="20"/>
        </w:rPr>
        <w:t>test,</w:t>
      </w:r>
      <w:r>
        <w:rPr>
          <w:spacing w:val="-8"/>
          <w:sz w:val="20"/>
        </w:rPr>
        <w:t> </w:t>
      </w:r>
      <w:r>
        <w:rPr>
          <w:sz w:val="20"/>
        </w:rPr>
        <w:t>which</w:t>
      </w:r>
      <w:r>
        <w:rPr>
          <w:spacing w:val="-13"/>
          <w:sz w:val="20"/>
        </w:rPr>
        <w:t> </w:t>
      </w:r>
      <w:r>
        <w:rPr>
          <w:sz w:val="20"/>
        </w:rPr>
        <w:t>assumes</w:t>
      </w:r>
      <w:r>
        <w:rPr>
          <w:spacing w:val="-12"/>
          <w:sz w:val="20"/>
        </w:rPr>
        <w:t> </w:t>
      </w:r>
      <w:r>
        <w:rPr>
          <w:sz w:val="20"/>
        </w:rPr>
        <w:t>that</w:t>
      </w:r>
      <w:r>
        <w:rPr>
          <w:spacing w:val="-10"/>
          <w:sz w:val="20"/>
        </w:rPr>
        <w:t> </w:t>
      </w:r>
      <w:r>
        <w:rPr>
          <w:sz w:val="20"/>
        </w:rPr>
        <w:t>the</w:t>
      </w:r>
      <w:r>
        <w:rPr>
          <w:spacing w:val="-11"/>
          <w:sz w:val="20"/>
        </w:rPr>
        <w:t> </w:t>
      </w:r>
      <w:r>
        <w:rPr>
          <w:sz w:val="20"/>
        </w:rPr>
        <w:t>obstruction</w:t>
      </w:r>
      <w:r>
        <w:rPr>
          <w:spacing w:val="-11"/>
          <w:sz w:val="20"/>
        </w:rPr>
        <w:t> </w:t>
      </w:r>
      <w:r>
        <w:rPr>
          <w:sz w:val="20"/>
        </w:rPr>
        <w:t>is</w:t>
      </w:r>
      <w:r>
        <w:rPr>
          <w:spacing w:val="-9"/>
          <w:sz w:val="20"/>
        </w:rPr>
        <w:t> </w:t>
      </w:r>
      <w:r>
        <w:rPr>
          <w:sz w:val="20"/>
        </w:rPr>
        <w:t>in</w:t>
      </w:r>
      <w:r>
        <w:rPr>
          <w:spacing w:val="-11"/>
          <w:sz w:val="20"/>
        </w:rPr>
        <w:t> </w:t>
      </w:r>
      <w:r>
        <w:rPr>
          <w:sz w:val="20"/>
        </w:rPr>
        <w:t>front</w:t>
      </w:r>
      <w:r>
        <w:rPr>
          <w:spacing w:val="-10"/>
          <w:sz w:val="20"/>
        </w:rPr>
        <w:t> </w:t>
      </w:r>
      <w:r>
        <w:rPr>
          <w:sz w:val="20"/>
        </w:rPr>
        <w:t>of</w:t>
      </w:r>
      <w:r>
        <w:rPr>
          <w:spacing w:val="-11"/>
          <w:sz w:val="20"/>
        </w:rPr>
        <w:t> </w:t>
      </w:r>
      <w:r>
        <w:rPr>
          <w:sz w:val="20"/>
        </w:rPr>
        <w:t>the</w:t>
      </w:r>
      <w:r>
        <w:rPr>
          <w:spacing w:val="-9"/>
          <w:sz w:val="20"/>
        </w:rPr>
        <w:t> </w:t>
      </w:r>
      <w:r>
        <w:rPr>
          <w:sz w:val="20"/>
        </w:rPr>
        <w:t>SV</w:t>
      </w:r>
      <w:r>
        <w:rPr>
          <w:spacing w:val="-11"/>
          <w:sz w:val="20"/>
        </w:rPr>
        <w:t> </w:t>
      </w:r>
      <w:r>
        <w:rPr>
          <w:sz w:val="20"/>
        </w:rPr>
        <w:t>and</w:t>
      </w:r>
      <w:r>
        <w:rPr>
          <w:spacing w:val="-10"/>
          <w:sz w:val="20"/>
        </w:rPr>
        <w:t> </w:t>
      </w:r>
      <w:r>
        <w:rPr>
          <w:sz w:val="20"/>
        </w:rPr>
        <w:t>that</w:t>
      </w:r>
      <w:r>
        <w:rPr>
          <w:spacing w:val="-10"/>
          <w:sz w:val="20"/>
        </w:rPr>
        <w:t> </w:t>
      </w:r>
      <w:r>
        <w:rPr>
          <w:sz w:val="20"/>
        </w:rPr>
        <w:t>the</w:t>
      </w:r>
      <w:r>
        <w:rPr>
          <w:spacing w:val="-11"/>
          <w:sz w:val="20"/>
        </w:rPr>
        <w:t> </w:t>
      </w:r>
      <w:r>
        <w:rPr>
          <w:sz w:val="20"/>
        </w:rPr>
        <w:t>MV</w:t>
      </w:r>
      <w:r>
        <w:rPr>
          <w:spacing w:val="-11"/>
          <w:sz w:val="20"/>
        </w:rPr>
        <w:t> </w:t>
      </w:r>
      <w:r>
        <w:rPr>
          <w:sz w:val="20"/>
        </w:rPr>
        <w:t>performs the</w:t>
      </w:r>
      <w:r>
        <w:rPr>
          <w:spacing w:val="-10"/>
          <w:sz w:val="20"/>
        </w:rPr>
        <w:t> </w:t>
      </w:r>
      <w:r>
        <w:rPr>
          <w:sz w:val="20"/>
        </w:rPr>
        <w:t>maneuver</w:t>
      </w:r>
      <w:r>
        <w:rPr>
          <w:spacing w:val="-6"/>
          <w:sz w:val="20"/>
        </w:rPr>
        <w:t> </w:t>
      </w:r>
      <w:r>
        <w:rPr>
          <w:sz w:val="20"/>
        </w:rPr>
        <w:t>in</w:t>
      </w:r>
      <w:r>
        <w:rPr>
          <w:spacing w:val="-7"/>
          <w:sz w:val="20"/>
        </w:rPr>
        <w:t> </w:t>
      </w:r>
      <w:r>
        <w:rPr>
          <w:sz w:val="20"/>
        </w:rPr>
        <w:t>front</w:t>
      </w:r>
      <w:r>
        <w:rPr>
          <w:spacing w:val="-5"/>
          <w:sz w:val="20"/>
        </w:rPr>
        <w:t> </w:t>
      </w:r>
      <w:r>
        <w:rPr>
          <w:sz w:val="20"/>
        </w:rPr>
        <w:t>of</w:t>
      </w:r>
      <w:r>
        <w:rPr>
          <w:spacing w:val="-7"/>
          <w:sz w:val="20"/>
        </w:rPr>
        <w:t> </w:t>
      </w:r>
      <w:r>
        <w:rPr>
          <w:sz w:val="20"/>
        </w:rPr>
        <w:t>the</w:t>
      </w:r>
      <w:r>
        <w:rPr>
          <w:spacing w:val="-8"/>
          <w:sz w:val="20"/>
        </w:rPr>
        <w:t> </w:t>
      </w:r>
      <w:r>
        <w:rPr>
          <w:sz w:val="20"/>
        </w:rPr>
        <w:t>blocker.</w:t>
      </w:r>
      <w:r>
        <w:rPr>
          <w:spacing w:val="-9"/>
          <w:sz w:val="20"/>
        </w:rPr>
        <w:t> </w:t>
      </w:r>
      <w:r>
        <w:rPr>
          <w:sz w:val="20"/>
        </w:rPr>
        <w:t>This</w:t>
      </w:r>
      <w:r>
        <w:rPr>
          <w:spacing w:val="-8"/>
          <w:sz w:val="20"/>
        </w:rPr>
        <w:t> </w:t>
      </w:r>
      <w:r>
        <w:rPr>
          <w:sz w:val="20"/>
        </w:rPr>
        <w:t>test</w:t>
      </w:r>
      <w:r>
        <w:rPr>
          <w:spacing w:val="-9"/>
          <w:sz w:val="20"/>
        </w:rPr>
        <w:t> </w:t>
      </w:r>
      <w:r>
        <w:rPr>
          <w:sz w:val="20"/>
        </w:rPr>
        <w:t>is</w:t>
      </w:r>
      <w:r>
        <w:rPr>
          <w:spacing w:val="-8"/>
          <w:sz w:val="20"/>
        </w:rPr>
        <w:t> </w:t>
      </w:r>
      <w:r>
        <w:rPr>
          <w:sz w:val="20"/>
        </w:rPr>
        <w:t>closely</w:t>
      </w:r>
      <w:r>
        <w:rPr>
          <w:spacing w:val="-8"/>
          <w:sz w:val="20"/>
        </w:rPr>
        <w:t> </w:t>
      </w:r>
      <w:r>
        <w:rPr>
          <w:sz w:val="20"/>
        </w:rPr>
        <w:t>related</w:t>
      </w:r>
      <w:r>
        <w:rPr>
          <w:spacing w:val="-9"/>
          <w:sz w:val="20"/>
        </w:rPr>
        <w:t> </w:t>
      </w:r>
      <w:r>
        <w:rPr>
          <w:sz w:val="20"/>
        </w:rPr>
        <w:t>to</w:t>
      </w:r>
      <w:r>
        <w:rPr>
          <w:spacing w:val="-7"/>
          <w:sz w:val="20"/>
        </w:rPr>
        <w:t> </w:t>
      </w:r>
      <w:r>
        <w:rPr>
          <w:sz w:val="20"/>
        </w:rPr>
        <w:t>Do</w:t>
      </w:r>
      <w:r>
        <w:rPr>
          <w:spacing w:val="-7"/>
          <w:sz w:val="20"/>
        </w:rPr>
        <w:t> </w:t>
      </w:r>
      <w:r>
        <w:rPr>
          <w:sz w:val="20"/>
        </w:rPr>
        <w:t>Not</w:t>
      </w:r>
      <w:r>
        <w:rPr>
          <w:spacing w:val="-7"/>
          <w:sz w:val="20"/>
        </w:rPr>
        <w:t> </w:t>
      </w:r>
      <w:r>
        <w:rPr>
          <w:sz w:val="20"/>
        </w:rPr>
        <w:t>Pass</w:t>
      </w:r>
      <w:r>
        <w:rPr>
          <w:spacing w:val="-13"/>
          <w:sz w:val="20"/>
        </w:rPr>
        <w:t> </w:t>
      </w:r>
      <w:r>
        <w:rPr>
          <w:sz w:val="20"/>
        </w:rPr>
        <w:t>Warning</w:t>
      </w:r>
      <w:r>
        <w:rPr>
          <w:spacing w:val="-9"/>
          <w:sz w:val="20"/>
        </w:rPr>
        <w:t> </w:t>
      </w:r>
      <w:r>
        <w:rPr>
          <w:sz w:val="20"/>
        </w:rPr>
        <w:t>safety</w:t>
      </w:r>
      <w:r>
        <w:rPr>
          <w:spacing w:val="-10"/>
          <w:sz w:val="20"/>
        </w:rPr>
        <w:t> </w:t>
      </w:r>
      <w:r>
        <w:rPr>
          <w:sz w:val="20"/>
        </w:rPr>
        <w:t>use</w:t>
      </w:r>
      <w:r>
        <w:rPr>
          <w:spacing w:val="-7"/>
          <w:sz w:val="20"/>
        </w:rPr>
        <w:t> </w:t>
      </w:r>
      <w:r>
        <w:rPr>
          <w:sz w:val="20"/>
        </w:rPr>
        <w:t>case (e.g., (USDOT ITS JPO</w:t>
      </w:r>
      <w:r>
        <w:rPr>
          <w:spacing w:val="-7"/>
          <w:sz w:val="20"/>
        </w:rPr>
        <w:t> </w:t>
      </w:r>
      <w:r>
        <w:rPr>
          <w:sz w:val="20"/>
        </w:rPr>
        <w:t>DNPW)).</w:t>
      </w:r>
    </w:p>
    <w:p>
      <w:pPr>
        <w:pStyle w:val="ListParagraph"/>
        <w:numPr>
          <w:ilvl w:val="3"/>
          <w:numId w:val="48"/>
        </w:numPr>
        <w:tabs>
          <w:tab w:pos="1702" w:val="left" w:leader="none"/>
        </w:tabs>
        <w:spacing w:line="240" w:lineRule="auto" w:before="180" w:after="0"/>
        <w:ind w:left="1702" w:right="1132" w:hanging="286"/>
        <w:jc w:val="both"/>
        <w:rPr>
          <w:sz w:val="20"/>
        </w:rPr>
      </w:pPr>
      <w:r>
        <w:rPr>
          <w:sz w:val="20"/>
        </w:rPr>
        <w:t>NLOS intersection obstructed view test, which assumes that SV is positioned between two blockers obstructing</w:t>
      </w:r>
      <w:r>
        <w:rPr>
          <w:spacing w:val="-7"/>
          <w:sz w:val="20"/>
        </w:rPr>
        <w:t> </w:t>
      </w:r>
      <w:r>
        <w:rPr>
          <w:sz w:val="20"/>
        </w:rPr>
        <w:t>the</w:t>
      </w:r>
      <w:r>
        <w:rPr>
          <w:spacing w:val="-5"/>
          <w:sz w:val="20"/>
        </w:rPr>
        <w:t> </w:t>
      </w:r>
      <w:r>
        <w:rPr>
          <w:sz w:val="20"/>
        </w:rPr>
        <w:t>view</w:t>
      </w:r>
      <w:r>
        <w:rPr>
          <w:spacing w:val="-6"/>
          <w:sz w:val="20"/>
        </w:rPr>
        <w:t> </w:t>
      </w:r>
      <w:r>
        <w:rPr>
          <w:sz w:val="20"/>
        </w:rPr>
        <w:t>of</w:t>
      </w:r>
      <w:r>
        <w:rPr>
          <w:spacing w:val="-5"/>
          <w:sz w:val="20"/>
        </w:rPr>
        <w:t> </w:t>
      </w:r>
      <w:r>
        <w:rPr>
          <w:sz w:val="20"/>
        </w:rPr>
        <w:t>the</w:t>
      </w:r>
      <w:r>
        <w:rPr>
          <w:spacing w:val="-5"/>
          <w:sz w:val="20"/>
        </w:rPr>
        <w:t> </w:t>
      </w:r>
      <w:r>
        <w:rPr>
          <w:sz w:val="20"/>
        </w:rPr>
        <w:t>road</w:t>
      </w:r>
      <w:r>
        <w:rPr>
          <w:spacing w:val="-5"/>
          <w:sz w:val="20"/>
        </w:rPr>
        <w:t> </w:t>
      </w:r>
      <w:r>
        <w:rPr>
          <w:sz w:val="20"/>
        </w:rPr>
        <w:t>perpendicular</w:t>
      </w:r>
      <w:r>
        <w:rPr>
          <w:spacing w:val="-6"/>
          <w:sz w:val="20"/>
        </w:rPr>
        <w:t> </w:t>
      </w:r>
      <w:r>
        <w:rPr>
          <w:sz w:val="20"/>
        </w:rPr>
        <w:t>to</w:t>
      </w:r>
      <w:r>
        <w:rPr>
          <w:spacing w:val="-5"/>
          <w:sz w:val="20"/>
        </w:rPr>
        <w:t> </w:t>
      </w:r>
      <w:r>
        <w:rPr>
          <w:sz w:val="20"/>
        </w:rPr>
        <w:t>the</w:t>
      </w:r>
      <w:r>
        <w:rPr>
          <w:spacing w:val="-5"/>
          <w:sz w:val="20"/>
        </w:rPr>
        <w:t> </w:t>
      </w:r>
      <w:r>
        <w:rPr>
          <w:sz w:val="20"/>
        </w:rPr>
        <w:t>SV</w:t>
      </w:r>
      <w:r>
        <w:rPr>
          <w:spacing w:val="-7"/>
          <w:sz w:val="20"/>
        </w:rPr>
        <w:t> </w:t>
      </w:r>
      <w:r>
        <w:rPr>
          <w:sz w:val="20"/>
        </w:rPr>
        <w:t>position</w:t>
      </w:r>
      <w:r>
        <w:rPr>
          <w:spacing w:val="-4"/>
          <w:sz w:val="20"/>
        </w:rPr>
        <w:t> </w:t>
      </w:r>
      <w:r>
        <w:rPr>
          <w:sz w:val="20"/>
        </w:rPr>
        <w:t>where</w:t>
      </w:r>
      <w:r>
        <w:rPr>
          <w:spacing w:val="-6"/>
          <w:sz w:val="20"/>
        </w:rPr>
        <w:t> </w:t>
      </w:r>
      <w:r>
        <w:rPr>
          <w:sz w:val="20"/>
        </w:rPr>
        <w:t>the</w:t>
      </w:r>
      <w:r>
        <w:rPr>
          <w:spacing w:val="-5"/>
          <w:sz w:val="20"/>
        </w:rPr>
        <w:t> </w:t>
      </w:r>
      <w:r>
        <w:rPr>
          <w:sz w:val="20"/>
        </w:rPr>
        <w:t>MV</w:t>
      </w:r>
      <w:r>
        <w:rPr>
          <w:spacing w:val="-7"/>
          <w:sz w:val="20"/>
        </w:rPr>
        <w:t> </w:t>
      </w:r>
      <w:r>
        <w:rPr>
          <w:sz w:val="20"/>
        </w:rPr>
        <w:t>performs</w:t>
      </w:r>
      <w:r>
        <w:rPr>
          <w:spacing w:val="-6"/>
          <w:sz w:val="20"/>
        </w:rPr>
        <w:t> </w:t>
      </w:r>
      <w:r>
        <w:rPr>
          <w:sz w:val="20"/>
        </w:rPr>
        <w:t>the</w:t>
      </w:r>
      <w:r>
        <w:rPr>
          <w:spacing w:val="-7"/>
          <w:sz w:val="20"/>
        </w:rPr>
        <w:t> </w:t>
      </w:r>
      <w:r>
        <w:rPr>
          <w:sz w:val="20"/>
        </w:rPr>
        <w:t>maneuver. This test is closely related to Intersection Movement Assist (IMA) safety use case (e.g., (USDOT ITS JPO</w:t>
      </w:r>
      <w:r>
        <w:rPr>
          <w:spacing w:val="-6"/>
          <w:sz w:val="20"/>
        </w:rPr>
        <w:t> </w:t>
      </w:r>
      <w:r>
        <w:rPr>
          <w:sz w:val="20"/>
        </w:rPr>
        <w:t>IMA)).</w:t>
      </w:r>
    </w:p>
    <w:p>
      <w:pPr>
        <w:pStyle w:val="BodyText"/>
        <w:spacing w:before="180"/>
        <w:ind w:left="1133" w:right="1131"/>
        <w:jc w:val="both"/>
      </w:pPr>
      <w:r>
        <w:rPr/>
        <w:t>NLOS range tests are described in Section 9.1.1 of (5GAA, March 2018). As in the LOS test, the NLOS procedures test performance characteristics of the radio technology in a dynamic outdoor environment over the full range communications. The conditions are open sky with precisely defined obstructions and minimal disturbance in the RF environment.</w:t>
      </w:r>
    </w:p>
    <w:p>
      <w:pPr>
        <w:pStyle w:val="BodyText"/>
        <w:spacing w:before="180"/>
        <w:ind w:left="1133"/>
        <w:jc w:val="both"/>
      </w:pPr>
      <w:r>
        <w:rPr/>
        <w:t>The objectives of the test are to</w:t>
      </w:r>
    </w:p>
    <w:p>
      <w:pPr>
        <w:pStyle w:val="ListParagraph"/>
        <w:numPr>
          <w:ilvl w:val="0"/>
          <w:numId w:val="49"/>
        </w:numPr>
        <w:tabs>
          <w:tab w:pos="1702" w:val="left" w:leader="none"/>
        </w:tabs>
        <w:spacing w:line="240" w:lineRule="auto" w:before="180" w:after="0"/>
        <w:ind w:left="1702" w:right="1142" w:hanging="286"/>
        <w:jc w:val="both"/>
        <w:rPr>
          <w:sz w:val="20"/>
        </w:rPr>
      </w:pPr>
      <w:r>
        <w:rPr>
          <w:sz w:val="20"/>
        </w:rPr>
        <w:t>Compare communication range and reliability of safety message exchange under NLOS conditions (non-intersection and intersection) for C-V2X and</w:t>
      </w:r>
      <w:r>
        <w:rPr>
          <w:spacing w:val="-15"/>
          <w:sz w:val="20"/>
        </w:rPr>
        <w:t> </w:t>
      </w:r>
      <w:r>
        <w:rPr>
          <w:sz w:val="20"/>
        </w:rPr>
        <w:t>DSRC.</w:t>
      </w:r>
    </w:p>
    <w:p>
      <w:pPr>
        <w:pStyle w:val="ListParagraph"/>
        <w:numPr>
          <w:ilvl w:val="0"/>
          <w:numId w:val="49"/>
        </w:numPr>
        <w:tabs>
          <w:tab w:pos="1702" w:val="left" w:leader="none"/>
        </w:tabs>
        <w:spacing w:line="240" w:lineRule="auto" w:before="177" w:after="0"/>
        <w:ind w:left="1702" w:right="0" w:hanging="286"/>
        <w:jc w:val="left"/>
        <w:rPr>
          <w:sz w:val="20"/>
        </w:rPr>
      </w:pPr>
      <w:r>
        <w:rPr>
          <w:sz w:val="20"/>
        </w:rPr>
        <w:t>Compare inter-packet gap (IPG) for both</w:t>
      </w:r>
      <w:r>
        <w:rPr>
          <w:spacing w:val="-15"/>
          <w:sz w:val="20"/>
        </w:rPr>
        <w:t> </w:t>
      </w:r>
      <w:r>
        <w:rPr>
          <w:sz w:val="20"/>
        </w:rPr>
        <w:t>technologies.</w:t>
      </w:r>
    </w:p>
    <w:p>
      <w:pPr>
        <w:pStyle w:val="BodyText"/>
        <w:spacing w:before="180"/>
        <w:ind w:left="1133" w:right="1128"/>
        <w:jc w:val="both"/>
      </w:pPr>
      <w:r>
        <w:rPr/>
        <w:t>The test and system parameters used in these tests are the same as in Section 8.3. The 26-ft U-Haul trucks were used as blockers in all NLOS tests.</w:t>
      </w:r>
    </w:p>
    <w:p>
      <w:pPr>
        <w:pStyle w:val="BodyText"/>
        <w:rPr>
          <w:sz w:val="26"/>
        </w:rPr>
      </w:pPr>
    </w:p>
    <w:p>
      <w:pPr>
        <w:pStyle w:val="Heading5"/>
        <w:numPr>
          <w:ilvl w:val="3"/>
          <w:numId w:val="50"/>
        </w:numPr>
        <w:tabs>
          <w:tab w:pos="2552" w:val="left" w:leader="none"/>
        </w:tabs>
        <w:spacing w:line="240" w:lineRule="auto" w:before="0" w:after="0"/>
        <w:ind w:left="2551" w:right="0" w:hanging="1418"/>
        <w:jc w:val="both"/>
        <w:rPr>
          <w:rFonts w:ascii="Arial"/>
        </w:rPr>
      </w:pPr>
      <w:r>
        <w:rPr>
          <w:rFonts w:ascii="Arial"/>
        </w:rPr>
        <w:t>NLOS Shadowing Test and</w:t>
      </w:r>
      <w:r>
        <w:rPr>
          <w:rFonts w:ascii="Arial"/>
          <w:spacing w:val="-10"/>
        </w:rPr>
        <w:t> </w:t>
      </w:r>
      <w:r>
        <w:rPr>
          <w:rFonts w:ascii="Arial"/>
        </w:rPr>
        <w:t>Results</w:t>
      </w:r>
    </w:p>
    <w:p>
      <w:pPr>
        <w:pStyle w:val="BodyText"/>
        <w:spacing w:before="182"/>
        <w:ind w:left="1133" w:right="1128"/>
        <w:jc w:val="both"/>
      </w:pPr>
      <w:r>
        <w:rPr/>
        <w:t>The</w:t>
      </w:r>
      <w:r>
        <w:rPr>
          <w:spacing w:val="-8"/>
        </w:rPr>
        <w:t> </w:t>
      </w:r>
      <w:r>
        <w:rPr/>
        <w:t>NLOS</w:t>
      </w:r>
      <w:r>
        <w:rPr>
          <w:spacing w:val="-8"/>
        </w:rPr>
        <w:t> </w:t>
      </w:r>
      <w:r>
        <w:rPr/>
        <w:t>non-intersection</w:t>
      </w:r>
      <w:r>
        <w:rPr>
          <w:spacing w:val="-6"/>
        </w:rPr>
        <w:t> </w:t>
      </w:r>
      <w:r>
        <w:rPr/>
        <w:t>test</w:t>
      </w:r>
      <w:r>
        <w:rPr>
          <w:spacing w:val="-8"/>
        </w:rPr>
        <w:t> </w:t>
      </w:r>
      <w:r>
        <w:rPr/>
        <w:t>setup</w:t>
      </w:r>
      <w:r>
        <w:rPr>
          <w:spacing w:val="-8"/>
        </w:rPr>
        <w:t> </w:t>
      </w:r>
      <w:r>
        <w:rPr/>
        <w:t>is</w:t>
      </w:r>
      <w:r>
        <w:rPr>
          <w:spacing w:val="-7"/>
        </w:rPr>
        <w:t> </w:t>
      </w:r>
      <w:r>
        <w:rPr/>
        <w:t>shown</w:t>
      </w:r>
      <w:r>
        <w:rPr>
          <w:spacing w:val="-6"/>
        </w:rPr>
        <w:t> </w:t>
      </w:r>
      <w:r>
        <w:rPr/>
        <w:t>in</w:t>
      </w:r>
      <w:r>
        <w:rPr>
          <w:spacing w:val="-8"/>
        </w:rPr>
        <w:t> </w:t>
      </w:r>
      <w:r>
        <w:rPr/>
        <w:t>Figure</w:t>
      </w:r>
      <w:r>
        <w:rPr>
          <w:spacing w:val="-4"/>
        </w:rPr>
        <w:t> </w:t>
      </w:r>
      <w:r>
        <w:rPr/>
        <w:t>47.</w:t>
      </w:r>
      <w:r>
        <w:rPr>
          <w:spacing w:val="-8"/>
        </w:rPr>
        <w:t> </w:t>
      </w:r>
      <w:r>
        <w:rPr/>
        <w:t>The</w:t>
      </w:r>
      <w:r>
        <w:rPr>
          <w:spacing w:val="-8"/>
        </w:rPr>
        <w:t> </w:t>
      </w:r>
      <w:r>
        <w:rPr/>
        <w:t>distance</w:t>
      </w:r>
      <w:r>
        <w:rPr>
          <w:spacing w:val="-8"/>
        </w:rPr>
        <w:t> </w:t>
      </w:r>
      <w:r>
        <w:rPr/>
        <w:t>between</w:t>
      </w:r>
      <w:r>
        <w:rPr>
          <w:spacing w:val="-6"/>
        </w:rPr>
        <w:t> </w:t>
      </w:r>
      <w:r>
        <w:rPr/>
        <w:t>the</w:t>
      </w:r>
      <w:r>
        <w:rPr>
          <w:spacing w:val="-8"/>
        </w:rPr>
        <w:t> </w:t>
      </w:r>
      <w:r>
        <w:rPr/>
        <w:t>front</w:t>
      </w:r>
      <w:r>
        <w:rPr>
          <w:spacing w:val="-8"/>
        </w:rPr>
        <w:t> </w:t>
      </w:r>
      <w:r>
        <w:rPr/>
        <w:t>of</w:t>
      </w:r>
      <w:r>
        <w:rPr>
          <w:spacing w:val="-6"/>
        </w:rPr>
        <w:t> </w:t>
      </w:r>
      <w:r>
        <w:rPr/>
        <w:t>the</w:t>
      </w:r>
      <w:r>
        <w:rPr>
          <w:spacing w:val="-8"/>
        </w:rPr>
        <w:t> </w:t>
      </w:r>
      <w:r>
        <w:rPr/>
        <w:t>SV</w:t>
      </w:r>
      <w:r>
        <w:rPr>
          <w:spacing w:val="-8"/>
        </w:rPr>
        <w:t> </w:t>
      </w:r>
      <w:r>
        <w:rPr/>
        <w:t>and</w:t>
      </w:r>
      <w:r>
        <w:rPr>
          <w:spacing w:val="-8"/>
        </w:rPr>
        <w:t> </w:t>
      </w:r>
      <w:r>
        <w:rPr/>
        <w:t>the back</w:t>
      </w:r>
      <w:r>
        <w:rPr>
          <w:spacing w:val="-2"/>
        </w:rPr>
        <w:t> </w:t>
      </w:r>
      <w:r>
        <w:rPr/>
        <w:t>of</w:t>
      </w:r>
      <w:r>
        <w:rPr>
          <w:spacing w:val="-4"/>
        </w:rPr>
        <w:t> </w:t>
      </w:r>
      <w:r>
        <w:rPr/>
        <w:t>the</w:t>
      </w:r>
      <w:r>
        <w:rPr>
          <w:spacing w:val="-6"/>
        </w:rPr>
        <w:t> </w:t>
      </w:r>
      <w:r>
        <w:rPr/>
        <w:t>blocker</w:t>
      </w:r>
      <w:r>
        <w:rPr>
          <w:spacing w:val="-5"/>
        </w:rPr>
        <w:t> </w:t>
      </w:r>
      <w:r>
        <w:rPr/>
        <w:t>truck</w:t>
      </w:r>
      <w:r>
        <w:rPr>
          <w:spacing w:val="-2"/>
        </w:rPr>
        <w:t> </w:t>
      </w:r>
      <w:r>
        <w:rPr/>
        <w:t>was</w:t>
      </w:r>
      <w:r>
        <w:rPr>
          <w:spacing w:val="-5"/>
        </w:rPr>
        <w:t> </w:t>
      </w:r>
      <w:r>
        <w:rPr/>
        <w:t>set</w:t>
      </w:r>
      <w:r>
        <w:rPr>
          <w:spacing w:val="-6"/>
        </w:rPr>
        <w:t> </w:t>
      </w:r>
      <w:r>
        <w:rPr/>
        <w:t>at</w:t>
      </w:r>
      <w:r>
        <w:rPr>
          <w:spacing w:val="-6"/>
        </w:rPr>
        <w:t> </w:t>
      </w:r>
      <w:r>
        <w:rPr/>
        <w:t>5.3</w:t>
      </w:r>
      <w:r>
        <w:rPr>
          <w:spacing w:val="-2"/>
        </w:rPr>
        <w:t> </w:t>
      </w:r>
      <w:r>
        <w:rPr/>
        <w:t>m.</w:t>
      </w:r>
      <w:r>
        <w:rPr>
          <w:spacing w:val="-5"/>
        </w:rPr>
        <w:t> </w:t>
      </w:r>
      <w:r>
        <w:rPr/>
        <w:t>MV</w:t>
      </w:r>
      <w:r>
        <w:rPr>
          <w:spacing w:val="-6"/>
        </w:rPr>
        <w:t> </w:t>
      </w:r>
      <w:r>
        <w:rPr/>
        <w:t>starts</w:t>
      </w:r>
      <w:r>
        <w:rPr>
          <w:spacing w:val="-4"/>
        </w:rPr>
        <w:t> </w:t>
      </w:r>
      <w:r>
        <w:rPr/>
        <w:t>close</w:t>
      </w:r>
      <w:r>
        <w:rPr>
          <w:spacing w:val="-6"/>
        </w:rPr>
        <w:t> </w:t>
      </w:r>
      <w:r>
        <w:rPr/>
        <w:t>to</w:t>
      </w:r>
      <w:r>
        <w:rPr>
          <w:spacing w:val="-3"/>
        </w:rPr>
        <w:t> </w:t>
      </w:r>
      <w:r>
        <w:rPr/>
        <w:t>SV</w:t>
      </w:r>
      <w:r>
        <w:rPr>
          <w:spacing w:val="-3"/>
        </w:rPr>
        <w:t> </w:t>
      </w:r>
      <w:r>
        <w:rPr/>
        <w:t>and</w:t>
      </w:r>
      <w:r>
        <w:rPr>
          <w:spacing w:val="-6"/>
        </w:rPr>
        <w:t> </w:t>
      </w:r>
      <w:r>
        <w:rPr/>
        <w:t>moves</w:t>
      </w:r>
      <w:r>
        <w:rPr>
          <w:spacing w:val="-5"/>
        </w:rPr>
        <w:t> </w:t>
      </w:r>
      <w:r>
        <w:rPr/>
        <w:t>away</w:t>
      </w:r>
      <w:r>
        <w:rPr>
          <w:spacing w:val="-6"/>
        </w:rPr>
        <w:t> </w:t>
      </w:r>
      <w:r>
        <w:rPr/>
        <w:t>in</w:t>
      </w:r>
      <w:r>
        <w:rPr>
          <w:spacing w:val="-6"/>
        </w:rPr>
        <w:t> </w:t>
      </w:r>
      <w:r>
        <w:rPr/>
        <w:t>the</w:t>
      </w:r>
      <w:r>
        <w:rPr>
          <w:spacing w:val="-6"/>
        </w:rPr>
        <w:t> </w:t>
      </w:r>
      <w:r>
        <w:rPr/>
        <w:t>same</w:t>
      </w:r>
      <w:r>
        <w:rPr>
          <w:spacing w:val="-6"/>
        </w:rPr>
        <w:t> </w:t>
      </w:r>
      <w:r>
        <w:rPr/>
        <w:t>lane</w:t>
      </w:r>
      <w:r>
        <w:rPr>
          <w:spacing w:val="-3"/>
        </w:rPr>
        <w:t> </w:t>
      </w:r>
      <w:r>
        <w:rPr/>
        <w:t>as</w:t>
      </w:r>
      <w:r>
        <w:rPr>
          <w:spacing w:val="-4"/>
        </w:rPr>
        <w:t> </w:t>
      </w:r>
      <w:r>
        <w:rPr/>
        <w:t>the</w:t>
      </w:r>
      <w:r>
        <w:rPr>
          <w:spacing w:val="-3"/>
        </w:rPr>
        <w:t> </w:t>
      </w:r>
      <w:r>
        <w:rPr/>
        <w:t>SV at speed V=20 mph until out-of-range. Blocker stays stationary in front of SV. MV performs a U-turn and approaches</w:t>
      </w:r>
      <w:r>
        <w:rPr>
          <w:spacing w:val="-5"/>
        </w:rPr>
        <w:t> </w:t>
      </w:r>
      <w:r>
        <w:rPr/>
        <w:t>SV</w:t>
      </w:r>
      <w:r>
        <w:rPr>
          <w:spacing w:val="-4"/>
        </w:rPr>
        <w:t> </w:t>
      </w:r>
      <w:r>
        <w:rPr/>
        <w:t>in</w:t>
      </w:r>
      <w:r>
        <w:rPr>
          <w:spacing w:val="-7"/>
        </w:rPr>
        <w:t> </w:t>
      </w:r>
      <w:r>
        <w:rPr/>
        <w:t>the</w:t>
      </w:r>
      <w:r>
        <w:rPr>
          <w:spacing w:val="-7"/>
        </w:rPr>
        <w:t> </w:t>
      </w:r>
      <w:r>
        <w:rPr/>
        <w:t>neighboring</w:t>
      </w:r>
      <w:r>
        <w:rPr>
          <w:spacing w:val="-7"/>
        </w:rPr>
        <w:t> </w:t>
      </w:r>
      <w:r>
        <w:rPr/>
        <w:t>lane.</w:t>
      </w:r>
      <w:r>
        <w:rPr>
          <w:spacing w:val="-6"/>
        </w:rPr>
        <w:t> </w:t>
      </w:r>
      <w:r>
        <w:rPr/>
        <w:t>Testing</w:t>
      </w:r>
      <w:r>
        <w:rPr>
          <w:spacing w:val="-4"/>
        </w:rPr>
        <w:t> </w:t>
      </w:r>
      <w:r>
        <w:rPr/>
        <w:t>was</w:t>
      </w:r>
      <w:r>
        <w:rPr>
          <w:spacing w:val="-6"/>
        </w:rPr>
        <w:t> </w:t>
      </w:r>
      <w:r>
        <w:rPr/>
        <w:t>performed</w:t>
      </w:r>
      <w:r>
        <w:rPr>
          <w:spacing w:val="-7"/>
        </w:rPr>
        <w:t> </w:t>
      </w:r>
      <w:r>
        <w:rPr/>
        <w:t>with</w:t>
      </w:r>
      <w:r>
        <w:rPr>
          <w:spacing w:val="-7"/>
        </w:rPr>
        <w:t> </w:t>
      </w:r>
      <w:r>
        <w:rPr/>
        <w:t>5</w:t>
      </w:r>
      <w:r>
        <w:rPr>
          <w:spacing w:val="-7"/>
        </w:rPr>
        <w:t> </w:t>
      </w:r>
      <w:r>
        <w:rPr/>
        <w:t>and</w:t>
      </w:r>
      <w:r>
        <w:rPr>
          <w:spacing w:val="-7"/>
        </w:rPr>
        <w:t> </w:t>
      </w:r>
      <w:r>
        <w:rPr/>
        <w:t>11</w:t>
      </w:r>
      <w:r>
        <w:rPr>
          <w:spacing w:val="-4"/>
        </w:rPr>
        <w:t> </w:t>
      </w:r>
      <w:r>
        <w:rPr/>
        <w:t>dBm</w:t>
      </w:r>
      <w:r>
        <w:rPr>
          <w:spacing w:val="-4"/>
        </w:rPr>
        <w:t> </w:t>
      </w:r>
      <w:r>
        <w:rPr/>
        <w:t>equivalent</w:t>
      </w:r>
      <w:r>
        <w:rPr>
          <w:spacing w:val="-7"/>
        </w:rPr>
        <w:t> </w:t>
      </w:r>
      <w:r>
        <w:rPr/>
        <w:t>transmit</w:t>
      </w:r>
      <w:r>
        <w:rPr>
          <w:spacing w:val="-6"/>
        </w:rPr>
        <w:t> </w:t>
      </w:r>
      <w:r>
        <w:rPr/>
        <w:t>power.</w:t>
      </w:r>
    </w:p>
    <w:p>
      <w:pPr>
        <w:pStyle w:val="BodyText"/>
        <w:spacing w:before="5"/>
        <w:rPr>
          <w:sz w:val="12"/>
        </w:rPr>
      </w:pPr>
      <w:r>
        <w:rPr/>
        <w:drawing>
          <wp:anchor distT="0" distB="0" distL="0" distR="0" allowOverlap="1" layoutInCell="1" locked="0" behindDoc="0" simplePos="0" relativeHeight="7840">
            <wp:simplePos x="0" y="0"/>
            <wp:positionH relativeFrom="page">
              <wp:posOffset>719455</wp:posOffset>
            </wp:positionH>
            <wp:positionV relativeFrom="paragraph">
              <wp:posOffset>115638</wp:posOffset>
            </wp:positionV>
            <wp:extent cx="5676092" cy="1866900"/>
            <wp:effectExtent l="0" t="0" r="0" b="0"/>
            <wp:wrapTopAndBottom/>
            <wp:docPr id="105" name="image154.png" descr=""/>
            <wp:cNvGraphicFramePr>
              <a:graphicFrameLocks noChangeAspect="1"/>
            </wp:cNvGraphicFramePr>
            <a:graphic>
              <a:graphicData uri="http://schemas.openxmlformats.org/drawingml/2006/picture">
                <pic:pic>
                  <pic:nvPicPr>
                    <pic:cNvPr id="106" name="image154.png"/>
                    <pic:cNvPicPr/>
                  </pic:nvPicPr>
                  <pic:blipFill>
                    <a:blip r:embed="rId354" cstate="print"/>
                    <a:stretch>
                      <a:fillRect/>
                    </a:stretch>
                  </pic:blipFill>
                  <pic:spPr>
                    <a:xfrm>
                      <a:off x="0" y="0"/>
                      <a:ext cx="5676092" cy="1866900"/>
                    </a:xfrm>
                    <a:prstGeom prst="rect">
                      <a:avLst/>
                    </a:prstGeom>
                  </pic:spPr>
                </pic:pic>
              </a:graphicData>
            </a:graphic>
          </wp:anchor>
        </w:drawing>
      </w:r>
    </w:p>
    <w:p>
      <w:pPr>
        <w:spacing w:before="67"/>
        <w:ind w:left="1200" w:right="0" w:firstLine="0"/>
        <w:jc w:val="both"/>
        <w:rPr>
          <w:b/>
          <w:sz w:val="24"/>
        </w:rPr>
      </w:pPr>
      <w:r>
        <w:rPr>
          <w:b/>
          <w:sz w:val="24"/>
        </w:rPr>
        <w:t>Figure 47: NLOS non-intersection test setup</w:t>
      </w:r>
    </w:p>
    <w:p>
      <w:pPr>
        <w:pStyle w:val="BodyText"/>
        <w:rPr>
          <w:b/>
          <w:sz w:val="26"/>
        </w:rPr>
      </w:pPr>
    </w:p>
    <w:p>
      <w:pPr>
        <w:pStyle w:val="BodyText"/>
        <w:spacing w:before="182"/>
        <w:ind w:left="1133" w:right="1130"/>
        <w:jc w:val="both"/>
      </w:pPr>
      <w:r>
        <w:rPr/>
        <w:t>The test was performed on the same test track as the LOS test, namely Road A at the Fowlerville Proving Grounds</w:t>
      </w:r>
      <w:r>
        <w:rPr>
          <w:spacing w:val="-16"/>
        </w:rPr>
        <w:t> </w:t>
      </w:r>
      <w:r>
        <w:rPr/>
        <w:t>(FPG),</w:t>
      </w:r>
      <w:r>
        <w:rPr>
          <w:spacing w:val="-15"/>
        </w:rPr>
        <w:t> </w:t>
      </w:r>
      <w:r>
        <w:rPr/>
        <w:t>Fowlerville,</w:t>
      </w:r>
      <w:r>
        <w:rPr>
          <w:spacing w:val="-16"/>
        </w:rPr>
        <w:t> </w:t>
      </w:r>
      <w:r>
        <w:rPr/>
        <w:t>Michigan.</w:t>
      </w:r>
      <w:r>
        <w:rPr>
          <w:spacing w:val="-15"/>
        </w:rPr>
        <w:t> </w:t>
      </w:r>
      <w:r>
        <w:rPr/>
        <w:t>The</w:t>
      </w:r>
      <w:r>
        <w:rPr>
          <w:spacing w:val="-18"/>
        </w:rPr>
        <w:t> </w:t>
      </w:r>
      <w:r>
        <w:rPr/>
        <w:t>layout</w:t>
      </w:r>
      <w:r>
        <w:rPr>
          <w:spacing w:val="-16"/>
        </w:rPr>
        <w:t> </w:t>
      </w:r>
      <w:r>
        <w:rPr/>
        <w:t>is</w:t>
      </w:r>
      <w:r>
        <w:rPr>
          <w:spacing w:val="-16"/>
        </w:rPr>
        <w:t> </w:t>
      </w:r>
      <w:r>
        <w:rPr/>
        <w:t>shown</w:t>
      </w:r>
      <w:r>
        <w:rPr>
          <w:spacing w:val="-17"/>
        </w:rPr>
        <w:t> </w:t>
      </w:r>
      <w:r>
        <w:rPr/>
        <w:t>below</w:t>
      </w:r>
      <w:r>
        <w:rPr>
          <w:spacing w:val="-17"/>
        </w:rPr>
        <w:t> </w:t>
      </w:r>
      <w:r>
        <w:rPr/>
        <w:t>in</w:t>
      </w:r>
      <w:r>
        <w:rPr>
          <w:spacing w:val="-15"/>
        </w:rPr>
        <w:t> </w:t>
      </w:r>
      <w:r>
        <w:rPr/>
        <w:t>Figure</w:t>
      </w:r>
      <w:r>
        <w:rPr>
          <w:spacing w:val="-7"/>
        </w:rPr>
        <w:t> </w:t>
      </w:r>
      <w:r>
        <w:rPr/>
        <w:t>48.</w:t>
      </w:r>
      <w:r>
        <w:rPr>
          <w:spacing w:val="-15"/>
        </w:rPr>
        <w:t> </w:t>
      </w:r>
      <w:r>
        <w:rPr/>
        <w:t>The</w:t>
      </w:r>
      <w:r>
        <w:rPr>
          <w:spacing w:val="-18"/>
        </w:rPr>
        <w:t> </w:t>
      </w:r>
      <w:r>
        <w:rPr/>
        <w:t>red</w:t>
      </w:r>
      <w:r>
        <w:rPr>
          <w:spacing w:val="-16"/>
        </w:rPr>
        <w:t> </w:t>
      </w:r>
      <w:r>
        <w:rPr/>
        <w:t>vehicle</w:t>
      </w:r>
      <w:r>
        <w:rPr>
          <w:spacing w:val="-15"/>
        </w:rPr>
        <w:t> </w:t>
      </w:r>
      <w:r>
        <w:rPr/>
        <w:t>is</w:t>
      </w:r>
      <w:r>
        <w:rPr>
          <w:spacing w:val="-16"/>
        </w:rPr>
        <w:t> </w:t>
      </w:r>
      <w:r>
        <w:rPr/>
        <w:t>the</w:t>
      </w:r>
      <w:r>
        <w:rPr>
          <w:spacing w:val="-15"/>
        </w:rPr>
        <w:t> </w:t>
      </w:r>
      <w:r>
        <w:rPr/>
        <w:t>Stationary vehicle (SV) and the blue vehicle is the moving vehicle (MV) with its trajectory labeled by white arrows. The grey blocker (U-Haul truck) is shown in front of the</w:t>
      </w:r>
      <w:r>
        <w:rPr>
          <w:spacing w:val="-18"/>
        </w:rPr>
        <w:t> </w:t>
      </w:r>
      <w:r>
        <w:rPr/>
        <w:t>SV.</w:t>
      </w:r>
    </w:p>
    <w:p>
      <w:pPr>
        <w:spacing w:after="0"/>
        <w:jc w:val="both"/>
        <w:sectPr>
          <w:headerReference w:type="default" r:id="rId352"/>
          <w:footerReference w:type="default" r:id="rId353"/>
          <w:pgSz w:w="11910" w:h="16850"/>
          <w:pgMar w:header="852" w:footer="979" w:top="1040" w:bottom="1160" w:left="0" w:right="0"/>
        </w:sectPr>
      </w:pPr>
    </w:p>
    <w:p>
      <w:pPr>
        <w:pStyle w:val="BodyText"/>
      </w:pPr>
    </w:p>
    <w:p>
      <w:pPr>
        <w:pStyle w:val="BodyText"/>
        <w:spacing w:before="6"/>
        <w:rPr>
          <w:sz w:val="11"/>
        </w:rPr>
      </w:pPr>
    </w:p>
    <w:p>
      <w:pPr>
        <w:pStyle w:val="BodyText"/>
        <w:ind w:left="1183"/>
      </w:pPr>
      <w:r>
        <w:rPr/>
        <w:drawing>
          <wp:inline distT="0" distB="0" distL="0" distR="0">
            <wp:extent cx="5064154" cy="2844641"/>
            <wp:effectExtent l="0" t="0" r="0" b="0"/>
            <wp:docPr id="109" name="image155.jpeg" descr=""/>
            <wp:cNvGraphicFramePr>
              <a:graphicFrameLocks noChangeAspect="1"/>
            </wp:cNvGraphicFramePr>
            <a:graphic>
              <a:graphicData uri="http://schemas.openxmlformats.org/drawingml/2006/picture">
                <pic:pic>
                  <pic:nvPicPr>
                    <pic:cNvPr id="110" name="image155.jpeg"/>
                    <pic:cNvPicPr/>
                  </pic:nvPicPr>
                  <pic:blipFill>
                    <a:blip r:embed="rId357" cstate="print"/>
                    <a:stretch>
                      <a:fillRect/>
                    </a:stretch>
                  </pic:blipFill>
                  <pic:spPr>
                    <a:xfrm>
                      <a:off x="0" y="0"/>
                      <a:ext cx="5064154" cy="2844641"/>
                    </a:xfrm>
                    <a:prstGeom prst="rect">
                      <a:avLst/>
                    </a:prstGeom>
                  </pic:spPr>
                </pic:pic>
              </a:graphicData>
            </a:graphic>
          </wp:inline>
        </w:drawing>
      </w:r>
      <w:r>
        <w:rPr/>
      </w:r>
    </w:p>
    <w:p>
      <w:pPr>
        <w:pStyle w:val="BodyText"/>
        <w:spacing w:before="6"/>
        <w:rPr>
          <w:sz w:val="6"/>
        </w:rPr>
      </w:pPr>
    </w:p>
    <w:p>
      <w:pPr>
        <w:pStyle w:val="Heading4"/>
        <w:spacing w:line="274" w:lineRule="exact" w:before="99"/>
        <w:ind w:right="1126"/>
        <w:jc w:val="both"/>
      </w:pPr>
      <w:r>
        <w:rPr/>
        <w:t>Figure</w:t>
      </w:r>
      <w:r>
        <w:rPr>
          <w:spacing w:val="-7"/>
        </w:rPr>
        <w:t> </w:t>
      </w:r>
      <w:r>
        <w:rPr/>
        <w:t>48:</w:t>
      </w:r>
      <w:r>
        <w:rPr>
          <w:spacing w:val="-9"/>
        </w:rPr>
        <w:t> </w:t>
      </w:r>
      <w:r>
        <w:rPr/>
        <w:t>Map</w:t>
      </w:r>
      <w:r>
        <w:rPr>
          <w:spacing w:val="-8"/>
        </w:rPr>
        <w:t> </w:t>
      </w:r>
      <w:r>
        <w:rPr/>
        <w:t>of</w:t>
      </w:r>
      <w:r>
        <w:rPr>
          <w:spacing w:val="-9"/>
        </w:rPr>
        <w:t> </w:t>
      </w:r>
      <w:r>
        <w:rPr/>
        <w:t>the</w:t>
      </w:r>
      <w:r>
        <w:rPr>
          <w:spacing w:val="-10"/>
        </w:rPr>
        <w:t> </w:t>
      </w:r>
      <w:r>
        <w:rPr/>
        <w:t>north</w:t>
      </w:r>
      <w:r>
        <w:rPr>
          <w:spacing w:val="-8"/>
        </w:rPr>
        <w:t> </w:t>
      </w:r>
      <w:r>
        <w:rPr/>
        <w:t>circle</w:t>
      </w:r>
      <w:r>
        <w:rPr>
          <w:spacing w:val="-7"/>
        </w:rPr>
        <w:t> </w:t>
      </w:r>
      <w:r>
        <w:rPr/>
        <w:t>at</w:t>
      </w:r>
      <w:r>
        <w:rPr>
          <w:spacing w:val="-9"/>
        </w:rPr>
        <w:t> </w:t>
      </w:r>
      <w:r>
        <w:rPr/>
        <w:t>FPG</w:t>
      </w:r>
      <w:r>
        <w:rPr>
          <w:spacing w:val="-8"/>
        </w:rPr>
        <w:t> </w:t>
      </w:r>
      <w:r>
        <w:rPr/>
        <w:t>Road</w:t>
      </w:r>
      <w:r>
        <w:rPr>
          <w:spacing w:val="-6"/>
        </w:rPr>
        <w:t> </w:t>
      </w:r>
      <w:r>
        <w:rPr/>
        <w:t>A</w:t>
      </w:r>
      <w:r>
        <w:rPr>
          <w:spacing w:val="-16"/>
        </w:rPr>
        <w:t> </w:t>
      </w:r>
      <w:r>
        <w:rPr/>
        <w:t>showing</w:t>
      </w:r>
      <w:r>
        <w:rPr>
          <w:spacing w:val="-11"/>
        </w:rPr>
        <w:t> </w:t>
      </w:r>
      <w:r>
        <w:rPr/>
        <w:t>NLOS</w:t>
      </w:r>
      <w:r>
        <w:rPr>
          <w:spacing w:val="-9"/>
        </w:rPr>
        <w:t> </w:t>
      </w:r>
      <w:r>
        <w:rPr/>
        <w:t>non-intersection</w:t>
      </w:r>
      <w:r>
        <w:rPr>
          <w:spacing w:val="-9"/>
        </w:rPr>
        <w:t> </w:t>
      </w:r>
      <w:r>
        <w:rPr/>
        <w:t>test setup</w:t>
      </w:r>
    </w:p>
    <w:p>
      <w:pPr>
        <w:pStyle w:val="BodyText"/>
        <w:rPr>
          <w:b/>
          <w:sz w:val="26"/>
        </w:rPr>
      </w:pPr>
    </w:p>
    <w:p>
      <w:pPr>
        <w:pStyle w:val="BodyText"/>
        <w:spacing w:before="179"/>
        <w:ind w:left="1133" w:right="1129"/>
        <w:jc w:val="both"/>
      </w:pPr>
      <w:r>
        <w:rPr/>
        <w:t>In</w:t>
      </w:r>
      <w:r>
        <w:rPr>
          <w:spacing w:val="-8"/>
        </w:rPr>
        <w:t> </w:t>
      </w:r>
      <w:r>
        <w:rPr/>
        <w:t>Figure</w:t>
      </w:r>
      <w:r>
        <w:rPr>
          <w:spacing w:val="-5"/>
        </w:rPr>
        <w:t> </w:t>
      </w:r>
      <w:r>
        <w:rPr/>
        <w:t>49,</w:t>
      </w:r>
      <w:r>
        <w:rPr>
          <w:spacing w:val="-3"/>
        </w:rPr>
        <w:t> </w:t>
      </w:r>
      <w:r>
        <w:rPr/>
        <w:t>we</w:t>
      </w:r>
      <w:r>
        <w:rPr>
          <w:spacing w:val="-8"/>
        </w:rPr>
        <w:t> </w:t>
      </w:r>
      <w:r>
        <w:rPr/>
        <w:t>show</w:t>
      </w:r>
      <w:r>
        <w:rPr>
          <w:spacing w:val="-7"/>
        </w:rPr>
        <w:t> </w:t>
      </w:r>
      <w:r>
        <w:rPr/>
        <w:t>average</w:t>
      </w:r>
      <w:r>
        <w:rPr>
          <w:spacing w:val="-6"/>
        </w:rPr>
        <w:t> </w:t>
      </w:r>
      <w:r>
        <w:rPr/>
        <w:t>Packet</w:t>
      </w:r>
      <w:r>
        <w:rPr>
          <w:spacing w:val="-8"/>
        </w:rPr>
        <w:t> </w:t>
      </w:r>
      <w:r>
        <w:rPr/>
        <w:t>Reception</w:t>
      </w:r>
      <w:r>
        <w:rPr>
          <w:spacing w:val="-8"/>
        </w:rPr>
        <w:t> </w:t>
      </w:r>
      <w:r>
        <w:rPr/>
        <w:t>Ratio</w:t>
      </w:r>
      <w:r>
        <w:rPr>
          <w:spacing w:val="-8"/>
        </w:rPr>
        <w:t> </w:t>
      </w:r>
      <w:r>
        <w:rPr/>
        <w:t>at</w:t>
      </w:r>
      <w:r>
        <w:rPr>
          <w:spacing w:val="-6"/>
        </w:rPr>
        <w:t> </w:t>
      </w:r>
      <w:r>
        <w:rPr/>
        <w:t>the</w:t>
      </w:r>
      <w:r>
        <w:rPr>
          <w:spacing w:val="-6"/>
        </w:rPr>
        <w:t> </w:t>
      </w:r>
      <w:r>
        <w:rPr/>
        <w:t>stationary</w:t>
      </w:r>
      <w:r>
        <w:rPr>
          <w:spacing w:val="-9"/>
        </w:rPr>
        <w:t> </w:t>
      </w:r>
      <w:r>
        <w:rPr/>
        <w:t>vehicle</w:t>
      </w:r>
      <w:r>
        <w:rPr>
          <w:spacing w:val="-8"/>
        </w:rPr>
        <w:t> </w:t>
      </w:r>
      <w:r>
        <w:rPr/>
        <w:t>(SV)</w:t>
      </w:r>
      <w:r>
        <w:rPr>
          <w:spacing w:val="-5"/>
        </w:rPr>
        <w:t> </w:t>
      </w:r>
      <w:r>
        <w:rPr/>
        <w:t>while</w:t>
      </w:r>
      <w:r>
        <w:rPr>
          <w:spacing w:val="-6"/>
        </w:rPr>
        <w:t> </w:t>
      </w:r>
      <w:r>
        <w:rPr/>
        <w:t>the</w:t>
      </w:r>
      <w:r>
        <w:rPr>
          <w:spacing w:val="-6"/>
        </w:rPr>
        <w:t> </w:t>
      </w:r>
      <w:r>
        <w:rPr/>
        <w:t>moving</w:t>
      </w:r>
      <w:r>
        <w:rPr>
          <w:spacing w:val="-6"/>
        </w:rPr>
        <w:t> </w:t>
      </w:r>
      <w:r>
        <w:rPr/>
        <w:t>vehicle (MV) is approaching as a function of distance between the vehicles averaged over all the loops. Using 90% PRR threshold, DSRC range for 5 dBm and 11 dBm is 60 m and 125 m, respectively. Similarly, C-V2X range is 290 m and 425 m for effective transmit power of 5dBm and 11 dBm, respectively. Note that PRR of C-V2X at 5 dBm effective transmit power is better than PRR for DSRC at 11 dBm consistent with the observations in the LOS test. In Figure 50, we show average Inter-Packet Gap (IPG) as a function of distance between SV and</w:t>
      </w:r>
      <w:r>
        <w:rPr>
          <w:spacing w:val="-10"/>
        </w:rPr>
        <w:t> </w:t>
      </w:r>
      <w:r>
        <w:rPr/>
        <w:t>MV</w:t>
      </w:r>
      <w:r>
        <w:rPr>
          <w:spacing w:val="-11"/>
        </w:rPr>
        <w:t> </w:t>
      </w:r>
      <w:r>
        <w:rPr/>
        <w:t>observed</w:t>
      </w:r>
      <w:r>
        <w:rPr>
          <w:spacing w:val="-11"/>
        </w:rPr>
        <w:t> </w:t>
      </w:r>
      <w:r>
        <w:rPr/>
        <w:t>by</w:t>
      </w:r>
      <w:r>
        <w:rPr>
          <w:spacing w:val="-13"/>
        </w:rPr>
        <w:t> </w:t>
      </w:r>
      <w:r>
        <w:rPr/>
        <w:t>SV</w:t>
      </w:r>
      <w:r>
        <w:rPr>
          <w:spacing w:val="-11"/>
        </w:rPr>
        <w:t> </w:t>
      </w:r>
      <w:r>
        <w:rPr/>
        <w:t>for</w:t>
      </w:r>
      <w:r>
        <w:rPr>
          <w:spacing w:val="-12"/>
        </w:rPr>
        <w:t> </w:t>
      </w:r>
      <w:r>
        <w:rPr/>
        <w:t>both</w:t>
      </w:r>
      <w:r>
        <w:rPr>
          <w:spacing w:val="-11"/>
        </w:rPr>
        <w:t> </w:t>
      </w:r>
      <w:r>
        <w:rPr/>
        <w:t>technologies.</w:t>
      </w:r>
      <w:r>
        <w:rPr>
          <w:spacing w:val="-15"/>
        </w:rPr>
        <w:t> </w:t>
      </w:r>
      <w:r>
        <w:rPr>
          <w:spacing w:val="5"/>
        </w:rPr>
        <w:t>We</w:t>
      </w:r>
      <w:r>
        <w:rPr>
          <w:spacing w:val="-13"/>
        </w:rPr>
        <w:t> </w:t>
      </w:r>
      <w:r>
        <w:rPr/>
        <w:t>observe</w:t>
      </w:r>
      <w:r>
        <w:rPr>
          <w:spacing w:val="-10"/>
        </w:rPr>
        <w:t> </w:t>
      </w:r>
      <w:r>
        <w:rPr/>
        <w:t>that</w:t>
      </w:r>
      <w:r>
        <w:rPr>
          <w:spacing w:val="-10"/>
        </w:rPr>
        <w:t> </w:t>
      </w:r>
      <w:r>
        <w:rPr/>
        <w:t>average</w:t>
      </w:r>
      <w:r>
        <w:rPr>
          <w:spacing w:val="-10"/>
        </w:rPr>
        <w:t> </w:t>
      </w:r>
      <w:r>
        <w:rPr/>
        <w:t>IPG</w:t>
      </w:r>
      <w:r>
        <w:rPr>
          <w:spacing w:val="-9"/>
        </w:rPr>
        <w:t> </w:t>
      </w:r>
      <w:r>
        <w:rPr/>
        <w:t>increases</w:t>
      </w:r>
      <w:r>
        <w:rPr>
          <w:spacing w:val="-9"/>
        </w:rPr>
        <w:t> </w:t>
      </w:r>
      <w:r>
        <w:rPr/>
        <w:t>at</w:t>
      </w:r>
      <w:r>
        <w:rPr>
          <w:spacing w:val="-11"/>
        </w:rPr>
        <w:t> </w:t>
      </w:r>
      <w:r>
        <w:rPr/>
        <w:t>the</w:t>
      </w:r>
      <w:r>
        <w:rPr>
          <w:spacing w:val="-11"/>
        </w:rPr>
        <w:t> </w:t>
      </w:r>
      <w:r>
        <w:rPr/>
        <w:t>distances</w:t>
      </w:r>
      <w:r>
        <w:rPr>
          <w:spacing w:val="-7"/>
        </w:rPr>
        <w:t> </w:t>
      </w:r>
      <w:r>
        <w:rPr/>
        <w:t>where there is a decrease in PRR. A spike in IPG for C-V2X at 425m is closely correlated with a drop in PRR below 90%</w:t>
      </w:r>
      <w:r>
        <w:rPr>
          <w:spacing w:val="-8"/>
        </w:rPr>
        <w:t> </w:t>
      </w:r>
      <w:r>
        <w:rPr/>
        <w:t>at</w:t>
      </w:r>
      <w:r>
        <w:rPr>
          <w:spacing w:val="-10"/>
        </w:rPr>
        <w:t> </w:t>
      </w:r>
      <w:r>
        <w:rPr/>
        <w:t>the</w:t>
      </w:r>
      <w:r>
        <w:rPr>
          <w:spacing w:val="-9"/>
        </w:rPr>
        <w:t> </w:t>
      </w:r>
      <w:r>
        <w:rPr/>
        <w:t>same</w:t>
      </w:r>
      <w:r>
        <w:rPr>
          <w:spacing w:val="-9"/>
        </w:rPr>
        <w:t> </w:t>
      </w:r>
      <w:r>
        <w:rPr/>
        <w:t>distance.</w:t>
      </w:r>
      <w:r>
        <w:rPr>
          <w:spacing w:val="-10"/>
        </w:rPr>
        <w:t> </w:t>
      </w:r>
      <w:r>
        <w:rPr/>
        <w:t>Note</w:t>
      </w:r>
      <w:r>
        <w:rPr>
          <w:spacing w:val="-10"/>
        </w:rPr>
        <w:t> </w:t>
      </w:r>
      <w:r>
        <w:rPr/>
        <w:t>also</w:t>
      </w:r>
      <w:r>
        <w:rPr>
          <w:spacing w:val="-9"/>
        </w:rPr>
        <w:t> </w:t>
      </w:r>
      <w:r>
        <w:rPr/>
        <w:t>the</w:t>
      </w:r>
      <w:r>
        <w:rPr>
          <w:spacing w:val="-10"/>
        </w:rPr>
        <w:t> </w:t>
      </w:r>
      <w:r>
        <w:rPr/>
        <w:t>sharp</w:t>
      </w:r>
      <w:r>
        <w:rPr>
          <w:spacing w:val="-9"/>
        </w:rPr>
        <w:t> </w:t>
      </w:r>
      <w:r>
        <w:rPr/>
        <w:t>increase</w:t>
      </w:r>
      <w:r>
        <w:rPr>
          <w:spacing w:val="-9"/>
        </w:rPr>
        <w:t> </w:t>
      </w:r>
      <w:r>
        <w:rPr/>
        <w:t>in</w:t>
      </w:r>
      <w:r>
        <w:rPr>
          <w:spacing w:val="-9"/>
        </w:rPr>
        <w:t> </w:t>
      </w:r>
      <w:r>
        <w:rPr/>
        <w:t>PRR</w:t>
      </w:r>
      <w:r>
        <w:rPr>
          <w:spacing w:val="-9"/>
        </w:rPr>
        <w:t> </w:t>
      </w:r>
      <w:r>
        <w:rPr/>
        <w:t>at</w:t>
      </w:r>
      <w:r>
        <w:rPr>
          <w:spacing w:val="-10"/>
        </w:rPr>
        <w:t> </w:t>
      </w:r>
      <w:r>
        <w:rPr/>
        <w:t>700</w:t>
      </w:r>
      <w:r>
        <w:rPr>
          <w:spacing w:val="-9"/>
        </w:rPr>
        <w:t> </w:t>
      </w:r>
      <w:r>
        <w:rPr/>
        <w:t>m</w:t>
      </w:r>
      <w:r>
        <w:rPr>
          <w:spacing w:val="-6"/>
        </w:rPr>
        <w:t> </w:t>
      </w:r>
      <w:r>
        <w:rPr/>
        <w:t>and</w:t>
      </w:r>
      <w:r>
        <w:rPr>
          <w:spacing w:val="-9"/>
        </w:rPr>
        <w:t> </w:t>
      </w:r>
      <w:r>
        <w:rPr/>
        <w:t>a</w:t>
      </w:r>
      <w:r>
        <w:rPr>
          <w:spacing w:val="-9"/>
        </w:rPr>
        <w:t> </w:t>
      </w:r>
      <w:r>
        <w:rPr/>
        <w:t>brief</w:t>
      </w:r>
      <w:r>
        <w:rPr>
          <w:spacing w:val="-8"/>
        </w:rPr>
        <w:t> </w:t>
      </w:r>
      <w:r>
        <w:rPr/>
        <w:t>recovery</w:t>
      </w:r>
      <w:r>
        <w:rPr>
          <w:spacing w:val="-13"/>
        </w:rPr>
        <w:t> </w:t>
      </w:r>
      <w:r>
        <w:rPr/>
        <w:t>at</w:t>
      </w:r>
      <w:r>
        <w:rPr>
          <w:spacing w:val="-10"/>
        </w:rPr>
        <w:t> </w:t>
      </w:r>
      <w:r>
        <w:rPr/>
        <w:t>around</w:t>
      </w:r>
      <w:r>
        <w:rPr>
          <w:spacing w:val="-10"/>
        </w:rPr>
        <w:t> </w:t>
      </w:r>
      <w:r>
        <w:rPr/>
        <w:t>800m. </w:t>
      </w:r>
      <w:r>
        <w:rPr>
          <w:spacing w:val="3"/>
        </w:rPr>
        <w:t>We </w:t>
      </w:r>
      <w:r>
        <w:rPr/>
        <w:t>should point out that, while PRR and IPG behavior beyond range is interesting, small variations in the RF environment can cause significant variability since the systems are operating close to the receiver</w:t>
      </w:r>
      <w:r>
        <w:rPr>
          <w:spacing w:val="-27"/>
        </w:rPr>
        <w:t> </w:t>
      </w:r>
      <w:r>
        <w:rPr/>
        <w:t>sensitivity.</w:t>
      </w:r>
    </w:p>
    <w:p>
      <w:pPr>
        <w:spacing w:after="0"/>
        <w:jc w:val="both"/>
        <w:sectPr>
          <w:headerReference w:type="default" r:id="rId355"/>
          <w:footerReference w:type="default" r:id="rId356"/>
          <w:pgSz w:w="11910" w:h="16850"/>
          <w:pgMar w:header="852" w:footer="979" w:top="1040" w:bottom="1160" w:left="0" w:right="0"/>
          <w:pgNumType w:start="81"/>
        </w:sectPr>
      </w:pPr>
    </w:p>
    <w:p>
      <w:pPr>
        <w:pStyle w:val="BodyText"/>
      </w:pPr>
    </w:p>
    <w:p>
      <w:pPr>
        <w:pStyle w:val="BodyText"/>
        <w:spacing w:before="6"/>
        <w:rPr>
          <w:sz w:val="11"/>
        </w:rPr>
      </w:pPr>
    </w:p>
    <w:p>
      <w:pPr>
        <w:pStyle w:val="BodyText"/>
        <w:ind w:left="1133"/>
      </w:pPr>
      <w:r>
        <w:rPr/>
        <w:drawing>
          <wp:inline distT="0" distB="0" distL="0" distR="0">
            <wp:extent cx="5528062" cy="3150107"/>
            <wp:effectExtent l="0" t="0" r="0" b="0"/>
            <wp:docPr id="111" name="image156.png" descr=""/>
            <wp:cNvGraphicFramePr>
              <a:graphicFrameLocks noChangeAspect="1"/>
            </wp:cNvGraphicFramePr>
            <a:graphic>
              <a:graphicData uri="http://schemas.openxmlformats.org/drawingml/2006/picture">
                <pic:pic>
                  <pic:nvPicPr>
                    <pic:cNvPr id="112" name="image156.png"/>
                    <pic:cNvPicPr/>
                  </pic:nvPicPr>
                  <pic:blipFill>
                    <a:blip r:embed="rId359" cstate="print"/>
                    <a:stretch>
                      <a:fillRect/>
                    </a:stretch>
                  </pic:blipFill>
                  <pic:spPr>
                    <a:xfrm>
                      <a:off x="0" y="0"/>
                      <a:ext cx="5528062" cy="3150107"/>
                    </a:xfrm>
                    <a:prstGeom prst="rect">
                      <a:avLst/>
                    </a:prstGeom>
                  </pic:spPr>
                </pic:pic>
              </a:graphicData>
            </a:graphic>
          </wp:inline>
        </w:drawing>
      </w:r>
      <w:r>
        <w:rPr/>
      </w:r>
    </w:p>
    <w:p>
      <w:pPr>
        <w:pStyle w:val="Heading4"/>
        <w:spacing w:before="135"/>
        <w:ind w:right="1135"/>
        <w:jc w:val="both"/>
      </w:pPr>
      <w:r>
        <w:rPr/>
        <w:t>Figure 49: NLOS shadowing average Packet Reception Ratio at the SV as a function of distance between the SV and MV</w:t>
      </w:r>
    </w:p>
    <w:p>
      <w:pPr>
        <w:pStyle w:val="BodyText"/>
        <w:rPr>
          <w:b/>
          <w:sz w:val="26"/>
        </w:rPr>
      </w:pPr>
    </w:p>
    <w:p>
      <w:pPr>
        <w:pStyle w:val="BodyText"/>
        <w:spacing w:before="182"/>
        <w:ind w:left="1133" w:right="1131"/>
        <w:jc w:val="both"/>
      </w:pPr>
      <w:r>
        <w:rPr/>
        <w:t>In Figure 50 we show the average Inter-Packet Gap (IPG) as a function of distance between SV and MV observed</w:t>
      </w:r>
      <w:r>
        <w:rPr>
          <w:spacing w:val="-13"/>
        </w:rPr>
        <w:t> </w:t>
      </w:r>
      <w:r>
        <w:rPr/>
        <w:t>by</w:t>
      </w:r>
      <w:r>
        <w:rPr>
          <w:spacing w:val="-16"/>
        </w:rPr>
        <w:t> </w:t>
      </w:r>
      <w:r>
        <w:rPr/>
        <w:t>SV</w:t>
      </w:r>
      <w:r>
        <w:rPr>
          <w:spacing w:val="-13"/>
        </w:rPr>
        <w:t> </w:t>
      </w:r>
      <w:r>
        <w:rPr/>
        <w:t>for</w:t>
      </w:r>
      <w:r>
        <w:rPr>
          <w:spacing w:val="-14"/>
        </w:rPr>
        <w:t> </w:t>
      </w:r>
      <w:r>
        <w:rPr/>
        <w:t>both</w:t>
      </w:r>
      <w:r>
        <w:rPr>
          <w:spacing w:val="-13"/>
        </w:rPr>
        <w:t> </w:t>
      </w:r>
      <w:r>
        <w:rPr/>
        <w:t>technologies</w:t>
      </w:r>
      <w:r>
        <w:rPr>
          <w:spacing w:val="-12"/>
        </w:rPr>
        <w:t> </w:t>
      </w:r>
      <w:r>
        <w:rPr/>
        <w:t>at</w:t>
      </w:r>
      <w:r>
        <w:rPr>
          <w:spacing w:val="-13"/>
        </w:rPr>
        <w:t> </w:t>
      </w:r>
      <w:r>
        <w:rPr/>
        <w:t>5</w:t>
      </w:r>
      <w:r>
        <w:rPr>
          <w:spacing w:val="-13"/>
        </w:rPr>
        <w:t> </w:t>
      </w:r>
      <w:r>
        <w:rPr/>
        <w:t>dBm</w:t>
      </w:r>
      <w:r>
        <w:rPr>
          <w:spacing w:val="-11"/>
        </w:rPr>
        <w:t> </w:t>
      </w:r>
      <w:r>
        <w:rPr/>
        <w:t>effective</w:t>
      </w:r>
      <w:r>
        <w:rPr>
          <w:spacing w:val="-15"/>
        </w:rPr>
        <w:t> </w:t>
      </w:r>
      <w:r>
        <w:rPr/>
        <w:t>power.</w:t>
      </w:r>
      <w:r>
        <w:rPr>
          <w:spacing w:val="-17"/>
        </w:rPr>
        <w:t> </w:t>
      </w:r>
      <w:r>
        <w:rPr>
          <w:spacing w:val="5"/>
        </w:rPr>
        <w:t>We</w:t>
      </w:r>
      <w:r>
        <w:rPr>
          <w:spacing w:val="-15"/>
        </w:rPr>
        <w:t> </w:t>
      </w:r>
      <w:r>
        <w:rPr/>
        <w:t>observe</w:t>
      </w:r>
      <w:r>
        <w:rPr>
          <w:spacing w:val="-15"/>
        </w:rPr>
        <w:t> </w:t>
      </w:r>
      <w:r>
        <w:rPr/>
        <w:t>that</w:t>
      </w:r>
      <w:r>
        <w:rPr>
          <w:spacing w:val="-13"/>
        </w:rPr>
        <w:t> </w:t>
      </w:r>
      <w:r>
        <w:rPr/>
        <w:t>average</w:t>
      </w:r>
      <w:r>
        <w:rPr>
          <w:spacing w:val="-13"/>
        </w:rPr>
        <w:t> </w:t>
      </w:r>
      <w:r>
        <w:rPr/>
        <w:t>IPG</w:t>
      </w:r>
      <w:r>
        <w:rPr>
          <w:spacing w:val="-12"/>
        </w:rPr>
        <w:t> </w:t>
      </w:r>
      <w:r>
        <w:rPr/>
        <w:t>is</w:t>
      </w:r>
      <w:r>
        <w:rPr>
          <w:spacing w:val="-11"/>
        </w:rPr>
        <w:t> </w:t>
      </w:r>
      <w:r>
        <w:rPr/>
        <w:t>approximately flat (100 ms) for distances below PRR range for each technology. In Figure 51 we show the Cumulative Distribution</w:t>
      </w:r>
      <w:r>
        <w:rPr>
          <w:spacing w:val="-4"/>
        </w:rPr>
        <w:t> </w:t>
      </w:r>
      <w:r>
        <w:rPr/>
        <w:t>Function</w:t>
      </w:r>
      <w:r>
        <w:rPr>
          <w:spacing w:val="-4"/>
        </w:rPr>
        <w:t> </w:t>
      </w:r>
      <w:r>
        <w:rPr/>
        <w:t>(CDF)</w:t>
      </w:r>
      <w:r>
        <w:rPr>
          <w:spacing w:val="-1"/>
        </w:rPr>
        <w:t> </w:t>
      </w:r>
      <w:r>
        <w:rPr/>
        <w:t>of</w:t>
      </w:r>
      <w:r>
        <w:rPr>
          <w:spacing w:val="-2"/>
        </w:rPr>
        <w:t> </w:t>
      </w:r>
      <w:r>
        <w:rPr/>
        <w:t>the</w:t>
      </w:r>
      <w:r>
        <w:rPr>
          <w:spacing w:val="-4"/>
        </w:rPr>
        <w:t> </w:t>
      </w:r>
      <w:r>
        <w:rPr/>
        <w:t>IPG</w:t>
      </w:r>
      <w:r>
        <w:rPr>
          <w:spacing w:val="-3"/>
        </w:rPr>
        <w:t> </w:t>
      </w:r>
      <w:r>
        <w:rPr/>
        <w:t>data</w:t>
      </w:r>
      <w:r>
        <w:rPr>
          <w:spacing w:val="-4"/>
        </w:rPr>
        <w:t> </w:t>
      </w:r>
      <w:r>
        <w:rPr/>
        <w:t>from</w:t>
      </w:r>
      <w:r>
        <w:rPr>
          <w:spacing w:val="1"/>
        </w:rPr>
        <w:t> </w:t>
      </w:r>
      <w:r>
        <w:rPr/>
        <w:t>Figure</w:t>
      </w:r>
      <w:r>
        <w:rPr>
          <w:spacing w:val="1"/>
        </w:rPr>
        <w:t> </w:t>
      </w:r>
      <w:r>
        <w:rPr/>
        <w:t>50.</w:t>
      </w:r>
      <w:r>
        <w:rPr>
          <w:spacing w:val="-6"/>
        </w:rPr>
        <w:t> </w:t>
      </w:r>
      <w:r>
        <w:rPr>
          <w:spacing w:val="4"/>
        </w:rPr>
        <w:t>We</w:t>
      </w:r>
      <w:r>
        <w:rPr>
          <w:spacing w:val="-4"/>
        </w:rPr>
        <w:t> </w:t>
      </w:r>
      <w:r>
        <w:rPr/>
        <w:t>observe</w:t>
      </w:r>
      <w:r>
        <w:rPr>
          <w:spacing w:val="-4"/>
        </w:rPr>
        <w:t> </w:t>
      </w:r>
      <w:r>
        <w:rPr/>
        <w:t>that</w:t>
      </w:r>
      <w:r>
        <w:rPr>
          <w:spacing w:val="-4"/>
        </w:rPr>
        <w:t> </w:t>
      </w:r>
      <w:r>
        <w:rPr/>
        <w:t>for</w:t>
      </w:r>
      <w:r>
        <w:rPr>
          <w:spacing w:val="-4"/>
        </w:rPr>
        <w:t> </w:t>
      </w:r>
      <w:r>
        <w:rPr/>
        <w:t>DSRC</w:t>
      </w:r>
      <w:r>
        <w:rPr>
          <w:spacing w:val="-4"/>
        </w:rPr>
        <w:t> </w:t>
      </w:r>
      <w:r>
        <w:rPr/>
        <w:t>and</w:t>
      </w:r>
      <w:r>
        <w:rPr>
          <w:spacing w:val="-4"/>
        </w:rPr>
        <w:t> </w:t>
      </w:r>
      <w:r>
        <w:rPr/>
        <w:t>C-V2X</w:t>
      </w:r>
      <w:r>
        <w:rPr>
          <w:spacing w:val="-3"/>
        </w:rPr>
        <w:t> </w:t>
      </w:r>
      <w:r>
        <w:rPr/>
        <w:t>~60%</w:t>
      </w:r>
      <w:r>
        <w:rPr>
          <w:spacing w:val="-1"/>
        </w:rPr>
        <w:t> </w:t>
      </w:r>
      <w:r>
        <w:rPr/>
        <w:t>and</w:t>
      </w:r>
    </w:p>
    <w:p>
      <w:pPr>
        <w:pStyle w:val="BodyText"/>
        <w:ind w:left="1133" w:right="1128"/>
        <w:jc w:val="both"/>
      </w:pPr>
      <w:r>
        <w:rPr/>
        <w:t>~75% of all BSMs received during the test had a regular inter-packet gap of 100ms, respectively. This is different from the observations in the case of LOS where a higher percentage of all received BSMs were received after a regular 100ms interval from the preceding packet. Similar observation from Figure 50 and Figure 51 apply in Figure 52 and Figure 53, respectively.</w:t>
      </w:r>
    </w:p>
    <w:p>
      <w:pPr>
        <w:pStyle w:val="BodyText"/>
      </w:pPr>
    </w:p>
    <w:p>
      <w:pPr>
        <w:pStyle w:val="BodyText"/>
        <w:spacing w:before="10"/>
        <w:rPr>
          <w:sz w:val="27"/>
        </w:rPr>
      </w:pPr>
      <w:r>
        <w:rPr/>
        <w:drawing>
          <wp:anchor distT="0" distB="0" distL="0" distR="0" allowOverlap="1" layoutInCell="1" locked="0" behindDoc="0" simplePos="0" relativeHeight="7864">
            <wp:simplePos x="0" y="0"/>
            <wp:positionH relativeFrom="page">
              <wp:posOffset>719455</wp:posOffset>
            </wp:positionH>
            <wp:positionV relativeFrom="paragraph">
              <wp:posOffset>228804</wp:posOffset>
            </wp:positionV>
            <wp:extent cx="5406836" cy="3248120"/>
            <wp:effectExtent l="0" t="0" r="0" b="0"/>
            <wp:wrapTopAndBottom/>
            <wp:docPr id="113" name="image157.jpeg" descr=""/>
            <wp:cNvGraphicFramePr>
              <a:graphicFrameLocks noChangeAspect="1"/>
            </wp:cNvGraphicFramePr>
            <a:graphic>
              <a:graphicData uri="http://schemas.openxmlformats.org/drawingml/2006/picture">
                <pic:pic>
                  <pic:nvPicPr>
                    <pic:cNvPr id="114" name="image157.jpeg"/>
                    <pic:cNvPicPr/>
                  </pic:nvPicPr>
                  <pic:blipFill>
                    <a:blip r:embed="rId360" cstate="print"/>
                    <a:stretch>
                      <a:fillRect/>
                    </a:stretch>
                  </pic:blipFill>
                  <pic:spPr>
                    <a:xfrm>
                      <a:off x="0" y="0"/>
                      <a:ext cx="5406836" cy="3248120"/>
                    </a:xfrm>
                    <a:prstGeom prst="rect">
                      <a:avLst/>
                    </a:prstGeom>
                  </pic:spPr>
                </pic:pic>
              </a:graphicData>
            </a:graphic>
          </wp:anchor>
        </w:drawing>
      </w:r>
    </w:p>
    <w:p>
      <w:pPr>
        <w:spacing w:after="0"/>
        <w:rPr>
          <w:sz w:val="27"/>
        </w:rPr>
        <w:sectPr>
          <w:headerReference w:type="default" r:id="rId358"/>
          <w:pgSz w:w="11910" w:h="16850"/>
          <w:pgMar w:header="852" w:footer="979" w:top="1040" w:bottom="1160" w:left="0" w:right="0"/>
        </w:sectPr>
      </w:pPr>
    </w:p>
    <w:p>
      <w:pPr>
        <w:pStyle w:val="BodyText"/>
        <w:spacing w:before="1"/>
        <w:rPr>
          <w:sz w:val="23"/>
        </w:rPr>
      </w:pPr>
    </w:p>
    <w:p>
      <w:pPr>
        <w:pStyle w:val="Heading4"/>
        <w:spacing w:before="93"/>
        <w:ind w:right="1136"/>
      </w:pPr>
      <w:r>
        <w:rPr/>
        <w:t>Figure 50: NLOS shadowing average Inter-Packet Gap at the SV as a function of distance between the SV and MV</w:t>
      </w:r>
    </w:p>
    <w:p>
      <w:pPr>
        <w:pStyle w:val="BodyText"/>
        <w:rPr>
          <w:b/>
        </w:rPr>
      </w:pPr>
    </w:p>
    <w:p>
      <w:pPr>
        <w:pStyle w:val="BodyText"/>
        <w:rPr>
          <w:b/>
        </w:rPr>
      </w:pPr>
    </w:p>
    <w:p>
      <w:pPr>
        <w:pStyle w:val="BodyText"/>
        <w:rPr>
          <w:b/>
        </w:rPr>
      </w:pPr>
    </w:p>
    <w:p>
      <w:pPr>
        <w:pStyle w:val="BodyText"/>
        <w:spacing w:before="4"/>
        <w:rPr>
          <w:b/>
          <w:sz w:val="14"/>
        </w:rPr>
      </w:pPr>
      <w:r>
        <w:rPr/>
        <w:drawing>
          <wp:anchor distT="0" distB="0" distL="0" distR="0" allowOverlap="1" layoutInCell="1" locked="0" behindDoc="0" simplePos="0" relativeHeight="7888">
            <wp:simplePos x="0" y="0"/>
            <wp:positionH relativeFrom="page">
              <wp:posOffset>751205</wp:posOffset>
            </wp:positionH>
            <wp:positionV relativeFrom="paragraph">
              <wp:posOffset>129882</wp:posOffset>
            </wp:positionV>
            <wp:extent cx="5739342" cy="3420999"/>
            <wp:effectExtent l="0" t="0" r="0" b="0"/>
            <wp:wrapTopAndBottom/>
            <wp:docPr id="115" name="image158.jpeg" descr=""/>
            <wp:cNvGraphicFramePr>
              <a:graphicFrameLocks noChangeAspect="1"/>
            </wp:cNvGraphicFramePr>
            <a:graphic>
              <a:graphicData uri="http://schemas.openxmlformats.org/drawingml/2006/picture">
                <pic:pic>
                  <pic:nvPicPr>
                    <pic:cNvPr id="116" name="image158.jpeg"/>
                    <pic:cNvPicPr/>
                  </pic:nvPicPr>
                  <pic:blipFill>
                    <a:blip r:embed="rId362" cstate="print"/>
                    <a:stretch>
                      <a:fillRect/>
                    </a:stretch>
                  </pic:blipFill>
                  <pic:spPr>
                    <a:xfrm>
                      <a:off x="0" y="0"/>
                      <a:ext cx="5739342" cy="3420999"/>
                    </a:xfrm>
                    <a:prstGeom prst="rect">
                      <a:avLst/>
                    </a:prstGeom>
                  </pic:spPr>
                </pic:pic>
              </a:graphicData>
            </a:graphic>
          </wp:anchor>
        </w:drawing>
      </w:r>
    </w:p>
    <w:p>
      <w:pPr>
        <w:spacing w:before="129"/>
        <w:ind w:left="1133" w:right="0" w:firstLine="0"/>
        <w:jc w:val="left"/>
        <w:rPr>
          <w:b/>
          <w:sz w:val="24"/>
        </w:rPr>
      </w:pPr>
      <w:r>
        <w:rPr>
          <w:b/>
          <w:sz w:val="24"/>
        </w:rPr>
        <w:t>Figure 51: NLOS shadowing Inter-Packet Gap CDF</w:t>
      </w:r>
    </w:p>
    <w:p>
      <w:pPr>
        <w:pStyle w:val="BodyText"/>
        <w:rPr>
          <w:b/>
        </w:rPr>
      </w:pPr>
    </w:p>
    <w:p>
      <w:pPr>
        <w:pStyle w:val="BodyText"/>
        <w:rPr>
          <w:b/>
        </w:rPr>
      </w:pPr>
    </w:p>
    <w:p>
      <w:pPr>
        <w:pStyle w:val="BodyText"/>
        <w:rPr>
          <w:b/>
        </w:rPr>
      </w:pPr>
    </w:p>
    <w:p>
      <w:pPr>
        <w:pStyle w:val="BodyText"/>
        <w:spacing w:before="3"/>
        <w:rPr>
          <w:b/>
          <w:sz w:val="14"/>
        </w:rPr>
      </w:pPr>
      <w:r>
        <w:rPr/>
        <w:drawing>
          <wp:anchor distT="0" distB="0" distL="0" distR="0" allowOverlap="1" layoutInCell="1" locked="0" behindDoc="0" simplePos="0" relativeHeight="7912">
            <wp:simplePos x="0" y="0"/>
            <wp:positionH relativeFrom="page">
              <wp:posOffset>719455</wp:posOffset>
            </wp:positionH>
            <wp:positionV relativeFrom="paragraph">
              <wp:posOffset>129080</wp:posOffset>
            </wp:positionV>
            <wp:extent cx="5735766" cy="3448621"/>
            <wp:effectExtent l="0" t="0" r="0" b="0"/>
            <wp:wrapTopAndBottom/>
            <wp:docPr id="117" name="image159.jpeg" descr=""/>
            <wp:cNvGraphicFramePr>
              <a:graphicFrameLocks noChangeAspect="1"/>
            </wp:cNvGraphicFramePr>
            <a:graphic>
              <a:graphicData uri="http://schemas.openxmlformats.org/drawingml/2006/picture">
                <pic:pic>
                  <pic:nvPicPr>
                    <pic:cNvPr id="118" name="image159.jpeg"/>
                    <pic:cNvPicPr/>
                  </pic:nvPicPr>
                  <pic:blipFill>
                    <a:blip r:embed="rId363" cstate="print"/>
                    <a:stretch>
                      <a:fillRect/>
                    </a:stretch>
                  </pic:blipFill>
                  <pic:spPr>
                    <a:xfrm>
                      <a:off x="0" y="0"/>
                      <a:ext cx="5735766" cy="3448621"/>
                    </a:xfrm>
                    <a:prstGeom prst="rect">
                      <a:avLst/>
                    </a:prstGeom>
                  </pic:spPr>
                </pic:pic>
              </a:graphicData>
            </a:graphic>
          </wp:anchor>
        </w:drawing>
      </w:r>
    </w:p>
    <w:p>
      <w:pPr>
        <w:spacing w:after="0"/>
        <w:rPr>
          <w:sz w:val="14"/>
        </w:rPr>
        <w:sectPr>
          <w:headerReference w:type="default" r:id="rId361"/>
          <w:pgSz w:w="11910" w:h="16850"/>
          <w:pgMar w:header="852" w:footer="979" w:top="1040" w:bottom="1160" w:left="0" w:right="0"/>
        </w:sectPr>
      </w:pPr>
    </w:p>
    <w:p>
      <w:pPr>
        <w:pStyle w:val="BodyText"/>
        <w:spacing w:before="1"/>
        <w:rPr>
          <w:b/>
          <w:sz w:val="23"/>
        </w:rPr>
      </w:pPr>
    </w:p>
    <w:p>
      <w:pPr>
        <w:pStyle w:val="Heading4"/>
        <w:spacing w:before="93"/>
        <w:ind w:right="1130"/>
        <w:jc w:val="both"/>
      </w:pPr>
      <w:r>
        <w:rPr/>
        <w:t>Figure 52: NLOS shadowing average Inter-Packet Gap at the SV as a function of distance between the SV and MV</w:t>
      </w:r>
    </w:p>
    <w:p>
      <w:pPr>
        <w:pStyle w:val="BodyText"/>
        <w:rPr>
          <w:b/>
        </w:rPr>
      </w:pPr>
    </w:p>
    <w:p>
      <w:pPr>
        <w:pStyle w:val="BodyText"/>
        <w:spacing w:before="8"/>
        <w:rPr>
          <w:b/>
          <w:sz w:val="18"/>
        </w:rPr>
      </w:pPr>
      <w:r>
        <w:rPr/>
        <w:drawing>
          <wp:anchor distT="0" distB="0" distL="0" distR="0" allowOverlap="1" layoutInCell="1" locked="0" behindDoc="0" simplePos="0" relativeHeight="7936">
            <wp:simplePos x="0" y="0"/>
            <wp:positionH relativeFrom="page">
              <wp:posOffset>751205</wp:posOffset>
            </wp:positionH>
            <wp:positionV relativeFrom="paragraph">
              <wp:posOffset>161353</wp:posOffset>
            </wp:positionV>
            <wp:extent cx="5949180" cy="3554253"/>
            <wp:effectExtent l="0" t="0" r="0" b="0"/>
            <wp:wrapTopAndBottom/>
            <wp:docPr id="119" name="image160.png" descr=""/>
            <wp:cNvGraphicFramePr>
              <a:graphicFrameLocks noChangeAspect="1"/>
            </wp:cNvGraphicFramePr>
            <a:graphic>
              <a:graphicData uri="http://schemas.openxmlformats.org/drawingml/2006/picture">
                <pic:pic>
                  <pic:nvPicPr>
                    <pic:cNvPr id="120" name="image160.png"/>
                    <pic:cNvPicPr/>
                  </pic:nvPicPr>
                  <pic:blipFill>
                    <a:blip r:embed="rId365" cstate="print"/>
                    <a:stretch>
                      <a:fillRect/>
                    </a:stretch>
                  </pic:blipFill>
                  <pic:spPr>
                    <a:xfrm>
                      <a:off x="0" y="0"/>
                      <a:ext cx="5949180" cy="3554253"/>
                    </a:xfrm>
                    <a:prstGeom prst="rect">
                      <a:avLst/>
                    </a:prstGeom>
                  </pic:spPr>
                </pic:pic>
              </a:graphicData>
            </a:graphic>
          </wp:anchor>
        </w:drawing>
      </w:r>
    </w:p>
    <w:p>
      <w:pPr>
        <w:spacing w:before="82"/>
        <w:ind w:left="1133" w:right="0" w:firstLine="0"/>
        <w:jc w:val="both"/>
        <w:rPr>
          <w:b/>
          <w:sz w:val="24"/>
        </w:rPr>
      </w:pPr>
      <w:r>
        <w:rPr>
          <w:b/>
          <w:sz w:val="24"/>
        </w:rPr>
        <w:t>Figure 53: NLOS shadowing Inter-Packet Gap CDF</w:t>
      </w:r>
    </w:p>
    <w:p>
      <w:pPr>
        <w:pStyle w:val="BodyText"/>
        <w:rPr>
          <w:b/>
          <w:sz w:val="26"/>
        </w:rPr>
      </w:pPr>
    </w:p>
    <w:p>
      <w:pPr>
        <w:pStyle w:val="BodyText"/>
        <w:spacing w:before="182"/>
        <w:ind w:left="1133" w:right="1136"/>
        <w:jc w:val="both"/>
      </w:pPr>
      <w:r>
        <w:rPr/>
        <w:t>Figure 54 illustrates RSSI measured by the SV DSRC OBU for the 5 dBm and 11 dBm effective power levels for</w:t>
      </w:r>
      <w:r>
        <w:rPr>
          <w:spacing w:val="-11"/>
        </w:rPr>
        <w:t> </w:t>
      </w:r>
      <w:r>
        <w:rPr/>
        <w:t>the</w:t>
      </w:r>
      <w:r>
        <w:rPr>
          <w:spacing w:val="-12"/>
        </w:rPr>
        <w:t> </w:t>
      </w:r>
      <w:r>
        <w:rPr/>
        <w:t>NLOS</w:t>
      </w:r>
      <w:r>
        <w:rPr>
          <w:spacing w:val="-12"/>
        </w:rPr>
        <w:t> </w:t>
      </w:r>
      <w:r>
        <w:rPr/>
        <w:t>shadowing</w:t>
      </w:r>
      <w:r>
        <w:rPr>
          <w:spacing w:val="-12"/>
        </w:rPr>
        <w:t> </w:t>
      </w:r>
      <w:r>
        <w:rPr/>
        <w:t>test.</w:t>
      </w:r>
      <w:r>
        <w:rPr>
          <w:spacing w:val="-12"/>
        </w:rPr>
        <w:t> </w:t>
      </w:r>
      <w:r>
        <w:rPr/>
        <w:t>The</w:t>
      </w:r>
      <w:r>
        <w:rPr>
          <w:spacing w:val="-12"/>
        </w:rPr>
        <w:t> </w:t>
      </w:r>
      <w:r>
        <w:rPr/>
        <w:t>two</w:t>
      </w:r>
      <w:r>
        <w:rPr>
          <w:spacing w:val="-12"/>
        </w:rPr>
        <w:t> </w:t>
      </w:r>
      <w:r>
        <w:rPr/>
        <w:t>curves</w:t>
      </w:r>
      <w:r>
        <w:rPr>
          <w:spacing w:val="-11"/>
        </w:rPr>
        <w:t> </w:t>
      </w:r>
      <w:r>
        <w:rPr/>
        <w:t>are</w:t>
      </w:r>
      <w:r>
        <w:rPr>
          <w:spacing w:val="-11"/>
        </w:rPr>
        <w:t> </w:t>
      </w:r>
      <w:r>
        <w:rPr/>
        <w:t>consistent</w:t>
      </w:r>
      <w:r>
        <w:rPr>
          <w:spacing w:val="-9"/>
        </w:rPr>
        <w:t> </w:t>
      </w:r>
      <w:r>
        <w:rPr/>
        <w:t>with</w:t>
      </w:r>
      <w:r>
        <w:rPr>
          <w:spacing w:val="-12"/>
        </w:rPr>
        <w:t> </w:t>
      </w:r>
      <w:r>
        <w:rPr/>
        <w:t>the</w:t>
      </w:r>
      <w:r>
        <w:rPr>
          <w:spacing w:val="-12"/>
        </w:rPr>
        <w:t> </w:t>
      </w:r>
      <w:r>
        <w:rPr/>
        <w:t>corresponding</w:t>
      </w:r>
      <w:r>
        <w:rPr>
          <w:spacing w:val="-12"/>
        </w:rPr>
        <w:t> </w:t>
      </w:r>
      <w:r>
        <w:rPr/>
        <w:t>DSRC</w:t>
      </w:r>
      <w:r>
        <w:rPr>
          <w:spacing w:val="-11"/>
        </w:rPr>
        <w:t> </w:t>
      </w:r>
      <w:r>
        <w:rPr/>
        <w:t>PRR</w:t>
      </w:r>
      <w:r>
        <w:rPr>
          <w:spacing w:val="-11"/>
        </w:rPr>
        <w:t> </w:t>
      </w:r>
      <w:r>
        <w:rPr/>
        <w:t>plots</w:t>
      </w:r>
      <w:r>
        <w:rPr>
          <w:spacing w:val="-9"/>
        </w:rPr>
        <w:t> </w:t>
      </w:r>
      <w:r>
        <w:rPr/>
        <w:t>in</w:t>
      </w:r>
      <w:r>
        <w:rPr>
          <w:spacing w:val="-12"/>
        </w:rPr>
        <w:t> </w:t>
      </w:r>
      <w:r>
        <w:rPr/>
        <w:t>Figure 49 showing approximately 100 m extended reception for the higher power</w:t>
      </w:r>
      <w:r>
        <w:rPr>
          <w:spacing w:val="-18"/>
        </w:rPr>
        <w:t> </w:t>
      </w:r>
      <w:r>
        <w:rPr/>
        <w:t>level.</w:t>
      </w:r>
    </w:p>
    <w:p>
      <w:pPr>
        <w:pStyle w:val="BodyText"/>
      </w:pPr>
    </w:p>
    <w:p>
      <w:pPr>
        <w:pStyle w:val="BodyText"/>
        <w:rPr>
          <w:sz w:val="28"/>
        </w:rPr>
      </w:pPr>
      <w:r>
        <w:rPr/>
        <w:pict>
          <v:group style="position:absolute;margin-left:56.650002pt;margin-top:18.085041pt;width:388.1pt;height:229.15pt;mso-position-horizontal-relative:page;mso-position-vertical-relative:paragraph;z-index:7960;mso-wrap-distance-left:0;mso-wrap-distance-right:0" coordorigin="1133,362" coordsize="7762,4583">
            <v:shape style="position:absolute;left:1133;top:362;width:7295;height:4582" type="#_x0000_t75" stroked="false">
              <v:imagedata r:id="rId366" o:title=""/>
            </v:shape>
            <v:shape style="position:absolute;left:6585;top:781;width:2310;height:585" type="#_x0000_t75" stroked="false">
              <v:imagedata r:id="rId351" o:title=""/>
            </v:shape>
            <w10:wrap type="topAndBottom"/>
          </v:group>
        </w:pict>
      </w:r>
    </w:p>
    <w:p>
      <w:pPr>
        <w:pStyle w:val="Heading4"/>
        <w:spacing w:before="95"/>
        <w:ind w:right="1131" w:firstLine="67"/>
        <w:jc w:val="both"/>
      </w:pPr>
      <w:r>
        <w:rPr/>
        <w:t>Figure 54: NLOS shadowing DSRC RSSI at the SV as a function of distance between the SV and MV</w:t>
      </w:r>
    </w:p>
    <w:p>
      <w:pPr>
        <w:spacing w:after="0"/>
        <w:jc w:val="both"/>
        <w:sectPr>
          <w:headerReference w:type="default" r:id="rId364"/>
          <w:pgSz w:w="11910" w:h="16850"/>
          <w:pgMar w:header="852" w:footer="979" w:top="1040" w:bottom="1160" w:left="0" w:right="0"/>
        </w:sectPr>
      </w:pPr>
    </w:p>
    <w:p>
      <w:pPr>
        <w:pStyle w:val="BodyText"/>
        <w:rPr>
          <w:b/>
        </w:rPr>
      </w:pPr>
    </w:p>
    <w:p>
      <w:pPr>
        <w:pStyle w:val="BodyText"/>
        <w:rPr>
          <w:b/>
        </w:rPr>
      </w:pPr>
    </w:p>
    <w:p>
      <w:pPr>
        <w:pStyle w:val="BodyText"/>
        <w:spacing w:before="3"/>
        <w:rPr>
          <w:b/>
          <w:sz w:val="29"/>
        </w:rPr>
      </w:pPr>
    </w:p>
    <w:p>
      <w:pPr>
        <w:pStyle w:val="Heading5"/>
        <w:numPr>
          <w:ilvl w:val="3"/>
          <w:numId w:val="50"/>
        </w:numPr>
        <w:tabs>
          <w:tab w:pos="2552" w:val="left" w:leader="none"/>
        </w:tabs>
        <w:spacing w:line="240" w:lineRule="auto" w:before="92" w:after="0"/>
        <w:ind w:left="2551" w:right="0" w:hanging="1418"/>
        <w:jc w:val="both"/>
        <w:rPr>
          <w:rFonts w:ascii="Arial"/>
        </w:rPr>
      </w:pPr>
      <w:r>
        <w:rPr>
          <w:rFonts w:ascii="Arial"/>
        </w:rPr>
        <w:t>NLOS Intersection Test and</w:t>
      </w:r>
      <w:r>
        <w:rPr>
          <w:rFonts w:ascii="Arial"/>
          <w:spacing w:val="-11"/>
        </w:rPr>
        <w:t> </w:t>
      </w:r>
      <w:r>
        <w:rPr>
          <w:rFonts w:ascii="Arial"/>
        </w:rPr>
        <w:t>Results</w:t>
      </w:r>
    </w:p>
    <w:p>
      <w:pPr>
        <w:pStyle w:val="BodyText"/>
        <w:spacing w:before="181"/>
        <w:ind w:left="1133" w:right="1130"/>
        <w:jc w:val="both"/>
      </w:pPr>
      <w:r>
        <w:rPr/>
        <w:t>Figure 55 shows the NLOS intersection test setup. The test was performed with the full distance of Road A test</w:t>
      </w:r>
      <w:r>
        <w:rPr>
          <w:spacing w:val="-10"/>
        </w:rPr>
        <w:t> </w:t>
      </w:r>
      <w:r>
        <w:rPr/>
        <w:t>track</w:t>
      </w:r>
      <w:r>
        <w:rPr>
          <w:spacing w:val="-9"/>
        </w:rPr>
        <w:t> </w:t>
      </w:r>
      <w:r>
        <w:rPr/>
        <w:t>(D=1.35</w:t>
      </w:r>
      <w:r>
        <w:rPr>
          <w:spacing w:val="-10"/>
        </w:rPr>
        <w:t> </w:t>
      </w:r>
      <w:r>
        <w:rPr/>
        <w:t>km).</w:t>
      </w:r>
      <w:r>
        <w:rPr>
          <w:spacing w:val="-10"/>
        </w:rPr>
        <w:t> </w:t>
      </w:r>
      <w:r>
        <w:rPr/>
        <w:t>SV</w:t>
      </w:r>
      <w:r>
        <w:rPr>
          <w:spacing w:val="-11"/>
        </w:rPr>
        <w:t> </w:t>
      </w:r>
      <w:r>
        <w:rPr/>
        <w:t>is</w:t>
      </w:r>
      <w:r>
        <w:rPr>
          <w:spacing w:val="-9"/>
        </w:rPr>
        <w:t> </w:t>
      </w:r>
      <w:r>
        <w:rPr/>
        <w:t>placed</w:t>
      </w:r>
      <w:r>
        <w:rPr>
          <w:spacing w:val="-11"/>
        </w:rPr>
        <w:t> </w:t>
      </w:r>
      <w:r>
        <w:rPr/>
        <w:t>between</w:t>
      </w:r>
      <w:r>
        <w:rPr>
          <w:spacing w:val="-11"/>
        </w:rPr>
        <w:t> </w:t>
      </w:r>
      <w:r>
        <w:rPr/>
        <w:t>two</w:t>
      </w:r>
      <w:r>
        <w:rPr>
          <w:spacing w:val="-10"/>
        </w:rPr>
        <w:t> </w:t>
      </w:r>
      <w:r>
        <w:rPr/>
        <w:t>large</w:t>
      </w:r>
      <w:r>
        <w:rPr>
          <w:spacing w:val="-8"/>
        </w:rPr>
        <w:t> </w:t>
      </w:r>
      <w:r>
        <w:rPr/>
        <w:t>blocking</w:t>
      </w:r>
      <w:r>
        <w:rPr>
          <w:spacing w:val="-11"/>
        </w:rPr>
        <w:t> </w:t>
      </w:r>
      <w:r>
        <w:rPr/>
        <w:t>objects</w:t>
      </w:r>
      <w:r>
        <w:rPr>
          <w:spacing w:val="-9"/>
        </w:rPr>
        <w:t> </w:t>
      </w:r>
      <w:r>
        <w:rPr/>
        <w:t>(trucks).</w:t>
      </w:r>
      <w:r>
        <w:rPr>
          <w:spacing w:val="-13"/>
        </w:rPr>
        <w:t> </w:t>
      </w:r>
      <w:r>
        <w:rPr/>
        <w:t>Two</w:t>
      </w:r>
      <w:r>
        <w:rPr>
          <w:spacing w:val="-10"/>
        </w:rPr>
        <w:t> </w:t>
      </w:r>
      <w:r>
        <w:rPr/>
        <w:t>26-ft</w:t>
      </w:r>
      <w:r>
        <w:rPr>
          <w:spacing w:val="-10"/>
        </w:rPr>
        <w:t> </w:t>
      </w:r>
      <w:r>
        <w:rPr/>
        <w:t>U-Haul</w:t>
      </w:r>
      <w:r>
        <w:rPr>
          <w:spacing w:val="-12"/>
        </w:rPr>
        <w:t> </w:t>
      </w:r>
      <w:r>
        <w:rPr/>
        <w:t>trucks</w:t>
      </w:r>
      <w:r>
        <w:rPr>
          <w:spacing w:val="-9"/>
        </w:rPr>
        <w:t> </w:t>
      </w:r>
      <w:r>
        <w:rPr/>
        <w:t>were used for the intersection tests. In the approach from the left, the MV starts in front of the SV and moves away in the lane perpendicular to the SV at a constant speed of 20 mph, simulating an intersection scenario. At the end of the test track it performs a U-turn and moves back in the neighboring lane. After passing by SV in the opposite direction it performs a U-turn and gets into the initial position without stopping. The blockers are placed 2.1 m from either side of the</w:t>
      </w:r>
      <w:r>
        <w:rPr>
          <w:spacing w:val="-13"/>
        </w:rPr>
        <w:t> </w:t>
      </w:r>
      <w:r>
        <w:rPr/>
        <w:t>SV.</w:t>
      </w:r>
    </w:p>
    <w:p>
      <w:pPr>
        <w:pStyle w:val="BodyText"/>
        <w:spacing w:before="6"/>
        <w:rPr>
          <w:sz w:val="12"/>
        </w:rPr>
      </w:pPr>
      <w:r>
        <w:rPr/>
        <w:drawing>
          <wp:anchor distT="0" distB="0" distL="0" distR="0" allowOverlap="1" layoutInCell="1" locked="0" behindDoc="0" simplePos="0" relativeHeight="7984">
            <wp:simplePos x="0" y="0"/>
            <wp:positionH relativeFrom="page">
              <wp:posOffset>751205</wp:posOffset>
            </wp:positionH>
            <wp:positionV relativeFrom="paragraph">
              <wp:posOffset>116192</wp:posOffset>
            </wp:positionV>
            <wp:extent cx="5301256" cy="3666458"/>
            <wp:effectExtent l="0" t="0" r="0" b="0"/>
            <wp:wrapTopAndBottom/>
            <wp:docPr id="121" name="image162.png" descr=""/>
            <wp:cNvGraphicFramePr>
              <a:graphicFrameLocks noChangeAspect="1"/>
            </wp:cNvGraphicFramePr>
            <a:graphic>
              <a:graphicData uri="http://schemas.openxmlformats.org/drawingml/2006/picture">
                <pic:pic>
                  <pic:nvPicPr>
                    <pic:cNvPr id="122" name="image162.png"/>
                    <pic:cNvPicPr/>
                  </pic:nvPicPr>
                  <pic:blipFill>
                    <a:blip r:embed="rId368" cstate="print"/>
                    <a:stretch>
                      <a:fillRect/>
                    </a:stretch>
                  </pic:blipFill>
                  <pic:spPr>
                    <a:xfrm>
                      <a:off x="0" y="0"/>
                      <a:ext cx="5301256" cy="3666458"/>
                    </a:xfrm>
                    <a:prstGeom prst="rect">
                      <a:avLst/>
                    </a:prstGeom>
                  </pic:spPr>
                </pic:pic>
              </a:graphicData>
            </a:graphic>
          </wp:anchor>
        </w:drawing>
      </w:r>
    </w:p>
    <w:p>
      <w:pPr>
        <w:pStyle w:val="Heading4"/>
        <w:spacing w:before="103"/>
        <w:jc w:val="both"/>
      </w:pPr>
      <w:r>
        <w:rPr/>
        <w:t>Figure 55: NLOS test setup for the approach from the left.</w:t>
      </w:r>
    </w:p>
    <w:p>
      <w:pPr>
        <w:spacing w:after="0"/>
        <w:jc w:val="both"/>
        <w:sectPr>
          <w:headerReference w:type="default" r:id="rId367"/>
          <w:pgSz w:w="11910" w:h="16850"/>
          <w:pgMar w:header="852" w:footer="979" w:top="1040" w:bottom="1160" w:left="0" w:right="0"/>
        </w:sectPr>
      </w:pPr>
    </w:p>
    <w:p>
      <w:pPr>
        <w:pStyle w:val="BodyText"/>
        <w:rPr>
          <w:b/>
        </w:rPr>
      </w:pPr>
    </w:p>
    <w:p>
      <w:pPr>
        <w:pStyle w:val="BodyText"/>
        <w:spacing w:before="6"/>
        <w:rPr>
          <w:b/>
          <w:sz w:val="11"/>
        </w:rPr>
      </w:pPr>
    </w:p>
    <w:p>
      <w:pPr>
        <w:pStyle w:val="BodyText"/>
        <w:ind w:left="1183"/>
      </w:pPr>
      <w:r>
        <w:rPr/>
        <w:drawing>
          <wp:inline distT="0" distB="0" distL="0" distR="0">
            <wp:extent cx="5074393" cy="2826353"/>
            <wp:effectExtent l="0" t="0" r="0" b="0"/>
            <wp:docPr id="123" name="image163.jpeg" descr=""/>
            <wp:cNvGraphicFramePr>
              <a:graphicFrameLocks noChangeAspect="1"/>
            </wp:cNvGraphicFramePr>
            <a:graphic>
              <a:graphicData uri="http://schemas.openxmlformats.org/drawingml/2006/picture">
                <pic:pic>
                  <pic:nvPicPr>
                    <pic:cNvPr id="124" name="image163.jpeg"/>
                    <pic:cNvPicPr/>
                  </pic:nvPicPr>
                  <pic:blipFill>
                    <a:blip r:embed="rId370" cstate="print"/>
                    <a:stretch>
                      <a:fillRect/>
                    </a:stretch>
                  </pic:blipFill>
                  <pic:spPr>
                    <a:xfrm>
                      <a:off x="0" y="0"/>
                      <a:ext cx="5074393" cy="2826353"/>
                    </a:xfrm>
                    <a:prstGeom prst="rect">
                      <a:avLst/>
                    </a:prstGeom>
                  </pic:spPr>
                </pic:pic>
              </a:graphicData>
            </a:graphic>
          </wp:inline>
        </w:drawing>
      </w:r>
      <w:r>
        <w:rPr/>
      </w:r>
    </w:p>
    <w:p>
      <w:pPr>
        <w:pStyle w:val="Heading4"/>
        <w:spacing w:line="274" w:lineRule="exact" w:before="142"/>
        <w:ind w:right="1126"/>
        <w:jc w:val="both"/>
      </w:pPr>
      <w:r>
        <w:rPr/>
        <w:t>Figure 56: Map of the north circle at FPG Road A showing NLOS intersection test setup</w:t>
      </w:r>
    </w:p>
    <w:p>
      <w:pPr>
        <w:pStyle w:val="BodyText"/>
        <w:rPr>
          <w:b/>
          <w:sz w:val="26"/>
        </w:rPr>
      </w:pPr>
    </w:p>
    <w:p>
      <w:pPr>
        <w:pStyle w:val="BodyText"/>
        <w:tabs>
          <w:tab w:pos="2270" w:val="left" w:leader="none"/>
        </w:tabs>
        <w:spacing w:before="178"/>
        <w:ind w:left="1421"/>
      </w:pPr>
      <w:r>
        <w:rPr/>
        <w:t>NOTE:</w:t>
        <w:tab/>
        <w:t>The red vehicle is the SV, the blue vehicle is the MV and the grey blockers are U-Haul</w:t>
      </w:r>
      <w:r>
        <w:rPr>
          <w:spacing w:val="-18"/>
        </w:rPr>
        <w:t> </w:t>
      </w:r>
      <w:r>
        <w:rPr/>
        <w:t>trucks.</w:t>
      </w:r>
    </w:p>
    <w:p>
      <w:pPr>
        <w:pStyle w:val="BodyText"/>
        <w:spacing w:before="180"/>
        <w:ind w:left="1133" w:right="1130"/>
        <w:jc w:val="both"/>
      </w:pPr>
      <w:r>
        <w:rPr/>
        <w:t>In</w:t>
      </w:r>
      <w:r>
        <w:rPr>
          <w:spacing w:val="-8"/>
        </w:rPr>
        <w:t> </w:t>
      </w:r>
      <w:r>
        <w:rPr/>
        <w:t>Figure</w:t>
      </w:r>
      <w:r>
        <w:rPr>
          <w:spacing w:val="-5"/>
        </w:rPr>
        <w:t> </w:t>
      </w:r>
      <w:r>
        <w:rPr/>
        <w:t>57,</w:t>
      </w:r>
      <w:r>
        <w:rPr>
          <w:spacing w:val="-3"/>
        </w:rPr>
        <w:t> </w:t>
      </w:r>
      <w:r>
        <w:rPr/>
        <w:t>we</w:t>
      </w:r>
      <w:r>
        <w:rPr>
          <w:spacing w:val="-8"/>
        </w:rPr>
        <w:t> </w:t>
      </w:r>
      <w:r>
        <w:rPr/>
        <w:t>show</w:t>
      </w:r>
      <w:r>
        <w:rPr>
          <w:spacing w:val="-7"/>
        </w:rPr>
        <w:t> </w:t>
      </w:r>
      <w:r>
        <w:rPr/>
        <w:t>average</w:t>
      </w:r>
      <w:r>
        <w:rPr>
          <w:spacing w:val="-6"/>
        </w:rPr>
        <w:t> </w:t>
      </w:r>
      <w:r>
        <w:rPr/>
        <w:t>Packet</w:t>
      </w:r>
      <w:r>
        <w:rPr>
          <w:spacing w:val="-8"/>
        </w:rPr>
        <w:t> </w:t>
      </w:r>
      <w:r>
        <w:rPr/>
        <w:t>Reception</w:t>
      </w:r>
      <w:r>
        <w:rPr>
          <w:spacing w:val="-8"/>
        </w:rPr>
        <w:t> </w:t>
      </w:r>
      <w:r>
        <w:rPr/>
        <w:t>Ratio</w:t>
      </w:r>
      <w:r>
        <w:rPr>
          <w:spacing w:val="-8"/>
        </w:rPr>
        <w:t> </w:t>
      </w:r>
      <w:r>
        <w:rPr/>
        <w:t>at</w:t>
      </w:r>
      <w:r>
        <w:rPr>
          <w:spacing w:val="-6"/>
        </w:rPr>
        <w:t> </w:t>
      </w:r>
      <w:r>
        <w:rPr/>
        <w:t>the</w:t>
      </w:r>
      <w:r>
        <w:rPr>
          <w:spacing w:val="-6"/>
        </w:rPr>
        <w:t> </w:t>
      </w:r>
      <w:r>
        <w:rPr/>
        <w:t>stationary</w:t>
      </w:r>
      <w:r>
        <w:rPr>
          <w:spacing w:val="-9"/>
        </w:rPr>
        <w:t> </w:t>
      </w:r>
      <w:r>
        <w:rPr/>
        <w:t>vehicle</w:t>
      </w:r>
      <w:r>
        <w:rPr>
          <w:spacing w:val="-8"/>
        </w:rPr>
        <w:t> </w:t>
      </w:r>
      <w:r>
        <w:rPr/>
        <w:t>(SV)</w:t>
      </w:r>
      <w:r>
        <w:rPr>
          <w:spacing w:val="-5"/>
        </w:rPr>
        <w:t> </w:t>
      </w:r>
      <w:r>
        <w:rPr/>
        <w:t>while</w:t>
      </w:r>
      <w:r>
        <w:rPr>
          <w:spacing w:val="-6"/>
        </w:rPr>
        <w:t> </w:t>
      </w:r>
      <w:r>
        <w:rPr/>
        <w:t>the</w:t>
      </w:r>
      <w:r>
        <w:rPr>
          <w:spacing w:val="-6"/>
        </w:rPr>
        <w:t> </w:t>
      </w:r>
      <w:r>
        <w:rPr/>
        <w:t>moving</w:t>
      </w:r>
      <w:r>
        <w:rPr>
          <w:spacing w:val="-6"/>
        </w:rPr>
        <w:t> </w:t>
      </w:r>
      <w:r>
        <w:rPr/>
        <w:t>vehicle (MV) is approaching as a function of distance between the vehicles averaged over all the loops. Using 90% PRR threshold, DSRC and C-V2X ranges are 375 m and 875 m, respectively. In Figure 58 we show average Inter-Packet Gap (IPG) as a function of distance between SV and MV observed by SV for both technologies. Small</w:t>
      </w:r>
      <w:r>
        <w:rPr>
          <w:spacing w:val="-6"/>
        </w:rPr>
        <w:t> </w:t>
      </w:r>
      <w:r>
        <w:rPr/>
        <w:t>spikes</w:t>
      </w:r>
      <w:r>
        <w:rPr>
          <w:spacing w:val="-5"/>
        </w:rPr>
        <w:t> </w:t>
      </w:r>
      <w:r>
        <w:rPr/>
        <w:t>in</w:t>
      </w:r>
      <w:r>
        <w:rPr>
          <w:spacing w:val="-6"/>
        </w:rPr>
        <w:t> </w:t>
      </w:r>
      <w:r>
        <w:rPr/>
        <w:t>average</w:t>
      </w:r>
      <w:r>
        <w:rPr>
          <w:spacing w:val="-6"/>
        </w:rPr>
        <w:t> </w:t>
      </w:r>
      <w:r>
        <w:rPr/>
        <w:t>IPG</w:t>
      </w:r>
      <w:r>
        <w:rPr>
          <w:spacing w:val="-4"/>
        </w:rPr>
        <w:t> </w:t>
      </w:r>
      <w:r>
        <w:rPr/>
        <w:t>indicate</w:t>
      </w:r>
      <w:r>
        <w:rPr>
          <w:spacing w:val="-6"/>
        </w:rPr>
        <w:t> </w:t>
      </w:r>
      <w:r>
        <w:rPr/>
        <w:t>isolated</w:t>
      </w:r>
      <w:r>
        <w:rPr>
          <w:spacing w:val="-6"/>
        </w:rPr>
        <w:t> </w:t>
      </w:r>
      <w:r>
        <w:rPr/>
        <w:t>packet</w:t>
      </w:r>
      <w:r>
        <w:rPr>
          <w:spacing w:val="-6"/>
        </w:rPr>
        <w:t> </w:t>
      </w:r>
      <w:r>
        <w:rPr/>
        <w:t>error</w:t>
      </w:r>
      <w:r>
        <w:rPr>
          <w:spacing w:val="-5"/>
        </w:rPr>
        <w:t> </w:t>
      </w:r>
      <w:r>
        <w:rPr/>
        <w:t>which</w:t>
      </w:r>
      <w:r>
        <w:rPr>
          <w:spacing w:val="-3"/>
        </w:rPr>
        <w:t> </w:t>
      </w:r>
      <w:r>
        <w:rPr/>
        <w:t>is</w:t>
      </w:r>
      <w:r>
        <w:rPr>
          <w:spacing w:val="-4"/>
        </w:rPr>
        <w:t> </w:t>
      </w:r>
      <w:r>
        <w:rPr/>
        <w:t>consistent</w:t>
      </w:r>
      <w:r>
        <w:rPr>
          <w:spacing w:val="-3"/>
        </w:rPr>
        <w:t> </w:t>
      </w:r>
      <w:r>
        <w:rPr/>
        <w:t>with</w:t>
      </w:r>
      <w:r>
        <w:rPr>
          <w:spacing w:val="-4"/>
        </w:rPr>
        <w:t> </w:t>
      </w:r>
      <w:r>
        <w:rPr/>
        <w:t>the</w:t>
      </w:r>
      <w:r>
        <w:rPr>
          <w:spacing w:val="-6"/>
        </w:rPr>
        <w:t> </w:t>
      </w:r>
      <w:r>
        <w:rPr/>
        <w:t>1</w:t>
      </w:r>
      <w:r>
        <w:rPr>
          <w:spacing w:val="-6"/>
        </w:rPr>
        <w:t> </w:t>
      </w:r>
      <w:r>
        <w:rPr/>
        <w:t>to</w:t>
      </w:r>
      <w:r>
        <w:rPr>
          <w:spacing w:val="-6"/>
        </w:rPr>
        <w:t> </w:t>
      </w:r>
      <w:r>
        <w:rPr/>
        <w:t>2%</w:t>
      </w:r>
      <w:r>
        <w:rPr>
          <w:spacing w:val="-5"/>
        </w:rPr>
        <w:t> </w:t>
      </w:r>
      <w:r>
        <w:rPr/>
        <w:t>temporary</w:t>
      </w:r>
      <w:r>
        <w:rPr>
          <w:spacing w:val="-9"/>
        </w:rPr>
        <w:t> </w:t>
      </w:r>
      <w:r>
        <w:rPr/>
        <w:t>dips in</w:t>
      </w:r>
      <w:r>
        <w:rPr>
          <w:spacing w:val="-6"/>
        </w:rPr>
        <w:t> </w:t>
      </w:r>
      <w:r>
        <w:rPr/>
        <w:t>PRR</w:t>
      </w:r>
      <w:r>
        <w:rPr>
          <w:spacing w:val="-5"/>
        </w:rPr>
        <w:t> </w:t>
      </w:r>
      <w:r>
        <w:rPr/>
        <w:t>in</w:t>
      </w:r>
      <w:r>
        <w:rPr>
          <w:spacing w:val="-6"/>
        </w:rPr>
        <w:t> </w:t>
      </w:r>
      <w:r>
        <w:rPr/>
        <w:t>Figure</w:t>
      </w:r>
      <w:r>
        <w:rPr>
          <w:spacing w:val="-4"/>
        </w:rPr>
        <w:t> </w:t>
      </w:r>
      <w:r>
        <w:rPr/>
        <w:t>57.</w:t>
      </w:r>
      <w:r>
        <w:rPr>
          <w:spacing w:val="-3"/>
        </w:rPr>
        <w:t> </w:t>
      </w:r>
      <w:r>
        <w:rPr/>
        <w:t>Note</w:t>
      </w:r>
      <w:r>
        <w:rPr>
          <w:spacing w:val="-3"/>
        </w:rPr>
        <w:t> </w:t>
      </w:r>
      <w:r>
        <w:rPr/>
        <w:t>that</w:t>
      </w:r>
      <w:r>
        <w:rPr>
          <w:spacing w:val="-5"/>
        </w:rPr>
        <w:t> </w:t>
      </w:r>
      <w:r>
        <w:rPr/>
        <w:t>the</w:t>
      </w:r>
      <w:r>
        <w:rPr>
          <w:spacing w:val="-6"/>
        </w:rPr>
        <w:t> </w:t>
      </w:r>
      <w:r>
        <w:rPr/>
        <w:t>NLOS</w:t>
      </w:r>
      <w:r>
        <w:rPr>
          <w:spacing w:val="-6"/>
        </w:rPr>
        <w:t> </w:t>
      </w:r>
      <w:r>
        <w:rPr/>
        <w:t>intersection</w:t>
      </w:r>
      <w:r>
        <w:rPr>
          <w:spacing w:val="-6"/>
        </w:rPr>
        <w:t> </w:t>
      </w:r>
      <w:r>
        <w:rPr/>
        <w:t>test</w:t>
      </w:r>
      <w:r>
        <w:rPr>
          <w:spacing w:val="-5"/>
        </w:rPr>
        <w:t> </w:t>
      </w:r>
      <w:r>
        <w:rPr/>
        <w:t>was</w:t>
      </w:r>
      <w:r>
        <w:rPr>
          <w:spacing w:val="-4"/>
        </w:rPr>
        <w:t> </w:t>
      </w:r>
      <w:r>
        <w:rPr/>
        <w:t>less</w:t>
      </w:r>
      <w:r>
        <w:rPr>
          <w:spacing w:val="-4"/>
        </w:rPr>
        <w:t> </w:t>
      </w:r>
      <w:r>
        <w:rPr/>
        <w:t>demanding</w:t>
      </w:r>
      <w:r>
        <w:rPr>
          <w:spacing w:val="-6"/>
        </w:rPr>
        <w:t> </w:t>
      </w:r>
      <w:r>
        <w:rPr/>
        <w:t>than</w:t>
      </w:r>
      <w:r>
        <w:rPr>
          <w:spacing w:val="-6"/>
        </w:rPr>
        <w:t> </w:t>
      </w:r>
      <w:r>
        <w:rPr/>
        <w:t>the</w:t>
      </w:r>
      <w:r>
        <w:rPr>
          <w:spacing w:val="-3"/>
        </w:rPr>
        <w:t> </w:t>
      </w:r>
      <w:r>
        <w:rPr/>
        <w:t>NLOS</w:t>
      </w:r>
      <w:r>
        <w:rPr>
          <w:spacing w:val="-6"/>
        </w:rPr>
        <w:t> </w:t>
      </w:r>
      <w:r>
        <w:rPr/>
        <w:t>shadowing</w:t>
      </w:r>
      <w:r>
        <w:rPr>
          <w:spacing w:val="-6"/>
        </w:rPr>
        <w:t> </w:t>
      </w:r>
      <w:r>
        <w:rPr/>
        <w:t>test and that the range in this test is significantly higher than in the previous NLOS</w:t>
      </w:r>
      <w:r>
        <w:rPr>
          <w:spacing w:val="-25"/>
        </w:rPr>
        <w:t> </w:t>
      </w:r>
      <w:r>
        <w:rPr/>
        <w:t>test.</w:t>
      </w:r>
    </w:p>
    <w:p>
      <w:pPr>
        <w:pStyle w:val="BodyText"/>
      </w:pPr>
    </w:p>
    <w:p>
      <w:pPr>
        <w:pStyle w:val="BodyText"/>
        <w:rPr>
          <w:sz w:val="28"/>
        </w:rPr>
      </w:pPr>
      <w:r>
        <w:rPr/>
        <w:drawing>
          <wp:anchor distT="0" distB="0" distL="0" distR="0" allowOverlap="1" layoutInCell="1" locked="0" behindDoc="0" simplePos="0" relativeHeight="8008">
            <wp:simplePos x="0" y="0"/>
            <wp:positionH relativeFrom="page">
              <wp:posOffset>719455</wp:posOffset>
            </wp:positionH>
            <wp:positionV relativeFrom="paragraph">
              <wp:posOffset>229644</wp:posOffset>
            </wp:positionV>
            <wp:extent cx="5576341" cy="3208020"/>
            <wp:effectExtent l="0" t="0" r="0" b="0"/>
            <wp:wrapTopAndBottom/>
            <wp:docPr id="125" name="image164.png" descr=""/>
            <wp:cNvGraphicFramePr>
              <a:graphicFrameLocks noChangeAspect="1"/>
            </wp:cNvGraphicFramePr>
            <a:graphic>
              <a:graphicData uri="http://schemas.openxmlformats.org/drawingml/2006/picture">
                <pic:pic>
                  <pic:nvPicPr>
                    <pic:cNvPr id="126" name="image164.png"/>
                    <pic:cNvPicPr/>
                  </pic:nvPicPr>
                  <pic:blipFill>
                    <a:blip r:embed="rId371" cstate="print"/>
                    <a:stretch>
                      <a:fillRect/>
                    </a:stretch>
                  </pic:blipFill>
                  <pic:spPr>
                    <a:xfrm>
                      <a:off x="0" y="0"/>
                      <a:ext cx="5576341" cy="3208020"/>
                    </a:xfrm>
                    <a:prstGeom prst="rect">
                      <a:avLst/>
                    </a:prstGeom>
                  </pic:spPr>
                </pic:pic>
              </a:graphicData>
            </a:graphic>
          </wp:anchor>
        </w:drawing>
      </w:r>
    </w:p>
    <w:p>
      <w:pPr>
        <w:pStyle w:val="BodyText"/>
        <w:spacing w:before="7"/>
        <w:rPr>
          <w:sz w:val="24"/>
        </w:rPr>
      </w:pPr>
    </w:p>
    <w:p>
      <w:pPr>
        <w:pStyle w:val="Heading4"/>
        <w:ind w:right="1132"/>
        <w:jc w:val="both"/>
      </w:pPr>
      <w:r>
        <w:rPr/>
        <w:t>Figure 57: NLOS intersection average Packet Reception Ratio at the SV as a</w:t>
      </w:r>
      <w:r>
        <w:rPr>
          <w:spacing w:val="-38"/>
        </w:rPr>
        <w:t> </w:t>
      </w:r>
      <w:r>
        <w:rPr/>
        <w:t>function of distance between the SV and</w:t>
      </w:r>
      <w:r>
        <w:rPr>
          <w:spacing w:val="-11"/>
        </w:rPr>
        <w:t> </w:t>
      </w:r>
      <w:r>
        <w:rPr/>
        <w:t>MV</w:t>
      </w:r>
    </w:p>
    <w:p>
      <w:pPr>
        <w:spacing w:after="0"/>
        <w:jc w:val="both"/>
        <w:sectPr>
          <w:headerReference w:type="default" r:id="rId369"/>
          <w:pgSz w:w="11910" w:h="16850"/>
          <w:pgMar w:header="852" w:footer="979" w:top="1040" w:bottom="1160" w:left="0" w:right="0"/>
        </w:sectPr>
      </w:pPr>
    </w:p>
    <w:p>
      <w:pPr>
        <w:pStyle w:val="BodyText"/>
        <w:rPr>
          <w:b/>
        </w:rPr>
      </w:pPr>
    </w:p>
    <w:p>
      <w:pPr>
        <w:pStyle w:val="BodyText"/>
        <w:rPr>
          <w:b/>
        </w:rPr>
      </w:pPr>
    </w:p>
    <w:p>
      <w:pPr>
        <w:pStyle w:val="BodyText"/>
        <w:rPr>
          <w:b/>
        </w:rPr>
      </w:pPr>
    </w:p>
    <w:p>
      <w:pPr>
        <w:pStyle w:val="BodyText"/>
        <w:rPr>
          <w:b/>
        </w:rPr>
      </w:pPr>
    </w:p>
    <w:p>
      <w:pPr>
        <w:pStyle w:val="BodyText"/>
        <w:spacing w:before="10"/>
        <w:rPr>
          <w:b/>
          <w:sz w:val="22"/>
        </w:rPr>
      </w:pPr>
    </w:p>
    <w:p>
      <w:pPr>
        <w:pStyle w:val="BodyText"/>
        <w:ind w:left="1133"/>
      </w:pPr>
      <w:r>
        <w:rPr/>
        <w:pict>
          <v:group style="width:469.1pt;height:281.4pt;mso-position-horizontal-relative:char;mso-position-vertical-relative:line" coordorigin="0,0" coordsize="9382,5628">
            <v:shape style="position:absolute;left:0;top:0;width:8747;height:5627" type="#_x0000_t75" stroked="false">
              <v:imagedata r:id="rId373" o:title=""/>
            </v:shape>
            <v:shape style="position:absolute;left:7102;top:338;width:2280;height:570" type="#_x0000_t75" stroked="false">
              <v:imagedata r:id="rId374" o:title=""/>
            </v:shape>
          </v:group>
        </w:pict>
      </w:r>
      <w:r>
        <w:rPr/>
      </w:r>
    </w:p>
    <w:p>
      <w:pPr>
        <w:pStyle w:val="Heading4"/>
        <w:spacing w:before="118"/>
        <w:ind w:right="1133"/>
        <w:jc w:val="both"/>
      </w:pPr>
      <w:r>
        <w:rPr/>
        <w:t>Figure 58: NLOS intersection average Inter-Packet Gap at the SV as a function of distance between the SV and MV</w:t>
      </w:r>
    </w:p>
    <w:p>
      <w:pPr>
        <w:pStyle w:val="BodyText"/>
        <w:rPr>
          <w:b/>
          <w:sz w:val="26"/>
        </w:rPr>
      </w:pPr>
    </w:p>
    <w:p>
      <w:pPr>
        <w:pStyle w:val="BodyText"/>
        <w:spacing w:before="182"/>
        <w:ind w:left="1133" w:right="1130"/>
        <w:jc w:val="both"/>
      </w:pPr>
      <w:r>
        <w:rPr/>
        <w:t>Figure 59 illustrates RSSI measured by the SV DSRC OBU for 11 dBm effective power level in the NLOS intersection test. The RSSI is consistent with the corresponding DSRC PRR and IPG plots in Figures 57 and 58 showing the loss of signal at approximately 400 m. The range was reached 25 m earlier at 375 m.</w:t>
      </w:r>
    </w:p>
    <w:p>
      <w:pPr>
        <w:spacing w:after="0"/>
        <w:jc w:val="both"/>
        <w:sectPr>
          <w:headerReference w:type="default" r:id="rId372"/>
          <w:pgSz w:w="11910" w:h="16850"/>
          <w:pgMar w:header="852" w:footer="979" w:top="1040" w:bottom="1160" w:left="0" w:right="0"/>
        </w:sectPr>
      </w:pPr>
    </w:p>
    <w:p>
      <w:pPr>
        <w:pStyle w:val="BodyText"/>
      </w:pPr>
    </w:p>
    <w:p>
      <w:pPr>
        <w:pStyle w:val="BodyText"/>
        <w:spacing w:before="6"/>
        <w:rPr>
          <w:sz w:val="11"/>
        </w:rPr>
      </w:pPr>
    </w:p>
    <w:p>
      <w:pPr>
        <w:pStyle w:val="BodyText"/>
        <w:ind w:left="1133"/>
      </w:pPr>
      <w:r>
        <w:rPr/>
        <w:drawing>
          <wp:inline distT="0" distB="0" distL="0" distR="0">
            <wp:extent cx="5933705" cy="3568922"/>
            <wp:effectExtent l="0" t="0" r="0" b="0"/>
            <wp:docPr id="127" name="image167.png" descr=""/>
            <wp:cNvGraphicFramePr>
              <a:graphicFrameLocks noChangeAspect="1"/>
            </wp:cNvGraphicFramePr>
            <a:graphic>
              <a:graphicData uri="http://schemas.openxmlformats.org/drawingml/2006/picture">
                <pic:pic>
                  <pic:nvPicPr>
                    <pic:cNvPr id="128" name="image167.png"/>
                    <pic:cNvPicPr/>
                  </pic:nvPicPr>
                  <pic:blipFill>
                    <a:blip r:embed="rId376" cstate="print"/>
                    <a:stretch>
                      <a:fillRect/>
                    </a:stretch>
                  </pic:blipFill>
                  <pic:spPr>
                    <a:xfrm>
                      <a:off x="0" y="0"/>
                      <a:ext cx="5933705" cy="3568922"/>
                    </a:xfrm>
                    <a:prstGeom prst="rect">
                      <a:avLst/>
                    </a:prstGeom>
                  </pic:spPr>
                </pic:pic>
              </a:graphicData>
            </a:graphic>
          </wp:inline>
        </w:drawing>
      </w:r>
      <w:r>
        <w:rPr/>
      </w:r>
    </w:p>
    <w:p>
      <w:pPr>
        <w:pStyle w:val="BodyText"/>
        <w:spacing w:before="8"/>
        <w:rPr>
          <w:sz w:val="21"/>
        </w:rPr>
      </w:pPr>
    </w:p>
    <w:p>
      <w:pPr>
        <w:pStyle w:val="Heading4"/>
        <w:spacing w:before="92"/>
        <w:ind w:right="1129"/>
        <w:jc w:val="both"/>
      </w:pPr>
      <w:r>
        <w:rPr/>
        <w:t>Figure</w:t>
      </w:r>
      <w:r>
        <w:rPr>
          <w:spacing w:val="-3"/>
        </w:rPr>
        <w:t> </w:t>
      </w:r>
      <w:r>
        <w:rPr/>
        <w:t>59:</w:t>
      </w:r>
      <w:r>
        <w:rPr>
          <w:spacing w:val="-5"/>
        </w:rPr>
        <w:t> </w:t>
      </w:r>
      <w:r>
        <w:rPr/>
        <w:t>NLOS</w:t>
      </w:r>
      <w:r>
        <w:rPr>
          <w:spacing w:val="-6"/>
        </w:rPr>
        <w:t> </w:t>
      </w:r>
      <w:r>
        <w:rPr/>
        <w:t>intersection</w:t>
      </w:r>
      <w:r>
        <w:rPr>
          <w:spacing w:val="-5"/>
        </w:rPr>
        <w:t> </w:t>
      </w:r>
      <w:r>
        <w:rPr/>
        <w:t>DSRC</w:t>
      </w:r>
      <w:r>
        <w:rPr>
          <w:spacing w:val="-5"/>
        </w:rPr>
        <w:t> </w:t>
      </w:r>
      <w:r>
        <w:rPr/>
        <w:t>RSSI</w:t>
      </w:r>
      <w:r>
        <w:rPr>
          <w:spacing w:val="-6"/>
        </w:rPr>
        <w:t> </w:t>
      </w:r>
      <w:r>
        <w:rPr/>
        <w:t>at</w:t>
      </w:r>
      <w:r>
        <w:rPr>
          <w:spacing w:val="-5"/>
        </w:rPr>
        <w:t> </w:t>
      </w:r>
      <w:r>
        <w:rPr/>
        <w:t>the</w:t>
      </w:r>
      <w:r>
        <w:rPr>
          <w:spacing w:val="-4"/>
        </w:rPr>
        <w:t> </w:t>
      </w:r>
      <w:r>
        <w:rPr/>
        <w:t>SV</w:t>
      </w:r>
      <w:r>
        <w:rPr>
          <w:spacing w:val="-4"/>
        </w:rPr>
        <w:t> </w:t>
      </w:r>
      <w:r>
        <w:rPr/>
        <w:t>as</w:t>
      </w:r>
      <w:r>
        <w:rPr>
          <w:spacing w:val="-6"/>
        </w:rPr>
        <w:t> </w:t>
      </w:r>
      <w:r>
        <w:rPr/>
        <w:t>a</w:t>
      </w:r>
      <w:r>
        <w:rPr>
          <w:spacing w:val="-4"/>
        </w:rPr>
        <w:t> </w:t>
      </w:r>
      <w:r>
        <w:rPr/>
        <w:t>function</w:t>
      </w:r>
      <w:r>
        <w:rPr>
          <w:spacing w:val="-5"/>
        </w:rPr>
        <w:t> </w:t>
      </w:r>
      <w:r>
        <w:rPr/>
        <w:t>of</w:t>
      </w:r>
      <w:r>
        <w:rPr>
          <w:spacing w:val="-1"/>
        </w:rPr>
        <w:t> </w:t>
      </w:r>
      <w:r>
        <w:rPr/>
        <w:t>distance</w:t>
      </w:r>
      <w:r>
        <w:rPr>
          <w:spacing w:val="-4"/>
        </w:rPr>
        <w:t> </w:t>
      </w:r>
      <w:r>
        <w:rPr/>
        <w:t>between the SV and</w:t>
      </w:r>
      <w:r>
        <w:rPr>
          <w:spacing w:val="-1"/>
        </w:rPr>
        <w:t> </w:t>
      </w:r>
      <w:r>
        <w:rPr/>
        <w:t>MV</w:t>
      </w:r>
    </w:p>
    <w:p>
      <w:pPr>
        <w:pStyle w:val="BodyText"/>
        <w:rPr>
          <w:b/>
          <w:sz w:val="26"/>
        </w:rPr>
      </w:pPr>
    </w:p>
    <w:p>
      <w:pPr>
        <w:pStyle w:val="BodyText"/>
        <w:spacing w:before="3"/>
        <w:rPr>
          <w:b/>
          <w:sz w:val="31"/>
        </w:rPr>
      </w:pPr>
    </w:p>
    <w:p>
      <w:pPr>
        <w:pStyle w:val="ListParagraph"/>
        <w:numPr>
          <w:ilvl w:val="1"/>
          <w:numId w:val="51"/>
        </w:numPr>
        <w:tabs>
          <w:tab w:pos="2267" w:val="left" w:leader="none"/>
        </w:tabs>
        <w:spacing w:line="240" w:lineRule="auto" w:before="0" w:after="0"/>
        <w:ind w:left="2266" w:right="0" w:hanging="1133"/>
        <w:jc w:val="both"/>
        <w:rPr>
          <w:sz w:val="32"/>
        </w:rPr>
      </w:pPr>
      <w:bookmarkStart w:name="_bookmark150" w:id="231"/>
      <w:bookmarkEnd w:id="231"/>
      <w:r>
        <w:rPr/>
      </w:r>
      <w:bookmarkStart w:name="_bookmark150" w:id="232"/>
      <w:bookmarkEnd w:id="232"/>
      <w:r>
        <w:rPr>
          <w:sz w:val="32"/>
        </w:rPr>
        <w:t>Interfe</w:t>
      </w:r>
      <w:r>
        <w:rPr>
          <w:sz w:val="32"/>
        </w:rPr>
        <w:t>rence</w:t>
      </w:r>
      <w:r>
        <w:rPr>
          <w:spacing w:val="-3"/>
          <w:sz w:val="32"/>
        </w:rPr>
        <w:t> </w:t>
      </w:r>
      <w:r>
        <w:rPr>
          <w:sz w:val="32"/>
        </w:rPr>
        <w:t>tests</w:t>
      </w:r>
    </w:p>
    <w:p>
      <w:pPr>
        <w:pStyle w:val="BodyText"/>
        <w:spacing w:before="183"/>
        <w:ind w:left="1133" w:right="1129"/>
        <w:jc w:val="both"/>
      </w:pPr>
      <w:r>
        <w:rPr/>
        <w:t>The purpose of the interference tests was to assess resilience of V2X technologies from two types of out-of- band interference:</w:t>
      </w:r>
    </w:p>
    <w:p>
      <w:pPr>
        <w:pStyle w:val="ListParagraph"/>
        <w:numPr>
          <w:ilvl w:val="2"/>
          <w:numId w:val="51"/>
        </w:numPr>
        <w:tabs>
          <w:tab w:pos="1702" w:val="left" w:leader="none"/>
        </w:tabs>
        <w:spacing w:line="240" w:lineRule="auto" w:before="180" w:after="0"/>
        <w:ind w:left="1702" w:right="0" w:hanging="286"/>
        <w:jc w:val="left"/>
        <w:rPr>
          <w:sz w:val="20"/>
        </w:rPr>
      </w:pPr>
      <w:r>
        <w:rPr>
          <w:sz w:val="20"/>
        </w:rPr>
        <w:t>Interference originating in U-NII-3 Band (5,725-5,850</w:t>
      </w:r>
      <w:r>
        <w:rPr>
          <w:spacing w:val="-18"/>
          <w:sz w:val="20"/>
        </w:rPr>
        <w:t> </w:t>
      </w:r>
      <w:r>
        <w:rPr>
          <w:sz w:val="20"/>
        </w:rPr>
        <w:t>MHz)</w:t>
      </w:r>
    </w:p>
    <w:p>
      <w:pPr>
        <w:pStyle w:val="ListParagraph"/>
        <w:numPr>
          <w:ilvl w:val="2"/>
          <w:numId w:val="51"/>
        </w:numPr>
        <w:tabs>
          <w:tab w:pos="1702" w:val="left" w:leader="none"/>
        </w:tabs>
        <w:spacing w:line="240" w:lineRule="auto" w:before="180" w:after="0"/>
        <w:ind w:left="1702" w:right="0" w:hanging="286"/>
        <w:jc w:val="left"/>
        <w:rPr>
          <w:sz w:val="20"/>
        </w:rPr>
      </w:pPr>
      <w:r>
        <w:rPr>
          <w:sz w:val="20"/>
        </w:rPr>
        <w:t>Interference originating in the channel adjacent to the operating (safety) channel</w:t>
      </w:r>
      <w:r>
        <w:rPr>
          <w:spacing w:val="-31"/>
          <w:sz w:val="20"/>
        </w:rPr>
        <w:t> </w:t>
      </w:r>
      <w:r>
        <w:rPr>
          <w:sz w:val="20"/>
        </w:rPr>
        <w:t>(CH172)</w:t>
      </w:r>
    </w:p>
    <w:p>
      <w:pPr>
        <w:pStyle w:val="BodyText"/>
        <w:spacing w:before="180"/>
        <w:ind w:left="1133" w:right="1130"/>
        <w:jc w:val="both"/>
      </w:pPr>
      <w:r>
        <w:rPr/>
        <w:t>As in the range tests, both DSRC and C-V2X OBUs are tested under the same conditions. This implies that both technologies are tested using the same interferer. In the case of the U-NII-3 test, both V2X technologies are subjected to the same IEEE 802.11ac 80 MHz synthetically created interference in CH155. Similarly, in the case of the adjacent channel interference tests, the interference for both DSRC and CXV2X is the same synthetically created IEEE 802.11p 10MHz interference in the adjacent channel.</w:t>
      </w:r>
    </w:p>
    <w:p>
      <w:pPr>
        <w:pStyle w:val="BodyText"/>
        <w:spacing w:before="180"/>
        <w:ind w:left="1133" w:right="1131"/>
        <w:jc w:val="both"/>
      </w:pPr>
      <w:r>
        <w:rPr/>
        <w:t>Since</w:t>
      </w:r>
      <w:r>
        <w:rPr>
          <w:spacing w:val="-13"/>
        </w:rPr>
        <w:t> </w:t>
      </w:r>
      <w:r>
        <w:rPr/>
        <w:t>the</w:t>
      </w:r>
      <w:r>
        <w:rPr>
          <w:spacing w:val="-13"/>
        </w:rPr>
        <w:t> </w:t>
      </w:r>
      <w:r>
        <w:rPr/>
        <w:t>operating</w:t>
      </w:r>
      <w:r>
        <w:rPr>
          <w:spacing w:val="-15"/>
        </w:rPr>
        <w:t> </w:t>
      </w:r>
      <w:r>
        <w:rPr/>
        <w:t>channel</w:t>
      </w:r>
      <w:r>
        <w:rPr>
          <w:spacing w:val="-14"/>
        </w:rPr>
        <w:t> </w:t>
      </w:r>
      <w:r>
        <w:rPr/>
        <w:t>was</w:t>
      </w:r>
      <w:r>
        <w:rPr>
          <w:spacing w:val="-14"/>
        </w:rPr>
        <w:t> </w:t>
      </w:r>
      <w:r>
        <w:rPr/>
        <w:t>moved</w:t>
      </w:r>
      <w:r>
        <w:rPr>
          <w:spacing w:val="-16"/>
        </w:rPr>
        <w:t> </w:t>
      </w:r>
      <w:r>
        <w:rPr/>
        <w:t>to</w:t>
      </w:r>
      <w:r>
        <w:rPr>
          <w:spacing w:val="-15"/>
        </w:rPr>
        <w:t> </w:t>
      </w:r>
      <w:r>
        <w:rPr/>
        <w:t>CH184,</w:t>
      </w:r>
      <w:r>
        <w:rPr>
          <w:spacing w:val="-15"/>
        </w:rPr>
        <w:t> </w:t>
      </w:r>
      <w:r>
        <w:rPr/>
        <w:t>to</w:t>
      </w:r>
      <w:r>
        <w:rPr>
          <w:spacing w:val="-15"/>
        </w:rPr>
        <w:t> </w:t>
      </w:r>
      <w:r>
        <w:rPr/>
        <w:t>create</w:t>
      </w:r>
      <w:r>
        <w:rPr>
          <w:spacing w:val="-15"/>
        </w:rPr>
        <w:t> </w:t>
      </w:r>
      <w:r>
        <w:rPr/>
        <w:t>equivalent</w:t>
      </w:r>
      <w:r>
        <w:rPr>
          <w:spacing w:val="-10"/>
        </w:rPr>
        <w:t> </w:t>
      </w:r>
      <w:r>
        <w:rPr/>
        <w:t>interference</w:t>
      </w:r>
      <w:r>
        <w:rPr>
          <w:spacing w:val="-13"/>
        </w:rPr>
        <w:t> </w:t>
      </w:r>
      <w:r>
        <w:rPr/>
        <w:t>conditions</w:t>
      </w:r>
      <w:r>
        <w:rPr>
          <w:spacing w:val="-14"/>
        </w:rPr>
        <w:t> </w:t>
      </w:r>
      <w:r>
        <w:rPr/>
        <w:t>the</w:t>
      </w:r>
      <w:r>
        <w:rPr>
          <w:spacing w:val="-16"/>
        </w:rPr>
        <w:t> </w:t>
      </w:r>
      <w:r>
        <w:rPr/>
        <w:t>interference had</w:t>
      </w:r>
      <w:r>
        <w:rPr>
          <w:spacing w:val="-6"/>
        </w:rPr>
        <w:t> </w:t>
      </w:r>
      <w:r>
        <w:rPr/>
        <w:t>to</w:t>
      </w:r>
      <w:r>
        <w:rPr>
          <w:spacing w:val="-6"/>
        </w:rPr>
        <w:t> </w:t>
      </w:r>
      <w:r>
        <w:rPr/>
        <w:t>be</w:t>
      </w:r>
      <w:r>
        <w:rPr>
          <w:spacing w:val="-6"/>
        </w:rPr>
        <w:t> </w:t>
      </w:r>
      <w:r>
        <w:rPr/>
        <w:t>moved</w:t>
      </w:r>
      <w:r>
        <w:rPr>
          <w:spacing w:val="-6"/>
        </w:rPr>
        <w:t> </w:t>
      </w:r>
      <w:r>
        <w:rPr/>
        <w:t>accordingly.</w:t>
      </w:r>
      <w:r>
        <w:rPr>
          <w:spacing w:val="-3"/>
        </w:rPr>
        <w:t> </w:t>
      </w:r>
      <w:r>
        <w:rPr/>
        <w:t>Center</w:t>
      </w:r>
      <w:r>
        <w:rPr>
          <w:spacing w:val="-5"/>
        </w:rPr>
        <w:t> </w:t>
      </w:r>
      <w:r>
        <w:rPr/>
        <w:t>frequency</w:t>
      </w:r>
      <w:r>
        <w:rPr>
          <w:spacing w:val="-6"/>
        </w:rPr>
        <w:t> </w:t>
      </w:r>
      <w:r>
        <w:rPr/>
        <w:t>of</w:t>
      </w:r>
      <w:r>
        <w:rPr>
          <w:spacing w:val="-4"/>
        </w:rPr>
        <w:t> </w:t>
      </w:r>
      <w:r>
        <w:rPr/>
        <w:t>CH184</w:t>
      </w:r>
      <w:r>
        <w:rPr>
          <w:spacing w:val="-6"/>
        </w:rPr>
        <w:t> </w:t>
      </w:r>
      <w:r>
        <w:rPr/>
        <w:t>(5,920</w:t>
      </w:r>
      <w:r>
        <w:rPr>
          <w:spacing w:val="-3"/>
        </w:rPr>
        <w:t> </w:t>
      </w:r>
      <w:r>
        <w:rPr/>
        <w:t>MHz)</w:t>
      </w:r>
      <w:r>
        <w:rPr>
          <w:spacing w:val="-2"/>
        </w:rPr>
        <w:t> </w:t>
      </w:r>
      <w:r>
        <w:rPr/>
        <w:t>is</w:t>
      </w:r>
      <w:r>
        <w:rPr>
          <w:spacing w:val="-4"/>
        </w:rPr>
        <w:t> </w:t>
      </w:r>
      <w:r>
        <w:rPr/>
        <w:t>60</w:t>
      </w:r>
      <w:r>
        <w:rPr>
          <w:spacing w:val="-4"/>
        </w:rPr>
        <w:t> </w:t>
      </w:r>
      <w:r>
        <w:rPr/>
        <w:t>MHz</w:t>
      </w:r>
      <w:r>
        <w:rPr>
          <w:spacing w:val="-4"/>
        </w:rPr>
        <w:t> </w:t>
      </w:r>
      <w:r>
        <w:rPr/>
        <w:t>above</w:t>
      </w:r>
      <w:r>
        <w:rPr>
          <w:spacing w:val="-6"/>
        </w:rPr>
        <w:t> </w:t>
      </w:r>
      <w:r>
        <w:rPr/>
        <w:t>the</w:t>
      </w:r>
      <w:r>
        <w:rPr>
          <w:spacing w:val="-6"/>
        </w:rPr>
        <w:t> </w:t>
      </w:r>
      <w:r>
        <w:rPr/>
        <w:t>center</w:t>
      </w:r>
      <w:r>
        <w:rPr>
          <w:spacing w:val="-5"/>
        </w:rPr>
        <w:t> </w:t>
      </w:r>
      <w:r>
        <w:rPr/>
        <w:t>frequency of CH172 (5,860 MHz). To ensure the same interference effect by the U-NII-3 interference on the safety, the center frequency of the interfering signal was shifted up by 60 MHz to maintain the same 40 MHz separation. Similarly, adjacent channel interference was configured for center frequency 5,910 MHz (CH182) to ensure operation</w:t>
      </w:r>
      <w:r>
        <w:rPr>
          <w:spacing w:val="12"/>
        </w:rPr>
        <w:t> </w:t>
      </w:r>
      <w:r>
        <w:rPr/>
        <w:t>in</w:t>
      </w:r>
      <w:r>
        <w:rPr>
          <w:spacing w:val="12"/>
        </w:rPr>
        <w:t> </w:t>
      </w:r>
      <w:r>
        <w:rPr/>
        <w:t>the</w:t>
      </w:r>
      <w:r>
        <w:rPr>
          <w:spacing w:val="12"/>
        </w:rPr>
        <w:t> </w:t>
      </w:r>
      <w:r>
        <w:rPr/>
        <w:t>adjacent</w:t>
      </w:r>
      <w:r>
        <w:rPr>
          <w:spacing w:val="13"/>
        </w:rPr>
        <w:t> </w:t>
      </w:r>
      <w:r>
        <w:rPr/>
        <w:t>channel.</w:t>
      </w:r>
      <w:r>
        <w:rPr>
          <w:spacing w:val="15"/>
        </w:rPr>
        <w:t> </w:t>
      </w:r>
      <w:r>
        <w:rPr/>
        <w:t>Both</w:t>
      </w:r>
      <w:r>
        <w:rPr>
          <w:spacing w:val="12"/>
        </w:rPr>
        <w:t> </w:t>
      </w:r>
      <w:r>
        <w:rPr/>
        <w:t>tests</w:t>
      </w:r>
      <w:r>
        <w:rPr>
          <w:spacing w:val="13"/>
        </w:rPr>
        <w:t> </w:t>
      </w:r>
      <w:r>
        <w:rPr/>
        <w:t>are</w:t>
      </w:r>
      <w:r>
        <w:rPr>
          <w:spacing w:val="13"/>
        </w:rPr>
        <w:t> </w:t>
      </w:r>
      <w:r>
        <w:rPr/>
        <w:t>following</w:t>
      </w:r>
      <w:r>
        <w:rPr>
          <w:spacing w:val="12"/>
        </w:rPr>
        <w:t> </w:t>
      </w:r>
      <w:r>
        <w:rPr/>
        <w:t>test</w:t>
      </w:r>
      <w:r>
        <w:rPr>
          <w:spacing w:val="13"/>
        </w:rPr>
        <w:t> </w:t>
      </w:r>
      <w:r>
        <w:rPr/>
        <w:t>procedures</w:t>
      </w:r>
      <w:r>
        <w:rPr>
          <w:spacing w:val="14"/>
        </w:rPr>
        <w:t> </w:t>
      </w:r>
      <w:r>
        <w:rPr/>
        <w:t>described</w:t>
      </w:r>
      <w:r>
        <w:rPr>
          <w:spacing w:val="12"/>
        </w:rPr>
        <w:t> </w:t>
      </w:r>
      <w:r>
        <w:rPr/>
        <w:t>in</w:t>
      </w:r>
      <w:r>
        <w:rPr>
          <w:spacing w:val="12"/>
        </w:rPr>
        <w:t> </w:t>
      </w:r>
      <w:r>
        <w:rPr/>
        <w:t>Sections</w:t>
      </w:r>
      <w:r>
        <w:rPr>
          <w:spacing w:val="13"/>
        </w:rPr>
        <w:t> </w:t>
      </w:r>
      <w:r>
        <w:rPr/>
        <w:t>9.1.3</w:t>
      </w:r>
      <w:r>
        <w:rPr>
          <w:spacing w:val="15"/>
        </w:rPr>
        <w:t> </w:t>
      </w:r>
      <w:r>
        <w:rPr/>
        <w:t>and</w:t>
      </w:r>
    </w:p>
    <w:p>
      <w:pPr>
        <w:pStyle w:val="BodyText"/>
        <w:ind w:left="1133"/>
        <w:jc w:val="both"/>
      </w:pPr>
      <w:r>
        <w:rPr/>
        <w:t>9.1.4 of (5GAA, March 2018).</w:t>
      </w:r>
    </w:p>
    <w:p>
      <w:pPr>
        <w:pStyle w:val="BodyText"/>
        <w:spacing w:before="1"/>
        <w:rPr>
          <w:sz w:val="26"/>
        </w:rPr>
      </w:pPr>
    </w:p>
    <w:p>
      <w:pPr>
        <w:pStyle w:val="Heading3"/>
        <w:numPr>
          <w:ilvl w:val="2"/>
          <w:numId w:val="52"/>
        </w:numPr>
        <w:tabs>
          <w:tab w:pos="2267" w:val="left" w:leader="none"/>
        </w:tabs>
        <w:spacing w:line="240" w:lineRule="auto" w:before="0" w:after="0"/>
        <w:ind w:left="2266" w:right="0" w:hanging="1133"/>
        <w:jc w:val="both"/>
      </w:pPr>
      <w:bookmarkStart w:name="_bookmark151" w:id="233"/>
      <w:bookmarkEnd w:id="233"/>
      <w:r>
        <w:rPr/>
      </w:r>
      <w:bookmarkStart w:name="_bookmark151" w:id="234"/>
      <w:bookmarkEnd w:id="234"/>
      <w:r>
        <w:rPr/>
        <w:t>U</w:t>
      </w:r>
      <w:r>
        <w:rPr/>
        <w:t>-NII-3 802.11ac Interference Test and</w:t>
      </w:r>
      <w:r>
        <w:rPr>
          <w:spacing w:val="-17"/>
        </w:rPr>
        <w:t> </w:t>
      </w:r>
      <w:r>
        <w:rPr/>
        <w:t>Results</w:t>
      </w:r>
    </w:p>
    <w:p>
      <w:pPr>
        <w:pStyle w:val="BodyText"/>
        <w:spacing w:before="180"/>
        <w:ind w:left="1133" w:right="1129"/>
        <w:jc w:val="both"/>
      </w:pPr>
      <w:r>
        <w:rPr/>
        <w:t>This test compares the effects of U-NII-3 band interference on both V2X technologies in terms of range, reliability, and IPG. Since this is a LOS test, the range with interference present should be compared to the LOS range results. </w:t>
      </w:r>
      <w:r>
        <w:rPr>
          <w:spacing w:val="4"/>
        </w:rPr>
        <w:t>We </w:t>
      </w:r>
      <w:r>
        <w:rPr/>
        <w:t>expect that the range of both technologies will decrease when the interference is in close</w:t>
      </w:r>
      <w:r>
        <w:rPr>
          <w:spacing w:val="-10"/>
        </w:rPr>
        <w:t> </w:t>
      </w:r>
      <w:r>
        <w:rPr/>
        <w:t>proximity.</w:t>
      </w:r>
      <w:r>
        <w:rPr>
          <w:spacing w:val="-10"/>
        </w:rPr>
        <w:t> </w:t>
      </w:r>
      <w:r>
        <w:rPr/>
        <w:t>This</w:t>
      </w:r>
      <w:r>
        <w:rPr>
          <w:spacing w:val="-7"/>
        </w:rPr>
        <w:t> </w:t>
      </w:r>
      <w:r>
        <w:rPr/>
        <w:t>is</w:t>
      </w:r>
      <w:r>
        <w:rPr>
          <w:spacing w:val="-9"/>
        </w:rPr>
        <w:t> </w:t>
      </w:r>
      <w:r>
        <w:rPr/>
        <w:t>a</w:t>
      </w:r>
      <w:r>
        <w:rPr>
          <w:spacing w:val="-8"/>
        </w:rPr>
        <w:t> </w:t>
      </w:r>
      <w:r>
        <w:rPr/>
        <w:t>realistic</w:t>
      </w:r>
      <w:r>
        <w:rPr>
          <w:spacing w:val="-9"/>
        </w:rPr>
        <w:t> </w:t>
      </w:r>
      <w:r>
        <w:rPr/>
        <w:t>situation</w:t>
      </w:r>
      <w:r>
        <w:rPr>
          <w:spacing w:val="-6"/>
        </w:rPr>
        <w:t> </w:t>
      </w:r>
      <w:r>
        <w:rPr/>
        <w:t>when</w:t>
      </w:r>
      <w:r>
        <w:rPr>
          <w:spacing w:val="-9"/>
        </w:rPr>
        <w:t> </w:t>
      </w:r>
      <w:r>
        <w:rPr/>
        <w:t>a</w:t>
      </w:r>
      <w:r>
        <w:rPr>
          <w:spacing w:val="-8"/>
        </w:rPr>
        <w:t> </w:t>
      </w:r>
      <w:r>
        <w:rPr/>
        <w:t>vehicle</w:t>
      </w:r>
      <w:r>
        <w:rPr>
          <w:spacing w:val="-8"/>
        </w:rPr>
        <w:t> </w:t>
      </w:r>
      <w:r>
        <w:rPr/>
        <w:t>is</w:t>
      </w:r>
      <w:r>
        <w:rPr>
          <w:spacing w:val="-9"/>
        </w:rPr>
        <w:t> </w:t>
      </w:r>
      <w:r>
        <w:rPr/>
        <w:t>for</w:t>
      </w:r>
      <w:r>
        <w:rPr>
          <w:spacing w:val="-9"/>
        </w:rPr>
        <w:t> </w:t>
      </w:r>
      <w:r>
        <w:rPr/>
        <w:t>example</w:t>
      </w:r>
      <w:r>
        <w:rPr>
          <w:spacing w:val="-8"/>
        </w:rPr>
        <w:t> </w:t>
      </w:r>
      <w:r>
        <w:rPr/>
        <w:t>at</w:t>
      </w:r>
      <w:r>
        <w:rPr>
          <w:spacing w:val="-8"/>
        </w:rPr>
        <w:t> </w:t>
      </w:r>
      <w:r>
        <w:rPr/>
        <w:t>an</w:t>
      </w:r>
      <w:r>
        <w:rPr>
          <w:spacing w:val="-8"/>
        </w:rPr>
        <w:t> </w:t>
      </w:r>
      <w:r>
        <w:rPr/>
        <w:t>intersection</w:t>
      </w:r>
      <w:r>
        <w:rPr>
          <w:spacing w:val="-8"/>
        </w:rPr>
        <w:t> </w:t>
      </w:r>
      <w:r>
        <w:rPr/>
        <w:t>and</w:t>
      </w:r>
      <w:r>
        <w:rPr>
          <w:spacing w:val="-8"/>
        </w:rPr>
        <w:t> </w:t>
      </w:r>
      <w:r>
        <w:rPr/>
        <w:t>a</w:t>
      </w:r>
      <w:r>
        <w:rPr>
          <w:spacing w:val="-11"/>
        </w:rPr>
        <w:t> </w:t>
      </w:r>
      <w:r>
        <w:rPr>
          <w:spacing w:val="3"/>
        </w:rPr>
        <w:t>Wi-Fi</w:t>
      </w:r>
      <w:r>
        <w:rPr>
          <w:spacing w:val="-11"/>
        </w:rPr>
        <w:t> </w:t>
      </w:r>
      <w:r>
        <w:rPr/>
        <w:t>hotspot antenna is close by as in Figure</w:t>
      </w:r>
      <w:r>
        <w:rPr>
          <w:spacing w:val="-11"/>
        </w:rPr>
        <w:t> </w:t>
      </w:r>
      <w:r>
        <w:rPr/>
        <w:t>60.</w:t>
      </w:r>
    </w:p>
    <w:p>
      <w:pPr>
        <w:spacing w:after="0"/>
        <w:jc w:val="both"/>
        <w:sectPr>
          <w:headerReference w:type="default" r:id="rId375"/>
          <w:pgSz w:w="11910" w:h="16850"/>
          <w:pgMar w:header="852" w:footer="979" w:top="1040" w:bottom="1160" w:left="0" w:right="0"/>
        </w:sectPr>
      </w:pPr>
    </w:p>
    <w:p>
      <w:pPr>
        <w:pStyle w:val="BodyText"/>
      </w:pPr>
    </w:p>
    <w:p>
      <w:pPr>
        <w:pStyle w:val="BodyText"/>
      </w:pPr>
    </w:p>
    <w:p>
      <w:pPr>
        <w:pStyle w:val="BodyText"/>
        <w:spacing w:before="2"/>
        <w:rPr>
          <w:sz w:val="27"/>
        </w:rPr>
      </w:pPr>
    </w:p>
    <w:p>
      <w:pPr>
        <w:pStyle w:val="BodyText"/>
        <w:ind w:left="1183"/>
      </w:pPr>
      <w:r>
        <w:rPr/>
        <w:pict>
          <v:group style="width:383.55pt;height:252.9pt;mso-position-horizontal-relative:char;mso-position-vertical-relative:line" coordorigin="0,0" coordsize="7671,5058">
            <v:shape style="position:absolute;left:0;top:0;width:7670;height:5058" type="#_x0000_t75" stroked="false">
              <v:imagedata r:id="rId378" o:title=""/>
            </v:shape>
            <v:shape style="position:absolute;left:3179;top:1396;width:810;height:496" coordorigin="3179,1396" coordsize="810,496" path="m3250,1778l3179,1892,3313,1880,3296,1852,3272,1852,3256,1827,3273,1816,3250,1778xm3273,1816l3256,1827,3272,1852,3289,1842,3273,1816xm3289,1842l3272,1852,3296,1852,3289,1842xm3879,1445l3273,1816,3289,1842,3895,1471,3879,1445xm3964,1435l3896,1435,3912,1461,3895,1471,3918,1509,3964,1435xm3896,1435l3879,1445,3895,1471,3912,1461,3896,1435xm3989,1396l3855,1407,3879,1445,3896,1435,3964,1435,3989,1396xe" filled="true" fillcolor="#ffffff" stroked="false">
              <v:path arrowok="t"/>
              <v:fill type="solid"/>
            </v:shape>
            <v:shape style="position:absolute;left:2942;top:1281;width:750;height:601" type="#_x0000_t75" stroked="false">
              <v:imagedata r:id="rId379" o:title=""/>
            </v:shape>
            <v:shape style="position:absolute;left:3108;top:1444;width:434;height:307" coordorigin="3108,1444" coordsize="434,307" path="m3159,1659l3126,1659,3127,1659,3128,1660,3130,1661,3132,1664,3135,1668,3169,1720,3173,1726,3175,1730,3176,1732,3176,1735,3176,1737,3175,1739,3174,1741,3171,1744,3167,1746,3164,1748,3166,1751,3214,1719,3202,1719,3200,1718,3197,1716,3194,1712,3159,1659xm3216,1713l3214,1715,3210,1717,3207,1719,3214,1719,3218,1716,3216,1713xm3235,1681l3233,1682,3231,1682,3227,1685,3226,1687,3225,1689,3225,1692,3225,1694,3227,1697,3229,1700,3232,1701,3236,1701,3242,1702,3249,1699,3270,1685,3271,1683,3254,1683,3247,1682,3240,1681,3235,1681xm3280,1639l3240,1639,3257,1644,3263,1649,3267,1655,3270,1660,3271,1664,3271,1665,3270,1673,3268,1677,3264,1679,3260,1682,3254,1683,3271,1683,3277,1675,3283,1650,3281,1639,3280,1639xm3136,1625l3134,1626,3108,1667,3111,1669,3114,1665,3117,1662,3119,1661,3121,1659,3122,1659,3159,1659,3136,1625xm3243,1600l3208,1600,3218,1602,3222,1604,3225,1608,3227,1611,3228,1615,3228,1619,3228,1622,3228,1626,3227,1629,3225,1631,3223,1636,3218,1641,3220,1643,3230,1640,3240,1639,3280,1639,3274,1629,3270,1623,3265,1618,3259,1616,3255,1615,3239,1615,3242,1609,3243,1604,3243,1600xm3215,1575l3208,1577,3201,1581,3195,1586,3190,1592,3187,1600,3184,1607,3184,1617,3186,1627,3189,1626,3189,1616,3193,1608,3204,1601,3208,1600,3243,1600,3243,1595,3241,1590,3239,1587,3235,1581,3230,1578,3215,1575xm3247,1614l3239,1615,3255,1615,3253,1614,3247,1614xm3318,1619l3314,1620,3307,1625,3305,1628,3303,1636,3304,1639,3309,1646,3312,1648,3316,1649,3320,1650,3323,1649,3330,1645,3332,1642,3334,1634,3333,1630,3329,1623,3325,1621,3322,1620,3318,1619xm3394,1563l3371,1563,3380,1567,3388,1580,3389,1584,3388,1594,3385,1598,3379,1602,3377,1602,3375,1603,3373,1604,3369,1604,3353,1604,3351,1604,3348,1605,3346,1606,3344,1607,3342,1608,3341,1610,3340,1613,3340,1616,3340,1618,3342,1620,3343,1623,3347,1624,3351,1624,3357,1625,3365,1622,3373,1617,3380,1612,3386,1605,3387,1604,3365,1604,3358,1604,3387,1604,3390,1598,3394,1591,3396,1583,3396,1567,3394,1563xm3346,1488l3300,1519,3315,1581,3320,1578,3331,1571,3340,1567,3350,1564,3359,1563,3371,1563,3394,1563,3393,1560,3389,1554,3387,1550,3315,1550,3312,1538,3351,1512,3346,1488xm3421,1510l3388,1510,3390,1511,3392,1512,3395,1514,3398,1520,3424,1558,3427,1564,3429,1567,3429,1569,3429,1571,3427,1573,3424,1575,3426,1578,3462,1555,3461,1554,3454,1554,3452,1553,3450,1552,3447,1549,3421,1510xm3460,1552l3457,1554,3454,1554,3461,1554,3460,1552xm3465,1489l3431,1489,3433,1489,3434,1490,3436,1491,3437,1492,3440,1496,3444,1502,3464,1532,3466,1536,3468,1538,3469,1541,3469,1543,3468,1546,3467,1547,3465,1549,3466,1551,3502,1528,3502,1528,3494,1528,3492,1527,3490,1526,3488,1523,3484,1518,3465,1489xm3351,1537l3340,1539,3328,1544,3315,1550,3387,1550,3383,1544,3374,1539,3362,1537,3351,1537xm3500,1525l3497,1527,3494,1528,3502,1528,3500,1525xm3505,1462l3470,1462,3473,1462,3474,1463,3476,1464,3477,1466,3480,1469,3485,1476,3504,1505,3507,1510,3508,1512,3508,1518,3507,1520,3505,1522,3506,1525,3542,1501,3541,1501,3534,1501,3532,1500,3531,1500,3528,1497,3522,1488,3505,1462xm3409,1491l3381,1510,3383,1512,3386,1511,3388,1510,3421,1510,3420,1508,3420,1503,3420,1500,3415,1500,3409,1491xm3540,1499l3537,1500,3534,1501,3541,1501,3540,1499xm3437,1471l3433,1472,3428,1475,3424,1478,3421,1481,3419,1485,3417,1488,3416,1494,3415,1500,3420,1500,3421,1498,3422,1495,3423,1493,3424,1491,3426,1490,3428,1489,3429,1489,3465,1489,3460,1481,3460,1478,3460,1476,3454,1476,3450,1473,3446,1471,3437,1471xm3478,1444l3473,1445,3469,1448,3465,1451,3462,1454,3459,1459,3457,1463,3455,1469,3454,1476,3460,1476,3461,1473,3463,1467,3465,1465,3468,1463,3470,1462,3505,1462,3501,1456,3497,1451,3494,1448,3490,1446,3486,1444,3482,1444,3478,1444xe" filled="true" fillcolor="#ffffff" stroked="false">
              <v:path arrowok="t"/>
              <v:fill type="solid"/>
            </v:shape>
          </v:group>
        </w:pict>
      </w:r>
      <w:r>
        <w:rPr/>
      </w:r>
    </w:p>
    <w:p>
      <w:pPr>
        <w:pStyle w:val="Heading4"/>
        <w:spacing w:before="90"/>
        <w:ind w:right="1131"/>
        <w:jc w:val="both"/>
      </w:pPr>
      <w:r>
        <w:rPr/>
        <w:t>Figure 60: Downtown Manhattan intersection with a possible Wi-Fi hotspot at the corner café</w:t>
      </w:r>
    </w:p>
    <w:p>
      <w:pPr>
        <w:pStyle w:val="BodyText"/>
        <w:rPr>
          <w:b/>
          <w:sz w:val="26"/>
        </w:rPr>
      </w:pPr>
    </w:p>
    <w:p>
      <w:pPr>
        <w:pStyle w:val="BodyText"/>
        <w:spacing w:before="182"/>
        <w:ind w:left="1133" w:right="1130"/>
        <w:jc w:val="both"/>
      </w:pPr>
      <w:r>
        <w:rPr/>
        <w:t>This test closely follows the test procedure described in Section 9.1.3 of (5GAA, March 2018). This scenario tests</w:t>
      </w:r>
      <w:r>
        <w:rPr>
          <w:spacing w:val="-11"/>
        </w:rPr>
        <w:t> </w:t>
      </w:r>
      <w:r>
        <w:rPr/>
        <w:t>the</w:t>
      </w:r>
      <w:r>
        <w:rPr>
          <w:spacing w:val="-8"/>
        </w:rPr>
        <w:t> </w:t>
      </w:r>
      <w:r>
        <w:rPr/>
        <w:t>impact</w:t>
      </w:r>
      <w:r>
        <w:rPr>
          <w:spacing w:val="-12"/>
        </w:rPr>
        <w:t> </w:t>
      </w:r>
      <w:r>
        <w:rPr/>
        <w:t>of</w:t>
      </w:r>
      <w:r>
        <w:rPr>
          <w:spacing w:val="-10"/>
        </w:rPr>
        <w:t> </w:t>
      </w:r>
      <w:r>
        <w:rPr/>
        <w:t>a</w:t>
      </w:r>
      <w:r>
        <w:rPr>
          <w:spacing w:val="-12"/>
        </w:rPr>
        <w:t> </w:t>
      </w:r>
      <w:r>
        <w:rPr/>
        <w:t>fixed</w:t>
      </w:r>
      <w:r>
        <w:rPr>
          <w:spacing w:val="-8"/>
        </w:rPr>
        <w:t> </w:t>
      </w:r>
      <w:r>
        <w:rPr/>
        <w:t>Wi-Fi</w:t>
      </w:r>
      <w:r>
        <w:rPr>
          <w:spacing w:val="-12"/>
        </w:rPr>
        <w:t> </w:t>
      </w:r>
      <w:r>
        <w:rPr/>
        <w:t>802.11ac</w:t>
      </w:r>
      <w:r>
        <w:rPr>
          <w:spacing w:val="-8"/>
        </w:rPr>
        <w:t> </w:t>
      </w:r>
      <w:r>
        <w:rPr/>
        <w:t>80</w:t>
      </w:r>
      <w:r>
        <w:rPr>
          <w:spacing w:val="-10"/>
        </w:rPr>
        <w:t> </w:t>
      </w:r>
      <w:r>
        <w:rPr/>
        <w:t>MHz</w:t>
      </w:r>
      <w:r>
        <w:rPr>
          <w:spacing w:val="-13"/>
        </w:rPr>
        <w:t> </w:t>
      </w:r>
      <w:r>
        <w:rPr/>
        <w:t>interferer</w:t>
      </w:r>
      <w:r>
        <w:rPr>
          <w:spacing w:val="-11"/>
        </w:rPr>
        <w:t> </w:t>
      </w:r>
      <w:r>
        <w:rPr/>
        <w:t>in</w:t>
      </w:r>
      <w:r>
        <w:rPr>
          <w:spacing w:val="-12"/>
        </w:rPr>
        <w:t> </w:t>
      </w:r>
      <w:r>
        <w:rPr/>
        <w:t>U-NII-3</w:t>
      </w:r>
      <w:r>
        <w:rPr>
          <w:spacing w:val="-9"/>
        </w:rPr>
        <w:t> </w:t>
      </w:r>
      <w:r>
        <w:rPr/>
        <w:t>CH155</w:t>
      </w:r>
      <w:r>
        <w:rPr>
          <w:spacing w:val="-10"/>
        </w:rPr>
        <w:t> </w:t>
      </w:r>
      <w:r>
        <w:rPr/>
        <w:t>on</w:t>
      </w:r>
      <w:r>
        <w:rPr>
          <w:spacing w:val="-8"/>
        </w:rPr>
        <w:t> </w:t>
      </w:r>
      <w:r>
        <w:rPr/>
        <w:t>Basic</w:t>
      </w:r>
      <w:r>
        <w:rPr>
          <w:spacing w:val="-8"/>
        </w:rPr>
        <w:t> </w:t>
      </w:r>
      <w:r>
        <w:rPr/>
        <w:t>Safety</w:t>
      </w:r>
      <w:r>
        <w:rPr>
          <w:spacing w:val="-13"/>
        </w:rPr>
        <w:t> </w:t>
      </w:r>
      <w:r>
        <w:rPr/>
        <w:t>Message</w:t>
      </w:r>
      <w:r>
        <w:rPr>
          <w:spacing w:val="-12"/>
        </w:rPr>
        <w:t> </w:t>
      </w:r>
      <w:r>
        <w:rPr/>
        <w:t>(BSM) reception in CH172. The interferer is the widest IEEE 802.11ac signal that fits in U-NII-3 (80 MHz). Since the OBUs are operating in CH184, the interferer was shifted from the center frequency 5,775 MHz to the center frequency 5,835 MHz. The modified center frequency ensures that the tests in CH184 will produce results equivalent</w:t>
      </w:r>
      <w:r>
        <w:rPr>
          <w:spacing w:val="-4"/>
        </w:rPr>
        <w:t> </w:t>
      </w:r>
      <w:r>
        <w:rPr/>
        <w:t>to</w:t>
      </w:r>
      <w:r>
        <w:rPr>
          <w:spacing w:val="-4"/>
        </w:rPr>
        <w:t> </w:t>
      </w:r>
      <w:r>
        <w:rPr/>
        <w:t>the</w:t>
      </w:r>
      <w:r>
        <w:rPr>
          <w:spacing w:val="-4"/>
        </w:rPr>
        <w:t> </w:t>
      </w:r>
      <w:r>
        <w:rPr/>
        <w:t>tests</w:t>
      </w:r>
      <w:r>
        <w:rPr>
          <w:spacing w:val="-3"/>
        </w:rPr>
        <w:t> </w:t>
      </w:r>
      <w:r>
        <w:rPr/>
        <w:t>in</w:t>
      </w:r>
      <w:r>
        <w:rPr>
          <w:spacing w:val="-4"/>
        </w:rPr>
        <w:t> </w:t>
      </w:r>
      <w:r>
        <w:rPr/>
        <w:t>CH172</w:t>
      </w:r>
      <w:r>
        <w:rPr>
          <w:spacing w:val="-2"/>
        </w:rPr>
        <w:t> </w:t>
      </w:r>
      <w:r>
        <w:rPr/>
        <w:t>with</w:t>
      </w:r>
      <w:r>
        <w:rPr>
          <w:spacing w:val="-8"/>
        </w:rPr>
        <w:t> </w:t>
      </w:r>
      <w:r>
        <w:rPr>
          <w:spacing w:val="2"/>
        </w:rPr>
        <w:t>Wi-Fi</w:t>
      </w:r>
      <w:r>
        <w:rPr>
          <w:spacing w:val="-5"/>
        </w:rPr>
        <w:t> </w:t>
      </w:r>
      <w:r>
        <w:rPr/>
        <w:t>signal</w:t>
      </w:r>
      <w:r>
        <w:rPr>
          <w:spacing w:val="-3"/>
        </w:rPr>
        <w:t> </w:t>
      </w:r>
      <w:r>
        <w:rPr/>
        <w:t>in</w:t>
      </w:r>
      <w:r>
        <w:rPr>
          <w:spacing w:val="-4"/>
        </w:rPr>
        <w:t> </w:t>
      </w:r>
      <w:r>
        <w:rPr/>
        <w:t>CH155.</w:t>
      </w:r>
      <w:r>
        <w:rPr>
          <w:spacing w:val="-2"/>
        </w:rPr>
        <w:t> </w:t>
      </w:r>
      <w:r>
        <w:rPr/>
        <w:t>This</w:t>
      </w:r>
      <w:r>
        <w:rPr>
          <w:spacing w:val="-3"/>
        </w:rPr>
        <w:t> </w:t>
      </w:r>
      <w:r>
        <w:rPr/>
        <w:t>is</w:t>
      </w:r>
      <w:r>
        <w:rPr>
          <w:spacing w:val="-3"/>
        </w:rPr>
        <w:t> </w:t>
      </w:r>
      <w:r>
        <w:rPr/>
        <w:t>shown</w:t>
      </w:r>
      <w:r>
        <w:rPr>
          <w:spacing w:val="-2"/>
        </w:rPr>
        <w:t> </w:t>
      </w:r>
      <w:r>
        <w:rPr/>
        <w:t>in</w:t>
      </w:r>
      <w:r>
        <w:rPr>
          <w:spacing w:val="-2"/>
        </w:rPr>
        <w:t> </w:t>
      </w:r>
      <w:r>
        <w:rPr/>
        <w:t>Figure 61.</w:t>
      </w:r>
    </w:p>
    <w:p>
      <w:pPr>
        <w:pStyle w:val="BodyText"/>
        <w:spacing w:before="5"/>
        <w:rPr>
          <w:sz w:val="12"/>
        </w:rPr>
      </w:pPr>
      <w:r>
        <w:rPr/>
        <w:drawing>
          <wp:anchor distT="0" distB="0" distL="0" distR="0" allowOverlap="1" layoutInCell="1" locked="0" behindDoc="0" simplePos="0" relativeHeight="8080">
            <wp:simplePos x="0" y="0"/>
            <wp:positionH relativeFrom="page">
              <wp:posOffset>754735</wp:posOffset>
            </wp:positionH>
            <wp:positionV relativeFrom="paragraph">
              <wp:posOffset>115780</wp:posOffset>
            </wp:positionV>
            <wp:extent cx="5150536" cy="2214276"/>
            <wp:effectExtent l="0" t="0" r="0" b="0"/>
            <wp:wrapTopAndBottom/>
            <wp:docPr id="129" name="image170.png" descr=""/>
            <wp:cNvGraphicFramePr>
              <a:graphicFrameLocks noChangeAspect="1"/>
            </wp:cNvGraphicFramePr>
            <a:graphic>
              <a:graphicData uri="http://schemas.openxmlformats.org/drawingml/2006/picture">
                <pic:pic>
                  <pic:nvPicPr>
                    <pic:cNvPr id="130" name="image170.png"/>
                    <pic:cNvPicPr/>
                  </pic:nvPicPr>
                  <pic:blipFill>
                    <a:blip r:embed="rId380" cstate="print"/>
                    <a:stretch>
                      <a:fillRect/>
                    </a:stretch>
                  </pic:blipFill>
                  <pic:spPr>
                    <a:xfrm>
                      <a:off x="0" y="0"/>
                      <a:ext cx="5150536" cy="2214276"/>
                    </a:xfrm>
                    <a:prstGeom prst="rect">
                      <a:avLst/>
                    </a:prstGeom>
                  </pic:spPr>
                </pic:pic>
              </a:graphicData>
            </a:graphic>
          </wp:anchor>
        </w:drawing>
      </w:r>
    </w:p>
    <w:p>
      <w:pPr>
        <w:pStyle w:val="BodyText"/>
        <w:spacing w:before="5"/>
        <w:rPr>
          <w:sz w:val="21"/>
        </w:rPr>
      </w:pPr>
    </w:p>
    <w:p>
      <w:pPr>
        <w:pStyle w:val="Heading4"/>
        <w:jc w:val="both"/>
      </w:pPr>
      <w:r>
        <w:rPr/>
        <w:t>Figure 61: Frequency layout of the U-NII-3 LOS Interference Test</w:t>
      </w:r>
    </w:p>
    <w:p>
      <w:pPr>
        <w:spacing w:after="0"/>
        <w:jc w:val="both"/>
        <w:sectPr>
          <w:headerReference w:type="default" r:id="rId377"/>
          <w:pgSz w:w="11910" w:h="16850"/>
          <w:pgMar w:header="852" w:footer="979" w:top="1040" w:bottom="1160" w:left="0" w:right="0"/>
        </w:sectPr>
      </w:pPr>
    </w:p>
    <w:p>
      <w:pPr>
        <w:pStyle w:val="BodyText"/>
        <w:spacing w:before="2"/>
        <w:rPr>
          <w:b/>
          <w:sz w:val="23"/>
        </w:rPr>
      </w:pPr>
    </w:p>
    <w:p>
      <w:pPr>
        <w:pStyle w:val="BodyText"/>
        <w:spacing w:before="93"/>
        <w:ind w:left="1133" w:right="1130"/>
        <w:jc w:val="both"/>
      </w:pPr>
      <w:r>
        <w:rPr/>
        <w:t>Figure 62 shows the test setup. This setup is identical to the LOS test setup in section 8.5.1 except that the interferer</w:t>
      </w:r>
      <w:r>
        <w:rPr>
          <w:spacing w:val="-4"/>
        </w:rPr>
        <w:t> </w:t>
      </w:r>
      <w:r>
        <w:rPr/>
        <w:t>is</w:t>
      </w:r>
      <w:r>
        <w:rPr>
          <w:spacing w:val="-4"/>
        </w:rPr>
        <w:t> </w:t>
      </w:r>
      <w:r>
        <w:rPr/>
        <w:t>placed</w:t>
      </w:r>
      <w:r>
        <w:rPr>
          <w:spacing w:val="-6"/>
        </w:rPr>
        <w:t> </w:t>
      </w:r>
      <w:r>
        <w:rPr/>
        <w:t>in</w:t>
      </w:r>
      <w:r>
        <w:rPr>
          <w:spacing w:val="-6"/>
        </w:rPr>
        <w:t> </w:t>
      </w:r>
      <w:r>
        <w:rPr/>
        <w:t>the</w:t>
      </w:r>
      <w:r>
        <w:rPr>
          <w:spacing w:val="-6"/>
        </w:rPr>
        <w:t> </w:t>
      </w:r>
      <w:r>
        <w:rPr/>
        <w:t>same</w:t>
      </w:r>
      <w:r>
        <w:rPr>
          <w:spacing w:val="-6"/>
        </w:rPr>
        <w:t> </w:t>
      </w:r>
      <w:r>
        <w:rPr/>
        <w:t>line</w:t>
      </w:r>
      <w:r>
        <w:rPr>
          <w:spacing w:val="-6"/>
        </w:rPr>
        <w:t> </w:t>
      </w:r>
      <w:r>
        <w:rPr/>
        <w:t>as</w:t>
      </w:r>
      <w:r>
        <w:rPr>
          <w:spacing w:val="-5"/>
        </w:rPr>
        <w:t> </w:t>
      </w:r>
      <w:r>
        <w:rPr/>
        <w:t>the</w:t>
      </w:r>
      <w:r>
        <w:rPr>
          <w:spacing w:val="-6"/>
        </w:rPr>
        <w:t> </w:t>
      </w:r>
      <w:r>
        <w:rPr/>
        <w:t>SV</w:t>
      </w:r>
      <w:r>
        <w:rPr>
          <w:spacing w:val="-6"/>
        </w:rPr>
        <w:t> </w:t>
      </w:r>
      <w:r>
        <w:rPr/>
        <w:t>13</w:t>
      </w:r>
      <w:r>
        <w:rPr>
          <w:spacing w:val="-6"/>
        </w:rPr>
        <w:t> </w:t>
      </w:r>
      <w:r>
        <w:rPr/>
        <w:t>m</w:t>
      </w:r>
      <w:r>
        <w:rPr>
          <w:spacing w:val="-1"/>
        </w:rPr>
        <w:t> </w:t>
      </w:r>
      <w:r>
        <w:rPr/>
        <w:t>away</w:t>
      </w:r>
      <w:r>
        <w:rPr>
          <w:spacing w:val="-8"/>
        </w:rPr>
        <w:t> </w:t>
      </w:r>
      <w:r>
        <w:rPr/>
        <w:t>as</w:t>
      </w:r>
      <w:r>
        <w:rPr>
          <w:spacing w:val="-5"/>
        </w:rPr>
        <w:t> </w:t>
      </w:r>
      <w:r>
        <w:rPr/>
        <w:t>Figure 62</w:t>
      </w:r>
      <w:r>
        <w:rPr>
          <w:spacing w:val="-6"/>
        </w:rPr>
        <w:t> </w:t>
      </w:r>
      <w:r>
        <w:rPr/>
        <w:t>shows.</w:t>
      </w:r>
      <w:r>
        <w:rPr>
          <w:spacing w:val="-5"/>
        </w:rPr>
        <w:t> </w:t>
      </w:r>
      <w:r>
        <w:rPr/>
        <w:t>The</w:t>
      </w:r>
      <w:r>
        <w:rPr>
          <w:spacing w:val="-6"/>
        </w:rPr>
        <w:t> </w:t>
      </w:r>
      <w:r>
        <w:rPr/>
        <w:t>same</w:t>
      </w:r>
      <w:r>
        <w:rPr>
          <w:spacing w:val="-6"/>
        </w:rPr>
        <w:t> </w:t>
      </w:r>
      <w:r>
        <w:rPr/>
        <w:t>test</w:t>
      </w:r>
      <w:r>
        <w:rPr>
          <w:spacing w:val="-5"/>
        </w:rPr>
        <w:t> </w:t>
      </w:r>
      <w:r>
        <w:rPr/>
        <w:t>track</w:t>
      </w:r>
      <w:r>
        <w:rPr>
          <w:spacing w:val="-2"/>
        </w:rPr>
        <w:t> </w:t>
      </w:r>
      <w:r>
        <w:rPr/>
        <w:t>(Road</w:t>
      </w:r>
      <w:r>
        <w:rPr>
          <w:spacing w:val="-6"/>
        </w:rPr>
        <w:t> </w:t>
      </w:r>
      <w:r>
        <w:rPr/>
        <w:t>A</w:t>
      </w:r>
      <w:r>
        <w:rPr>
          <w:spacing w:val="-6"/>
        </w:rPr>
        <w:t> </w:t>
      </w:r>
      <w:r>
        <w:rPr/>
        <w:t>at FPG) was used in this test. The moving vehicle (MV) starts in front of the stationary vehicle (SV) and moves away in the same lane at a constant speed of 20 mph. At the end of the test track it performs a </w:t>
      </w:r>
      <w:r>
        <w:rPr>
          <w:spacing w:val="2"/>
        </w:rPr>
        <w:t>U-turn </w:t>
      </w:r>
      <w:r>
        <w:rPr/>
        <w:t>and moves back in the neighboring lane. After passing SV in the opposite direction, it performs a U-turn and gets into the initial position without stopping. As in the LOS test case, D is the length of the test track (1.35</w:t>
      </w:r>
      <w:r>
        <w:rPr>
          <w:spacing w:val="-27"/>
        </w:rPr>
        <w:t> </w:t>
      </w:r>
      <w:r>
        <w:rPr/>
        <w:t>km).</w:t>
      </w:r>
    </w:p>
    <w:p>
      <w:pPr>
        <w:pStyle w:val="BodyText"/>
        <w:spacing w:before="5"/>
        <w:rPr>
          <w:sz w:val="12"/>
        </w:rPr>
      </w:pPr>
      <w:r>
        <w:rPr/>
        <w:drawing>
          <wp:anchor distT="0" distB="0" distL="0" distR="0" allowOverlap="1" layoutInCell="1" locked="0" behindDoc="0" simplePos="0" relativeHeight="8104">
            <wp:simplePos x="0" y="0"/>
            <wp:positionH relativeFrom="page">
              <wp:posOffset>751205</wp:posOffset>
            </wp:positionH>
            <wp:positionV relativeFrom="paragraph">
              <wp:posOffset>115847</wp:posOffset>
            </wp:positionV>
            <wp:extent cx="6039289" cy="3133725"/>
            <wp:effectExtent l="0" t="0" r="0" b="0"/>
            <wp:wrapTopAndBottom/>
            <wp:docPr id="133" name="image171.png" descr=""/>
            <wp:cNvGraphicFramePr>
              <a:graphicFrameLocks noChangeAspect="1"/>
            </wp:cNvGraphicFramePr>
            <a:graphic>
              <a:graphicData uri="http://schemas.openxmlformats.org/drawingml/2006/picture">
                <pic:pic>
                  <pic:nvPicPr>
                    <pic:cNvPr id="134" name="image171.png"/>
                    <pic:cNvPicPr/>
                  </pic:nvPicPr>
                  <pic:blipFill>
                    <a:blip r:embed="rId383" cstate="print"/>
                    <a:stretch>
                      <a:fillRect/>
                    </a:stretch>
                  </pic:blipFill>
                  <pic:spPr>
                    <a:xfrm>
                      <a:off x="0" y="0"/>
                      <a:ext cx="6039289" cy="3133725"/>
                    </a:xfrm>
                    <a:prstGeom prst="rect">
                      <a:avLst/>
                    </a:prstGeom>
                  </pic:spPr>
                </pic:pic>
              </a:graphicData>
            </a:graphic>
          </wp:anchor>
        </w:drawing>
      </w:r>
    </w:p>
    <w:p>
      <w:pPr>
        <w:pStyle w:val="Heading4"/>
        <w:spacing w:before="51"/>
        <w:jc w:val="both"/>
      </w:pPr>
      <w:r>
        <w:rPr/>
        <w:t>Figure 62: LOS U-NII-3 interference test setup. D is the length of the test track</w:t>
      </w:r>
    </w:p>
    <w:p>
      <w:pPr>
        <w:pStyle w:val="BodyText"/>
        <w:rPr>
          <w:b/>
          <w:sz w:val="26"/>
        </w:rPr>
      </w:pPr>
    </w:p>
    <w:p>
      <w:pPr>
        <w:pStyle w:val="BodyText"/>
        <w:spacing w:before="183"/>
        <w:ind w:left="1133" w:right="1137"/>
        <w:jc w:val="both"/>
      </w:pPr>
      <w:r>
        <w:rPr/>
        <w:t>Interference is generated by the signal generator. We used a Rohde and Schwartz SMBV100A signal generator with the configuration listed in Table 30.</w:t>
      </w:r>
    </w:p>
    <w:p>
      <w:pPr>
        <w:pStyle w:val="BodyText"/>
        <w:spacing w:before="5"/>
      </w:pPr>
    </w:p>
    <w:p>
      <w:pPr>
        <w:pStyle w:val="Heading7"/>
        <w:jc w:val="both"/>
      </w:pPr>
      <w:r>
        <w:rPr/>
        <w:t>Table 30 U-NII-3 interference test signal generator configuration parameters</w:t>
      </w:r>
    </w:p>
    <w:p>
      <w:pPr>
        <w:pStyle w:val="BodyText"/>
        <w:spacing w:after="1"/>
        <w:rPr>
          <w:b/>
          <w:sz w:val="16"/>
        </w:rPr>
      </w:pPr>
    </w:p>
    <w:tbl>
      <w:tblPr>
        <w:tblW w:w="0" w:type="auto"/>
        <w:jc w:val="left"/>
        <w:tblInd w:w="2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52"/>
        <w:gridCol w:w="2965"/>
      </w:tblGrid>
      <w:tr>
        <w:trPr>
          <w:trHeight w:val="218" w:hRule="exact"/>
        </w:trPr>
        <w:tc>
          <w:tcPr>
            <w:tcW w:w="4052" w:type="dxa"/>
            <w:shd w:val="clear" w:color="auto" w:fill="D9D9D9"/>
          </w:tcPr>
          <w:p>
            <w:pPr>
              <w:pStyle w:val="TableParagraph"/>
              <w:spacing w:line="201" w:lineRule="exact"/>
              <w:rPr>
                <w:b/>
                <w:sz w:val="18"/>
              </w:rPr>
            </w:pPr>
            <w:r>
              <w:rPr>
                <w:b/>
                <w:sz w:val="18"/>
              </w:rPr>
              <w:t>Configuration parameter</w:t>
            </w:r>
          </w:p>
        </w:tc>
        <w:tc>
          <w:tcPr>
            <w:tcW w:w="2965" w:type="dxa"/>
            <w:shd w:val="clear" w:color="auto" w:fill="D9D9D9"/>
          </w:tcPr>
          <w:p>
            <w:pPr>
              <w:pStyle w:val="TableParagraph"/>
              <w:spacing w:line="201" w:lineRule="exact"/>
              <w:rPr>
                <w:b/>
                <w:sz w:val="18"/>
              </w:rPr>
            </w:pPr>
            <w:r>
              <w:rPr>
                <w:b/>
                <w:sz w:val="18"/>
              </w:rPr>
              <w:t>Value</w:t>
            </w:r>
          </w:p>
        </w:tc>
      </w:tr>
      <w:tr>
        <w:trPr>
          <w:trHeight w:val="216" w:hRule="exact"/>
        </w:trPr>
        <w:tc>
          <w:tcPr>
            <w:tcW w:w="4052" w:type="dxa"/>
          </w:tcPr>
          <w:p>
            <w:pPr>
              <w:pStyle w:val="TableParagraph"/>
              <w:rPr>
                <w:sz w:val="18"/>
              </w:rPr>
            </w:pPr>
            <w:r>
              <w:rPr>
                <w:sz w:val="18"/>
              </w:rPr>
              <w:t>Frequency</w:t>
            </w:r>
          </w:p>
        </w:tc>
        <w:tc>
          <w:tcPr>
            <w:tcW w:w="2965" w:type="dxa"/>
          </w:tcPr>
          <w:p>
            <w:pPr>
              <w:pStyle w:val="TableParagraph"/>
              <w:rPr>
                <w:sz w:val="18"/>
              </w:rPr>
            </w:pPr>
            <w:r>
              <w:rPr>
                <w:sz w:val="18"/>
              </w:rPr>
              <w:t>5.835 GHz</w:t>
            </w:r>
          </w:p>
        </w:tc>
      </w:tr>
      <w:tr>
        <w:trPr>
          <w:trHeight w:val="216" w:hRule="exact"/>
        </w:trPr>
        <w:tc>
          <w:tcPr>
            <w:tcW w:w="4052" w:type="dxa"/>
          </w:tcPr>
          <w:p>
            <w:pPr>
              <w:pStyle w:val="TableParagraph"/>
              <w:rPr>
                <w:sz w:val="18"/>
              </w:rPr>
            </w:pPr>
            <w:r>
              <w:rPr>
                <w:sz w:val="18"/>
              </w:rPr>
              <w:t>Frame Block Configuration (Std)</w:t>
            </w:r>
          </w:p>
        </w:tc>
        <w:tc>
          <w:tcPr>
            <w:tcW w:w="2965" w:type="dxa"/>
          </w:tcPr>
          <w:p>
            <w:pPr>
              <w:pStyle w:val="TableParagraph"/>
              <w:rPr>
                <w:sz w:val="18"/>
              </w:rPr>
            </w:pPr>
            <w:r>
              <w:rPr>
                <w:sz w:val="18"/>
              </w:rPr>
              <w:t>11ac</w:t>
            </w:r>
          </w:p>
        </w:tc>
      </w:tr>
      <w:tr>
        <w:trPr>
          <w:trHeight w:val="218" w:hRule="exact"/>
        </w:trPr>
        <w:tc>
          <w:tcPr>
            <w:tcW w:w="4052" w:type="dxa"/>
          </w:tcPr>
          <w:p>
            <w:pPr>
              <w:pStyle w:val="TableParagraph"/>
              <w:spacing w:line="240" w:lineRule="auto" w:before="1"/>
              <w:rPr>
                <w:sz w:val="18"/>
              </w:rPr>
            </w:pPr>
            <w:r>
              <w:rPr>
                <w:sz w:val="18"/>
              </w:rPr>
              <w:t>Frame Block Configuration (Type)</w:t>
            </w:r>
          </w:p>
        </w:tc>
        <w:tc>
          <w:tcPr>
            <w:tcW w:w="2965" w:type="dxa"/>
          </w:tcPr>
          <w:p>
            <w:pPr>
              <w:pStyle w:val="TableParagraph"/>
              <w:spacing w:line="240" w:lineRule="auto" w:before="1"/>
              <w:rPr>
                <w:sz w:val="18"/>
              </w:rPr>
            </w:pPr>
            <w:r>
              <w:rPr>
                <w:sz w:val="18"/>
              </w:rPr>
              <w:t>Data</w:t>
            </w:r>
          </w:p>
        </w:tc>
      </w:tr>
      <w:tr>
        <w:trPr>
          <w:trHeight w:val="216" w:hRule="exact"/>
        </w:trPr>
        <w:tc>
          <w:tcPr>
            <w:tcW w:w="4052" w:type="dxa"/>
          </w:tcPr>
          <w:p>
            <w:pPr>
              <w:pStyle w:val="TableParagraph"/>
              <w:rPr>
                <w:sz w:val="18"/>
              </w:rPr>
            </w:pPr>
            <w:r>
              <w:rPr>
                <w:sz w:val="18"/>
              </w:rPr>
              <w:t>Frame Block Configuration (Physical Mode)</w:t>
            </w:r>
          </w:p>
        </w:tc>
        <w:tc>
          <w:tcPr>
            <w:tcW w:w="2965" w:type="dxa"/>
          </w:tcPr>
          <w:p>
            <w:pPr>
              <w:pStyle w:val="TableParagraph"/>
              <w:rPr>
                <w:sz w:val="18"/>
              </w:rPr>
            </w:pPr>
            <w:r>
              <w:rPr>
                <w:sz w:val="18"/>
              </w:rPr>
              <w:t>Mixed</w:t>
            </w:r>
          </w:p>
        </w:tc>
      </w:tr>
      <w:tr>
        <w:trPr>
          <w:trHeight w:val="218" w:hRule="exact"/>
        </w:trPr>
        <w:tc>
          <w:tcPr>
            <w:tcW w:w="4052" w:type="dxa"/>
          </w:tcPr>
          <w:p>
            <w:pPr>
              <w:pStyle w:val="TableParagraph"/>
              <w:rPr>
                <w:sz w:val="18"/>
              </w:rPr>
            </w:pPr>
            <w:r>
              <w:rPr>
                <w:sz w:val="18"/>
              </w:rPr>
              <w:t>Frame Block Configuration (Tx Mode)</w:t>
            </w:r>
          </w:p>
        </w:tc>
        <w:tc>
          <w:tcPr>
            <w:tcW w:w="2965" w:type="dxa"/>
          </w:tcPr>
          <w:p>
            <w:pPr>
              <w:pStyle w:val="TableParagraph"/>
              <w:rPr>
                <w:sz w:val="18"/>
              </w:rPr>
            </w:pPr>
            <w:r>
              <w:rPr>
                <w:sz w:val="18"/>
              </w:rPr>
              <w:t>VHT-80MHz</w:t>
            </w:r>
          </w:p>
        </w:tc>
      </w:tr>
      <w:tr>
        <w:trPr>
          <w:trHeight w:val="216" w:hRule="exact"/>
        </w:trPr>
        <w:tc>
          <w:tcPr>
            <w:tcW w:w="4052" w:type="dxa"/>
          </w:tcPr>
          <w:p>
            <w:pPr>
              <w:pStyle w:val="TableParagraph"/>
              <w:rPr>
                <w:sz w:val="18"/>
              </w:rPr>
            </w:pPr>
            <w:r>
              <w:rPr>
                <w:sz w:val="18"/>
              </w:rPr>
              <w:t>Frame Block Configuration (Frames)</w:t>
            </w:r>
          </w:p>
        </w:tc>
        <w:tc>
          <w:tcPr>
            <w:tcW w:w="2965" w:type="dxa"/>
          </w:tcPr>
          <w:p>
            <w:pPr>
              <w:pStyle w:val="TableParagraph"/>
              <w:rPr>
                <w:sz w:val="18"/>
              </w:rPr>
            </w:pPr>
            <w:r>
              <w:rPr>
                <w:w w:val="99"/>
                <w:sz w:val="18"/>
              </w:rPr>
              <w:t>1</w:t>
            </w:r>
          </w:p>
        </w:tc>
      </w:tr>
      <w:tr>
        <w:trPr>
          <w:trHeight w:val="218" w:hRule="exact"/>
        </w:trPr>
        <w:tc>
          <w:tcPr>
            <w:tcW w:w="4052" w:type="dxa"/>
          </w:tcPr>
          <w:p>
            <w:pPr>
              <w:pStyle w:val="TableParagraph"/>
              <w:rPr>
                <w:sz w:val="18"/>
              </w:rPr>
            </w:pPr>
            <w:r>
              <w:rPr>
                <w:sz w:val="18"/>
              </w:rPr>
              <w:t>Frame Block Configuration (Idle time/ms)</w:t>
            </w:r>
          </w:p>
        </w:tc>
        <w:tc>
          <w:tcPr>
            <w:tcW w:w="2965" w:type="dxa"/>
          </w:tcPr>
          <w:p>
            <w:pPr>
              <w:pStyle w:val="TableParagraph"/>
              <w:rPr>
                <w:sz w:val="18"/>
              </w:rPr>
            </w:pPr>
            <w:r>
              <w:rPr>
                <w:sz w:val="18"/>
              </w:rPr>
              <w:t>0.081</w:t>
            </w:r>
          </w:p>
        </w:tc>
      </w:tr>
      <w:tr>
        <w:trPr>
          <w:trHeight w:val="217" w:hRule="exact"/>
        </w:trPr>
        <w:tc>
          <w:tcPr>
            <w:tcW w:w="4052" w:type="dxa"/>
          </w:tcPr>
          <w:p>
            <w:pPr>
              <w:pStyle w:val="TableParagraph"/>
              <w:rPr>
                <w:sz w:val="18"/>
              </w:rPr>
            </w:pPr>
            <w:r>
              <w:rPr>
                <w:sz w:val="18"/>
              </w:rPr>
              <w:t>Frame Block Configuration (Data)</w:t>
            </w:r>
          </w:p>
        </w:tc>
        <w:tc>
          <w:tcPr>
            <w:tcW w:w="2965" w:type="dxa"/>
          </w:tcPr>
          <w:p>
            <w:pPr>
              <w:pStyle w:val="TableParagraph"/>
              <w:rPr>
                <w:sz w:val="18"/>
              </w:rPr>
            </w:pPr>
            <w:r>
              <w:rPr>
                <w:sz w:val="18"/>
              </w:rPr>
              <w:t>A-MPDU</w:t>
            </w:r>
          </w:p>
        </w:tc>
      </w:tr>
      <w:tr>
        <w:trPr>
          <w:trHeight w:val="216" w:hRule="exact"/>
        </w:trPr>
        <w:tc>
          <w:tcPr>
            <w:tcW w:w="4052" w:type="dxa"/>
          </w:tcPr>
          <w:p>
            <w:pPr>
              <w:pStyle w:val="TableParagraph"/>
              <w:rPr>
                <w:sz w:val="18"/>
              </w:rPr>
            </w:pPr>
            <w:r>
              <w:rPr>
                <w:sz w:val="18"/>
              </w:rPr>
              <w:t>Frame Block Configuration (A-MPDU length)</w:t>
            </w:r>
          </w:p>
        </w:tc>
        <w:tc>
          <w:tcPr>
            <w:tcW w:w="2965" w:type="dxa"/>
          </w:tcPr>
          <w:p>
            <w:pPr>
              <w:pStyle w:val="TableParagraph"/>
              <w:rPr>
                <w:sz w:val="18"/>
              </w:rPr>
            </w:pPr>
            <w:r>
              <w:rPr>
                <w:sz w:val="18"/>
              </w:rPr>
              <w:t>1484 bytes</w:t>
            </w:r>
          </w:p>
        </w:tc>
      </w:tr>
      <w:tr>
        <w:trPr>
          <w:trHeight w:val="218" w:hRule="exact"/>
        </w:trPr>
        <w:tc>
          <w:tcPr>
            <w:tcW w:w="4052" w:type="dxa"/>
          </w:tcPr>
          <w:p>
            <w:pPr>
              <w:pStyle w:val="TableParagraph"/>
              <w:spacing w:line="240" w:lineRule="auto" w:before="1"/>
              <w:rPr>
                <w:sz w:val="18"/>
              </w:rPr>
            </w:pPr>
            <w:r>
              <w:rPr>
                <w:sz w:val="18"/>
              </w:rPr>
              <w:t>Frame Block Configuration (DRate/Mbps)</w:t>
            </w:r>
          </w:p>
        </w:tc>
        <w:tc>
          <w:tcPr>
            <w:tcW w:w="2965" w:type="dxa"/>
          </w:tcPr>
          <w:p>
            <w:pPr>
              <w:pStyle w:val="TableParagraph"/>
              <w:spacing w:line="240" w:lineRule="auto" w:before="1"/>
              <w:rPr>
                <w:sz w:val="18"/>
              </w:rPr>
            </w:pPr>
            <w:r>
              <w:rPr>
                <w:sz w:val="18"/>
              </w:rPr>
              <w:t>58.50</w:t>
            </w:r>
          </w:p>
        </w:tc>
      </w:tr>
      <w:tr>
        <w:trPr>
          <w:trHeight w:val="216" w:hRule="exact"/>
        </w:trPr>
        <w:tc>
          <w:tcPr>
            <w:tcW w:w="4052" w:type="dxa"/>
          </w:tcPr>
          <w:p>
            <w:pPr>
              <w:pStyle w:val="TableParagraph"/>
              <w:rPr>
                <w:sz w:val="18"/>
              </w:rPr>
            </w:pPr>
            <w:r>
              <w:rPr>
                <w:sz w:val="18"/>
              </w:rPr>
              <w:t>Frame Block Configuration (State)</w:t>
            </w:r>
          </w:p>
        </w:tc>
        <w:tc>
          <w:tcPr>
            <w:tcW w:w="2965" w:type="dxa"/>
          </w:tcPr>
          <w:p>
            <w:pPr>
              <w:pStyle w:val="TableParagraph"/>
              <w:rPr>
                <w:sz w:val="18"/>
              </w:rPr>
            </w:pPr>
            <w:r>
              <w:rPr>
                <w:sz w:val="18"/>
              </w:rPr>
              <w:t>On</w:t>
            </w:r>
          </w:p>
        </w:tc>
      </w:tr>
      <w:tr>
        <w:trPr>
          <w:trHeight w:val="218" w:hRule="exact"/>
        </w:trPr>
        <w:tc>
          <w:tcPr>
            <w:tcW w:w="4052" w:type="dxa"/>
          </w:tcPr>
          <w:p>
            <w:pPr>
              <w:pStyle w:val="TableParagraph"/>
              <w:rPr>
                <w:sz w:val="18"/>
              </w:rPr>
            </w:pPr>
            <w:r>
              <w:rPr>
                <w:sz w:val="18"/>
              </w:rPr>
              <w:t>Clipping setting (State)</w:t>
            </w:r>
          </w:p>
        </w:tc>
        <w:tc>
          <w:tcPr>
            <w:tcW w:w="2965" w:type="dxa"/>
          </w:tcPr>
          <w:p>
            <w:pPr>
              <w:pStyle w:val="TableParagraph"/>
              <w:rPr>
                <w:sz w:val="18"/>
              </w:rPr>
            </w:pPr>
            <w:r>
              <w:rPr>
                <w:sz w:val="18"/>
              </w:rPr>
              <w:t>On</w:t>
            </w:r>
          </w:p>
        </w:tc>
      </w:tr>
      <w:tr>
        <w:trPr>
          <w:trHeight w:val="216" w:hRule="exact"/>
        </w:trPr>
        <w:tc>
          <w:tcPr>
            <w:tcW w:w="4052" w:type="dxa"/>
          </w:tcPr>
          <w:p>
            <w:pPr>
              <w:pStyle w:val="TableParagraph"/>
              <w:rPr>
                <w:sz w:val="18"/>
              </w:rPr>
            </w:pPr>
            <w:r>
              <w:rPr>
                <w:sz w:val="18"/>
              </w:rPr>
              <w:t>Clipping setting (Level)</w:t>
            </w:r>
          </w:p>
        </w:tc>
        <w:tc>
          <w:tcPr>
            <w:tcW w:w="2965" w:type="dxa"/>
          </w:tcPr>
          <w:p>
            <w:pPr>
              <w:pStyle w:val="TableParagraph"/>
              <w:rPr>
                <w:sz w:val="18"/>
              </w:rPr>
            </w:pPr>
            <w:r>
              <w:rPr>
                <w:sz w:val="18"/>
              </w:rPr>
              <w:t>100%</w:t>
            </w:r>
          </w:p>
        </w:tc>
      </w:tr>
      <w:tr>
        <w:trPr>
          <w:trHeight w:val="216" w:hRule="exact"/>
        </w:trPr>
        <w:tc>
          <w:tcPr>
            <w:tcW w:w="4052" w:type="dxa"/>
          </w:tcPr>
          <w:p>
            <w:pPr>
              <w:pStyle w:val="TableParagraph"/>
              <w:rPr>
                <w:sz w:val="18"/>
              </w:rPr>
            </w:pPr>
            <w:r>
              <w:rPr>
                <w:sz w:val="18"/>
              </w:rPr>
              <w:t>Clipping setting (Mode)</w:t>
            </w:r>
          </w:p>
        </w:tc>
        <w:tc>
          <w:tcPr>
            <w:tcW w:w="2965" w:type="dxa"/>
          </w:tcPr>
          <w:p>
            <w:pPr>
              <w:pStyle w:val="TableParagraph"/>
              <w:rPr>
                <w:sz w:val="18"/>
              </w:rPr>
            </w:pPr>
            <w:r>
              <w:rPr>
                <w:sz w:val="18"/>
              </w:rPr>
              <w:t>Vector |i+jQ|</w:t>
            </w:r>
          </w:p>
        </w:tc>
      </w:tr>
      <w:tr>
        <w:trPr>
          <w:trHeight w:val="425" w:hRule="exact"/>
        </w:trPr>
        <w:tc>
          <w:tcPr>
            <w:tcW w:w="4052" w:type="dxa"/>
          </w:tcPr>
          <w:p>
            <w:pPr>
              <w:pStyle w:val="TableParagraph"/>
              <w:spacing w:line="240" w:lineRule="auto" w:before="1"/>
              <w:rPr>
                <w:sz w:val="18"/>
              </w:rPr>
            </w:pPr>
            <w:r>
              <w:rPr>
                <w:sz w:val="18"/>
              </w:rPr>
              <w:t>Level (power)</w:t>
            </w:r>
          </w:p>
        </w:tc>
        <w:tc>
          <w:tcPr>
            <w:tcW w:w="2965" w:type="dxa"/>
          </w:tcPr>
          <w:p>
            <w:pPr>
              <w:pStyle w:val="TableParagraph"/>
              <w:spacing w:line="240" w:lineRule="auto" w:before="1"/>
              <w:rPr>
                <w:sz w:val="18"/>
              </w:rPr>
            </w:pPr>
            <w:r>
              <w:rPr>
                <w:sz w:val="18"/>
              </w:rPr>
              <w:t>Adjustable (target 23 dBm at the antenna input)</w:t>
            </w:r>
          </w:p>
        </w:tc>
      </w:tr>
      <w:tr>
        <w:trPr>
          <w:trHeight w:val="218" w:hRule="exact"/>
        </w:trPr>
        <w:tc>
          <w:tcPr>
            <w:tcW w:w="4052" w:type="dxa"/>
          </w:tcPr>
          <w:p>
            <w:pPr>
              <w:pStyle w:val="TableParagraph"/>
              <w:rPr>
                <w:sz w:val="18"/>
              </w:rPr>
            </w:pPr>
            <w:r>
              <w:rPr>
                <w:sz w:val="18"/>
              </w:rPr>
              <w:t>Traffic source duty cycle</w:t>
            </w:r>
          </w:p>
        </w:tc>
        <w:tc>
          <w:tcPr>
            <w:tcW w:w="2965" w:type="dxa"/>
          </w:tcPr>
          <w:p>
            <w:pPr>
              <w:pStyle w:val="TableParagraph"/>
              <w:rPr>
                <w:sz w:val="18"/>
              </w:rPr>
            </w:pPr>
            <w:r>
              <w:rPr>
                <w:sz w:val="18"/>
              </w:rPr>
              <w:t>76%</w:t>
            </w:r>
          </w:p>
        </w:tc>
      </w:tr>
    </w:tbl>
    <w:p>
      <w:pPr>
        <w:pStyle w:val="BodyText"/>
        <w:spacing w:before="8"/>
        <w:rPr>
          <w:b/>
          <w:sz w:val="17"/>
        </w:rPr>
      </w:pPr>
    </w:p>
    <w:p>
      <w:pPr>
        <w:pStyle w:val="BodyText"/>
        <w:ind w:left="1133" w:right="1127"/>
        <w:jc w:val="both"/>
      </w:pPr>
      <w:r>
        <w:rPr/>
        <w:t>Output of the signal generator is connected to an RF cable to the power amplifier (Minicircuits ZVE-3W-83+) as shown in Figure 63. Output of the power amplifier is connected to a Wi-Fi base station antenna (HG2458- 06U-PRO) mounted on a tripod with the height of 7 ft 10 in (top). The loss of the two RF cables in Figure 63 was 2.1 and 2.4 dB. The measured average power at the input to the AP antenna was 23 </w:t>
      </w:r>
      <w:r>
        <w:rPr>
          <w:spacing w:val="4"/>
        </w:rPr>
        <w:t>dBm. </w:t>
      </w:r>
      <w:r>
        <w:rPr/>
        <w:t>The transmit power</w:t>
      </w:r>
      <w:r>
        <w:rPr>
          <w:spacing w:val="1"/>
        </w:rPr>
        <w:t> </w:t>
      </w:r>
      <w:r>
        <w:rPr/>
        <w:t>was</w:t>
      </w:r>
      <w:r>
        <w:rPr>
          <w:spacing w:val="-4"/>
        </w:rPr>
        <w:t> </w:t>
      </w:r>
      <w:r>
        <w:rPr/>
        <w:t>measured</w:t>
      </w:r>
      <w:r>
        <w:rPr>
          <w:spacing w:val="-2"/>
        </w:rPr>
        <w:t> </w:t>
      </w:r>
      <w:r>
        <w:rPr/>
        <w:t>with</w:t>
      </w:r>
      <w:r>
        <w:rPr>
          <w:spacing w:val="-2"/>
        </w:rPr>
        <w:t> </w:t>
      </w:r>
      <w:r>
        <w:rPr/>
        <w:t>a</w:t>
      </w:r>
      <w:r>
        <w:rPr>
          <w:spacing w:val="-5"/>
        </w:rPr>
        <w:t> </w:t>
      </w:r>
      <w:r>
        <w:rPr/>
        <w:t>power</w:t>
      </w:r>
      <w:r>
        <w:rPr>
          <w:spacing w:val="-4"/>
        </w:rPr>
        <w:t> </w:t>
      </w:r>
      <w:r>
        <w:rPr/>
        <w:t>meter</w:t>
      </w:r>
      <w:r>
        <w:rPr>
          <w:spacing w:val="-1"/>
        </w:rPr>
        <w:t> </w:t>
      </w:r>
      <w:r>
        <w:rPr/>
        <w:t>with</w:t>
      </w:r>
      <w:r>
        <w:rPr>
          <w:spacing w:val="-3"/>
        </w:rPr>
        <w:t> </w:t>
      </w:r>
      <w:r>
        <w:rPr/>
        <w:t>the</w:t>
      </w:r>
      <w:r>
        <w:rPr>
          <w:spacing w:val="-5"/>
        </w:rPr>
        <w:t> </w:t>
      </w:r>
      <w:r>
        <w:rPr/>
        <w:t>Idle Time</w:t>
      </w:r>
      <w:r>
        <w:rPr>
          <w:spacing w:val="-5"/>
        </w:rPr>
        <w:t> </w:t>
      </w:r>
      <w:r>
        <w:rPr/>
        <w:t>in</w:t>
      </w:r>
      <w:r>
        <w:rPr>
          <w:spacing w:val="-5"/>
        </w:rPr>
        <w:t> </w:t>
      </w:r>
      <w:r>
        <w:rPr/>
        <w:t>Table 30</w:t>
      </w:r>
      <w:r>
        <w:rPr>
          <w:spacing w:val="-5"/>
        </w:rPr>
        <w:t> </w:t>
      </w:r>
      <w:r>
        <w:rPr/>
        <w:t>set</w:t>
      </w:r>
      <w:r>
        <w:rPr>
          <w:spacing w:val="-4"/>
        </w:rPr>
        <w:t> </w:t>
      </w:r>
      <w:r>
        <w:rPr/>
        <w:t>to</w:t>
      </w:r>
      <w:r>
        <w:rPr>
          <w:spacing w:val="-5"/>
        </w:rPr>
        <w:t> </w:t>
      </w:r>
      <w:r>
        <w:rPr/>
        <w:t>0.001</w:t>
      </w:r>
      <w:r>
        <w:rPr>
          <w:spacing w:val="-5"/>
        </w:rPr>
        <w:t> </w:t>
      </w:r>
      <w:r>
        <w:rPr/>
        <w:t>ms.</w:t>
      </w:r>
      <w:r>
        <w:rPr>
          <w:spacing w:val="-2"/>
        </w:rPr>
        <w:t> </w:t>
      </w:r>
      <w:r>
        <w:rPr/>
        <w:t>The</w:t>
      </w:r>
      <w:r>
        <w:rPr>
          <w:spacing w:val="-5"/>
        </w:rPr>
        <w:t> </w:t>
      </w:r>
      <w:r>
        <w:rPr/>
        <w:t>power</w:t>
      </w:r>
      <w:r>
        <w:rPr>
          <w:spacing w:val="-1"/>
        </w:rPr>
        <w:t> </w:t>
      </w:r>
      <w:r>
        <w:rPr/>
        <w:t>spectrum of the signal measured at the input to the antenna is shown in Figure</w:t>
      </w:r>
      <w:r>
        <w:rPr>
          <w:spacing w:val="-22"/>
        </w:rPr>
        <w:t> </w:t>
      </w:r>
      <w:r>
        <w:rPr/>
        <w:t>64.</w:t>
      </w:r>
    </w:p>
    <w:p>
      <w:pPr>
        <w:spacing w:after="0"/>
        <w:jc w:val="both"/>
        <w:sectPr>
          <w:headerReference w:type="default" r:id="rId381"/>
          <w:footerReference w:type="default" r:id="rId382"/>
          <w:pgSz w:w="11910" w:h="16850"/>
          <w:pgMar w:header="852" w:footer="979" w:top="1040" w:bottom="1160" w:left="0" w:right="0"/>
        </w:sectPr>
      </w:pPr>
    </w:p>
    <w:p>
      <w:pPr>
        <w:pStyle w:val="BodyText"/>
        <w:spacing w:before="10"/>
        <w:rPr>
          <w:sz w:val="24"/>
        </w:rPr>
      </w:pPr>
    </w:p>
    <w:p>
      <w:pPr>
        <w:pStyle w:val="BodyText"/>
        <w:spacing w:before="93"/>
        <w:ind w:left="1133"/>
        <w:jc w:val="both"/>
      </w:pPr>
      <w:r>
        <w:rPr/>
        <w:drawing>
          <wp:anchor distT="0" distB="0" distL="0" distR="0" allowOverlap="1" layoutInCell="1" locked="0" behindDoc="1" simplePos="0" relativeHeight="267935591">
            <wp:simplePos x="0" y="0"/>
            <wp:positionH relativeFrom="page">
              <wp:posOffset>5309361</wp:posOffset>
            </wp:positionH>
            <wp:positionV relativeFrom="paragraph">
              <wp:posOffset>51687</wp:posOffset>
            </wp:positionV>
            <wp:extent cx="262889" cy="156972"/>
            <wp:effectExtent l="0" t="0" r="0" b="0"/>
            <wp:wrapNone/>
            <wp:docPr id="137" name="image172.png" descr=""/>
            <wp:cNvGraphicFramePr>
              <a:graphicFrameLocks noChangeAspect="1"/>
            </wp:cNvGraphicFramePr>
            <a:graphic>
              <a:graphicData uri="http://schemas.openxmlformats.org/drawingml/2006/picture">
                <pic:pic>
                  <pic:nvPicPr>
                    <pic:cNvPr id="138" name="image172.png"/>
                    <pic:cNvPicPr/>
                  </pic:nvPicPr>
                  <pic:blipFill>
                    <a:blip r:embed="rId386" cstate="print"/>
                    <a:stretch>
                      <a:fillRect/>
                    </a:stretch>
                  </pic:blipFill>
                  <pic:spPr>
                    <a:xfrm>
                      <a:off x="0" y="0"/>
                      <a:ext cx="262889" cy="156972"/>
                    </a:xfrm>
                    <a:prstGeom prst="rect">
                      <a:avLst/>
                    </a:prstGeom>
                  </pic:spPr>
                </pic:pic>
              </a:graphicData>
            </a:graphic>
          </wp:anchor>
        </w:drawing>
      </w:r>
      <w:r>
        <w:rPr/>
        <w:drawing>
          <wp:anchor distT="0" distB="0" distL="0" distR="0" allowOverlap="1" layoutInCell="1" locked="0" behindDoc="1" simplePos="0" relativeHeight="267935615">
            <wp:simplePos x="0" y="0"/>
            <wp:positionH relativeFrom="page">
              <wp:posOffset>908608</wp:posOffset>
            </wp:positionH>
            <wp:positionV relativeFrom="paragraph">
              <wp:posOffset>211961</wp:posOffset>
            </wp:positionV>
            <wp:extent cx="262890" cy="156972"/>
            <wp:effectExtent l="0" t="0" r="0" b="0"/>
            <wp:wrapNone/>
            <wp:docPr id="139" name="image172.png" descr=""/>
            <wp:cNvGraphicFramePr>
              <a:graphicFrameLocks noChangeAspect="1"/>
            </wp:cNvGraphicFramePr>
            <a:graphic>
              <a:graphicData uri="http://schemas.openxmlformats.org/drawingml/2006/picture">
                <pic:pic>
                  <pic:nvPicPr>
                    <pic:cNvPr id="140" name="image172.png"/>
                    <pic:cNvPicPr/>
                  </pic:nvPicPr>
                  <pic:blipFill>
                    <a:blip r:embed="rId386" cstate="print"/>
                    <a:stretch>
                      <a:fillRect/>
                    </a:stretch>
                  </pic:blipFill>
                  <pic:spPr>
                    <a:xfrm>
                      <a:off x="0" y="0"/>
                      <a:ext cx="262890" cy="156972"/>
                    </a:xfrm>
                    <a:prstGeom prst="rect">
                      <a:avLst/>
                    </a:prstGeom>
                  </pic:spPr>
                </pic:pic>
              </a:graphicData>
            </a:graphic>
          </wp:anchor>
        </w:drawing>
      </w:r>
      <w:r>
        <w:rPr/>
        <w:t>The combination of packet length, data rate, and idle time duration results in 252       ON periods followed by</w:t>
      </w:r>
    </w:p>
    <w:p>
      <w:pPr>
        <w:pStyle w:val="BodyText"/>
        <w:spacing w:line="244" w:lineRule="auto" w:before="22"/>
        <w:ind w:left="1133" w:right="1138"/>
        <w:jc w:val="both"/>
      </w:pPr>
      <w:r>
        <w:rPr/>
        <w:t>81 OFF or idle periods. The application data rate is approximately 35 Mbps while the utilization of the channel is 76%. This traffic profile models high-volume data download or high data-rate video</w:t>
      </w:r>
      <w:r>
        <w:rPr>
          <w:spacing w:val="-27"/>
        </w:rPr>
        <w:t> </w:t>
      </w:r>
      <w:r>
        <w:rPr/>
        <w:t>streaming.</w:t>
      </w:r>
    </w:p>
    <w:p>
      <w:pPr>
        <w:pStyle w:val="BodyText"/>
        <w:spacing w:before="1"/>
        <w:rPr>
          <w:sz w:val="12"/>
        </w:rPr>
      </w:pPr>
      <w:r>
        <w:rPr/>
        <w:drawing>
          <wp:anchor distT="0" distB="0" distL="0" distR="0" allowOverlap="1" layoutInCell="1" locked="0" behindDoc="0" simplePos="0" relativeHeight="8128">
            <wp:simplePos x="0" y="0"/>
            <wp:positionH relativeFrom="page">
              <wp:posOffset>719455</wp:posOffset>
            </wp:positionH>
            <wp:positionV relativeFrom="paragraph">
              <wp:posOffset>113036</wp:posOffset>
            </wp:positionV>
            <wp:extent cx="3514076" cy="2590990"/>
            <wp:effectExtent l="0" t="0" r="0" b="0"/>
            <wp:wrapTopAndBottom/>
            <wp:docPr id="141" name="image173.png" descr=""/>
            <wp:cNvGraphicFramePr>
              <a:graphicFrameLocks noChangeAspect="1"/>
            </wp:cNvGraphicFramePr>
            <a:graphic>
              <a:graphicData uri="http://schemas.openxmlformats.org/drawingml/2006/picture">
                <pic:pic>
                  <pic:nvPicPr>
                    <pic:cNvPr id="142" name="image173.png"/>
                    <pic:cNvPicPr/>
                  </pic:nvPicPr>
                  <pic:blipFill>
                    <a:blip r:embed="rId387" cstate="print"/>
                    <a:stretch>
                      <a:fillRect/>
                    </a:stretch>
                  </pic:blipFill>
                  <pic:spPr>
                    <a:xfrm>
                      <a:off x="0" y="0"/>
                      <a:ext cx="3514076" cy="2590990"/>
                    </a:xfrm>
                    <a:prstGeom prst="rect">
                      <a:avLst/>
                    </a:prstGeom>
                  </pic:spPr>
                </pic:pic>
              </a:graphicData>
            </a:graphic>
          </wp:anchor>
        </w:drawing>
      </w:r>
    </w:p>
    <w:p>
      <w:pPr>
        <w:pStyle w:val="BodyText"/>
        <w:rPr>
          <w:sz w:val="22"/>
        </w:rPr>
      </w:pPr>
    </w:p>
    <w:p>
      <w:pPr>
        <w:pStyle w:val="BodyText"/>
        <w:spacing w:before="2"/>
        <w:rPr>
          <w:sz w:val="24"/>
        </w:rPr>
      </w:pPr>
    </w:p>
    <w:p>
      <w:pPr>
        <w:pStyle w:val="Heading4"/>
        <w:jc w:val="both"/>
      </w:pPr>
      <w:r>
        <w:rPr/>
        <w:t>Figure 63: U-NII-3 Interferer Setup</w:t>
      </w:r>
    </w:p>
    <w:p>
      <w:pPr>
        <w:pStyle w:val="BodyText"/>
        <w:rPr>
          <w:b/>
        </w:rPr>
      </w:pPr>
    </w:p>
    <w:p>
      <w:pPr>
        <w:pStyle w:val="BodyText"/>
        <w:spacing w:before="6"/>
        <w:rPr>
          <w:b/>
          <w:sz w:val="18"/>
        </w:rPr>
      </w:pPr>
      <w:r>
        <w:rPr/>
        <w:drawing>
          <wp:anchor distT="0" distB="0" distL="0" distR="0" allowOverlap="1" layoutInCell="1" locked="0" behindDoc="0" simplePos="0" relativeHeight="8152">
            <wp:simplePos x="0" y="0"/>
            <wp:positionH relativeFrom="page">
              <wp:posOffset>719455</wp:posOffset>
            </wp:positionH>
            <wp:positionV relativeFrom="paragraph">
              <wp:posOffset>160611</wp:posOffset>
            </wp:positionV>
            <wp:extent cx="3512208" cy="2552319"/>
            <wp:effectExtent l="0" t="0" r="0" b="0"/>
            <wp:wrapTopAndBottom/>
            <wp:docPr id="143" name="image174.jpeg" descr="C:\Users\ivukovi6\Documents\Project_2018\Data_processing\Fowlerville_test_041118\Report\Anritsu\unii3-091118_v2_ch184.jpg"/>
            <wp:cNvGraphicFramePr>
              <a:graphicFrameLocks noChangeAspect="1"/>
            </wp:cNvGraphicFramePr>
            <a:graphic>
              <a:graphicData uri="http://schemas.openxmlformats.org/drawingml/2006/picture">
                <pic:pic>
                  <pic:nvPicPr>
                    <pic:cNvPr id="144" name="image174.jpeg"/>
                    <pic:cNvPicPr/>
                  </pic:nvPicPr>
                  <pic:blipFill>
                    <a:blip r:embed="rId388" cstate="print"/>
                    <a:stretch>
                      <a:fillRect/>
                    </a:stretch>
                  </pic:blipFill>
                  <pic:spPr>
                    <a:xfrm>
                      <a:off x="0" y="0"/>
                      <a:ext cx="3512208" cy="2552319"/>
                    </a:xfrm>
                    <a:prstGeom prst="rect">
                      <a:avLst/>
                    </a:prstGeom>
                  </pic:spPr>
                </pic:pic>
              </a:graphicData>
            </a:graphic>
          </wp:anchor>
        </w:drawing>
      </w:r>
    </w:p>
    <w:p>
      <w:pPr>
        <w:pStyle w:val="BodyText"/>
        <w:spacing w:before="8"/>
        <w:rPr>
          <w:b/>
          <w:sz w:val="26"/>
        </w:rPr>
      </w:pPr>
    </w:p>
    <w:p>
      <w:pPr>
        <w:spacing w:before="0"/>
        <w:ind w:left="1133" w:right="0" w:firstLine="0"/>
        <w:jc w:val="both"/>
        <w:rPr>
          <w:b/>
          <w:sz w:val="24"/>
        </w:rPr>
      </w:pPr>
      <w:r>
        <w:rPr>
          <w:b/>
          <w:sz w:val="24"/>
        </w:rPr>
        <w:t>Figure 64: Power spectrum of the U-NII-3 interferer</w:t>
      </w:r>
    </w:p>
    <w:p>
      <w:pPr>
        <w:pStyle w:val="BodyText"/>
        <w:rPr>
          <w:b/>
          <w:sz w:val="26"/>
        </w:rPr>
      </w:pPr>
    </w:p>
    <w:p>
      <w:pPr>
        <w:pStyle w:val="BodyText"/>
        <w:spacing w:before="182"/>
        <w:ind w:left="1133" w:right="1128"/>
        <w:jc w:val="both"/>
      </w:pPr>
      <w:r>
        <w:rPr/>
        <w:t>In this test we compare the range of DSRC and C-V2X OBUs in the presence of 80-MHz wide U-NII-3 interference assuming 11 dBm equivalent transmit power of the OBUs. In Figure 65, we show PRR as a function of distance for the SV receiver. Compared to the LOS results in Section 8.5.1.1, we observe a decrease</w:t>
      </w:r>
      <w:r>
        <w:rPr>
          <w:spacing w:val="-13"/>
        </w:rPr>
        <w:t> </w:t>
      </w:r>
      <w:r>
        <w:rPr/>
        <w:t>in</w:t>
      </w:r>
      <w:r>
        <w:rPr>
          <w:spacing w:val="-13"/>
        </w:rPr>
        <w:t> </w:t>
      </w:r>
      <w:r>
        <w:rPr/>
        <w:t>range</w:t>
      </w:r>
      <w:r>
        <w:rPr>
          <w:spacing w:val="-13"/>
        </w:rPr>
        <w:t> </w:t>
      </w:r>
      <w:r>
        <w:rPr/>
        <w:t>for</w:t>
      </w:r>
      <w:r>
        <w:rPr>
          <w:spacing w:val="-14"/>
        </w:rPr>
        <w:t> </w:t>
      </w:r>
      <w:r>
        <w:rPr/>
        <w:t>both</w:t>
      </w:r>
      <w:r>
        <w:rPr>
          <w:spacing w:val="-15"/>
        </w:rPr>
        <w:t> </w:t>
      </w:r>
      <w:r>
        <w:rPr/>
        <w:t>technologies,</w:t>
      </w:r>
      <w:r>
        <w:rPr>
          <w:spacing w:val="-10"/>
        </w:rPr>
        <w:t> </w:t>
      </w:r>
      <w:r>
        <w:rPr/>
        <w:t>with</w:t>
      </w:r>
      <w:r>
        <w:rPr>
          <w:spacing w:val="-13"/>
        </w:rPr>
        <w:t> </w:t>
      </w:r>
      <w:r>
        <w:rPr/>
        <w:t>DSRC</w:t>
      </w:r>
      <w:r>
        <w:rPr>
          <w:spacing w:val="-10"/>
        </w:rPr>
        <w:t> </w:t>
      </w:r>
      <w:r>
        <w:rPr/>
        <w:t>PRR</w:t>
      </w:r>
      <w:r>
        <w:rPr>
          <w:spacing w:val="-14"/>
        </w:rPr>
        <w:t> </w:t>
      </w:r>
      <w:r>
        <w:rPr/>
        <w:t>affected</w:t>
      </w:r>
      <w:r>
        <w:rPr>
          <w:spacing w:val="-16"/>
        </w:rPr>
        <w:t> </w:t>
      </w:r>
      <w:r>
        <w:rPr/>
        <w:t>by</w:t>
      </w:r>
      <w:r>
        <w:rPr>
          <w:spacing w:val="-16"/>
        </w:rPr>
        <w:t> </w:t>
      </w:r>
      <w:r>
        <w:rPr/>
        <w:t>the</w:t>
      </w:r>
      <w:r>
        <w:rPr>
          <w:spacing w:val="-15"/>
        </w:rPr>
        <w:t> </w:t>
      </w:r>
      <w:r>
        <w:rPr/>
        <w:t>destructive</w:t>
      </w:r>
      <w:r>
        <w:rPr>
          <w:spacing w:val="-13"/>
        </w:rPr>
        <w:t> </w:t>
      </w:r>
      <w:r>
        <w:rPr/>
        <w:t>superposition</w:t>
      </w:r>
      <w:r>
        <w:rPr>
          <w:spacing w:val="-3"/>
        </w:rPr>
        <w:t> </w:t>
      </w:r>
      <w:r>
        <w:rPr/>
        <w:t>of</w:t>
      </w:r>
      <w:r>
        <w:rPr>
          <w:spacing w:val="-13"/>
        </w:rPr>
        <w:t> </w:t>
      </w:r>
      <w:r>
        <w:rPr/>
        <w:t>the</w:t>
      </w:r>
      <w:r>
        <w:rPr>
          <w:spacing w:val="-13"/>
        </w:rPr>
        <w:t> </w:t>
      </w:r>
      <w:r>
        <w:rPr/>
        <w:t>direct and reflected paths. The range for DSRC and C-V2X with U-NII-3 interference present is 300 m and 625 m, respectively. Note that DSRC PRR drops below 90% at 125 m but recovers at 75 m as the MV approaches the SV. In Figure 66 we show PRR at the MV when MV approaches the SV. PRR at the MV for the LOS</w:t>
      </w:r>
      <w:r>
        <w:rPr>
          <w:spacing w:val="-30"/>
        </w:rPr>
        <w:t> </w:t>
      </w:r>
      <w:r>
        <w:rPr/>
        <w:t>case is</w:t>
      </w:r>
      <w:r>
        <w:rPr>
          <w:spacing w:val="-4"/>
        </w:rPr>
        <w:t> </w:t>
      </w:r>
      <w:r>
        <w:rPr/>
        <w:t>also</w:t>
      </w:r>
      <w:r>
        <w:rPr>
          <w:spacing w:val="-6"/>
        </w:rPr>
        <w:t> </w:t>
      </w:r>
      <w:r>
        <w:rPr/>
        <w:t>shown</w:t>
      </w:r>
      <w:r>
        <w:rPr>
          <w:spacing w:val="-5"/>
        </w:rPr>
        <w:t> </w:t>
      </w:r>
      <w:r>
        <w:rPr/>
        <w:t>for</w:t>
      </w:r>
      <w:r>
        <w:rPr>
          <w:spacing w:val="-5"/>
        </w:rPr>
        <w:t> </w:t>
      </w:r>
      <w:r>
        <w:rPr/>
        <w:t>comparison.</w:t>
      </w:r>
      <w:r>
        <w:rPr>
          <w:spacing w:val="-10"/>
        </w:rPr>
        <w:t> </w:t>
      </w:r>
      <w:r>
        <w:rPr>
          <w:spacing w:val="4"/>
        </w:rPr>
        <w:t>We</w:t>
      </w:r>
      <w:r>
        <w:rPr>
          <w:spacing w:val="-6"/>
        </w:rPr>
        <w:t> </w:t>
      </w:r>
      <w:r>
        <w:rPr/>
        <w:t>observe</w:t>
      </w:r>
      <w:r>
        <w:rPr>
          <w:spacing w:val="-6"/>
        </w:rPr>
        <w:t> </w:t>
      </w:r>
      <w:r>
        <w:rPr/>
        <w:t>that</w:t>
      </w:r>
      <w:r>
        <w:rPr>
          <w:spacing w:val="-6"/>
        </w:rPr>
        <w:t> </w:t>
      </w:r>
      <w:r>
        <w:rPr/>
        <w:t>there</w:t>
      </w:r>
      <w:r>
        <w:rPr>
          <w:spacing w:val="-5"/>
        </w:rPr>
        <w:t> </w:t>
      </w:r>
      <w:r>
        <w:rPr/>
        <w:t>is</w:t>
      </w:r>
      <w:r>
        <w:rPr>
          <w:spacing w:val="-2"/>
        </w:rPr>
        <w:t> </w:t>
      </w:r>
      <w:r>
        <w:rPr/>
        <w:t>a</w:t>
      </w:r>
      <w:r>
        <w:rPr>
          <w:spacing w:val="-6"/>
        </w:rPr>
        <w:t> </w:t>
      </w:r>
      <w:r>
        <w:rPr/>
        <w:t>small</w:t>
      </w:r>
      <w:r>
        <w:rPr>
          <w:spacing w:val="-6"/>
        </w:rPr>
        <w:t> </w:t>
      </w:r>
      <w:r>
        <w:rPr/>
        <w:t>negative</w:t>
      </w:r>
      <w:r>
        <w:rPr>
          <w:spacing w:val="-6"/>
        </w:rPr>
        <w:t> </w:t>
      </w:r>
      <w:r>
        <w:rPr/>
        <w:t>impact</w:t>
      </w:r>
      <w:r>
        <w:rPr>
          <w:spacing w:val="-5"/>
        </w:rPr>
        <w:t> </w:t>
      </w:r>
      <w:r>
        <w:rPr/>
        <w:t>on</w:t>
      </w:r>
      <w:r>
        <w:rPr>
          <w:spacing w:val="-3"/>
        </w:rPr>
        <w:t> </w:t>
      </w:r>
      <w:r>
        <w:rPr/>
        <w:t>both</w:t>
      </w:r>
      <w:r>
        <w:rPr>
          <w:spacing w:val="-6"/>
        </w:rPr>
        <w:t> </w:t>
      </w:r>
      <w:r>
        <w:rPr/>
        <w:t>technologies</w:t>
      </w:r>
      <w:r>
        <w:rPr>
          <w:spacing w:val="-5"/>
        </w:rPr>
        <w:t> </w:t>
      </w:r>
      <w:r>
        <w:rPr/>
        <w:t>from</w:t>
      </w:r>
      <w:r>
        <w:rPr>
          <w:spacing w:val="-1"/>
        </w:rPr>
        <w:t> </w:t>
      </w:r>
      <w:r>
        <w:rPr/>
        <w:t>the presence of the UNII-3 interference. However, this degradation is significantly smaller compared to the negative impact on the reception of the SV. This is explained by the close proximity of the AP antenna to the SV. The new range is 575 m and 850 m for DSRC and C-V2X,</w:t>
      </w:r>
      <w:r>
        <w:rPr>
          <w:spacing w:val="-21"/>
        </w:rPr>
        <w:t> </w:t>
      </w:r>
      <w:r>
        <w:rPr/>
        <w:t>respectively.</w:t>
      </w:r>
    </w:p>
    <w:p>
      <w:pPr>
        <w:spacing w:after="0"/>
        <w:jc w:val="both"/>
        <w:sectPr>
          <w:headerReference w:type="default" r:id="rId384"/>
          <w:footerReference w:type="default" r:id="rId385"/>
          <w:pgSz w:w="11910" w:h="16850"/>
          <w:pgMar w:header="852" w:footer="941" w:top="1040" w:bottom="1140" w:left="0" w:right="0"/>
          <w:pgNumType w:start="91"/>
        </w:sectPr>
      </w:pPr>
    </w:p>
    <w:p>
      <w:pPr>
        <w:pStyle w:val="BodyText"/>
        <w:spacing w:before="2"/>
        <w:rPr>
          <w:sz w:val="23"/>
        </w:rPr>
      </w:pPr>
    </w:p>
    <w:p>
      <w:pPr>
        <w:pStyle w:val="BodyText"/>
        <w:spacing w:before="93"/>
        <w:ind w:left="1133" w:right="1131"/>
        <w:jc w:val="both"/>
      </w:pPr>
      <w:r>
        <w:rPr/>
        <w:t>We note that the DSRC reception at the SV is negatively impacted even for distances below range. We have observed a steady loss of packet at roughly 2 to 3%. Small PER for distance below range is also observed at the MV (Figure 66).</w:t>
      </w:r>
    </w:p>
    <w:p>
      <w:pPr>
        <w:pStyle w:val="BodyText"/>
        <w:spacing w:before="4"/>
        <w:rPr>
          <w:sz w:val="12"/>
        </w:rPr>
      </w:pPr>
      <w:r>
        <w:rPr/>
        <w:drawing>
          <wp:anchor distT="0" distB="0" distL="0" distR="0" allowOverlap="1" layoutInCell="1" locked="0" behindDoc="0" simplePos="0" relativeHeight="8224">
            <wp:simplePos x="0" y="0"/>
            <wp:positionH relativeFrom="page">
              <wp:posOffset>719455</wp:posOffset>
            </wp:positionH>
            <wp:positionV relativeFrom="paragraph">
              <wp:posOffset>115085</wp:posOffset>
            </wp:positionV>
            <wp:extent cx="5560707" cy="3086100"/>
            <wp:effectExtent l="0" t="0" r="0" b="0"/>
            <wp:wrapTopAndBottom/>
            <wp:docPr id="145" name="image175.png" descr=""/>
            <wp:cNvGraphicFramePr>
              <a:graphicFrameLocks noChangeAspect="1"/>
            </wp:cNvGraphicFramePr>
            <a:graphic>
              <a:graphicData uri="http://schemas.openxmlformats.org/drawingml/2006/picture">
                <pic:pic>
                  <pic:nvPicPr>
                    <pic:cNvPr id="146" name="image175.png"/>
                    <pic:cNvPicPr/>
                  </pic:nvPicPr>
                  <pic:blipFill>
                    <a:blip r:embed="rId390" cstate="print"/>
                    <a:stretch>
                      <a:fillRect/>
                    </a:stretch>
                  </pic:blipFill>
                  <pic:spPr>
                    <a:xfrm>
                      <a:off x="0" y="0"/>
                      <a:ext cx="5560707" cy="3086100"/>
                    </a:xfrm>
                    <a:prstGeom prst="rect">
                      <a:avLst/>
                    </a:prstGeom>
                  </pic:spPr>
                </pic:pic>
              </a:graphicData>
            </a:graphic>
          </wp:anchor>
        </w:drawing>
      </w:r>
    </w:p>
    <w:p>
      <w:pPr>
        <w:pStyle w:val="Heading4"/>
        <w:spacing w:before="86"/>
        <w:ind w:right="1134" w:firstLine="67"/>
        <w:jc w:val="both"/>
      </w:pPr>
      <w:r>
        <w:rPr/>
        <w:t>Figure</w:t>
      </w:r>
      <w:r>
        <w:rPr>
          <w:spacing w:val="-18"/>
        </w:rPr>
        <w:t> </w:t>
      </w:r>
      <w:r>
        <w:rPr/>
        <w:t>65:</w:t>
      </w:r>
      <w:r>
        <w:rPr>
          <w:spacing w:val="-15"/>
        </w:rPr>
        <w:t> </w:t>
      </w:r>
      <w:r>
        <w:rPr/>
        <w:t>U-NII-3</w:t>
      </w:r>
      <w:r>
        <w:rPr>
          <w:spacing w:val="-18"/>
        </w:rPr>
        <w:t> </w:t>
      </w:r>
      <w:r>
        <w:rPr/>
        <w:t>interference</w:t>
      </w:r>
      <w:r>
        <w:rPr>
          <w:spacing w:val="-18"/>
        </w:rPr>
        <w:t> </w:t>
      </w:r>
      <w:r>
        <w:rPr/>
        <w:t>average</w:t>
      </w:r>
      <w:r>
        <w:rPr>
          <w:spacing w:val="-16"/>
        </w:rPr>
        <w:t> </w:t>
      </w:r>
      <w:r>
        <w:rPr/>
        <w:t>Packet</w:t>
      </w:r>
      <w:r>
        <w:rPr>
          <w:spacing w:val="-19"/>
        </w:rPr>
        <w:t> </w:t>
      </w:r>
      <w:r>
        <w:rPr/>
        <w:t>Reception</w:t>
      </w:r>
      <w:r>
        <w:rPr>
          <w:spacing w:val="-19"/>
        </w:rPr>
        <w:t> </w:t>
      </w:r>
      <w:r>
        <w:rPr/>
        <w:t>Ratio</w:t>
      </w:r>
      <w:r>
        <w:rPr>
          <w:spacing w:val="-19"/>
        </w:rPr>
        <w:t> </w:t>
      </w:r>
      <w:r>
        <w:rPr/>
        <w:t>at</w:t>
      </w:r>
      <w:r>
        <w:rPr>
          <w:spacing w:val="-17"/>
        </w:rPr>
        <w:t> </w:t>
      </w:r>
      <w:r>
        <w:rPr/>
        <w:t>the</w:t>
      </w:r>
      <w:r>
        <w:rPr>
          <w:spacing w:val="-18"/>
        </w:rPr>
        <w:t> </w:t>
      </w:r>
      <w:r>
        <w:rPr/>
        <w:t>SV</w:t>
      </w:r>
      <w:r>
        <w:rPr>
          <w:spacing w:val="-18"/>
        </w:rPr>
        <w:t> </w:t>
      </w:r>
      <w:r>
        <w:rPr/>
        <w:t>as</w:t>
      </w:r>
      <w:r>
        <w:rPr>
          <w:spacing w:val="-20"/>
        </w:rPr>
        <w:t> </w:t>
      </w:r>
      <w:r>
        <w:rPr/>
        <w:t>a</w:t>
      </w:r>
      <w:r>
        <w:rPr>
          <w:spacing w:val="-16"/>
        </w:rPr>
        <w:t> </w:t>
      </w:r>
      <w:r>
        <w:rPr/>
        <w:t>function of distance between the SV and MV. LOS PRR results shown on the</w:t>
      </w:r>
      <w:r>
        <w:rPr>
          <w:spacing w:val="-18"/>
        </w:rPr>
        <w:t> </w:t>
      </w:r>
      <w:r>
        <w:rPr/>
        <w:t>right</w:t>
      </w:r>
    </w:p>
    <w:p>
      <w:pPr>
        <w:pStyle w:val="BodyText"/>
        <w:rPr>
          <w:b/>
        </w:rPr>
      </w:pPr>
    </w:p>
    <w:p>
      <w:pPr>
        <w:pStyle w:val="BodyText"/>
        <w:spacing w:before="8"/>
        <w:rPr>
          <w:b/>
          <w:sz w:val="18"/>
        </w:rPr>
      </w:pPr>
      <w:r>
        <w:rPr/>
        <w:drawing>
          <wp:anchor distT="0" distB="0" distL="0" distR="0" allowOverlap="1" layoutInCell="1" locked="0" behindDoc="0" simplePos="0" relativeHeight="8248">
            <wp:simplePos x="0" y="0"/>
            <wp:positionH relativeFrom="page">
              <wp:posOffset>719455</wp:posOffset>
            </wp:positionH>
            <wp:positionV relativeFrom="paragraph">
              <wp:posOffset>161339</wp:posOffset>
            </wp:positionV>
            <wp:extent cx="5629823" cy="3198018"/>
            <wp:effectExtent l="0" t="0" r="0" b="0"/>
            <wp:wrapTopAndBottom/>
            <wp:docPr id="147" name="image176.png" descr=""/>
            <wp:cNvGraphicFramePr>
              <a:graphicFrameLocks noChangeAspect="1"/>
            </wp:cNvGraphicFramePr>
            <a:graphic>
              <a:graphicData uri="http://schemas.openxmlformats.org/drawingml/2006/picture">
                <pic:pic>
                  <pic:nvPicPr>
                    <pic:cNvPr id="148" name="image176.png"/>
                    <pic:cNvPicPr/>
                  </pic:nvPicPr>
                  <pic:blipFill>
                    <a:blip r:embed="rId391" cstate="print"/>
                    <a:stretch>
                      <a:fillRect/>
                    </a:stretch>
                  </pic:blipFill>
                  <pic:spPr>
                    <a:xfrm>
                      <a:off x="0" y="0"/>
                      <a:ext cx="5629823" cy="3198018"/>
                    </a:xfrm>
                    <a:prstGeom prst="rect">
                      <a:avLst/>
                    </a:prstGeom>
                  </pic:spPr>
                </pic:pic>
              </a:graphicData>
            </a:graphic>
          </wp:anchor>
        </w:drawing>
      </w:r>
    </w:p>
    <w:p>
      <w:pPr>
        <w:spacing w:before="91"/>
        <w:ind w:left="1133" w:right="1135" w:firstLine="67"/>
        <w:jc w:val="both"/>
        <w:rPr>
          <w:b/>
          <w:sz w:val="24"/>
        </w:rPr>
      </w:pPr>
      <w:r>
        <w:rPr>
          <w:b/>
          <w:sz w:val="24"/>
        </w:rPr>
        <w:t>Figure 66: U-NII-3 interference average Packet Reception Ratio at the MV as a function of distance between the SV and MV. LOS PRR results shown on the left</w:t>
      </w:r>
    </w:p>
    <w:p>
      <w:pPr>
        <w:pStyle w:val="BodyText"/>
        <w:rPr>
          <w:b/>
          <w:sz w:val="26"/>
        </w:rPr>
      </w:pPr>
    </w:p>
    <w:p>
      <w:pPr>
        <w:pStyle w:val="BodyText"/>
        <w:spacing w:before="182"/>
        <w:ind w:left="1133" w:right="1130"/>
        <w:jc w:val="both"/>
      </w:pPr>
      <w:r>
        <w:rPr/>
        <w:t>In Figures 67 and 68 we show average Inter-Packet Gap (IPG) as a function of distance between SV and MV for both technologies observed by SV and MV, respectively. Small constant spikes in average IPG for DSRC indicate a constant small packet error rate which is consistent with the PRR plot in Figure 65 and Figure 66. Both IPG plots are consistent with the corresponding PRR plots indicating a sharp increase in IPG when the range is reached.</w:t>
      </w:r>
    </w:p>
    <w:p>
      <w:pPr>
        <w:spacing w:after="0"/>
        <w:jc w:val="both"/>
        <w:sectPr>
          <w:headerReference w:type="default" r:id="rId389"/>
          <w:pgSz w:w="11910" w:h="16850"/>
          <w:pgMar w:header="852" w:footer="941" w:top="1040" w:bottom="114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8"/>
        </w:rPr>
      </w:pPr>
    </w:p>
    <w:p>
      <w:pPr>
        <w:pStyle w:val="BodyText"/>
        <w:ind w:left="1133"/>
      </w:pPr>
      <w:r>
        <w:rPr/>
        <w:pict>
          <v:group style="width:467.95pt;height:281.350pt;mso-position-horizontal-relative:char;mso-position-vertical-relative:line" coordorigin="0,0" coordsize="9359,5627">
            <v:shape style="position:absolute;left:0;top:0;width:9359;height:5627" type="#_x0000_t75" stroked="false">
              <v:imagedata r:id="rId393" o:title=""/>
            </v:shape>
            <v:shape style="position:absolute;left:5812;top:424;width:2280;height:570" type="#_x0000_t75" stroked="false">
              <v:imagedata r:id="rId374" o:title=""/>
            </v:shape>
          </v:group>
        </w:pict>
      </w:r>
      <w:r>
        <w:rPr/>
      </w:r>
    </w:p>
    <w:p>
      <w:pPr>
        <w:pStyle w:val="Heading4"/>
        <w:spacing w:before="119"/>
        <w:ind w:right="1136"/>
      </w:pPr>
      <w:r>
        <w:rPr/>
        <w:t>Figure 67: U-NII-3 interference average Inter-Packet Gap vs. distance at the SV as a function of distance between the SV and MV</w:t>
      </w:r>
    </w:p>
    <w:p>
      <w:pPr>
        <w:pStyle w:val="BodyText"/>
        <w:rPr>
          <w:b/>
        </w:rPr>
      </w:pPr>
    </w:p>
    <w:p>
      <w:pPr>
        <w:pStyle w:val="BodyText"/>
        <w:spacing w:before="8"/>
        <w:rPr>
          <w:b/>
          <w:sz w:val="18"/>
        </w:rPr>
      </w:pPr>
      <w:r>
        <w:rPr/>
        <w:pict>
          <v:group style="position:absolute;margin-left:59.150002pt;margin-top:12.703884pt;width:434pt;height:260.95pt;mso-position-horizontal-relative:page;mso-position-vertical-relative:paragraph;z-index:8296;mso-wrap-distance-left:0;mso-wrap-distance-right:0" coordorigin="1183,254" coordsize="8680,5219">
            <v:shape style="position:absolute;left:1183;top:254;width:8680;height:5219" type="#_x0000_t75" stroked="false">
              <v:imagedata r:id="rId394" o:title=""/>
            </v:shape>
            <v:shape style="position:absolute;left:3330;top:631;width:2280;height:570" type="#_x0000_t75" stroked="false">
              <v:imagedata r:id="rId374" o:title=""/>
            </v:shape>
            <w10:wrap type="topAndBottom"/>
          </v:group>
        </w:pict>
      </w:r>
    </w:p>
    <w:p>
      <w:pPr>
        <w:spacing w:before="88"/>
        <w:ind w:left="1133" w:right="1136" w:firstLine="0"/>
        <w:jc w:val="left"/>
        <w:rPr>
          <w:b/>
          <w:sz w:val="24"/>
        </w:rPr>
      </w:pPr>
      <w:r>
        <w:rPr>
          <w:b/>
          <w:sz w:val="24"/>
        </w:rPr>
        <w:t>Figure 68: U-NII-3 interference average Inter-Packet Gap vs. distance at the MV as a function of distance between the SV and MV</w:t>
      </w:r>
    </w:p>
    <w:p>
      <w:pPr>
        <w:spacing w:after="0"/>
        <w:jc w:val="left"/>
        <w:rPr>
          <w:sz w:val="24"/>
        </w:rPr>
        <w:sectPr>
          <w:headerReference w:type="default" r:id="rId392"/>
          <w:pgSz w:w="11910" w:h="16850"/>
          <w:pgMar w:header="852" w:footer="941" w:top="1040" w:bottom="1160" w:left="0" w:right="0"/>
        </w:sectPr>
      </w:pPr>
    </w:p>
    <w:p>
      <w:pPr>
        <w:pStyle w:val="BodyText"/>
        <w:spacing w:before="2"/>
        <w:rPr>
          <w:b/>
          <w:sz w:val="23"/>
        </w:rPr>
      </w:pPr>
    </w:p>
    <w:p>
      <w:pPr>
        <w:pStyle w:val="BodyText"/>
        <w:spacing w:before="93"/>
        <w:ind w:left="1133" w:right="1130"/>
        <w:jc w:val="both"/>
      </w:pPr>
      <w:r>
        <w:rPr/>
        <w:t>Figure 69 illustrates RSSI measured by the SV DSRC OBU U-NII-3 interference test. The RSSI plot is approximately the same, just a truncated version of the DSRC RSSI in the LOS test which is to be expected since the setup is the same. Since the signal is lost at -80 dBm in Figure 69 it indicates that there is approximately 12 dB loss in range for DSRC due to the presence of the interferer. This is consistent with the range loss for C-V2X based on the difference in range between the LOS test and U-NII-3 interference tests. We emphasize that this is a rough calculation and used here only as a sanity check of the results.</w:t>
      </w:r>
    </w:p>
    <w:p>
      <w:pPr>
        <w:pStyle w:val="BodyText"/>
        <w:spacing w:before="5"/>
        <w:rPr>
          <w:sz w:val="12"/>
        </w:rPr>
      </w:pPr>
      <w:r>
        <w:rPr/>
        <w:drawing>
          <wp:anchor distT="0" distB="0" distL="0" distR="0" allowOverlap="1" layoutInCell="1" locked="0" behindDoc="0" simplePos="0" relativeHeight="8320">
            <wp:simplePos x="0" y="0"/>
            <wp:positionH relativeFrom="page">
              <wp:posOffset>719455</wp:posOffset>
            </wp:positionH>
            <wp:positionV relativeFrom="paragraph">
              <wp:posOffset>115847</wp:posOffset>
            </wp:positionV>
            <wp:extent cx="5151913" cy="3288220"/>
            <wp:effectExtent l="0" t="0" r="0" b="0"/>
            <wp:wrapTopAndBottom/>
            <wp:docPr id="149" name="image179.jpeg" descr=""/>
            <wp:cNvGraphicFramePr>
              <a:graphicFrameLocks noChangeAspect="1"/>
            </wp:cNvGraphicFramePr>
            <a:graphic>
              <a:graphicData uri="http://schemas.openxmlformats.org/drawingml/2006/picture">
                <pic:pic>
                  <pic:nvPicPr>
                    <pic:cNvPr id="150" name="image179.jpeg"/>
                    <pic:cNvPicPr/>
                  </pic:nvPicPr>
                  <pic:blipFill>
                    <a:blip r:embed="rId396" cstate="print"/>
                    <a:stretch>
                      <a:fillRect/>
                    </a:stretch>
                  </pic:blipFill>
                  <pic:spPr>
                    <a:xfrm>
                      <a:off x="0" y="0"/>
                      <a:ext cx="5151913" cy="3288220"/>
                    </a:xfrm>
                    <a:prstGeom prst="rect">
                      <a:avLst/>
                    </a:prstGeom>
                  </pic:spPr>
                </pic:pic>
              </a:graphicData>
            </a:graphic>
          </wp:anchor>
        </w:drawing>
      </w:r>
    </w:p>
    <w:p>
      <w:pPr>
        <w:pStyle w:val="Heading4"/>
        <w:spacing w:before="98"/>
        <w:ind w:right="1132"/>
        <w:jc w:val="both"/>
      </w:pPr>
      <w:r>
        <w:rPr/>
        <w:t>Figure</w:t>
      </w:r>
      <w:r>
        <w:rPr>
          <w:spacing w:val="-13"/>
        </w:rPr>
        <w:t> </w:t>
      </w:r>
      <w:r>
        <w:rPr/>
        <w:t>69:</w:t>
      </w:r>
      <w:r>
        <w:rPr>
          <w:spacing w:val="-13"/>
        </w:rPr>
        <w:t> </w:t>
      </w:r>
      <w:r>
        <w:rPr/>
        <w:t>U-NII-3</w:t>
      </w:r>
      <w:r>
        <w:rPr>
          <w:spacing w:val="-13"/>
        </w:rPr>
        <w:t> </w:t>
      </w:r>
      <w:r>
        <w:rPr/>
        <w:t>interference</w:t>
      </w:r>
      <w:r>
        <w:rPr>
          <w:spacing w:val="-13"/>
        </w:rPr>
        <w:t> </w:t>
      </w:r>
      <w:r>
        <w:rPr/>
        <w:t>DSRC</w:t>
      </w:r>
      <w:r>
        <w:rPr>
          <w:spacing w:val="-15"/>
        </w:rPr>
        <w:t> </w:t>
      </w:r>
      <w:r>
        <w:rPr/>
        <w:t>RSSI</w:t>
      </w:r>
      <w:r>
        <w:rPr>
          <w:spacing w:val="-16"/>
        </w:rPr>
        <w:t> </w:t>
      </w:r>
      <w:r>
        <w:rPr/>
        <w:t>at</w:t>
      </w:r>
      <w:r>
        <w:rPr>
          <w:spacing w:val="-15"/>
        </w:rPr>
        <w:t> </w:t>
      </w:r>
      <w:r>
        <w:rPr/>
        <w:t>the</w:t>
      </w:r>
      <w:r>
        <w:rPr>
          <w:spacing w:val="-13"/>
        </w:rPr>
        <w:t> </w:t>
      </w:r>
      <w:r>
        <w:rPr/>
        <w:t>SV</w:t>
      </w:r>
      <w:r>
        <w:rPr>
          <w:spacing w:val="-13"/>
        </w:rPr>
        <w:t> </w:t>
      </w:r>
      <w:r>
        <w:rPr/>
        <w:t>as</w:t>
      </w:r>
      <w:r>
        <w:rPr>
          <w:spacing w:val="-16"/>
        </w:rPr>
        <w:t> </w:t>
      </w:r>
      <w:r>
        <w:rPr/>
        <w:t>a</w:t>
      </w:r>
      <w:r>
        <w:rPr>
          <w:spacing w:val="-13"/>
        </w:rPr>
        <w:t> </w:t>
      </w:r>
      <w:r>
        <w:rPr/>
        <w:t>function</w:t>
      </w:r>
      <w:r>
        <w:rPr>
          <w:spacing w:val="-14"/>
        </w:rPr>
        <w:t> </w:t>
      </w:r>
      <w:r>
        <w:rPr/>
        <w:t>of</w:t>
      </w:r>
      <w:r>
        <w:rPr>
          <w:spacing w:val="-10"/>
        </w:rPr>
        <w:t> </w:t>
      </w:r>
      <w:r>
        <w:rPr/>
        <w:t>distance</w:t>
      </w:r>
      <w:r>
        <w:rPr>
          <w:spacing w:val="-13"/>
        </w:rPr>
        <w:t> </w:t>
      </w:r>
      <w:r>
        <w:rPr/>
        <w:t>between the SV and</w:t>
      </w:r>
      <w:r>
        <w:rPr>
          <w:spacing w:val="-1"/>
        </w:rPr>
        <w:t> </w:t>
      </w:r>
      <w:r>
        <w:rPr/>
        <w:t>MV</w:t>
      </w:r>
    </w:p>
    <w:p>
      <w:pPr>
        <w:pStyle w:val="BodyText"/>
        <w:rPr>
          <w:b/>
          <w:sz w:val="26"/>
        </w:rPr>
      </w:pPr>
    </w:p>
    <w:p>
      <w:pPr>
        <w:pStyle w:val="BodyText"/>
        <w:spacing w:before="2"/>
        <w:rPr>
          <w:b/>
          <w:sz w:val="26"/>
        </w:rPr>
      </w:pPr>
    </w:p>
    <w:p>
      <w:pPr>
        <w:pStyle w:val="ListParagraph"/>
        <w:numPr>
          <w:ilvl w:val="2"/>
          <w:numId w:val="52"/>
        </w:numPr>
        <w:tabs>
          <w:tab w:pos="2267" w:val="left" w:leader="none"/>
        </w:tabs>
        <w:spacing w:line="240" w:lineRule="auto" w:before="0" w:after="0"/>
        <w:ind w:left="2266" w:right="0" w:hanging="1133"/>
        <w:jc w:val="both"/>
        <w:rPr>
          <w:sz w:val="28"/>
        </w:rPr>
      </w:pPr>
      <w:bookmarkStart w:name="_bookmark152" w:id="235"/>
      <w:bookmarkEnd w:id="235"/>
      <w:r>
        <w:rPr/>
      </w:r>
      <w:bookmarkStart w:name="_bookmark152" w:id="236"/>
      <w:bookmarkEnd w:id="236"/>
      <w:r>
        <w:rPr>
          <w:sz w:val="28"/>
        </w:rPr>
        <w:t>Adjace</w:t>
      </w:r>
      <w:r>
        <w:rPr>
          <w:sz w:val="28"/>
        </w:rPr>
        <w:t>nt Channel Interference Test and</w:t>
      </w:r>
      <w:r>
        <w:rPr>
          <w:spacing w:val="-13"/>
          <w:sz w:val="28"/>
        </w:rPr>
        <w:t> </w:t>
      </w:r>
      <w:r>
        <w:rPr>
          <w:sz w:val="28"/>
        </w:rPr>
        <w:t>Results</w:t>
      </w:r>
    </w:p>
    <w:p>
      <w:pPr>
        <w:pStyle w:val="BodyText"/>
        <w:spacing w:before="182"/>
        <w:ind w:left="1133" w:right="1131"/>
        <w:jc w:val="both"/>
      </w:pPr>
      <w:r>
        <w:rPr/>
        <w:t>This test compares the effects of the adjacent ITS Band channel interference at close range on both V2X technologies in terms of range, reliability, and IPG. Both V2X technologies are interfered by the same signal emulating IEEE 802.11p at high utilization.</w:t>
      </w:r>
    </w:p>
    <w:p>
      <w:pPr>
        <w:pStyle w:val="BodyText"/>
        <w:spacing w:before="180"/>
        <w:ind w:left="1133" w:right="1130"/>
        <w:jc w:val="both"/>
      </w:pPr>
      <w:r>
        <w:rPr/>
        <w:t>This test follows the test procedure described in section 9.1.4 of (5GAA, March 2018). The original test procedure called for testing only C-V2X in the presence of the adjacent DSRC carrier. To make this a comparative test, we have extended it to test DSRC in the presence of the same interference. Clearly, other extensions are possible. This scenario tests the impact of a fixed DSRC interferer in the adjacent ITS band channel</w:t>
      </w:r>
      <w:r>
        <w:rPr>
          <w:spacing w:val="-4"/>
        </w:rPr>
        <w:t> </w:t>
      </w:r>
      <w:r>
        <w:rPr/>
        <w:t>on</w:t>
      </w:r>
      <w:r>
        <w:rPr>
          <w:spacing w:val="-1"/>
        </w:rPr>
        <w:t> </w:t>
      </w:r>
      <w:r>
        <w:rPr/>
        <w:t>Basic</w:t>
      </w:r>
      <w:r>
        <w:rPr>
          <w:spacing w:val="-2"/>
        </w:rPr>
        <w:t> </w:t>
      </w:r>
      <w:r>
        <w:rPr/>
        <w:t>Safety</w:t>
      </w:r>
      <w:r>
        <w:rPr>
          <w:spacing w:val="-7"/>
        </w:rPr>
        <w:t> </w:t>
      </w:r>
      <w:r>
        <w:rPr/>
        <w:t>Message</w:t>
      </w:r>
      <w:r>
        <w:rPr>
          <w:spacing w:val="-3"/>
        </w:rPr>
        <w:t> </w:t>
      </w:r>
      <w:r>
        <w:rPr/>
        <w:t>(BSM)</w:t>
      </w:r>
      <w:r>
        <w:rPr>
          <w:spacing w:val="-5"/>
        </w:rPr>
        <w:t> </w:t>
      </w:r>
      <w:r>
        <w:rPr/>
        <w:t>reception</w:t>
      </w:r>
      <w:r>
        <w:rPr>
          <w:spacing w:val="-3"/>
        </w:rPr>
        <w:t> </w:t>
      </w:r>
      <w:r>
        <w:rPr/>
        <w:t>in</w:t>
      </w:r>
      <w:r>
        <w:rPr>
          <w:spacing w:val="-3"/>
        </w:rPr>
        <w:t> </w:t>
      </w:r>
      <w:r>
        <w:rPr/>
        <w:t>CH172.</w:t>
      </w:r>
      <w:r>
        <w:rPr>
          <w:spacing w:val="-3"/>
        </w:rPr>
        <w:t> </w:t>
      </w:r>
      <w:r>
        <w:rPr/>
        <w:t>The</w:t>
      </w:r>
      <w:r>
        <w:rPr>
          <w:spacing w:val="-3"/>
        </w:rPr>
        <w:t> </w:t>
      </w:r>
      <w:r>
        <w:rPr/>
        <w:t>interferer</w:t>
      </w:r>
      <w:r>
        <w:rPr>
          <w:spacing w:val="-4"/>
        </w:rPr>
        <w:t> </w:t>
      </w:r>
      <w:r>
        <w:rPr/>
        <w:t>is</w:t>
      </w:r>
      <w:r>
        <w:rPr>
          <w:spacing w:val="-2"/>
        </w:rPr>
        <w:t> </w:t>
      </w:r>
      <w:r>
        <w:rPr/>
        <w:t>using</w:t>
      </w:r>
      <w:r>
        <w:rPr>
          <w:spacing w:val="-3"/>
        </w:rPr>
        <w:t> </w:t>
      </w:r>
      <w:r>
        <w:rPr/>
        <w:t>CH174.</w:t>
      </w:r>
      <w:r>
        <w:rPr>
          <w:spacing w:val="-3"/>
        </w:rPr>
        <w:t> </w:t>
      </w:r>
      <w:r>
        <w:rPr/>
        <w:t>Since</w:t>
      </w:r>
      <w:r>
        <w:rPr>
          <w:spacing w:val="-3"/>
        </w:rPr>
        <w:t> </w:t>
      </w:r>
      <w:r>
        <w:rPr/>
        <w:t>the</w:t>
      </w:r>
      <w:r>
        <w:rPr>
          <w:spacing w:val="-6"/>
        </w:rPr>
        <w:t> </w:t>
      </w:r>
      <w:r>
        <w:rPr/>
        <w:t>OBUs are</w:t>
      </w:r>
      <w:r>
        <w:rPr>
          <w:spacing w:val="-9"/>
        </w:rPr>
        <w:t> </w:t>
      </w:r>
      <w:r>
        <w:rPr/>
        <w:t>operating</w:t>
      </w:r>
      <w:r>
        <w:rPr>
          <w:spacing w:val="-7"/>
        </w:rPr>
        <w:t> </w:t>
      </w:r>
      <w:r>
        <w:rPr/>
        <w:t>in</w:t>
      </w:r>
      <w:r>
        <w:rPr>
          <w:spacing w:val="-7"/>
        </w:rPr>
        <w:t> </w:t>
      </w:r>
      <w:r>
        <w:rPr/>
        <w:t>CH184,</w:t>
      </w:r>
      <w:r>
        <w:rPr>
          <w:spacing w:val="-7"/>
        </w:rPr>
        <w:t> </w:t>
      </w:r>
      <w:r>
        <w:rPr/>
        <w:t>the</w:t>
      </w:r>
      <w:r>
        <w:rPr>
          <w:spacing w:val="-8"/>
        </w:rPr>
        <w:t> </w:t>
      </w:r>
      <w:r>
        <w:rPr/>
        <w:t>interferer</w:t>
      </w:r>
      <w:r>
        <w:rPr>
          <w:spacing w:val="-6"/>
        </w:rPr>
        <w:t> </w:t>
      </w:r>
      <w:r>
        <w:rPr/>
        <w:t>was</w:t>
      </w:r>
      <w:r>
        <w:rPr>
          <w:spacing w:val="-6"/>
        </w:rPr>
        <w:t> </w:t>
      </w:r>
      <w:r>
        <w:rPr/>
        <w:t>shifted</w:t>
      </w:r>
      <w:r>
        <w:rPr>
          <w:spacing w:val="-8"/>
        </w:rPr>
        <w:t> </w:t>
      </w:r>
      <w:r>
        <w:rPr/>
        <w:t>from</w:t>
      </w:r>
      <w:r>
        <w:rPr>
          <w:spacing w:val="-5"/>
        </w:rPr>
        <w:t> </w:t>
      </w:r>
      <w:r>
        <w:rPr/>
        <w:t>center</w:t>
      </w:r>
      <w:r>
        <w:rPr>
          <w:spacing w:val="-9"/>
        </w:rPr>
        <w:t> </w:t>
      </w:r>
      <w:r>
        <w:rPr/>
        <w:t>frequency</w:t>
      </w:r>
      <w:r>
        <w:rPr>
          <w:spacing w:val="-10"/>
        </w:rPr>
        <w:t> </w:t>
      </w:r>
      <w:r>
        <w:rPr/>
        <w:t>CH174</w:t>
      </w:r>
      <w:r>
        <w:rPr>
          <w:spacing w:val="-7"/>
        </w:rPr>
        <w:t> </w:t>
      </w:r>
      <w:r>
        <w:rPr/>
        <w:t>to</w:t>
      </w:r>
      <w:r>
        <w:rPr>
          <w:spacing w:val="-5"/>
        </w:rPr>
        <w:t> </w:t>
      </w:r>
      <w:r>
        <w:rPr/>
        <w:t>CH182</w:t>
      </w:r>
      <w:r>
        <w:rPr>
          <w:spacing w:val="-8"/>
        </w:rPr>
        <w:t> </w:t>
      </w:r>
      <w:r>
        <w:rPr/>
        <w:t>to</w:t>
      </w:r>
      <w:r>
        <w:rPr>
          <w:spacing w:val="-9"/>
        </w:rPr>
        <w:t> </w:t>
      </w:r>
      <w:r>
        <w:rPr/>
        <w:t>remain</w:t>
      </w:r>
      <w:r>
        <w:rPr>
          <w:spacing w:val="-7"/>
        </w:rPr>
        <w:t> </w:t>
      </w:r>
      <w:r>
        <w:rPr/>
        <w:t>in</w:t>
      </w:r>
      <w:r>
        <w:rPr>
          <w:spacing w:val="-7"/>
        </w:rPr>
        <w:t> </w:t>
      </w:r>
      <w:r>
        <w:rPr/>
        <w:t>the</w:t>
      </w:r>
      <w:r>
        <w:rPr>
          <w:spacing w:val="-8"/>
        </w:rPr>
        <w:t> </w:t>
      </w:r>
      <w:r>
        <w:rPr/>
        <w:t>ITS band and be adjacent to the safety channel which in the test was CH184. This new position ensures that the tests</w:t>
      </w:r>
      <w:r>
        <w:rPr>
          <w:spacing w:val="-3"/>
        </w:rPr>
        <w:t> </w:t>
      </w:r>
      <w:r>
        <w:rPr/>
        <w:t>in</w:t>
      </w:r>
      <w:r>
        <w:rPr>
          <w:spacing w:val="-3"/>
        </w:rPr>
        <w:t> </w:t>
      </w:r>
      <w:r>
        <w:rPr/>
        <w:t>CH184</w:t>
      </w:r>
      <w:r>
        <w:rPr>
          <w:spacing w:val="-2"/>
        </w:rPr>
        <w:t> </w:t>
      </w:r>
      <w:r>
        <w:rPr/>
        <w:t>will</w:t>
      </w:r>
      <w:r>
        <w:rPr>
          <w:spacing w:val="-4"/>
        </w:rPr>
        <w:t> </w:t>
      </w:r>
      <w:r>
        <w:rPr/>
        <w:t>produce</w:t>
      </w:r>
      <w:r>
        <w:rPr>
          <w:spacing w:val="-2"/>
        </w:rPr>
        <w:t> </w:t>
      </w:r>
      <w:r>
        <w:rPr/>
        <w:t>the</w:t>
      </w:r>
      <w:r>
        <w:rPr>
          <w:spacing w:val="-3"/>
        </w:rPr>
        <w:t> </w:t>
      </w:r>
      <w:r>
        <w:rPr/>
        <w:t>equivalent</w:t>
      </w:r>
      <w:r>
        <w:rPr>
          <w:spacing w:val="-3"/>
        </w:rPr>
        <w:t> </w:t>
      </w:r>
      <w:r>
        <w:rPr/>
        <w:t>results</w:t>
      </w:r>
      <w:r>
        <w:rPr>
          <w:spacing w:val="-3"/>
        </w:rPr>
        <w:t> </w:t>
      </w:r>
      <w:r>
        <w:rPr/>
        <w:t>as</w:t>
      </w:r>
      <w:r>
        <w:rPr>
          <w:spacing w:val="-3"/>
        </w:rPr>
        <w:t> </w:t>
      </w:r>
      <w:r>
        <w:rPr/>
        <w:t>the</w:t>
      </w:r>
      <w:r>
        <w:rPr>
          <w:spacing w:val="-3"/>
        </w:rPr>
        <w:t> </w:t>
      </w:r>
      <w:r>
        <w:rPr/>
        <w:t>tests</w:t>
      </w:r>
      <w:r>
        <w:rPr>
          <w:spacing w:val="-3"/>
        </w:rPr>
        <w:t> </w:t>
      </w:r>
      <w:r>
        <w:rPr/>
        <w:t>in</w:t>
      </w:r>
      <w:r>
        <w:rPr>
          <w:spacing w:val="-3"/>
        </w:rPr>
        <w:t> </w:t>
      </w:r>
      <w:r>
        <w:rPr/>
        <w:t>CH172</w:t>
      </w:r>
      <w:r>
        <w:rPr>
          <w:spacing w:val="-2"/>
        </w:rPr>
        <w:t> </w:t>
      </w:r>
      <w:r>
        <w:rPr/>
        <w:t>with</w:t>
      </w:r>
      <w:r>
        <w:rPr>
          <w:spacing w:val="-3"/>
        </w:rPr>
        <w:t> </w:t>
      </w:r>
      <w:r>
        <w:rPr/>
        <w:t>V2X</w:t>
      </w:r>
      <w:r>
        <w:rPr>
          <w:spacing w:val="-3"/>
        </w:rPr>
        <w:t> </w:t>
      </w:r>
      <w:r>
        <w:rPr/>
        <w:t>interfering</w:t>
      </w:r>
      <w:r>
        <w:rPr>
          <w:spacing w:val="-3"/>
        </w:rPr>
        <w:t> </w:t>
      </w:r>
      <w:r>
        <w:rPr/>
        <w:t>signal</w:t>
      </w:r>
      <w:r>
        <w:rPr>
          <w:spacing w:val="-4"/>
        </w:rPr>
        <w:t> </w:t>
      </w:r>
      <w:r>
        <w:rPr/>
        <w:t>in</w:t>
      </w:r>
      <w:r>
        <w:rPr>
          <w:spacing w:val="-3"/>
        </w:rPr>
        <w:t> </w:t>
      </w:r>
      <w:r>
        <w:rPr/>
        <w:t>CH174.</w:t>
      </w:r>
    </w:p>
    <w:p>
      <w:pPr>
        <w:pStyle w:val="BodyText"/>
        <w:spacing w:before="180"/>
        <w:ind w:left="1133" w:right="1131"/>
        <w:jc w:val="both"/>
      </w:pPr>
      <w:r>
        <w:rPr/>
        <w:t>Figure 70 shows the test setup together with a frequency plan for the safety and the interference channel in red and green, respectively. This setup is identical to the one in Section 8.6.1 except that the interferer is a vehicle (IV) lined up with SV at a 13 m distance. The same test track (Road A at FPG) was used in this test. The interfering vehicle has an antenna that is identical to the SV and MV but uses only a single one mounted in the center of the roof.</w:t>
      </w:r>
    </w:p>
    <w:p>
      <w:pPr>
        <w:spacing w:after="0"/>
        <w:jc w:val="both"/>
        <w:sectPr>
          <w:headerReference w:type="default" r:id="rId395"/>
          <w:pgSz w:w="11910" w:h="16850"/>
          <w:pgMar w:header="852" w:footer="941" w:top="1040" w:bottom="1160" w:left="0" w:right="0"/>
        </w:sectPr>
      </w:pPr>
    </w:p>
    <w:p>
      <w:pPr>
        <w:pStyle w:val="BodyText"/>
      </w:pPr>
    </w:p>
    <w:p>
      <w:pPr>
        <w:pStyle w:val="BodyText"/>
        <w:spacing w:before="6"/>
        <w:rPr>
          <w:sz w:val="11"/>
        </w:rPr>
      </w:pPr>
    </w:p>
    <w:p>
      <w:pPr>
        <w:pStyle w:val="BodyText"/>
        <w:ind w:left="1133"/>
      </w:pPr>
      <w:r>
        <w:rPr/>
        <w:drawing>
          <wp:inline distT="0" distB="0" distL="0" distR="0">
            <wp:extent cx="5852327" cy="3733800"/>
            <wp:effectExtent l="0" t="0" r="0" b="0"/>
            <wp:docPr id="151" name="image180.png" descr=""/>
            <wp:cNvGraphicFramePr>
              <a:graphicFrameLocks noChangeAspect="1"/>
            </wp:cNvGraphicFramePr>
            <a:graphic>
              <a:graphicData uri="http://schemas.openxmlformats.org/drawingml/2006/picture">
                <pic:pic>
                  <pic:nvPicPr>
                    <pic:cNvPr id="152" name="image180.png"/>
                    <pic:cNvPicPr/>
                  </pic:nvPicPr>
                  <pic:blipFill>
                    <a:blip r:embed="rId398" cstate="print"/>
                    <a:stretch>
                      <a:fillRect/>
                    </a:stretch>
                  </pic:blipFill>
                  <pic:spPr>
                    <a:xfrm>
                      <a:off x="0" y="0"/>
                      <a:ext cx="5852327" cy="3733800"/>
                    </a:xfrm>
                    <a:prstGeom prst="rect">
                      <a:avLst/>
                    </a:prstGeom>
                  </pic:spPr>
                </pic:pic>
              </a:graphicData>
            </a:graphic>
          </wp:inline>
        </w:drawing>
      </w:r>
      <w:r>
        <w:rPr/>
      </w:r>
    </w:p>
    <w:p>
      <w:pPr>
        <w:pStyle w:val="Heading4"/>
        <w:spacing w:before="140"/>
        <w:jc w:val="both"/>
      </w:pPr>
      <w:r>
        <w:rPr/>
        <w:t>Figure 70: Adjacent channel interference test setup</w:t>
      </w:r>
    </w:p>
    <w:p>
      <w:pPr>
        <w:pStyle w:val="BodyText"/>
        <w:rPr>
          <w:b/>
          <w:sz w:val="26"/>
        </w:rPr>
      </w:pPr>
    </w:p>
    <w:p>
      <w:pPr>
        <w:pStyle w:val="BodyText"/>
        <w:spacing w:before="182"/>
        <w:ind w:left="1133" w:right="1140"/>
        <w:jc w:val="both"/>
      </w:pPr>
      <w:r>
        <w:rPr/>
        <w:t>The frequency diagram illustrates the position of the safety channel (CH184) and the interference channel (CH182) used in this test.</w:t>
      </w:r>
    </w:p>
    <w:p>
      <w:pPr>
        <w:pStyle w:val="BodyText"/>
        <w:spacing w:before="180"/>
        <w:ind w:left="1133" w:right="1129"/>
        <w:jc w:val="both"/>
      </w:pPr>
      <w:r>
        <w:rPr/>
        <w:t>Figure 71 shows the interferer setup. This setup is placed in the interference vehicle (IV). The interference is generated by the signal generator. As in section 8.6.1, we used a Rohde and Schwartz SMBV100A signal generator configured with parameters shown in Table 31.</w:t>
      </w:r>
    </w:p>
    <w:p>
      <w:pPr>
        <w:pStyle w:val="BodyText"/>
        <w:spacing w:before="7"/>
      </w:pPr>
    </w:p>
    <w:p>
      <w:pPr>
        <w:pStyle w:val="Heading7"/>
        <w:jc w:val="both"/>
      </w:pPr>
      <w:r>
        <w:rPr/>
        <w:t>Table 31 Adjacent channel interference test signal generator configuration parameters</w:t>
      </w:r>
    </w:p>
    <w:p>
      <w:pPr>
        <w:pStyle w:val="BodyText"/>
        <w:spacing w:before="1"/>
        <w:rPr>
          <w:b/>
          <w:sz w:val="16"/>
        </w:rPr>
      </w:pPr>
    </w:p>
    <w:tbl>
      <w:tblPr>
        <w:tblW w:w="0" w:type="auto"/>
        <w:jc w:val="left"/>
        <w:tblInd w:w="2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52"/>
        <w:gridCol w:w="2965"/>
      </w:tblGrid>
      <w:tr>
        <w:trPr>
          <w:trHeight w:val="216" w:hRule="exact"/>
        </w:trPr>
        <w:tc>
          <w:tcPr>
            <w:tcW w:w="4052" w:type="dxa"/>
            <w:shd w:val="clear" w:color="auto" w:fill="D9D9D9"/>
          </w:tcPr>
          <w:p>
            <w:pPr>
              <w:pStyle w:val="TableParagraph"/>
              <w:spacing w:line="201" w:lineRule="exact"/>
              <w:rPr>
                <w:b/>
                <w:sz w:val="18"/>
              </w:rPr>
            </w:pPr>
            <w:r>
              <w:rPr>
                <w:b/>
                <w:sz w:val="18"/>
              </w:rPr>
              <w:t>Configuration parameter</w:t>
            </w:r>
          </w:p>
        </w:tc>
        <w:tc>
          <w:tcPr>
            <w:tcW w:w="2965" w:type="dxa"/>
            <w:shd w:val="clear" w:color="auto" w:fill="D9D9D9"/>
          </w:tcPr>
          <w:p>
            <w:pPr>
              <w:pStyle w:val="TableParagraph"/>
              <w:spacing w:line="201" w:lineRule="exact"/>
              <w:rPr>
                <w:b/>
                <w:sz w:val="18"/>
              </w:rPr>
            </w:pPr>
            <w:r>
              <w:rPr>
                <w:b/>
                <w:sz w:val="18"/>
              </w:rPr>
              <w:t>Value</w:t>
            </w:r>
          </w:p>
        </w:tc>
      </w:tr>
      <w:tr>
        <w:trPr>
          <w:trHeight w:val="216" w:hRule="exact"/>
        </w:trPr>
        <w:tc>
          <w:tcPr>
            <w:tcW w:w="4052" w:type="dxa"/>
          </w:tcPr>
          <w:p>
            <w:pPr>
              <w:pStyle w:val="TableParagraph"/>
              <w:rPr>
                <w:sz w:val="18"/>
              </w:rPr>
            </w:pPr>
            <w:r>
              <w:rPr>
                <w:sz w:val="18"/>
              </w:rPr>
              <w:t>Frequency</w:t>
            </w:r>
          </w:p>
        </w:tc>
        <w:tc>
          <w:tcPr>
            <w:tcW w:w="2965" w:type="dxa"/>
          </w:tcPr>
          <w:p>
            <w:pPr>
              <w:pStyle w:val="TableParagraph"/>
              <w:rPr>
                <w:sz w:val="18"/>
              </w:rPr>
            </w:pPr>
            <w:r>
              <w:rPr>
                <w:sz w:val="18"/>
              </w:rPr>
              <w:t>5.910 GHz</w:t>
            </w:r>
          </w:p>
        </w:tc>
      </w:tr>
      <w:tr>
        <w:trPr>
          <w:trHeight w:val="218" w:hRule="exact"/>
        </w:trPr>
        <w:tc>
          <w:tcPr>
            <w:tcW w:w="4052" w:type="dxa"/>
          </w:tcPr>
          <w:p>
            <w:pPr>
              <w:pStyle w:val="TableParagraph"/>
              <w:spacing w:line="240" w:lineRule="auto" w:before="1"/>
              <w:rPr>
                <w:sz w:val="18"/>
              </w:rPr>
            </w:pPr>
            <w:r>
              <w:rPr>
                <w:sz w:val="18"/>
              </w:rPr>
              <w:t>Frame Block Configuration (Std)</w:t>
            </w:r>
          </w:p>
        </w:tc>
        <w:tc>
          <w:tcPr>
            <w:tcW w:w="2965" w:type="dxa"/>
          </w:tcPr>
          <w:p>
            <w:pPr>
              <w:pStyle w:val="TableParagraph"/>
              <w:spacing w:line="240" w:lineRule="auto" w:before="1"/>
              <w:rPr>
                <w:sz w:val="18"/>
              </w:rPr>
            </w:pPr>
            <w:r>
              <w:rPr>
                <w:sz w:val="18"/>
              </w:rPr>
              <w:t>11p/j</w:t>
            </w:r>
          </w:p>
        </w:tc>
      </w:tr>
      <w:tr>
        <w:trPr>
          <w:trHeight w:val="216" w:hRule="exact"/>
        </w:trPr>
        <w:tc>
          <w:tcPr>
            <w:tcW w:w="4052" w:type="dxa"/>
          </w:tcPr>
          <w:p>
            <w:pPr>
              <w:pStyle w:val="TableParagraph"/>
              <w:rPr>
                <w:sz w:val="18"/>
              </w:rPr>
            </w:pPr>
            <w:r>
              <w:rPr>
                <w:sz w:val="18"/>
              </w:rPr>
              <w:t>Frame Block Configuration (Type)</w:t>
            </w:r>
          </w:p>
        </w:tc>
        <w:tc>
          <w:tcPr>
            <w:tcW w:w="2965" w:type="dxa"/>
          </w:tcPr>
          <w:p>
            <w:pPr>
              <w:pStyle w:val="TableParagraph"/>
              <w:rPr>
                <w:sz w:val="18"/>
              </w:rPr>
            </w:pPr>
            <w:r>
              <w:rPr>
                <w:sz w:val="18"/>
              </w:rPr>
              <w:t>Data</w:t>
            </w:r>
          </w:p>
        </w:tc>
      </w:tr>
      <w:tr>
        <w:trPr>
          <w:trHeight w:val="218" w:hRule="exact"/>
        </w:trPr>
        <w:tc>
          <w:tcPr>
            <w:tcW w:w="4052" w:type="dxa"/>
          </w:tcPr>
          <w:p>
            <w:pPr>
              <w:pStyle w:val="TableParagraph"/>
              <w:rPr>
                <w:sz w:val="18"/>
              </w:rPr>
            </w:pPr>
            <w:r>
              <w:rPr>
                <w:sz w:val="18"/>
              </w:rPr>
              <w:t>Frame Block Configuration (Physical Mode)</w:t>
            </w:r>
          </w:p>
        </w:tc>
        <w:tc>
          <w:tcPr>
            <w:tcW w:w="2965" w:type="dxa"/>
          </w:tcPr>
          <w:p>
            <w:pPr>
              <w:pStyle w:val="TableParagraph"/>
              <w:rPr>
                <w:sz w:val="18"/>
              </w:rPr>
            </w:pPr>
            <w:r>
              <w:rPr>
                <w:sz w:val="18"/>
              </w:rPr>
              <w:t>Legacy</w:t>
            </w:r>
          </w:p>
        </w:tc>
      </w:tr>
      <w:tr>
        <w:trPr>
          <w:trHeight w:val="216" w:hRule="exact"/>
        </w:trPr>
        <w:tc>
          <w:tcPr>
            <w:tcW w:w="4052" w:type="dxa"/>
          </w:tcPr>
          <w:p>
            <w:pPr>
              <w:pStyle w:val="TableParagraph"/>
              <w:rPr>
                <w:sz w:val="18"/>
              </w:rPr>
            </w:pPr>
            <w:r>
              <w:rPr>
                <w:sz w:val="18"/>
              </w:rPr>
              <w:t>Frame Block Configuration (Tx Mode)</w:t>
            </w:r>
          </w:p>
        </w:tc>
        <w:tc>
          <w:tcPr>
            <w:tcW w:w="2965" w:type="dxa"/>
          </w:tcPr>
          <w:p>
            <w:pPr>
              <w:pStyle w:val="TableParagraph"/>
              <w:rPr>
                <w:sz w:val="18"/>
              </w:rPr>
            </w:pPr>
            <w:r>
              <w:rPr>
                <w:sz w:val="18"/>
              </w:rPr>
              <w:t>L-10MHz</w:t>
            </w:r>
          </w:p>
        </w:tc>
      </w:tr>
      <w:tr>
        <w:trPr>
          <w:trHeight w:val="216" w:hRule="exact"/>
        </w:trPr>
        <w:tc>
          <w:tcPr>
            <w:tcW w:w="4052" w:type="dxa"/>
          </w:tcPr>
          <w:p>
            <w:pPr>
              <w:pStyle w:val="TableParagraph"/>
              <w:rPr>
                <w:sz w:val="18"/>
              </w:rPr>
            </w:pPr>
            <w:r>
              <w:rPr>
                <w:sz w:val="18"/>
              </w:rPr>
              <w:t>Frame Block Configuration (Frames)</w:t>
            </w:r>
          </w:p>
        </w:tc>
        <w:tc>
          <w:tcPr>
            <w:tcW w:w="2965" w:type="dxa"/>
          </w:tcPr>
          <w:p>
            <w:pPr>
              <w:pStyle w:val="TableParagraph"/>
              <w:rPr>
                <w:sz w:val="18"/>
              </w:rPr>
            </w:pPr>
            <w:r>
              <w:rPr>
                <w:w w:val="99"/>
                <w:sz w:val="18"/>
              </w:rPr>
              <w:t>1</w:t>
            </w:r>
          </w:p>
        </w:tc>
      </w:tr>
      <w:tr>
        <w:trPr>
          <w:trHeight w:val="219" w:hRule="exact"/>
        </w:trPr>
        <w:tc>
          <w:tcPr>
            <w:tcW w:w="4052" w:type="dxa"/>
          </w:tcPr>
          <w:p>
            <w:pPr>
              <w:pStyle w:val="TableParagraph"/>
              <w:spacing w:line="240" w:lineRule="auto" w:before="2"/>
              <w:rPr>
                <w:sz w:val="18"/>
              </w:rPr>
            </w:pPr>
            <w:r>
              <w:rPr>
                <w:sz w:val="18"/>
              </w:rPr>
              <w:t>Frame Block Configuration (Idle time/ms)</w:t>
            </w:r>
          </w:p>
        </w:tc>
        <w:tc>
          <w:tcPr>
            <w:tcW w:w="2965" w:type="dxa"/>
          </w:tcPr>
          <w:p>
            <w:pPr>
              <w:pStyle w:val="TableParagraph"/>
              <w:spacing w:line="240" w:lineRule="auto" w:before="2"/>
              <w:rPr>
                <w:sz w:val="18"/>
              </w:rPr>
            </w:pPr>
            <w:r>
              <w:rPr>
                <w:sz w:val="18"/>
              </w:rPr>
              <w:t>0.081</w:t>
            </w:r>
          </w:p>
        </w:tc>
      </w:tr>
      <w:tr>
        <w:trPr>
          <w:trHeight w:val="216" w:hRule="exact"/>
        </w:trPr>
        <w:tc>
          <w:tcPr>
            <w:tcW w:w="4052" w:type="dxa"/>
          </w:tcPr>
          <w:p>
            <w:pPr>
              <w:pStyle w:val="TableParagraph"/>
              <w:rPr>
                <w:sz w:val="18"/>
              </w:rPr>
            </w:pPr>
            <w:r>
              <w:rPr>
                <w:sz w:val="18"/>
              </w:rPr>
              <w:t>Frame Block Configuration (Data)</w:t>
            </w:r>
          </w:p>
        </w:tc>
        <w:tc>
          <w:tcPr>
            <w:tcW w:w="2965" w:type="dxa"/>
          </w:tcPr>
          <w:p>
            <w:pPr>
              <w:pStyle w:val="TableParagraph"/>
              <w:rPr>
                <w:sz w:val="18"/>
              </w:rPr>
            </w:pPr>
            <w:r>
              <w:rPr>
                <w:sz w:val="18"/>
              </w:rPr>
              <w:t>PN 9</w:t>
            </w:r>
          </w:p>
        </w:tc>
      </w:tr>
      <w:tr>
        <w:trPr>
          <w:trHeight w:val="425" w:hRule="exact"/>
        </w:trPr>
        <w:tc>
          <w:tcPr>
            <w:tcW w:w="4052" w:type="dxa"/>
          </w:tcPr>
          <w:p>
            <w:pPr>
              <w:pStyle w:val="TableParagraph"/>
              <w:tabs>
                <w:tab w:pos="836" w:val="left" w:leader="none"/>
                <w:tab w:pos="1486" w:val="left" w:leader="none"/>
                <w:tab w:pos="2764" w:val="left" w:leader="none"/>
              </w:tabs>
              <w:spacing w:line="240" w:lineRule="auto"/>
              <w:ind w:right="105"/>
              <w:rPr>
                <w:sz w:val="18"/>
              </w:rPr>
            </w:pPr>
            <w:r>
              <w:rPr>
                <w:sz w:val="18"/>
              </w:rPr>
              <w:t>Frame</w:t>
              <w:tab/>
              <w:t>Block</w:t>
              <w:tab/>
              <w:t>Configuration</w:t>
              <w:tab/>
              <w:t>(PPDU(Packet length))</w:t>
            </w:r>
          </w:p>
        </w:tc>
        <w:tc>
          <w:tcPr>
            <w:tcW w:w="2965" w:type="dxa"/>
          </w:tcPr>
          <w:p>
            <w:pPr>
              <w:pStyle w:val="TableParagraph"/>
              <w:rPr>
                <w:sz w:val="18"/>
              </w:rPr>
            </w:pPr>
            <w:r>
              <w:rPr>
                <w:sz w:val="18"/>
              </w:rPr>
              <w:t>1460 bytes</w:t>
            </w:r>
          </w:p>
        </w:tc>
      </w:tr>
      <w:tr>
        <w:trPr>
          <w:trHeight w:val="216" w:hRule="exact"/>
        </w:trPr>
        <w:tc>
          <w:tcPr>
            <w:tcW w:w="4052" w:type="dxa"/>
          </w:tcPr>
          <w:p>
            <w:pPr>
              <w:pStyle w:val="TableParagraph"/>
              <w:rPr>
                <w:sz w:val="18"/>
              </w:rPr>
            </w:pPr>
            <w:r>
              <w:rPr>
                <w:sz w:val="18"/>
              </w:rPr>
              <w:t>Frame Block Configuration (DRate/Mbps)</w:t>
            </w:r>
          </w:p>
        </w:tc>
        <w:tc>
          <w:tcPr>
            <w:tcW w:w="2965" w:type="dxa"/>
          </w:tcPr>
          <w:p>
            <w:pPr>
              <w:pStyle w:val="TableParagraph"/>
              <w:rPr>
                <w:sz w:val="18"/>
              </w:rPr>
            </w:pPr>
            <w:r>
              <w:rPr>
                <w:sz w:val="18"/>
              </w:rPr>
              <w:t>6.00</w:t>
            </w:r>
          </w:p>
        </w:tc>
      </w:tr>
      <w:tr>
        <w:trPr>
          <w:trHeight w:val="218" w:hRule="exact"/>
        </w:trPr>
        <w:tc>
          <w:tcPr>
            <w:tcW w:w="4052" w:type="dxa"/>
          </w:tcPr>
          <w:p>
            <w:pPr>
              <w:pStyle w:val="TableParagraph"/>
              <w:rPr>
                <w:sz w:val="18"/>
              </w:rPr>
            </w:pPr>
            <w:r>
              <w:rPr>
                <w:sz w:val="18"/>
              </w:rPr>
              <w:t>Frame Block Configuration (State)</w:t>
            </w:r>
          </w:p>
        </w:tc>
        <w:tc>
          <w:tcPr>
            <w:tcW w:w="2965" w:type="dxa"/>
          </w:tcPr>
          <w:p>
            <w:pPr>
              <w:pStyle w:val="TableParagraph"/>
              <w:rPr>
                <w:sz w:val="18"/>
              </w:rPr>
            </w:pPr>
            <w:r>
              <w:rPr>
                <w:sz w:val="18"/>
              </w:rPr>
              <w:t>On</w:t>
            </w:r>
          </w:p>
        </w:tc>
      </w:tr>
      <w:tr>
        <w:trPr>
          <w:trHeight w:val="216" w:hRule="exact"/>
        </w:trPr>
        <w:tc>
          <w:tcPr>
            <w:tcW w:w="4052" w:type="dxa"/>
          </w:tcPr>
          <w:p>
            <w:pPr>
              <w:pStyle w:val="TableParagraph"/>
              <w:rPr>
                <w:sz w:val="18"/>
              </w:rPr>
            </w:pPr>
            <w:r>
              <w:rPr>
                <w:sz w:val="18"/>
              </w:rPr>
              <w:t>Filter/Clipping setting (Filter)</w:t>
            </w:r>
          </w:p>
        </w:tc>
        <w:tc>
          <w:tcPr>
            <w:tcW w:w="2965" w:type="dxa"/>
          </w:tcPr>
          <w:p>
            <w:pPr>
              <w:pStyle w:val="TableParagraph"/>
              <w:rPr>
                <w:sz w:val="18"/>
              </w:rPr>
            </w:pPr>
            <w:r>
              <w:rPr>
                <w:sz w:val="18"/>
              </w:rPr>
              <w:t>Cosine</w:t>
            </w:r>
          </w:p>
        </w:tc>
      </w:tr>
      <w:tr>
        <w:trPr>
          <w:trHeight w:val="216" w:hRule="exact"/>
        </w:trPr>
        <w:tc>
          <w:tcPr>
            <w:tcW w:w="4052" w:type="dxa"/>
          </w:tcPr>
          <w:p>
            <w:pPr>
              <w:pStyle w:val="TableParagraph"/>
              <w:rPr>
                <w:sz w:val="18"/>
              </w:rPr>
            </w:pPr>
            <w:r>
              <w:rPr>
                <w:sz w:val="18"/>
              </w:rPr>
              <w:t>Filter/Clipping setting (Roll Off Factor)</w:t>
            </w:r>
          </w:p>
        </w:tc>
        <w:tc>
          <w:tcPr>
            <w:tcW w:w="2965" w:type="dxa"/>
          </w:tcPr>
          <w:p>
            <w:pPr>
              <w:pStyle w:val="TableParagraph"/>
              <w:rPr>
                <w:sz w:val="18"/>
              </w:rPr>
            </w:pPr>
            <w:r>
              <w:rPr>
                <w:sz w:val="18"/>
              </w:rPr>
              <w:t>0.70</w:t>
            </w:r>
          </w:p>
        </w:tc>
      </w:tr>
      <w:tr>
        <w:trPr>
          <w:trHeight w:val="218" w:hRule="exact"/>
        </w:trPr>
        <w:tc>
          <w:tcPr>
            <w:tcW w:w="4052" w:type="dxa"/>
          </w:tcPr>
          <w:p>
            <w:pPr>
              <w:pStyle w:val="TableParagraph"/>
              <w:spacing w:line="240" w:lineRule="auto" w:before="1"/>
              <w:rPr>
                <w:sz w:val="18"/>
              </w:rPr>
            </w:pPr>
            <w:r>
              <w:rPr>
                <w:sz w:val="18"/>
              </w:rPr>
              <w:t>Filter/Clipping setting (Cut Off Frequency Shift)</w:t>
            </w:r>
          </w:p>
        </w:tc>
        <w:tc>
          <w:tcPr>
            <w:tcW w:w="2965" w:type="dxa"/>
          </w:tcPr>
          <w:p>
            <w:pPr>
              <w:pStyle w:val="TableParagraph"/>
              <w:spacing w:line="240" w:lineRule="auto" w:before="1"/>
              <w:rPr>
                <w:sz w:val="18"/>
              </w:rPr>
            </w:pPr>
            <w:r>
              <w:rPr>
                <w:sz w:val="18"/>
              </w:rPr>
              <w:t>0.00</w:t>
            </w:r>
          </w:p>
        </w:tc>
      </w:tr>
      <w:tr>
        <w:trPr>
          <w:trHeight w:val="216" w:hRule="exact"/>
        </w:trPr>
        <w:tc>
          <w:tcPr>
            <w:tcW w:w="4052" w:type="dxa"/>
          </w:tcPr>
          <w:p>
            <w:pPr>
              <w:pStyle w:val="TableParagraph"/>
              <w:rPr>
                <w:sz w:val="18"/>
              </w:rPr>
            </w:pPr>
            <w:r>
              <w:rPr>
                <w:sz w:val="18"/>
              </w:rPr>
              <w:t>Filter/Clipping setting (Sample Rate Variation)</w:t>
            </w:r>
          </w:p>
        </w:tc>
        <w:tc>
          <w:tcPr>
            <w:tcW w:w="2965" w:type="dxa"/>
          </w:tcPr>
          <w:p>
            <w:pPr>
              <w:pStyle w:val="TableParagraph"/>
              <w:rPr>
                <w:sz w:val="18"/>
              </w:rPr>
            </w:pPr>
            <w:r>
              <w:rPr>
                <w:sz w:val="18"/>
              </w:rPr>
              <w:t>20 MHz</w:t>
            </w:r>
          </w:p>
        </w:tc>
      </w:tr>
      <w:tr>
        <w:trPr>
          <w:trHeight w:val="218" w:hRule="exact"/>
        </w:trPr>
        <w:tc>
          <w:tcPr>
            <w:tcW w:w="4052" w:type="dxa"/>
          </w:tcPr>
          <w:p>
            <w:pPr>
              <w:pStyle w:val="TableParagraph"/>
              <w:rPr>
                <w:sz w:val="18"/>
              </w:rPr>
            </w:pPr>
            <w:r>
              <w:rPr>
                <w:sz w:val="18"/>
              </w:rPr>
              <w:t>Filter/Clipping setting (Clipping)</w:t>
            </w:r>
          </w:p>
        </w:tc>
        <w:tc>
          <w:tcPr>
            <w:tcW w:w="2965" w:type="dxa"/>
          </w:tcPr>
          <w:p>
            <w:pPr>
              <w:pStyle w:val="TableParagraph"/>
              <w:rPr>
                <w:sz w:val="18"/>
              </w:rPr>
            </w:pPr>
            <w:r>
              <w:rPr>
                <w:sz w:val="18"/>
              </w:rPr>
              <w:t>On</w:t>
            </w:r>
          </w:p>
        </w:tc>
      </w:tr>
      <w:tr>
        <w:trPr>
          <w:trHeight w:val="216" w:hRule="exact"/>
        </w:trPr>
        <w:tc>
          <w:tcPr>
            <w:tcW w:w="4052" w:type="dxa"/>
          </w:tcPr>
          <w:p>
            <w:pPr>
              <w:pStyle w:val="TableParagraph"/>
              <w:rPr>
                <w:sz w:val="18"/>
              </w:rPr>
            </w:pPr>
            <w:r>
              <w:rPr>
                <w:sz w:val="18"/>
              </w:rPr>
              <w:t>Filter/Clipping setting (Clipping(Level))</w:t>
            </w:r>
          </w:p>
        </w:tc>
        <w:tc>
          <w:tcPr>
            <w:tcW w:w="2965" w:type="dxa"/>
          </w:tcPr>
          <w:p>
            <w:pPr>
              <w:pStyle w:val="TableParagraph"/>
              <w:rPr>
                <w:sz w:val="18"/>
              </w:rPr>
            </w:pPr>
            <w:r>
              <w:rPr>
                <w:sz w:val="18"/>
              </w:rPr>
              <w:t>60%</w:t>
            </w:r>
          </w:p>
        </w:tc>
      </w:tr>
      <w:tr>
        <w:trPr>
          <w:trHeight w:val="218" w:hRule="exact"/>
        </w:trPr>
        <w:tc>
          <w:tcPr>
            <w:tcW w:w="4052" w:type="dxa"/>
          </w:tcPr>
          <w:p>
            <w:pPr>
              <w:pStyle w:val="TableParagraph"/>
              <w:rPr>
                <w:sz w:val="18"/>
              </w:rPr>
            </w:pPr>
            <w:r>
              <w:rPr>
                <w:sz w:val="18"/>
              </w:rPr>
              <w:t>Filter/Clipping setting (Clipping(Mode))</w:t>
            </w:r>
          </w:p>
        </w:tc>
        <w:tc>
          <w:tcPr>
            <w:tcW w:w="2965" w:type="dxa"/>
          </w:tcPr>
          <w:p>
            <w:pPr>
              <w:pStyle w:val="TableParagraph"/>
              <w:rPr>
                <w:sz w:val="18"/>
              </w:rPr>
            </w:pPr>
            <w:r>
              <w:rPr>
                <w:sz w:val="18"/>
              </w:rPr>
              <w:t>Vector |i+jq|</w:t>
            </w:r>
          </w:p>
        </w:tc>
      </w:tr>
      <w:tr>
        <w:trPr>
          <w:trHeight w:val="422" w:hRule="exact"/>
        </w:trPr>
        <w:tc>
          <w:tcPr>
            <w:tcW w:w="4052" w:type="dxa"/>
          </w:tcPr>
          <w:p>
            <w:pPr>
              <w:pStyle w:val="TableParagraph"/>
              <w:rPr>
                <w:sz w:val="18"/>
              </w:rPr>
            </w:pPr>
            <w:r>
              <w:rPr>
                <w:sz w:val="18"/>
              </w:rPr>
              <w:t>Level (power)</w:t>
            </w:r>
          </w:p>
        </w:tc>
        <w:tc>
          <w:tcPr>
            <w:tcW w:w="2965" w:type="dxa"/>
          </w:tcPr>
          <w:p>
            <w:pPr>
              <w:pStyle w:val="TableParagraph"/>
              <w:spacing w:line="240" w:lineRule="auto"/>
              <w:rPr>
                <w:sz w:val="18"/>
              </w:rPr>
            </w:pPr>
            <w:r>
              <w:rPr>
                <w:sz w:val="18"/>
              </w:rPr>
              <w:t>Adjustable (target 18 dBm at the antenna cable input)</w:t>
            </w:r>
          </w:p>
        </w:tc>
      </w:tr>
      <w:tr>
        <w:trPr>
          <w:trHeight w:val="219" w:hRule="exact"/>
        </w:trPr>
        <w:tc>
          <w:tcPr>
            <w:tcW w:w="4052" w:type="dxa"/>
            <w:tcBorders>
              <w:bottom w:val="single" w:sz="4" w:space="0" w:color="000000"/>
            </w:tcBorders>
          </w:tcPr>
          <w:p>
            <w:pPr>
              <w:pStyle w:val="TableParagraph"/>
              <w:rPr>
                <w:sz w:val="18"/>
              </w:rPr>
            </w:pPr>
            <w:r>
              <w:rPr>
                <w:sz w:val="18"/>
              </w:rPr>
              <w:t>Traffic source duty cycle</w:t>
            </w:r>
          </w:p>
        </w:tc>
        <w:tc>
          <w:tcPr>
            <w:tcW w:w="2965" w:type="dxa"/>
            <w:tcBorders>
              <w:bottom w:val="single" w:sz="4" w:space="0" w:color="000000"/>
            </w:tcBorders>
          </w:tcPr>
          <w:p>
            <w:pPr>
              <w:pStyle w:val="TableParagraph"/>
              <w:rPr>
                <w:sz w:val="18"/>
              </w:rPr>
            </w:pPr>
            <w:r>
              <w:rPr>
                <w:sz w:val="18"/>
              </w:rPr>
              <w:t>96%</w:t>
            </w:r>
          </w:p>
        </w:tc>
      </w:tr>
    </w:tbl>
    <w:p>
      <w:pPr>
        <w:spacing w:after="0"/>
        <w:rPr>
          <w:sz w:val="18"/>
        </w:rPr>
        <w:sectPr>
          <w:headerReference w:type="default" r:id="rId397"/>
          <w:pgSz w:w="11910" w:h="16850"/>
          <w:pgMar w:header="852" w:footer="941" w:top="1040" w:bottom="1160" w:left="0" w:right="0"/>
        </w:sectPr>
      </w:pPr>
    </w:p>
    <w:p>
      <w:pPr>
        <w:pStyle w:val="BodyText"/>
        <w:spacing w:before="2"/>
        <w:rPr>
          <w:b/>
          <w:sz w:val="23"/>
        </w:rPr>
      </w:pPr>
    </w:p>
    <w:p>
      <w:pPr>
        <w:pStyle w:val="BodyText"/>
        <w:spacing w:line="247" w:lineRule="auto" w:before="93"/>
        <w:ind w:left="1133" w:right="1127"/>
        <w:jc w:val="both"/>
      </w:pPr>
      <w:r>
        <w:rPr/>
        <w:drawing>
          <wp:anchor distT="0" distB="0" distL="0" distR="0" allowOverlap="1" layoutInCell="1" locked="0" behindDoc="1" simplePos="0" relativeHeight="267935807">
            <wp:simplePos x="0" y="0"/>
            <wp:positionH relativeFrom="page">
              <wp:posOffset>5505958</wp:posOffset>
            </wp:positionH>
            <wp:positionV relativeFrom="paragraph">
              <wp:posOffset>940433</wp:posOffset>
            </wp:positionV>
            <wp:extent cx="210312" cy="156972"/>
            <wp:effectExtent l="0" t="0" r="0" b="0"/>
            <wp:wrapNone/>
            <wp:docPr id="153" name="image181.png" descr=""/>
            <wp:cNvGraphicFramePr>
              <a:graphicFrameLocks noChangeAspect="1"/>
            </wp:cNvGraphicFramePr>
            <a:graphic>
              <a:graphicData uri="http://schemas.openxmlformats.org/drawingml/2006/picture">
                <pic:pic>
                  <pic:nvPicPr>
                    <pic:cNvPr id="154" name="image181.png"/>
                    <pic:cNvPicPr/>
                  </pic:nvPicPr>
                  <pic:blipFill>
                    <a:blip r:embed="rId400" cstate="print"/>
                    <a:stretch>
                      <a:fillRect/>
                    </a:stretch>
                  </pic:blipFill>
                  <pic:spPr>
                    <a:xfrm>
                      <a:off x="0" y="0"/>
                      <a:ext cx="210312" cy="156972"/>
                    </a:xfrm>
                    <a:prstGeom prst="rect">
                      <a:avLst/>
                    </a:prstGeom>
                  </pic:spPr>
                </pic:pic>
              </a:graphicData>
            </a:graphic>
          </wp:anchor>
        </w:drawing>
      </w:r>
      <w:r>
        <w:rPr/>
        <w:drawing>
          <wp:anchor distT="0" distB="0" distL="0" distR="0" allowOverlap="1" layoutInCell="1" locked="0" behindDoc="1" simplePos="0" relativeHeight="267935831">
            <wp:simplePos x="0" y="0"/>
            <wp:positionH relativeFrom="page">
              <wp:posOffset>1080820</wp:posOffset>
            </wp:positionH>
            <wp:positionV relativeFrom="paragraph">
              <wp:posOffset>1100453</wp:posOffset>
            </wp:positionV>
            <wp:extent cx="210312" cy="156972"/>
            <wp:effectExtent l="0" t="0" r="0" b="0"/>
            <wp:wrapNone/>
            <wp:docPr id="155" name="image181.png" descr=""/>
            <wp:cNvGraphicFramePr>
              <a:graphicFrameLocks noChangeAspect="1"/>
            </wp:cNvGraphicFramePr>
            <a:graphic>
              <a:graphicData uri="http://schemas.openxmlformats.org/drawingml/2006/picture">
                <pic:pic>
                  <pic:nvPicPr>
                    <pic:cNvPr id="156" name="image181.png"/>
                    <pic:cNvPicPr/>
                  </pic:nvPicPr>
                  <pic:blipFill>
                    <a:blip r:embed="rId400" cstate="print"/>
                    <a:stretch>
                      <a:fillRect/>
                    </a:stretch>
                  </pic:blipFill>
                  <pic:spPr>
                    <a:xfrm>
                      <a:off x="0" y="0"/>
                      <a:ext cx="210312" cy="156972"/>
                    </a:xfrm>
                    <a:prstGeom prst="rect">
                      <a:avLst/>
                    </a:prstGeom>
                  </pic:spPr>
                </pic:pic>
              </a:graphicData>
            </a:graphic>
          </wp:anchor>
        </w:drawing>
      </w:r>
      <w:r>
        <w:rPr/>
        <w:t>Output of the signal generator connects to an RF cable to the power amplifier (Minicircuits ZVE-3W-83+) as Figure</w:t>
      </w:r>
      <w:r>
        <w:rPr>
          <w:spacing w:val="-12"/>
        </w:rPr>
        <w:t> </w:t>
      </w:r>
      <w:r>
        <w:rPr/>
        <w:t>71</w:t>
      </w:r>
      <w:r>
        <w:rPr>
          <w:spacing w:val="-13"/>
        </w:rPr>
        <w:t> </w:t>
      </w:r>
      <w:r>
        <w:rPr/>
        <w:t>shows.</w:t>
      </w:r>
      <w:r>
        <w:rPr>
          <w:spacing w:val="-14"/>
        </w:rPr>
        <w:t> </w:t>
      </w:r>
      <w:r>
        <w:rPr/>
        <w:t>Output</w:t>
      </w:r>
      <w:r>
        <w:rPr>
          <w:spacing w:val="-13"/>
        </w:rPr>
        <w:t> </w:t>
      </w:r>
      <w:r>
        <w:rPr/>
        <w:t>of</w:t>
      </w:r>
      <w:r>
        <w:rPr>
          <w:spacing w:val="-13"/>
        </w:rPr>
        <w:t> </w:t>
      </w:r>
      <w:r>
        <w:rPr/>
        <w:t>the</w:t>
      </w:r>
      <w:r>
        <w:rPr>
          <w:spacing w:val="-15"/>
        </w:rPr>
        <w:t> </w:t>
      </w:r>
      <w:r>
        <w:rPr/>
        <w:t>power</w:t>
      </w:r>
      <w:r>
        <w:rPr>
          <w:spacing w:val="-12"/>
        </w:rPr>
        <w:t> </w:t>
      </w:r>
      <w:r>
        <w:rPr/>
        <w:t>amplifier</w:t>
      </w:r>
      <w:r>
        <w:rPr>
          <w:spacing w:val="-14"/>
        </w:rPr>
        <w:t> </w:t>
      </w:r>
      <w:r>
        <w:rPr/>
        <w:t>is</w:t>
      </w:r>
      <w:r>
        <w:rPr>
          <w:spacing w:val="-14"/>
        </w:rPr>
        <w:t> </w:t>
      </w:r>
      <w:r>
        <w:rPr/>
        <w:t>connected</w:t>
      </w:r>
      <w:r>
        <w:rPr>
          <w:spacing w:val="-15"/>
        </w:rPr>
        <w:t> </w:t>
      </w:r>
      <w:r>
        <w:rPr/>
        <w:t>to</w:t>
      </w:r>
      <w:r>
        <w:rPr>
          <w:spacing w:val="-13"/>
        </w:rPr>
        <w:t> </w:t>
      </w:r>
      <w:r>
        <w:rPr/>
        <w:t>the</w:t>
      </w:r>
      <w:r>
        <w:rPr>
          <w:spacing w:val="-13"/>
        </w:rPr>
        <w:t> </w:t>
      </w:r>
      <w:r>
        <w:rPr/>
        <w:t>vehicle</w:t>
      </w:r>
      <w:r>
        <w:rPr>
          <w:spacing w:val="-13"/>
        </w:rPr>
        <w:t> </w:t>
      </w:r>
      <w:r>
        <w:rPr/>
        <w:t>antenna</w:t>
      </w:r>
      <w:r>
        <w:rPr>
          <w:spacing w:val="-14"/>
        </w:rPr>
        <w:t> </w:t>
      </w:r>
      <w:r>
        <w:rPr/>
        <w:t>(COM6-5500)</w:t>
      </w:r>
      <w:r>
        <w:rPr>
          <w:spacing w:val="-12"/>
        </w:rPr>
        <w:t> </w:t>
      </w:r>
      <w:r>
        <w:rPr/>
        <w:t>which</w:t>
      </w:r>
      <w:r>
        <w:rPr>
          <w:spacing w:val="-14"/>
        </w:rPr>
        <w:t> </w:t>
      </w:r>
      <w:r>
        <w:rPr/>
        <w:t>comes with a 10-ft cable and is mounted on the roof of the Interfering Vehicle (IV). In our tests the IV was the same vehicle</w:t>
      </w:r>
      <w:r>
        <w:rPr>
          <w:spacing w:val="-3"/>
        </w:rPr>
        <w:t> </w:t>
      </w:r>
      <w:r>
        <w:rPr/>
        <w:t>type</w:t>
      </w:r>
      <w:r>
        <w:rPr>
          <w:spacing w:val="-4"/>
        </w:rPr>
        <w:t> </w:t>
      </w:r>
      <w:r>
        <w:rPr/>
        <w:t>as</w:t>
      </w:r>
      <w:r>
        <w:rPr>
          <w:spacing w:val="-5"/>
        </w:rPr>
        <w:t> </w:t>
      </w:r>
      <w:r>
        <w:rPr/>
        <w:t>the</w:t>
      </w:r>
      <w:r>
        <w:rPr>
          <w:spacing w:val="-3"/>
        </w:rPr>
        <w:t> </w:t>
      </w:r>
      <w:r>
        <w:rPr/>
        <w:t>SV</w:t>
      </w:r>
      <w:r>
        <w:rPr>
          <w:spacing w:val="-2"/>
        </w:rPr>
        <w:t> </w:t>
      </w:r>
      <w:r>
        <w:rPr/>
        <w:t>and</w:t>
      </w:r>
      <w:r>
        <w:rPr>
          <w:spacing w:val="-1"/>
        </w:rPr>
        <w:t> </w:t>
      </w:r>
      <w:r>
        <w:rPr/>
        <w:t>MV</w:t>
      </w:r>
      <w:r>
        <w:rPr>
          <w:spacing w:val="-7"/>
        </w:rPr>
        <w:t> </w:t>
      </w:r>
      <w:r>
        <w:rPr/>
        <w:t>(Ford</w:t>
      </w:r>
      <w:r>
        <w:rPr>
          <w:spacing w:val="-3"/>
        </w:rPr>
        <w:t> </w:t>
      </w:r>
      <w:r>
        <w:rPr/>
        <w:t>Fusion</w:t>
      </w:r>
      <w:r>
        <w:rPr>
          <w:spacing w:val="-3"/>
        </w:rPr>
        <w:t> </w:t>
      </w:r>
      <w:r>
        <w:rPr/>
        <w:t>w/o</w:t>
      </w:r>
      <w:r>
        <w:rPr>
          <w:spacing w:val="-6"/>
        </w:rPr>
        <w:t> </w:t>
      </w:r>
      <w:r>
        <w:rPr/>
        <w:t>moon</w:t>
      </w:r>
      <w:r>
        <w:rPr>
          <w:spacing w:val="-3"/>
        </w:rPr>
        <w:t> </w:t>
      </w:r>
      <w:r>
        <w:rPr/>
        <w:t>roof).</w:t>
      </w:r>
      <w:r>
        <w:rPr>
          <w:spacing w:val="-5"/>
        </w:rPr>
        <w:t> </w:t>
      </w:r>
      <w:r>
        <w:rPr/>
        <w:t>The</w:t>
      </w:r>
      <w:r>
        <w:rPr>
          <w:spacing w:val="-8"/>
        </w:rPr>
        <w:t> </w:t>
      </w:r>
      <w:r>
        <w:rPr/>
        <w:t>measured</w:t>
      </w:r>
      <w:r>
        <w:rPr>
          <w:spacing w:val="-5"/>
        </w:rPr>
        <w:t> </w:t>
      </w:r>
      <w:r>
        <w:rPr/>
        <w:t>average</w:t>
      </w:r>
      <w:r>
        <w:rPr>
          <w:spacing w:val="-6"/>
        </w:rPr>
        <w:t> </w:t>
      </w:r>
      <w:r>
        <w:rPr/>
        <w:t>power</w:t>
      </w:r>
      <w:r>
        <w:rPr>
          <w:spacing w:val="-3"/>
        </w:rPr>
        <w:t> </w:t>
      </w:r>
      <w:r>
        <w:rPr/>
        <w:t>at</w:t>
      </w:r>
      <w:r>
        <w:rPr>
          <w:spacing w:val="-5"/>
        </w:rPr>
        <w:t> </w:t>
      </w:r>
      <w:r>
        <w:rPr/>
        <w:t>the</w:t>
      </w:r>
      <w:r>
        <w:rPr>
          <w:spacing w:val="-3"/>
        </w:rPr>
        <w:t> </w:t>
      </w:r>
      <w:r>
        <w:rPr/>
        <w:t>input</w:t>
      </w:r>
      <w:r>
        <w:rPr>
          <w:spacing w:val="-6"/>
        </w:rPr>
        <w:t> </w:t>
      </w:r>
      <w:r>
        <w:rPr/>
        <w:t>to</w:t>
      </w:r>
      <w:r>
        <w:rPr>
          <w:spacing w:val="-6"/>
        </w:rPr>
        <w:t> </w:t>
      </w:r>
      <w:r>
        <w:rPr/>
        <w:t>the AP</w:t>
      </w:r>
      <w:r>
        <w:rPr>
          <w:spacing w:val="-3"/>
        </w:rPr>
        <w:t> </w:t>
      </w:r>
      <w:r>
        <w:rPr/>
        <w:t>antenna</w:t>
      </w:r>
      <w:r>
        <w:rPr>
          <w:spacing w:val="-3"/>
        </w:rPr>
        <w:t> </w:t>
      </w:r>
      <w:r>
        <w:rPr/>
        <w:t>was</w:t>
      </w:r>
      <w:r>
        <w:rPr>
          <w:spacing w:val="-2"/>
        </w:rPr>
        <w:t> </w:t>
      </w:r>
      <w:r>
        <w:rPr/>
        <w:t>18.7</w:t>
      </w:r>
      <w:r>
        <w:rPr>
          <w:spacing w:val="-5"/>
        </w:rPr>
        <w:t> </w:t>
      </w:r>
      <w:r>
        <w:rPr/>
        <w:t>dBm.</w:t>
      </w:r>
      <w:r>
        <w:rPr>
          <w:spacing w:val="-7"/>
        </w:rPr>
        <w:t> </w:t>
      </w:r>
      <w:r>
        <w:rPr/>
        <w:t>The</w:t>
      </w:r>
      <w:r>
        <w:rPr>
          <w:spacing w:val="-5"/>
        </w:rPr>
        <w:t> </w:t>
      </w:r>
      <w:r>
        <w:rPr/>
        <w:t>transmit</w:t>
      </w:r>
      <w:r>
        <w:rPr>
          <w:spacing w:val="-5"/>
        </w:rPr>
        <w:t> </w:t>
      </w:r>
      <w:r>
        <w:rPr/>
        <w:t>power</w:t>
      </w:r>
      <w:r>
        <w:rPr>
          <w:spacing w:val="-3"/>
        </w:rPr>
        <w:t> </w:t>
      </w:r>
      <w:r>
        <w:rPr/>
        <w:t>was</w:t>
      </w:r>
      <w:r>
        <w:rPr>
          <w:spacing w:val="-4"/>
        </w:rPr>
        <w:t> </w:t>
      </w:r>
      <w:r>
        <w:rPr/>
        <w:t>measured</w:t>
      </w:r>
      <w:r>
        <w:rPr>
          <w:spacing w:val="-3"/>
        </w:rPr>
        <w:t> </w:t>
      </w:r>
      <w:r>
        <w:rPr/>
        <w:t>with</w:t>
      </w:r>
      <w:r>
        <w:rPr>
          <w:spacing w:val="-5"/>
        </w:rPr>
        <w:t> </w:t>
      </w:r>
      <w:r>
        <w:rPr/>
        <w:t>a</w:t>
      </w:r>
      <w:r>
        <w:rPr>
          <w:spacing w:val="-3"/>
        </w:rPr>
        <w:t> </w:t>
      </w:r>
      <w:r>
        <w:rPr/>
        <w:t>power</w:t>
      </w:r>
      <w:r>
        <w:rPr>
          <w:spacing w:val="-5"/>
        </w:rPr>
        <w:t> </w:t>
      </w:r>
      <w:r>
        <w:rPr/>
        <w:t>meter</w:t>
      </w:r>
      <w:r>
        <w:rPr>
          <w:spacing w:val="-5"/>
        </w:rPr>
        <w:t> </w:t>
      </w:r>
      <w:r>
        <w:rPr/>
        <w:t>with</w:t>
      </w:r>
      <w:r>
        <w:rPr>
          <w:spacing w:val="-3"/>
        </w:rPr>
        <w:t> </w:t>
      </w:r>
      <w:r>
        <w:rPr/>
        <w:t>the</w:t>
      </w:r>
      <w:r>
        <w:rPr>
          <w:spacing w:val="-4"/>
        </w:rPr>
        <w:t> </w:t>
      </w:r>
      <w:r>
        <w:rPr/>
        <w:t>Idle</w:t>
      </w:r>
      <w:r>
        <w:rPr>
          <w:spacing w:val="-5"/>
        </w:rPr>
        <w:t> </w:t>
      </w:r>
      <w:r>
        <w:rPr/>
        <w:t>Time</w:t>
      </w:r>
      <w:r>
        <w:rPr>
          <w:spacing w:val="-5"/>
        </w:rPr>
        <w:t> </w:t>
      </w:r>
      <w:r>
        <w:rPr/>
        <w:t>in</w:t>
      </w:r>
      <w:r>
        <w:rPr>
          <w:spacing w:val="-5"/>
        </w:rPr>
        <w:t> </w:t>
      </w:r>
      <w:r>
        <w:rPr/>
        <w:t>Table 31</w:t>
      </w:r>
      <w:r>
        <w:rPr>
          <w:spacing w:val="-6"/>
        </w:rPr>
        <w:t> </w:t>
      </w:r>
      <w:r>
        <w:rPr/>
        <w:t>set</w:t>
      </w:r>
      <w:r>
        <w:rPr>
          <w:spacing w:val="-6"/>
        </w:rPr>
        <w:t> </w:t>
      </w:r>
      <w:r>
        <w:rPr/>
        <w:t>to</w:t>
      </w:r>
      <w:r>
        <w:rPr>
          <w:spacing w:val="-6"/>
        </w:rPr>
        <w:t> </w:t>
      </w:r>
      <w:r>
        <w:rPr/>
        <w:t>0.001</w:t>
      </w:r>
      <w:r>
        <w:rPr>
          <w:spacing w:val="-6"/>
        </w:rPr>
        <w:t> </w:t>
      </w:r>
      <w:r>
        <w:rPr/>
        <w:t>ms.</w:t>
      </w:r>
      <w:r>
        <w:rPr>
          <w:spacing w:val="-7"/>
        </w:rPr>
        <w:t> </w:t>
      </w:r>
      <w:r>
        <w:rPr/>
        <w:t>The</w:t>
      </w:r>
      <w:r>
        <w:rPr>
          <w:spacing w:val="-6"/>
        </w:rPr>
        <w:t> </w:t>
      </w:r>
      <w:r>
        <w:rPr/>
        <w:t>power</w:t>
      </w:r>
      <w:r>
        <w:rPr>
          <w:spacing w:val="-5"/>
        </w:rPr>
        <w:t> </w:t>
      </w:r>
      <w:r>
        <w:rPr/>
        <w:t>spectrum</w:t>
      </w:r>
      <w:r>
        <w:rPr>
          <w:spacing w:val="-1"/>
        </w:rPr>
        <w:t> </w:t>
      </w:r>
      <w:r>
        <w:rPr/>
        <w:t>of</w:t>
      </w:r>
      <w:r>
        <w:rPr>
          <w:spacing w:val="-3"/>
        </w:rPr>
        <w:t> </w:t>
      </w:r>
      <w:r>
        <w:rPr/>
        <w:t>the</w:t>
      </w:r>
      <w:r>
        <w:rPr>
          <w:spacing w:val="-6"/>
        </w:rPr>
        <w:t> </w:t>
      </w:r>
      <w:r>
        <w:rPr/>
        <w:t>signal</w:t>
      </w:r>
      <w:r>
        <w:rPr>
          <w:spacing w:val="-6"/>
        </w:rPr>
        <w:t> </w:t>
      </w:r>
      <w:r>
        <w:rPr/>
        <w:t>measured</w:t>
      </w:r>
      <w:r>
        <w:rPr>
          <w:spacing w:val="-5"/>
        </w:rPr>
        <w:t> </w:t>
      </w:r>
      <w:r>
        <w:rPr/>
        <w:t>at</w:t>
      </w:r>
      <w:r>
        <w:rPr>
          <w:spacing w:val="-6"/>
        </w:rPr>
        <w:t> </w:t>
      </w:r>
      <w:r>
        <w:rPr/>
        <w:t>the</w:t>
      </w:r>
      <w:r>
        <w:rPr>
          <w:spacing w:val="-2"/>
        </w:rPr>
        <w:t> </w:t>
      </w:r>
      <w:r>
        <w:rPr/>
        <w:t>input</w:t>
      </w:r>
      <w:r>
        <w:rPr>
          <w:spacing w:val="-5"/>
        </w:rPr>
        <w:t> </w:t>
      </w:r>
      <w:r>
        <w:rPr/>
        <w:t>to</w:t>
      </w:r>
      <w:r>
        <w:rPr>
          <w:spacing w:val="-6"/>
        </w:rPr>
        <w:t> </w:t>
      </w:r>
      <w:r>
        <w:rPr/>
        <w:t>the</w:t>
      </w:r>
      <w:r>
        <w:rPr>
          <w:spacing w:val="-6"/>
        </w:rPr>
        <w:t> </w:t>
      </w:r>
      <w:r>
        <w:rPr/>
        <w:t>antenna</w:t>
      </w:r>
      <w:r>
        <w:rPr>
          <w:spacing w:val="-3"/>
        </w:rPr>
        <w:t> </w:t>
      </w:r>
      <w:r>
        <w:rPr/>
        <w:t>is</w:t>
      </w:r>
      <w:r>
        <w:rPr>
          <w:spacing w:val="-4"/>
        </w:rPr>
        <w:t> </w:t>
      </w:r>
      <w:r>
        <w:rPr/>
        <w:t>shown</w:t>
      </w:r>
      <w:r>
        <w:rPr>
          <w:spacing w:val="-3"/>
        </w:rPr>
        <w:t> </w:t>
      </w:r>
      <w:r>
        <w:rPr/>
        <w:t>in</w:t>
      </w:r>
      <w:r>
        <w:rPr>
          <w:spacing w:val="-6"/>
        </w:rPr>
        <w:t> </w:t>
      </w:r>
      <w:r>
        <w:rPr/>
        <w:t>Figure 72.The combination of packet length, data rate, and idle time duration results in 1,946</w:t>
      </w:r>
      <w:r>
        <w:rPr>
          <w:spacing w:val="42"/>
        </w:rPr>
        <w:t> </w:t>
      </w:r>
      <w:r>
        <w:rPr/>
        <w:t>s ON periods followed by 81 s OFF or idle periods. The application data rate is approximately 6 Mbps while the utilization of the channel is 96%. This traffic profile models V2V/V2I data</w:t>
      </w:r>
      <w:r>
        <w:rPr>
          <w:spacing w:val="-20"/>
        </w:rPr>
        <w:t> </w:t>
      </w:r>
      <w:r>
        <w:rPr/>
        <w:t>download.</w:t>
      </w:r>
    </w:p>
    <w:p>
      <w:pPr>
        <w:pStyle w:val="BodyText"/>
        <w:spacing w:before="10"/>
        <w:rPr>
          <w:sz w:val="11"/>
        </w:rPr>
      </w:pPr>
      <w:r>
        <w:rPr/>
        <w:drawing>
          <wp:anchor distT="0" distB="0" distL="0" distR="0" allowOverlap="1" layoutInCell="1" locked="0" behindDoc="0" simplePos="0" relativeHeight="8344">
            <wp:simplePos x="0" y="0"/>
            <wp:positionH relativeFrom="page">
              <wp:posOffset>751205</wp:posOffset>
            </wp:positionH>
            <wp:positionV relativeFrom="paragraph">
              <wp:posOffset>111590</wp:posOffset>
            </wp:positionV>
            <wp:extent cx="3725444" cy="2657855"/>
            <wp:effectExtent l="0" t="0" r="0" b="0"/>
            <wp:wrapTopAndBottom/>
            <wp:docPr id="157" name="image182.png" descr=""/>
            <wp:cNvGraphicFramePr>
              <a:graphicFrameLocks noChangeAspect="1"/>
            </wp:cNvGraphicFramePr>
            <a:graphic>
              <a:graphicData uri="http://schemas.openxmlformats.org/drawingml/2006/picture">
                <pic:pic>
                  <pic:nvPicPr>
                    <pic:cNvPr id="158" name="image182.png"/>
                    <pic:cNvPicPr/>
                  </pic:nvPicPr>
                  <pic:blipFill>
                    <a:blip r:embed="rId401" cstate="print"/>
                    <a:stretch>
                      <a:fillRect/>
                    </a:stretch>
                  </pic:blipFill>
                  <pic:spPr>
                    <a:xfrm>
                      <a:off x="0" y="0"/>
                      <a:ext cx="3725444" cy="2657855"/>
                    </a:xfrm>
                    <a:prstGeom prst="rect">
                      <a:avLst/>
                    </a:prstGeom>
                  </pic:spPr>
                </pic:pic>
              </a:graphicData>
            </a:graphic>
          </wp:anchor>
        </w:drawing>
      </w:r>
    </w:p>
    <w:p>
      <w:pPr>
        <w:pStyle w:val="Heading4"/>
        <w:spacing w:before="102"/>
        <w:ind w:right="1129"/>
        <w:jc w:val="both"/>
      </w:pPr>
      <w:r>
        <w:rPr/>
        <w:t>Figure 71: Adjacent channel interferer setup. This equipment was placed in the interfering vehicle (IV)</w:t>
      </w:r>
    </w:p>
    <w:p>
      <w:pPr>
        <w:pStyle w:val="BodyText"/>
        <w:rPr>
          <w:b/>
        </w:rPr>
      </w:pPr>
    </w:p>
    <w:p>
      <w:pPr>
        <w:pStyle w:val="BodyText"/>
        <w:spacing w:before="6"/>
        <w:rPr>
          <w:b/>
          <w:sz w:val="18"/>
        </w:rPr>
      </w:pPr>
      <w:r>
        <w:rPr/>
        <w:drawing>
          <wp:anchor distT="0" distB="0" distL="0" distR="0" allowOverlap="1" layoutInCell="1" locked="0" behindDoc="0" simplePos="0" relativeHeight="8368">
            <wp:simplePos x="0" y="0"/>
            <wp:positionH relativeFrom="page">
              <wp:posOffset>719455</wp:posOffset>
            </wp:positionH>
            <wp:positionV relativeFrom="paragraph">
              <wp:posOffset>160576</wp:posOffset>
            </wp:positionV>
            <wp:extent cx="3087703" cy="2231898"/>
            <wp:effectExtent l="0" t="0" r="0" b="0"/>
            <wp:wrapTopAndBottom/>
            <wp:docPr id="159" name="image183.jpeg" descr="C:\Users\ivukovi6\Documents\Project_2018\Data_processing\Fowlerville_test_041118\Report\Anritsu\adjacent091118_ch184.jpg"/>
            <wp:cNvGraphicFramePr>
              <a:graphicFrameLocks noChangeAspect="1"/>
            </wp:cNvGraphicFramePr>
            <a:graphic>
              <a:graphicData uri="http://schemas.openxmlformats.org/drawingml/2006/picture">
                <pic:pic>
                  <pic:nvPicPr>
                    <pic:cNvPr id="160" name="image183.jpeg"/>
                    <pic:cNvPicPr/>
                  </pic:nvPicPr>
                  <pic:blipFill>
                    <a:blip r:embed="rId402" cstate="print"/>
                    <a:stretch>
                      <a:fillRect/>
                    </a:stretch>
                  </pic:blipFill>
                  <pic:spPr>
                    <a:xfrm>
                      <a:off x="0" y="0"/>
                      <a:ext cx="3087703" cy="2231898"/>
                    </a:xfrm>
                    <a:prstGeom prst="rect">
                      <a:avLst/>
                    </a:prstGeom>
                  </pic:spPr>
                </pic:pic>
              </a:graphicData>
            </a:graphic>
          </wp:anchor>
        </w:drawing>
      </w:r>
    </w:p>
    <w:p>
      <w:pPr>
        <w:spacing w:before="114"/>
        <w:ind w:left="1133" w:right="0" w:firstLine="0"/>
        <w:jc w:val="both"/>
        <w:rPr>
          <w:b/>
          <w:sz w:val="24"/>
        </w:rPr>
      </w:pPr>
      <w:r>
        <w:rPr>
          <w:b/>
          <w:sz w:val="24"/>
        </w:rPr>
        <w:t>Figure 72: Power spectrum of the adjacent channel DSRC interferer</w:t>
      </w:r>
    </w:p>
    <w:p>
      <w:pPr>
        <w:pStyle w:val="BodyText"/>
        <w:rPr>
          <w:b/>
          <w:sz w:val="26"/>
        </w:rPr>
      </w:pPr>
    </w:p>
    <w:p>
      <w:pPr>
        <w:pStyle w:val="BodyText"/>
        <w:spacing w:before="182"/>
        <w:ind w:left="1133" w:right="1129"/>
        <w:jc w:val="both"/>
      </w:pPr>
      <w:r>
        <w:rPr/>
        <w:t>This</w:t>
      </w:r>
      <w:r>
        <w:rPr>
          <w:spacing w:val="-4"/>
        </w:rPr>
        <w:t> </w:t>
      </w:r>
      <w:r>
        <w:rPr/>
        <w:t>test</w:t>
      </w:r>
      <w:r>
        <w:rPr>
          <w:spacing w:val="-5"/>
        </w:rPr>
        <w:t> </w:t>
      </w:r>
      <w:r>
        <w:rPr/>
        <w:t>compares</w:t>
      </w:r>
      <w:r>
        <w:rPr>
          <w:spacing w:val="-5"/>
        </w:rPr>
        <w:t> </w:t>
      </w:r>
      <w:r>
        <w:rPr/>
        <w:t>the</w:t>
      </w:r>
      <w:r>
        <w:rPr>
          <w:spacing w:val="-6"/>
        </w:rPr>
        <w:t> </w:t>
      </w:r>
      <w:r>
        <w:rPr/>
        <w:t>range</w:t>
      </w:r>
      <w:r>
        <w:rPr>
          <w:spacing w:val="-6"/>
        </w:rPr>
        <w:t> </w:t>
      </w:r>
      <w:r>
        <w:rPr/>
        <w:t>of</w:t>
      </w:r>
      <w:r>
        <w:rPr>
          <w:spacing w:val="-4"/>
        </w:rPr>
        <w:t> </w:t>
      </w:r>
      <w:r>
        <w:rPr/>
        <w:t>DSRC</w:t>
      </w:r>
      <w:r>
        <w:rPr>
          <w:spacing w:val="-3"/>
        </w:rPr>
        <w:t> </w:t>
      </w:r>
      <w:r>
        <w:rPr/>
        <w:t>and</w:t>
      </w:r>
      <w:r>
        <w:rPr>
          <w:spacing w:val="-2"/>
        </w:rPr>
        <w:t> </w:t>
      </w:r>
      <w:r>
        <w:rPr/>
        <w:t>C-V2X</w:t>
      </w:r>
      <w:r>
        <w:rPr>
          <w:spacing w:val="-3"/>
        </w:rPr>
        <w:t> </w:t>
      </w:r>
      <w:r>
        <w:rPr/>
        <w:t>OBUs</w:t>
      </w:r>
      <w:r>
        <w:rPr>
          <w:spacing w:val="-4"/>
        </w:rPr>
        <w:t> </w:t>
      </w:r>
      <w:r>
        <w:rPr/>
        <w:t>in</w:t>
      </w:r>
      <w:r>
        <w:rPr>
          <w:spacing w:val="-3"/>
        </w:rPr>
        <w:t> </w:t>
      </w:r>
      <w:r>
        <w:rPr/>
        <w:t>the</w:t>
      </w:r>
      <w:r>
        <w:rPr>
          <w:spacing w:val="-4"/>
        </w:rPr>
        <w:t> </w:t>
      </w:r>
      <w:r>
        <w:rPr/>
        <w:t>presence</w:t>
      </w:r>
      <w:r>
        <w:rPr>
          <w:spacing w:val="-6"/>
        </w:rPr>
        <w:t> </w:t>
      </w:r>
      <w:r>
        <w:rPr/>
        <w:t>of</w:t>
      </w:r>
      <w:r>
        <w:rPr>
          <w:spacing w:val="-4"/>
        </w:rPr>
        <w:t> </w:t>
      </w:r>
      <w:r>
        <w:rPr/>
        <w:t>10-MHz-wide</w:t>
      </w:r>
      <w:r>
        <w:rPr>
          <w:spacing w:val="-3"/>
        </w:rPr>
        <w:t> </w:t>
      </w:r>
      <w:r>
        <w:rPr/>
        <w:t>DSRC</w:t>
      </w:r>
      <w:r>
        <w:rPr>
          <w:spacing w:val="-5"/>
        </w:rPr>
        <w:t> </w:t>
      </w:r>
      <w:r>
        <w:rPr/>
        <w:t>interference in</w:t>
      </w:r>
      <w:r>
        <w:rPr>
          <w:spacing w:val="-15"/>
        </w:rPr>
        <w:t> </w:t>
      </w:r>
      <w:r>
        <w:rPr/>
        <w:t>the</w:t>
      </w:r>
      <w:r>
        <w:rPr>
          <w:spacing w:val="-13"/>
        </w:rPr>
        <w:t> </w:t>
      </w:r>
      <w:r>
        <w:rPr/>
        <w:t>adjacent</w:t>
      </w:r>
      <w:r>
        <w:rPr>
          <w:spacing w:val="-13"/>
        </w:rPr>
        <w:t> </w:t>
      </w:r>
      <w:r>
        <w:rPr/>
        <w:t>channel</w:t>
      </w:r>
      <w:r>
        <w:rPr>
          <w:spacing w:val="-16"/>
        </w:rPr>
        <w:t> </w:t>
      </w:r>
      <w:r>
        <w:rPr/>
        <w:t>(CH182)</w:t>
      </w:r>
      <w:r>
        <w:rPr>
          <w:spacing w:val="-14"/>
        </w:rPr>
        <w:t> </w:t>
      </w:r>
      <w:r>
        <w:rPr/>
        <w:t>assuming</w:t>
      </w:r>
      <w:r>
        <w:rPr>
          <w:spacing w:val="-16"/>
        </w:rPr>
        <w:t> </w:t>
      </w:r>
      <w:r>
        <w:rPr/>
        <w:t>11</w:t>
      </w:r>
      <w:r>
        <w:rPr>
          <w:spacing w:val="-15"/>
        </w:rPr>
        <w:t> </w:t>
      </w:r>
      <w:r>
        <w:rPr/>
        <w:t>dBm</w:t>
      </w:r>
      <w:r>
        <w:rPr>
          <w:spacing w:val="-11"/>
        </w:rPr>
        <w:t> </w:t>
      </w:r>
      <w:r>
        <w:rPr/>
        <w:t>equivalent</w:t>
      </w:r>
      <w:r>
        <w:rPr>
          <w:spacing w:val="-13"/>
        </w:rPr>
        <w:t> </w:t>
      </w:r>
      <w:r>
        <w:rPr/>
        <w:t>transmit</w:t>
      </w:r>
      <w:r>
        <w:rPr>
          <w:spacing w:val="-15"/>
        </w:rPr>
        <w:t> </w:t>
      </w:r>
      <w:r>
        <w:rPr/>
        <w:t>power</w:t>
      </w:r>
      <w:r>
        <w:rPr>
          <w:spacing w:val="-14"/>
        </w:rPr>
        <w:t> </w:t>
      </w:r>
      <w:r>
        <w:rPr/>
        <w:t>of</w:t>
      </w:r>
      <w:r>
        <w:rPr>
          <w:spacing w:val="-13"/>
        </w:rPr>
        <w:t> </w:t>
      </w:r>
      <w:r>
        <w:rPr/>
        <w:t>the</w:t>
      </w:r>
      <w:r>
        <w:rPr>
          <w:spacing w:val="-11"/>
        </w:rPr>
        <w:t> </w:t>
      </w:r>
      <w:r>
        <w:rPr/>
        <w:t>OBUs.</w:t>
      </w:r>
      <w:r>
        <w:rPr>
          <w:spacing w:val="-15"/>
        </w:rPr>
        <w:t> </w:t>
      </w:r>
      <w:r>
        <w:rPr/>
        <w:t>The</w:t>
      </w:r>
      <w:r>
        <w:rPr>
          <w:spacing w:val="-16"/>
        </w:rPr>
        <w:t> </w:t>
      </w:r>
      <w:r>
        <w:rPr/>
        <w:t>transmit</w:t>
      </w:r>
      <w:r>
        <w:rPr>
          <w:spacing w:val="-15"/>
        </w:rPr>
        <w:t> </w:t>
      </w:r>
      <w:r>
        <w:rPr/>
        <w:t>power of the IV measured at the output of the power amplifier is approximately 19 dBm. In Figure 73 we show PRR at the SV as a function of distance for the MV and SV. The DSRC and CV2x range is 400 m and 1050 m, respectively. This represents a smaller negative impact than the U-NII-3 interference which is expected given that power of the U-NII-3 interferer is higher. Note that DSRC PRR drops below 90% briefly at the distance of 100 m but quickly recovers. </w:t>
      </w:r>
      <w:r>
        <w:rPr>
          <w:spacing w:val="4"/>
        </w:rPr>
        <w:t>We </w:t>
      </w:r>
      <w:r>
        <w:rPr/>
        <w:t>also note that the DSRC reception at the SV is negatively impacted even for distances below range. </w:t>
      </w:r>
      <w:r>
        <w:rPr>
          <w:spacing w:val="5"/>
        </w:rPr>
        <w:t>We</w:t>
      </w:r>
      <w:r>
        <w:rPr>
          <w:spacing w:val="-37"/>
        </w:rPr>
        <w:t> </w:t>
      </w:r>
      <w:r>
        <w:rPr/>
        <w:t>have observed a steady loss of packets at roughly approximately 1%.</w:t>
      </w:r>
    </w:p>
    <w:p>
      <w:pPr>
        <w:spacing w:after="0"/>
        <w:jc w:val="both"/>
        <w:sectPr>
          <w:headerReference w:type="default" r:id="rId399"/>
          <w:pgSz w:w="11910" w:h="16850"/>
          <w:pgMar w:header="852" w:footer="941" w:top="1040" w:bottom="1160" w:left="0" w:right="0"/>
        </w:sectPr>
      </w:pPr>
    </w:p>
    <w:p>
      <w:pPr>
        <w:pStyle w:val="BodyText"/>
        <w:spacing w:before="2"/>
        <w:rPr>
          <w:sz w:val="23"/>
        </w:rPr>
      </w:pPr>
    </w:p>
    <w:p>
      <w:pPr>
        <w:pStyle w:val="BodyText"/>
        <w:spacing w:before="93"/>
        <w:ind w:left="1133" w:right="1134"/>
        <w:jc w:val="both"/>
      </w:pPr>
      <w:r>
        <w:rPr/>
        <w:t>Similar to U-NII-3 results, in Figure 74 we observe that reception at the MV is only slightly affected by the presence of the interferer. The range for DSRC and C-V2X is 700 m and 1025 m, respectively. Compared to LOS results MV range for DSRC is unchanged while MV range for C-V2X dropped by 125 m.</w:t>
      </w:r>
    </w:p>
    <w:p>
      <w:pPr>
        <w:pStyle w:val="BodyText"/>
      </w:pPr>
    </w:p>
    <w:p>
      <w:pPr>
        <w:pStyle w:val="BodyText"/>
        <w:spacing w:before="9"/>
      </w:pPr>
      <w:r>
        <w:rPr/>
        <w:drawing>
          <wp:anchor distT="0" distB="0" distL="0" distR="0" allowOverlap="1" layoutInCell="1" locked="0" behindDoc="0" simplePos="0" relativeHeight="8440">
            <wp:simplePos x="0" y="0"/>
            <wp:positionH relativeFrom="page">
              <wp:posOffset>719455</wp:posOffset>
            </wp:positionH>
            <wp:positionV relativeFrom="paragraph">
              <wp:posOffset>176565</wp:posOffset>
            </wp:positionV>
            <wp:extent cx="5413149" cy="3142678"/>
            <wp:effectExtent l="0" t="0" r="0" b="0"/>
            <wp:wrapTopAndBottom/>
            <wp:docPr id="161" name="image184.png" descr=""/>
            <wp:cNvGraphicFramePr>
              <a:graphicFrameLocks noChangeAspect="1"/>
            </wp:cNvGraphicFramePr>
            <a:graphic>
              <a:graphicData uri="http://schemas.openxmlformats.org/drawingml/2006/picture">
                <pic:pic>
                  <pic:nvPicPr>
                    <pic:cNvPr id="162" name="image184.png"/>
                    <pic:cNvPicPr/>
                  </pic:nvPicPr>
                  <pic:blipFill>
                    <a:blip r:embed="rId404" cstate="print"/>
                    <a:stretch>
                      <a:fillRect/>
                    </a:stretch>
                  </pic:blipFill>
                  <pic:spPr>
                    <a:xfrm>
                      <a:off x="0" y="0"/>
                      <a:ext cx="5413149" cy="3142678"/>
                    </a:xfrm>
                    <a:prstGeom prst="rect">
                      <a:avLst/>
                    </a:prstGeom>
                  </pic:spPr>
                </pic:pic>
              </a:graphicData>
            </a:graphic>
          </wp:anchor>
        </w:drawing>
      </w:r>
    </w:p>
    <w:p>
      <w:pPr>
        <w:pStyle w:val="BodyText"/>
        <w:rPr>
          <w:sz w:val="22"/>
        </w:rPr>
      </w:pPr>
    </w:p>
    <w:p>
      <w:pPr>
        <w:pStyle w:val="BodyText"/>
        <w:spacing w:before="1"/>
        <w:rPr>
          <w:sz w:val="25"/>
        </w:rPr>
      </w:pPr>
    </w:p>
    <w:p>
      <w:pPr>
        <w:pStyle w:val="Heading4"/>
        <w:ind w:right="1137"/>
        <w:jc w:val="both"/>
      </w:pPr>
      <w:r>
        <w:rPr/>
        <w:t>Figure 73: Adjacent channel interference average Packet Reception Ratio at the SV as a function of distance between the SV and MV</w:t>
      </w:r>
    </w:p>
    <w:p>
      <w:pPr>
        <w:pStyle w:val="BodyText"/>
        <w:rPr>
          <w:b/>
        </w:rPr>
      </w:pPr>
    </w:p>
    <w:p>
      <w:pPr>
        <w:pStyle w:val="BodyText"/>
        <w:spacing w:before="6"/>
        <w:rPr>
          <w:b/>
          <w:sz w:val="18"/>
        </w:rPr>
      </w:pPr>
      <w:r>
        <w:rPr/>
        <w:drawing>
          <wp:anchor distT="0" distB="0" distL="0" distR="0" allowOverlap="1" layoutInCell="1" locked="0" behindDoc="0" simplePos="0" relativeHeight="8464">
            <wp:simplePos x="0" y="0"/>
            <wp:positionH relativeFrom="page">
              <wp:posOffset>719455</wp:posOffset>
            </wp:positionH>
            <wp:positionV relativeFrom="paragraph">
              <wp:posOffset>160420</wp:posOffset>
            </wp:positionV>
            <wp:extent cx="5440692" cy="3160395"/>
            <wp:effectExtent l="0" t="0" r="0" b="0"/>
            <wp:wrapTopAndBottom/>
            <wp:docPr id="163" name="image185.png" descr=""/>
            <wp:cNvGraphicFramePr>
              <a:graphicFrameLocks noChangeAspect="1"/>
            </wp:cNvGraphicFramePr>
            <a:graphic>
              <a:graphicData uri="http://schemas.openxmlformats.org/drawingml/2006/picture">
                <pic:pic>
                  <pic:nvPicPr>
                    <pic:cNvPr id="164" name="image185.png"/>
                    <pic:cNvPicPr/>
                  </pic:nvPicPr>
                  <pic:blipFill>
                    <a:blip r:embed="rId405" cstate="print"/>
                    <a:stretch>
                      <a:fillRect/>
                    </a:stretch>
                  </pic:blipFill>
                  <pic:spPr>
                    <a:xfrm>
                      <a:off x="0" y="0"/>
                      <a:ext cx="5440692" cy="3160395"/>
                    </a:xfrm>
                    <a:prstGeom prst="rect">
                      <a:avLst/>
                    </a:prstGeom>
                  </pic:spPr>
                </pic:pic>
              </a:graphicData>
            </a:graphic>
          </wp:anchor>
        </w:drawing>
      </w:r>
    </w:p>
    <w:p>
      <w:pPr>
        <w:spacing w:before="70"/>
        <w:ind w:left="1133" w:right="1136" w:firstLine="0"/>
        <w:jc w:val="both"/>
        <w:rPr>
          <w:b/>
          <w:sz w:val="24"/>
        </w:rPr>
      </w:pPr>
      <w:r>
        <w:rPr>
          <w:b/>
          <w:sz w:val="24"/>
        </w:rPr>
        <w:t>Figure 74: Adjacent channel interference average Packet Reception Ratio at the MV as a function of distance between the SV and MV</w:t>
      </w:r>
    </w:p>
    <w:p>
      <w:pPr>
        <w:spacing w:after="0"/>
        <w:jc w:val="both"/>
        <w:rPr>
          <w:sz w:val="24"/>
        </w:rPr>
        <w:sectPr>
          <w:headerReference w:type="default" r:id="rId403"/>
          <w:pgSz w:w="11910" w:h="16850"/>
          <w:pgMar w:header="852" w:footer="941" w:top="1040" w:bottom="1160" w:left="0" w:right="0"/>
        </w:sectPr>
      </w:pPr>
    </w:p>
    <w:p>
      <w:pPr>
        <w:pStyle w:val="BodyText"/>
        <w:spacing w:before="2"/>
        <w:rPr>
          <w:b/>
          <w:sz w:val="23"/>
        </w:rPr>
      </w:pPr>
    </w:p>
    <w:p>
      <w:pPr>
        <w:pStyle w:val="BodyText"/>
        <w:spacing w:before="93"/>
        <w:ind w:left="1133" w:right="1129"/>
        <w:jc w:val="both"/>
      </w:pPr>
      <w:r>
        <w:rPr/>
        <w:t>In Figures 75 and 76 we show average Inter-Packet Gap (IPG) as a function of distance between SV and MV for both technologies, observed by SV and MV, respectively. Small constant spikes in average IPG for DSRC indicate</w:t>
      </w:r>
      <w:r>
        <w:rPr>
          <w:spacing w:val="-5"/>
        </w:rPr>
        <w:t> </w:t>
      </w:r>
      <w:r>
        <w:rPr/>
        <w:t>constant</w:t>
      </w:r>
      <w:r>
        <w:rPr>
          <w:spacing w:val="-7"/>
        </w:rPr>
        <w:t> </w:t>
      </w:r>
      <w:r>
        <w:rPr/>
        <w:t>small</w:t>
      </w:r>
      <w:r>
        <w:rPr>
          <w:spacing w:val="-8"/>
        </w:rPr>
        <w:t> </w:t>
      </w:r>
      <w:r>
        <w:rPr/>
        <w:t>packet</w:t>
      </w:r>
      <w:r>
        <w:rPr>
          <w:spacing w:val="-7"/>
        </w:rPr>
        <w:t> </w:t>
      </w:r>
      <w:r>
        <w:rPr/>
        <w:t>error</w:t>
      </w:r>
      <w:r>
        <w:rPr>
          <w:spacing w:val="-6"/>
        </w:rPr>
        <w:t> </w:t>
      </w:r>
      <w:r>
        <w:rPr/>
        <w:t>rate</w:t>
      </w:r>
      <w:r>
        <w:rPr>
          <w:spacing w:val="-5"/>
        </w:rPr>
        <w:t> </w:t>
      </w:r>
      <w:r>
        <w:rPr/>
        <w:t>which</w:t>
      </w:r>
      <w:r>
        <w:rPr>
          <w:spacing w:val="-7"/>
        </w:rPr>
        <w:t> </w:t>
      </w:r>
      <w:r>
        <w:rPr/>
        <w:t>is</w:t>
      </w:r>
      <w:r>
        <w:rPr>
          <w:spacing w:val="-6"/>
        </w:rPr>
        <w:t> </w:t>
      </w:r>
      <w:r>
        <w:rPr/>
        <w:t>consistent</w:t>
      </w:r>
      <w:r>
        <w:rPr>
          <w:spacing w:val="-5"/>
        </w:rPr>
        <w:t> </w:t>
      </w:r>
      <w:r>
        <w:rPr/>
        <w:t>with</w:t>
      </w:r>
      <w:r>
        <w:rPr>
          <w:spacing w:val="-5"/>
        </w:rPr>
        <w:t> </w:t>
      </w:r>
      <w:r>
        <w:rPr/>
        <w:t>the</w:t>
      </w:r>
      <w:r>
        <w:rPr>
          <w:spacing w:val="-5"/>
        </w:rPr>
        <w:t> </w:t>
      </w:r>
      <w:r>
        <w:rPr/>
        <w:t>PRR</w:t>
      </w:r>
      <w:r>
        <w:rPr>
          <w:spacing w:val="-6"/>
        </w:rPr>
        <w:t> </w:t>
      </w:r>
      <w:r>
        <w:rPr/>
        <w:t>plot</w:t>
      </w:r>
      <w:r>
        <w:rPr>
          <w:spacing w:val="-5"/>
        </w:rPr>
        <w:t> </w:t>
      </w:r>
      <w:r>
        <w:rPr/>
        <w:t>in</w:t>
      </w:r>
      <w:r>
        <w:rPr>
          <w:spacing w:val="-5"/>
        </w:rPr>
        <w:t> </w:t>
      </w:r>
      <w:r>
        <w:rPr/>
        <w:t>Figure</w:t>
      </w:r>
      <w:r>
        <w:rPr>
          <w:spacing w:val="-5"/>
        </w:rPr>
        <w:t> </w:t>
      </w:r>
      <w:r>
        <w:rPr/>
        <w:t>65.</w:t>
      </w:r>
      <w:r>
        <w:rPr>
          <w:spacing w:val="-4"/>
        </w:rPr>
        <w:t> </w:t>
      </w:r>
      <w:r>
        <w:rPr/>
        <w:t>Both</w:t>
      </w:r>
      <w:r>
        <w:rPr>
          <w:spacing w:val="-7"/>
        </w:rPr>
        <w:t> </w:t>
      </w:r>
      <w:r>
        <w:rPr/>
        <w:t>IPG</w:t>
      </w:r>
      <w:r>
        <w:rPr>
          <w:spacing w:val="-6"/>
        </w:rPr>
        <w:t> </w:t>
      </w:r>
      <w:r>
        <w:rPr/>
        <w:t>plots</w:t>
      </w:r>
      <w:r>
        <w:rPr>
          <w:spacing w:val="-6"/>
        </w:rPr>
        <w:t> </w:t>
      </w:r>
      <w:r>
        <w:rPr/>
        <w:t>are consistent with the corresponding PRR plots indicating a sharp increase in IPG when the range is</w:t>
      </w:r>
      <w:r>
        <w:rPr>
          <w:spacing w:val="-36"/>
        </w:rPr>
        <w:t> </w:t>
      </w:r>
      <w:r>
        <w:rPr/>
        <w:t>reached.</w:t>
      </w:r>
    </w:p>
    <w:p>
      <w:pPr>
        <w:pStyle w:val="BodyText"/>
        <w:spacing w:before="6"/>
        <w:rPr>
          <w:sz w:val="12"/>
        </w:rPr>
      </w:pPr>
      <w:r>
        <w:rPr/>
        <w:pict>
          <v:group style="position:absolute;margin-left:56.650002pt;margin-top:9.16183pt;width:441.65pt;height:281.4pt;mso-position-horizontal-relative:page;mso-position-vertical-relative:paragraph;z-index:8488;mso-wrap-distance-left:0;mso-wrap-distance-right:0" coordorigin="1133,183" coordsize="8833,5628">
            <v:shape style="position:absolute;left:1133;top:183;width:8833;height:5628" type="#_x0000_t75" stroked="false">
              <v:imagedata r:id="rId407" o:title=""/>
            </v:shape>
            <v:shape style="position:absolute;left:5805;top:592;width:2280;height:570" type="#_x0000_t75" stroked="false">
              <v:imagedata r:id="rId374" o:title=""/>
            </v:shape>
            <w10:wrap type="topAndBottom"/>
          </v:group>
        </w:pict>
      </w:r>
    </w:p>
    <w:p>
      <w:pPr>
        <w:pStyle w:val="BodyText"/>
        <w:rPr>
          <w:sz w:val="22"/>
        </w:rPr>
      </w:pPr>
    </w:p>
    <w:p>
      <w:pPr>
        <w:pStyle w:val="BodyText"/>
        <w:spacing w:before="5"/>
      </w:pPr>
    </w:p>
    <w:p>
      <w:pPr>
        <w:pStyle w:val="Heading4"/>
        <w:ind w:right="1130"/>
        <w:jc w:val="both"/>
      </w:pPr>
      <w:r>
        <w:rPr/>
        <w:t>Figure</w:t>
      </w:r>
      <w:r>
        <w:rPr>
          <w:spacing w:val="-11"/>
        </w:rPr>
        <w:t> </w:t>
      </w:r>
      <w:r>
        <w:rPr/>
        <w:t>75:</w:t>
      </w:r>
      <w:r>
        <w:rPr>
          <w:spacing w:val="-8"/>
        </w:rPr>
        <w:t> </w:t>
      </w:r>
      <w:r>
        <w:rPr/>
        <w:t>Adjacent</w:t>
      </w:r>
      <w:r>
        <w:rPr>
          <w:spacing w:val="-13"/>
        </w:rPr>
        <w:t> </w:t>
      </w:r>
      <w:r>
        <w:rPr/>
        <w:t>channel</w:t>
      </w:r>
      <w:r>
        <w:rPr>
          <w:spacing w:val="-11"/>
        </w:rPr>
        <w:t> </w:t>
      </w:r>
      <w:r>
        <w:rPr/>
        <w:t>interference</w:t>
      </w:r>
      <w:r>
        <w:rPr>
          <w:spacing w:val="-11"/>
        </w:rPr>
        <w:t> </w:t>
      </w:r>
      <w:r>
        <w:rPr/>
        <w:t>average</w:t>
      </w:r>
      <w:r>
        <w:rPr>
          <w:spacing w:val="-11"/>
        </w:rPr>
        <w:t> </w:t>
      </w:r>
      <w:r>
        <w:rPr/>
        <w:t>Inter-Packet</w:t>
      </w:r>
      <w:r>
        <w:rPr>
          <w:spacing w:val="-12"/>
        </w:rPr>
        <w:t> </w:t>
      </w:r>
      <w:r>
        <w:rPr/>
        <w:t>Gap</w:t>
      </w:r>
      <w:r>
        <w:rPr>
          <w:spacing w:val="-12"/>
        </w:rPr>
        <w:t> </w:t>
      </w:r>
      <w:r>
        <w:rPr/>
        <w:t>vs.</w:t>
      </w:r>
      <w:r>
        <w:rPr>
          <w:spacing w:val="-11"/>
        </w:rPr>
        <w:t> </w:t>
      </w:r>
      <w:r>
        <w:rPr/>
        <w:t>distance</w:t>
      </w:r>
      <w:r>
        <w:rPr>
          <w:spacing w:val="-11"/>
        </w:rPr>
        <w:t> </w:t>
      </w:r>
      <w:r>
        <w:rPr/>
        <w:t>at</w:t>
      </w:r>
      <w:r>
        <w:rPr>
          <w:spacing w:val="-12"/>
        </w:rPr>
        <w:t> </w:t>
      </w:r>
      <w:r>
        <w:rPr/>
        <w:t>the SV as a function of distance between the SV and</w:t>
      </w:r>
      <w:r>
        <w:rPr>
          <w:spacing w:val="-13"/>
        </w:rPr>
        <w:t> </w:t>
      </w:r>
      <w:r>
        <w:rPr/>
        <w:t>MV</w:t>
      </w:r>
    </w:p>
    <w:p>
      <w:pPr>
        <w:pStyle w:val="BodyText"/>
        <w:rPr>
          <w:b/>
        </w:rPr>
      </w:pPr>
    </w:p>
    <w:p>
      <w:pPr>
        <w:pStyle w:val="BodyText"/>
        <w:spacing w:before="6"/>
        <w:rPr>
          <w:b/>
          <w:sz w:val="18"/>
        </w:rPr>
      </w:pPr>
      <w:r>
        <w:rPr/>
        <w:pict>
          <v:group style="position:absolute;margin-left:56.650002pt;margin-top:12.64185pt;width:401.9pt;height:241.6pt;mso-position-horizontal-relative:page;mso-position-vertical-relative:paragraph;z-index:8512;mso-wrap-distance-left:0;mso-wrap-distance-right:0" coordorigin="1133,253" coordsize="8038,4832">
            <v:shape style="position:absolute;left:1133;top:253;width:8038;height:4831" type="#_x0000_t75" stroked="false">
              <v:imagedata r:id="rId408" o:title=""/>
            </v:shape>
            <v:shape style="position:absolute;left:3405;top:557;width:2280;height:570" type="#_x0000_t75" stroked="false">
              <v:imagedata r:id="rId374" o:title=""/>
            </v:shape>
            <w10:wrap type="topAndBottom"/>
          </v:group>
        </w:pict>
      </w:r>
    </w:p>
    <w:p>
      <w:pPr>
        <w:spacing w:before="88"/>
        <w:ind w:left="1133" w:right="1130" w:firstLine="0"/>
        <w:jc w:val="both"/>
        <w:rPr>
          <w:b/>
          <w:sz w:val="24"/>
        </w:rPr>
      </w:pPr>
      <w:r>
        <w:rPr>
          <w:b/>
          <w:sz w:val="24"/>
        </w:rPr>
        <w:t>Figure</w:t>
      </w:r>
      <w:r>
        <w:rPr>
          <w:b/>
          <w:spacing w:val="-11"/>
          <w:sz w:val="24"/>
        </w:rPr>
        <w:t> </w:t>
      </w:r>
      <w:r>
        <w:rPr>
          <w:b/>
          <w:sz w:val="24"/>
        </w:rPr>
        <w:t>76:</w:t>
      </w:r>
      <w:r>
        <w:rPr>
          <w:b/>
          <w:spacing w:val="-8"/>
          <w:sz w:val="24"/>
        </w:rPr>
        <w:t> </w:t>
      </w:r>
      <w:r>
        <w:rPr>
          <w:b/>
          <w:sz w:val="24"/>
        </w:rPr>
        <w:t>Adjacent</w:t>
      </w:r>
      <w:r>
        <w:rPr>
          <w:b/>
          <w:spacing w:val="-13"/>
          <w:sz w:val="24"/>
        </w:rPr>
        <w:t> </w:t>
      </w:r>
      <w:r>
        <w:rPr>
          <w:b/>
          <w:sz w:val="24"/>
        </w:rPr>
        <w:t>channel</w:t>
      </w:r>
      <w:r>
        <w:rPr>
          <w:b/>
          <w:spacing w:val="-11"/>
          <w:sz w:val="24"/>
        </w:rPr>
        <w:t> </w:t>
      </w:r>
      <w:r>
        <w:rPr>
          <w:b/>
          <w:sz w:val="24"/>
        </w:rPr>
        <w:t>interference</w:t>
      </w:r>
      <w:r>
        <w:rPr>
          <w:b/>
          <w:spacing w:val="-11"/>
          <w:sz w:val="24"/>
        </w:rPr>
        <w:t> </w:t>
      </w:r>
      <w:r>
        <w:rPr>
          <w:b/>
          <w:sz w:val="24"/>
        </w:rPr>
        <w:t>average</w:t>
      </w:r>
      <w:r>
        <w:rPr>
          <w:b/>
          <w:spacing w:val="-11"/>
          <w:sz w:val="24"/>
        </w:rPr>
        <w:t> </w:t>
      </w:r>
      <w:r>
        <w:rPr>
          <w:b/>
          <w:sz w:val="24"/>
        </w:rPr>
        <w:t>Inter-Packet</w:t>
      </w:r>
      <w:r>
        <w:rPr>
          <w:b/>
          <w:spacing w:val="-12"/>
          <w:sz w:val="24"/>
        </w:rPr>
        <w:t> </w:t>
      </w:r>
      <w:r>
        <w:rPr>
          <w:b/>
          <w:sz w:val="24"/>
        </w:rPr>
        <w:t>Gap</w:t>
      </w:r>
      <w:r>
        <w:rPr>
          <w:b/>
          <w:spacing w:val="-12"/>
          <w:sz w:val="24"/>
        </w:rPr>
        <w:t> </w:t>
      </w:r>
      <w:r>
        <w:rPr>
          <w:b/>
          <w:sz w:val="24"/>
        </w:rPr>
        <w:t>vs.</w:t>
      </w:r>
      <w:r>
        <w:rPr>
          <w:b/>
          <w:spacing w:val="-11"/>
          <w:sz w:val="24"/>
        </w:rPr>
        <w:t> </w:t>
      </w:r>
      <w:r>
        <w:rPr>
          <w:b/>
          <w:sz w:val="24"/>
        </w:rPr>
        <w:t>distance</w:t>
      </w:r>
      <w:r>
        <w:rPr>
          <w:b/>
          <w:spacing w:val="-11"/>
          <w:sz w:val="24"/>
        </w:rPr>
        <w:t> </w:t>
      </w:r>
      <w:r>
        <w:rPr>
          <w:b/>
          <w:sz w:val="24"/>
        </w:rPr>
        <w:t>at</w:t>
      </w:r>
      <w:r>
        <w:rPr>
          <w:b/>
          <w:spacing w:val="-12"/>
          <w:sz w:val="24"/>
        </w:rPr>
        <w:t> </w:t>
      </w:r>
      <w:r>
        <w:rPr>
          <w:b/>
          <w:sz w:val="24"/>
        </w:rPr>
        <w:t>the MV as a function of distance between the SV and</w:t>
      </w:r>
      <w:r>
        <w:rPr>
          <w:b/>
          <w:spacing w:val="-10"/>
          <w:sz w:val="24"/>
        </w:rPr>
        <w:t> </w:t>
      </w:r>
      <w:r>
        <w:rPr>
          <w:b/>
          <w:sz w:val="24"/>
        </w:rPr>
        <w:t>MV</w:t>
      </w:r>
    </w:p>
    <w:p>
      <w:pPr>
        <w:spacing w:after="0"/>
        <w:jc w:val="both"/>
        <w:rPr>
          <w:sz w:val="24"/>
        </w:rPr>
        <w:sectPr>
          <w:headerReference w:type="default" r:id="rId406"/>
          <w:pgSz w:w="11910" w:h="16850"/>
          <w:pgMar w:header="852" w:footer="941" w:top="1040" w:bottom="1160" w:left="0" w:right="0"/>
        </w:sectPr>
      </w:pPr>
    </w:p>
    <w:p>
      <w:pPr>
        <w:pStyle w:val="BodyText"/>
        <w:spacing w:before="2"/>
        <w:rPr>
          <w:b/>
          <w:sz w:val="23"/>
        </w:rPr>
      </w:pPr>
    </w:p>
    <w:p>
      <w:pPr>
        <w:pStyle w:val="BodyText"/>
        <w:spacing w:before="93"/>
        <w:ind w:left="1133" w:right="1130"/>
        <w:jc w:val="both"/>
      </w:pPr>
      <w:r>
        <w:rPr/>
        <w:t>Figure 77 illustrates RSSI measured by the SV DSRC OBU for the adjacent channel interference test.</w:t>
      </w:r>
      <w:r>
        <w:rPr>
          <w:spacing w:val="-31"/>
        </w:rPr>
        <w:t> </w:t>
      </w:r>
      <w:r>
        <w:rPr/>
        <w:t>Similar to</w:t>
      </w:r>
      <w:r>
        <w:rPr>
          <w:spacing w:val="-7"/>
        </w:rPr>
        <w:t> </w:t>
      </w:r>
      <w:r>
        <w:rPr/>
        <w:t>the</w:t>
      </w:r>
      <w:r>
        <w:rPr>
          <w:spacing w:val="-7"/>
        </w:rPr>
        <w:t> </w:t>
      </w:r>
      <w:r>
        <w:rPr/>
        <w:t>U•NII-3</w:t>
      </w:r>
      <w:r>
        <w:rPr>
          <w:spacing w:val="-5"/>
        </w:rPr>
        <w:t> </w:t>
      </w:r>
      <w:r>
        <w:rPr/>
        <w:t>interference</w:t>
      </w:r>
      <w:r>
        <w:rPr>
          <w:spacing w:val="-7"/>
        </w:rPr>
        <w:t> </w:t>
      </w:r>
      <w:r>
        <w:rPr/>
        <w:t>test,</w:t>
      </w:r>
      <w:r>
        <w:rPr>
          <w:spacing w:val="-7"/>
        </w:rPr>
        <w:t> </w:t>
      </w:r>
      <w:r>
        <w:rPr/>
        <w:t>the</w:t>
      </w:r>
      <w:r>
        <w:rPr>
          <w:spacing w:val="-7"/>
        </w:rPr>
        <w:t> </w:t>
      </w:r>
      <w:r>
        <w:rPr/>
        <w:t>RSSI</w:t>
      </w:r>
      <w:r>
        <w:rPr>
          <w:spacing w:val="-7"/>
        </w:rPr>
        <w:t> </w:t>
      </w:r>
      <w:r>
        <w:rPr/>
        <w:t>plot</w:t>
      </w:r>
      <w:r>
        <w:rPr>
          <w:spacing w:val="-5"/>
        </w:rPr>
        <w:t> </w:t>
      </w:r>
      <w:r>
        <w:rPr/>
        <w:t>is</w:t>
      </w:r>
      <w:r>
        <w:rPr>
          <w:spacing w:val="-3"/>
        </w:rPr>
        <w:t> </w:t>
      </w:r>
      <w:r>
        <w:rPr/>
        <w:t>approximately</w:t>
      </w:r>
      <w:r>
        <w:rPr>
          <w:spacing w:val="-10"/>
        </w:rPr>
        <w:t> </w:t>
      </w:r>
      <w:r>
        <w:rPr/>
        <w:t>the</w:t>
      </w:r>
      <w:r>
        <w:rPr>
          <w:spacing w:val="-7"/>
        </w:rPr>
        <w:t> </w:t>
      </w:r>
      <w:r>
        <w:rPr/>
        <w:t>same,</w:t>
      </w:r>
      <w:r>
        <w:rPr>
          <w:spacing w:val="-7"/>
        </w:rPr>
        <w:t> </w:t>
      </w:r>
      <w:r>
        <w:rPr/>
        <w:t>just</w:t>
      </w:r>
      <w:r>
        <w:rPr>
          <w:spacing w:val="-7"/>
        </w:rPr>
        <w:t> </w:t>
      </w:r>
      <w:r>
        <w:rPr/>
        <w:t>a</w:t>
      </w:r>
      <w:r>
        <w:rPr>
          <w:spacing w:val="-5"/>
        </w:rPr>
        <w:t> </w:t>
      </w:r>
      <w:r>
        <w:rPr/>
        <w:t>truncated</w:t>
      </w:r>
      <w:r>
        <w:rPr>
          <w:spacing w:val="-5"/>
        </w:rPr>
        <w:t> </w:t>
      </w:r>
      <w:r>
        <w:rPr/>
        <w:t>version</w:t>
      </w:r>
      <w:r>
        <w:rPr>
          <w:spacing w:val="-5"/>
        </w:rPr>
        <w:t> </w:t>
      </w:r>
      <w:r>
        <w:rPr/>
        <w:t>of</w:t>
      </w:r>
      <w:r>
        <w:rPr>
          <w:spacing w:val="-5"/>
        </w:rPr>
        <w:t> </w:t>
      </w:r>
      <w:r>
        <w:rPr/>
        <w:t>the</w:t>
      </w:r>
      <w:r>
        <w:rPr>
          <w:spacing w:val="-5"/>
        </w:rPr>
        <w:t> </w:t>
      </w:r>
      <w:r>
        <w:rPr/>
        <w:t>DSRC RSSI in the LOS test which is to be expected since the setup is the</w:t>
      </w:r>
      <w:r>
        <w:rPr>
          <w:spacing w:val="-22"/>
        </w:rPr>
        <w:t> </w:t>
      </w:r>
      <w:r>
        <w:rPr/>
        <w:t>same.</w:t>
      </w:r>
    </w:p>
    <w:p>
      <w:pPr>
        <w:pStyle w:val="BodyText"/>
        <w:spacing w:before="4"/>
        <w:rPr>
          <w:sz w:val="12"/>
        </w:rPr>
      </w:pPr>
      <w:r>
        <w:rPr/>
        <w:drawing>
          <wp:anchor distT="0" distB="0" distL="0" distR="0" allowOverlap="1" layoutInCell="1" locked="0" behindDoc="0" simplePos="0" relativeHeight="8536">
            <wp:simplePos x="0" y="0"/>
            <wp:positionH relativeFrom="page">
              <wp:posOffset>719455</wp:posOffset>
            </wp:positionH>
            <wp:positionV relativeFrom="paragraph">
              <wp:posOffset>115085</wp:posOffset>
            </wp:positionV>
            <wp:extent cx="5667404" cy="3408521"/>
            <wp:effectExtent l="0" t="0" r="0" b="0"/>
            <wp:wrapTopAndBottom/>
            <wp:docPr id="165" name="image188.png" descr=""/>
            <wp:cNvGraphicFramePr>
              <a:graphicFrameLocks noChangeAspect="1"/>
            </wp:cNvGraphicFramePr>
            <a:graphic>
              <a:graphicData uri="http://schemas.openxmlformats.org/drawingml/2006/picture">
                <pic:pic>
                  <pic:nvPicPr>
                    <pic:cNvPr id="166" name="image188.png"/>
                    <pic:cNvPicPr/>
                  </pic:nvPicPr>
                  <pic:blipFill>
                    <a:blip r:embed="rId410" cstate="print"/>
                    <a:stretch>
                      <a:fillRect/>
                    </a:stretch>
                  </pic:blipFill>
                  <pic:spPr>
                    <a:xfrm>
                      <a:off x="0" y="0"/>
                      <a:ext cx="5667404" cy="3408521"/>
                    </a:xfrm>
                    <a:prstGeom prst="rect">
                      <a:avLst/>
                    </a:prstGeom>
                  </pic:spPr>
                </pic:pic>
              </a:graphicData>
            </a:graphic>
          </wp:anchor>
        </w:drawing>
      </w:r>
    </w:p>
    <w:p>
      <w:pPr>
        <w:pStyle w:val="Heading4"/>
        <w:spacing w:before="90"/>
        <w:ind w:right="1133"/>
        <w:jc w:val="both"/>
      </w:pPr>
      <w:r>
        <w:rPr/>
        <w:t>Figure 77: Adjacent channel interference DSRC RSSI at the SV as a function of distance between the SV and MV</w:t>
      </w:r>
    </w:p>
    <w:p>
      <w:pPr>
        <w:pStyle w:val="BodyText"/>
        <w:rPr>
          <w:b/>
          <w:sz w:val="26"/>
        </w:rPr>
      </w:pPr>
    </w:p>
    <w:p>
      <w:pPr>
        <w:pStyle w:val="BodyText"/>
        <w:spacing w:before="4"/>
        <w:rPr>
          <w:b/>
          <w:sz w:val="31"/>
        </w:rPr>
      </w:pPr>
    </w:p>
    <w:p>
      <w:pPr>
        <w:pStyle w:val="ListParagraph"/>
        <w:numPr>
          <w:ilvl w:val="1"/>
          <w:numId w:val="52"/>
        </w:numPr>
        <w:tabs>
          <w:tab w:pos="2267" w:val="left" w:leader="none"/>
        </w:tabs>
        <w:spacing w:line="240" w:lineRule="auto" w:before="0" w:after="0"/>
        <w:ind w:left="2266" w:right="0" w:hanging="1133"/>
        <w:jc w:val="both"/>
        <w:rPr>
          <w:sz w:val="32"/>
        </w:rPr>
      </w:pPr>
      <w:bookmarkStart w:name="_bookmark153" w:id="237"/>
      <w:bookmarkEnd w:id="237"/>
      <w:r>
        <w:rPr/>
      </w:r>
      <w:bookmarkStart w:name="_bookmark153" w:id="238"/>
      <w:bookmarkEnd w:id="238"/>
      <w:r>
        <w:rPr>
          <w:sz w:val="32"/>
        </w:rPr>
        <w:t>K</w:t>
      </w:r>
      <w:r>
        <w:rPr>
          <w:sz w:val="32"/>
        </w:rPr>
        <w:t>ey</w:t>
      </w:r>
      <w:r>
        <w:rPr>
          <w:spacing w:val="-7"/>
          <w:sz w:val="32"/>
        </w:rPr>
        <w:t> </w:t>
      </w:r>
      <w:r>
        <w:rPr>
          <w:sz w:val="32"/>
        </w:rPr>
        <w:t>Takeaways</w:t>
      </w:r>
    </w:p>
    <w:p>
      <w:pPr>
        <w:pStyle w:val="BodyText"/>
        <w:spacing w:before="181"/>
        <w:ind w:left="1133"/>
        <w:jc w:val="both"/>
      </w:pPr>
      <w:r>
        <w:rPr/>
        <w:t>The field tests compared DSRC and C-V2X under the tight control of the factors that influence RF propagation:</w:t>
      </w:r>
    </w:p>
    <w:p>
      <w:pPr>
        <w:pStyle w:val="ListParagraph"/>
        <w:numPr>
          <w:ilvl w:val="0"/>
          <w:numId w:val="53"/>
        </w:numPr>
        <w:tabs>
          <w:tab w:pos="1701" w:val="left" w:leader="none"/>
          <w:tab w:pos="1702" w:val="left" w:leader="none"/>
        </w:tabs>
        <w:spacing w:line="240" w:lineRule="auto" w:before="180" w:after="0"/>
        <w:ind w:left="1133" w:right="0" w:firstLine="283"/>
        <w:jc w:val="left"/>
        <w:rPr>
          <w:sz w:val="20"/>
        </w:rPr>
      </w:pPr>
      <w:r>
        <w:rPr>
          <w:sz w:val="20"/>
        </w:rPr>
        <w:t>Antenna characteristics and</w:t>
      </w:r>
      <w:r>
        <w:rPr>
          <w:spacing w:val="-11"/>
          <w:sz w:val="20"/>
        </w:rPr>
        <w:t> </w:t>
      </w:r>
      <w:r>
        <w:rPr>
          <w:sz w:val="20"/>
        </w:rPr>
        <w:t>placement</w:t>
      </w:r>
    </w:p>
    <w:p>
      <w:pPr>
        <w:pStyle w:val="ListParagraph"/>
        <w:numPr>
          <w:ilvl w:val="0"/>
          <w:numId w:val="53"/>
        </w:numPr>
        <w:tabs>
          <w:tab w:pos="1701" w:val="left" w:leader="none"/>
          <w:tab w:pos="1702" w:val="left" w:leader="none"/>
        </w:tabs>
        <w:spacing w:line="240" w:lineRule="auto" w:before="180" w:after="0"/>
        <w:ind w:left="1701" w:right="0" w:hanging="285"/>
        <w:jc w:val="left"/>
        <w:rPr>
          <w:sz w:val="20"/>
        </w:rPr>
      </w:pPr>
      <w:r>
        <w:rPr>
          <w:sz w:val="20"/>
        </w:rPr>
        <w:t>Vehicle geometry and</w:t>
      </w:r>
      <w:r>
        <w:rPr>
          <w:spacing w:val="-9"/>
          <w:sz w:val="20"/>
        </w:rPr>
        <w:t> </w:t>
      </w:r>
      <w:r>
        <w:rPr>
          <w:sz w:val="20"/>
        </w:rPr>
        <w:t>cabling</w:t>
      </w:r>
    </w:p>
    <w:p>
      <w:pPr>
        <w:pStyle w:val="ListParagraph"/>
        <w:numPr>
          <w:ilvl w:val="0"/>
          <w:numId w:val="53"/>
        </w:numPr>
        <w:tabs>
          <w:tab w:pos="1701" w:val="left" w:leader="none"/>
          <w:tab w:pos="1702" w:val="left" w:leader="none"/>
        </w:tabs>
        <w:spacing w:line="240" w:lineRule="auto" w:before="180" w:after="0"/>
        <w:ind w:left="1701" w:right="0" w:hanging="285"/>
        <w:jc w:val="left"/>
        <w:rPr>
          <w:sz w:val="20"/>
        </w:rPr>
      </w:pPr>
      <w:r>
        <w:rPr>
          <w:sz w:val="20"/>
        </w:rPr>
        <w:t>Location and environmental</w:t>
      </w:r>
      <w:r>
        <w:rPr>
          <w:spacing w:val="-14"/>
          <w:sz w:val="20"/>
        </w:rPr>
        <w:t> </w:t>
      </w:r>
      <w:r>
        <w:rPr>
          <w:sz w:val="20"/>
        </w:rPr>
        <w:t>conditions</w:t>
      </w:r>
    </w:p>
    <w:p>
      <w:pPr>
        <w:pStyle w:val="ListParagraph"/>
        <w:numPr>
          <w:ilvl w:val="0"/>
          <w:numId w:val="53"/>
        </w:numPr>
        <w:tabs>
          <w:tab w:pos="1701" w:val="left" w:leader="none"/>
          <w:tab w:pos="1702" w:val="left" w:leader="none"/>
        </w:tabs>
        <w:spacing w:line="424" w:lineRule="auto" w:before="180" w:after="0"/>
        <w:ind w:left="1133" w:right="6507" w:firstLine="283"/>
        <w:jc w:val="left"/>
        <w:rPr>
          <w:sz w:val="20"/>
        </w:rPr>
      </w:pPr>
      <w:r>
        <w:rPr>
          <w:sz w:val="20"/>
        </w:rPr>
        <w:t>Power, interference, and other settings The field test addressed the following</w:t>
      </w:r>
      <w:r>
        <w:rPr>
          <w:spacing w:val="-16"/>
          <w:sz w:val="20"/>
        </w:rPr>
        <w:t> </w:t>
      </w:r>
      <w:r>
        <w:rPr>
          <w:sz w:val="20"/>
        </w:rPr>
        <w:t>questions:</w:t>
      </w:r>
    </w:p>
    <w:p>
      <w:pPr>
        <w:pStyle w:val="ListParagraph"/>
        <w:numPr>
          <w:ilvl w:val="0"/>
          <w:numId w:val="53"/>
        </w:numPr>
        <w:tabs>
          <w:tab w:pos="1701" w:val="left" w:leader="none"/>
          <w:tab w:pos="1702" w:val="left" w:leader="none"/>
        </w:tabs>
        <w:spacing w:line="240" w:lineRule="auto" w:before="9" w:after="0"/>
        <w:ind w:left="1702" w:right="1133" w:hanging="286"/>
        <w:jc w:val="left"/>
        <w:rPr>
          <w:sz w:val="20"/>
        </w:rPr>
      </w:pPr>
      <w:r>
        <w:rPr>
          <w:sz w:val="20"/>
        </w:rPr>
        <w:t>Range of the system and reliability of communication as a function of distance for the following vehicle scenarios:</w:t>
      </w:r>
    </w:p>
    <w:p>
      <w:pPr>
        <w:pStyle w:val="ListParagraph"/>
        <w:numPr>
          <w:ilvl w:val="1"/>
          <w:numId w:val="53"/>
        </w:numPr>
        <w:tabs>
          <w:tab w:pos="1985" w:val="left" w:leader="none"/>
          <w:tab w:pos="1986" w:val="left" w:leader="none"/>
        </w:tabs>
        <w:spacing w:line="240" w:lineRule="auto" w:before="180" w:after="0"/>
        <w:ind w:left="1985" w:right="0" w:hanging="286"/>
        <w:jc w:val="left"/>
        <w:rPr>
          <w:sz w:val="20"/>
        </w:rPr>
      </w:pPr>
      <w:r>
        <w:rPr>
          <w:sz w:val="20"/>
        </w:rPr>
        <w:t>Line-of-Sight</w:t>
      </w:r>
      <w:r>
        <w:rPr>
          <w:spacing w:val="-9"/>
          <w:sz w:val="20"/>
        </w:rPr>
        <w:t> </w:t>
      </w:r>
      <w:r>
        <w:rPr>
          <w:sz w:val="20"/>
        </w:rPr>
        <w:t>(LOS)</w:t>
      </w:r>
    </w:p>
    <w:p>
      <w:pPr>
        <w:pStyle w:val="ListParagraph"/>
        <w:numPr>
          <w:ilvl w:val="1"/>
          <w:numId w:val="53"/>
        </w:numPr>
        <w:tabs>
          <w:tab w:pos="1985" w:val="left" w:leader="none"/>
          <w:tab w:pos="1986" w:val="left" w:leader="none"/>
        </w:tabs>
        <w:spacing w:line="240" w:lineRule="auto" w:before="180" w:after="0"/>
        <w:ind w:left="1985" w:right="0" w:hanging="286"/>
        <w:jc w:val="left"/>
        <w:rPr>
          <w:sz w:val="20"/>
        </w:rPr>
      </w:pPr>
      <w:r>
        <w:rPr>
          <w:sz w:val="20"/>
        </w:rPr>
        <w:t>Non-Line-of-Sight</w:t>
      </w:r>
      <w:r>
        <w:rPr>
          <w:spacing w:val="-10"/>
          <w:sz w:val="20"/>
        </w:rPr>
        <w:t> </w:t>
      </w:r>
      <w:r>
        <w:rPr>
          <w:sz w:val="20"/>
        </w:rPr>
        <w:t>(NLOS)</w:t>
      </w:r>
    </w:p>
    <w:p>
      <w:pPr>
        <w:pStyle w:val="ListParagraph"/>
        <w:numPr>
          <w:ilvl w:val="2"/>
          <w:numId w:val="53"/>
        </w:numPr>
        <w:tabs>
          <w:tab w:pos="282" w:val="left" w:leader="none"/>
          <w:tab w:pos="2269" w:val="left" w:leader="none"/>
        </w:tabs>
        <w:spacing w:line="240" w:lineRule="auto" w:before="180" w:after="0"/>
        <w:ind w:left="2268" w:right="6664" w:hanging="283"/>
        <w:jc w:val="left"/>
        <w:rPr>
          <w:sz w:val="20"/>
        </w:rPr>
      </w:pPr>
      <w:r>
        <w:rPr>
          <w:sz w:val="20"/>
        </w:rPr>
        <w:t>Shadowing</w:t>
      </w:r>
    </w:p>
    <w:p>
      <w:pPr>
        <w:pStyle w:val="ListParagraph"/>
        <w:numPr>
          <w:ilvl w:val="2"/>
          <w:numId w:val="53"/>
        </w:numPr>
        <w:tabs>
          <w:tab w:pos="282" w:val="left" w:leader="none"/>
          <w:tab w:pos="2269" w:val="left" w:leader="none"/>
        </w:tabs>
        <w:spacing w:line="240" w:lineRule="auto" w:before="177" w:after="0"/>
        <w:ind w:left="2268" w:right="6619" w:hanging="283"/>
        <w:jc w:val="left"/>
        <w:rPr>
          <w:sz w:val="20"/>
        </w:rPr>
      </w:pPr>
      <w:r>
        <w:rPr>
          <w:sz w:val="20"/>
        </w:rPr>
        <w:t>Intersection</w:t>
      </w:r>
    </w:p>
    <w:p>
      <w:pPr>
        <w:pStyle w:val="ListParagraph"/>
        <w:numPr>
          <w:ilvl w:val="0"/>
          <w:numId w:val="53"/>
        </w:numPr>
        <w:tabs>
          <w:tab w:pos="1701" w:val="left" w:leader="none"/>
          <w:tab w:pos="1702" w:val="left" w:leader="none"/>
        </w:tabs>
        <w:spacing w:line="240" w:lineRule="auto" w:before="180" w:after="0"/>
        <w:ind w:left="1701" w:right="0" w:hanging="285"/>
        <w:jc w:val="left"/>
        <w:rPr>
          <w:sz w:val="20"/>
        </w:rPr>
      </w:pPr>
      <w:r>
        <w:rPr>
          <w:sz w:val="20"/>
        </w:rPr>
        <w:t>Impact of out-of-band interference for the following</w:t>
      </w:r>
      <w:r>
        <w:rPr>
          <w:spacing w:val="-16"/>
          <w:sz w:val="20"/>
        </w:rPr>
        <w:t> </w:t>
      </w:r>
      <w:r>
        <w:rPr>
          <w:sz w:val="20"/>
        </w:rPr>
        <w:t>cases</w:t>
      </w:r>
    </w:p>
    <w:p>
      <w:pPr>
        <w:pStyle w:val="ListParagraph"/>
        <w:numPr>
          <w:ilvl w:val="1"/>
          <w:numId w:val="53"/>
        </w:numPr>
        <w:tabs>
          <w:tab w:pos="1985" w:val="left" w:leader="none"/>
          <w:tab w:pos="1986" w:val="left" w:leader="none"/>
        </w:tabs>
        <w:spacing w:line="240" w:lineRule="auto" w:before="180" w:after="0"/>
        <w:ind w:left="1985" w:right="0" w:hanging="286"/>
        <w:jc w:val="left"/>
        <w:rPr>
          <w:sz w:val="20"/>
        </w:rPr>
      </w:pPr>
      <w:r>
        <w:rPr>
          <w:sz w:val="20"/>
        </w:rPr>
        <w:t>LOS interference from the U-NII-3</w:t>
      </w:r>
      <w:r>
        <w:rPr>
          <w:spacing w:val="-12"/>
          <w:sz w:val="20"/>
        </w:rPr>
        <w:t> </w:t>
      </w:r>
      <w:r>
        <w:rPr>
          <w:sz w:val="20"/>
        </w:rPr>
        <w:t>band</w:t>
      </w:r>
    </w:p>
    <w:p>
      <w:pPr>
        <w:pStyle w:val="ListParagraph"/>
        <w:numPr>
          <w:ilvl w:val="1"/>
          <w:numId w:val="53"/>
        </w:numPr>
        <w:tabs>
          <w:tab w:pos="1985" w:val="left" w:leader="none"/>
          <w:tab w:pos="1986" w:val="left" w:leader="none"/>
        </w:tabs>
        <w:spacing w:line="240" w:lineRule="auto" w:before="180" w:after="0"/>
        <w:ind w:left="1985" w:right="0" w:hanging="286"/>
        <w:jc w:val="left"/>
        <w:rPr>
          <w:sz w:val="20"/>
        </w:rPr>
      </w:pPr>
      <w:r>
        <w:rPr>
          <w:sz w:val="20"/>
        </w:rPr>
        <w:t>LOS interference from the adjacent DSRC</w:t>
      </w:r>
      <w:r>
        <w:rPr>
          <w:spacing w:val="-17"/>
          <w:sz w:val="20"/>
        </w:rPr>
        <w:t> </w:t>
      </w:r>
      <w:r>
        <w:rPr>
          <w:sz w:val="20"/>
        </w:rPr>
        <w:t>channel</w:t>
      </w:r>
    </w:p>
    <w:p>
      <w:pPr>
        <w:spacing w:after="0" w:line="240" w:lineRule="auto"/>
        <w:jc w:val="left"/>
        <w:rPr>
          <w:sz w:val="20"/>
        </w:rPr>
        <w:sectPr>
          <w:headerReference w:type="default" r:id="rId409"/>
          <w:pgSz w:w="11910" w:h="16850"/>
          <w:pgMar w:header="852" w:footer="941" w:top="1040" w:bottom="1160" w:left="0" w:right="0"/>
        </w:sectPr>
      </w:pPr>
    </w:p>
    <w:p>
      <w:pPr>
        <w:pStyle w:val="BodyText"/>
        <w:spacing w:before="2"/>
        <w:rPr>
          <w:sz w:val="23"/>
        </w:rPr>
      </w:pPr>
    </w:p>
    <w:p>
      <w:pPr>
        <w:pStyle w:val="BodyText"/>
        <w:spacing w:before="93"/>
        <w:ind w:left="1133" w:right="1127"/>
        <w:jc w:val="both"/>
      </w:pPr>
      <w:r>
        <w:rPr>
          <w:spacing w:val="3"/>
        </w:rPr>
        <w:t>We </w:t>
      </w:r>
      <w:r>
        <w:rPr/>
        <w:t>compared the two V2X technologies using range, reliability, and IPG as KPIs. In all tests C-V2X OBUs outperformed DSRC OBUs by a significant margin. The test results indicate gains in terms of RF range for Cellular-V2X</w:t>
      </w:r>
      <w:r>
        <w:rPr>
          <w:spacing w:val="-5"/>
        </w:rPr>
        <w:t> </w:t>
      </w:r>
      <w:r>
        <w:rPr/>
        <w:t>compared</w:t>
      </w:r>
      <w:r>
        <w:rPr>
          <w:spacing w:val="-7"/>
        </w:rPr>
        <w:t> </w:t>
      </w:r>
      <w:r>
        <w:rPr/>
        <w:t>to</w:t>
      </w:r>
      <w:r>
        <w:rPr>
          <w:spacing w:val="-7"/>
        </w:rPr>
        <w:t> </w:t>
      </w:r>
      <w:r>
        <w:rPr/>
        <w:t>DSRC.</w:t>
      </w:r>
      <w:r>
        <w:rPr>
          <w:spacing w:val="-6"/>
        </w:rPr>
        <w:t> </w:t>
      </w:r>
      <w:r>
        <w:rPr/>
        <w:t>Under</w:t>
      </w:r>
      <w:r>
        <w:rPr>
          <w:spacing w:val="-6"/>
        </w:rPr>
        <w:t> </w:t>
      </w:r>
      <w:r>
        <w:rPr/>
        <w:t>varying</w:t>
      </w:r>
      <w:r>
        <w:rPr>
          <w:spacing w:val="-7"/>
        </w:rPr>
        <w:t> </w:t>
      </w:r>
      <w:r>
        <w:rPr/>
        <w:t>radio</w:t>
      </w:r>
      <w:r>
        <w:rPr>
          <w:spacing w:val="-4"/>
        </w:rPr>
        <w:t> </w:t>
      </w:r>
      <w:r>
        <w:rPr/>
        <w:t>environment</w:t>
      </w:r>
      <w:r>
        <w:rPr>
          <w:spacing w:val="-6"/>
        </w:rPr>
        <w:t> </w:t>
      </w:r>
      <w:r>
        <w:rPr/>
        <w:t>conditions</w:t>
      </w:r>
      <w:r>
        <w:rPr>
          <w:spacing w:val="-6"/>
        </w:rPr>
        <w:t> </w:t>
      </w:r>
      <w:r>
        <w:rPr/>
        <w:t>(LOS,</w:t>
      </w:r>
      <w:r>
        <w:rPr>
          <w:spacing w:val="-6"/>
        </w:rPr>
        <w:t> </w:t>
      </w:r>
      <w:r>
        <w:rPr/>
        <w:t>NLOS,</w:t>
      </w:r>
      <w:r>
        <w:rPr>
          <w:spacing w:val="-6"/>
        </w:rPr>
        <w:t> </w:t>
      </w:r>
      <w:r>
        <w:rPr/>
        <w:t>and</w:t>
      </w:r>
      <w:r>
        <w:rPr>
          <w:spacing w:val="-7"/>
        </w:rPr>
        <w:t> </w:t>
      </w:r>
      <w:r>
        <w:rPr/>
        <w:t>interference) the field tests have shown that Cellular-V2X has 1.7 to 3.4x times the range advantage over DSRC. The LOS advantage was 1.7x the range, however, the improvements rose to 3.4 times the advantage in more realistic NLOS conditions involving signal obstruction. </w:t>
      </w:r>
      <w:r>
        <w:rPr>
          <w:spacing w:val="2"/>
        </w:rPr>
        <w:t>With </w:t>
      </w:r>
      <w:r>
        <w:rPr/>
        <w:t>the interference in close proximity, the improvement in range with the U-NII-3 interferer was 2.1 times while the improvement with the adjacent DSRC interferer was 3 times.  Table 32 and Table 33 summarize the range comparison of the two</w:t>
      </w:r>
      <w:r>
        <w:rPr>
          <w:spacing w:val="-26"/>
        </w:rPr>
        <w:t> </w:t>
      </w:r>
      <w:r>
        <w:rPr/>
        <w:t>technologies.</w:t>
      </w:r>
    </w:p>
    <w:p>
      <w:pPr>
        <w:pStyle w:val="BodyText"/>
        <w:spacing w:before="7"/>
      </w:pPr>
    </w:p>
    <w:p>
      <w:pPr>
        <w:pStyle w:val="Heading7"/>
        <w:jc w:val="both"/>
      </w:pPr>
      <w:r>
        <w:rPr/>
        <w:t>Table 32: Range comparison between DSRC and C-V2X for at 5 dBm effective transmit power</w:t>
      </w:r>
    </w:p>
    <w:p>
      <w:pPr>
        <w:pStyle w:val="BodyText"/>
        <w:spacing w:before="11"/>
        <w:rPr>
          <w:b/>
          <w:sz w:val="15"/>
        </w:rPr>
      </w:pPr>
    </w:p>
    <w:tbl>
      <w:tblPr>
        <w:tblW w:w="0" w:type="auto"/>
        <w:jc w:val="left"/>
        <w:tblInd w:w="2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6"/>
        <w:gridCol w:w="1620"/>
        <w:gridCol w:w="2161"/>
      </w:tblGrid>
      <w:tr>
        <w:trPr>
          <w:trHeight w:val="217" w:hRule="exact"/>
        </w:trPr>
        <w:tc>
          <w:tcPr>
            <w:tcW w:w="3596" w:type="dxa"/>
            <w:vMerge w:val="restart"/>
            <w:shd w:val="clear" w:color="auto" w:fill="D9D9D9"/>
          </w:tcPr>
          <w:p>
            <w:pPr>
              <w:pStyle w:val="TableParagraph"/>
              <w:spacing w:line="203" w:lineRule="exact"/>
              <w:rPr>
                <w:b/>
                <w:sz w:val="18"/>
              </w:rPr>
            </w:pPr>
            <w:r>
              <w:rPr>
                <w:b/>
                <w:sz w:val="18"/>
              </w:rPr>
              <w:t>Test Procedure</w:t>
            </w:r>
          </w:p>
        </w:tc>
        <w:tc>
          <w:tcPr>
            <w:tcW w:w="3781" w:type="dxa"/>
            <w:gridSpan w:val="2"/>
            <w:shd w:val="clear" w:color="auto" w:fill="D9D9D9"/>
          </w:tcPr>
          <w:p>
            <w:pPr>
              <w:pStyle w:val="TableParagraph"/>
              <w:spacing w:line="203" w:lineRule="exact"/>
              <w:rPr>
                <w:b/>
                <w:sz w:val="18"/>
              </w:rPr>
            </w:pPr>
            <w:r>
              <w:rPr>
                <w:b/>
                <w:sz w:val="18"/>
              </w:rPr>
              <w:t>Range in (m) at 90% reliability</w:t>
            </w:r>
          </w:p>
        </w:tc>
      </w:tr>
      <w:tr>
        <w:trPr>
          <w:trHeight w:val="216" w:hRule="exact"/>
        </w:trPr>
        <w:tc>
          <w:tcPr>
            <w:tcW w:w="3596" w:type="dxa"/>
            <w:vMerge/>
            <w:shd w:val="clear" w:color="auto" w:fill="D9D9D9"/>
          </w:tcPr>
          <w:p>
            <w:pPr/>
          </w:p>
        </w:tc>
        <w:tc>
          <w:tcPr>
            <w:tcW w:w="1620" w:type="dxa"/>
            <w:shd w:val="clear" w:color="auto" w:fill="D9D9D9"/>
          </w:tcPr>
          <w:p>
            <w:pPr>
              <w:pStyle w:val="TableParagraph"/>
              <w:rPr>
                <w:sz w:val="18"/>
              </w:rPr>
            </w:pPr>
            <w:r>
              <w:rPr>
                <w:sz w:val="18"/>
              </w:rPr>
              <w:t>DSRC</w:t>
            </w:r>
          </w:p>
        </w:tc>
        <w:tc>
          <w:tcPr>
            <w:tcW w:w="2161" w:type="dxa"/>
            <w:shd w:val="clear" w:color="auto" w:fill="D9D9D9"/>
          </w:tcPr>
          <w:p>
            <w:pPr>
              <w:pStyle w:val="TableParagraph"/>
              <w:rPr>
                <w:sz w:val="18"/>
              </w:rPr>
            </w:pPr>
            <w:r>
              <w:rPr>
                <w:sz w:val="18"/>
              </w:rPr>
              <w:t>C-V2X</w:t>
            </w:r>
          </w:p>
        </w:tc>
      </w:tr>
      <w:tr>
        <w:trPr>
          <w:trHeight w:val="218" w:hRule="exact"/>
        </w:trPr>
        <w:tc>
          <w:tcPr>
            <w:tcW w:w="3596" w:type="dxa"/>
          </w:tcPr>
          <w:p>
            <w:pPr>
              <w:pStyle w:val="TableParagraph"/>
              <w:rPr>
                <w:sz w:val="18"/>
              </w:rPr>
            </w:pPr>
            <w:r>
              <w:rPr>
                <w:sz w:val="18"/>
              </w:rPr>
              <w:t>Line-of-Sight (LOS) Range</w:t>
            </w:r>
          </w:p>
        </w:tc>
        <w:tc>
          <w:tcPr>
            <w:tcW w:w="1620" w:type="dxa"/>
          </w:tcPr>
          <w:p>
            <w:pPr>
              <w:pStyle w:val="TableParagraph"/>
              <w:rPr>
                <w:sz w:val="18"/>
              </w:rPr>
            </w:pPr>
            <w:r>
              <w:rPr>
                <w:sz w:val="18"/>
              </w:rPr>
              <w:t>475</w:t>
            </w:r>
          </w:p>
        </w:tc>
        <w:tc>
          <w:tcPr>
            <w:tcW w:w="2161" w:type="dxa"/>
          </w:tcPr>
          <w:p>
            <w:pPr>
              <w:pStyle w:val="TableParagraph"/>
              <w:rPr>
                <w:sz w:val="18"/>
              </w:rPr>
            </w:pPr>
            <w:r>
              <w:rPr>
                <w:sz w:val="18"/>
              </w:rPr>
              <w:t>675</w:t>
            </w:r>
          </w:p>
        </w:tc>
      </w:tr>
      <w:tr>
        <w:trPr>
          <w:trHeight w:val="216" w:hRule="exact"/>
        </w:trPr>
        <w:tc>
          <w:tcPr>
            <w:tcW w:w="3596" w:type="dxa"/>
          </w:tcPr>
          <w:p>
            <w:pPr>
              <w:pStyle w:val="TableParagraph"/>
              <w:rPr>
                <w:sz w:val="18"/>
              </w:rPr>
            </w:pPr>
            <w:r>
              <w:rPr>
                <w:sz w:val="18"/>
              </w:rPr>
              <w:t>Non-Line-of Sight (NLOS) Blocker (5GAA)</w:t>
            </w:r>
          </w:p>
        </w:tc>
        <w:tc>
          <w:tcPr>
            <w:tcW w:w="1620" w:type="dxa"/>
          </w:tcPr>
          <w:p>
            <w:pPr>
              <w:pStyle w:val="TableParagraph"/>
              <w:rPr>
                <w:sz w:val="18"/>
              </w:rPr>
            </w:pPr>
            <w:r>
              <w:rPr>
                <w:sz w:val="18"/>
              </w:rPr>
              <w:t>60</w:t>
            </w:r>
          </w:p>
        </w:tc>
        <w:tc>
          <w:tcPr>
            <w:tcW w:w="2161" w:type="dxa"/>
          </w:tcPr>
          <w:p>
            <w:pPr>
              <w:pStyle w:val="TableParagraph"/>
              <w:rPr>
                <w:sz w:val="18"/>
              </w:rPr>
            </w:pPr>
            <w:r>
              <w:rPr>
                <w:sz w:val="18"/>
              </w:rPr>
              <w:t>425</w:t>
            </w:r>
          </w:p>
        </w:tc>
      </w:tr>
    </w:tbl>
    <w:p>
      <w:pPr>
        <w:pStyle w:val="BodyText"/>
        <w:rPr>
          <w:b/>
          <w:sz w:val="22"/>
        </w:rPr>
      </w:pPr>
    </w:p>
    <w:p>
      <w:pPr>
        <w:pStyle w:val="BodyText"/>
        <w:rPr>
          <w:b/>
          <w:sz w:val="22"/>
        </w:rPr>
      </w:pPr>
    </w:p>
    <w:p>
      <w:pPr>
        <w:spacing w:before="166"/>
        <w:ind w:left="1133" w:right="0" w:firstLine="0"/>
        <w:jc w:val="both"/>
        <w:rPr>
          <w:b/>
          <w:sz w:val="20"/>
        </w:rPr>
      </w:pPr>
      <w:r>
        <w:rPr>
          <w:b/>
          <w:sz w:val="20"/>
        </w:rPr>
        <w:t>Table 33: Range comparison between DSRC and C-V2X for at 11 dBm effective transmit power</w:t>
      </w:r>
    </w:p>
    <w:p>
      <w:pPr>
        <w:pStyle w:val="BodyText"/>
        <w:spacing w:before="1"/>
        <w:rPr>
          <w:b/>
          <w:sz w:val="16"/>
        </w:rPr>
      </w:pPr>
    </w:p>
    <w:tbl>
      <w:tblPr>
        <w:tblW w:w="0" w:type="auto"/>
        <w:jc w:val="left"/>
        <w:tblInd w:w="2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6"/>
        <w:gridCol w:w="1620"/>
        <w:gridCol w:w="2161"/>
      </w:tblGrid>
      <w:tr>
        <w:trPr>
          <w:trHeight w:val="218" w:hRule="exact"/>
        </w:trPr>
        <w:tc>
          <w:tcPr>
            <w:tcW w:w="3596" w:type="dxa"/>
            <w:vMerge w:val="restart"/>
            <w:shd w:val="clear" w:color="auto" w:fill="D9D9D9"/>
          </w:tcPr>
          <w:p>
            <w:pPr>
              <w:pStyle w:val="TableParagraph"/>
              <w:spacing w:line="201" w:lineRule="exact"/>
              <w:rPr>
                <w:b/>
                <w:sz w:val="18"/>
              </w:rPr>
            </w:pPr>
            <w:r>
              <w:rPr>
                <w:b/>
                <w:sz w:val="18"/>
              </w:rPr>
              <w:t>Test Procedure</w:t>
            </w:r>
          </w:p>
        </w:tc>
        <w:tc>
          <w:tcPr>
            <w:tcW w:w="3781" w:type="dxa"/>
            <w:gridSpan w:val="2"/>
            <w:shd w:val="clear" w:color="auto" w:fill="D9D9D9"/>
          </w:tcPr>
          <w:p>
            <w:pPr>
              <w:pStyle w:val="TableParagraph"/>
              <w:spacing w:line="201" w:lineRule="exact"/>
              <w:rPr>
                <w:b/>
                <w:sz w:val="18"/>
              </w:rPr>
            </w:pPr>
            <w:r>
              <w:rPr>
                <w:b/>
                <w:sz w:val="18"/>
              </w:rPr>
              <w:t>Range in (m) at 90% reliability</w:t>
            </w:r>
          </w:p>
        </w:tc>
      </w:tr>
      <w:tr>
        <w:trPr>
          <w:trHeight w:val="216" w:hRule="exact"/>
        </w:trPr>
        <w:tc>
          <w:tcPr>
            <w:tcW w:w="3596" w:type="dxa"/>
            <w:vMerge/>
            <w:shd w:val="clear" w:color="auto" w:fill="D9D9D9"/>
          </w:tcPr>
          <w:p>
            <w:pPr/>
          </w:p>
        </w:tc>
        <w:tc>
          <w:tcPr>
            <w:tcW w:w="1620" w:type="dxa"/>
            <w:shd w:val="clear" w:color="auto" w:fill="D9D9D9"/>
          </w:tcPr>
          <w:p>
            <w:pPr>
              <w:pStyle w:val="TableParagraph"/>
              <w:rPr>
                <w:sz w:val="18"/>
              </w:rPr>
            </w:pPr>
            <w:r>
              <w:rPr>
                <w:sz w:val="18"/>
              </w:rPr>
              <w:t>DSRC</w:t>
            </w:r>
          </w:p>
        </w:tc>
        <w:tc>
          <w:tcPr>
            <w:tcW w:w="2161" w:type="dxa"/>
            <w:shd w:val="clear" w:color="auto" w:fill="D9D9D9"/>
          </w:tcPr>
          <w:p>
            <w:pPr>
              <w:pStyle w:val="TableParagraph"/>
              <w:rPr>
                <w:sz w:val="18"/>
              </w:rPr>
            </w:pPr>
            <w:r>
              <w:rPr>
                <w:sz w:val="18"/>
              </w:rPr>
              <w:t>C-V2X</w:t>
            </w:r>
          </w:p>
        </w:tc>
      </w:tr>
      <w:tr>
        <w:trPr>
          <w:trHeight w:val="216" w:hRule="exact"/>
        </w:trPr>
        <w:tc>
          <w:tcPr>
            <w:tcW w:w="3596" w:type="dxa"/>
          </w:tcPr>
          <w:p>
            <w:pPr>
              <w:pStyle w:val="TableParagraph"/>
              <w:rPr>
                <w:sz w:val="18"/>
              </w:rPr>
            </w:pPr>
            <w:r>
              <w:rPr>
                <w:sz w:val="18"/>
              </w:rPr>
              <w:t>Line-of-Sight (LOS) Range</w:t>
            </w:r>
          </w:p>
        </w:tc>
        <w:tc>
          <w:tcPr>
            <w:tcW w:w="1620" w:type="dxa"/>
          </w:tcPr>
          <w:p>
            <w:pPr>
              <w:pStyle w:val="TableParagraph"/>
              <w:rPr>
                <w:sz w:val="18"/>
              </w:rPr>
            </w:pPr>
            <w:r>
              <w:rPr>
                <w:sz w:val="18"/>
              </w:rPr>
              <w:t>675</w:t>
            </w:r>
          </w:p>
        </w:tc>
        <w:tc>
          <w:tcPr>
            <w:tcW w:w="2161" w:type="dxa"/>
          </w:tcPr>
          <w:p>
            <w:pPr>
              <w:pStyle w:val="TableParagraph"/>
              <w:rPr>
                <w:sz w:val="18"/>
              </w:rPr>
            </w:pPr>
            <w:r>
              <w:rPr>
                <w:sz w:val="18"/>
              </w:rPr>
              <w:t>1175</w:t>
            </w:r>
          </w:p>
        </w:tc>
      </w:tr>
      <w:tr>
        <w:trPr>
          <w:trHeight w:val="218" w:hRule="exact"/>
        </w:trPr>
        <w:tc>
          <w:tcPr>
            <w:tcW w:w="3596" w:type="dxa"/>
          </w:tcPr>
          <w:p>
            <w:pPr>
              <w:pStyle w:val="TableParagraph"/>
              <w:spacing w:line="240" w:lineRule="auto" w:before="1"/>
              <w:rPr>
                <w:sz w:val="18"/>
              </w:rPr>
            </w:pPr>
            <w:r>
              <w:rPr>
                <w:sz w:val="18"/>
              </w:rPr>
              <w:t>Non-Line-of Sight (NLOS) Blocker (5GAA)</w:t>
            </w:r>
          </w:p>
        </w:tc>
        <w:tc>
          <w:tcPr>
            <w:tcW w:w="1620" w:type="dxa"/>
          </w:tcPr>
          <w:p>
            <w:pPr>
              <w:pStyle w:val="TableParagraph"/>
              <w:spacing w:line="240" w:lineRule="auto" w:before="1"/>
              <w:rPr>
                <w:sz w:val="18"/>
              </w:rPr>
            </w:pPr>
            <w:r>
              <w:rPr>
                <w:sz w:val="18"/>
              </w:rPr>
              <w:t>125</w:t>
            </w:r>
          </w:p>
        </w:tc>
        <w:tc>
          <w:tcPr>
            <w:tcW w:w="2161" w:type="dxa"/>
          </w:tcPr>
          <w:p>
            <w:pPr>
              <w:pStyle w:val="TableParagraph"/>
              <w:spacing w:line="240" w:lineRule="auto" w:before="1"/>
              <w:rPr>
                <w:sz w:val="18"/>
              </w:rPr>
            </w:pPr>
            <w:r>
              <w:rPr>
                <w:sz w:val="18"/>
              </w:rPr>
              <w:t>425</w:t>
            </w:r>
          </w:p>
        </w:tc>
      </w:tr>
      <w:tr>
        <w:trPr>
          <w:trHeight w:val="422" w:hRule="exact"/>
        </w:trPr>
        <w:tc>
          <w:tcPr>
            <w:tcW w:w="3596" w:type="dxa"/>
          </w:tcPr>
          <w:p>
            <w:pPr>
              <w:pStyle w:val="TableParagraph"/>
              <w:rPr>
                <w:sz w:val="18"/>
              </w:rPr>
            </w:pPr>
            <w:r>
              <w:rPr>
                <w:sz w:val="18"/>
              </w:rPr>
              <w:t>Non-Line-of-Sight (NLOS) Blocker (CAMP)</w:t>
            </w:r>
          </w:p>
        </w:tc>
        <w:tc>
          <w:tcPr>
            <w:tcW w:w="1620" w:type="dxa"/>
          </w:tcPr>
          <w:p>
            <w:pPr>
              <w:pStyle w:val="TableParagraph"/>
              <w:rPr>
                <w:sz w:val="18"/>
              </w:rPr>
            </w:pPr>
            <w:r>
              <w:rPr>
                <w:sz w:val="18"/>
              </w:rPr>
              <w:t>200</w:t>
            </w:r>
          </w:p>
        </w:tc>
        <w:tc>
          <w:tcPr>
            <w:tcW w:w="2161" w:type="dxa"/>
          </w:tcPr>
          <w:p>
            <w:pPr>
              <w:pStyle w:val="TableParagraph"/>
              <w:spacing w:line="240" w:lineRule="auto"/>
              <w:ind w:right="1522"/>
              <w:rPr>
                <w:sz w:val="18"/>
              </w:rPr>
            </w:pPr>
            <w:r>
              <w:rPr>
                <w:sz w:val="18"/>
              </w:rPr>
              <w:t>&gt;1350 (625)*</w:t>
            </w:r>
          </w:p>
        </w:tc>
      </w:tr>
      <w:tr>
        <w:trPr>
          <w:trHeight w:val="218" w:hRule="exact"/>
        </w:trPr>
        <w:tc>
          <w:tcPr>
            <w:tcW w:w="3596" w:type="dxa"/>
          </w:tcPr>
          <w:p>
            <w:pPr>
              <w:pStyle w:val="TableParagraph"/>
              <w:spacing w:line="240" w:lineRule="auto" w:before="1"/>
              <w:rPr>
                <w:sz w:val="18"/>
              </w:rPr>
            </w:pPr>
            <w:r>
              <w:rPr>
                <w:sz w:val="18"/>
              </w:rPr>
              <w:t>Non-Line-of-Sight (NLOS) Intersection</w:t>
            </w:r>
          </w:p>
        </w:tc>
        <w:tc>
          <w:tcPr>
            <w:tcW w:w="1620" w:type="dxa"/>
          </w:tcPr>
          <w:p>
            <w:pPr>
              <w:pStyle w:val="TableParagraph"/>
              <w:spacing w:line="240" w:lineRule="auto" w:before="1"/>
              <w:rPr>
                <w:sz w:val="18"/>
              </w:rPr>
            </w:pPr>
            <w:r>
              <w:rPr>
                <w:sz w:val="18"/>
              </w:rPr>
              <w:t>375</w:t>
            </w:r>
          </w:p>
        </w:tc>
        <w:tc>
          <w:tcPr>
            <w:tcW w:w="2161" w:type="dxa"/>
          </w:tcPr>
          <w:p>
            <w:pPr>
              <w:pStyle w:val="TableParagraph"/>
              <w:spacing w:line="240" w:lineRule="auto" w:before="1"/>
              <w:rPr>
                <w:sz w:val="18"/>
              </w:rPr>
            </w:pPr>
            <w:r>
              <w:rPr>
                <w:sz w:val="18"/>
              </w:rPr>
              <w:t>875</w:t>
            </w:r>
          </w:p>
        </w:tc>
      </w:tr>
      <w:tr>
        <w:trPr>
          <w:trHeight w:val="422" w:hRule="exact"/>
        </w:trPr>
        <w:tc>
          <w:tcPr>
            <w:tcW w:w="3596" w:type="dxa"/>
          </w:tcPr>
          <w:p>
            <w:pPr>
              <w:pStyle w:val="TableParagraph"/>
              <w:tabs>
                <w:tab w:pos="1409" w:val="left" w:leader="none"/>
                <w:tab w:pos="1978" w:val="left" w:leader="none"/>
                <w:tab w:pos="2657" w:val="left" w:leader="none"/>
                <w:tab w:pos="3112" w:val="left" w:leader="none"/>
              </w:tabs>
              <w:spacing w:line="240" w:lineRule="auto"/>
              <w:ind w:right="105"/>
              <w:rPr>
                <w:sz w:val="18"/>
              </w:rPr>
            </w:pPr>
            <w:r>
              <w:rPr>
                <w:sz w:val="18"/>
              </w:rPr>
              <w:t>Co-existence</w:t>
              <w:tab/>
              <w:t>with</w:t>
              <w:tab/>
              <w:t>Wi-Fi</w:t>
              <w:tab/>
              <w:t>80</w:t>
              <w:tab/>
            </w:r>
            <w:r>
              <w:rPr>
                <w:spacing w:val="-1"/>
                <w:sz w:val="18"/>
              </w:rPr>
              <w:t>MHz </w:t>
            </w:r>
            <w:r>
              <w:rPr>
                <w:sz w:val="18"/>
              </w:rPr>
              <w:t>Bandwidth in</w:t>
            </w:r>
            <w:r>
              <w:rPr>
                <w:spacing w:val="-4"/>
                <w:sz w:val="18"/>
              </w:rPr>
              <w:t> </w:t>
            </w:r>
            <w:r>
              <w:rPr>
                <w:sz w:val="18"/>
              </w:rPr>
              <w:t>UNII-3</w:t>
            </w:r>
          </w:p>
        </w:tc>
        <w:tc>
          <w:tcPr>
            <w:tcW w:w="1620" w:type="dxa"/>
          </w:tcPr>
          <w:p>
            <w:pPr>
              <w:pStyle w:val="TableParagraph"/>
              <w:spacing w:line="240" w:lineRule="auto"/>
              <w:ind w:right="1097"/>
              <w:rPr>
                <w:sz w:val="18"/>
              </w:rPr>
            </w:pPr>
            <w:r>
              <w:rPr>
                <w:sz w:val="18"/>
              </w:rPr>
              <w:t>300 (75)*</w:t>
            </w:r>
          </w:p>
        </w:tc>
        <w:tc>
          <w:tcPr>
            <w:tcW w:w="2161" w:type="dxa"/>
          </w:tcPr>
          <w:p>
            <w:pPr>
              <w:pStyle w:val="TableParagraph"/>
              <w:rPr>
                <w:sz w:val="18"/>
              </w:rPr>
            </w:pPr>
            <w:r>
              <w:rPr>
                <w:sz w:val="18"/>
              </w:rPr>
              <w:t>625</w:t>
            </w:r>
          </w:p>
        </w:tc>
      </w:tr>
      <w:tr>
        <w:trPr>
          <w:trHeight w:val="425" w:hRule="exact"/>
        </w:trPr>
        <w:tc>
          <w:tcPr>
            <w:tcW w:w="3596" w:type="dxa"/>
          </w:tcPr>
          <w:p>
            <w:pPr>
              <w:pStyle w:val="TableParagraph"/>
              <w:spacing w:line="240" w:lineRule="auto" w:before="1"/>
              <w:rPr>
                <w:sz w:val="18"/>
              </w:rPr>
            </w:pPr>
            <w:r>
              <w:rPr>
                <w:sz w:val="18"/>
              </w:rPr>
              <w:t>Co-existing of V2X with Adjacent DSRC Carrier</w:t>
            </w:r>
          </w:p>
        </w:tc>
        <w:tc>
          <w:tcPr>
            <w:tcW w:w="1620" w:type="dxa"/>
          </w:tcPr>
          <w:p>
            <w:pPr>
              <w:pStyle w:val="TableParagraph"/>
              <w:spacing w:line="240" w:lineRule="auto" w:before="1"/>
              <w:ind w:right="997"/>
              <w:rPr>
                <w:sz w:val="18"/>
              </w:rPr>
            </w:pPr>
            <w:r>
              <w:rPr>
                <w:sz w:val="18"/>
              </w:rPr>
              <w:t>400 (100)*</w:t>
            </w:r>
          </w:p>
        </w:tc>
        <w:tc>
          <w:tcPr>
            <w:tcW w:w="2161" w:type="dxa"/>
          </w:tcPr>
          <w:p>
            <w:pPr>
              <w:pStyle w:val="TableParagraph"/>
              <w:spacing w:line="240" w:lineRule="auto" w:before="1"/>
              <w:rPr>
                <w:sz w:val="18"/>
              </w:rPr>
            </w:pPr>
            <w:r>
              <w:rPr>
                <w:sz w:val="18"/>
              </w:rPr>
              <w:t>1050</w:t>
            </w:r>
          </w:p>
        </w:tc>
      </w:tr>
    </w:tbl>
    <w:p>
      <w:pPr>
        <w:pStyle w:val="BodyText"/>
        <w:spacing w:before="10"/>
        <w:rPr>
          <w:b/>
          <w:sz w:val="17"/>
        </w:rPr>
      </w:pPr>
    </w:p>
    <w:p>
      <w:pPr>
        <w:pStyle w:val="BodyText"/>
        <w:spacing w:before="1"/>
        <w:ind w:left="2268"/>
      </w:pPr>
      <w:r>
        <w:rPr/>
        <w:t>* First drop below 90% PRR</w:t>
      </w:r>
    </w:p>
    <w:p>
      <w:pPr>
        <w:spacing w:after="0"/>
        <w:sectPr>
          <w:headerReference w:type="default" r:id="rId411"/>
          <w:footerReference w:type="default" r:id="rId412"/>
          <w:pgSz w:w="11910" w:h="16850"/>
          <w:pgMar w:header="852" w:footer="979" w:top="1040" w:bottom="1160" w:left="0" w:right="0"/>
        </w:sectPr>
      </w:pPr>
    </w:p>
    <w:p>
      <w:pPr>
        <w:pStyle w:val="BodyText"/>
      </w:pPr>
    </w:p>
    <w:p>
      <w:pPr>
        <w:pStyle w:val="BodyText"/>
        <w:spacing w:before="6"/>
        <w:rPr>
          <w:sz w:val="11"/>
        </w:rPr>
      </w:pPr>
    </w:p>
    <w:p>
      <w:pPr>
        <w:pStyle w:val="BodyText"/>
        <w:spacing w:line="29" w:lineRule="exact"/>
        <w:ind w:left="1089"/>
        <w:rPr>
          <w:sz w:val="2"/>
        </w:rPr>
      </w:pPr>
      <w:r>
        <w:rPr>
          <w:position w:val="0"/>
          <w:sz w:val="2"/>
        </w:rPr>
        <w:pict>
          <v:group style="width:486.5pt;height:1.45pt;mso-position-horizontal-relative:char;mso-position-vertical-relative:line" coordorigin="0,0" coordsize="9730,29">
            <v:line style="position:absolute" from="15,15" to="9715,15" stroked="true" strokeweight="1.44pt" strokecolor="#000000">
              <v:stroke dashstyle="solid"/>
            </v:line>
          </v:group>
        </w:pict>
      </w:r>
      <w:r>
        <w:rPr>
          <w:position w:val="0"/>
          <w:sz w:val="2"/>
        </w:rPr>
      </w:r>
    </w:p>
    <w:p>
      <w:pPr>
        <w:pStyle w:val="Heading1"/>
        <w:numPr>
          <w:ilvl w:val="0"/>
          <w:numId w:val="52"/>
        </w:numPr>
        <w:tabs>
          <w:tab w:pos="2266" w:val="left" w:leader="none"/>
        </w:tabs>
        <w:spacing w:line="240" w:lineRule="auto" w:before="56" w:after="0"/>
        <w:ind w:left="2265" w:right="0" w:hanging="1132"/>
        <w:jc w:val="both"/>
      </w:pPr>
      <w:bookmarkStart w:name="_bookmark154" w:id="239"/>
      <w:bookmarkEnd w:id="239"/>
      <w:r>
        <w:rPr/>
      </w:r>
      <w:bookmarkStart w:name="_bookmark154" w:id="240"/>
      <w:bookmarkEnd w:id="240"/>
      <w:r>
        <w:rPr/>
        <w:t>C</w:t>
      </w:r>
      <w:r>
        <w:rPr/>
        <w:t>onclusion and Next</w:t>
      </w:r>
      <w:r>
        <w:rPr>
          <w:spacing w:val="-6"/>
        </w:rPr>
        <w:t> </w:t>
      </w:r>
      <w:r>
        <w:rPr/>
        <w:t>Steps</w:t>
      </w:r>
    </w:p>
    <w:p>
      <w:pPr>
        <w:pStyle w:val="BodyText"/>
        <w:spacing w:before="182"/>
        <w:ind w:left="1133" w:right="1130"/>
        <w:jc w:val="both"/>
      </w:pPr>
      <w:r>
        <w:rPr/>
        <w:t>Ford and Qualcomm performed a series of V2V RF tests from March - September 2018, with the goal of comparing</w:t>
      </w:r>
      <w:r>
        <w:rPr>
          <w:spacing w:val="-5"/>
        </w:rPr>
        <w:t> </w:t>
      </w:r>
      <w:r>
        <w:rPr/>
        <w:t>two</w:t>
      </w:r>
      <w:r>
        <w:rPr>
          <w:spacing w:val="-2"/>
        </w:rPr>
        <w:t> </w:t>
      </w:r>
      <w:r>
        <w:rPr/>
        <w:t>V2X</w:t>
      </w:r>
      <w:r>
        <w:rPr>
          <w:spacing w:val="-3"/>
        </w:rPr>
        <w:t> </w:t>
      </w:r>
      <w:r>
        <w:rPr/>
        <w:t>RF</w:t>
      </w:r>
      <w:r>
        <w:rPr>
          <w:spacing w:val="-4"/>
        </w:rPr>
        <w:t> </w:t>
      </w:r>
      <w:r>
        <w:rPr/>
        <w:t>technologies,</w:t>
      </w:r>
      <w:r>
        <w:rPr>
          <w:spacing w:val="-4"/>
        </w:rPr>
        <w:t> </w:t>
      </w:r>
      <w:r>
        <w:rPr/>
        <w:t>namely</w:t>
      </w:r>
      <w:r>
        <w:rPr>
          <w:spacing w:val="-8"/>
        </w:rPr>
        <w:t> </w:t>
      </w:r>
      <w:r>
        <w:rPr/>
        <w:t>DSRC</w:t>
      </w:r>
      <w:r>
        <w:rPr>
          <w:spacing w:val="-4"/>
        </w:rPr>
        <w:t> </w:t>
      </w:r>
      <w:r>
        <w:rPr/>
        <w:t>and</w:t>
      </w:r>
      <w:r>
        <w:rPr>
          <w:spacing w:val="-5"/>
        </w:rPr>
        <w:t> </w:t>
      </w:r>
      <w:r>
        <w:rPr/>
        <w:t>C-V2X,</w:t>
      </w:r>
      <w:r>
        <w:rPr>
          <w:spacing w:val="-4"/>
        </w:rPr>
        <w:t> </w:t>
      </w:r>
      <w:r>
        <w:rPr/>
        <w:t>under</w:t>
      </w:r>
      <w:r>
        <w:rPr>
          <w:spacing w:val="-4"/>
        </w:rPr>
        <w:t> </w:t>
      </w:r>
      <w:r>
        <w:rPr/>
        <w:t>the</w:t>
      </w:r>
      <w:r>
        <w:rPr>
          <w:spacing w:val="-5"/>
        </w:rPr>
        <w:t> </w:t>
      </w:r>
      <w:r>
        <w:rPr/>
        <w:t>same</w:t>
      </w:r>
      <w:r>
        <w:rPr>
          <w:spacing w:val="-7"/>
        </w:rPr>
        <w:t> </w:t>
      </w:r>
      <w:r>
        <w:rPr/>
        <w:t>RF</w:t>
      </w:r>
      <w:r>
        <w:rPr>
          <w:spacing w:val="-4"/>
        </w:rPr>
        <w:t> </w:t>
      </w:r>
      <w:r>
        <w:rPr/>
        <w:t>conditions</w:t>
      </w:r>
      <w:r>
        <w:rPr>
          <w:spacing w:val="-4"/>
        </w:rPr>
        <w:t> </w:t>
      </w:r>
      <w:r>
        <w:rPr/>
        <w:t>and</w:t>
      </w:r>
      <w:r>
        <w:rPr>
          <w:spacing w:val="-5"/>
        </w:rPr>
        <w:t> </w:t>
      </w:r>
      <w:r>
        <w:rPr/>
        <w:t>using</w:t>
      </w:r>
      <w:r>
        <w:rPr>
          <w:spacing w:val="-5"/>
        </w:rPr>
        <w:t> </w:t>
      </w:r>
      <w:r>
        <w:rPr/>
        <w:t>the same in-vehicle integration setup. The tests were performed in both laboratory and field environments and follow closely 5GAA test procedure</w:t>
      </w:r>
      <w:r>
        <w:rPr>
          <w:spacing w:val="-15"/>
        </w:rPr>
        <w:t> </w:t>
      </w:r>
      <w:r>
        <w:rPr/>
        <w:t>methodology.</w:t>
      </w:r>
    </w:p>
    <w:p>
      <w:pPr>
        <w:pStyle w:val="BodyText"/>
        <w:spacing w:before="180"/>
        <w:ind w:left="1133" w:right="1130"/>
        <w:jc w:val="both"/>
      </w:pPr>
      <w:r>
        <w:rPr/>
        <w:t>The test results indicate gains in terms of RF range for C-V2X compared to DSRC. The lab tests have shown significant link budget gain for C-V2X compared to DSRC. Under varying radio environment conditions (LOS, NLOS,</w:t>
      </w:r>
      <w:r>
        <w:rPr>
          <w:spacing w:val="-3"/>
        </w:rPr>
        <w:t> </w:t>
      </w:r>
      <w:r>
        <w:rPr/>
        <w:t>and</w:t>
      </w:r>
      <w:r>
        <w:rPr>
          <w:spacing w:val="-3"/>
        </w:rPr>
        <w:t> </w:t>
      </w:r>
      <w:r>
        <w:rPr/>
        <w:t>interference)</w:t>
      </w:r>
      <w:r>
        <w:rPr>
          <w:spacing w:val="-5"/>
        </w:rPr>
        <w:t> </w:t>
      </w:r>
      <w:r>
        <w:rPr/>
        <w:t>the</w:t>
      </w:r>
      <w:r>
        <w:rPr>
          <w:spacing w:val="-6"/>
        </w:rPr>
        <w:t> </w:t>
      </w:r>
      <w:r>
        <w:rPr/>
        <w:t>field</w:t>
      </w:r>
      <w:r>
        <w:rPr>
          <w:spacing w:val="-3"/>
        </w:rPr>
        <w:t> </w:t>
      </w:r>
      <w:r>
        <w:rPr/>
        <w:t>tests</w:t>
      </w:r>
      <w:r>
        <w:rPr>
          <w:spacing w:val="-4"/>
        </w:rPr>
        <w:t> </w:t>
      </w:r>
      <w:r>
        <w:rPr/>
        <w:t>have</w:t>
      </w:r>
      <w:r>
        <w:rPr>
          <w:spacing w:val="-3"/>
        </w:rPr>
        <w:t> </w:t>
      </w:r>
      <w:r>
        <w:rPr/>
        <w:t>shown</w:t>
      </w:r>
      <w:r>
        <w:rPr>
          <w:spacing w:val="-3"/>
        </w:rPr>
        <w:t> </w:t>
      </w:r>
      <w:r>
        <w:rPr/>
        <w:t>that</w:t>
      </w:r>
      <w:r>
        <w:rPr>
          <w:spacing w:val="-6"/>
        </w:rPr>
        <w:t> </w:t>
      </w:r>
      <w:r>
        <w:rPr/>
        <w:t>C-V2X</w:t>
      </w:r>
      <w:r>
        <w:rPr>
          <w:spacing w:val="-2"/>
        </w:rPr>
        <w:t> </w:t>
      </w:r>
      <w:r>
        <w:rPr/>
        <w:t>has</w:t>
      </w:r>
      <w:r>
        <w:rPr>
          <w:spacing w:val="-2"/>
        </w:rPr>
        <w:t> </w:t>
      </w:r>
      <w:r>
        <w:rPr/>
        <w:t>a</w:t>
      </w:r>
      <w:r>
        <w:rPr>
          <w:spacing w:val="-3"/>
        </w:rPr>
        <w:t> </w:t>
      </w:r>
      <w:r>
        <w:rPr/>
        <w:t>1.7x-3.4x</w:t>
      </w:r>
      <w:r>
        <w:rPr>
          <w:spacing w:val="-2"/>
        </w:rPr>
        <w:t> </w:t>
      </w:r>
      <w:r>
        <w:rPr/>
        <w:t>range</w:t>
      </w:r>
      <w:r>
        <w:rPr>
          <w:spacing w:val="-4"/>
        </w:rPr>
        <w:t> </w:t>
      </w:r>
      <w:r>
        <w:rPr/>
        <w:t>advantage</w:t>
      </w:r>
      <w:r>
        <w:rPr>
          <w:spacing w:val="-3"/>
        </w:rPr>
        <w:t> </w:t>
      </w:r>
      <w:r>
        <w:rPr/>
        <w:t>over</w:t>
      </w:r>
      <w:r>
        <w:rPr>
          <w:spacing w:val="-2"/>
        </w:rPr>
        <w:t> </w:t>
      </w:r>
      <w:r>
        <w:rPr/>
        <w:t>DSRC. The LOS advantage was 1.7x, however, the improvements rose to 3.4x in more realistic NLOS conditions involving signal obstruction. </w:t>
      </w:r>
      <w:r>
        <w:rPr>
          <w:spacing w:val="2"/>
        </w:rPr>
        <w:t>With </w:t>
      </w:r>
      <w:r>
        <w:rPr/>
        <w:t>the interference in close proximity the improvement in range with U-NII-3 interferer was 2.1x while the improvement with the adjacent DSRC interferer was</w:t>
      </w:r>
      <w:r>
        <w:rPr>
          <w:spacing w:val="-26"/>
        </w:rPr>
        <w:t> </w:t>
      </w:r>
      <w:r>
        <w:rPr/>
        <w:t>3x.</w:t>
      </w:r>
    </w:p>
    <w:p>
      <w:pPr>
        <w:pStyle w:val="BodyText"/>
        <w:spacing w:before="180"/>
        <w:ind w:left="1133" w:right="1127"/>
        <w:jc w:val="both"/>
      </w:pPr>
      <w:r>
        <w:rPr/>
        <w:t>Both C-V2X and DSRC exhibited similar end-to-end application layer latencies under non-congested conditions,</w:t>
      </w:r>
      <w:r>
        <w:rPr>
          <w:spacing w:val="-9"/>
        </w:rPr>
        <w:t> </w:t>
      </w:r>
      <w:r>
        <w:rPr/>
        <w:t>and</w:t>
      </w:r>
      <w:r>
        <w:rPr>
          <w:spacing w:val="-7"/>
        </w:rPr>
        <w:t> </w:t>
      </w:r>
      <w:r>
        <w:rPr/>
        <w:t>both</w:t>
      </w:r>
      <w:r>
        <w:rPr>
          <w:spacing w:val="-9"/>
        </w:rPr>
        <w:t> </w:t>
      </w:r>
      <w:r>
        <w:rPr/>
        <w:t>technologies</w:t>
      </w:r>
      <w:r>
        <w:rPr>
          <w:spacing w:val="-8"/>
        </w:rPr>
        <w:t> </w:t>
      </w:r>
      <w:r>
        <w:rPr/>
        <w:t>met</w:t>
      </w:r>
      <w:r>
        <w:rPr>
          <w:spacing w:val="-10"/>
        </w:rPr>
        <w:t> </w:t>
      </w:r>
      <w:r>
        <w:rPr/>
        <w:t>the</w:t>
      </w:r>
      <w:r>
        <w:rPr>
          <w:spacing w:val="-8"/>
        </w:rPr>
        <w:t> </w:t>
      </w:r>
      <w:r>
        <w:rPr/>
        <w:t>latency</w:t>
      </w:r>
      <w:r>
        <w:rPr>
          <w:spacing w:val="-13"/>
        </w:rPr>
        <w:t> </w:t>
      </w:r>
      <w:r>
        <w:rPr/>
        <w:t>requirements</w:t>
      </w:r>
      <w:r>
        <w:rPr>
          <w:spacing w:val="-8"/>
        </w:rPr>
        <w:t> </w:t>
      </w:r>
      <w:r>
        <w:rPr/>
        <w:t>for</w:t>
      </w:r>
      <w:r>
        <w:rPr>
          <w:spacing w:val="-8"/>
        </w:rPr>
        <w:t> </w:t>
      </w:r>
      <w:r>
        <w:rPr/>
        <w:t>the</w:t>
      </w:r>
      <w:r>
        <w:rPr>
          <w:spacing w:val="-10"/>
        </w:rPr>
        <w:t> </w:t>
      </w:r>
      <w:r>
        <w:rPr/>
        <w:t>V2V</w:t>
      </w:r>
      <w:r>
        <w:rPr>
          <w:spacing w:val="-10"/>
        </w:rPr>
        <w:t> </w:t>
      </w:r>
      <w:r>
        <w:rPr/>
        <w:t>safety</w:t>
      </w:r>
      <w:r>
        <w:rPr>
          <w:spacing w:val="-10"/>
        </w:rPr>
        <w:t> </w:t>
      </w:r>
      <w:r>
        <w:rPr/>
        <w:t>applications</w:t>
      </w:r>
      <w:r>
        <w:rPr>
          <w:spacing w:val="-6"/>
        </w:rPr>
        <w:t> </w:t>
      </w:r>
      <w:r>
        <w:rPr/>
        <w:t>defined</w:t>
      </w:r>
      <w:r>
        <w:rPr>
          <w:spacing w:val="-7"/>
        </w:rPr>
        <w:t> </w:t>
      </w:r>
      <w:r>
        <w:rPr/>
        <w:t>in</w:t>
      </w:r>
      <w:r>
        <w:rPr>
          <w:spacing w:val="-7"/>
        </w:rPr>
        <w:t> </w:t>
      </w:r>
      <w:r>
        <w:rPr/>
        <w:t>SAE J2945/1. Inter-packet gap performance was within 10 ms for both V2X technologies, typically increasing very quickly</w:t>
      </w:r>
      <w:r>
        <w:rPr>
          <w:spacing w:val="-15"/>
        </w:rPr>
        <w:t> </w:t>
      </w:r>
      <w:r>
        <w:rPr/>
        <w:t>when</w:t>
      </w:r>
      <w:r>
        <w:rPr>
          <w:spacing w:val="-12"/>
        </w:rPr>
        <w:t> </w:t>
      </w:r>
      <w:r>
        <w:rPr/>
        <w:t>the</w:t>
      </w:r>
      <w:r>
        <w:rPr>
          <w:spacing w:val="-12"/>
        </w:rPr>
        <w:t> </w:t>
      </w:r>
      <w:r>
        <w:rPr/>
        <w:t>devices</w:t>
      </w:r>
      <w:r>
        <w:rPr>
          <w:spacing w:val="-11"/>
        </w:rPr>
        <w:t> </w:t>
      </w:r>
      <w:r>
        <w:rPr/>
        <w:t>went</w:t>
      </w:r>
      <w:r>
        <w:rPr>
          <w:spacing w:val="-12"/>
        </w:rPr>
        <w:t> </w:t>
      </w:r>
      <w:r>
        <w:rPr/>
        <w:t>out</w:t>
      </w:r>
      <w:r>
        <w:rPr>
          <w:spacing w:val="-12"/>
        </w:rPr>
        <w:t> </w:t>
      </w:r>
      <w:r>
        <w:rPr/>
        <w:t>of</w:t>
      </w:r>
      <w:r>
        <w:rPr>
          <w:spacing w:val="-12"/>
        </w:rPr>
        <w:t> </w:t>
      </w:r>
      <w:r>
        <w:rPr/>
        <w:t>range.</w:t>
      </w:r>
      <w:r>
        <w:rPr>
          <w:spacing w:val="-12"/>
        </w:rPr>
        <w:t> </w:t>
      </w:r>
      <w:r>
        <w:rPr/>
        <w:t>Only</w:t>
      </w:r>
      <w:r>
        <w:rPr>
          <w:spacing w:val="-15"/>
        </w:rPr>
        <w:t> </w:t>
      </w:r>
      <w:r>
        <w:rPr/>
        <w:t>C-V2X</w:t>
      </w:r>
      <w:r>
        <w:rPr>
          <w:spacing w:val="-12"/>
        </w:rPr>
        <w:t> </w:t>
      </w:r>
      <w:r>
        <w:rPr/>
        <w:t>technology</w:t>
      </w:r>
      <w:r>
        <w:rPr>
          <w:spacing w:val="-15"/>
        </w:rPr>
        <w:t> </w:t>
      </w:r>
      <w:r>
        <w:rPr/>
        <w:t>was</w:t>
      </w:r>
      <w:r>
        <w:rPr>
          <w:spacing w:val="-13"/>
        </w:rPr>
        <w:t> </w:t>
      </w:r>
      <w:r>
        <w:rPr/>
        <w:t>tested</w:t>
      </w:r>
      <w:r>
        <w:rPr>
          <w:spacing w:val="-14"/>
        </w:rPr>
        <w:t> </w:t>
      </w:r>
      <w:r>
        <w:rPr/>
        <w:t>for</w:t>
      </w:r>
      <w:r>
        <w:rPr>
          <w:spacing w:val="-11"/>
        </w:rPr>
        <w:t> </w:t>
      </w:r>
      <w:r>
        <w:rPr/>
        <w:t>a</w:t>
      </w:r>
      <w:r>
        <w:rPr>
          <w:spacing w:val="-14"/>
        </w:rPr>
        <w:t> </w:t>
      </w:r>
      <w:r>
        <w:rPr/>
        <w:t>highly</w:t>
      </w:r>
      <w:r>
        <w:rPr>
          <w:spacing w:val="-17"/>
        </w:rPr>
        <w:t> </w:t>
      </w:r>
      <w:r>
        <w:rPr/>
        <w:t>congested</w:t>
      </w:r>
      <w:r>
        <w:rPr>
          <w:spacing w:val="-12"/>
        </w:rPr>
        <w:t> </w:t>
      </w:r>
      <w:r>
        <w:rPr/>
        <w:t>scenario in a laboratory setting. Even in the congested scenario, C-V2X latency remained bounded by the 100ms latency budget configured for that</w:t>
      </w:r>
      <w:r>
        <w:rPr>
          <w:spacing w:val="-13"/>
        </w:rPr>
        <w:t> </w:t>
      </w:r>
      <w:r>
        <w:rPr/>
        <w:t>scenario.</w:t>
      </w:r>
    </w:p>
    <w:p>
      <w:pPr>
        <w:pStyle w:val="BodyText"/>
        <w:spacing w:before="180"/>
        <w:ind w:left="1133" w:right="1132"/>
        <w:jc w:val="both"/>
      </w:pPr>
      <w:r>
        <w:rPr/>
        <w:t>While performing the field testing, we have observed that each test track has its own characteristics, emphasizing the importance of technology comparison under the same conditions. </w:t>
      </w:r>
      <w:r>
        <w:rPr>
          <w:spacing w:val="5"/>
        </w:rPr>
        <w:t>We </w:t>
      </w:r>
      <w:r>
        <w:rPr/>
        <w:t>have also observed significant</w:t>
      </w:r>
      <w:r>
        <w:rPr>
          <w:spacing w:val="-8"/>
        </w:rPr>
        <w:t> </w:t>
      </w:r>
      <w:r>
        <w:rPr/>
        <w:t>interference</w:t>
      </w:r>
      <w:r>
        <w:rPr>
          <w:spacing w:val="-8"/>
        </w:rPr>
        <w:t> </w:t>
      </w:r>
      <w:r>
        <w:rPr/>
        <w:t>activity</w:t>
      </w:r>
      <w:r>
        <w:rPr>
          <w:spacing w:val="-11"/>
        </w:rPr>
        <w:t> </w:t>
      </w:r>
      <w:r>
        <w:rPr/>
        <w:t>from</w:t>
      </w:r>
      <w:r>
        <w:rPr>
          <w:spacing w:val="-3"/>
        </w:rPr>
        <w:t> </w:t>
      </w:r>
      <w:r>
        <w:rPr/>
        <w:t>the</w:t>
      </w:r>
      <w:r>
        <w:rPr>
          <w:spacing w:val="-8"/>
        </w:rPr>
        <w:t> </w:t>
      </w:r>
      <w:r>
        <w:rPr/>
        <w:t>U-NII-3</w:t>
      </w:r>
      <w:r>
        <w:rPr>
          <w:spacing w:val="-8"/>
        </w:rPr>
        <w:t> </w:t>
      </w:r>
      <w:r>
        <w:rPr/>
        <w:t>band</w:t>
      </w:r>
      <w:r>
        <w:rPr>
          <w:spacing w:val="-8"/>
        </w:rPr>
        <w:t> </w:t>
      </w:r>
      <w:r>
        <w:rPr/>
        <w:t>(5,725-5,850MHz)</w:t>
      </w:r>
      <w:r>
        <w:rPr>
          <w:spacing w:val="-7"/>
        </w:rPr>
        <w:t> </w:t>
      </w:r>
      <w:r>
        <w:rPr/>
        <w:t>on</w:t>
      </w:r>
      <w:r>
        <w:rPr>
          <w:spacing w:val="-8"/>
        </w:rPr>
        <w:t> </w:t>
      </w:r>
      <w:r>
        <w:rPr/>
        <w:t>two</w:t>
      </w:r>
      <w:r>
        <w:rPr>
          <w:spacing w:val="-8"/>
        </w:rPr>
        <w:t> </w:t>
      </w:r>
      <w:r>
        <w:rPr/>
        <w:t>automotive</w:t>
      </w:r>
      <w:r>
        <w:rPr>
          <w:spacing w:val="-8"/>
        </w:rPr>
        <w:t> </w:t>
      </w:r>
      <w:r>
        <w:rPr/>
        <w:t>test</w:t>
      </w:r>
      <w:r>
        <w:rPr>
          <w:spacing w:val="-8"/>
        </w:rPr>
        <w:t> </w:t>
      </w:r>
      <w:r>
        <w:rPr/>
        <w:t>tracks</w:t>
      </w:r>
      <w:r>
        <w:rPr>
          <w:spacing w:val="-7"/>
        </w:rPr>
        <w:t> </w:t>
      </w:r>
      <w:r>
        <w:rPr/>
        <w:t>causing re-planning</w:t>
      </w:r>
      <w:r>
        <w:rPr>
          <w:spacing w:val="-3"/>
        </w:rPr>
        <w:t> </w:t>
      </w:r>
      <w:r>
        <w:rPr/>
        <w:t>and</w:t>
      </w:r>
      <w:r>
        <w:rPr>
          <w:spacing w:val="-3"/>
        </w:rPr>
        <w:t> </w:t>
      </w:r>
      <w:r>
        <w:rPr/>
        <w:t>moving</w:t>
      </w:r>
      <w:r>
        <w:rPr>
          <w:spacing w:val="-3"/>
        </w:rPr>
        <w:t> </w:t>
      </w:r>
      <w:r>
        <w:rPr/>
        <w:t>of</w:t>
      </w:r>
      <w:r>
        <w:rPr>
          <w:spacing w:val="-1"/>
        </w:rPr>
        <w:t> </w:t>
      </w:r>
      <w:r>
        <w:rPr/>
        <w:t>the</w:t>
      </w:r>
      <w:r>
        <w:rPr>
          <w:spacing w:val="-3"/>
        </w:rPr>
        <w:t> </w:t>
      </w:r>
      <w:r>
        <w:rPr/>
        <w:t>test</w:t>
      </w:r>
      <w:r>
        <w:rPr>
          <w:spacing w:val="-3"/>
        </w:rPr>
        <w:t> </w:t>
      </w:r>
      <w:r>
        <w:rPr/>
        <w:t>operating</w:t>
      </w:r>
      <w:r>
        <w:rPr>
          <w:spacing w:val="-3"/>
        </w:rPr>
        <w:t> </w:t>
      </w:r>
      <w:r>
        <w:rPr/>
        <w:t>frequency</w:t>
      </w:r>
      <w:r>
        <w:rPr>
          <w:spacing w:val="-4"/>
        </w:rPr>
        <w:t> </w:t>
      </w:r>
      <w:r>
        <w:rPr/>
        <w:t>to</w:t>
      </w:r>
      <w:r>
        <w:rPr>
          <w:spacing w:val="-3"/>
        </w:rPr>
        <w:t> </w:t>
      </w:r>
      <w:r>
        <w:rPr/>
        <w:t>the</w:t>
      </w:r>
      <w:r>
        <w:rPr>
          <w:spacing w:val="-3"/>
        </w:rPr>
        <w:t> </w:t>
      </w:r>
      <w:r>
        <w:rPr/>
        <w:t>upper</w:t>
      </w:r>
      <w:r>
        <w:rPr>
          <w:spacing w:val="-3"/>
        </w:rPr>
        <w:t> </w:t>
      </w:r>
      <w:r>
        <w:rPr/>
        <w:t>portion</w:t>
      </w:r>
      <w:r>
        <w:rPr>
          <w:spacing w:val="-3"/>
        </w:rPr>
        <w:t> </w:t>
      </w:r>
      <w:r>
        <w:rPr/>
        <w:t>of</w:t>
      </w:r>
      <w:r>
        <w:rPr>
          <w:spacing w:val="-1"/>
        </w:rPr>
        <w:t> </w:t>
      </w:r>
      <w:r>
        <w:rPr/>
        <w:t>the</w:t>
      </w:r>
      <w:r>
        <w:rPr>
          <w:spacing w:val="-3"/>
        </w:rPr>
        <w:t> </w:t>
      </w:r>
      <w:r>
        <w:rPr/>
        <w:t>ITS</w:t>
      </w:r>
      <w:r>
        <w:rPr>
          <w:spacing w:val="-3"/>
        </w:rPr>
        <w:t> </w:t>
      </w:r>
      <w:r>
        <w:rPr/>
        <w:t>band</w:t>
      </w:r>
      <w:r>
        <w:rPr>
          <w:spacing w:val="-3"/>
        </w:rPr>
        <w:t> </w:t>
      </w:r>
      <w:r>
        <w:rPr/>
        <w:t>(CH184).</w:t>
      </w:r>
      <w:r>
        <w:rPr>
          <w:spacing w:val="-3"/>
        </w:rPr>
        <w:t> </w:t>
      </w:r>
      <w:r>
        <w:rPr/>
        <w:t>Results and conclusions from CH184 were consistent with the initial CH172</w:t>
      </w:r>
      <w:r>
        <w:rPr>
          <w:spacing w:val="-20"/>
        </w:rPr>
        <w:t> </w:t>
      </w:r>
      <w:r>
        <w:rPr/>
        <w:t>tests.</w:t>
      </w:r>
    </w:p>
    <w:p>
      <w:pPr>
        <w:pStyle w:val="BodyText"/>
        <w:spacing w:before="180"/>
        <w:ind w:left="1133" w:right="1143"/>
        <w:jc w:val="both"/>
      </w:pPr>
      <w:r>
        <w:rPr/>
        <w:t>As a follow-up to the testing and results presented in this report we are preparing for the next phase. The planning is under way for the following testing activities:</w:t>
      </w:r>
    </w:p>
    <w:p>
      <w:pPr>
        <w:pStyle w:val="ListParagraph"/>
        <w:numPr>
          <w:ilvl w:val="0"/>
          <w:numId w:val="54"/>
        </w:numPr>
        <w:tabs>
          <w:tab w:pos="1701" w:val="left" w:leader="none"/>
          <w:tab w:pos="1702" w:val="left" w:leader="none"/>
        </w:tabs>
        <w:spacing w:line="240" w:lineRule="auto" w:before="180" w:after="0"/>
        <w:ind w:left="1701" w:right="0" w:hanging="285"/>
        <w:jc w:val="left"/>
        <w:rPr>
          <w:sz w:val="20"/>
        </w:rPr>
      </w:pPr>
      <w:r>
        <w:rPr>
          <w:sz w:val="20"/>
        </w:rPr>
        <w:t>Testing C-V2X operation in 20MHz channel, specifically in CH183 (center frequency 5,915</w:t>
      </w:r>
      <w:r>
        <w:rPr>
          <w:spacing w:val="-28"/>
          <w:sz w:val="20"/>
        </w:rPr>
        <w:t> </w:t>
      </w:r>
      <w:r>
        <w:rPr>
          <w:sz w:val="20"/>
        </w:rPr>
        <w:t>MHz)</w:t>
      </w:r>
    </w:p>
    <w:p>
      <w:pPr>
        <w:pStyle w:val="ListParagraph"/>
        <w:numPr>
          <w:ilvl w:val="0"/>
          <w:numId w:val="54"/>
        </w:numPr>
        <w:tabs>
          <w:tab w:pos="1701" w:val="left" w:leader="none"/>
          <w:tab w:pos="1702" w:val="left" w:leader="none"/>
        </w:tabs>
        <w:spacing w:line="240" w:lineRule="auto" w:before="180" w:after="0"/>
        <w:ind w:left="1701" w:right="0" w:hanging="285"/>
        <w:jc w:val="left"/>
        <w:rPr>
          <w:sz w:val="20"/>
        </w:rPr>
      </w:pPr>
      <w:r>
        <w:rPr>
          <w:sz w:val="20"/>
        </w:rPr>
        <w:t>Testing C-V2X congestion control functionality in the</w:t>
      </w:r>
      <w:r>
        <w:rPr>
          <w:spacing w:val="-20"/>
          <w:sz w:val="20"/>
        </w:rPr>
        <w:t> </w:t>
      </w:r>
      <w:r>
        <w:rPr>
          <w:sz w:val="20"/>
        </w:rPr>
        <w:t>field</w:t>
      </w:r>
    </w:p>
    <w:p>
      <w:pPr>
        <w:pStyle w:val="BodyText"/>
        <w:spacing w:before="180"/>
        <w:ind w:left="1133" w:right="1128"/>
        <w:jc w:val="both"/>
      </w:pPr>
      <w:r>
        <w:rPr/>
        <w:t>More</w:t>
      </w:r>
      <w:r>
        <w:rPr>
          <w:spacing w:val="-6"/>
        </w:rPr>
        <w:t> </w:t>
      </w:r>
      <w:r>
        <w:rPr/>
        <w:t>specifically,</w:t>
      </w:r>
      <w:r>
        <w:rPr>
          <w:spacing w:val="-3"/>
        </w:rPr>
        <w:t> </w:t>
      </w:r>
      <w:r>
        <w:rPr/>
        <w:t>3GPP</w:t>
      </w:r>
      <w:r>
        <w:rPr>
          <w:spacing w:val="-3"/>
        </w:rPr>
        <w:t> </w:t>
      </w:r>
      <w:r>
        <w:rPr/>
        <w:t>Rel-14</w:t>
      </w:r>
      <w:r>
        <w:rPr>
          <w:spacing w:val="-6"/>
        </w:rPr>
        <w:t> </w:t>
      </w:r>
      <w:r>
        <w:rPr/>
        <w:t>standard</w:t>
      </w:r>
      <w:r>
        <w:rPr>
          <w:spacing w:val="-5"/>
        </w:rPr>
        <w:t> </w:t>
      </w:r>
      <w:r>
        <w:rPr/>
        <w:t>allows</w:t>
      </w:r>
      <w:r>
        <w:rPr>
          <w:spacing w:val="-4"/>
        </w:rPr>
        <w:t> </w:t>
      </w:r>
      <w:r>
        <w:rPr/>
        <w:t>operation</w:t>
      </w:r>
      <w:r>
        <w:rPr>
          <w:spacing w:val="-3"/>
        </w:rPr>
        <w:t> </w:t>
      </w:r>
      <w:r>
        <w:rPr/>
        <w:t>in</w:t>
      </w:r>
      <w:r>
        <w:rPr>
          <w:spacing w:val="-3"/>
        </w:rPr>
        <w:t> </w:t>
      </w:r>
      <w:r>
        <w:rPr/>
        <w:t>20</w:t>
      </w:r>
      <w:r>
        <w:rPr>
          <w:spacing w:val="-3"/>
        </w:rPr>
        <w:t> </w:t>
      </w:r>
      <w:r>
        <w:rPr/>
        <w:t>MHz</w:t>
      </w:r>
      <w:r>
        <w:rPr>
          <w:spacing w:val="-6"/>
        </w:rPr>
        <w:t> </w:t>
      </w:r>
      <w:r>
        <w:rPr/>
        <w:t>channel</w:t>
      </w:r>
      <w:r>
        <w:rPr>
          <w:spacing w:val="-4"/>
        </w:rPr>
        <w:t> </w:t>
      </w:r>
      <w:r>
        <w:rPr/>
        <w:t>which</w:t>
      </w:r>
      <w:r>
        <w:rPr>
          <w:spacing w:val="-6"/>
        </w:rPr>
        <w:t> </w:t>
      </w:r>
      <w:r>
        <w:rPr/>
        <w:t>makes</w:t>
      </w:r>
      <w:r>
        <w:rPr>
          <w:spacing w:val="-5"/>
        </w:rPr>
        <w:t> </w:t>
      </w:r>
      <w:r>
        <w:rPr/>
        <w:t>it</w:t>
      </w:r>
      <w:r>
        <w:rPr>
          <w:spacing w:val="-5"/>
        </w:rPr>
        <w:t> </w:t>
      </w:r>
      <w:r>
        <w:rPr/>
        <w:t>attractive</w:t>
      </w:r>
      <w:r>
        <w:rPr>
          <w:spacing w:val="-6"/>
        </w:rPr>
        <w:t> </w:t>
      </w:r>
      <w:r>
        <w:rPr/>
        <w:t>for</w:t>
      </w:r>
      <w:r>
        <w:rPr>
          <w:spacing w:val="-5"/>
        </w:rPr>
        <w:t> </w:t>
      </w:r>
      <w:r>
        <w:rPr/>
        <w:t>the combined</w:t>
      </w:r>
      <w:r>
        <w:rPr>
          <w:spacing w:val="-10"/>
        </w:rPr>
        <w:t> </w:t>
      </w:r>
      <w:r>
        <w:rPr/>
        <w:t>V2V</w:t>
      </w:r>
      <w:r>
        <w:rPr>
          <w:spacing w:val="-10"/>
        </w:rPr>
        <w:t> </w:t>
      </w:r>
      <w:r>
        <w:rPr/>
        <w:t>and</w:t>
      </w:r>
      <w:r>
        <w:rPr>
          <w:spacing w:val="-10"/>
        </w:rPr>
        <w:t> </w:t>
      </w:r>
      <w:r>
        <w:rPr/>
        <w:t>V2I</w:t>
      </w:r>
      <w:r>
        <w:rPr>
          <w:spacing w:val="-10"/>
        </w:rPr>
        <w:t> </w:t>
      </w:r>
      <w:r>
        <w:rPr/>
        <w:t>safety</w:t>
      </w:r>
      <w:r>
        <w:rPr>
          <w:spacing w:val="-13"/>
        </w:rPr>
        <w:t> </w:t>
      </w:r>
      <w:r>
        <w:rPr/>
        <w:t>applications.</w:t>
      </w:r>
      <w:r>
        <w:rPr>
          <w:spacing w:val="30"/>
        </w:rPr>
        <w:t> </w:t>
      </w:r>
      <w:r>
        <w:rPr/>
        <w:t>While</w:t>
      </w:r>
      <w:r>
        <w:rPr>
          <w:spacing w:val="-12"/>
        </w:rPr>
        <w:t> </w:t>
      </w:r>
      <w:r>
        <w:rPr/>
        <w:t>the</w:t>
      </w:r>
      <w:r>
        <w:rPr>
          <w:spacing w:val="-12"/>
        </w:rPr>
        <w:t> </w:t>
      </w:r>
      <w:r>
        <w:rPr/>
        <w:t>radio</w:t>
      </w:r>
      <w:r>
        <w:rPr>
          <w:spacing w:val="-10"/>
        </w:rPr>
        <w:t> </w:t>
      </w:r>
      <w:r>
        <w:rPr/>
        <w:t>propagation</w:t>
      </w:r>
      <w:r>
        <w:rPr>
          <w:spacing w:val="-10"/>
        </w:rPr>
        <w:t> </w:t>
      </w:r>
      <w:r>
        <w:rPr/>
        <w:t>and</w:t>
      </w:r>
      <w:r>
        <w:rPr>
          <w:spacing w:val="-10"/>
        </w:rPr>
        <w:t> </w:t>
      </w:r>
      <w:r>
        <w:rPr/>
        <w:t>reception</w:t>
      </w:r>
      <w:r>
        <w:rPr>
          <w:spacing w:val="-10"/>
        </w:rPr>
        <w:t> </w:t>
      </w:r>
      <w:r>
        <w:rPr/>
        <w:t>in</w:t>
      </w:r>
      <w:r>
        <w:rPr>
          <w:spacing w:val="-10"/>
        </w:rPr>
        <w:t> </w:t>
      </w:r>
      <w:r>
        <w:rPr/>
        <w:t>20</w:t>
      </w:r>
      <w:r>
        <w:rPr>
          <w:spacing w:val="-10"/>
        </w:rPr>
        <w:t> </w:t>
      </w:r>
      <w:r>
        <w:rPr/>
        <w:t>MHz</w:t>
      </w:r>
      <w:r>
        <w:rPr>
          <w:spacing w:val="-13"/>
        </w:rPr>
        <w:t> </w:t>
      </w:r>
      <w:r>
        <w:rPr/>
        <w:t>are</w:t>
      </w:r>
      <w:r>
        <w:rPr>
          <w:spacing w:val="-12"/>
        </w:rPr>
        <w:t> </w:t>
      </w:r>
      <w:r>
        <w:rPr/>
        <w:t>expected to</w:t>
      </w:r>
      <w:r>
        <w:rPr>
          <w:spacing w:val="-8"/>
        </w:rPr>
        <w:t> </w:t>
      </w:r>
      <w:r>
        <w:rPr/>
        <w:t>be</w:t>
      </w:r>
      <w:r>
        <w:rPr>
          <w:spacing w:val="-8"/>
        </w:rPr>
        <w:t> </w:t>
      </w:r>
      <w:r>
        <w:rPr/>
        <w:t>similar</w:t>
      </w:r>
      <w:r>
        <w:rPr>
          <w:spacing w:val="-7"/>
        </w:rPr>
        <w:t> </w:t>
      </w:r>
      <w:r>
        <w:rPr/>
        <w:t>to</w:t>
      </w:r>
      <w:r>
        <w:rPr>
          <w:spacing w:val="-8"/>
        </w:rPr>
        <w:t> </w:t>
      </w:r>
      <w:r>
        <w:rPr/>
        <w:t>10</w:t>
      </w:r>
      <w:r>
        <w:rPr>
          <w:spacing w:val="-8"/>
        </w:rPr>
        <w:t> </w:t>
      </w:r>
      <w:r>
        <w:rPr/>
        <w:t>MHz,</w:t>
      </w:r>
      <w:r>
        <w:rPr>
          <w:spacing w:val="-5"/>
        </w:rPr>
        <w:t> </w:t>
      </w:r>
      <w:r>
        <w:rPr/>
        <w:t>we</w:t>
      </w:r>
      <w:r>
        <w:rPr>
          <w:spacing w:val="-5"/>
        </w:rPr>
        <w:t> </w:t>
      </w:r>
      <w:r>
        <w:rPr/>
        <w:t>plan</w:t>
      </w:r>
      <w:r>
        <w:rPr>
          <w:spacing w:val="-8"/>
        </w:rPr>
        <w:t> </w:t>
      </w:r>
      <w:r>
        <w:rPr/>
        <w:t>to</w:t>
      </w:r>
      <w:r>
        <w:rPr>
          <w:spacing w:val="-8"/>
        </w:rPr>
        <w:t> </w:t>
      </w:r>
      <w:r>
        <w:rPr/>
        <w:t>confirm</w:t>
      </w:r>
      <w:r>
        <w:rPr>
          <w:spacing w:val="-3"/>
        </w:rPr>
        <w:t> </w:t>
      </w:r>
      <w:r>
        <w:rPr/>
        <w:t>this</w:t>
      </w:r>
      <w:r>
        <w:rPr>
          <w:spacing w:val="-7"/>
        </w:rPr>
        <w:t> </w:t>
      </w:r>
      <w:r>
        <w:rPr/>
        <w:t>and</w:t>
      </w:r>
      <w:r>
        <w:rPr>
          <w:spacing w:val="-8"/>
        </w:rPr>
        <w:t> </w:t>
      </w:r>
      <w:r>
        <w:rPr/>
        <w:t>also</w:t>
      </w:r>
      <w:r>
        <w:rPr>
          <w:spacing w:val="-8"/>
        </w:rPr>
        <w:t> </w:t>
      </w:r>
      <w:r>
        <w:rPr/>
        <w:t>test</w:t>
      </w:r>
      <w:r>
        <w:rPr>
          <w:spacing w:val="-8"/>
        </w:rPr>
        <w:t> </w:t>
      </w:r>
      <w:r>
        <w:rPr/>
        <w:t>various</w:t>
      </w:r>
      <w:r>
        <w:rPr>
          <w:spacing w:val="-7"/>
        </w:rPr>
        <w:t> </w:t>
      </w:r>
      <w:r>
        <w:rPr/>
        <w:t>coexistence</w:t>
      </w:r>
      <w:r>
        <w:rPr>
          <w:spacing w:val="-8"/>
        </w:rPr>
        <w:t> </w:t>
      </w:r>
      <w:r>
        <w:rPr/>
        <w:t>scenarios</w:t>
      </w:r>
      <w:r>
        <w:rPr>
          <w:spacing w:val="-7"/>
        </w:rPr>
        <w:t> </w:t>
      </w:r>
      <w:r>
        <w:rPr/>
        <w:t>appropriate</w:t>
      </w:r>
      <w:r>
        <w:rPr>
          <w:spacing w:val="-8"/>
        </w:rPr>
        <w:t> </w:t>
      </w:r>
      <w:r>
        <w:rPr/>
        <w:t>for</w:t>
      </w:r>
      <w:r>
        <w:rPr>
          <w:spacing w:val="-7"/>
        </w:rPr>
        <w:t> </w:t>
      </w:r>
      <w:r>
        <w:rPr/>
        <w:t>the 20</w:t>
      </w:r>
      <w:r>
        <w:rPr>
          <w:spacing w:val="-13"/>
        </w:rPr>
        <w:t> </w:t>
      </w:r>
      <w:r>
        <w:rPr/>
        <w:t>MHz</w:t>
      </w:r>
      <w:r>
        <w:rPr>
          <w:spacing w:val="-16"/>
        </w:rPr>
        <w:t> </w:t>
      </w:r>
      <w:r>
        <w:rPr/>
        <w:t>channel</w:t>
      </w:r>
      <w:r>
        <w:rPr>
          <w:spacing w:val="-14"/>
        </w:rPr>
        <w:t> </w:t>
      </w:r>
      <w:r>
        <w:rPr/>
        <w:t>operation.</w:t>
      </w:r>
      <w:r>
        <w:rPr>
          <w:spacing w:val="-10"/>
        </w:rPr>
        <w:t> </w:t>
      </w:r>
      <w:r>
        <w:rPr>
          <w:spacing w:val="3"/>
        </w:rPr>
        <w:t>We</w:t>
      </w:r>
      <w:r>
        <w:rPr>
          <w:spacing w:val="-15"/>
        </w:rPr>
        <w:t> </w:t>
      </w:r>
      <w:r>
        <w:rPr/>
        <w:t>intend</w:t>
      </w:r>
      <w:r>
        <w:rPr>
          <w:spacing w:val="-16"/>
        </w:rPr>
        <w:t> </w:t>
      </w:r>
      <w:r>
        <w:rPr/>
        <w:t>to</w:t>
      </w:r>
      <w:r>
        <w:rPr>
          <w:spacing w:val="-15"/>
        </w:rPr>
        <w:t> </w:t>
      </w:r>
      <w:r>
        <w:rPr/>
        <w:t>continue</w:t>
      </w:r>
      <w:r>
        <w:rPr>
          <w:spacing w:val="-13"/>
        </w:rPr>
        <w:t> </w:t>
      </w:r>
      <w:r>
        <w:rPr/>
        <w:t>to</w:t>
      </w:r>
      <w:r>
        <w:rPr>
          <w:spacing w:val="-13"/>
        </w:rPr>
        <w:t> </w:t>
      </w:r>
      <w:r>
        <w:rPr/>
        <w:t>build</w:t>
      </w:r>
      <w:r>
        <w:rPr>
          <w:spacing w:val="-13"/>
        </w:rPr>
        <w:t> </w:t>
      </w:r>
      <w:r>
        <w:rPr/>
        <w:t>on</w:t>
      </w:r>
      <w:r>
        <w:rPr>
          <w:spacing w:val="-13"/>
        </w:rPr>
        <w:t> </w:t>
      </w:r>
      <w:r>
        <w:rPr/>
        <w:t>the</w:t>
      </w:r>
      <w:r>
        <w:rPr>
          <w:spacing w:val="-13"/>
        </w:rPr>
        <w:t> </w:t>
      </w:r>
      <w:r>
        <w:rPr/>
        <w:t>work</w:t>
      </w:r>
      <w:r>
        <w:rPr>
          <w:spacing w:val="-11"/>
        </w:rPr>
        <w:t> </w:t>
      </w:r>
      <w:r>
        <w:rPr/>
        <w:t>we</w:t>
      </w:r>
      <w:r>
        <w:rPr>
          <w:spacing w:val="-13"/>
        </w:rPr>
        <w:t> </w:t>
      </w:r>
      <w:r>
        <w:rPr/>
        <w:t>began</w:t>
      </w:r>
      <w:r>
        <w:rPr>
          <w:spacing w:val="-11"/>
        </w:rPr>
        <w:t> </w:t>
      </w:r>
      <w:r>
        <w:rPr>
          <w:spacing w:val="3"/>
        </w:rPr>
        <w:t>in</w:t>
      </w:r>
      <w:r>
        <w:rPr>
          <w:spacing w:val="-13"/>
        </w:rPr>
        <w:t> </w:t>
      </w:r>
      <w:r>
        <w:rPr/>
        <w:t>the</w:t>
      </w:r>
      <w:r>
        <w:rPr>
          <w:spacing w:val="-16"/>
        </w:rPr>
        <w:t> </w:t>
      </w:r>
      <w:r>
        <w:rPr/>
        <w:t>first</w:t>
      </w:r>
      <w:r>
        <w:rPr>
          <w:spacing w:val="-15"/>
        </w:rPr>
        <w:t> </w:t>
      </w:r>
      <w:r>
        <w:rPr/>
        <w:t>phase</w:t>
      </w:r>
      <w:r>
        <w:rPr>
          <w:spacing w:val="-13"/>
        </w:rPr>
        <w:t> </w:t>
      </w:r>
      <w:r>
        <w:rPr/>
        <w:t>of</w:t>
      </w:r>
      <w:r>
        <w:rPr>
          <w:spacing w:val="-13"/>
        </w:rPr>
        <w:t> </w:t>
      </w:r>
      <w:r>
        <w:rPr/>
        <w:t>congestion testing. Additionally, we anticipate testing advanced C-V2X use cases and applications (i.e., non-BSM transmission), which may make use of a larger portion of the Intelligent Transportation Systems</w:t>
      </w:r>
      <w:r>
        <w:rPr>
          <w:spacing w:val="-29"/>
        </w:rPr>
        <w:t> </w:t>
      </w:r>
      <w:r>
        <w:rPr/>
        <w:t>band.</w:t>
      </w:r>
    </w:p>
    <w:p>
      <w:pPr>
        <w:spacing w:after="0"/>
        <w:jc w:val="both"/>
        <w:sectPr>
          <w:headerReference w:type="default" r:id="rId413"/>
          <w:footerReference w:type="default" r:id="rId414"/>
          <w:pgSz w:w="11910" w:h="16850"/>
          <w:pgMar w:header="852" w:footer="876" w:top="1040" w:bottom="1060" w:left="0" w:right="0"/>
          <w:pgNumType w:start="101"/>
        </w:sectPr>
      </w:pPr>
    </w:p>
    <w:p>
      <w:pPr>
        <w:pStyle w:val="BodyText"/>
      </w:pPr>
    </w:p>
    <w:p>
      <w:pPr>
        <w:pStyle w:val="BodyText"/>
      </w:pPr>
    </w:p>
    <w:p>
      <w:pPr>
        <w:pStyle w:val="BodyText"/>
      </w:pPr>
    </w:p>
    <w:p>
      <w:pPr>
        <w:pStyle w:val="BodyText"/>
        <w:spacing w:before="1"/>
        <w:rPr>
          <w:sz w:val="28"/>
        </w:rPr>
      </w:pPr>
    </w:p>
    <w:p>
      <w:pPr>
        <w:pStyle w:val="BodyText"/>
        <w:spacing w:line="29" w:lineRule="exact"/>
        <w:ind w:left="1089"/>
        <w:rPr>
          <w:sz w:val="2"/>
        </w:rPr>
      </w:pPr>
      <w:r>
        <w:rPr>
          <w:position w:val="0"/>
          <w:sz w:val="2"/>
        </w:rPr>
        <w:pict>
          <v:group style="width:486.5pt;height:1.45pt;mso-position-horizontal-relative:char;mso-position-vertical-relative:line" coordorigin="0,0" coordsize="9730,29">
            <v:line style="position:absolute" from="15,15" to="9715,15" stroked="true" strokeweight="1.44pt" strokecolor="#000000">
              <v:stroke dashstyle="solid"/>
            </v:line>
          </v:group>
        </w:pict>
      </w:r>
      <w:r>
        <w:rPr>
          <w:position w:val="0"/>
          <w:sz w:val="2"/>
        </w:rPr>
      </w:r>
    </w:p>
    <w:p>
      <w:pPr>
        <w:pStyle w:val="Heading1"/>
        <w:tabs>
          <w:tab w:pos="10435" w:val="left" w:leader="none"/>
        </w:tabs>
        <w:ind w:left="1133"/>
        <w:jc w:val="both"/>
      </w:pPr>
      <w:bookmarkStart w:name="_bookmark155" w:id="241"/>
      <w:bookmarkEnd w:id="241"/>
      <w:r>
        <w:rPr/>
      </w:r>
      <w:r>
        <w:rPr/>
        <w:t>Annex</w:t>
        <w:tab/>
        <w:t>A:</w:t>
      </w:r>
    </w:p>
    <w:p>
      <w:pPr>
        <w:spacing w:before="1"/>
        <w:ind w:left="2266" w:right="0" w:firstLine="0"/>
        <w:jc w:val="left"/>
        <w:rPr>
          <w:sz w:val="36"/>
        </w:rPr>
      </w:pPr>
      <w:r>
        <w:rPr>
          <w:sz w:val="36"/>
        </w:rPr>
        <w:t>Supplemental Lab Interference Tests</w:t>
      </w:r>
    </w:p>
    <w:p>
      <w:pPr>
        <w:pStyle w:val="Heading2"/>
        <w:numPr>
          <w:ilvl w:val="1"/>
          <w:numId w:val="55"/>
        </w:numPr>
        <w:tabs>
          <w:tab w:pos="2267" w:val="left" w:leader="none"/>
        </w:tabs>
        <w:spacing w:line="240" w:lineRule="auto" w:before="357" w:after="0"/>
        <w:ind w:left="2266" w:right="0" w:hanging="1133"/>
        <w:jc w:val="both"/>
      </w:pPr>
      <w:bookmarkStart w:name="_bookmark156" w:id="242"/>
      <w:bookmarkEnd w:id="242"/>
      <w:r>
        <w:rPr/>
      </w:r>
      <w:bookmarkStart w:name="_bookmark156" w:id="243"/>
      <w:bookmarkEnd w:id="243"/>
      <w:r>
        <w:rPr/>
        <w:t>Interfe</w:t>
      </w:r>
      <w:r>
        <w:rPr/>
        <w:t>rence Lab</w:t>
      </w:r>
      <w:r>
        <w:rPr>
          <w:spacing w:val="-5"/>
        </w:rPr>
        <w:t> </w:t>
      </w:r>
      <w:r>
        <w:rPr/>
        <w:t>Test</w:t>
      </w:r>
    </w:p>
    <w:p>
      <w:pPr>
        <w:pStyle w:val="Heading3"/>
        <w:numPr>
          <w:ilvl w:val="2"/>
          <w:numId w:val="55"/>
        </w:numPr>
        <w:tabs>
          <w:tab w:pos="2267" w:val="left" w:leader="none"/>
        </w:tabs>
        <w:spacing w:line="240" w:lineRule="auto" w:before="302" w:after="0"/>
        <w:ind w:left="2266" w:right="1131" w:hanging="1133"/>
        <w:jc w:val="both"/>
      </w:pPr>
      <w:bookmarkStart w:name="_bookmark157" w:id="244"/>
      <w:bookmarkEnd w:id="244"/>
      <w:r>
        <w:rPr/>
      </w:r>
      <w:bookmarkStart w:name="_bookmark157" w:id="245"/>
      <w:bookmarkEnd w:id="245"/>
      <w:r>
        <w:rPr/>
        <w:t>C</w:t>
      </w:r>
      <w:r>
        <w:rPr/>
        <w:t>abled Transmission and Reception Test with Simulated External Interference: flat characteristics, constant in time, occupying part of ITS channel (e.g., channel</w:t>
      </w:r>
      <w:r>
        <w:rPr>
          <w:spacing w:val="-6"/>
        </w:rPr>
        <w:t> </w:t>
      </w:r>
      <w:r>
        <w:rPr/>
        <w:t>172)</w:t>
      </w:r>
    </w:p>
    <w:p>
      <w:pPr>
        <w:pStyle w:val="BodyText"/>
        <w:spacing w:before="11"/>
        <w:rPr>
          <w:sz w:val="25"/>
        </w:rPr>
      </w:pPr>
    </w:p>
    <w:p>
      <w:pPr>
        <w:pStyle w:val="Heading5"/>
        <w:numPr>
          <w:ilvl w:val="3"/>
          <w:numId w:val="55"/>
        </w:numPr>
        <w:tabs>
          <w:tab w:pos="2552" w:val="left" w:leader="none"/>
        </w:tabs>
        <w:spacing w:line="240" w:lineRule="auto" w:before="0" w:after="0"/>
        <w:ind w:left="2551" w:right="0" w:hanging="1418"/>
        <w:jc w:val="both"/>
        <w:rPr>
          <w:rFonts w:ascii="Arial"/>
        </w:rPr>
      </w:pPr>
      <w:r>
        <w:rPr>
          <w:rFonts w:ascii="Arial"/>
        </w:rPr>
        <w:t>Background</w:t>
      </w:r>
    </w:p>
    <w:p>
      <w:pPr>
        <w:pStyle w:val="BodyText"/>
        <w:spacing w:before="181"/>
        <w:ind w:left="1133" w:right="1136"/>
      </w:pPr>
      <w:r>
        <w:rPr/>
        <w:t>This test analyzes robustness to external interference which has flat spectrum density, varying bandwidths, and is constant in time.</w:t>
      </w:r>
    </w:p>
    <w:p>
      <w:pPr>
        <w:pStyle w:val="BodyText"/>
        <w:spacing w:before="180"/>
        <w:ind w:left="1133" w:right="1130"/>
        <w:jc w:val="both"/>
      </w:pPr>
      <w:r>
        <w:rPr/>
        <w:t>The goal is to verify that C-V2X devices can transmit and receive C-V2X messages over the PC5 interface with</w:t>
      </w:r>
      <w:r>
        <w:rPr>
          <w:spacing w:val="-13"/>
        </w:rPr>
        <w:t> </w:t>
      </w:r>
      <w:r>
        <w:rPr/>
        <w:t>an</w:t>
      </w:r>
      <w:r>
        <w:rPr>
          <w:spacing w:val="-11"/>
        </w:rPr>
        <w:t> </w:t>
      </w:r>
      <w:r>
        <w:rPr/>
        <w:t>interference</w:t>
      </w:r>
      <w:r>
        <w:rPr>
          <w:spacing w:val="-13"/>
        </w:rPr>
        <w:t> </w:t>
      </w:r>
      <w:r>
        <w:rPr/>
        <w:t>model</w:t>
      </w:r>
      <w:r>
        <w:rPr>
          <w:spacing w:val="-14"/>
        </w:rPr>
        <w:t> </w:t>
      </w:r>
      <w:r>
        <w:rPr/>
        <w:t>being</w:t>
      </w:r>
      <w:r>
        <w:rPr>
          <w:spacing w:val="-13"/>
        </w:rPr>
        <w:t> </w:t>
      </w:r>
      <w:r>
        <w:rPr/>
        <w:t>applied</w:t>
      </w:r>
      <w:r>
        <w:rPr>
          <w:spacing w:val="-13"/>
        </w:rPr>
        <w:t> </w:t>
      </w:r>
      <w:r>
        <w:rPr/>
        <w:t>between</w:t>
      </w:r>
      <w:r>
        <w:rPr>
          <w:spacing w:val="-13"/>
        </w:rPr>
        <w:t> </w:t>
      </w:r>
      <w:r>
        <w:rPr/>
        <w:t>the</w:t>
      </w:r>
      <w:r>
        <w:rPr>
          <w:spacing w:val="-13"/>
        </w:rPr>
        <w:t> </w:t>
      </w:r>
      <w:r>
        <w:rPr/>
        <w:t>transmit</w:t>
      </w:r>
      <w:r>
        <w:rPr>
          <w:spacing w:val="-15"/>
        </w:rPr>
        <w:t> </w:t>
      </w:r>
      <w:r>
        <w:rPr/>
        <w:t>and</w:t>
      </w:r>
      <w:r>
        <w:rPr>
          <w:spacing w:val="-15"/>
        </w:rPr>
        <w:t> </w:t>
      </w:r>
      <w:r>
        <w:rPr/>
        <w:t>receive</w:t>
      </w:r>
      <w:r>
        <w:rPr>
          <w:spacing w:val="-13"/>
        </w:rPr>
        <w:t> </w:t>
      </w:r>
      <w:r>
        <w:rPr/>
        <w:t>C-V2X</w:t>
      </w:r>
      <w:r>
        <w:rPr>
          <w:spacing w:val="-11"/>
        </w:rPr>
        <w:t> </w:t>
      </w:r>
      <w:r>
        <w:rPr/>
        <w:t>devices</w:t>
      </w:r>
      <w:r>
        <w:rPr>
          <w:spacing w:val="-14"/>
        </w:rPr>
        <w:t> </w:t>
      </w:r>
      <w:r>
        <w:rPr/>
        <w:t>to</w:t>
      </w:r>
      <w:r>
        <w:rPr>
          <w:spacing w:val="-15"/>
        </w:rPr>
        <w:t> </w:t>
      </w:r>
      <w:r>
        <w:rPr/>
        <w:t>simulate</w:t>
      </w:r>
      <w:r>
        <w:rPr>
          <w:spacing w:val="-13"/>
        </w:rPr>
        <w:t> </w:t>
      </w:r>
      <w:r>
        <w:rPr/>
        <w:t>potential external interference in the system with pre-defined</w:t>
      </w:r>
      <w:r>
        <w:rPr>
          <w:spacing w:val="-17"/>
        </w:rPr>
        <w:t> </w:t>
      </w:r>
      <w:r>
        <w:rPr/>
        <w:t>characteristics.</w:t>
      </w:r>
    </w:p>
    <w:p>
      <w:pPr>
        <w:pStyle w:val="BodyText"/>
        <w:spacing w:before="11"/>
        <w:rPr>
          <w:sz w:val="25"/>
        </w:rPr>
      </w:pPr>
    </w:p>
    <w:p>
      <w:pPr>
        <w:pStyle w:val="Heading5"/>
        <w:numPr>
          <w:ilvl w:val="3"/>
          <w:numId w:val="55"/>
        </w:numPr>
        <w:tabs>
          <w:tab w:pos="2552" w:val="left" w:leader="none"/>
        </w:tabs>
        <w:spacing w:line="240" w:lineRule="auto" w:before="0" w:after="0"/>
        <w:ind w:left="2551" w:right="0" w:hanging="1418"/>
        <w:jc w:val="both"/>
        <w:rPr>
          <w:rFonts w:ascii="Arial"/>
        </w:rPr>
      </w:pPr>
      <w:r>
        <w:rPr>
          <w:rFonts w:ascii="Arial"/>
        </w:rPr>
        <w:t>Assumptions</w:t>
      </w:r>
    </w:p>
    <w:p>
      <w:pPr>
        <w:pStyle w:val="BodyText"/>
        <w:spacing w:before="181"/>
        <w:ind w:left="1133" w:right="1136"/>
      </w:pPr>
      <w:r>
        <w:rPr/>
        <w:t>The operating system time of the transmitter and receiver boxes is synchronized to a common clock (e.g., GPS) with an error of no more than 1 ms.</w:t>
      </w:r>
    </w:p>
    <w:p>
      <w:pPr>
        <w:pStyle w:val="BodyText"/>
        <w:spacing w:before="180"/>
        <w:ind w:left="1133"/>
        <w:jc w:val="both"/>
      </w:pPr>
      <w:r>
        <w:rPr/>
        <w:t>The testing environment is isolated from other external interference sources.</w:t>
      </w:r>
    </w:p>
    <w:p>
      <w:pPr>
        <w:pStyle w:val="BodyText"/>
        <w:spacing w:before="180"/>
        <w:ind w:left="1133"/>
        <w:jc w:val="both"/>
      </w:pPr>
      <w:r>
        <w:rPr/>
        <w:t>Tests should be conducted at room temperature (21 degrees Celsius +/- 5 degrees).</w:t>
      </w:r>
    </w:p>
    <w:p>
      <w:pPr>
        <w:pStyle w:val="BodyText"/>
        <w:spacing w:before="9"/>
        <w:rPr>
          <w:sz w:val="25"/>
        </w:rPr>
      </w:pPr>
    </w:p>
    <w:p>
      <w:pPr>
        <w:pStyle w:val="Heading5"/>
        <w:numPr>
          <w:ilvl w:val="3"/>
          <w:numId w:val="55"/>
        </w:numPr>
        <w:tabs>
          <w:tab w:pos="2552" w:val="left" w:leader="none"/>
        </w:tabs>
        <w:spacing w:line="240" w:lineRule="auto" w:before="0" w:after="0"/>
        <w:ind w:left="2551" w:right="0" w:hanging="1418"/>
        <w:jc w:val="both"/>
        <w:rPr>
          <w:rFonts w:ascii="Arial"/>
        </w:rPr>
      </w:pPr>
      <w:r>
        <w:rPr>
          <w:rFonts w:ascii="Arial"/>
        </w:rPr>
        <w:t>Setup</w:t>
      </w:r>
    </w:p>
    <w:p>
      <w:pPr>
        <w:pStyle w:val="BodyText"/>
        <w:spacing w:before="181"/>
        <w:ind w:left="1133" w:right="1132"/>
        <w:jc w:val="both"/>
      </w:pPr>
      <w:r>
        <w:rPr/>
        <w:t>This test uses a lab cabled setup as Figure 77 shows. Signal generators (1, 2, and 3) model different characteristics of potential interference in a 10-MHz channel bandwidth. Device 2 (receiver, Rx), also known as DUT, is configured to receive data from Device 1 (Tx) on the same impaired channel.</w:t>
      </w:r>
    </w:p>
    <w:p>
      <w:pPr>
        <w:pStyle w:val="BodyText"/>
        <w:spacing w:before="4"/>
        <w:rPr>
          <w:sz w:val="12"/>
        </w:rPr>
      </w:pPr>
      <w:r>
        <w:rPr/>
        <w:drawing>
          <wp:anchor distT="0" distB="0" distL="0" distR="0" allowOverlap="1" layoutInCell="1" locked="0" behindDoc="0" simplePos="0" relativeHeight="8608">
            <wp:simplePos x="0" y="0"/>
            <wp:positionH relativeFrom="page">
              <wp:posOffset>719455</wp:posOffset>
            </wp:positionH>
            <wp:positionV relativeFrom="paragraph">
              <wp:posOffset>115213</wp:posOffset>
            </wp:positionV>
            <wp:extent cx="5921964" cy="2594229"/>
            <wp:effectExtent l="0" t="0" r="0" b="0"/>
            <wp:wrapTopAndBottom/>
            <wp:docPr id="171" name="image189.jpeg" descr=""/>
            <wp:cNvGraphicFramePr>
              <a:graphicFrameLocks noChangeAspect="1"/>
            </wp:cNvGraphicFramePr>
            <a:graphic>
              <a:graphicData uri="http://schemas.openxmlformats.org/drawingml/2006/picture">
                <pic:pic>
                  <pic:nvPicPr>
                    <pic:cNvPr id="172" name="image189.jpeg"/>
                    <pic:cNvPicPr/>
                  </pic:nvPicPr>
                  <pic:blipFill>
                    <a:blip r:embed="rId416" cstate="print"/>
                    <a:stretch>
                      <a:fillRect/>
                    </a:stretch>
                  </pic:blipFill>
                  <pic:spPr>
                    <a:xfrm>
                      <a:off x="0" y="0"/>
                      <a:ext cx="5921964" cy="2594229"/>
                    </a:xfrm>
                    <a:prstGeom prst="rect">
                      <a:avLst/>
                    </a:prstGeom>
                  </pic:spPr>
                </pic:pic>
              </a:graphicData>
            </a:graphic>
          </wp:anchor>
        </w:drawing>
      </w:r>
    </w:p>
    <w:p>
      <w:pPr>
        <w:spacing w:before="112"/>
        <w:ind w:left="1133" w:right="0" w:firstLine="0"/>
        <w:jc w:val="both"/>
        <w:rPr>
          <w:b/>
          <w:sz w:val="24"/>
        </w:rPr>
      </w:pPr>
      <w:r>
        <w:rPr>
          <w:b/>
          <w:sz w:val="24"/>
        </w:rPr>
        <w:t>Figure 77: A.1.1 - Test Setup</w:t>
      </w:r>
    </w:p>
    <w:p>
      <w:pPr>
        <w:spacing w:after="0"/>
        <w:jc w:val="both"/>
        <w:rPr>
          <w:sz w:val="24"/>
        </w:rPr>
        <w:sectPr>
          <w:headerReference w:type="default" r:id="rId415"/>
          <w:pgSz w:w="11910" w:h="16850"/>
          <w:pgMar w:header="852" w:footer="876" w:top="1040" w:bottom="1160" w:left="0" w:right="0"/>
        </w:sectPr>
      </w:pPr>
    </w:p>
    <w:p>
      <w:pPr>
        <w:pStyle w:val="BodyText"/>
        <w:spacing w:before="2"/>
        <w:rPr>
          <w:b/>
          <w:sz w:val="23"/>
        </w:rPr>
      </w:pPr>
    </w:p>
    <w:p>
      <w:pPr>
        <w:pStyle w:val="ListParagraph"/>
        <w:numPr>
          <w:ilvl w:val="4"/>
          <w:numId w:val="55"/>
        </w:numPr>
        <w:tabs>
          <w:tab w:pos="1701" w:val="left" w:leader="none"/>
          <w:tab w:pos="1702" w:val="left" w:leader="none"/>
        </w:tabs>
        <w:spacing w:line="240" w:lineRule="auto" w:before="93" w:after="0"/>
        <w:ind w:left="1702" w:right="1128" w:hanging="286"/>
        <w:jc w:val="left"/>
        <w:rPr>
          <w:sz w:val="20"/>
        </w:rPr>
      </w:pPr>
      <w:r>
        <w:rPr>
          <w:sz w:val="20"/>
        </w:rPr>
        <w:t>Channel impairment settings on the Signal Generators (1-3) are configured to emulate pre-defined interference with the following</w:t>
      </w:r>
      <w:r>
        <w:rPr>
          <w:spacing w:val="-16"/>
          <w:sz w:val="20"/>
        </w:rPr>
        <w:t> </w:t>
      </w:r>
      <w:r>
        <w:rPr>
          <w:sz w:val="20"/>
        </w:rPr>
        <w:t>characteristics:</w:t>
      </w:r>
    </w:p>
    <w:p>
      <w:pPr>
        <w:pStyle w:val="ListParagraph"/>
        <w:numPr>
          <w:ilvl w:val="5"/>
          <w:numId w:val="55"/>
        </w:numPr>
        <w:tabs>
          <w:tab w:pos="1985" w:val="left" w:leader="none"/>
          <w:tab w:pos="1986" w:val="left" w:leader="none"/>
        </w:tabs>
        <w:spacing w:line="240" w:lineRule="auto" w:before="180" w:after="0"/>
        <w:ind w:left="1985" w:right="0" w:hanging="286"/>
        <w:jc w:val="left"/>
        <w:rPr>
          <w:sz w:val="20"/>
        </w:rPr>
      </w:pPr>
      <w:r>
        <w:rPr>
          <w:sz w:val="20"/>
        </w:rPr>
        <w:t>Flat characteristic, constant power spectral density within the predefined</w:t>
      </w:r>
      <w:r>
        <w:rPr>
          <w:spacing w:val="-22"/>
          <w:sz w:val="20"/>
        </w:rPr>
        <w:t> </w:t>
      </w:r>
      <w:r>
        <w:rPr>
          <w:sz w:val="20"/>
        </w:rPr>
        <w:t>bandwidth</w:t>
      </w:r>
    </w:p>
    <w:p>
      <w:pPr>
        <w:pStyle w:val="ListParagraph"/>
        <w:numPr>
          <w:ilvl w:val="5"/>
          <w:numId w:val="55"/>
        </w:numPr>
        <w:tabs>
          <w:tab w:pos="1985" w:val="left" w:leader="none"/>
          <w:tab w:pos="1986" w:val="left" w:leader="none"/>
        </w:tabs>
        <w:spacing w:line="240" w:lineRule="auto" w:before="178" w:after="0"/>
        <w:ind w:left="1985" w:right="1138" w:hanging="286"/>
        <w:jc w:val="left"/>
        <w:rPr>
          <w:sz w:val="20"/>
        </w:rPr>
      </w:pPr>
      <w:r>
        <w:rPr>
          <w:sz w:val="20"/>
        </w:rPr>
        <w:t>Bandwidth of the interference signal defined in Table 10 2 with the center frequency of the signal defined in Figure</w:t>
      </w:r>
      <w:r>
        <w:rPr>
          <w:spacing w:val="-5"/>
          <w:sz w:val="20"/>
        </w:rPr>
        <w:t> </w:t>
      </w:r>
      <w:r>
        <w:rPr>
          <w:sz w:val="20"/>
        </w:rPr>
        <w:t>78.</w:t>
      </w:r>
    </w:p>
    <w:p>
      <w:pPr>
        <w:pStyle w:val="ListParagraph"/>
        <w:numPr>
          <w:ilvl w:val="5"/>
          <w:numId w:val="55"/>
        </w:numPr>
        <w:tabs>
          <w:tab w:pos="1985" w:val="left" w:leader="none"/>
          <w:tab w:pos="1986" w:val="left" w:leader="none"/>
        </w:tabs>
        <w:spacing w:line="240" w:lineRule="auto" w:before="180" w:after="0"/>
        <w:ind w:left="1985" w:right="0" w:hanging="286"/>
        <w:jc w:val="left"/>
        <w:rPr>
          <w:sz w:val="20"/>
        </w:rPr>
      </w:pPr>
      <w:r>
        <w:rPr>
          <w:sz w:val="20"/>
        </w:rPr>
        <w:t>Signal Generators 1 &amp; 2 are set to ensure that power at DUT input is 40</w:t>
      </w:r>
      <w:r>
        <w:rPr>
          <w:spacing w:val="-13"/>
          <w:sz w:val="20"/>
        </w:rPr>
        <w:t> </w:t>
      </w:r>
      <w:r>
        <w:rPr>
          <w:sz w:val="20"/>
        </w:rPr>
        <w:t>dBm.</w:t>
      </w:r>
    </w:p>
    <w:p>
      <w:pPr>
        <w:pStyle w:val="ListParagraph"/>
        <w:numPr>
          <w:ilvl w:val="5"/>
          <w:numId w:val="55"/>
        </w:numPr>
        <w:tabs>
          <w:tab w:pos="1985" w:val="left" w:leader="none"/>
          <w:tab w:pos="1986" w:val="left" w:leader="none"/>
        </w:tabs>
        <w:spacing w:line="240" w:lineRule="auto" w:before="180" w:after="0"/>
        <w:ind w:left="1985" w:right="0" w:hanging="286"/>
        <w:jc w:val="left"/>
        <w:rPr>
          <w:sz w:val="20"/>
        </w:rPr>
      </w:pPr>
      <w:r>
        <w:rPr>
          <w:sz w:val="20"/>
        </w:rPr>
        <w:t>Signal Generator 3 is set to ensure that power at Tx input is 40</w:t>
      </w:r>
      <w:r>
        <w:rPr>
          <w:spacing w:val="-19"/>
          <w:sz w:val="20"/>
        </w:rPr>
        <w:t> </w:t>
      </w:r>
      <w:r>
        <w:rPr>
          <w:sz w:val="20"/>
        </w:rPr>
        <w:t>dBm.</w:t>
      </w:r>
    </w:p>
    <w:p>
      <w:pPr>
        <w:pStyle w:val="ListParagraph"/>
        <w:numPr>
          <w:ilvl w:val="4"/>
          <w:numId w:val="55"/>
        </w:numPr>
        <w:tabs>
          <w:tab w:pos="1701" w:val="left" w:leader="none"/>
          <w:tab w:pos="1702" w:val="left" w:leader="none"/>
        </w:tabs>
        <w:spacing w:line="240" w:lineRule="auto" w:before="180" w:after="0"/>
        <w:ind w:left="1702" w:right="1140" w:hanging="286"/>
        <w:jc w:val="left"/>
        <w:rPr>
          <w:sz w:val="20"/>
        </w:rPr>
      </w:pPr>
      <w:r>
        <w:rPr>
          <w:sz w:val="20"/>
        </w:rPr>
        <w:t>Testing is done by switching on/off signal generator 3 and/or signal generators 1&amp;2 so that the interference source is located at two different</w:t>
      </w:r>
      <w:r>
        <w:rPr>
          <w:spacing w:val="-12"/>
          <w:sz w:val="20"/>
        </w:rPr>
        <w:t> </w:t>
      </w:r>
      <w:r>
        <w:rPr>
          <w:sz w:val="20"/>
        </w:rPr>
        <w:t>positions1</w:t>
      </w:r>
      <w:r>
        <w:rPr>
          <w:b/>
          <w:position w:val="6"/>
          <w:sz w:val="16"/>
        </w:rPr>
        <w:t>1</w:t>
      </w:r>
      <w:r>
        <w:rPr>
          <w:sz w:val="20"/>
        </w:rPr>
        <w:t>:</w:t>
      </w:r>
    </w:p>
    <w:p>
      <w:pPr>
        <w:pStyle w:val="ListParagraph"/>
        <w:numPr>
          <w:ilvl w:val="5"/>
          <w:numId w:val="55"/>
        </w:numPr>
        <w:tabs>
          <w:tab w:pos="1985" w:val="left" w:leader="none"/>
          <w:tab w:pos="1986" w:val="left" w:leader="none"/>
        </w:tabs>
        <w:spacing w:line="240" w:lineRule="auto" w:before="177" w:after="0"/>
        <w:ind w:left="1985" w:right="0" w:hanging="286"/>
        <w:jc w:val="left"/>
        <w:rPr>
          <w:sz w:val="20"/>
        </w:rPr>
      </w:pPr>
      <w:r>
        <w:rPr>
          <w:sz w:val="20"/>
        </w:rPr>
        <w:t>Interference source at the Rx side only (Device</w:t>
      </w:r>
      <w:r>
        <w:rPr>
          <w:spacing w:val="-12"/>
          <w:sz w:val="20"/>
        </w:rPr>
        <w:t> </w:t>
      </w:r>
      <w:r>
        <w:rPr>
          <w:sz w:val="20"/>
        </w:rPr>
        <w:t>2).</w:t>
      </w:r>
    </w:p>
    <w:p>
      <w:pPr>
        <w:pStyle w:val="ListParagraph"/>
        <w:numPr>
          <w:ilvl w:val="5"/>
          <w:numId w:val="55"/>
        </w:numPr>
        <w:tabs>
          <w:tab w:pos="1985" w:val="left" w:leader="none"/>
          <w:tab w:pos="1986" w:val="left" w:leader="none"/>
        </w:tabs>
        <w:spacing w:line="240" w:lineRule="auto" w:before="180" w:after="0"/>
        <w:ind w:left="1985" w:right="1131" w:hanging="286"/>
        <w:jc w:val="left"/>
        <w:rPr>
          <w:sz w:val="20"/>
        </w:rPr>
      </w:pPr>
      <w:r>
        <w:rPr>
          <w:sz w:val="20"/>
        </w:rPr>
        <w:t>Interference</w:t>
      </w:r>
      <w:r>
        <w:rPr>
          <w:spacing w:val="-10"/>
          <w:sz w:val="20"/>
        </w:rPr>
        <w:t> </w:t>
      </w:r>
      <w:r>
        <w:rPr>
          <w:sz w:val="20"/>
        </w:rPr>
        <w:t>source</w:t>
      </w:r>
      <w:r>
        <w:rPr>
          <w:spacing w:val="-10"/>
          <w:sz w:val="20"/>
        </w:rPr>
        <w:t> </w:t>
      </w:r>
      <w:r>
        <w:rPr>
          <w:sz w:val="20"/>
        </w:rPr>
        <w:t>midway</w:t>
      </w:r>
      <w:r>
        <w:rPr>
          <w:spacing w:val="-11"/>
          <w:sz w:val="20"/>
        </w:rPr>
        <w:t> </w:t>
      </w:r>
      <w:r>
        <w:rPr>
          <w:sz w:val="20"/>
        </w:rPr>
        <w:t>between</w:t>
      </w:r>
      <w:r>
        <w:rPr>
          <w:spacing w:val="-8"/>
          <w:sz w:val="20"/>
        </w:rPr>
        <w:t> </w:t>
      </w:r>
      <w:r>
        <w:rPr>
          <w:sz w:val="20"/>
        </w:rPr>
        <w:t>Tx</w:t>
      </w:r>
      <w:r>
        <w:rPr>
          <w:spacing w:val="-8"/>
          <w:sz w:val="20"/>
        </w:rPr>
        <w:t> </w:t>
      </w:r>
      <w:r>
        <w:rPr>
          <w:sz w:val="20"/>
        </w:rPr>
        <w:t>side</w:t>
      </w:r>
      <w:r>
        <w:rPr>
          <w:spacing w:val="-11"/>
          <w:sz w:val="20"/>
        </w:rPr>
        <w:t> </w:t>
      </w:r>
      <w:r>
        <w:rPr>
          <w:sz w:val="20"/>
        </w:rPr>
        <w:t>(Device</w:t>
      </w:r>
      <w:r>
        <w:rPr>
          <w:spacing w:val="-10"/>
          <w:sz w:val="20"/>
        </w:rPr>
        <w:t> </w:t>
      </w:r>
      <w:r>
        <w:rPr>
          <w:sz w:val="20"/>
        </w:rPr>
        <w:t>1)</w:t>
      </w:r>
      <w:r>
        <w:rPr>
          <w:spacing w:val="-7"/>
          <w:sz w:val="20"/>
        </w:rPr>
        <w:t> </w:t>
      </w:r>
      <w:r>
        <w:rPr>
          <w:sz w:val="20"/>
        </w:rPr>
        <w:t>and</w:t>
      </w:r>
      <w:r>
        <w:rPr>
          <w:spacing w:val="-8"/>
          <w:sz w:val="20"/>
        </w:rPr>
        <w:t> </w:t>
      </w:r>
      <w:r>
        <w:rPr>
          <w:sz w:val="20"/>
        </w:rPr>
        <w:t>Rx</w:t>
      </w:r>
      <w:r>
        <w:rPr>
          <w:spacing w:val="-8"/>
          <w:sz w:val="20"/>
        </w:rPr>
        <w:t> </w:t>
      </w:r>
      <w:r>
        <w:rPr>
          <w:sz w:val="20"/>
        </w:rPr>
        <w:t>side</w:t>
      </w:r>
      <w:r>
        <w:rPr>
          <w:spacing w:val="-9"/>
          <w:sz w:val="20"/>
        </w:rPr>
        <w:t> </w:t>
      </w:r>
      <w:r>
        <w:rPr>
          <w:sz w:val="20"/>
        </w:rPr>
        <w:t>(Device</w:t>
      </w:r>
      <w:r>
        <w:rPr>
          <w:spacing w:val="-8"/>
          <w:sz w:val="20"/>
        </w:rPr>
        <w:t> </w:t>
      </w:r>
      <w:r>
        <w:rPr>
          <w:sz w:val="20"/>
        </w:rPr>
        <w:t>2),</w:t>
      </w:r>
      <w:r>
        <w:rPr>
          <w:spacing w:val="-10"/>
          <w:sz w:val="20"/>
        </w:rPr>
        <w:t> </w:t>
      </w:r>
      <w:r>
        <w:rPr>
          <w:sz w:val="20"/>
        </w:rPr>
        <w:t>so</w:t>
      </w:r>
      <w:r>
        <w:rPr>
          <w:spacing w:val="-8"/>
          <w:sz w:val="20"/>
        </w:rPr>
        <w:t> </w:t>
      </w:r>
      <w:r>
        <w:rPr>
          <w:sz w:val="20"/>
        </w:rPr>
        <w:t>that</w:t>
      </w:r>
      <w:r>
        <w:rPr>
          <w:spacing w:val="-8"/>
          <w:sz w:val="20"/>
        </w:rPr>
        <w:t> </w:t>
      </w:r>
      <w:r>
        <w:rPr>
          <w:sz w:val="20"/>
        </w:rPr>
        <w:t>both</w:t>
      </w:r>
      <w:r>
        <w:rPr>
          <w:spacing w:val="-8"/>
          <w:sz w:val="20"/>
        </w:rPr>
        <w:t> </w:t>
      </w:r>
      <w:r>
        <w:rPr>
          <w:sz w:val="20"/>
        </w:rPr>
        <w:t>devices are affected</w:t>
      </w:r>
      <w:r>
        <w:rPr>
          <w:spacing w:val="-4"/>
          <w:sz w:val="20"/>
        </w:rPr>
        <w:t> </w:t>
      </w:r>
      <w:r>
        <w:rPr>
          <w:b/>
          <w:position w:val="6"/>
          <w:sz w:val="16"/>
        </w:rPr>
        <w:t>2</w:t>
      </w:r>
      <w:r>
        <w:rPr>
          <w:sz w:val="20"/>
        </w:rPr>
        <w:t>.</w:t>
      </w:r>
    </w:p>
    <w:p>
      <w:pPr>
        <w:pStyle w:val="ListParagraph"/>
        <w:numPr>
          <w:ilvl w:val="4"/>
          <w:numId w:val="55"/>
        </w:numPr>
        <w:tabs>
          <w:tab w:pos="1701" w:val="left" w:leader="none"/>
          <w:tab w:pos="1702" w:val="left" w:leader="none"/>
        </w:tabs>
        <w:spacing w:line="240" w:lineRule="auto" w:before="180" w:after="0"/>
        <w:ind w:left="1701" w:right="0" w:hanging="285"/>
        <w:jc w:val="left"/>
        <w:rPr>
          <w:sz w:val="20"/>
        </w:rPr>
      </w:pPr>
      <w:r>
        <w:rPr>
          <w:sz w:val="20"/>
        </w:rPr>
        <w:t>Settings on Device 1 (Transmit</w:t>
      </w:r>
      <w:r>
        <w:rPr>
          <w:spacing w:val="-11"/>
          <w:sz w:val="20"/>
        </w:rPr>
        <w:t> </w:t>
      </w:r>
      <w:r>
        <w:rPr>
          <w:sz w:val="20"/>
        </w:rPr>
        <w:t>Radio):</w:t>
      </w:r>
    </w:p>
    <w:p>
      <w:pPr>
        <w:pStyle w:val="ListParagraph"/>
        <w:numPr>
          <w:ilvl w:val="5"/>
          <w:numId w:val="55"/>
        </w:numPr>
        <w:tabs>
          <w:tab w:pos="1985" w:val="left" w:leader="none"/>
          <w:tab w:pos="1986" w:val="left" w:leader="none"/>
        </w:tabs>
        <w:spacing w:line="240" w:lineRule="auto" w:before="178" w:after="0"/>
        <w:ind w:left="1985" w:right="1134" w:hanging="286"/>
        <w:jc w:val="left"/>
        <w:rPr>
          <w:sz w:val="20"/>
        </w:rPr>
      </w:pPr>
      <w:r>
        <w:rPr>
          <w:sz w:val="20"/>
        </w:rPr>
        <w:t>SPS-based transmit flow with a periodicity of 100 ms (Note: equivalent to setting a periodic stream at 100ms period for other</w:t>
      </w:r>
      <w:r>
        <w:rPr>
          <w:spacing w:val="-14"/>
          <w:sz w:val="20"/>
        </w:rPr>
        <w:t> </w:t>
      </w:r>
      <w:r>
        <w:rPr>
          <w:sz w:val="20"/>
        </w:rPr>
        <w:t>technologies)</w:t>
      </w:r>
    </w:p>
    <w:p>
      <w:pPr>
        <w:pStyle w:val="ListParagraph"/>
        <w:numPr>
          <w:ilvl w:val="5"/>
          <w:numId w:val="55"/>
        </w:numPr>
        <w:tabs>
          <w:tab w:pos="1985" w:val="left" w:leader="none"/>
          <w:tab w:pos="1986" w:val="left" w:leader="none"/>
        </w:tabs>
        <w:spacing w:line="240" w:lineRule="auto" w:before="180" w:after="0"/>
        <w:ind w:left="1985" w:right="0" w:hanging="286"/>
        <w:jc w:val="left"/>
        <w:rPr>
          <w:sz w:val="20"/>
        </w:rPr>
      </w:pPr>
      <w:r>
        <w:rPr>
          <w:sz w:val="20"/>
        </w:rPr>
        <w:t>Packet length of 193</w:t>
      </w:r>
      <w:r>
        <w:rPr>
          <w:spacing w:val="-8"/>
          <w:sz w:val="20"/>
        </w:rPr>
        <w:t> </w:t>
      </w:r>
      <w:r>
        <w:rPr>
          <w:sz w:val="20"/>
        </w:rPr>
        <w:t>bytes</w:t>
      </w:r>
    </w:p>
    <w:p>
      <w:pPr>
        <w:pStyle w:val="ListParagraph"/>
        <w:numPr>
          <w:ilvl w:val="5"/>
          <w:numId w:val="55"/>
        </w:numPr>
        <w:tabs>
          <w:tab w:pos="1985" w:val="left" w:leader="none"/>
          <w:tab w:pos="1986" w:val="left" w:leader="none"/>
        </w:tabs>
        <w:spacing w:line="240" w:lineRule="auto" w:before="180" w:after="0"/>
        <w:ind w:left="1985" w:right="0" w:hanging="286"/>
        <w:jc w:val="left"/>
        <w:rPr>
          <w:sz w:val="20"/>
        </w:rPr>
      </w:pPr>
      <w:r>
        <w:rPr>
          <w:sz w:val="20"/>
        </w:rPr>
        <w:t>Transmit on ITS band (e.g., center frequency 5,860 MHz) with bandwidth of 10</w:t>
      </w:r>
      <w:r>
        <w:rPr>
          <w:spacing w:val="-17"/>
          <w:sz w:val="20"/>
        </w:rPr>
        <w:t> </w:t>
      </w:r>
      <w:r>
        <w:rPr>
          <w:sz w:val="20"/>
        </w:rPr>
        <w:t>MHz</w:t>
      </w:r>
    </w:p>
    <w:p>
      <w:pPr>
        <w:pStyle w:val="ListParagraph"/>
        <w:numPr>
          <w:ilvl w:val="5"/>
          <w:numId w:val="55"/>
        </w:numPr>
        <w:tabs>
          <w:tab w:pos="1985" w:val="left" w:leader="none"/>
          <w:tab w:pos="1986" w:val="left" w:leader="none"/>
        </w:tabs>
        <w:spacing w:line="240" w:lineRule="auto" w:before="180" w:after="0"/>
        <w:ind w:left="1985" w:right="1131" w:hanging="286"/>
        <w:jc w:val="left"/>
        <w:rPr>
          <w:sz w:val="20"/>
        </w:rPr>
      </w:pPr>
      <w:r>
        <w:rPr>
          <w:sz w:val="20"/>
        </w:rPr>
        <w:t>Appropriate transmit power and fixed attenuation added Attenuator 1 (A1) to ensure that Device 1 Rx power at DUT input is -50</w:t>
      </w:r>
      <w:r>
        <w:rPr>
          <w:spacing w:val="-9"/>
          <w:sz w:val="20"/>
        </w:rPr>
        <w:t> </w:t>
      </w:r>
      <w:r>
        <w:rPr>
          <w:sz w:val="20"/>
        </w:rPr>
        <w:t>dBm</w:t>
      </w:r>
    </w:p>
    <w:p>
      <w:pPr>
        <w:pStyle w:val="BodyText"/>
      </w:pPr>
    </w:p>
    <w:p>
      <w:pPr>
        <w:pStyle w:val="BodyText"/>
        <w:spacing w:before="8"/>
        <w:rPr>
          <w:sz w:val="27"/>
        </w:rPr>
      </w:pPr>
      <w:r>
        <w:rPr/>
        <w:pict>
          <v:group style="position:absolute;margin-left:56.648998pt;margin-top:17.87286pt;width:395.55pt;height:153.25pt;mso-position-horizontal-relative:page;mso-position-vertical-relative:paragraph;z-index:8728;mso-wrap-distance-left:0;mso-wrap-distance-right:0" coordorigin="1133,357" coordsize="7911,3065">
            <v:rect style="position:absolute;left:5407;top:1391;width:2802;height:1465" filled="true" fillcolor="#d9d9d9" stroked="false">
              <v:fill type="solid"/>
            </v:rect>
            <v:rect style="position:absolute;left:3780;top:1391;width:1132;height:1465" filled="true" fillcolor="#d9d9d9" stroked="false">
              <v:fill type="solid"/>
            </v:rect>
            <v:rect style="position:absolute;left:2223;top:1391;width:1061;height:1465" filled="true" fillcolor="#d9d9d9" stroked="false">
              <v:fill type="solid"/>
            </v:rect>
            <v:shape style="position:absolute;left:1133;top:2782;width:7911;height:120" coordorigin="1133,2782" coordsize="7911,120" path="m9034,2837l8944,2837,8944,2847,8924,2847,8924,2902,9044,2841,9034,2837xm8924,2837l1133,2851,1133,2861,8924,2847,8924,2837xm8944,2837l8924,2837,8924,2847,8944,2847,8944,2837xm8924,2782l8924,2837,9034,2837,8924,2782xe" filled="true" fillcolor="#000000" stroked="false">
              <v:path arrowok="t"/>
              <v:fill type="solid"/>
            </v:shape>
            <v:shape style="position:absolute;left:1500;top:2856;width:1529;height:538" type="#_x0000_t75" stroked="false">
              <v:imagedata r:id="rId418" o:title=""/>
            </v:shape>
            <v:shape style="position:absolute;left:7464;top:2849;width:1531;height:538" type="#_x0000_t75" stroked="false">
              <v:imagedata r:id="rId418" o:title=""/>
            </v:shape>
            <v:rect style="position:absolute;left:4912;top:365;width:495;height:2477" filled="true" fillcolor="#ffcc99" stroked="false">
              <v:fill type="solid"/>
            </v:rect>
            <v:rect style="position:absolute;left:6574;top:357;width:495;height:2477" filled="true" fillcolor="#ffcc99" stroked="false">
              <v:fill type="solid"/>
            </v:rect>
            <v:rect style="position:absolute;left:3284;top:379;width:495;height:2477" filled="true" fillcolor="#ffcc99" stroked="false">
              <v:fill type="solid"/>
            </v:rect>
            <v:shape style="position:absolute;left:4325;top:2877;width:1846;height:538" type="#_x0000_t75" stroked="false">
              <v:imagedata r:id="rId419" o:title=""/>
            </v:shape>
            <v:shape style="position:absolute;left:5971;top:2870;width:1848;height:538" type="#_x0000_t75" stroked="false">
              <v:imagedata r:id="rId419" o:title=""/>
            </v:shape>
            <v:shape style="position:absolute;left:2662;top:2885;width:1846;height:538" type="#_x0000_t75" stroked="false">
              <v:imagedata r:id="rId419" o:title=""/>
            </v:shape>
            <v:shape style="position:absolute;left:2062;top:2858;width:424;height:415" type="#_x0000_t202" filled="false" stroked="false">
              <v:textbox inset="0,0,0,0">
                <w:txbxContent>
                  <w:p>
                    <w:pPr>
                      <w:spacing w:line="201" w:lineRule="exact" w:before="0"/>
                      <w:ind w:left="0" w:right="0" w:firstLine="0"/>
                      <w:jc w:val="left"/>
                      <w:rPr>
                        <w:b/>
                        <w:sz w:val="18"/>
                      </w:rPr>
                    </w:pPr>
                    <w:r>
                      <w:rPr>
                        <w:b/>
                        <w:sz w:val="18"/>
                      </w:rPr>
                      <w:t>5855</w:t>
                    </w:r>
                  </w:p>
                  <w:p>
                    <w:pPr>
                      <w:spacing w:before="6"/>
                      <w:ind w:left="16" w:right="0" w:firstLine="0"/>
                      <w:jc w:val="left"/>
                      <w:rPr>
                        <w:b/>
                        <w:sz w:val="18"/>
                      </w:rPr>
                    </w:pPr>
                    <w:r>
                      <w:rPr>
                        <w:b/>
                        <w:sz w:val="18"/>
                      </w:rPr>
                      <w:t>MHz</w:t>
                    </w:r>
                  </w:p>
                </w:txbxContent>
              </v:textbox>
              <w10:wrap type="none"/>
            </v:shape>
            <v:shape style="position:absolute;left:2916;top:2886;width:1359;height:415" type="#_x0000_t202" filled="false" stroked="false">
              <v:textbox inset="0,0,0,0">
                <w:txbxContent>
                  <w:p>
                    <w:pPr>
                      <w:spacing w:line="201" w:lineRule="exact" w:before="0"/>
                      <w:ind w:left="0" w:right="18" w:firstLine="0"/>
                      <w:jc w:val="center"/>
                      <w:rPr>
                        <w:b/>
                        <w:sz w:val="18"/>
                      </w:rPr>
                    </w:pPr>
                    <w:r>
                      <w:rPr>
                        <w:b/>
                        <w:sz w:val="18"/>
                      </w:rPr>
                      <w:t>fc = 5857.5 MHz</w:t>
                    </w:r>
                  </w:p>
                  <w:p>
                    <w:pPr>
                      <w:spacing w:before="6"/>
                      <w:ind w:left="0" w:right="15" w:firstLine="0"/>
                      <w:jc w:val="center"/>
                      <w:rPr>
                        <w:b/>
                        <w:sz w:val="18"/>
                      </w:rPr>
                    </w:pPr>
                    <w:r>
                      <w:rPr>
                        <w:b/>
                        <w:sz w:val="18"/>
                      </w:rPr>
                      <w:t>Position 2</w:t>
                    </w:r>
                  </w:p>
                </w:txbxContent>
              </v:textbox>
              <w10:wrap type="none"/>
            </v:shape>
            <v:shape style="position:absolute;left:4657;top:2872;width:2928;height:422" type="#_x0000_t202" filled="false" stroked="false">
              <v:textbox inset="0,0,0,0">
                <w:txbxContent>
                  <w:p>
                    <w:pPr>
                      <w:tabs>
                        <w:tab w:pos="1569" w:val="left" w:leader="none"/>
                      </w:tabs>
                      <w:spacing w:line="207" w:lineRule="exact" w:before="0"/>
                      <w:ind w:left="0" w:right="18" w:firstLine="0"/>
                      <w:jc w:val="center"/>
                      <w:rPr>
                        <w:b/>
                        <w:sz w:val="18"/>
                      </w:rPr>
                    </w:pPr>
                    <w:r>
                      <w:rPr>
                        <w:b/>
                        <w:sz w:val="18"/>
                      </w:rPr>
                      <w:t>fc =</w:t>
                    </w:r>
                    <w:r>
                      <w:rPr>
                        <w:b/>
                        <w:spacing w:val="-1"/>
                        <w:sz w:val="18"/>
                      </w:rPr>
                      <w:t> </w:t>
                    </w:r>
                    <w:r>
                      <w:rPr>
                        <w:b/>
                        <w:sz w:val="18"/>
                      </w:rPr>
                      <w:t>5860</w:t>
                    </w:r>
                    <w:r>
                      <w:rPr>
                        <w:b/>
                        <w:spacing w:val="-3"/>
                        <w:sz w:val="18"/>
                      </w:rPr>
                      <w:t> </w:t>
                    </w:r>
                    <w:r>
                      <w:rPr>
                        <w:b/>
                        <w:sz w:val="18"/>
                      </w:rPr>
                      <w:t>MHz</w:t>
                      <w:tab/>
                    </w:r>
                    <w:r>
                      <w:rPr>
                        <w:b/>
                        <w:position w:val="1"/>
                        <w:sz w:val="18"/>
                      </w:rPr>
                      <w:t>fc = 5862.5</w:t>
                    </w:r>
                    <w:r>
                      <w:rPr>
                        <w:b/>
                        <w:spacing w:val="-4"/>
                        <w:position w:val="1"/>
                        <w:sz w:val="18"/>
                      </w:rPr>
                      <w:t> </w:t>
                    </w:r>
                    <w:r>
                      <w:rPr>
                        <w:b/>
                        <w:position w:val="1"/>
                        <w:sz w:val="18"/>
                      </w:rPr>
                      <w:t>MHz</w:t>
                    </w:r>
                  </w:p>
                  <w:p>
                    <w:pPr>
                      <w:tabs>
                        <w:tab w:pos="1646" w:val="left" w:leader="none"/>
                      </w:tabs>
                      <w:spacing w:line="215" w:lineRule="exact" w:before="0"/>
                      <w:ind w:left="0" w:right="91" w:firstLine="0"/>
                      <w:jc w:val="center"/>
                      <w:rPr>
                        <w:b/>
                        <w:sz w:val="18"/>
                      </w:rPr>
                    </w:pPr>
                    <w:r>
                      <w:rPr>
                        <w:b/>
                        <w:sz w:val="18"/>
                      </w:rPr>
                      <w:t>Position</w:t>
                    </w:r>
                    <w:r>
                      <w:rPr>
                        <w:b/>
                        <w:spacing w:val="-2"/>
                        <w:sz w:val="18"/>
                      </w:rPr>
                      <w:t> </w:t>
                    </w:r>
                    <w:r>
                      <w:rPr>
                        <w:b/>
                        <w:sz w:val="18"/>
                      </w:rPr>
                      <w:t>1</w:t>
                      <w:tab/>
                    </w:r>
                    <w:r>
                      <w:rPr>
                        <w:b/>
                        <w:position w:val="1"/>
                        <w:sz w:val="18"/>
                      </w:rPr>
                      <w:t>Position</w:t>
                    </w:r>
                    <w:r>
                      <w:rPr>
                        <w:b/>
                        <w:spacing w:val="-2"/>
                        <w:position w:val="1"/>
                        <w:sz w:val="18"/>
                      </w:rPr>
                      <w:t> </w:t>
                    </w:r>
                    <w:r>
                      <w:rPr>
                        <w:b/>
                        <w:position w:val="1"/>
                        <w:sz w:val="18"/>
                      </w:rPr>
                      <w:t>3</w:t>
                    </w:r>
                  </w:p>
                </w:txbxContent>
              </v:textbox>
              <w10:wrap type="none"/>
            </v:shape>
            <v:shape style="position:absolute;left:8028;top:2850;width:424;height:415" type="#_x0000_t202" filled="false" stroked="false">
              <v:textbox inset="0,0,0,0">
                <w:txbxContent>
                  <w:p>
                    <w:pPr>
                      <w:spacing w:line="201" w:lineRule="exact" w:before="0"/>
                      <w:ind w:left="0" w:right="0" w:firstLine="0"/>
                      <w:jc w:val="left"/>
                      <w:rPr>
                        <w:b/>
                        <w:sz w:val="18"/>
                      </w:rPr>
                    </w:pPr>
                    <w:r>
                      <w:rPr>
                        <w:b/>
                        <w:sz w:val="18"/>
                      </w:rPr>
                      <w:t>5865</w:t>
                    </w:r>
                  </w:p>
                  <w:p>
                    <w:pPr>
                      <w:spacing w:before="6"/>
                      <w:ind w:left="16" w:right="0" w:firstLine="0"/>
                      <w:jc w:val="left"/>
                      <w:rPr>
                        <w:b/>
                        <w:sz w:val="18"/>
                      </w:rPr>
                    </w:pPr>
                    <w:r>
                      <w:rPr>
                        <w:b/>
                        <w:sz w:val="18"/>
                      </w:rPr>
                      <w:t>MHz</w:t>
                    </w:r>
                  </w:p>
                </w:txbxContent>
              </v:textbox>
              <w10:wrap type="none"/>
            </v:shape>
            <w10:wrap type="topAndBottom"/>
          </v:group>
        </w:pict>
      </w:r>
    </w:p>
    <w:p>
      <w:pPr>
        <w:pStyle w:val="Heading4"/>
        <w:spacing w:before="160"/>
        <w:ind w:left="1927"/>
      </w:pPr>
      <w:r>
        <w:rPr/>
        <w:t>Figure 78: Interference definition in the Channel 172 (PSD not drawn to scale)</w:t>
      </w:r>
    </w:p>
    <w:p>
      <w:pPr>
        <w:pStyle w:val="BodyText"/>
        <w:rPr>
          <w:b/>
          <w:sz w:val="26"/>
        </w:rPr>
      </w:pPr>
    </w:p>
    <w:p>
      <w:pPr>
        <w:pStyle w:val="ListParagraph"/>
        <w:numPr>
          <w:ilvl w:val="4"/>
          <w:numId w:val="55"/>
        </w:numPr>
        <w:tabs>
          <w:tab w:pos="1701" w:val="left" w:leader="none"/>
          <w:tab w:pos="1702" w:val="left" w:leader="none"/>
        </w:tabs>
        <w:spacing w:line="240" w:lineRule="auto" w:before="182" w:after="0"/>
        <w:ind w:left="1701" w:right="0" w:hanging="285"/>
        <w:jc w:val="left"/>
        <w:rPr>
          <w:sz w:val="20"/>
        </w:rPr>
      </w:pPr>
      <w:r>
        <w:rPr>
          <w:sz w:val="20"/>
        </w:rPr>
        <w:t>Settings on the Device 2 (Receive</w:t>
      </w:r>
      <w:r>
        <w:rPr>
          <w:spacing w:val="-16"/>
          <w:sz w:val="20"/>
        </w:rPr>
        <w:t> </w:t>
      </w:r>
      <w:r>
        <w:rPr>
          <w:sz w:val="20"/>
        </w:rPr>
        <w:t>Radio):</w:t>
      </w:r>
    </w:p>
    <w:p>
      <w:pPr>
        <w:pStyle w:val="ListParagraph"/>
        <w:numPr>
          <w:ilvl w:val="5"/>
          <w:numId w:val="55"/>
        </w:numPr>
        <w:tabs>
          <w:tab w:pos="1985" w:val="left" w:leader="none"/>
          <w:tab w:pos="1986" w:val="left" w:leader="none"/>
        </w:tabs>
        <w:spacing w:line="240" w:lineRule="auto" w:before="178" w:after="0"/>
        <w:ind w:left="1985" w:right="0" w:hanging="286"/>
        <w:jc w:val="left"/>
        <w:rPr>
          <w:sz w:val="20"/>
        </w:rPr>
      </w:pPr>
      <w:r>
        <w:rPr>
          <w:sz w:val="20"/>
        </w:rPr>
        <w:t>Configured to receive on ITS band (e.g., center frequency 5,860 MHz) with bandwidth of 10</w:t>
      </w:r>
      <w:r>
        <w:rPr>
          <w:spacing w:val="-25"/>
          <w:sz w:val="20"/>
        </w:rPr>
        <w:t> </w:t>
      </w:r>
      <w:r>
        <w:rPr>
          <w:sz w:val="20"/>
        </w:rPr>
        <w:t>MHz</w:t>
      </w:r>
    </w:p>
    <w:p>
      <w:pPr>
        <w:pStyle w:val="ListParagraph"/>
        <w:numPr>
          <w:ilvl w:val="5"/>
          <w:numId w:val="55"/>
        </w:numPr>
        <w:tabs>
          <w:tab w:pos="1985" w:val="left" w:leader="none"/>
          <w:tab w:pos="1986" w:val="left" w:leader="none"/>
        </w:tabs>
        <w:spacing w:line="240" w:lineRule="auto" w:before="180" w:after="0"/>
        <w:ind w:left="1985" w:right="0" w:hanging="286"/>
        <w:jc w:val="left"/>
        <w:rPr>
          <w:sz w:val="20"/>
        </w:rPr>
      </w:pPr>
      <w:r>
        <w:rPr>
          <w:sz w:val="20"/>
        </w:rPr>
        <w:t>All measurements of receiving side performance are done on this</w:t>
      </w:r>
      <w:r>
        <w:rPr>
          <w:spacing w:val="-22"/>
          <w:sz w:val="20"/>
        </w:rPr>
        <w:t> </w:t>
      </w:r>
      <w:r>
        <w:rPr>
          <w:sz w:val="20"/>
        </w:rPr>
        <w:t>device.</w:t>
      </w:r>
    </w:p>
    <w:p>
      <w:pPr>
        <w:pStyle w:val="BodyText"/>
      </w:pPr>
    </w:p>
    <w:p>
      <w:pPr>
        <w:pStyle w:val="BodyText"/>
      </w:pPr>
    </w:p>
    <w:p>
      <w:pPr>
        <w:pStyle w:val="BodyText"/>
      </w:pPr>
    </w:p>
    <w:p>
      <w:pPr>
        <w:pStyle w:val="BodyText"/>
        <w:spacing w:before="9"/>
        <w:rPr>
          <w:sz w:val="17"/>
        </w:rPr>
      </w:pPr>
      <w:r>
        <w:rPr/>
        <w:pict>
          <v:line style="position:absolute;mso-position-horizontal-relative:page;mso-position-vertical-relative:paragraph;z-index:8752;mso-wrap-distance-left:0;mso-wrap-distance-right:0" from="56.664001pt,12.449503pt" to="200.684001pt,12.449503pt" stroked="true" strokeweight=".48pt" strokecolor="#000000">
            <v:stroke dashstyle="solid"/>
            <w10:wrap type="topAndBottom"/>
          </v:line>
        </w:pict>
      </w:r>
    </w:p>
    <w:p>
      <w:pPr>
        <w:pStyle w:val="BodyText"/>
        <w:spacing w:before="4"/>
        <w:rPr>
          <w:sz w:val="12"/>
        </w:rPr>
      </w:pPr>
    </w:p>
    <w:p>
      <w:pPr>
        <w:pStyle w:val="ListParagraph"/>
        <w:numPr>
          <w:ilvl w:val="0"/>
          <w:numId w:val="56"/>
        </w:numPr>
        <w:tabs>
          <w:tab w:pos="1586" w:val="left" w:leader="none"/>
          <w:tab w:pos="1587" w:val="left" w:leader="none"/>
        </w:tabs>
        <w:spacing w:line="240" w:lineRule="auto" w:before="94" w:after="0"/>
        <w:ind w:left="1586" w:right="1208" w:hanging="453"/>
        <w:jc w:val="left"/>
        <w:rPr>
          <w:rFonts w:ascii="Times New Roman"/>
          <w:sz w:val="16"/>
        </w:rPr>
      </w:pPr>
      <w:r>
        <w:rPr>
          <w:rFonts w:ascii="Times New Roman"/>
          <w:sz w:val="16"/>
        </w:rPr>
        <w:t>Signal Generators will not be physically moved. Rather, the varying positions of Signal Generators will be simulated by adjusting each signal generator</w:t>
      </w:r>
      <w:r>
        <w:rPr>
          <w:rFonts w:ascii="Times New Roman"/>
          <w:spacing w:val="-4"/>
          <w:sz w:val="16"/>
        </w:rPr>
        <w:t> </w:t>
      </w:r>
      <w:r>
        <w:rPr>
          <w:rFonts w:ascii="Times New Roman"/>
          <w:sz w:val="16"/>
        </w:rPr>
        <w:t>1-3.</w:t>
      </w:r>
    </w:p>
    <w:p>
      <w:pPr>
        <w:pStyle w:val="ListParagraph"/>
        <w:numPr>
          <w:ilvl w:val="0"/>
          <w:numId w:val="56"/>
        </w:numPr>
        <w:tabs>
          <w:tab w:pos="1586" w:val="left" w:leader="none"/>
          <w:tab w:pos="1587" w:val="left" w:leader="none"/>
        </w:tabs>
        <w:spacing w:line="240" w:lineRule="auto" w:before="0" w:after="0"/>
        <w:ind w:left="1586" w:right="1603" w:hanging="453"/>
        <w:jc w:val="left"/>
        <w:rPr>
          <w:rFonts w:ascii="Times New Roman"/>
          <w:sz w:val="16"/>
        </w:rPr>
      </w:pPr>
      <w:r>
        <w:rPr>
          <w:rFonts w:ascii="Times New Roman"/>
          <w:sz w:val="16"/>
        </w:rPr>
        <w:t>Although Device 1 (Tx side) does not receive the data stream, its behavior as a transmitter is affected by the signal received from Signal Generator</w:t>
      </w:r>
      <w:r>
        <w:rPr>
          <w:rFonts w:ascii="Times New Roman"/>
          <w:spacing w:val="-6"/>
          <w:sz w:val="16"/>
        </w:rPr>
        <w:t> </w:t>
      </w:r>
      <w:r>
        <w:rPr>
          <w:rFonts w:ascii="Times New Roman"/>
          <w:sz w:val="16"/>
        </w:rPr>
        <w:t>3.</w:t>
      </w:r>
    </w:p>
    <w:p>
      <w:pPr>
        <w:spacing w:after="0" w:line="240" w:lineRule="auto"/>
        <w:jc w:val="left"/>
        <w:rPr>
          <w:rFonts w:ascii="Times New Roman"/>
          <w:sz w:val="16"/>
        </w:rPr>
        <w:sectPr>
          <w:headerReference w:type="default" r:id="rId417"/>
          <w:pgSz w:w="11910" w:h="16850"/>
          <w:pgMar w:header="852" w:footer="876" w:top="1040" w:bottom="1060" w:left="0" w:right="0"/>
        </w:sectPr>
      </w:pPr>
    </w:p>
    <w:p>
      <w:pPr>
        <w:pStyle w:val="BodyText"/>
        <w:spacing w:before="2"/>
        <w:rPr>
          <w:rFonts w:ascii="Times New Roman"/>
          <w:sz w:val="23"/>
        </w:rPr>
      </w:pPr>
    </w:p>
    <w:p>
      <w:pPr>
        <w:pStyle w:val="ListParagraph"/>
        <w:numPr>
          <w:ilvl w:val="1"/>
          <w:numId w:val="56"/>
        </w:numPr>
        <w:tabs>
          <w:tab w:pos="1709" w:val="left" w:leader="none"/>
          <w:tab w:pos="1710" w:val="left" w:leader="none"/>
        </w:tabs>
        <w:spacing w:line="240" w:lineRule="auto" w:before="93" w:after="0"/>
        <w:ind w:left="1709" w:right="0" w:hanging="288"/>
        <w:jc w:val="left"/>
        <w:rPr>
          <w:sz w:val="20"/>
        </w:rPr>
      </w:pPr>
      <w:r>
        <w:rPr>
          <w:sz w:val="20"/>
        </w:rPr>
        <w:t>Data Collection at Tx (Device</w:t>
      </w:r>
      <w:r>
        <w:rPr>
          <w:spacing w:val="-7"/>
          <w:sz w:val="20"/>
        </w:rPr>
        <w:t> </w:t>
      </w:r>
      <w:r>
        <w:rPr>
          <w:sz w:val="20"/>
        </w:rPr>
        <w:t>1):</w:t>
      </w:r>
    </w:p>
    <w:p>
      <w:pPr>
        <w:pStyle w:val="ListParagraph"/>
        <w:numPr>
          <w:ilvl w:val="2"/>
          <w:numId w:val="56"/>
        </w:numPr>
        <w:tabs>
          <w:tab w:pos="1985" w:val="left" w:leader="none"/>
          <w:tab w:pos="1986" w:val="left" w:leader="none"/>
        </w:tabs>
        <w:spacing w:line="240" w:lineRule="auto" w:before="180" w:after="0"/>
        <w:ind w:left="1985" w:right="0" w:hanging="286"/>
        <w:jc w:val="left"/>
        <w:rPr>
          <w:sz w:val="20"/>
        </w:rPr>
      </w:pPr>
      <w:r>
        <w:rPr>
          <w:sz w:val="20"/>
        </w:rPr>
        <w:t>OS timestamp for each transmitted</w:t>
      </w:r>
      <w:r>
        <w:rPr>
          <w:spacing w:val="-14"/>
          <w:sz w:val="20"/>
        </w:rPr>
        <w:t> </w:t>
      </w:r>
      <w:r>
        <w:rPr>
          <w:sz w:val="20"/>
        </w:rPr>
        <w:t>packet</w:t>
      </w:r>
    </w:p>
    <w:p>
      <w:pPr>
        <w:pStyle w:val="ListParagraph"/>
        <w:numPr>
          <w:ilvl w:val="2"/>
          <w:numId w:val="56"/>
        </w:numPr>
        <w:tabs>
          <w:tab w:pos="1985" w:val="left" w:leader="none"/>
          <w:tab w:pos="1986" w:val="left" w:leader="none"/>
        </w:tabs>
        <w:spacing w:line="240" w:lineRule="auto" w:before="180" w:after="0"/>
        <w:ind w:left="1985" w:right="0" w:hanging="286"/>
        <w:jc w:val="left"/>
        <w:rPr>
          <w:sz w:val="20"/>
        </w:rPr>
      </w:pPr>
      <w:r>
        <w:rPr>
          <w:sz w:val="20"/>
        </w:rPr>
        <w:t>Sequence number of each transmitted</w:t>
      </w:r>
      <w:r>
        <w:rPr>
          <w:spacing w:val="-9"/>
          <w:sz w:val="20"/>
        </w:rPr>
        <w:t> </w:t>
      </w:r>
      <w:r>
        <w:rPr>
          <w:sz w:val="20"/>
        </w:rPr>
        <w:t>packet</w:t>
      </w:r>
    </w:p>
    <w:p>
      <w:pPr>
        <w:pStyle w:val="ListParagraph"/>
        <w:numPr>
          <w:ilvl w:val="1"/>
          <w:numId w:val="56"/>
        </w:numPr>
        <w:tabs>
          <w:tab w:pos="1701" w:val="left" w:leader="none"/>
          <w:tab w:pos="1702" w:val="left" w:leader="none"/>
        </w:tabs>
        <w:spacing w:line="240" w:lineRule="auto" w:before="178" w:after="0"/>
        <w:ind w:left="1701" w:right="0" w:hanging="285"/>
        <w:jc w:val="left"/>
        <w:rPr>
          <w:sz w:val="20"/>
        </w:rPr>
      </w:pPr>
      <w:r>
        <w:rPr>
          <w:sz w:val="20"/>
        </w:rPr>
        <w:t>Data Collection at Rx (Device</w:t>
      </w:r>
      <w:r>
        <w:rPr>
          <w:spacing w:val="-6"/>
          <w:sz w:val="20"/>
        </w:rPr>
        <w:t> </w:t>
      </w:r>
      <w:r>
        <w:rPr>
          <w:sz w:val="20"/>
        </w:rPr>
        <w:t>2):</w:t>
      </w:r>
    </w:p>
    <w:p>
      <w:pPr>
        <w:pStyle w:val="ListParagraph"/>
        <w:numPr>
          <w:ilvl w:val="2"/>
          <w:numId w:val="56"/>
        </w:numPr>
        <w:tabs>
          <w:tab w:pos="1985" w:val="left" w:leader="none"/>
          <w:tab w:pos="1986" w:val="left" w:leader="none"/>
        </w:tabs>
        <w:spacing w:line="240" w:lineRule="auto" w:before="180" w:after="0"/>
        <w:ind w:left="1985" w:right="0" w:hanging="286"/>
        <w:jc w:val="left"/>
        <w:rPr>
          <w:sz w:val="20"/>
        </w:rPr>
      </w:pPr>
      <w:r>
        <w:rPr>
          <w:sz w:val="20"/>
        </w:rPr>
        <w:t>OS timestamp for each received</w:t>
      </w:r>
      <w:r>
        <w:rPr>
          <w:spacing w:val="-11"/>
          <w:sz w:val="20"/>
        </w:rPr>
        <w:t> </w:t>
      </w:r>
      <w:r>
        <w:rPr>
          <w:sz w:val="20"/>
        </w:rPr>
        <w:t>packet</w:t>
      </w:r>
    </w:p>
    <w:p>
      <w:pPr>
        <w:pStyle w:val="ListParagraph"/>
        <w:numPr>
          <w:ilvl w:val="2"/>
          <w:numId w:val="56"/>
        </w:numPr>
        <w:tabs>
          <w:tab w:pos="1985" w:val="left" w:leader="none"/>
          <w:tab w:pos="1986" w:val="left" w:leader="none"/>
        </w:tabs>
        <w:spacing w:line="240" w:lineRule="auto" w:before="180" w:after="0"/>
        <w:ind w:left="1985" w:right="0" w:hanging="286"/>
        <w:jc w:val="left"/>
        <w:rPr>
          <w:sz w:val="20"/>
        </w:rPr>
      </w:pPr>
      <w:r>
        <w:rPr>
          <w:sz w:val="20"/>
        </w:rPr>
        <w:t>Sequence number of each received</w:t>
      </w:r>
      <w:r>
        <w:rPr>
          <w:spacing w:val="-8"/>
          <w:sz w:val="20"/>
        </w:rPr>
        <w:t> </w:t>
      </w:r>
      <w:r>
        <w:rPr>
          <w:sz w:val="20"/>
        </w:rPr>
        <w:t>packet</w:t>
      </w:r>
    </w:p>
    <w:p>
      <w:pPr>
        <w:pStyle w:val="ListParagraph"/>
        <w:numPr>
          <w:ilvl w:val="2"/>
          <w:numId w:val="56"/>
        </w:numPr>
        <w:tabs>
          <w:tab w:pos="1985" w:val="left" w:leader="none"/>
          <w:tab w:pos="1986" w:val="left" w:leader="none"/>
        </w:tabs>
        <w:spacing w:line="240" w:lineRule="auto" w:before="180" w:after="0"/>
        <w:ind w:left="1985" w:right="0" w:hanging="286"/>
        <w:jc w:val="left"/>
        <w:rPr>
          <w:sz w:val="20"/>
        </w:rPr>
      </w:pPr>
      <w:r>
        <w:rPr>
          <w:sz w:val="20"/>
        </w:rPr>
        <w:t>Receive signal power for each received</w:t>
      </w:r>
      <w:r>
        <w:rPr>
          <w:spacing w:val="-19"/>
          <w:sz w:val="20"/>
        </w:rPr>
        <w:t> </w:t>
      </w:r>
      <w:r>
        <w:rPr>
          <w:sz w:val="20"/>
        </w:rPr>
        <w:t>packet</w:t>
      </w:r>
    </w:p>
    <w:p>
      <w:pPr>
        <w:pStyle w:val="BodyText"/>
        <w:spacing w:before="7"/>
      </w:pPr>
    </w:p>
    <w:p>
      <w:pPr>
        <w:pStyle w:val="Heading7"/>
      </w:pPr>
      <w:r>
        <w:rPr/>
        <w:t>Table 34: Configuration of devices</w:t>
      </w:r>
    </w:p>
    <w:p>
      <w:pPr>
        <w:pStyle w:val="BodyText"/>
        <w:spacing w:after="1"/>
        <w:rPr>
          <w:b/>
          <w:sz w:val="16"/>
        </w:rPr>
      </w:pPr>
    </w:p>
    <w:tbl>
      <w:tblPr>
        <w:tblW w:w="0" w:type="auto"/>
        <w:jc w:val="left"/>
        <w:tblInd w:w="2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6"/>
        <w:gridCol w:w="2160"/>
        <w:gridCol w:w="2161"/>
      </w:tblGrid>
      <w:tr>
        <w:trPr>
          <w:trHeight w:val="216" w:hRule="exact"/>
        </w:trPr>
        <w:tc>
          <w:tcPr>
            <w:tcW w:w="3056" w:type="dxa"/>
            <w:shd w:val="clear" w:color="auto" w:fill="D9D9D9"/>
          </w:tcPr>
          <w:p>
            <w:pPr>
              <w:pStyle w:val="TableParagraph"/>
              <w:spacing w:line="201" w:lineRule="exact"/>
              <w:rPr>
                <w:b/>
                <w:sz w:val="18"/>
              </w:rPr>
            </w:pPr>
            <w:r>
              <w:rPr>
                <w:b/>
                <w:sz w:val="18"/>
              </w:rPr>
              <w:t>Configuration</w:t>
            </w:r>
          </w:p>
        </w:tc>
        <w:tc>
          <w:tcPr>
            <w:tcW w:w="2160" w:type="dxa"/>
            <w:shd w:val="clear" w:color="auto" w:fill="D9D9D9"/>
          </w:tcPr>
          <w:p>
            <w:pPr>
              <w:pStyle w:val="TableParagraph"/>
              <w:spacing w:line="201" w:lineRule="exact"/>
              <w:rPr>
                <w:b/>
                <w:sz w:val="18"/>
              </w:rPr>
            </w:pPr>
            <w:r>
              <w:rPr>
                <w:b/>
                <w:sz w:val="18"/>
              </w:rPr>
              <w:t>C-V2X</w:t>
            </w:r>
          </w:p>
        </w:tc>
        <w:tc>
          <w:tcPr>
            <w:tcW w:w="2161" w:type="dxa"/>
            <w:shd w:val="clear" w:color="auto" w:fill="D9D9D9"/>
          </w:tcPr>
          <w:p>
            <w:pPr>
              <w:pStyle w:val="TableParagraph"/>
              <w:spacing w:line="201" w:lineRule="exact"/>
              <w:rPr>
                <w:b/>
                <w:sz w:val="18"/>
              </w:rPr>
            </w:pPr>
            <w:r>
              <w:rPr>
                <w:b/>
                <w:sz w:val="18"/>
              </w:rPr>
              <w:t>DSRC</w:t>
            </w:r>
          </w:p>
        </w:tc>
      </w:tr>
      <w:tr>
        <w:trPr>
          <w:trHeight w:val="217" w:hRule="exact"/>
        </w:trPr>
        <w:tc>
          <w:tcPr>
            <w:tcW w:w="3056" w:type="dxa"/>
          </w:tcPr>
          <w:p>
            <w:pPr>
              <w:pStyle w:val="TableParagraph"/>
              <w:spacing w:line="207" w:lineRule="exact"/>
              <w:rPr>
                <w:sz w:val="18"/>
              </w:rPr>
            </w:pPr>
            <w:r>
              <w:rPr>
                <w:sz w:val="18"/>
              </w:rPr>
              <w:t>Number of samples</w:t>
            </w:r>
          </w:p>
        </w:tc>
        <w:tc>
          <w:tcPr>
            <w:tcW w:w="2160" w:type="dxa"/>
          </w:tcPr>
          <w:p>
            <w:pPr>
              <w:pStyle w:val="TableParagraph"/>
              <w:spacing w:line="207" w:lineRule="exact"/>
              <w:rPr>
                <w:sz w:val="18"/>
              </w:rPr>
            </w:pPr>
            <w:r>
              <w:rPr>
                <w:sz w:val="18"/>
              </w:rPr>
              <w:t>1000, 10000</w:t>
            </w:r>
          </w:p>
        </w:tc>
        <w:tc>
          <w:tcPr>
            <w:tcW w:w="2161" w:type="dxa"/>
          </w:tcPr>
          <w:p>
            <w:pPr>
              <w:pStyle w:val="TableParagraph"/>
              <w:spacing w:line="207" w:lineRule="exact"/>
              <w:rPr>
                <w:sz w:val="18"/>
              </w:rPr>
            </w:pPr>
            <w:r>
              <w:rPr>
                <w:sz w:val="18"/>
              </w:rPr>
              <w:t>1000, 10000</w:t>
            </w:r>
          </w:p>
        </w:tc>
      </w:tr>
      <w:tr>
        <w:trPr>
          <w:trHeight w:val="218" w:hRule="exact"/>
        </w:trPr>
        <w:tc>
          <w:tcPr>
            <w:tcW w:w="3056" w:type="dxa"/>
          </w:tcPr>
          <w:p>
            <w:pPr>
              <w:pStyle w:val="TableParagraph"/>
              <w:spacing w:line="240" w:lineRule="auto" w:before="1"/>
              <w:rPr>
                <w:sz w:val="18"/>
              </w:rPr>
            </w:pPr>
            <w:r>
              <w:rPr>
                <w:sz w:val="18"/>
              </w:rPr>
              <w:t>Interference signal</w:t>
            </w:r>
          </w:p>
        </w:tc>
        <w:tc>
          <w:tcPr>
            <w:tcW w:w="2160" w:type="dxa"/>
          </w:tcPr>
          <w:p>
            <w:pPr>
              <w:pStyle w:val="TableParagraph"/>
              <w:spacing w:line="240" w:lineRule="auto" w:before="1"/>
              <w:rPr>
                <w:sz w:val="18"/>
              </w:rPr>
            </w:pPr>
            <w:r>
              <w:rPr>
                <w:sz w:val="18"/>
              </w:rPr>
              <w:t>External AWGN source</w:t>
            </w:r>
          </w:p>
        </w:tc>
        <w:tc>
          <w:tcPr>
            <w:tcW w:w="2161" w:type="dxa"/>
          </w:tcPr>
          <w:p>
            <w:pPr>
              <w:pStyle w:val="TableParagraph"/>
              <w:spacing w:line="240" w:lineRule="auto" w:before="1"/>
              <w:rPr>
                <w:sz w:val="18"/>
              </w:rPr>
            </w:pPr>
            <w:r>
              <w:rPr>
                <w:sz w:val="18"/>
              </w:rPr>
              <w:t>External AWGN source</w:t>
            </w:r>
          </w:p>
        </w:tc>
      </w:tr>
    </w:tbl>
    <w:p>
      <w:pPr>
        <w:pStyle w:val="BodyText"/>
        <w:rPr>
          <w:b/>
          <w:sz w:val="22"/>
        </w:rPr>
      </w:pPr>
    </w:p>
    <w:p>
      <w:pPr>
        <w:pStyle w:val="BodyText"/>
        <w:spacing w:before="5"/>
        <w:rPr>
          <w:b/>
          <w:sz w:val="18"/>
        </w:rPr>
      </w:pPr>
    </w:p>
    <w:p>
      <w:pPr>
        <w:spacing w:before="0"/>
        <w:ind w:left="1133" w:right="0" w:firstLine="0"/>
        <w:jc w:val="left"/>
        <w:rPr>
          <w:b/>
          <w:sz w:val="20"/>
        </w:rPr>
      </w:pPr>
      <w:r>
        <w:rPr>
          <w:b/>
          <w:sz w:val="20"/>
        </w:rPr>
        <w:t>Table 35: Interference characterization definition</w:t>
      </w:r>
    </w:p>
    <w:p>
      <w:pPr>
        <w:pStyle w:val="BodyText"/>
        <w:spacing w:before="1"/>
        <w:rPr>
          <w:b/>
          <w:sz w:val="16"/>
        </w:rPr>
      </w:pPr>
    </w:p>
    <w:tbl>
      <w:tblPr>
        <w:tblW w:w="0" w:type="auto"/>
        <w:jc w:val="left"/>
        <w:tblInd w:w="2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7"/>
        <w:gridCol w:w="2520"/>
        <w:gridCol w:w="2430"/>
      </w:tblGrid>
      <w:tr>
        <w:trPr>
          <w:trHeight w:val="216" w:hRule="exact"/>
        </w:trPr>
        <w:tc>
          <w:tcPr>
            <w:tcW w:w="7377" w:type="dxa"/>
            <w:gridSpan w:val="3"/>
            <w:shd w:val="clear" w:color="auto" w:fill="D9D9D9"/>
          </w:tcPr>
          <w:p>
            <w:pPr>
              <w:pStyle w:val="TableParagraph"/>
              <w:spacing w:line="201" w:lineRule="exact"/>
              <w:rPr>
                <w:b/>
                <w:sz w:val="18"/>
              </w:rPr>
            </w:pPr>
            <w:r>
              <w:rPr>
                <w:b/>
                <w:sz w:val="18"/>
              </w:rPr>
              <w:t>Signal Generator Setting</w:t>
            </w:r>
          </w:p>
        </w:tc>
      </w:tr>
      <w:tr>
        <w:trPr>
          <w:trHeight w:val="425" w:hRule="exact"/>
        </w:trPr>
        <w:tc>
          <w:tcPr>
            <w:tcW w:w="2427" w:type="dxa"/>
            <w:shd w:val="clear" w:color="auto" w:fill="D9D9D9"/>
          </w:tcPr>
          <w:p>
            <w:pPr>
              <w:pStyle w:val="TableParagraph"/>
              <w:tabs>
                <w:tab w:pos="1393" w:val="left" w:leader="none"/>
              </w:tabs>
              <w:spacing w:line="240" w:lineRule="auto"/>
              <w:ind w:right="103"/>
              <w:rPr>
                <w:b/>
                <w:sz w:val="18"/>
              </w:rPr>
            </w:pPr>
            <w:r>
              <w:rPr>
                <w:b/>
                <w:sz w:val="18"/>
              </w:rPr>
              <w:t>Interference</w:t>
              <w:tab/>
            </w:r>
            <w:r>
              <w:rPr>
                <w:b/>
                <w:spacing w:val="-1"/>
                <w:sz w:val="18"/>
              </w:rPr>
              <w:t>Bandwidth </w:t>
            </w:r>
            <w:r>
              <w:rPr>
                <w:b/>
                <w:sz w:val="18"/>
              </w:rPr>
              <w:t>(MHz)</w:t>
            </w:r>
          </w:p>
        </w:tc>
        <w:tc>
          <w:tcPr>
            <w:tcW w:w="2520" w:type="dxa"/>
            <w:shd w:val="clear" w:color="auto" w:fill="D9D9D9"/>
          </w:tcPr>
          <w:p>
            <w:pPr>
              <w:pStyle w:val="TableParagraph"/>
              <w:spacing w:line="201" w:lineRule="exact"/>
              <w:rPr>
                <w:b/>
                <w:sz w:val="18"/>
              </w:rPr>
            </w:pPr>
            <w:r>
              <w:rPr>
                <w:b/>
                <w:sz w:val="18"/>
              </w:rPr>
              <w:t>Position Numbers</w:t>
            </w:r>
          </w:p>
        </w:tc>
        <w:tc>
          <w:tcPr>
            <w:tcW w:w="2430" w:type="dxa"/>
            <w:shd w:val="clear" w:color="auto" w:fill="D9D9D9"/>
          </w:tcPr>
          <w:p>
            <w:pPr>
              <w:pStyle w:val="TableParagraph"/>
              <w:spacing w:line="201" w:lineRule="exact"/>
              <w:rPr>
                <w:b/>
                <w:sz w:val="18"/>
              </w:rPr>
            </w:pPr>
            <w:r>
              <w:rPr>
                <w:b/>
                <w:sz w:val="18"/>
              </w:rPr>
              <w:t>Number of Iterations</w:t>
            </w:r>
          </w:p>
        </w:tc>
      </w:tr>
      <w:tr>
        <w:trPr>
          <w:trHeight w:val="216" w:hRule="exact"/>
        </w:trPr>
        <w:tc>
          <w:tcPr>
            <w:tcW w:w="2427" w:type="dxa"/>
          </w:tcPr>
          <w:p>
            <w:pPr>
              <w:pStyle w:val="TableParagraph"/>
              <w:rPr>
                <w:sz w:val="18"/>
              </w:rPr>
            </w:pPr>
            <w:r>
              <w:rPr>
                <w:sz w:val="18"/>
              </w:rPr>
              <w:t>0.2</w:t>
            </w:r>
          </w:p>
        </w:tc>
        <w:tc>
          <w:tcPr>
            <w:tcW w:w="2520" w:type="dxa"/>
          </w:tcPr>
          <w:p>
            <w:pPr>
              <w:pStyle w:val="TableParagraph"/>
              <w:rPr>
                <w:sz w:val="18"/>
              </w:rPr>
            </w:pPr>
            <w:r>
              <w:rPr>
                <w:sz w:val="18"/>
              </w:rPr>
              <w:t>1, 2, 3</w:t>
            </w:r>
          </w:p>
        </w:tc>
        <w:tc>
          <w:tcPr>
            <w:tcW w:w="2430" w:type="dxa"/>
          </w:tcPr>
          <w:p>
            <w:pPr>
              <w:pStyle w:val="TableParagraph"/>
              <w:rPr>
                <w:sz w:val="18"/>
              </w:rPr>
            </w:pPr>
            <w:r>
              <w:rPr>
                <w:w w:val="99"/>
                <w:sz w:val="18"/>
              </w:rPr>
              <w:t>1</w:t>
            </w:r>
          </w:p>
        </w:tc>
      </w:tr>
      <w:tr>
        <w:trPr>
          <w:trHeight w:val="218" w:hRule="exact"/>
        </w:trPr>
        <w:tc>
          <w:tcPr>
            <w:tcW w:w="2427" w:type="dxa"/>
          </w:tcPr>
          <w:p>
            <w:pPr>
              <w:pStyle w:val="TableParagraph"/>
              <w:rPr>
                <w:sz w:val="18"/>
              </w:rPr>
            </w:pPr>
            <w:r>
              <w:rPr>
                <w:sz w:val="18"/>
              </w:rPr>
              <w:t>0.5</w:t>
            </w:r>
          </w:p>
        </w:tc>
        <w:tc>
          <w:tcPr>
            <w:tcW w:w="2520" w:type="dxa"/>
          </w:tcPr>
          <w:p>
            <w:pPr>
              <w:pStyle w:val="TableParagraph"/>
              <w:rPr>
                <w:sz w:val="18"/>
              </w:rPr>
            </w:pPr>
            <w:r>
              <w:rPr>
                <w:sz w:val="18"/>
              </w:rPr>
              <w:t>1, 2, 3</w:t>
            </w:r>
          </w:p>
        </w:tc>
        <w:tc>
          <w:tcPr>
            <w:tcW w:w="2430" w:type="dxa"/>
          </w:tcPr>
          <w:p>
            <w:pPr>
              <w:pStyle w:val="TableParagraph"/>
              <w:rPr>
                <w:sz w:val="18"/>
              </w:rPr>
            </w:pPr>
            <w:r>
              <w:rPr>
                <w:w w:val="99"/>
                <w:sz w:val="18"/>
              </w:rPr>
              <w:t>1</w:t>
            </w:r>
          </w:p>
        </w:tc>
      </w:tr>
      <w:tr>
        <w:trPr>
          <w:trHeight w:val="216" w:hRule="exact"/>
        </w:trPr>
        <w:tc>
          <w:tcPr>
            <w:tcW w:w="2427" w:type="dxa"/>
          </w:tcPr>
          <w:p>
            <w:pPr>
              <w:pStyle w:val="TableParagraph"/>
              <w:rPr>
                <w:sz w:val="18"/>
              </w:rPr>
            </w:pPr>
            <w:r>
              <w:rPr>
                <w:w w:val="99"/>
                <w:sz w:val="18"/>
              </w:rPr>
              <w:t>1</w:t>
            </w:r>
          </w:p>
        </w:tc>
        <w:tc>
          <w:tcPr>
            <w:tcW w:w="2520" w:type="dxa"/>
          </w:tcPr>
          <w:p>
            <w:pPr>
              <w:pStyle w:val="TableParagraph"/>
              <w:rPr>
                <w:sz w:val="18"/>
              </w:rPr>
            </w:pPr>
            <w:r>
              <w:rPr>
                <w:sz w:val="18"/>
              </w:rPr>
              <w:t>1, 2, 3</w:t>
            </w:r>
          </w:p>
        </w:tc>
        <w:tc>
          <w:tcPr>
            <w:tcW w:w="2430" w:type="dxa"/>
          </w:tcPr>
          <w:p>
            <w:pPr>
              <w:pStyle w:val="TableParagraph"/>
              <w:rPr>
                <w:sz w:val="18"/>
              </w:rPr>
            </w:pPr>
            <w:r>
              <w:rPr>
                <w:w w:val="99"/>
                <w:sz w:val="18"/>
              </w:rPr>
              <w:t>1</w:t>
            </w:r>
          </w:p>
        </w:tc>
      </w:tr>
      <w:tr>
        <w:trPr>
          <w:trHeight w:val="216" w:hRule="exact"/>
        </w:trPr>
        <w:tc>
          <w:tcPr>
            <w:tcW w:w="2427" w:type="dxa"/>
          </w:tcPr>
          <w:p>
            <w:pPr>
              <w:pStyle w:val="TableParagraph"/>
              <w:rPr>
                <w:sz w:val="18"/>
              </w:rPr>
            </w:pPr>
            <w:r>
              <w:rPr>
                <w:w w:val="99"/>
                <w:sz w:val="18"/>
              </w:rPr>
              <w:t>2</w:t>
            </w:r>
          </w:p>
        </w:tc>
        <w:tc>
          <w:tcPr>
            <w:tcW w:w="2520" w:type="dxa"/>
          </w:tcPr>
          <w:p>
            <w:pPr>
              <w:pStyle w:val="TableParagraph"/>
              <w:rPr>
                <w:sz w:val="18"/>
              </w:rPr>
            </w:pPr>
            <w:r>
              <w:rPr>
                <w:sz w:val="18"/>
              </w:rPr>
              <w:t>1, 2, 3</w:t>
            </w:r>
          </w:p>
        </w:tc>
        <w:tc>
          <w:tcPr>
            <w:tcW w:w="2430" w:type="dxa"/>
          </w:tcPr>
          <w:p>
            <w:pPr>
              <w:pStyle w:val="TableParagraph"/>
              <w:rPr>
                <w:sz w:val="18"/>
              </w:rPr>
            </w:pPr>
            <w:r>
              <w:rPr>
                <w:w w:val="99"/>
                <w:sz w:val="18"/>
              </w:rPr>
              <w:t>1</w:t>
            </w:r>
          </w:p>
        </w:tc>
      </w:tr>
      <w:tr>
        <w:trPr>
          <w:trHeight w:val="218" w:hRule="exact"/>
        </w:trPr>
        <w:tc>
          <w:tcPr>
            <w:tcW w:w="2427" w:type="dxa"/>
          </w:tcPr>
          <w:p>
            <w:pPr>
              <w:pStyle w:val="TableParagraph"/>
              <w:spacing w:line="240" w:lineRule="auto" w:before="1"/>
              <w:rPr>
                <w:sz w:val="18"/>
              </w:rPr>
            </w:pPr>
            <w:r>
              <w:rPr>
                <w:w w:val="99"/>
                <w:sz w:val="18"/>
              </w:rPr>
              <w:t>5</w:t>
            </w:r>
          </w:p>
        </w:tc>
        <w:tc>
          <w:tcPr>
            <w:tcW w:w="2520" w:type="dxa"/>
          </w:tcPr>
          <w:p>
            <w:pPr>
              <w:pStyle w:val="TableParagraph"/>
              <w:spacing w:line="240" w:lineRule="auto" w:before="1"/>
              <w:rPr>
                <w:sz w:val="18"/>
              </w:rPr>
            </w:pPr>
            <w:r>
              <w:rPr>
                <w:sz w:val="18"/>
              </w:rPr>
              <w:t>1, 2, 3</w:t>
            </w:r>
          </w:p>
        </w:tc>
        <w:tc>
          <w:tcPr>
            <w:tcW w:w="2430" w:type="dxa"/>
          </w:tcPr>
          <w:p>
            <w:pPr>
              <w:pStyle w:val="TableParagraph"/>
              <w:spacing w:line="240" w:lineRule="auto" w:before="1"/>
              <w:rPr>
                <w:sz w:val="18"/>
              </w:rPr>
            </w:pPr>
            <w:r>
              <w:rPr>
                <w:w w:val="99"/>
                <w:sz w:val="18"/>
              </w:rPr>
              <w:t>1</w:t>
            </w:r>
          </w:p>
        </w:tc>
      </w:tr>
    </w:tbl>
    <w:p>
      <w:pPr>
        <w:pStyle w:val="BodyText"/>
        <w:rPr>
          <w:b/>
          <w:sz w:val="22"/>
        </w:rPr>
      </w:pPr>
    </w:p>
    <w:p>
      <w:pPr>
        <w:pStyle w:val="BodyText"/>
        <w:rPr>
          <w:b/>
          <w:sz w:val="29"/>
        </w:rPr>
      </w:pPr>
    </w:p>
    <w:p>
      <w:pPr>
        <w:pStyle w:val="ListParagraph"/>
        <w:numPr>
          <w:ilvl w:val="3"/>
          <w:numId w:val="55"/>
        </w:numPr>
        <w:tabs>
          <w:tab w:pos="2551" w:val="left" w:leader="none"/>
          <w:tab w:pos="2552" w:val="left" w:leader="none"/>
        </w:tabs>
        <w:spacing w:line="240" w:lineRule="auto" w:before="0" w:after="0"/>
        <w:ind w:left="2551" w:right="0" w:hanging="1418"/>
        <w:jc w:val="left"/>
        <w:rPr>
          <w:sz w:val="24"/>
        </w:rPr>
      </w:pPr>
      <w:r>
        <w:rPr>
          <w:sz w:val="24"/>
        </w:rPr>
        <w:t>Test</w:t>
      </w:r>
      <w:r>
        <w:rPr>
          <w:spacing w:val="-8"/>
          <w:sz w:val="24"/>
        </w:rPr>
        <w:t> </w:t>
      </w:r>
      <w:r>
        <w:rPr>
          <w:sz w:val="24"/>
        </w:rPr>
        <w:t>Execution</w:t>
      </w:r>
    </w:p>
    <w:p>
      <w:pPr>
        <w:pStyle w:val="BodyText"/>
        <w:spacing w:before="181"/>
        <w:ind w:left="1416"/>
      </w:pPr>
      <w:r>
        <w:rPr/>
        <w:t>NOTE: Tests should be conducted at room temperature (21 degrees Celsius +/- 5 degrees).</w:t>
      </w:r>
    </w:p>
    <w:p>
      <w:pPr>
        <w:pStyle w:val="ListParagraph"/>
        <w:numPr>
          <w:ilvl w:val="0"/>
          <w:numId w:val="57"/>
        </w:numPr>
        <w:tabs>
          <w:tab w:pos="1702" w:val="left" w:leader="none"/>
        </w:tabs>
        <w:spacing w:line="240" w:lineRule="auto" w:before="180" w:after="0"/>
        <w:ind w:left="1702" w:right="1128" w:hanging="286"/>
        <w:jc w:val="both"/>
        <w:rPr>
          <w:sz w:val="20"/>
        </w:rPr>
      </w:pPr>
      <w:r>
        <w:rPr>
          <w:sz w:val="20"/>
        </w:rPr>
        <w:t>Configure the Transmit Device (Device 1) with the data stream of interest: Application layer message (e.g., BSM) to be sent periodically every 100 ms. Packet length shall reflect a one-to-one correspondence between packet and message; the packet size should remain constant throughout the test.</w:t>
      </w:r>
    </w:p>
    <w:p>
      <w:pPr>
        <w:pStyle w:val="ListParagraph"/>
        <w:numPr>
          <w:ilvl w:val="0"/>
          <w:numId w:val="57"/>
        </w:numPr>
        <w:tabs>
          <w:tab w:pos="1702" w:val="left" w:leader="none"/>
        </w:tabs>
        <w:spacing w:line="240" w:lineRule="auto" w:before="180" w:after="0"/>
        <w:ind w:left="1702" w:right="0" w:hanging="286"/>
        <w:jc w:val="left"/>
        <w:rPr>
          <w:sz w:val="20"/>
        </w:rPr>
      </w:pPr>
      <w:r>
        <w:rPr>
          <w:sz w:val="20"/>
        </w:rPr>
        <w:t>Set the Signal Generator to produce zero</w:t>
      </w:r>
      <w:r>
        <w:rPr>
          <w:spacing w:val="-17"/>
          <w:sz w:val="20"/>
        </w:rPr>
        <w:t> </w:t>
      </w:r>
      <w:r>
        <w:rPr>
          <w:sz w:val="20"/>
        </w:rPr>
        <w:t>power.</w:t>
      </w:r>
    </w:p>
    <w:p>
      <w:pPr>
        <w:pStyle w:val="ListParagraph"/>
        <w:numPr>
          <w:ilvl w:val="0"/>
          <w:numId w:val="57"/>
        </w:numPr>
        <w:tabs>
          <w:tab w:pos="1702" w:val="left" w:leader="none"/>
        </w:tabs>
        <w:spacing w:line="240" w:lineRule="auto" w:before="180" w:after="0"/>
        <w:ind w:left="1702" w:right="1131" w:hanging="286"/>
        <w:jc w:val="left"/>
        <w:rPr>
          <w:sz w:val="20"/>
        </w:rPr>
      </w:pPr>
      <w:r>
        <w:rPr>
          <w:sz w:val="20"/>
        </w:rPr>
        <w:t>Set</w:t>
      </w:r>
      <w:r>
        <w:rPr>
          <w:spacing w:val="-6"/>
          <w:sz w:val="20"/>
        </w:rPr>
        <w:t> </w:t>
      </w:r>
      <w:r>
        <w:rPr>
          <w:sz w:val="20"/>
        </w:rPr>
        <w:t>Attenuator</w:t>
      </w:r>
      <w:r>
        <w:rPr>
          <w:spacing w:val="-7"/>
          <w:sz w:val="20"/>
        </w:rPr>
        <w:t> </w:t>
      </w:r>
      <w:r>
        <w:rPr>
          <w:sz w:val="20"/>
        </w:rPr>
        <w:t>1</w:t>
      </w:r>
      <w:r>
        <w:rPr>
          <w:spacing w:val="-8"/>
          <w:sz w:val="20"/>
        </w:rPr>
        <w:t> </w:t>
      </w:r>
      <w:r>
        <w:rPr>
          <w:sz w:val="20"/>
        </w:rPr>
        <w:t>(A1)</w:t>
      </w:r>
      <w:r>
        <w:rPr>
          <w:spacing w:val="-7"/>
          <w:sz w:val="20"/>
        </w:rPr>
        <w:t> </w:t>
      </w:r>
      <w:r>
        <w:rPr>
          <w:sz w:val="20"/>
        </w:rPr>
        <w:t>to</w:t>
      </w:r>
      <w:r>
        <w:rPr>
          <w:spacing w:val="-8"/>
          <w:sz w:val="20"/>
        </w:rPr>
        <w:t> </w:t>
      </w:r>
      <w:r>
        <w:rPr>
          <w:sz w:val="20"/>
        </w:rPr>
        <w:t>an</w:t>
      </w:r>
      <w:r>
        <w:rPr>
          <w:spacing w:val="-6"/>
          <w:sz w:val="20"/>
        </w:rPr>
        <w:t> </w:t>
      </w:r>
      <w:r>
        <w:rPr>
          <w:sz w:val="20"/>
        </w:rPr>
        <w:t>attenuation</w:t>
      </w:r>
      <w:r>
        <w:rPr>
          <w:spacing w:val="-6"/>
          <w:sz w:val="20"/>
        </w:rPr>
        <w:t> </w:t>
      </w:r>
      <w:r>
        <w:rPr>
          <w:sz w:val="20"/>
        </w:rPr>
        <w:t>value</w:t>
      </w:r>
      <w:r>
        <w:rPr>
          <w:spacing w:val="-8"/>
          <w:sz w:val="20"/>
        </w:rPr>
        <w:t> </w:t>
      </w:r>
      <w:r>
        <w:rPr>
          <w:sz w:val="20"/>
        </w:rPr>
        <w:t>such</w:t>
      </w:r>
      <w:r>
        <w:rPr>
          <w:spacing w:val="-8"/>
          <w:sz w:val="20"/>
        </w:rPr>
        <w:t> </w:t>
      </w:r>
      <w:r>
        <w:rPr>
          <w:sz w:val="20"/>
        </w:rPr>
        <w:t>that</w:t>
      </w:r>
      <w:r>
        <w:rPr>
          <w:spacing w:val="-6"/>
          <w:sz w:val="20"/>
        </w:rPr>
        <w:t> </w:t>
      </w:r>
      <w:r>
        <w:rPr>
          <w:sz w:val="20"/>
        </w:rPr>
        <w:t>the</w:t>
      </w:r>
      <w:r>
        <w:rPr>
          <w:spacing w:val="-8"/>
          <w:sz w:val="20"/>
        </w:rPr>
        <w:t> </w:t>
      </w:r>
      <w:r>
        <w:rPr>
          <w:sz w:val="20"/>
        </w:rPr>
        <w:t>receive</w:t>
      </w:r>
      <w:r>
        <w:rPr>
          <w:spacing w:val="-8"/>
          <w:sz w:val="20"/>
        </w:rPr>
        <w:t> </w:t>
      </w:r>
      <w:r>
        <w:rPr>
          <w:sz w:val="20"/>
        </w:rPr>
        <w:t>signal</w:t>
      </w:r>
      <w:r>
        <w:rPr>
          <w:spacing w:val="-7"/>
          <w:sz w:val="20"/>
        </w:rPr>
        <w:t> </w:t>
      </w:r>
      <w:r>
        <w:rPr>
          <w:sz w:val="20"/>
        </w:rPr>
        <w:t>power</w:t>
      </w:r>
      <w:r>
        <w:rPr>
          <w:spacing w:val="-7"/>
          <w:sz w:val="20"/>
        </w:rPr>
        <w:t> </w:t>
      </w:r>
      <w:r>
        <w:rPr>
          <w:sz w:val="20"/>
        </w:rPr>
        <w:t>measured</w:t>
      </w:r>
      <w:r>
        <w:rPr>
          <w:spacing w:val="-5"/>
          <w:sz w:val="20"/>
        </w:rPr>
        <w:t> </w:t>
      </w:r>
      <w:r>
        <w:rPr>
          <w:sz w:val="20"/>
        </w:rPr>
        <w:t>at</w:t>
      </w:r>
      <w:r>
        <w:rPr>
          <w:spacing w:val="-8"/>
          <w:sz w:val="20"/>
        </w:rPr>
        <w:t> </w:t>
      </w:r>
      <w:r>
        <w:rPr>
          <w:sz w:val="20"/>
        </w:rPr>
        <w:t>DUT</w:t>
      </w:r>
      <w:r>
        <w:rPr>
          <w:spacing w:val="-4"/>
          <w:sz w:val="20"/>
        </w:rPr>
        <w:t> </w:t>
      </w:r>
      <w:r>
        <w:rPr>
          <w:sz w:val="20"/>
        </w:rPr>
        <w:t>input is  50</w:t>
      </w:r>
      <w:r>
        <w:rPr>
          <w:spacing w:val="-3"/>
          <w:sz w:val="20"/>
        </w:rPr>
        <w:t> </w:t>
      </w:r>
      <w:r>
        <w:rPr>
          <w:sz w:val="20"/>
        </w:rPr>
        <w:t>dBm.</w:t>
      </w:r>
    </w:p>
    <w:p>
      <w:pPr>
        <w:pStyle w:val="ListParagraph"/>
        <w:numPr>
          <w:ilvl w:val="0"/>
          <w:numId w:val="57"/>
        </w:numPr>
        <w:tabs>
          <w:tab w:pos="1702" w:val="left" w:leader="none"/>
        </w:tabs>
        <w:spacing w:line="240" w:lineRule="auto" w:before="178" w:after="0"/>
        <w:ind w:left="1702" w:right="0" w:hanging="286"/>
        <w:jc w:val="left"/>
        <w:rPr>
          <w:sz w:val="20"/>
        </w:rPr>
      </w:pPr>
      <w:r>
        <w:rPr>
          <w:sz w:val="20"/>
        </w:rPr>
        <w:t>Set the transmit power for the Transmit device (Device 1) to zero (e.g., by turning the device</w:t>
      </w:r>
      <w:r>
        <w:rPr>
          <w:spacing w:val="-26"/>
          <w:sz w:val="20"/>
        </w:rPr>
        <w:t> </w:t>
      </w:r>
      <w:r>
        <w:rPr>
          <w:sz w:val="20"/>
        </w:rPr>
        <w:t>off).</w:t>
      </w:r>
    </w:p>
    <w:p>
      <w:pPr>
        <w:pStyle w:val="ListParagraph"/>
        <w:numPr>
          <w:ilvl w:val="0"/>
          <w:numId w:val="57"/>
        </w:numPr>
        <w:tabs>
          <w:tab w:pos="1702" w:val="left" w:leader="none"/>
        </w:tabs>
        <w:spacing w:line="240" w:lineRule="auto" w:before="179" w:after="0"/>
        <w:ind w:left="1702" w:right="1129" w:hanging="286"/>
        <w:jc w:val="left"/>
        <w:rPr>
          <w:sz w:val="20"/>
        </w:rPr>
      </w:pPr>
      <w:r>
        <w:rPr>
          <w:sz w:val="20"/>
        </w:rPr>
        <w:t>Configure</w:t>
      </w:r>
      <w:r>
        <w:rPr>
          <w:spacing w:val="-14"/>
          <w:sz w:val="20"/>
        </w:rPr>
        <w:t> </w:t>
      </w:r>
      <w:r>
        <w:rPr>
          <w:sz w:val="20"/>
        </w:rPr>
        <w:t>the</w:t>
      </w:r>
      <w:r>
        <w:rPr>
          <w:spacing w:val="-14"/>
          <w:sz w:val="20"/>
        </w:rPr>
        <w:t> </w:t>
      </w:r>
      <w:r>
        <w:rPr>
          <w:sz w:val="20"/>
        </w:rPr>
        <w:t>Signal</w:t>
      </w:r>
      <w:r>
        <w:rPr>
          <w:spacing w:val="-15"/>
          <w:sz w:val="20"/>
        </w:rPr>
        <w:t> </w:t>
      </w:r>
      <w:r>
        <w:rPr>
          <w:sz w:val="20"/>
        </w:rPr>
        <w:t>Generators</w:t>
      </w:r>
      <w:r>
        <w:rPr>
          <w:spacing w:val="-15"/>
          <w:sz w:val="20"/>
        </w:rPr>
        <w:t> </w:t>
      </w:r>
      <w:r>
        <w:rPr>
          <w:sz w:val="20"/>
        </w:rPr>
        <w:t>1,</w:t>
      </w:r>
      <w:r>
        <w:rPr>
          <w:spacing w:val="-15"/>
          <w:sz w:val="20"/>
        </w:rPr>
        <w:t> </w:t>
      </w:r>
      <w:r>
        <w:rPr>
          <w:sz w:val="20"/>
        </w:rPr>
        <w:t>2,</w:t>
      </w:r>
      <w:r>
        <w:rPr>
          <w:spacing w:val="-16"/>
          <w:sz w:val="20"/>
        </w:rPr>
        <w:t> </w:t>
      </w:r>
      <w:r>
        <w:rPr>
          <w:sz w:val="20"/>
        </w:rPr>
        <w:t>and</w:t>
      </w:r>
      <w:r>
        <w:rPr>
          <w:spacing w:val="-15"/>
          <w:sz w:val="20"/>
        </w:rPr>
        <w:t> </w:t>
      </w:r>
      <w:r>
        <w:rPr>
          <w:sz w:val="20"/>
        </w:rPr>
        <w:t>3</w:t>
      </w:r>
      <w:r>
        <w:rPr>
          <w:spacing w:val="-14"/>
          <w:sz w:val="20"/>
        </w:rPr>
        <w:t> </w:t>
      </w:r>
      <w:r>
        <w:rPr>
          <w:sz w:val="20"/>
        </w:rPr>
        <w:t>to</w:t>
      </w:r>
      <w:r>
        <w:rPr>
          <w:spacing w:val="-15"/>
          <w:sz w:val="20"/>
        </w:rPr>
        <w:t> </w:t>
      </w:r>
      <w:r>
        <w:rPr>
          <w:sz w:val="20"/>
        </w:rPr>
        <w:t>generate</w:t>
      </w:r>
      <w:r>
        <w:rPr>
          <w:spacing w:val="-15"/>
          <w:sz w:val="20"/>
        </w:rPr>
        <w:t> </w:t>
      </w:r>
      <w:r>
        <w:rPr>
          <w:sz w:val="20"/>
        </w:rPr>
        <w:t>a</w:t>
      </w:r>
      <w:r>
        <w:rPr>
          <w:spacing w:val="-14"/>
          <w:sz w:val="20"/>
        </w:rPr>
        <w:t> </w:t>
      </w:r>
      <w:r>
        <w:rPr>
          <w:sz w:val="20"/>
        </w:rPr>
        <w:t>pre-defined</w:t>
      </w:r>
      <w:r>
        <w:rPr>
          <w:spacing w:val="-15"/>
          <w:sz w:val="20"/>
        </w:rPr>
        <w:t> </w:t>
      </w:r>
      <w:r>
        <w:rPr>
          <w:sz w:val="20"/>
        </w:rPr>
        <w:t>interference</w:t>
      </w:r>
      <w:r>
        <w:rPr>
          <w:spacing w:val="-13"/>
          <w:sz w:val="20"/>
        </w:rPr>
        <w:t> </w:t>
      </w:r>
      <w:r>
        <w:rPr>
          <w:sz w:val="20"/>
        </w:rPr>
        <w:t>of</w:t>
      </w:r>
      <w:r>
        <w:rPr>
          <w:spacing w:val="-15"/>
          <w:sz w:val="20"/>
        </w:rPr>
        <w:t> </w:t>
      </w:r>
      <w:r>
        <w:rPr>
          <w:sz w:val="20"/>
        </w:rPr>
        <w:t>200-kHz</w:t>
      </w:r>
      <w:r>
        <w:rPr>
          <w:spacing w:val="-17"/>
          <w:sz w:val="20"/>
        </w:rPr>
        <w:t> </w:t>
      </w:r>
      <w:r>
        <w:rPr>
          <w:sz w:val="20"/>
        </w:rPr>
        <w:t>bandwidth with center frequency defined in Table 35 as position</w:t>
      </w:r>
      <w:r>
        <w:rPr>
          <w:spacing w:val="-12"/>
          <w:sz w:val="20"/>
        </w:rPr>
        <w:t> </w:t>
      </w:r>
      <w:r>
        <w:rPr>
          <w:sz w:val="20"/>
        </w:rPr>
        <w:t>1.</w:t>
      </w:r>
    </w:p>
    <w:p>
      <w:pPr>
        <w:pStyle w:val="ListParagraph"/>
        <w:numPr>
          <w:ilvl w:val="0"/>
          <w:numId w:val="57"/>
        </w:numPr>
        <w:tabs>
          <w:tab w:pos="1702" w:val="left" w:leader="none"/>
        </w:tabs>
        <w:spacing w:line="240" w:lineRule="auto" w:before="179" w:after="0"/>
        <w:ind w:left="1702" w:right="0" w:hanging="286"/>
        <w:jc w:val="left"/>
        <w:rPr>
          <w:sz w:val="20"/>
        </w:rPr>
      </w:pPr>
      <w:r>
        <w:rPr>
          <w:sz w:val="20"/>
        </w:rPr>
        <w:t>Adjust levels of Signal Generators 1, 2 and 3 according to the first row of Table</w:t>
      </w:r>
      <w:r>
        <w:rPr>
          <w:spacing w:val="-18"/>
          <w:sz w:val="20"/>
        </w:rPr>
        <w:t> </w:t>
      </w:r>
      <w:r>
        <w:rPr>
          <w:sz w:val="20"/>
        </w:rPr>
        <w:t>36.</w:t>
      </w:r>
    </w:p>
    <w:p>
      <w:pPr>
        <w:spacing w:after="0" w:line="240" w:lineRule="auto"/>
        <w:jc w:val="left"/>
        <w:rPr>
          <w:sz w:val="20"/>
        </w:rPr>
        <w:sectPr>
          <w:headerReference w:type="default" r:id="rId420"/>
          <w:pgSz w:w="11910" w:h="16850"/>
          <w:pgMar w:header="852" w:footer="876" w:top="1040" w:bottom="1160" w:left="0" w:right="0"/>
        </w:sectPr>
      </w:pPr>
    </w:p>
    <w:p>
      <w:pPr>
        <w:pStyle w:val="BodyText"/>
        <w:rPr>
          <w:sz w:val="23"/>
        </w:rPr>
      </w:pPr>
    </w:p>
    <w:p>
      <w:pPr>
        <w:pStyle w:val="Heading7"/>
        <w:spacing w:before="93"/>
      </w:pPr>
      <w:r>
        <w:rPr/>
        <w:t>Table 36: Interference source position settings</w:t>
      </w:r>
    </w:p>
    <w:p>
      <w:pPr>
        <w:pStyle w:val="BodyText"/>
        <w:spacing w:before="2"/>
        <w:rPr>
          <w:b/>
          <w:sz w:val="16"/>
        </w:rPr>
      </w:pPr>
    </w:p>
    <w:tbl>
      <w:tblPr>
        <w:tblW w:w="0" w:type="auto"/>
        <w:jc w:val="left"/>
        <w:tblInd w:w="2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7"/>
        <w:gridCol w:w="2520"/>
        <w:gridCol w:w="2430"/>
      </w:tblGrid>
      <w:tr>
        <w:trPr>
          <w:trHeight w:val="216" w:hRule="exact"/>
        </w:trPr>
        <w:tc>
          <w:tcPr>
            <w:tcW w:w="7377" w:type="dxa"/>
            <w:gridSpan w:val="3"/>
            <w:shd w:val="clear" w:color="auto" w:fill="D9D9D9"/>
          </w:tcPr>
          <w:p>
            <w:pPr>
              <w:pStyle w:val="TableParagraph"/>
              <w:spacing w:line="201" w:lineRule="exact"/>
              <w:rPr>
                <w:b/>
                <w:sz w:val="18"/>
              </w:rPr>
            </w:pPr>
            <w:r>
              <w:rPr>
                <w:b/>
                <w:sz w:val="18"/>
              </w:rPr>
              <w:t>Interference source position settings</w:t>
            </w:r>
          </w:p>
        </w:tc>
      </w:tr>
      <w:tr>
        <w:trPr>
          <w:trHeight w:val="218" w:hRule="exact"/>
        </w:trPr>
        <w:tc>
          <w:tcPr>
            <w:tcW w:w="2427" w:type="dxa"/>
            <w:shd w:val="clear" w:color="auto" w:fill="D9D9D9"/>
          </w:tcPr>
          <w:p>
            <w:pPr>
              <w:pStyle w:val="TableParagraph"/>
              <w:spacing w:line="201" w:lineRule="exact"/>
              <w:rPr>
                <w:b/>
                <w:sz w:val="18"/>
              </w:rPr>
            </w:pPr>
            <w:r>
              <w:rPr>
                <w:b/>
                <w:sz w:val="18"/>
              </w:rPr>
              <w:t>Interference Source</w:t>
            </w:r>
          </w:p>
        </w:tc>
        <w:tc>
          <w:tcPr>
            <w:tcW w:w="2520" w:type="dxa"/>
            <w:shd w:val="clear" w:color="auto" w:fill="D9D9D9"/>
          </w:tcPr>
          <w:p>
            <w:pPr>
              <w:pStyle w:val="TableParagraph"/>
              <w:spacing w:line="201" w:lineRule="exact"/>
              <w:rPr>
                <w:b/>
                <w:sz w:val="18"/>
              </w:rPr>
            </w:pPr>
            <w:r>
              <w:rPr>
                <w:b/>
                <w:sz w:val="18"/>
              </w:rPr>
              <w:t>Signal Generator 1 &amp; 2</w:t>
            </w:r>
          </w:p>
        </w:tc>
        <w:tc>
          <w:tcPr>
            <w:tcW w:w="2430" w:type="dxa"/>
            <w:shd w:val="clear" w:color="auto" w:fill="D9D9D9"/>
          </w:tcPr>
          <w:p>
            <w:pPr>
              <w:pStyle w:val="TableParagraph"/>
              <w:spacing w:line="201" w:lineRule="exact"/>
              <w:rPr>
                <w:b/>
                <w:sz w:val="18"/>
              </w:rPr>
            </w:pPr>
            <w:r>
              <w:rPr>
                <w:b/>
                <w:sz w:val="18"/>
              </w:rPr>
              <w:t>Signal Generator 3</w:t>
            </w:r>
          </w:p>
        </w:tc>
      </w:tr>
      <w:tr>
        <w:trPr>
          <w:trHeight w:val="1044" w:hRule="exact"/>
        </w:trPr>
        <w:tc>
          <w:tcPr>
            <w:tcW w:w="2427" w:type="dxa"/>
          </w:tcPr>
          <w:p>
            <w:pPr>
              <w:pStyle w:val="TableParagraph"/>
              <w:spacing w:line="240" w:lineRule="auto"/>
              <w:ind w:right="103"/>
              <w:jc w:val="both"/>
              <w:rPr>
                <w:sz w:val="18"/>
              </w:rPr>
            </w:pPr>
            <w:r>
              <w:rPr>
                <w:sz w:val="18"/>
              </w:rPr>
              <w:t>Interference source is close to Rx device (Device 2). Tx device (Device 1) is minimally impacted by interference source.</w:t>
            </w:r>
          </w:p>
        </w:tc>
        <w:tc>
          <w:tcPr>
            <w:tcW w:w="2520" w:type="dxa"/>
          </w:tcPr>
          <w:p>
            <w:pPr>
              <w:pStyle w:val="TableParagraph"/>
              <w:spacing w:line="240" w:lineRule="auto"/>
              <w:ind w:right="100"/>
              <w:jc w:val="both"/>
              <w:rPr>
                <w:sz w:val="18"/>
              </w:rPr>
            </w:pPr>
            <w:r>
              <w:rPr>
                <w:sz w:val="18"/>
              </w:rPr>
              <w:t>Setting to achieve that interference power at DUT input</w:t>
            </w:r>
            <w:r>
              <w:rPr>
                <w:spacing w:val="-9"/>
                <w:sz w:val="18"/>
              </w:rPr>
              <w:t> </w:t>
            </w:r>
            <w:r>
              <w:rPr>
                <w:sz w:val="18"/>
              </w:rPr>
              <w:t>is</w:t>
            </w:r>
            <w:r>
              <w:rPr>
                <w:spacing w:val="-6"/>
                <w:sz w:val="18"/>
              </w:rPr>
              <w:t> </w:t>
            </w:r>
            <w:r>
              <w:rPr>
                <w:sz w:val="18"/>
              </w:rPr>
              <w:t>10dB</w:t>
            </w:r>
            <w:r>
              <w:rPr>
                <w:spacing w:val="-9"/>
                <w:sz w:val="18"/>
              </w:rPr>
              <w:t> </w:t>
            </w:r>
            <w:r>
              <w:rPr>
                <w:sz w:val="18"/>
              </w:rPr>
              <w:t>above</w:t>
            </w:r>
            <w:r>
              <w:rPr>
                <w:spacing w:val="-6"/>
                <w:sz w:val="18"/>
              </w:rPr>
              <w:t> </w:t>
            </w:r>
            <w:r>
              <w:rPr>
                <w:sz w:val="18"/>
              </w:rPr>
              <w:t>Device</w:t>
            </w:r>
            <w:r>
              <w:rPr>
                <w:spacing w:val="-9"/>
                <w:sz w:val="18"/>
              </w:rPr>
              <w:t> </w:t>
            </w:r>
            <w:r>
              <w:rPr>
                <w:sz w:val="18"/>
              </w:rPr>
              <w:t>1 power at DUT</w:t>
            </w:r>
            <w:r>
              <w:rPr>
                <w:spacing w:val="-6"/>
                <w:sz w:val="18"/>
              </w:rPr>
              <w:t> </w:t>
            </w:r>
            <w:r>
              <w:rPr>
                <w:sz w:val="18"/>
              </w:rPr>
              <w:t>input.</w:t>
            </w:r>
          </w:p>
        </w:tc>
        <w:tc>
          <w:tcPr>
            <w:tcW w:w="2430" w:type="dxa"/>
          </w:tcPr>
          <w:p>
            <w:pPr>
              <w:pStyle w:val="TableParagraph"/>
              <w:spacing w:line="240" w:lineRule="auto"/>
              <w:ind w:right="99"/>
              <w:jc w:val="both"/>
              <w:rPr>
                <w:sz w:val="18"/>
              </w:rPr>
            </w:pPr>
            <w:r>
              <w:rPr>
                <w:sz w:val="18"/>
              </w:rPr>
              <w:t>Interference source is close to Rx device (Device 2). Tx device (Device 1) is minimally impacted by interference source.</w:t>
            </w:r>
          </w:p>
        </w:tc>
      </w:tr>
      <w:tr>
        <w:trPr>
          <w:trHeight w:val="838" w:hRule="exact"/>
        </w:trPr>
        <w:tc>
          <w:tcPr>
            <w:tcW w:w="2427" w:type="dxa"/>
          </w:tcPr>
          <w:p>
            <w:pPr>
              <w:pStyle w:val="TableParagraph"/>
              <w:tabs>
                <w:tab w:pos="1352" w:val="left" w:leader="none"/>
              </w:tabs>
              <w:spacing w:line="240" w:lineRule="auto"/>
              <w:ind w:right="103"/>
              <w:jc w:val="both"/>
              <w:rPr>
                <w:sz w:val="18"/>
              </w:rPr>
            </w:pPr>
            <w:r>
              <w:rPr>
                <w:sz w:val="18"/>
              </w:rPr>
              <w:t>I.e. receive signal power (of Signal</w:t>
              <w:tab/>
            </w:r>
            <w:r>
              <w:rPr>
                <w:spacing w:val="-1"/>
                <w:sz w:val="18"/>
              </w:rPr>
              <w:t>Generators) </w:t>
            </w:r>
            <w:r>
              <w:rPr>
                <w:sz w:val="18"/>
              </w:rPr>
              <w:t>measured at DUT input is 40</w:t>
            </w:r>
            <w:r>
              <w:rPr>
                <w:spacing w:val="-3"/>
                <w:sz w:val="18"/>
              </w:rPr>
              <w:t> </w:t>
            </w:r>
            <w:r>
              <w:rPr>
                <w:sz w:val="18"/>
              </w:rPr>
              <w:t>dBm.</w:t>
            </w:r>
          </w:p>
        </w:tc>
        <w:tc>
          <w:tcPr>
            <w:tcW w:w="2520" w:type="dxa"/>
          </w:tcPr>
          <w:p>
            <w:pPr>
              <w:pStyle w:val="TableParagraph"/>
              <w:rPr>
                <w:sz w:val="18"/>
              </w:rPr>
            </w:pPr>
            <w:r>
              <w:rPr>
                <w:sz w:val="18"/>
              </w:rPr>
              <w:t>Off</w:t>
            </w:r>
          </w:p>
        </w:tc>
        <w:tc>
          <w:tcPr>
            <w:tcW w:w="2430" w:type="dxa"/>
          </w:tcPr>
          <w:p>
            <w:pPr>
              <w:pStyle w:val="TableParagraph"/>
              <w:tabs>
                <w:tab w:pos="1357" w:val="left" w:leader="none"/>
              </w:tabs>
              <w:spacing w:line="240" w:lineRule="auto"/>
              <w:ind w:right="101"/>
              <w:jc w:val="both"/>
              <w:rPr>
                <w:sz w:val="18"/>
              </w:rPr>
            </w:pPr>
            <w:r>
              <w:rPr>
                <w:sz w:val="18"/>
              </w:rPr>
              <w:t>I.e. receive signal power (of Signal</w:t>
              <w:tab/>
            </w:r>
            <w:r>
              <w:rPr>
                <w:spacing w:val="-1"/>
                <w:sz w:val="18"/>
              </w:rPr>
              <w:t>Generators) </w:t>
            </w:r>
            <w:r>
              <w:rPr>
                <w:sz w:val="18"/>
              </w:rPr>
              <w:t>measured at DUT input is 40</w:t>
            </w:r>
            <w:r>
              <w:rPr>
                <w:spacing w:val="-3"/>
                <w:sz w:val="18"/>
              </w:rPr>
              <w:t> </w:t>
            </w:r>
            <w:r>
              <w:rPr>
                <w:sz w:val="18"/>
              </w:rPr>
              <w:t>dBm.</w:t>
            </w:r>
          </w:p>
        </w:tc>
      </w:tr>
    </w:tbl>
    <w:p>
      <w:pPr>
        <w:pStyle w:val="BodyText"/>
        <w:rPr>
          <w:b/>
          <w:sz w:val="22"/>
        </w:rPr>
      </w:pPr>
    </w:p>
    <w:p>
      <w:pPr>
        <w:pStyle w:val="ListParagraph"/>
        <w:numPr>
          <w:ilvl w:val="0"/>
          <w:numId w:val="57"/>
        </w:numPr>
        <w:tabs>
          <w:tab w:pos="1702" w:val="left" w:leader="none"/>
        </w:tabs>
        <w:spacing w:line="240" w:lineRule="auto" w:before="154" w:after="0"/>
        <w:ind w:left="1702" w:right="0" w:hanging="286"/>
        <w:jc w:val="left"/>
        <w:rPr>
          <w:sz w:val="20"/>
        </w:rPr>
      </w:pPr>
      <w:r>
        <w:rPr>
          <w:sz w:val="20"/>
        </w:rPr>
        <w:t>Enable transmission of the Transmit device (Device</w:t>
      </w:r>
      <w:r>
        <w:rPr>
          <w:spacing w:val="-19"/>
          <w:sz w:val="20"/>
        </w:rPr>
        <w:t> </w:t>
      </w:r>
      <w:r>
        <w:rPr>
          <w:sz w:val="20"/>
        </w:rPr>
        <w:t>1).</w:t>
      </w:r>
    </w:p>
    <w:p>
      <w:pPr>
        <w:pStyle w:val="ListParagraph"/>
        <w:numPr>
          <w:ilvl w:val="0"/>
          <w:numId w:val="57"/>
        </w:numPr>
        <w:tabs>
          <w:tab w:pos="1702" w:val="left" w:leader="none"/>
        </w:tabs>
        <w:spacing w:line="240" w:lineRule="auto" w:before="180" w:after="0"/>
        <w:ind w:left="1702" w:right="0" w:hanging="286"/>
        <w:jc w:val="left"/>
        <w:rPr>
          <w:sz w:val="20"/>
        </w:rPr>
      </w:pPr>
      <w:r>
        <w:rPr>
          <w:sz w:val="20"/>
        </w:rPr>
        <w:t>For each test run, record a log file of the following</w:t>
      </w:r>
      <w:r>
        <w:rPr>
          <w:spacing w:val="-21"/>
          <w:sz w:val="20"/>
        </w:rPr>
        <w:t> </w:t>
      </w:r>
      <w:r>
        <w:rPr>
          <w:sz w:val="20"/>
        </w:rPr>
        <w:t>statistics:</w:t>
      </w:r>
    </w:p>
    <w:p>
      <w:pPr>
        <w:pStyle w:val="ListParagraph"/>
        <w:numPr>
          <w:ilvl w:val="1"/>
          <w:numId w:val="57"/>
        </w:numPr>
        <w:tabs>
          <w:tab w:pos="1985" w:val="left" w:leader="none"/>
          <w:tab w:pos="1986" w:val="left" w:leader="none"/>
        </w:tabs>
        <w:spacing w:line="240" w:lineRule="auto" w:before="180" w:after="0"/>
        <w:ind w:left="1985" w:right="0" w:hanging="286"/>
        <w:jc w:val="left"/>
        <w:rPr>
          <w:sz w:val="20"/>
        </w:rPr>
      </w:pPr>
      <w:r>
        <w:rPr>
          <w:sz w:val="20"/>
        </w:rPr>
        <w:t>For Device 1: OS timestamp for each Tx packet, sequence number of each Tx</w:t>
      </w:r>
      <w:r>
        <w:rPr>
          <w:spacing w:val="-18"/>
          <w:sz w:val="20"/>
        </w:rPr>
        <w:t> </w:t>
      </w:r>
      <w:r>
        <w:rPr>
          <w:sz w:val="20"/>
        </w:rPr>
        <w:t>packet.</w:t>
      </w:r>
    </w:p>
    <w:p>
      <w:pPr>
        <w:pStyle w:val="ListParagraph"/>
        <w:numPr>
          <w:ilvl w:val="1"/>
          <w:numId w:val="57"/>
        </w:numPr>
        <w:tabs>
          <w:tab w:pos="1985" w:val="left" w:leader="none"/>
          <w:tab w:pos="1986" w:val="left" w:leader="none"/>
        </w:tabs>
        <w:spacing w:line="240" w:lineRule="auto" w:before="180" w:after="0"/>
        <w:ind w:left="1985" w:right="1129" w:hanging="286"/>
        <w:jc w:val="left"/>
        <w:rPr>
          <w:sz w:val="20"/>
        </w:rPr>
      </w:pPr>
      <w:r>
        <w:rPr>
          <w:sz w:val="20"/>
        </w:rPr>
        <w:t>For DUT: OS timestamp for each Rx packet, sequence number of each Rx packet, receive signal power for each Rx</w:t>
      </w:r>
      <w:r>
        <w:rPr>
          <w:spacing w:val="-6"/>
          <w:sz w:val="20"/>
        </w:rPr>
        <w:t> </w:t>
      </w:r>
      <w:r>
        <w:rPr>
          <w:sz w:val="20"/>
        </w:rPr>
        <w:t>packet.</w:t>
      </w:r>
    </w:p>
    <w:p>
      <w:pPr>
        <w:pStyle w:val="ListParagraph"/>
        <w:numPr>
          <w:ilvl w:val="0"/>
          <w:numId w:val="57"/>
        </w:numPr>
        <w:tabs>
          <w:tab w:pos="1703" w:val="left" w:leader="none"/>
        </w:tabs>
        <w:spacing w:line="410" w:lineRule="atLeast" w:before="0" w:after="0"/>
        <w:ind w:left="1416" w:right="1133" w:firstLine="0"/>
        <w:jc w:val="left"/>
        <w:rPr>
          <w:sz w:val="20"/>
        </w:rPr>
      </w:pPr>
      <w:r>
        <w:rPr>
          <w:sz w:val="20"/>
        </w:rPr>
        <w:t>Repeat step 8 for a total of “n” iterations, according to column “Number of Iterations” of Table 35. 10.Repeat</w:t>
      </w:r>
      <w:r>
        <w:rPr>
          <w:spacing w:val="9"/>
          <w:sz w:val="20"/>
        </w:rPr>
        <w:t> </w:t>
      </w:r>
      <w:r>
        <w:rPr>
          <w:sz w:val="20"/>
        </w:rPr>
        <w:t>steps</w:t>
      </w:r>
      <w:r>
        <w:rPr>
          <w:spacing w:val="10"/>
          <w:sz w:val="20"/>
        </w:rPr>
        <w:t> </w:t>
      </w:r>
      <w:r>
        <w:rPr>
          <w:sz w:val="20"/>
        </w:rPr>
        <w:t>5</w:t>
      </w:r>
      <w:r>
        <w:rPr>
          <w:spacing w:val="12"/>
          <w:sz w:val="20"/>
        </w:rPr>
        <w:t> </w:t>
      </w:r>
      <w:r>
        <w:rPr>
          <w:sz w:val="20"/>
        </w:rPr>
        <w:t>through</w:t>
      </w:r>
      <w:r>
        <w:rPr>
          <w:spacing w:val="10"/>
          <w:sz w:val="20"/>
        </w:rPr>
        <w:t> </w:t>
      </w:r>
      <w:r>
        <w:rPr>
          <w:sz w:val="20"/>
        </w:rPr>
        <w:t>9</w:t>
      </w:r>
      <w:r>
        <w:rPr>
          <w:spacing w:val="12"/>
          <w:sz w:val="20"/>
        </w:rPr>
        <w:t> </w:t>
      </w:r>
      <w:r>
        <w:rPr>
          <w:sz w:val="20"/>
        </w:rPr>
        <w:t>for</w:t>
      </w:r>
      <w:r>
        <w:rPr>
          <w:spacing w:val="10"/>
          <w:sz w:val="20"/>
        </w:rPr>
        <w:t> </w:t>
      </w:r>
      <w:r>
        <w:rPr>
          <w:sz w:val="20"/>
        </w:rPr>
        <w:t>interference</w:t>
      </w:r>
      <w:r>
        <w:rPr>
          <w:spacing w:val="12"/>
          <w:sz w:val="20"/>
        </w:rPr>
        <w:t> </w:t>
      </w:r>
      <w:r>
        <w:rPr>
          <w:sz w:val="20"/>
        </w:rPr>
        <w:t>on</w:t>
      </w:r>
      <w:r>
        <w:rPr>
          <w:spacing w:val="11"/>
          <w:sz w:val="20"/>
        </w:rPr>
        <w:t> </w:t>
      </w:r>
      <w:r>
        <w:rPr>
          <w:sz w:val="20"/>
        </w:rPr>
        <w:t>position</w:t>
      </w:r>
      <w:r>
        <w:rPr>
          <w:spacing w:val="12"/>
          <w:sz w:val="20"/>
        </w:rPr>
        <w:t> </w:t>
      </w:r>
      <w:r>
        <w:rPr>
          <w:sz w:val="20"/>
        </w:rPr>
        <w:t>2</w:t>
      </w:r>
      <w:r>
        <w:rPr>
          <w:spacing w:val="10"/>
          <w:sz w:val="20"/>
        </w:rPr>
        <w:t> </w:t>
      </w:r>
      <w:r>
        <w:rPr>
          <w:sz w:val="20"/>
        </w:rPr>
        <w:t>from</w:t>
      </w:r>
      <w:r>
        <w:rPr>
          <w:spacing w:val="14"/>
          <w:sz w:val="20"/>
        </w:rPr>
        <w:t> </w:t>
      </w:r>
      <w:r>
        <w:rPr>
          <w:sz w:val="20"/>
        </w:rPr>
        <w:t>Figure</w:t>
      </w:r>
      <w:r>
        <w:rPr>
          <w:spacing w:val="19"/>
          <w:sz w:val="20"/>
        </w:rPr>
        <w:t> </w:t>
      </w:r>
      <w:r>
        <w:rPr>
          <w:sz w:val="20"/>
        </w:rPr>
        <w:t>78,</w:t>
      </w:r>
      <w:r>
        <w:rPr>
          <w:spacing w:val="10"/>
          <w:sz w:val="20"/>
        </w:rPr>
        <w:t> </w:t>
      </w:r>
      <w:r>
        <w:rPr>
          <w:sz w:val="20"/>
        </w:rPr>
        <w:t>(i.e.,</w:t>
      </w:r>
      <w:r>
        <w:rPr>
          <w:spacing w:val="12"/>
          <w:sz w:val="20"/>
        </w:rPr>
        <w:t> </w:t>
      </w:r>
      <w:r>
        <w:rPr>
          <w:sz w:val="20"/>
        </w:rPr>
        <w:t>in</w:t>
      </w:r>
      <w:r>
        <w:rPr>
          <w:spacing w:val="10"/>
          <w:sz w:val="20"/>
        </w:rPr>
        <w:t> </w:t>
      </w:r>
      <w:r>
        <w:rPr>
          <w:sz w:val="20"/>
        </w:rPr>
        <w:t>step</w:t>
      </w:r>
      <w:r>
        <w:rPr>
          <w:spacing w:val="11"/>
          <w:sz w:val="20"/>
        </w:rPr>
        <w:t> </w:t>
      </w:r>
      <w:r>
        <w:rPr>
          <w:sz w:val="20"/>
        </w:rPr>
        <w:t>6</w:t>
      </w:r>
      <w:r>
        <w:rPr>
          <w:spacing w:val="12"/>
          <w:sz w:val="20"/>
        </w:rPr>
        <w:t> </w:t>
      </w:r>
      <w:r>
        <w:rPr>
          <w:sz w:val="20"/>
        </w:rPr>
        <w:t>use</w:t>
      </w:r>
      <w:r>
        <w:rPr>
          <w:spacing w:val="10"/>
          <w:sz w:val="20"/>
        </w:rPr>
        <w:t> </w:t>
      </w:r>
      <w:r>
        <w:rPr>
          <w:sz w:val="20"/>
        </w:rPr>
        <w:t>the</w:t>
      </w:r>
      <w:r>
        <w:rPr>
          <w:spacing w:val="11"/>
          <w:sz w:val="20"/>
        </w:rPr>
        <w:t> </w:t>
      </w:r>
      <w:r>
        <w:rPr>
          <w:sz w:val="20"/>
        </w:rPr>
        <w:t>center</w:t>
      </w:r>
    </w:p>
    <w:p>
      <w:pPr>
        <w:pStyle w:val="BodyText"/>
        <w:ind w:left="1702"/>
      </w:pPr>
      <w:r>
        <w:rPr/>
        <w:t>frequency defined in Figure 78 as position 2.)</w:t>
      </w:r>
    </w:p>
    <w:p>
      <w:pPr>
        <w:pStyle w:val="ListParagraph"/>
        <w:numPr>
          <w:ilvl w:val="0"/>
          <w:numId w:val="58"/>
        </w:numPr>
        <w:tabs>
          <w:tab w:pos="1703" w:val="left" w:leader="none"/>
        </w:tabs>
        <w:spacing w:line="240" w:lineRule="auto" w:before="180" w:after="0"/>
        <w:ind w:left="1702" w:right="1127" w:hanging="286"/>
        <w:jc w:val="left"/>
        <w:rPr>
          <w:sz w:val="20"/>
        </w:rPr>
      </w:pPr>
      <w:r>
        <w:rPr>
          <w:sz w:val="20"/>
        </w:rPr>
        <w:t>Repeat steps 5 through 10 for interference on position 3 from Figure 78, (i.e., in step 6 use the center frequency defined in Figure 78 as position</w:t>
      </w:r>
      <w:r>
        <w:rPr>
          <w:spacing w:val="-13"/>
          <w:sz w:val="20"/>
        </w:rPr>
        <w:t> </w:t>
      </w:r>
      <w:r>
        <w:rPr>
          <w:sz w:val="20"/>
        </w:rPr>
        <w:t>3.)</w:t>
      </w:r>
    </w:p>
    <w:p>
      <w:pPr>
        <w:pStyle w:val="ListParagraph"/>
        <w:numPr>
          <w:ilvl w:val="0"/>
          <w:numId w:val="58"/>
        </w:numPr>
        <w:tabs>
          <w:tab w:pos="1703" w:val="left" w:leader="none"/>
        </w:tabs>
        <w:spacing w:line="240" w:lineRule="auto" w:before="178" w:after="0"/>
        <w:ind w:left="1702" w:right="1134" w:hanging="286"/>
        <w:jc w:val="left"/>
        <w:rPr>
          <w:sz w:val="20"/>
        </w:rPr>
      </w:pPr>
      <w:r>
        <w:rPr>
          <w:sz w:val="20"/>
        </w:rPr>
        <w:t>Repeat</w:t>
      </w:r>
      <w:r>
        <w:rPr>
          <w:spacing w:val="-6"/>
          <w:sz w:val="20"/>
        </w:rPr>
        <w:t> </w:t>
      </w:r>
      <w:r>
        <w:rPr>
          <w:sz w:val="20"/>
        </w:rPr>
        <w:t>steps</w:t>
      </w:r>
      <w:r>
        <w:rPr>
          <w:spacing w:val="-2"/>
          <w:sz w:val="20"/>
        </w:rPr>
        <w:t> </w:t>
      </w:r>
      <w:r>
        <w:rPr>
          <w:sz w:val="20"/>
        </w:rPr>
        <w:t>5</w:t>
      </w:r>
      <w:r>
        <w:rPr>
          <w:spacing w:val="-6"/>
          <w:sz w:val="20"/>
        </w:rPr>
        <w:t> </w:t>
      </w:r>
      <w:r>
        <w:rPr>
          <w:sz w:val="20"/>
        </w:rPr>
        <w:t>through</w:t>
      </w:r>
      <w:r>
        <w:rPr>
          <w:spacing w:val="-6"/>
          <w:sz w:val="20"/>
        </w:rPr>
        <w:t> </w:t>
      </w:r>
      <w:r>
        <w:rPr>
          <w:sz w:val="20"/>
        </w:rPr>
        <w:t>11</w:t>
      </w:r>
      <w:r>
        <w:rPr>
          <w:spacing w:val="-1"/>
          <w:sz w:val="20"/>
        </w:rPr>
        <w:t> </w:t>
      </w:r>
      <w:r>
        <w:rPr>
          <w:sz w:val="20"/>
        </w:rPr>
        <w:t>for</w:t>
      </w:r>
      <w:r>
        <w:rPr>
          <w:spacing w:val="-5"/>
          <w:sz w:val="20"/>
        </w:rPr>
        <w:t> </w:t>
      </w:r>
      <w:r>
        <w:rPr>
          <w:sz w:val="20"/>
        </w:rPr>
        <w:t>all</w:t>
      </w:r>
      <w:r>
        <w:rPr>
          <w:spacing w:val="-6"/>
          <w:sz w:val="20"/>
        </w:rPr>
        <w:t> </w:t>
      </w:r>
      <w:r>
        <w:rPr>
          <w:sz w:val="20"/>
        </w:rPr>
        <w:t>bandwidth</w:t>
      </w:r>
      <w:r>
        <w:rPr>
          <w:spacing w:val="-6"/>
          <w:sz w:val="20"/>
        </w:rPr>
        <w:t> </w:t>
      </w:r>
      <w:r>
        <w:rPr>
          <w:sz w:val="20"/>
        </w:rPr>
        <w:t>sizes</w:t>
      </w:r>
      <w:r>
        <w:rPr>
          <w:spacing w:val="-5"/>
          <w:sz w:val="20"/>
        </w:rPr>
        <w:t> </w:t>
      </w:r>
      <w:r>
        <w:rPr>
          <w:sz w:val="20"/>
        </w:rPr>
        <w:t>from</w:t>
      </w:r>
      <w:r>
        <w:rPr>
          <w:spacing w:val="-4"/>
          <w:sz w:val="20"/>
        </w:rPr>
        <w:t> </w:t>
      </w:r>
      <w:r>
        <w:rPr>
          <w:sz w:val="20"/>
        </w:rPr>
        <w:t>Table</w:t>
      </w:r>
      <w:r>
        <w:rPr>
          <w:spacing w:val="-1"/>
          <w:sz w:val="20"/>
        </w:rPr>
        <w:t> </w:t>
      </w:r>
      <w:r>
        <w:rPr>
          <w:sz w:val="20"/>
        </w:rPr>
        <w:t>35,</w:t>
      </w:r>
      <w:r>
        <w:rPr>
          <w:spacing w:val="-5"/>
          <w:sz w:val="20"/>
        </w:rPr>
        <w:t> </w:t>
      </w:r>
      <w:r>
        <w:rPr>
          <w:sz w:val="20"/>
        </w:rPr>
        <w:t>(i.e.,</w:t>
      </w:r>
      <w:r>
        <w:rPr>
          <w:spacing w:val="-3"/>
          <w:sz w:val="20"/>
        </w:rPr>
        <w:t> </w:t>
      </w:r>
      <w:r>
        <w:rPr>
          <w:sz w:val="20"/>
        </w:rPr>
        <w:t>in</w:t>
      </w:r>
      <w:r>
        <w:rPr>
          <w:spacing w:val="-6"/>
          <w:sz w:val="20"/>
        </w:rPr>
        <w:t> </w:t>
      </w:r>
      <w:r>
        <w:rPr>
          <w:sz w:val="20"/>
        </w:rPr>
        <w:t>step</w:t>
      </w:r>
      <w:r>
        <w:rPr>
          <w:spacing w:val="-6"/>
          <w:sz w:val="20"/>
        </w:rPr>
        <w:t> </w:t>
      </w:r>
      <w:r>
        <w:rPr>
          <w:sz w:val="20"/>
        </w:rPr>
        <w:t>6</w:t>
      </w:r>
      <w:r>
        <w:rPr>
          <w:spacing w:val="-3"/>
          <w:sz w:val="20"/>
        </w:rPr>
        <w:t> </w:t>
      </w:r>
      <w:r>
        <w:rPr>
          <w:sz w:val="20"/>
        </w:rPr>
        <w:t>use</w:t>
      </w:r>
      <w:r>
        <w:rPr>
          <w:spacing w:val="-6"/>
          <w:sz w:val="20"/>
        </w:rPr>
        <w:t> </w:t>
      </w:r>
      <w:r>
        <w:rPr>
          <w:sz w:val="20"/>
        </w:rPr>
        <w:t>the</w:t>
      </w:r>
      <w:r>
        <w:rPr>
          <w:spacing w:val="-4"/>
          <w:sz w:val="20"/>
        </w:rPr>
        <w:t> </w:t>
      </w:r>
      <w:r>
        <w:rPr>
          <w:sz w:val="20"/>
        </w:rPr>
        <w:t>bandwidth</w:t>
      </w:r>
      <w:r>
        <w:rPr>
          <w:spacing w:val="-6"/>
          <w:sz w:val="20"/>
        </w:rPr>
        <w:t> </w:t>
      </w:r>
      <w:r>
        <w:rPr>
          <w:sz w:val="20"/>
        </w:rPr>
        <w:t>from column “Interference Bandwidth” from the next row of Table</w:t>
      </w:r>
      <w:r>
        <w:rPr>
          <w:spacing w:val="-19"/>
          <w:sz w:val="20"/>
        </w:rPr>
        <w:t> </w:t>
      </w:r>
      <w:r>
        <w:rPr>
          <w:sz w:val="20"/>
        </w:rPr>
        <w:t>35).</w:t>
      </w:r>
    </w:p>
    <w:p>
      <w:pPr>
        <w:pStyle w:val="ListParagraph"/>
        <w:numPr>
          <w:ilvl w:val="0"/>
          <w:numId w:val="58"/>
        </w:numPr>
        <w:tabs>
          <w:tab w:pos="1703" w:val="left" w:leader="none"/>
        </w:tabs>
        <w:spacing w:line="240" w:lineRule="auto" w:before="180" w:after="0"/>
        <w:ind w:left="1702" w:right="1129" w:hanging="286"/>
        <w:jc w:val="left"/>
        <w:rPr>
          <w:sz w:val="20"/>
        </w:rPr>
      </w:pPr>
      <w:r>
        <w:rPr>
          <w:sz w:val="20"/>
        </w:rPr>
        <w:t>Repeat</w:t>
      </w:r>
      <w:r>
        <w:rPr>
          <w:spacing w:val="-6"/>
          <w:sz w:val="20"/>
        </w:rPr>
        <w:t> </w:t>
      </w:r>
      <w:r>
        <w:rPr>
          <w:sz w:val="20"/>
        </w:rPr>
        <w:t>steps</w:t>
      </w:r>
      <w:r>
        <w:rPr>
          <w:spacing w:val="-2"/>
          <w:sz w:val="20"/>
        </w:rPr>
        <w:t> </w:t>
      </w:r>
      <w:r>
        <w:rPr>
          <w:sz w:val="20"/>
        </w:rPr>
        <w:t>5</w:t>
      </w:r>
      <w:r>
        <w:rPr>
          <w:spacing w:val="-6"/>
          <w:sz w:val="20"/>
        </w:rPr>
        <w:t> </w:t>
      </w:r>
      <w:r>
        <w:rPr>
          <w:sz w:val="20"/>
        </w:rPr>
        <w:t>through</w:t>
      </w:r>
      <w:r>
        <w:rPr>
          <w:spacing w:val="-3"/>
          <w:sz w:val="20"/>
        </w:rPr>
        <w:t> </w:t>
      </w:r>
      <w:r>
        <w:rPr>
          <w:sz w:val="20"/>
        </w:rPr>
        <w:t>12</w:t>
      </w:r>
      <w:r>
        <w:rPr>
          <w:spacing w:val="-2"/>
          <w:sz w:val="20"/>
        </w:rPr>
        <w:t> </w:t>
      </w:r>
      <w:r>
        <w:rPr>
          <w:sz w:val="20"/>
        </w:rPr>
        <w:t>for</w:t>
      </w:r>
      <w:r>
        <w:rPr>
          <w:spacing w:val="-5"/>
          <w:sz w:val="20"/>
        </w:rPr>
        <w:t> </w:t>
      </w:r>
      <w:r>
        <w:rPr>
          <w:sz w:val="20"/>
        </w:rPr>
        <w:t>the</w:t>
      </w:r>
      <w:r>
        <w:rPr>
          <w:spacing w:val="-6"/>
          <w:sz w:val="20"/>
        </w:rPr>
        <w:t> </w:t>
      </w:r>
      <w:r>
        <w:rPr>
          <w:sz w:val="20"/>
        </w:rPr>
        <w:t>second</w:t>
      </w:r>
      <w:r>
        <w:rPr>
          <w:spacing w:val="-6"/>
          <w:sz w:val="20"/>
        </w:rPr>
        <w:t> </w:t>
      </w:r>
      <w:r>
        <w:rPr>
          <w:sz w:val="20"/>
        </w:rPr>
        <w:t>set</w:t>
      </w:r>
      <w:r>
        <w:rPr>
          <w:spacing w:val="-4"/>
          <w:sz w:val="20"/>
        </w:rPr>
        <w:t> </w:t>
      </w:r>
      <w:r>
        <w:rPr>
          <w:sz w:val="20"/>
        </w:rPr>
        <w:t>of</w:t>
      </w:r>
      <w:r>
        <w:rPr>
          <w:spacing w:val="-4"/>
          <w:sz w:val="20"/>
        </w:rPr>
        <w:t> </w:t>
      </w:r>
      <w:r>
        <w:rPr>
          <w:sz w:val="20"/>
        </w:rPr>
        <w:t>interference</w:t>
      </w:r>
      <w:r>
        <w:rPr>
          <w:spacing w:val="-6"/>
          <w:sz w:val="20"/>
        </w:rPr>
        <w:t> </w:t>
      </w:r>
      <w:r>
        <w:rPr>
          <w:sz w:val="20"/>
        </w:rPr>
        <w:t>source</w:t>
      </w:r>
      <w:r>
        <w:rPr>
          <w:spacing w:val="-6"/>
          <w:sz w:val="20"/>
        </w:rPr>
        <w:t> </w:t>
      </w:r>
      <w:r>
        <w:rPr>
          <w:sz w:val="20"/>
        </w:rPr>
        <w:t>position</w:t>
      </w:r>
      <w:r>
        <w:rPr>
          <w:spacing w:val="-6"/>
          <w:sz w:val="20"/>
        </w:rPr>
        <w:t> </w:t>
      </w:r>
      <w:r>
        <w:rPr>
          <w:sz w:val="20"/>
        </w:rPr>
        <w:t>settings,</w:t>
      </w:r>
      <w:r>
        <w:rPr>
          <w:spacing w:val="1"/>
          <w:sz w:val="20"/>
        </w:rPr>
        <w:t> </w:t>
      </w:r>
      <w:r>
        <w:rPr>
          <w:sz w:val="20"/>
        </w:rPr>
        <w:t>(i.e.,</w:t>
      </w:r>
      <w:r>
        <w:rPr>
          <w:spacing w:val="-3"/>
          <w:sz w:val="20"/>
        </w:rPr>
        <w:t> </w:t>
      </w:r>
      <w:r>
        <w:rPr>
          <w:sz w:val="20"/>
        </w:rPr>
        <w:t>in</w:t>
      </w:r>
      <w:r>
        <w:rPr>
          <w:spacing w:val="-3"/>
          <w:sz w:val="20"/>
        </w:rPr>
        <w:t> </w:t>
      </w:r>
      <w:r>
        <w:rPr>
          <w:sz w:val="20"/>
        </w:rPr>
        <w:t>step</w:t>
      </w:r>
      <w:r>
        <w:rPr>
          <w:spacing w:val="-3"/>
          <w:sz w:val="20"/>
        </w:rPr>
        <w:t> </w:t>
      </w:r>
      <w:r>
        <w:rPr>
          <w:sz w:val="20"/>
        </w:rPr>
        <w:t>7</w:t>
      </w:r>
      <w:r>
        <w:rPr>
          <w:spacing w:val="-6"/>
          <w:sz w:val="20"/>
        </w:rPr>
        <w:t> </w:t>
      </w:r>
      <w:r>
        <w:rPr>
          <w:sz w:val="20"/>
        </w:rPr>
        <w:t>set the attenuation values on Attenuator 1 and Attenuator 2 according to the second row of Table</w:t>
      </w:r>
      <w:r>
        <w:rPr>
          <w:spacing w:val="-23"/>
          <w:sz w:val="20"/>
        </w:rPr>
        <w:t> </w:t>
      </w:r>
      <w:r>
        <w:rPr>
          <w:sz w:val="20"/>
        </w:rPr>
        <w:t>35.)</w:t>
      </w:r>
    </w:p>
    <w:p>
      <w:pPr>
        <w:pStyle w:val="BodyText"/>
        <w:spacing w:before="11"/>
        <w:rPr>
          <w:sz w:val="25"/>
        </w:rPr>
      </w:pPr>
    </w:p>
    <w:p>
      <w:pPr>
        <w:pStyle w:val="ListParagraph"/>
        <w:numPr>
          <w:ilvl w:val="3"/>
          <w:numId w:val="55"/>
        </w:numPr>
        <w:tabs>
          <w:tab w:pos="2551" w:val="left" w:leader="none"/>
          <w:tab w:pos="2552" w:val="left" w:leader="none"/>
        </w:tabs>
        <w:spacing w:line="240" w:lineRule="auto" w:before="0" w:after="0"/>
        <w:ind w:left="2551" w:right="0" w:hanging="1418"/>
        <w:jc w:val="left"/>
        <w:rPr>
          <w:sz w:val="24"/>
        </w:rPr>
      </w:pPr>
      <w:r>
        <w:rPr>
          <w:sz w:val="24"/>
        </w:rPr>
        <w:t>Unique Tests to be</w:t>
      </w:r>
      <w:r>
        <w:rPr>
          <w:spacing w:val="-10"/>
          <w:sz w:val="24"/>
        </w:rPr>
        <w:t> </w:t>
      </w:r>
      <w:r>
        <w:rPr>
          <w:sz w:val="24"/>
        </w:rPr>
        <w:t>Conducted</w:t>
      </w:r>
    </w:p>
    <w:p>
      <w:pPr>
        <w:pStyle w:val="BodyText"/>
        <w:spacing w:before="181"/>
        <w:ind w:left="1133"/>
      </w:pPr>
      <w:r>
        <w:rPr/>
        <w:t>Run this test using:</w:t>
      </w:r>
    </w:p>
    <w:p>
      <w:pPr>
        <w:pStyle w:val="BodyText"/>
        <w:spacing w:before="180"/>
        <w:ind w:left="1416"/>
      </w:pPr>
      <w:r>
        <w:rPr/>
        <w:t>Two (2) C-V2X devices for the test</w:t>
      </w:r>
    </w:p>
    <w:p>
      <w:pPr>
        <w:pStyle w:val="BodyText"/>
        <w:spacing w:before="9"/>
        <w:rPr>
          <w:sz w:val="25"/>
        </w:rPr>
      </w:pPr>
    </w:p>
    <w:p>
      <w:pPr>
        <w:pStyle w:val="Heading5"/>
        <w:numPr>
          <w:ilvl w:val="3"/>
          <w:numId w:val="55"/>
        </w:numPr>
        <w:tabs>
          <w:tab w:pos="2551" w:val="left" w:leader="none"/>
          <w:tab w:pos="2552" w:val="left" w:leader="none"/>
        </w:tabs>
        <w:spacing w:line="240" w:lineRule="auto" w:before="0" w:after="0"/>
        <w:ind w:left="2551" w:right="0" w:hanging="1418"/>
        <w:jc w:val="left"/>
        <w:rPr>
          <w:rFonts w:ascii="Arial"/>
        </w:rPr>
      </w:pPr>
      <w:r>
        <w:rPr>
          <w:rFonts w:ascii="Arial"/>
        </w:rPr>
        <w:t>Required</w:t>
      </w:r>
      <w:r>
        <w:rPr>
          <w:rFonts w:ascii="Arial"/>
          <w:spacing w:val="-9"/>
        </w:rPr>
        <w:t> </w:t>
      </w:r>
      <w:r>
        <w:rPr>
          <w:rFonts w:ascii="Arial"/>
        </w:rPr>
        <w:t>Documentation</w:t>
      </w:r>
    </w:p>
    <w:p>
      <w:pPr>
        <w:pStyle w:val="BodyText"/>
        <w:spacing w:before="181"/>
        <w:ind w:left="1133"/>
      </w:pPr>
      <w:r>
        <w:rPr/>
        <w:t>Using the data collected from log files, or observed from any OBU user interface, fill in Table 37.</w:t>
      </w:r>
    </w:p>
    <w:p>
      <w:pPr>
        <w:spacing w:after="0"/>
        <w:sectPr>
          <w:headerReference w:type="default" r:id="rId421"/>
          <w:pgSz w:w="11910" w:h="16850"/>
          <w:pgMar w:header="852" w:footer="876" w:top="1040" w:bottom="1160" w:left="0" w:right="0"/>
        </w:sectPr>
      </w:pPr>
    </w:p>
    <w:p>
      <w:pPr>
        <w:pStyle w:val="BodyText"/>
        <w:rPr>
          <w:sz w:val="23"/>
        </w:rPr>
      </w:pPr>
    </w:p>
    <w:p>
      <w:pPr>
        <w:pStyle w:val="Heading7"/>
        <w:spacing w:before="93"/>
      </w:pPr>
      <w:r>
        <w:rPr/>
        <w:t>Table 37: C-V2X Results</w:t>
      </w:r>
    </w:p>
    <w:p>
      <w:pPr>
        <w:pStyle w:val="BodyText"/>
        <w:spacing w:before="2"/>
        <w:rPr>
          <w:b/>
          <w:sz w:val="16"/>
        </w:rPr>
      </w:pPr>
    </w:p>
    <w:tbl>
      <w:tblPr>
        <w:tblW w:w="0" w:type="auto"/>
        <w:jc w:val="left"/>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9"/>
        <w:gridCol w:w="1349"/>
        <w:gridCol w:w="1025"/>
        <w:gridCol w:w="1332"/>
        <w:gridCol w:w="1178"/>
        <w:gridCol w:w="1174"/>
        <w:gridCol w:w="1265"/>
        <w:gridCol w:w="1284"/>
      </w:tblGrid>
      <w:tr>
        <w:trPr>
          <w:trHeight w:val="1872" w:hRule="exact"/>
        </w:trPr>
        <w:tc>
          <w:tcPr>
            <w:tcW w:w="1349" w:type="dxa"/>
            <w:vMerge w:val="restart"/>
            <w:shd w:val="clear" w:color="auto" w:fill="D9D9D9"/>
          </w:tcPr>
          <w:p>
            <w:pPr>
              <w:pStyle w:val="TableParagraph"/>
              <w:tabs>
                <w:tab w:pos="1137" w:val="left" w:leader="none"/>
              </w:tabs>
              <w:spacing w:line="240" w:lineRule="auto"/>
              <w:ind w:right="99"/>
              <w:rPr>
                <w:b/>
                <w:sz w:val="18"/>
              </w:rPr>
            </w:pPr>
            <w:r>
              <w:rPr>
                <w:b/>
                <w:sz w:val="18"/>
              </w:rPr>
              <w:t>Signal Generator Setting</w:t>
              <w:tab/>
              <w:t>– Interference Bandwidth (MHz)</w:t>
            </w:r>
          </w:p>
        </w:tc>
        <w:tc>
          <w:tcPr>
            <w:tcW w:w="1349" w:type="dxa"/>
            <w:shd w:val="clear" w:color="auto" w:fill="D9D9D9"/>
          </w:tcPr>
          <w:p>
            <w:pPr>
              <w:pStyle w:val="TableParagraph"/>
              <w:tabs>
                <w:tab w:pos="1138" w:val="left" w:leader="none"/>
              </w:tabs>
              <w:spacing w:line="240" w:lineRule="auto"/>
              <w:ind w:right="99"/>
              <w:rPr>
                <w:b/>
                <w:sz w:val="18"/>
              </w:rPr>
            </w:pPr>
            <w:r>
              <w:rPr>
                <w:b/>
                <w:sz w:val="18"/>
              </w:rPr>
              <w:t>Signal Generator Setting</w:t>
              <w:tab/>
              <w:t>– Position (i.e. Interference Center Frequency (1, 2, or</w:t>
            </w:r>
            <w:r>
              <w:rPr>
                <w:b/>
                <w:spacing w:val="-3"/>
                <w:sz w:val="18"/>
              </w:rPr>
              <w:t> </w:t>
            </w:r>
            <w:r>
              <w:rPr>
                <w:b/>
                <w:sz w:val="18"/>
              </w:rPr>
              <w:t>3)</w:t>
            </w:r>
          </w:p>
        </w:tc>
        <w:tc>
          <w:tcPr>
            <w:tcW w:w="1025" w:type="dxa"/>
            <w:vMerge w:val="restart"/>
            <w:shd w:val="clear" w:color="auto" w:fill="D9D9D9"/>
          </w:tcPr>
          <w:p>
            <w:pPr>
              <w:pStyle w:val="TableParagraph"/>
              <w:tabs>
                <w:tab w:pos="808" w:val="left" w:leader="none"/>
              </w:tabs>
              <w:spacing w:line="240" w:lineRule="auto"/>
              <w:ind w:right="99"/>
              <w:rPr>
                <w:b/>
                <w:sz w:val="18"/>
              </w:rPr>
            </w:pPr>
            <w:r>
              <w:rPr>
                <w:b/>
                <w:sz w:val="18"/>
              </w:rPr>
              <w:t>SigGen Location (“Rx”</w:t>
              <w:tab/>
              <w:t>=</w:t>
            </w:r>
          </w:p>
          <w:p>
            <w:pPr>
              <w:pStyle w:val="TableParagraph"/>
              <w:tabs>
                <w:tab w:pos="592" w:val="left" w:leader="none"/>
                <w:tab w:pos="808" w:val="left" w:leader="none"/>
              </w:tabs>
              <w:spacing w:line="240" w:lineRule="auto" w:before="7"/>
              <w:ind w:right="99"/>
              <w:rPr>
                <w:b/>
                <w:sz w:val="18"/>
              </w:rPr>
            </w:pPr>
            <w:r>
              <w:rPr>
                <w:b/>
                <w:sz w:val="18"/>
              </w:rPr>
              <w:t>close to Rx device; “Mid”</w:t>
              <w:tab/>
              <w:t>= halfway between Tx</w:t>
              <w:tab/>
              <w:t>and Rx Devices)</w:t>
            </w:r>
          </w:p>
        </w:tc>
        <w:tc>
          <w:tcPr>
            <w:tcW w:w="1332" w:type="dxa"/>
            <w:shd w:val="clear" w:color="auto" w:fill="D9D9D9"/>
          </w:tcPr>
          <w:p>
            <w:pPr>
              <w:pStyle w:val="TableParagraph"/>
              <w:spacing w:line="240" w:lineRule="auto" w:before="5"/>
              <w:ind w:left="0"/>
              <w:rPr>
                <w:b/>
                <w:sz w:val="17"/>
              </w:rPr>
            </w:pPr>
          </w:p>
          <w:p>
            <w:pPr>
              <w:pStyle w:val="TableParagraph"/>
              <w:tabs>
                <w:tab w:pos="1051" w:val="left" w:leader="none"/>
              </w:tabs>
              <w:spacing w:line="207" w:lineRule="exact"/>
              <w:rPr>
                <w:b/>
                <w:sz w:val="18"/>
              </w:rPr>
            </w:pPr>
            <w:r>
              <w:rPr>
                <w:b/>
                <w:sz w:val="18"/>
              </w:rPr>
              <w:t>No.</w:t>
              <w:tab/>
              <w:t>of</w:t>
            </w:r>
          </w:p>
          <w:p>
            <w:pPr>
              <w:pStyle w:val="TableParagraph"/>
              <w:spacing w:line="240" w:lineRule="auto"/>
              <w:ind w:right="59"/>
              <w:rPr>
                <w:b/>
                <w:sz w:val="18"/>
              </w:rPr>
            </w:pPr>
            <w:r>
              <w:rPr>
                <w:b/>
                <w:sz w:val="18"/>
              </w:rPr>
              <w:t>Transmitted pkts (summed across all 60- second iterations)</w:t>
            </w:r>
          </w:p>
        </w:tc>
        <w:tc>
          <w:tcPr>
            <w:tcW w:w="1178" w:type="dxa"/>
            <w:shd w:val="clear" w:color="auto" w:fill="D9D9D9"/>
          </w:tcPr>
          <w:p>
            <w:pPr>
              <w:pStyle w:val="TableParagraph"/>
              <w:spacing w:line="240" w:lineRule="auto" w:before="5"/>
              <w:ind w:left="0"/>
              <w:rPr>
                <w:b/>
                <w:sz w:val="17"/>
              </w:rPr>
            </w:pPr>
          </w:p>
          <w:p>
            <w:pPr>
              <w:pStyle w:val="TableParagraph"/>
              <w:tabs>
                <w:tab w:pos="894" w:val="left" w:leader="none"/>
              </w:tabs>
              <w:spacing w:line="207" w:lineRule="exact"/>
              <w:rPr>
                <w:b/>
                <w:sz w:val="18"/>
              </w:rPr>
            </w:pPr>
            <w:r>
              <w:rPr>
                <w:b/>
                <w:sz w:val="18"/>
              </w:rPr>
              <w:t>No.</w:t>
              <w:tab/>
              <w:t>of</w:t>
            </w:r>
          </w:p>
          <w:p>
            <w:pPr>
              <w:pStyle w:val="TableParagraph"/>
              <w:spacing w:line="240" w:lineRule="auto"/>
              <w:ind w:right="102"/>
              <w:rPr>
                <w:b/>
                <w:sz w:val="18"/>
              </w:rPr>
            </w:pPr>
            <w:r>
              <w:rPr>
                <w:b/>
                <w:sz w:val="18"/>
              </w:rPr>
              <w:t>Received pkts (summed across all 60-second iterations)</w:t>
            </w:r>
          </w:p>
        </w:tc>
        <w:tc>
          <w:tcPr>
            <w:tcW w:w="1174" w:type="dxa"/>
            <w:shd w:val="clear" w:color="auto" w:fill="D9D9D9"/>
          </w:tcPr>
          <w:p>
            <w:pPr>
              <w:pStyle w:val="TableParagraph"/>
              <w:spacing w:line="240" w:lineRule="auto"/>
              <w:ind w:left="0"/>
              <w:rPr>
                <w:b/>
                <w:sz w:val="20"/>
              </w:rPr>
            </w:pPr>
          </w:p>
          <w:p>
            <w:pPr>
              <w:pStyle w:val="TableParagraph"/>
              <w:spacing w:line="240" w:lineRule="auto"/>
              <w:ind w:left="0"/>
              <w:rPr>
                <w:b/>
                <w:sz w:val="20"/>
              </w:rPr>
            </w:pPr>
          </w:p>
          <w:p>
            <w:pPr>
              <w:pStyle w:val="TableParagraph"/>
              <w:spacing w:line="240" w:lineRule="auto"/>
              <w:ind w:left="0"/>
              <w:rPr>
                <w:b/>
                <w:sz w:val="20"/>
              </w:rPr>
            </w:pPr>
          </w:p>
          <w:p>
            <w:pPr>
              <w:pStyle w:val="TableParagraph"/>
              <w:spacing w:line="240" w:lineRule="auto" w:before="132"/>
              <w:rPr>
                <w:b/>
                <w:sz w:val="18"/>
              </w:rPr>
            </w:pPr>
            <w:r>
              <w:rPr>
                <w:b/>
                <w:sz w:val="18"/>
              </w:rPr>
              <w:t>PER %</w:t>
            </w:r>
          </w:p>
        </w:tc>
        <w:tc>
          <w:tcPr>
            <w:tcW w:w="1265" w:type="dxa"/>
            <w:shd w:val="clear" w:color="auto" w:fill="D9D9D9"/>
          </w:tcPr>
          <w:p>
            <w:pPr>
              <w:pStyle w:val="TableParagraph"/>
              <w:spacing w:line="240" w:lineRule="auto"/>
              <w:ind w:left="0"/>
              <w:rPr>
                <w:b/>
                <w:sz w:val="20"/>
              </w:rPr>
            </w:pPr>
          </w:p>
          <w:p>
            <w:pPr>
              <w:pStyle w:val="TableParagraph"/>
              <w:spacing w:line="240" w:lineRule="auto"/>
              <w:ind w:left="0"/>
              <w:rPr>
                <w:b/>
                <w:sz w:val="20"/>
              </w:rPr>
            </w:pPr>
          </w:p>
          <w:p>
            <w:pPr>
              <w:pStyle w:val="TableParagraph"/>
              <w:spacing w:line="240" w:lineRule="auto" w:before="156"/>
              <w:ind w:left="100" w:right="275"/>
              <w:rPr>
                <w:b/>
                <w:sz w:val="18"/>
              </w:rPr>
            </w:pPr>
            <w:r>
              <w:rPr>
                <w:b/>
                <w:sz w:val="18"/>
              </w:rPr>
              <w:t>95th Percentile IPG (ms)</w:t>
            </w:r>
          </w:p>
        </w:tc>
        <w:tc>
          <w:tcPr>
            <w:tcW w:w="1284" w:type="dxa"/>
            <w:shd w:val="clear" w:color="auto" w:fill="D9D9D9"/>
          </w:tcPr>
          <w:p>
            <w:pPr>
              <w:pStyle w:val="TableParagraph"/>
              <w:spacing w:line="240" w:lineRule="auto"/>
              <w:ind w:left="0"/>
              <w:rPr>
                <w:b/>
                <w:sz w:val="20"/>
              </w:rPr>
            </w:pPr>
          </w:p>
          <w:p>
            <w:pPr>
              <w:pStyle w:val="TableParagraph"/>
              <w:spacing w:line="240" w:lineRule="auto" w:before="6"/>
              <w:ind w:left="0"/>
              <w:rPr>
                <w:b/>
                <w:sz w:val="24"/>
              </w:rPr>
            </w:pPr>
          </w:p>
          <w:p>
            <w:pPr>
              <w:pStyle w:val="TableParagraph"/>
              <w:spacing w:line="240" w:lineRule="auto" w:before="1"/>
              <w:ind w:left="100" w:right="293"/>
              <w:rPr>
                <w:b/>
                <w:sz w:val="18"/>
              </w:rPr>
            </w:pPr>
            <w:r>
              <w:rPr>
                <w:b/>
                <w:sz w:val="18"/>
              </w:rPr>
              <w:t>95th Percentile Latency (ms)</w:t>
            </w:r>
          </w:p>
        </w:tc>
      </w:tr>
      <w:tr>
        <w:trPr>
          <w:trHeight w:val="828" w:hRule="exact"/>
        </w:trPr>
        <w:tc>
          <w:tcPr>
            <w:tcW w:w="1349" w:type="dxa"/>
            <w:vMerge/>
            <w:shd w:val="clear" w:color="auto" w:fill="D9D9D9"/>
          </w:tcPr>
          <w:p>
            <w:pPr/>
          </w:p>
        </w:tc>
        <w:tc>
          <w:tcPr>
            <w:tcW w:w="1349" w:type="dxa"/>
            <w:shd w:val="clear" w:color="auto" w:fill="D9D9D9"/>
          </w:tcPr>
          <w:p>
            <w:pPr/>
          </w:p>
        </w:tc>
        <w:tc>
          <w:tcPr>
            <w:tcW w:w="1025" w:type="dxa"/>
            <w:vMerge/>
            <w:shd w:val="clear" w:color="auto" w:fill="D9D9D9"/>
          </w:tcPr>
          <w:p>
            <w:pPr/>
          </w:p>
        </w:tc>
        <w:tc>
          <w:tcPr>
            <w:tcW w:w="1332" w:type="dxa"/>
            <w:shd w:val="clear" w:color="auto" w:fill="D9D9D9"/>
          </w:tcPr>
          <w:p>
            <w:pPr>
              <w:pStyle w:val="TableParagraph"/>
              <w:spacing w:line="240" w:lineRule="auto" w:before="2"/>
              <w:ind w:left="0"/>
              <w:rPr>
                <w:b/>
                <w:sz w:val="17"/>
              </w:rPr>
            </w:pPr>
          </w:p>
          <w:p>
            <w:pPr>
              <w:pStyle w:val="TableParagraph"/>
              <w:spacing w:line="240" w:lineRule="auto" w:before="1"/>
              <w:rPr>
                <w:b/>
                <w:sz w:val="18"/>
              </w:rPr>
            </w:pPr>
            <w:r>
              <w:rPr>
                <w:b/>
                <w:sz w:val="18"/>
              </w:rPr>
              <w:t>Measured at Tx Device</w:t>
            </w:r>
          </w:p>
        </w:tc>
        <w:tc>
          <w:tcPr>
            <w:tcW w:w="1178" w:type="dxa"/>
            <w:shd w:val="clear" w:color="auto" w:fill="D9D9D9"/>
          </w:tcPr>
          <w:p>
            <w:pPr>
              <w:pStyle w:val="TableParagraph"/>
              <w:tabs>
                <w:tab w:pos="834" w:val="left" w:leader="none"/>
              </w:tabs>
              <w:spacing w:line="240" w:lineRule="auto" w:before="92"/>
              <w:ind w:right="101"/>
              <w:rPr>
                <w:b/>
                <w:sz w:val="18"/>
              </w:rPr>
            </w:pPr>
            <w:r>
              <w:rPr>
                <w:b/>
                <w:sz w:val="18"/>
              </w:rPr>
              <w:t>Measured at</w:t>
              <w:tab/>
              <w:t>Rx</w:t>
            </w:r>
          </w:p>
          <w:p>
            <w:pPr>
              <w:pStyle w:val="TableParagraph"/>
              <w:rPr>
                <w:b/>
                <w:sz w:val="18"/>
              </w:rPr>
            </w:pPr>
            <w:r>
              <w:rPr>
                <w:b/>
                <w:sz w:val="18"/>
              </w:rPr>
              <w:t>Device</w:t>
            </w:r>
          </w:p>
        </w:tc>
        <w:tc>
          <w:tcPr>
            <w:tcW w:w="1174" w:type="dxa"/>
            <w:shd w:val="clear" w:color="auto" w:fill="D9D9D9"/>
          </w:tcPr>
          <w:p>
            <w:pPr>
              <w:pStyle w:val="TableParagraph"/>
              <w:tabs>
                <w:tab w:pos="829" w:val="left" w:leader="none"/>
              </w:tabs>
              <w:spacing w:line="240" w:lineRule="auto" w:before="92"/>
              <w:ind w:right="101"/>
              <w:rPr>
                <w:b/>
                <w:sz w:val="18"/>
              </w:rPr>
            </w:pPr>
            <w:r>
              <w:rPr>
                <w:b/>
                <w:sz w:val="18"/>
              </w:rPr>
              <w:t>Calculated at</w:t>
              <w:tab/>
              <w:t>Rx</w:t>
            </w:r>
          </w:p>
          <w:p>
            <w:pPr>
              <w:pStyle w:val="TableParagraph"/>
              <w:rPr>
                <w:b/>
                <w:sz w:val="18"/>
              </w:rPr>
            </w:pPr>
            <w:r>
              <w:rPr>
                <w:b/>
                <w:sz w:val="18"/>
              </w:rPr>
              <w:t>Device</w:t>
            </w:r>
          </w:p>
        </w:tc>
        <w:tc>
          <w:tcPr>
            <w:tcW w:w="1265" w:type="dxa"/>
            <w:shd w:val="clear" w:color="auto" w:fill="D9D9D9"/>
          </w:tcPr>
          <w:p>
            <w:pPr>
              <w:pStyle w:val="TableParagraph"/>
              <w:spacing w:line="240" w:lineRule="auto" w:before="2"/>
              <w:ind w:left="0"/>
              <w:rPr>
                <w:b/>
                <w:sz w:val="17"/>
              </w:rPr>
            </w:pPr>
          </w:p>
          <w:p>
            <w:pPr>
              <w:pStyle w:val="TableParagraph"/>
              <w:spacing w:line="240" w:lineRule="auto" w:before="1"/>
              <w:ind w:left="100" w:right="90"/>
              <w:rPr>
                <w:b/>
                <w:sz w:val="18"/>
              </w:rPr>
            </w:pPr>
            <w:r>
              <w:rPr>
                <w:b/>
                <w:sz w:val="18"/>
              </w:rPr>
              <w:t>Calculated at Rx</w:t>
            </w:r>
            <w:r>
              <w:rPr>
                <w:b/>
                <w:spacing w:val="-25"/>
                <w:sz w:val="18"/>
              </w:rPr>
              <w:t> </w:t>
            </w:r>
            <w:r>
              <w:rPr>
                <w:b/>
                <w:sz w:val="18"/>
              </w:rPr>
              <w:t>Device</w:t>
            </w:r>
          </w:p>
        </w:tc>
        <w:tc>
          <w:tcPr>
            <w:tcW w:w="1284" w:type="dxa"/>
            <w:shd w:val="clear" w:color="auto" w:fill="D9D9D9"/>
          </w:tcPr>
          <w:p>
            <w:pPr>
              <w:pStyle w:val="TableParagraph"/>
              <w:spacing w:line="240" w:lineRule="auto" w:before="2"/>
              <w:ind w:left="0"/>
              <w:rPr>
                <w:b/>
                <w:sz w:val="17"/>
              </w:rPr>
            </w:pPr>
          </w:p>
          <w:p>
            <w:pPr>
              <w:pStyle w:val="TableParagraph"/>
              <w:spacing w:line="240" w:lineRule="auto" w:before="1"/>
              <w:ind w:left="100" w:right="104"/>
              <w:rPr>
                <w:b/>
                <w:sz w:val="18"/>
              </w:rPr>
            </w:pPr>
            <w:r>
              <w:rPr>
                <w:b/>
                <w:sz w:val="18"/>
              </w:rPr>
              <w:t>Calculated at Rx</w:t>
            </w:r>
            <w:r>
              <w:rPr>
                <w:b/>
                <w:spacing w:val="-8"/>
                <w:sz w:val="18"/>
              </w:rPr>
              <w:t> </w:t>
            </w:r>
            <w:r>
              <w:rPr>
                <w:b/>
                <w:sz w:val="18"/>
              </w:rPr>
              <w:t>Device</w:t>
            </w:r>
          </w:p>
        </w:tc>
      </w:tr>
      <w:tr>
        <w:trPr>
          <w:trHeight w:val="300" w:hRule="exact"/>
        </w:trPr>
        <w:tc>
          <w:tcPr>
            <w:tcW w:w="1349" w:type="dxa"/>
          </w:tcPr>
          <w:p>
            <w:pPr>
              <w:pStyle w:val="TableParagraph"/>
              <w:rPr>
                <w:sz w:val="18"/>
              </w:rPr>
            </w:pPr>
            <w:r>
              <w:rPr>
                <w:sz w:val="18"/>
              </w:rPr>
              <w:t>0.2</w:t>
            </w:r>
          </w:p>
        </w:tc>
        <w:tc>
          <w:tcPr>
            <w:tcW w:w="1349" w:type="dxa"/>
          </w:tcPr>
          <w:p>
            <w:pPr>
              <w:pStyle w:val="TableParagraph"/>
              <w:rPr>
                <w:sz w:val="18"/>
              </w:rPr>
            </w:pPr>
            <w:r>
              <w:rPr>
                <w:w w:val="99"/>
                <w:sz w:val="18"/>
              </w:rPr>
              <w:t>1</w:t>
            </w:r>
          </w:p>
        </w:tc>
        <w:tc>
          <w:tcPr>
            <w:tcW w:w="1025" w:type="dxa"/>
          </w:tcPr>
          <w:p>
            <w:pPr>
              <w:pStyle w:val="TableParagraph"/>
              <w:rPr>
                <w:sz w:val="18"/>
              </w:rPr>
            </w:pPr>
            <w:r>
              <w:rPr>
                <w:sz w:val="18"/>
              </w:rPr>
              <w:t>Rx</w:t>
            </w:r>
          </w:p>
        </w:tc>
        <w:tc>
          <w:tcPr>
            <w:tcW w:w="1332" w:type="dxa"/>
          </w:tcPr>
          <w:p>
            <w:pPr>
              <w:pStyle w:val="TableParagraph"/>
              <w:rPr>
                <w:sz w:val="18"/>
              </w:rPr>
            </w:pPr>
            <w:r>
              <w:rPr>
                <w:sz w:val="18"/>
              </w:rPr>
              <w:t>1000</w:t>
            </w:r>
          </w:p>
        </w:tc>
        <w:tc>
          <w:tcPr>
            <w:tcW w:w="1178" w:type="dxa"/>
          </w:tcPr>
          <w:p>
            <w:pPr>
              <w:pStyle w:val="TableParagraph"/>
              <w:rPr>
                <w:sz w:val="18"/>
              </w:rPr>
            </w:pPr>
            <w:r>
              <w:rPr>
                <w:sz w:val="18"/>
              </w:rPr>
              <w:t>999</w:t>
            </w:r>
          </w:p>
        </w:tc>
        <w:tc>
          <w:tcPr>
            <w:tcW w:w="1174" w:type="dxa"/>
          </w:tcPr>
          <w:p>
            <w:pPr>
              <w:pStyle w:val="TableParagraph"/>
              <w:rPr>
                <w:sz w:val="18"/>
              </w:rPr>
            </w:pPr>
            <w:r>
              <w:rPr>
                <w:sz w:val="18"/>
              </w:rPr>
              <w:t>0.1</w:t>
            </w:r>
          </w:p>
        </w:tc>
        <w:tc>
          <w:tcPr>
            <w:tcW w:w="1265" w:type="dxa"/>
          </w:tcPr>
          <w:p>
            <w:pPr>
              <w:pStyle w:val="TableParagraph"/>
              <w:ind w:left="100"/>
              <w:rPr>
                <w:sz w:val="18"/>
              </w:rPr>
            </w:pPr>
            <w:r>
              <w:rPr>
                <w:sz w:val="18"/>
              </w:rPr>
              <w:t>106</w:t>
            </w:r>
          </w:p>
        </w:tc>
        <w:tc>
          <w:tcPr>
            <w:tcW w:w="1284" w:type="dxa"/>
          </w:tcPr>
          <w:p>
            <w:pPr>
              <w:pStyle w:val="TableParagraph"/>
              <w:ind w:left="100"/>
              <w:rPr>
                <w:sz w:val="18"/>
              </w:rPr>
            </w:pPr>
            <w:r>
              <w:rPr>
                <w:sz w:val="18"/>
              </w:rPr>
              <w:t>32</w:t>
            </w:r>
          </w:p>
        </w:tc>
      </w:tr>
      <w:tr>
        <w:trPr>
          <w:trHeight w:val="325" w:hRule="exact"/>
        </w:trPr>
        <w:tc>
          <w:tcPr>
            <w:tcW w:w="1349" w:type="dxa"/>
          </w:tcPr>
          <w:p>
            <w:pPr>
              <w:pStyle w:val="TableParagraph"/>
              <w:rPr>
                <w:sz w:val="18"/>
              </w:rPr>
            </w:pPr>
            <w:r>
              <w:rPr>
                <w:sz w:val="18"/>
              </w:rPr>
              <w:t>0.2</w:t>
            </w:r>
          </w:p>
        </w:tc>
        <w:tc>
          <w:tcPr>
            <w:tcW w:w="1349" w:type="dxa"/>
          </w:tcPr>
          <w:p>
            <w:pPr>
              <w:pStyle w:val="TableParagraph"/>
              <w:rPr>
                <w:sz w:val="18"/>
              </w:rPr>
            </w:pPr>
            <w:r>
              <w:rPr>
                <w:w w:val="99"/>
                <w:sz w:val="18"/>
              </w:rPr>
              <w:t>2</w:t>
            </w:r>
          </w:p>
        </w:tc>
        <w:tc>
          <w:tcPr>
            <w:tcW w:w="1025" w:type="dxa"/>
          </w:tcPr>
          <w:p>
            <w:pPr>
              <w:pStyle w:val="TableParagraph"/>
              <w:rPr>
                <w:sz w:val="18"/>
              </w:rPr>
            </w:pPr>
            <w:r>
              <w:rPr>
                <w:sz w:val="18"/>
              </w:rPr>
              <w:t>Rx</w:t>
            </w:r>
          </w:p>
        </w:tc>
        <w:tc>
          <w:tcPr>
            <w:tcW w:w="1332" w:type="dxa"/>
          </w:tcPr>
          <w:p>
            <w:pPr>
              <w:pStyle w:val="TableParagraph"/>
              <w:rPr>
                <w:sz w:val="18"/>
              </w:rPr>
            </w:pPr>
            <w:r>
              <w:rPr>
                <w:sz w:val="18"/>
              </w:rPr>
              <w:t>10000</w:t>
            </w:r>
          </w:p>
        </w:tc>
        <w:tc>
          <w:tcPr>
            <w:tcW w:w="1178" w:type="dxa"/>
          </w:tcPr>
          <w:p>
            <w:pPr>
              <w:pStyle w:val="TableParagraph"/>
              <w:rPr>
                <w:sz w:val="18"/>
              </w:rPr>
            </w:pPr>
            <w:r>
              <w:rPr>
                <w:sz w:val="18"/>
              </w:rPr>
              <w:t>2855</w:t>
            </w:r>
          </w:p>
        </w:tc>
        <w:tc>
          <w:tcPr>
            <w:tcW w:w="1174" w:type="dxa"/>
          </w:tcPr>
          <w:p>
            <w:pPr>
              <w:pStyle w:val="TableParagraph"/>
              <w:rPr>
                <w:sz w:val="18"/>
              </w:rPr>
            </w:pPr>
            <w:r>
              <w:rPr>
                <w:sz w:val="18"/>
              </w:rPr>
              <w:t>71.45</w:t>
            </w:r>
          </w:p>
        </w:tc>
        <w:tc>
          <w:tcPr>
            <w:tcW w:w="1265" w:type="dxa"/>
          </w:tcPr>
          <w:p>
            <w:pPr>
              <w:pStyle w:val="TableParagraph"/>
              <w:ind w:left="100"/>
              <w:rPr>
                <w:sz w:val="18"/>
              </w:rPr>
            </w:pPr>
            <w:r>
              <w:rPr>
                <w:sz w:val="18"/>
              </w:rPr>
              <w:t>n\a*</w:t>
            </w:r>
          </w:p>
        </w:tc>
        <w:tc>
          <w:tcPr>
            <w:tcW w:w="1284" w:type="dxa"/>
          </w:tcPr>
          <w:p>
            <w:pPr>
              <w:pStyle w:val="TableParagraph"/>
              <w:ind w:left="100"/>
              <w:rPr>
                <w:sz w:val="18"/>
              </w:rPr>
            </w:pPr>
            <w:r>
              <w:rPr>
                <w:sz w:val="18"/>
              </w:rPr>
              <w:t>n\a*</w:t>
            </w:r>
          </w:p>
        </w:tc>
      </w:tr>
      <w:tr>
        <w:trPr>
          <w:trHeight w:val="324" w:hRule="exact"/>
        </w:trPr>
        <w:tc>
          <w:tcPr>
            <w:tcW w:w="1349" w:type="dxa"/>
          </w:tcPr>
          <w:p>
            <w:pPr>
              <w:pStyle w:val="TableParagraph"/>
              <w:rPr>
                <w:sz w:val="18"/>
              </w:rPr>
            </w:pPr>
            <w:r>
              <w:rPr>
                <w:sz w:val="18"/>
              </w:rPr>
              <w:t>0.2</w:t>
            </w:r>
          </w:p>
        </w:tc>
        <w:tc>
          <w:tcPr>
            <w:tcW w:w="1349" w:type="dxa"/>
          </w:tcPr>
          <w:p>
            <w:pPr>
              <w:pStyle w:val="TableParagraph"/>
              <w:rPr>
                <w:sz w:val="18"/>
              </w:rPr>
            </w:pPr>
            <w:r>
              <w:rPr>
                <w:w w:val="99"/>
                <w:sz w:val="18"/>
              </w:rPr>
              <w:t>3</w:t>
            </w:r>
          </w:p>
        </w:tc>
        <w:tc>
          <w:tcPr>
            <w:tcW w:w="1025" w:type="dxa"/>
          </w:tcPr>
          <w:p>
            <w:pPr>
              <w:pStyle w:val="TableParagraph"/>
              <w:rPr>
                <w:sz w:val="18"/>
              </w:rPr>
            </w:pPr>
            <w:r>
              <w:rPr>
                <w:sz w:val="18"/>
              </w:rPr>
              <w:t>Rx</w:t>
            </w:r>
          </w:p>
        </w:tc>
        <w:tc>
          <w:tcPr>
            <w:tcW w:w="1332" w:type="dxa"/>
          </w:tcPr>
          <w:p>
            <w:pPr>
              <w:pStyle w:val="TableParagraph"/>
              <w:rPr>
                <w:sz w:val="18"/>
              </w:rPr>
            </w:pPr>
            <w:r>
              <w:rPr>
                <w:sz w:val="18"/>
              </w:rPr>
              <w:t>1000</w:t>
            </w:r>
          </w:p>
        </w:tc>
        <w:tc>
          <w:tcPr>
            <w:tcW w:w="1178" w:type="dxa"/>
          </w:tcPr>
          <w:p>
            <w:pPr>
              <w:pStyle w:val="TableParagraph"/>
              <w:rPr>
                <w:sz w:val="18"/>
              </w:rPr>
            </w:pPr>
            <w:r>
              <w:rPr>
                <w:sz w:val="18"/>
              </w:rPr>
              <w:t>1000</w:t>
            </w:r>
          </w:p>
        </w:tc>
        <w:tc>
          <w:tcPr>
            <w:tcW w:w="1174" w:type="dxa"/>
          </w:tcPr>
          <w:p>
            <w:pPr>
              <w:pStyle w:val="TableParagraph"/>
              <w:rPr>
                <w:sz w:val="18"/>
              </w:rPr>
            </w:pPr>
            <w:r>
              <w:rPr>
                <w:w w:val="99"/>
                <w:sz w:val="18"/>
              </w:rPr>
              <w:t>0</w:t>
            </w:r>
          </w:p>
        </w:tc>
        <w:tc>
          <w:tcPr>
            <w:tcW w:w="1265" w:type="dxa"/>
          </w:tcPr>
          <w:p>
            <w:pPr>
              <w:pStyle w:val="TableParagraph"/>
              <w:ind w:left="100"/>
              <w:rPr>
                <w:sz w:val="18"/>
              </w:rPr>
            </w:pPr>
            <w:r>
              <w:rPr>
                <w:sz w:val="18"/>
              </w:rPr>
              <w:t>108</w:t>
            </w:r>
          </w:p>
        </w:tc>
        <w:tc>
          <w:tcPr>
            <w:tcW w:w="1284" w:type="dxa"/>
          </w:tcPr>
          <w:p>
            <w:pPr>
              <w:pStyle w:val="TableParagraph"/>
              <w:ind w:left="100"/>
              <w:rPr>
                <w:sz w:val="18"/>
              </w:rPr>
            </w:pPr>
            <w:r>
              <w:rPr>
                <w:sz w:val="18"/>
              </w:rPr>
              <w:t>26</w:t>
            </w:r>
          </w:p>
        </w:tc>
      </w:tr>
      <w:tr>
        <w:trPr>
          <w:trHeight w:val="324" w:hRule="exact"/>
        </w:trPr>
        <w:tc>
          <w:tcPr>
            <w:tcW w:w="1349" w:type="dxa"/>
          </w:tcPr>
          <w:p>
            <w:pPr>
              <w:pStyle w:val="TableParagraph"/>
              <w:rPr>
                <w:sz w:val="18"/>
              </w:rPr>
            </w:pPr>
            <w:r>
              <w:rPr>
                <w:sz w:val="18"/>
              </w:rPr>
              <w:t>0.5</w:t>
            </w:r>
          </w:p>
        </w:tc>
        <w:tc>
          <w:tcPr>
            <w:tcW w:w="1349" w:type="dxa"/>
          </w:tcPr>
          <w:p>
            <w:pPr>
              <w:pStyle w:val="TableParagraph"/>
              <w:rPr>
                <w:sz w:val="18"/>
              </w:rPr>
            </w:pPr>
            <w:r>
              <w:rPr>
                <w:w w:val="99"/>
                <w:sz w:val="18"/>
              </w:rPr>
              <w:t>1</w:t>
            </w:r>
          </w:p>
        </w:tc>
        <w:tc>
          <w:tcPr>
            <w:tcW w:w="1025" w:type="dxa"/>
          </w:tcPr>
          <w:p>
            <w:pPr>
              <w:pStyle w:val="TableParagraph"/>
              <w:rPr>
                <w:sz w:val="18"/>
              </w:rPr>
            </w:pPr>
            <w:r>
              <w:rPr>
                <w:sz w:val="18"/>
              </w:rPr>
              <w:t>Rx</w:t>
            </w:r>
          </w:p>
        </w:tc>
        <w:tc>
          <w:tcPr>
            <w:tcW w:w="1332" w:type="dxa"/>
          </w:tcPr>
          <w:p>
            <w:pPr>
              <w:pStyle w:val="TableParagraph"/>
              <w:rPr>
                <w:sz w:val="18"/>
              </w:rPr>
            </w:pPr>
            <w:r>
              <w:rPr>
                <w:sz w:val="18"/>
              </w:rPr>
              <w:t>1000</w:t>
            </w:r>
          </w:p>
        </w:tc>
        <w:tc>
          <w:tcPr>
            <w:tcW w:w="1178" w:type="dxa"/>
          </w:tcPr>
          <w:p>
            <w:pPr>
              <w:pStyle w:val="TableParagraph"/>
              <w:rPr>
                <w:sz w:val="18"/>
              </w:rPr>
            </w:pPr>
            <w:r>
              <w:rPr>
                <w:sz w:val="18"/>
              </w:rPr>
              <w:t>1000</w:t>
            </w:r>
          </w:p>
        </w:tc>
        <w:tc>
          <w:tcPr>
            <w:tcW w:w="1174" w:type="dxa"/>
          </w:tcPr>
          <w:p>
            <w:pPr>
              <w:pStyle w:val="TableParagraph"/>
              <w:rPr>
                <w:sz w:val="18"/>
              </w:rPr>
            </w:pPr>
            <w:r>
              <w:rPr>
                <w:w w:val="99"/>
                <w:sz w:val="18"/>
              </w:rPr>
              <w:t>0</w:t>
            </w:r>
          </w:p>
        </w:tc>
        <w:tc>
          <w:tcPr>
            <w:tcW w:w="1265" w:type="dxa"/>
          </w:tcPr>
          <w:p>
            <w:pPr>
              <w:pStyle w:val="TableParagraph"/>
              <w:ind w:left="100"/>
              <w:rPr>
                <w:sz w:val="18"/>
              </w:rPr>
            </w:pPr>
            <w:r>
              <w:rPr>
                <w:sz w:val="18"/>
              </w:rPr>
              <w:t>108.5</w:t>
            </w:r>
          </w:p>
        </w:tc>
        <w:tc>
          <w:tcPr>
            <w:tcW w:w="1284" w:type="dxa"/>
          </w:tcPr>
          <w:p>
            <w:pPr>
              <w:pStyle w:val="TableParagraph"/>
              <w:ind w:left="100"/>
              <w:rPr>
                <w:sz w:val="18"/>
              </w:rPr>
            </w:pPr>
            <w:r>
              <w:rPr>
                <w:sz w:val="18"/>
              </w:rPr>
              <w:t>24</w:t>
            </w:r>
          </w:p>
        </w:tc>
      </w:tr>
      <w:tr>
        <w:trPr>
          <w:trHeight w:val="324" w:hRule="exact"/>
        </w:trPr>
        <w:tc>
          <w:tcPr>
            <w:tcW w:w="1349" w:type="dxa"/>
          </w:tcPr>
          <w:p>
            <w:pPr>
              <w:pStyle w:val="TableParagraph"/>
              <w:rPr>
                <w:sz w:val="18"/>
              </w:rPr>
            </w:pPr>
            <w:r>
              <w:rPr>
                <w:sz w:val="18"/>
              </w:rPr>
              <w:t>0.5</w:t>
            </w:r>
          </w:p>
        </w:tc>
        <w:tc>
          <w:tcPr>
            <w:tcW w:w="1349" w:type="dxa"/>
          </w:tcPr>
          <w:p>
            <w:pPr>
              <w:pStyle w:val="TableParagraph"/>
              <w:rPr>
                <w:sz w:val="18"/>
              </w:rPr>
            </w:pPr>
            <w:r>
              <w:rPr>
                <w:w w:val="99"/>
                <w:sz w:val="18"/>
              </w:rPr>
              <w:t>2</w:t>
            </w:r>
          </w:p>
        </w:tc>
        <w:tc>
          <w:tcPr>
            <w:tcW w:w="1025" w:type="dxa"/>
          </w:tcPr>
          <w:p>
            <w:pPr>
              <w:pStyle w:val="TableParagraph"/>
              <w:rPr>
                <w:sz w:val="18"/>
              </w:rPr>
            </w:pPr>
            <w:r>
              <w:rPr>
                <w:sz w:val="18"/>
              </w:rPr>
              <w:t>Rx</w:t>
            </w:r>
          </w:p>
        </w:tc>
        <w:tc>
          <w:tcPr>
            <w:tcW w:w="1332" w:type="dxa"/>
          </w:tcPr>
          <w:p>
            <w:pPr>
              <w:pStyle w:val="TableParagraph"/>
              <w:rPr>
                <w:sz w:val="18"/>
              </w:rPr>
            </w:pPr>
            <w:r>
              <w:rPr>
                <w:sz w:val="18"/>
              </w:rPr>
              <w:t>10000</w:t>
            </w:r>
          </w:p>
        </w:tc>
        <w:tc>
          <w:tcPr>
            <w:tcW w:w="1178" w:type="dxa"/>
          </w:tcPr>
          <w:p>
            <w:pPr>
              <w:pStyle w:val="TableParagraph"/>
              <w:rPr>
                <w:sz w:val="18"/>
              </w:rPr>
            </w:pPr>
            <w:r>
              <w:rPr>
                <w:sz w:val="18"/>
              </w:rPr>
              <w:t>2875</w:t>
            </w:r>
          </w:p>
        </w:tc>
        <w:tc>
          <w:tcPr>
            <w:tcW w:w="1174" w:type="dxa"/>
          </w:tcPr>
          <w:p>
            <w:pPr>
              <w:pStyle w:val="TableParagraph"/>
              <w:rPr>
                <w:sz w:val="18"/>
              </w:rPr>
            </w:pPr>
            <w:r>
              <w:rPr>
                <w:sz w:val="18"/>
              </w:rPr>
              <w:t>71.25</w:t>
            </w:r>
          </w:p>
        </w:tc>
        <w:tc>
          <w:tcPr>
            <w:tcW w:w="1265" w:type="dxa"/>
          </w:tcPr>
          <w:p>
            <w:pPr>
              <w:pStyle w:val="TableParagraph"/>
              <w:ind w:left="100"/>
              <w:rPr>
                <w:sz w:val="18"/>
              </w:rPr>
            </w:pPr>
            <w:r>
              <w:rPr>
                <w:sz w:val="18"/>
              </w:rPr>
              <w:t>n\a*</w:t>
            </w:r>
          </w:p>
        </w:tc>
        <w:tc>
          <w:tcPr>
            <w:tcW w:w="1284" w:type="dxa"/>
          </w:tcPr>
          <w:p>
            <w:pPr>
              <w:pStyle w:val="TableParagraph"/>
              <w:ind w:left="100"/>
              <w:rPr>
                <w:sz w:val="18"/>
              </w:rPr>
            </w:pPr>
            <w:r>
              <w:rPr>
                <w:sz w:val="18"/>
              </w:rPr>
              <w:t>n\a*</w:t>
            </w:r>
          </w:p>
        </w:tc>
      </w:tr>
      <w:tr>
        <w:trPr>
          <w:trHeight w:val="324" w:hRule="exact"/>
        </w:trPr>
        <w:tc>
          <w:tcPr>
            <w:tcW w:w="1349" w:type="dxa"/>
          </w:tcPr>
          <w:p>
            <w:pPr>
              <w:pStyle w:val="TableParagraph"/>
              <w:rPr>
                <w:sz w:val="18"/>
              </w:rPr>
            </w:pPr>
            <w:r>
              <w:rPr>
                <w:sz w:val="18"/>
              </w:rPr>
              <w:t>0.5</w:t>
            </w:r>
          </w:p>
        </w:tc>
        <w:tc>
          <w:tcPr>
            <w:tcW w:w="1349" w:type="dxa"/>
          </w:tcPr>
          <w:p>
            <w:pPr>
              <w:pStyle w:val="TableParagraph"/>
              <w:rPr>
                <w:sz w:val="18"/>
              </w:rPr>
            </w:pPr>
            <w:r>
              <w:rPr>
                <w:w w:val="99"/>
                <w:sz w:val="18"/>
              </w:rPr>
              <w:t>3</w:t>
            </w:r>
          </w:p>
        </w:tc>
        <w:tc>
          <w:tcPr>
            <w:tcW w:w="1025" w:type="dxa"/>
          </w:tcPr>
          <w:p>
            <w:pPr>
              <w:pStyle w:val="TableParagraph"/>
              <w:rPr>
                <w:sz w:val="18"/>
              </w:rPr>
            </w:pPr>
            <w:r>
              <w:rPr>
                <w:sz w:val="18"/>
              </w:rPr>
              <w:t>Rx</w:t>
            </w:r>
          </w:p>
        </w:tc>
        <w:tc>
          <w:tcPr>
            <w:tcW w:w="1332" w:type="dxa"/>
          </w:tcPr>
          <w:p>
            <w:pPr>
              <w:pStyle w:val="TableParagraph"/>
              <w:rPr>
                <w:sz w:val="18"/>
              </w:rPr>
            </w:pPr>
            <w:r>
              <w:rPr>
                <w:sz w:val="18"/>
              </w:rPr>
              <w:t>1000</w:t>
            </w:r>
          </w:p>
        </w:tc>
        <w:tc>
          <w:tcPr>
            <w:tcW w:w="1178" w:type="dxa"/>
          </w:tcPr>
          <w:p>
            <w:pPr>
              <w:pStyle w:val="TableParagraph"/>
              <w:rPr>
                <w:sz w:val="18"/>
              </w:rPr>
            </w:pPr>
            <w:r>
              <w:rPr>
                <w:sz w:val="18"/>
              </w:rPr>
              <w:t>1000</w:t>
            </w:r>
          </w:p>
        </w:tc>
        <w:tc>
          <w:tcPr>
            <w:tcW w:w="1174" w:type="dxa"/>
          </w:tcPr>
          <w:p>
            <w:pPr>
              <w:pStyle w:val="TableParagraph"/>
              <w:rPr>
                <w:sz w:val="18"/>
              </w:rPr>
            </w:pPr>
            <w:r>
              <w:rPr>
                <w:w w:val="99"/>
                <w:sz w:val="18"/>
              </w:rPr>
              <w:t>0</w:t>
            </w:r>
          </w:p>
        </w:tc>
        <w:tc>
          <w:tcPr>
            <w:tcW w:w="1265" w:type="dxa"/>
          </w:tcPr>
          <w:p>
            <w:pPr>
              <w:pStyle w:val="TableParagraph"/>
              <w:ind w:left="100"/>
              <w:rPr>
                <w:sz w:val="18"/>
              </w:rPr>
            </w:pPr>
            <w:r>
              <w:rPr>
                <w:sz w:val="18"/>
              </w:rPr>
              <w:t>106</w:t>
            </w:r>
          </w:p>
        </w:tc>
        <w:tc>
          <w:tcPr>
            <w:tcW w:w="1284" w:type="dxa"/>
          </w:tcPr>
          <w:p>
            <w:pPr>
              <w:pStyle w:val="TableParagraph"/>
              <w:ind w:left="100"/>
              <w:rPr>
                <w:sz w:val="18"/>
              </w:rPr>
            </w:pPr>
            <w:r>
              <w:rPr>
                <w:sz w:val="18"/>
              </w:rPr>
              <w:t>22</w:t>
            </w:r>
          </w:p>
        </w:tc>
      </w:tr>
      <w:tr>
        <w:trPr>
          <w:trHeight w:val="324" w:hRule="exact"/>
        </w:trPr>
        <w:tc>
          <w:tcPr>
            <w:tcW w:w="1349" w:type="dxa"/>
          </w:tcPr>
          <w:p>
            <w:pPr>
              <w:pStyle w:val="TableParagraph"/>
              <w:rPr>
                <w:sz w:val="18"/>
              </w:rPr>
            </w:pPr>
            <w:r>
              <w:rPr>
                <w:w w:val="99"/>
                <w:sz w:val="18"/>
              </w:rPr>
              <w:t>1</w:t>
            </w:r>
          </w:p>
        </w:tc>
        <w:tc>
          <w:tcPr>
            <w:tcW w:w="1349" w:type="dxa"/>
          </w:tcPr>
          <w:p>
            <w:pPr>
              <w:pStyle w:val="TableParagraph"/>
              <w:rPr>
                <w:sz w:val="18"/>
              </w:rPr>
            </w:pPr>
            <w:r>
              <w:rPr>
                <w:w w:val="99"/>
                <w:sz w:val="18"/>
              </w:rPr>
              <w:t>1</w:t>
            </w:r>
          </w:p>
        </w:tc>
        <w:tc>
          <w:tcPr>
            <w:tcW w:w="1025" w:type="dxa"/>
          </w:tcPr>
          <w:p>
            <w:pPr>
              <w:pStyle w:val="TableParagraph"/>
              <w:rPr>
                <w:sz w:val="18"/>
              </w:rPr>
            </w:pPr>
            <w:r>
              <w:rPr>
                <w:sz w:val="18"/>
              </w:rPr>
              <w:t>Rx</w:t>
            </w:r>
          </w:p>
        </w:tc>
        <w:tc>
          <w:tcPr>
            <w:tcW w:w="1332" w:type="dxa"/>
          </w:tcPr>
          <w:p>
            <w:pPr>
              <w:pStyle w:val="TableParagraph"/>
              <w:rPr>
                <w:sz w:val="18"/>
              </w:rPr>
            </w:pPr>
            <w:r>
              <w:rPr>
                <w:sz w:val="18"/>
              </w:rPr>
              <w:t>1000</w:t>
            </w:r>
          </w:p>
        </w:tc>
        <w:tc>
          <w:tcPr>
            <w:tcW w:w="1178" w:type="dxa"/>
          </w:tcPr>
          <w:p>
            <w:pPr>
              <w:pStyle w:val="TableParagraph"/>
              <w:rPr>
                <w:sz w:val="18"/>
              </w:rPr>
            </w:pPr>
            <w:r>
              <w:rPr>
                <w:sz w:val="18"/>
              </w:rPr>
              <w:t>999</w:t>
            </w:r>
          </w:p>
        </w:tc>
        <w:tc>
          <w:tcPr>
            <w:tcW w:w="1174" w:type="dxa"/>
          </w:tcPr>
          <w:p>
            <w:pPr>
              <w:pStyle w:val="TableParagraph"/>
              <w:rPr>
                <w:sz w:val="18"/>
              </w:rPr>
            </w:pPr>
            <w:r>
              <w:rPr>
                <w:sz w:val="18"/>
              </w:rPr>
              <w:t>0.1</w:t>
            </w:r>
          </w:p>
        </w:tc>
        <w:tc>
          <w:tcPr>
            <w:tcW w:w="1265" w:type="dxa"/>
          </w:tcPr>
          <w:p>
            <w:pPr>
              <w:pStyle w:val="TableParagraph"/>
              <w:ind w:left="100"/>
              <w:rPr>
                <w:sz w:val="18"/>
              </w:rPr>
            </w:pPr>
            <w:r>
              <w:rPr>
                <w:sz w:val="18"/>
              </w:rPr>
              <w:t>107</w:t>
            </w:r>
          </w:p>
        </w:tc>
        <w:tc>
          <w:tcPr>
            <w:tcW w:w="1284" w:type="dxa"/>
          </w:tcPr>
          <w:p>
            <w:pPr>
              <w:pStyle w:val="TableParagraph"/>
              <w:ind w:left="100"/>
              <w:rPr>
                <w:sz w:val="18"/>
              </w:rPr>
            </w:pPr>
            <w:r>
              <w:rPr>
                <w:sz w:val="18"/>
              </w:rPr>
              <w:t>24</w:t>
            </w:r>
          </w:p>
        </w:tc>
      </w:tr>
      <w:tr>
        <w:trPr>
          <w:trHeight w:val="324" w:hRule="exact"/>
        </w:trPr>
        <w:tc>
          <w:tcPr>
            <w:tcW w:w="1349" w:type="dxa"/>
          </w:tcPr>
          <w:p>
            <w:pPr>
              <w:pStyle w:val="TableParagraph"/>
              <w:rPr>
                <w:sz w:val="18"/>
              </w:rPr>
            </w:pPr>
            <w:r>
              <w:rPr>
                <w:w w:val="99"/>
                <w:sz w:val="18"/>
              </w:rPr>
              <w:t>1</w:t>
            </w:r>
          </w:p>
        </w:tc>
        <w:tc>
          <w:tcPr>
            <w:tcW w:w="1349" w:type="dxa"/>
          </w:tcPr>
          <w:p>
            <w:pPr>
              <w:pStyle w:val="TableParagraph"/>
              <w:rPr>
                <w:sz w:val="18"/>
              </w:rPr>
            </w:pPr>
            <w:r>
              <w:rPr>
                <w:w w:val="99"/>
                <w:sz w:val="18"/>
              </w:rPr>
              <w:t>2</w:t>
            </w:r>
          </w:p>
        </w:tc>
        <w:tc>
          <w:tcPr>
            <w:tcW w:w="1025" w:type="dxa"/>
          </w:tcPr>
          <w:p>
            <w:pPr>
              <w:pStyle w:val="TableParagraph"/>
              <w:rPr>
                <w:sz w:val="18"/>
              </w:rPr>
            </w:pPr>
            <w:r>
              <w:rPr>
                <w:sz w:val="18"/>
              </w:rPr>
              <w:t>Rx</w:t>
            </w:r>
          </w:p>
        </w:tc>
        <w:tc>
          <w:tcPr>
            <w:tcW w:w="1332" w:type="dxa"/>
          </w:tcPr>
          <w:p>
            <w:pPr>
              <w:pStyle w:val="TableParagraph"/>
              <w:rPr>
                <w:sz w:val="18"/>
              </w:rPr>
            </w:pPr>
            <w:r>
              <w:rPr>
                <w:sz w:val="18"/>
              </w:rPr>
              <w:t>10000</w:t>
            </w:r>
          </w:p>
        </w:tc>
        <w:tc>
          <w:tcPr>
            <w:tcW w:w="1178" w:type="dxa"/>
          </w:tcPr>
          <w:p>
            <w:pPr>
              <w:pStyle w:val="TableParagraph"/>
              <w:rPr>
                <w:sz w:val="18"/>
              </w:rPr>
            </w:pPr>
            <w:r>
              <w:rPr>
                <w:sz w:val="18"/>
              </w:rPr>
              <w:t>2443</w:t>
            </w:r>
          </w:p>
        </w:tc>
        <w:tc>
          <w:tcPr>
            <w:tcW w:w="1174" w:type="dxa"/>
          </w:tcPr>
          <w:p>
            <w:pPr>
              <w:pStyle w:val="TableParagraph"/>
              <w:rPr>
                <w:sz w:val="18"/>
              </w:rPr>
            </w:pPr>
            <w:r>
              <w:rPr>
                <w:sz w:val="18"/>
              </w:rPr>
              <w:t>75.57</w:t>
            </w:r>
          </w:p>
        </w:tc>
        <w:tc>
          <w:tcPr>
            <w:tcW w:w="1265" w:type="dxa"/>
          </w:tcPr>
          <w:p>
            <w:pPr>
              <w:pStyle w:val="TableParagraph"/>
              <w:ind w:left="100"/>
              <w:rPr>
                <w:sz w:val="18"/>
              </w:rPr>
            </w:pPr>
            <w:r>
              <w:rPr>
                <w:sz w:val="18"/>
              </w:rPr>
              <w:t>n\a*</w:t>
            </w:r>
          </w:p>
        </w:tc>
        <w:tc>
          <w:tcPr>
            <w:tcW w:w="1284" w:type="dxa"/>
          </w:tcPr>
          <w:p>
            <w:pPr>
              <w:pStyle w:val="TableParagraph"/>
              <w:ind w:left="100"/>
              <w:rPr>
                <w:sz w:val="18"/>
              </w:rPr>
            </w:pPr>
            <w:r>
              <w:rPr>
                <w:sz w:val="18"/>
              </w:rPr>
              <w:t>n\a*</w:t>
            </w:r>
          </w:p>
        </w:tc>
      </w:tr>
      <w:tr>
        <w:trPr>
          <w:trHeight w:val="324" w:hRule="exact"/>
        </w:trPr>
        <w:tc>
          <w:tcPr>
            <w:tcW w:w="1349" w:type="dxa"/>
          </w:tcPr>
          <w:p>
            <w:pPr>
              <w:pStyle w:val="TableParagraph"/>
              <w:rPr>
                <w:sz w:val="18"/>
              </w:rPr>
            </w:pPr>
            <w:r>
              <w:rPr>
                <w:w w:val="99"/>
                <w:sz w:val="18"/>
              </w:rPr>
              <w:t>1</w:t>
            </w:r>
          </w:p>
        </w:tc>
        <w:tc>
          <w:tcPr>
            <w:tcW w:w="1349" w:type="dxa"/>
          </w:tcPr>
          <w:p>
            <w:pPr>
              <w:pStyle w:val="TableParagraph"/>
              <w:rPr>
                <w:sz w:val="18"/>
              </w:rPr>
            </w:pPr>
            <w:r>
              <w:rPr>
                <w:w w:val="99"/>
                <w:sz w:val="18"/>
              </w:rPr>
              <w:t>3</w:t>
            </w:r>
          </w:p>
        </w:tc>
        <w:tc>
          <w:tcPr>
            <w:tcW w:w="1025" w:type="dxa"/>
          </w:tcPr>
          <w:p>
            <w:pPr>
              <w:pStyle w:val="TableParagraph"/>
              <w:rPr>
                <w:sz w:val="18"/>
              </w:rPr>
            </w:pPr>
            <w:r>
              <w:rPr>
                <w:sz w:val="18"/>
              </w:rPr>
              <w:t>Rx</w:t>
            </w:r>
          </w:p>
        </w:tc>
        <w:tc>
          <w:tcPr>
            <w:tcW w:w="1332" w:type="dxa"/>
          </w:tcPr>
          <w:p>
            <w:pPr>
              <w:pStyle w:val="TableParagraph"/>
              <w:rPr>
                <w:sz w:val="18"/>
              </w:rPr>
            </w:pPr>
            <w:r>
              <w:rPr>
                <w:sz w:val="18"/>
              </w:rPr>
              <w:t>1000</w:t>
            </w:r>
          </w:p>
        </w:tc>
        <w:tc>
          <w:tcPr>
            <w:tcW w:w="1178" w:type="dxa"/>
          </w:tcPr>
          <w:p>
            <w:pPr>
              <w:pStyle w:val="TableParagraph"/>
              <w:rPr>
                <w:sz w:val="18"/>
              </w:rPr>
            </w:pPr>
            <w:r>
              <w:rPr>
                <w:sz w:val="18"/>
              </w:rPr>
              <w:t>998</w:t>
            </w:r>
          </w:p>
        </w:tc>
        <w:tc>
          <w:tcPr>
            <w:tcW w:w="1174" w:type="dxa"/>
          </w:tcPr>
          <w:p>
            <w:pPr>
              <w:pStyle w:val="TableParagraph"/>
              <w:rPr>
                <w:sz w:val="18"/>
              </w:rPr>
            </w:pPr>
            <w:r>
              <w:rPr>
                <w:sz w:val="18"/>
              </w:rPr>
              <w:t>0.2</w:t>
            </w:r>
          </w:p>
        </w:tc>
        <w:tc>
          <w:tcPr>
            <w:tcW w:w="1265" w:type="dxa"/>
          </w:tcPr>
          <w:p>
            <w:pPr>
              <w:pStyle w:val="TableParagraph"/>
              <w:ind w:left="100"/>
              <w:rPr>
                <w:sz w:val="18"/>
              </w:rPr>
            </w:pPr>
            <w:r>
              <w:rPr>
                <w:sz w:val="18"/>
              </w:rPr>
              <w:t>106</w:t>
            </w:r>
          </w:p>
        </w:tc>
        <w:tc>
          <w:tcPr>
            <w:tcW w:w="1284" w:type="dxa"/>
          </w:tcPr>
          <w:p>
            <w:pPr>
              <w:pStyle w:val="TableParagraph"/>
              <w:ind w:left="100"/>
              <w:rPr>
                <w:sz w:val="18"/>
              </w:rPr>
            </w:pPr>
            <w:r>
              <w:rPr>
                <w:sz w:val="18"/>
              </w:rPr>
              <w:t>23</w:t>
            </w:r>
          </w:p>
        </w:tc>
      </w:tr>
      <w:tr>
        <w:trPr>
          <w:trHeight w:val="324" w:hRule="exact"/>
        </w:trPr>
        <w:tc>
          <w:tcPr>
            <w:tcW w:w="1349" w:type="dxa"/>
          </w:tcPr>
          <w:p>
            <w:pPr>
              <w:pStyle w:val="TableParagraph"/>
              <w:rPr>
                <w:sz w:val="18"/>
              </w:rPr>
            </w:pPr>
            <w:r>
              <w:rPr>
                <w:w w:val="99"/>
                <w:sz w:val="18"/>
              </w:rPr>
              <w:t>2</w:t>
            </w:r>
          </w:p>
        </w:tc>
        <w:tc>
          <w:tcPr>
            <w:tcW w:w="1349" w:type="dxa"/>
          </w:tcPr>
          <w:p>
            <w:pPr>
              <w:pStyle w:val="TableParagraph"/>
              <w:rPr>
                <w:sz w:val="18"/>
              </w:rPr>
            </w:pPr>
            <w:r>
              <w:rPr>
                <w:w w:val="99"/>
                <w:sz w:val="18"/>
              </w:rPr>
              <w:t>1</w:t>
            </w:r>
          </w:p>
        </w:tc>
        <w:tc>
          <w:tcPr>
            <w:tcW w:w="1025" w:type="dxa"/>
          </w:tcPr>
          <w:p>
            <w:pPr>
              <w:pStyle w:val="TableParagraph"/>
              <w:rPr>
                <w:sz w:val="18"/>
              </w:rPr>
            </w:pPr>
            <w:r>
              <w:rPr>
                <w:sz w:val="18"/>
              </w:rPr>
              <w:t>Rx</w:t>
            </w:r>
          </w:p>
        </w:tc>
        <w:tc>
          <w:tcPr>
            <w:tcW w:w="1332" w:type="dxa"/>
          </w:tcPr>
          <w:p>
            <w:pPr>
              <w:pStyle w:val="TableParagraph"/>
              <w:rPr>
                <w:sz w:val="18"/>
              </w:rPr>
            </w:pPr>
            <w:r>
              <w:rPr>
                <w:sz w:val="18"/>
              </w:rPr>
              <w:t>10000</w:t>
            </w:r>
          </w:p>
        </w:tc>
        <w:tc>
          <w:tcPr>
            <w:tcW w:w="1178" w:type="dxa"/>
          </w:tcPr>
          <w:p>
            <w:pPr>
              <w:pStyle w:val="TableParagraph"/>
              <w:rPr>
                <w:sz w:val="18"/>
              </w:rPr>
            </w:pPr>
            <w:r>
              <w:rPr>
                <w:sz w:val="18"/>
              </w:rPr>
              <w:t>8197</w:t>
            </w:r>
          </w:p>
        </w:tc>
        <w:tc>
          <w:tcPr>
            <w:tcW w:w="1174" w:type="dxa"/>
          </w:tcPr>
          <w:p>
            <w:pPr>
              <w:pStyle w:val="TableParagraph"/>
              <w:rPr>
                <w:sz w:val="18"/>
              </w:rPr>
            </w:pPr>
            <w:r>
              <w:rPr>
                <w:sz w:val="18"/>
              </w:rPr>
              <w:t>18.03</w:t>
            </w:r>
          </w:p>
        </w:tc>
        <w:tc>
          <w:tcPr>
            <w:tcW w:w="1265" w:type="dxa"/>
          </w:tcPr>
          <w:p>
            <w:pPr>
              <w:pStyle w:val="TableParagraph"/>
              <w:ind w:left="100"/>
              <w:rPr>
                <w:sz w:val="18"/>
              </w:rPr>
            </w:pPr>
            <w:r>
              <w:rPr>
                <w:sz w:val="18"/>
              </w:rPr>
              <w:t>n\a*</w:t>
            </w:r>
          </w:p>
        </w:tc>
        <w:tc>
          <w:tcPr>
            <w:tcW w:w="1284" w:type="dxa"/>
          </w:tcPr>
          <w:p>
            <w:pPr>
              <w:pStyle w:val="TableParagraph"/>
              <w:ind w:left="100"/>
              <w:rPr>
                <w:sz w:val="18"/>
              </w:rPr>
            </w:pPr>
            <w:r>
              <w:rPr>
                <w:sz w:val="18"/>
              </w:rPr>
              <w:t>n\a*</w:t>
            </w:r>
          </w:p>
        </w:tc>
      </w:tr>
      <w:tr>
        <w:trPr>
          <w:trHeight w:val="324" w:hRule="exact"/>
        </w:trPr>
        <w:tc>
          <w:tcPr>
            <w:tcW w:w="1349" w:type="dxa"/>
          </w:tcPr>
          <w:p>
            <w:pPr>
              <w:pStyle w:val="TableParagraph"/>
              <w:rPr>
                <w:sz w:val="18"/>
              </w:rPr>
            </w:pPr>
            <w:r>
              <w:rPr>
                <w:w w:val="99"/>
                <w:sz w:val="18"/>
              </w:rPr>
              <w:t>2</w:t>
            </w:r>
          </w:p>
        </w:tc>
        <w:tc>
          <w:tcPr>
            <w:tcW w:w="1349" w:type="dxa"/>
          </w:tcPr>
          <w:p>
            <w:pPr>
              <w:pStyle w:val="TableParagraph"/>
              <w:rPr>
                <w:sz w:val="18"/>
              </w:rPr>
            </w:pPr>
            <w:r>
              <w:rPr>
                <w:w w:val="99"/>
                <w:sz w:val="18"/>
              </w:rPr>
              <w:t>2</w:t>
            </w:r>
          </w:p>
        </w:tc>
        <w:tc>
          <w:tcPr>
            <w:tcW w:w="1025" w:type="dxa"/>
          </w:tcPr>
          <w:p>
            <w:pPr>
              <w:pStyle w:val="TableParagraph"/>
              <w:rPr>
                <w:sz w:val="18"/>
              </w:rPr>
            </w:pPr>
            <w:r>
              <w:rPr>
                <w:sz w:val="18"/>
              </w:rPr>
              <w:t>Rx</w:t>
            </w:r>
          </w:p>
        </w:tc>
        <w:tc>
          <w:tcPr>
            <w:tcW w:w="1332" w:type="dxa"/>
          </w:tcPr>
          <w:p>
            <w:pPr>
              <w:pStyle w:val="TableParagraph"/>
              <w:rPr>
                <w:sz w:val="18"/>
              </w:rPr>
            </w:pPr>
            <w:r>
              <w:rPr>
                <w:sz w:val="18"/>
              </w:rPr>
              <w:t>10000</w:t>
            </w:r>
          </w:p>
        </w:tc>
        <w:tc>
          <w:tcPr>
            <w:tcW w:w="1178" w:type="dxa"/>
          </w:tcPr>
          <w:p>
            <w:pPr>
              <w:pStyle w:val="TableParagraph"/>
              <w:rPr>
                <w:sz w:val="18"/>
              </w:rPr>
            </w:pPr>
            <w:r>
              <w:rPr>
                <w:sz w:val="18"/>
              </w:rPr>
              <w:t>47</w:t>
            </w:r>
          </w:p>
        </w:tc>
        <w:tc>
          <w:tcPr>
            <w:tcW w:w="1174" w:type="dxa"/>
          </w:tcPr>
          <w:p>
            <w:pPr>
              <w:pStyle w:val="TableParagraph"/>
              <w:rPr>
                <w:sz w:val="18"/>
              </w:rPr>
            </w:pPr>
            <w:r>
              <w:rPr>
                <w:sz w:val="18"/>
              </w:rPr>
              <w:t>99.53</w:t>
            </w:r>
          </w:p>
        </w:tc>
        <w:tc>
          <w:tcPr>
            <w:tcW w:w="1265" w:type="dxa"/>
          </w:tcPr>
          <w:p>
            <w:pPr>
              <w:pStyle w:val="TableParagraph"/>
              <w:ind w:left="100"/>
              <w:rPr>
                <w:sz w:val="18"/>
              </w:rPr>
            </w:pPr>
            <w:r>
              <w:rPr>
                <w:sz w:val="18"/>
              </w:rPr>
              <w:t>n\a*</w:t>
            </w:r>
          </w:p>
        </w:tc>
        <w:tc>
          <w:tcPr>
            <w:tcW w:w="1284" w:type="dxa"/>
          </w:tcPr>
          <w:p>
            <w:pPr>
              <w:pStyle w:val="TableParagraph"/>
              <w:ind w:left="100"/>
              <w:rPr>
                <w:sz w:val="18"/>
              </w:rPr>
            </w:pPr>
            <w:r>
              <w:rPr>
                <w:sz w:val="18"/>
              </w:rPr>
              <w:t>n\a*</w:t>
            </w:r>
          </w:p>
        </w:tc>
      </w:tr>
      <w:tr>
        <w:trPr>
          <w:trHeight w:val="324" w:hRule="exact"/>
        </w:trPr>
        <w:tc>
          <w:tcPr>
            <w:tcW w:w="1349" w:type="dxa"/>
          </w:tcPr>
          <w:p>
            <w:pPr>
              <w:pStyle w:val="TableParagraph"/>
              <w:rPr>
                <w:sz w:val="18"/>
              </w:rPr>
            </w:pPr>
            <w:r>
              <w:rPr>
                <w:w w:val="99"/>
                <w:sz w:val="18"/>
              </w:rPr>
              <w:t>2</w:t>
            </w:r>
          </w:p>
        </w:tc>
        <w:tc>
          <w:tcPr>
            <w:tcW w:w="1349" w:type="dxa"/>
          </w:tcPr>
          <w:p>
            <w:pPr>
              <w:pStyle w:val="TableParagraph"/>
              <w:rPr>
                <w:sz w:val="18"/>
              </w:rPr>
            </w:pPr>
            <w:r>
              <w:rPr>
                <w:w w:val="99"/>
                <w:sz w:val="18"/>
              </w:rPr>
              <w:t>3</w:t>
            </w:r>
          </w:p>
        </w:tc>
        <w:tc>
          <w:tcPr>
            <w:tcW w:w="1025" w:type="dxa"/>
          </w:tcPr>
          <w:p>
            <w:pPr>
              <w:pStyle w:val="TableParagraph"/>
              <w:rPr>
                <w:sz w:val="18"/>
              </w:rPr>
            </w:pPr>
            <w:r>
              <w:rPr>
                <w:sz w:val="18"/>
              </w:rPr>
              <w:t>Rx</w:t>
            </w:r>
          </w:p>
        </w:tc>
        <w:tc>
          <w:tcPr>
            <w:tcW w:w="1332" w:type="dxa"/>
          </w:tcPr>
          <w:p>
            <w:pPr>
              <w:pStyle w:val="TableParagraph"/>
              <w:rPr>
                <w:sz w:val="18"/>
              </w:rPr>
            </w:pPr>
            <w:r>
              <w:rPr>
                <w:sz w:val="18"/>
              </w:rPr>
              <w:t>1000</w:t>
            </w:r>
          </w:p>
        </w:tc>
        <w:tc>
          <w:tcPr>
            <w:tcW w:w="1178" w:type="dxa"/>
          </w:tcPr>
          <w:p>
            <w:pPr>
              <w:pStyle w:val="TableParagraph"/>
              <w:rPr>
                <w:sz w:val="18"/>
              </w:rPr>
            </w:pPr>
            <w:r>
              <w:rPr>
                <w:sz w:val="18"/>
              </w:rPr>
              <w:t>999</w:t>
            </w:r>
          </w:p>
        </w:tc>
        <w:tc>
          <w:tcPr>
            <w:tcW w:w="1174" w:type="dxa"/>
          </w:tcPr>
          <w:p>
            <w:pPr>
              <w:pStyle w:val="TableParagraph"/>
              <w:rPr>
                <w:sz w:val="18"/>
              </w:rPr>
            </w:pPr>
            <w:r>
              <w:rPr>
                <w:sz w:val="18"/>
              </w:rPr>
              <w:t>0.1</w:t>
            </w:r>
          </w:p>
        </w:tc>
        <w:tc>
          <w:tcPr>
            <w:tcW w:w="1265" w:type="dxa"/>
          </w:tcPr>
          <w:p>
            <w:pPr>
              <w:pStyle w:val="TableParagraph"/>
              <w:ind w:left="100"/>
              <w:rPr>
                <w:sz w:val="18"/>
              </w:rPr>
            </w:pPr>
            <w:r>
              <w:rPr>
                <w:sz w:val="18"/>
              </w:rPr>
              <w:t>108</w:t>
            </w:r>
          </w:p>
        </w:tc>
        <w:tc>
          <w:tcPr>
            <w:tcW w:w="1284" w:type="dxa"/>
          </w:tcPr>
          <w:p>
            <w:pPr>
              <w:pStyle w:val="TableParagraph"/>
              <w:ind w:left="100"/>
              <w:rPr>
                <w:sz w:val="18"/>
              </w:rPr>
            </w:pPr>
            <w:r>
              <w:rPr>
                <w:sz w:val="18"/>
              </w:rPr>
              <w:t>24</w:t>
            </w:r>
          </w:p>
        </w:tc>
      </w:tr>
      <w:tr>
        <w:trPr>
          <w:trHeight w:val="324" w:hRule="exact"/>
        </w:trPr>
        <w:tc>
          <w:tcPr>
            <w:tcW w:w="1349" w:type="dxa"/>
          </w:tcPr>
          <w:p>
            <w:pPr>
              <w:pStyle w:val="TableParagraph"/>
              <w:spacing w:line="207" w:lineRule="exact"/>
              <w:rPr>
                <w:sz w:val="18"/>
              </w:rPr>
            </w:pPr>
            <w:r>
              <w:rPr>
                <w:w w:val="99"/>
                <w:sz w:val="18"/>
              </w:rPr>
              <w:t>5</w:t>
            </w:r>
          </w:p>
        </w:tc>
        <w:tc>
          <w:tcPr>
            <w:tcW w:w="1349" w:type="dxa"/>
          </w:tcPr>
          <w:p>
            <w:pPr>
              <w:pStyle w:val="TableParagraph"/>
              <w:spacing w:line="207" w:lineRule="exact"/>
              <w:rPr>
                <w:sz w:val="18"/>
              </w:rPr>
            </w:pPr>
            <w:r>
              <w:rPr>
                <w:w w:val="99"/>
                <w:sz w:val="18"/>
              </w:rPr>
              <w:t>1</w:t>
            </w:r>
          </w:p>
        </w:tc>
        <w:tc>
          <w:tcPr>
            <w:tcW w:w="1025" w:type="dxa"/>
          </w:tcPr>
          <w:p>
            <w:pPr>
              <w:pStyle w:val="TableParagraph"/>
              <w:spacing w:line="207" w:lineRule="exact"/>
              <w:rPr>
                <w:sz w:val="18"/>
              </w:rPr>
            </w:pPr>
            <w:r>
              <w:rPr>
                <w:sz w:val="18"/>
              </w:rPr>
              <w:t>Rx</w:t>
            </w:r>
          </w:p>
        </w:tc>
        <w:tc>
          <w:tcPr>
            <w:tcW w:w="1332" w:type="dxa"/>
          </w:tcPr>
          <w:p>
            <w:pPr>
              <w:pStyle w:val="TableParagraph"/>
              <w:spacing w:line="207" w:lineRule="exact"/>
              <w:rPr>
                <w:sz w:val="18"/>
              </w:rPr>
            </w:pPr>
            <w:r>
              <w:rPr>
                <w:sz w:val="18"/>
              </w:rPr>
              <w:t>1000</w:t>
            </w:r>
          </w:p>
        </w:tc>
        <w:tc>
          <w:tcPr>
            <w:tcW w:w="1178" w:type="dxa"/>
          </w:tcPr>
          <w:p>
            <w:pPr>
              <w:pStyle w:val="TableParagraph"/>
              <w:spacing w:line="207" w:lineRule="exact"/>
              <w:rPr>
                <w:sz w:val="18"/>
              </w:rPr>
            </w:pPr>
            <w:r>
              <w:rPr>
                <w:w w:val="99"/>
                <w:sz w:val="18"/>
              </w:rPr>
              <w:t>0</w:t>
            </w:r>
          </w:p>
        </w:tc>
        <w:tc>
          <w:tcPr>
            <w:tcW w:w="1174" w:type="dxa"/>
          </w:tcPr>
          <w:p>
            <w:pPr>
              <w:pStyle w:val="TableParagraph"/>
              <w:spacing w:line="207" w:lineRule="exact"/>
              <w:rPr>
                <w:sz w:val="18"/>
              </w:rPr>
            </w:pPr>
            <w:r>
              <w:rPr>
                <w:sz w:val="18"/>
              </w:rPr>
              <w:t>100</w:t>
            </w:r>
          </w:p>
        </w:tc>
        <w:tc>
          <w:tcPr>
            <w:tcW w:w="1265" w:type="dxa"/>
          </w:tcPr>
          <w:p>
            <w:pPr>
              <w:pStyle w:val="TableParagraph"/>
              <w:spacing w:line="207" w:lineRule="exact"/>
              <w:ind w:left="100"/>
              <w:rPr>
                <w:sz w:val="18"/>
              </w:rPr>
            </w:pPr>
            <w:r>
              <w:rPr>
                <w:sz w:val="18"/>
              </w:rPr>
              <w:t>n\a*</w:t>
            </w:r>
          </w:p>
        </w:tc>
        <w:tc>
          <w:tcPr>
            <w:tcW w:w="1284" w:type="dxa"/>
          </w:tcPr>
          <w:p>
            <w:pPr>
              <w:pStyle w:val="TableParagraph"/>
              <w:spacing w:line="207" w:lineRule="exact"/>
              <w:ind w:left="100"/>
              <w:rPr>
                <w:sz w:val="18"/>
              </w:rPr>
            </w:pPr>
            <w:r>
              <w:rPr>
                <w:sz w:val="18"/>
              </w:rPr>
              <w:t>n\a*</w:t>
            </w:r>
          </w:p>
        </w:tc>
      </w:tr>
      <w:tr>
        <w:trPr>
          <w:trHeight w:val="324" w:hRule="exact"/>
        </w:trPr>
        <w:tc>
          <w:tcPr>
            <w:tcW w:w="1349" w:type="dxa"/>
          </w:tcPr>
          <w:p>
            <w:pPr>
              <w:pStyle w:val="TableParagraph"/>
              <w:rPr>
                <w:sz w:val="18"/>
              </w:rPr>
            </w:pPr>
            <w:r>
              <w:rPr>
                <w:w w:val="99"/>
                <w:sz w:val="18"/>
              </w:rPr>
              <w:t>5</w:t>
            </w:r>
          </w:p>
        </w:tc>
        <w:tc>
          <w:tcPr>
            <w:tcW w:w="1349" w:type="dxa"/>
          </w:tcPr>
          <w:p>
            <w:pPr>
              <w:pStyle w:val="TableParagraph"/>
              <w:rPr>
                <w:sz w:val="18"/>
              </w:rPr>
            </w:pPr>
            <w:r>
              <w:rPr>
                <w:w w:val="99"/>
                <w:sz w:val="18"/>
              </w:rPr>
              <w:t>2</w:t>
            </w:r>
          </w:p>
        </w:tc>
        <w:tc>
          <w:tcPr>
            <w:tcW w:w="1025" w:type="dxa"/>
          </w:tcPr>
          <w:p>
            <w:pPr>
              <w:pStyle w:val="TableParagraph"/>
              <w:rPr>
                <w:sz w:val="18"/>
              </w:rPr>
            </w:pPr>
            <w:r>
              <w:rPr>
                <w:sz w:val="18"/>
              </w:rPr>
              <w:t>Rx</w:t>
            </w:r>
          </w:p>
        </w:tc>
        <w:tc>
          <w:tcPr>
            <w:tcW w:w="1332" w:type="dxa"/>
          </w:tcPr>
          <w:p>
            <w:pPr>
              <w:pStyle w:val="TableParagraph"/>
              <w:rPr>
                <w:sz w:val="18"/>
              </w:rPr>
            </w:pPr>
            <w:r>
              <w:rPr>
                <w:sz w:val="18"/>
              </w:rPr>
              <w:t>10000</w:t>
            </w:r>
          </w:p>
        </w:tc>
        <w:tc>
          <w:tcPr>
            <w:tcW w:w="1178" w:type="dxa"/>
          </w:tcPr>
          <w:p>
            <w:pPr>
              <w:pStyle w:val="TableParagraph"/>
              <w:rPr>
                <w:sz w:val="18"/>
              </w:rPr>
            </w:pPr>
            <w:r>
              <w:rPr>
                <w:w w:val="99"/>
                <w:sz w:val="18"/>
              </w:rPr>
              <w:t>0</w:t>
            </w:r>
          </w:p>
        </w:tc>
        <w:tc>
          <w:tcPr>
            <w:tcW w:w="1174" w:type="dxa"/>
          </w:tcPr>
          <w:p>
            <w:pPr>
              <w:pStyle w:val="TableParagraph"/>
              <w:rPr>
                <w:sz w:val="18"/>
              </w:rPr>
            </w:pPr>
            <w:r>
              <w:rPr>
                <w:sz w:val="18"/>
              </w:rPr>
              <w:t>100</w:t>
            </w:r>
          </w:p>
        </w:tc>
        <w:tc>
          <w:tcPr>
            <w:tcW w:w="1265" w:type="dxa"/>
          </w:tcPr>
          <w:p>
            <w:pPr>
              <w:pStyle w:val="TableParagraph"/>
              <w:ind w:left="100"/>
              <w:rPr>
                <w:sz w:val="18"/>
              </w:rPr>
            </w:pPr>
            <w:r>
              <w:rPr>
                <w:sz w:val="18"/>
              </w:rPr>
              <w:t>n\a*</w:t>
            </w:r>
          </w:p>
        </w:tc>
        <w:tc>
          <w:tcPr>
            <w:tcW w:w="1284" w:type="dxa"/>
          </w:tcPr>
          <w:p>
            <w:pPr>
              <w:pStyle w:val="TableParagraph"/>
              <w:ind w:left="100"/>
              <w:rPr>
                <w:sz w:val="18"/>
              </w:rPr>
            </w:pPr>
            <w:r>
              <w:rPr>
                <w:sz w:val="18"/>
              </w:rPr>
              <w:t>n\a*</w:t>
            </w:r>
          </w:p>
        </w:tc>
      </w:tr>
      <w:tr>
        <w:trPr>
          <w:trHeight w:val="324" w:hRule="exact"/>
        </w:trPr>
        <w:tc>
          <w:tcPr>
            <w:tcW w:w="1349" w:type="dxa"/>
          </w:tcPr>
          <w:p>
            <w:pPr>
              <w:pStyle w:val="TableParagraph"/>
              <w:rPr>
                <w:sz w:val="18"/>
              </w:rPr>
            </w:pPr>
            <w:r>
              <w:rPr>
                <w:w w:val="99"/>
                <w:sz w:val="18"/>
              </w:rPr>
              <w:t>5</w:t>
            </w:r>
          </w:p>
        </w:tc>
        <w:tc>
          <w:tcPr>
            <w:tcW w:w="1349" w:type="dxa"/>
          </w:tcPr>
          <w:p>
            <w:pPr>
              <w:pStyle w:val="TableParagraph"/>
              <w:rPr>
                <w:sz w:val="18"/>
              </w:rPr>
            </w:pPr>
            <w:r>
              <w:rPr>
                <w:w w:val="99"/>
                <w:sz w:val="18"/>
              </w:rPr>
              <w:t>3</w:t>
            </w:r>
          </w:p>
        </w:tc>
        <w:tc>
          <w:tcPr>
            <w:tcW w:w="1025" w:type="dxa"/>
          </w:tcPr>
          <w:p>
            <w:pPr>
              <w:pStyle w:val="TableParagraph"/>
              <w:rPr>
                <w:sz w:val="18"/>
              </w:rPr>
            </w:pPr>
            <w:r>
              <w:rPr>
                <w:sz w:val="18"/>
              </w:rPr>
              <w:t>Rx</w:t>
            </w:r>
          </w:p>
        </w:tc>
        <w:tc>
          <w:tcPr>
            <w:tcW w:w="1332" w:type="dxa"/>
          </w:tcPr>
          <w:p>
            <w:pPr>
              <w:pStyle w:val="TableParagraph"/>
              <w:rPr>
                <w:sz w:val="18"/>
              </w:rPr>
            </w:pPr>
            <w:r>
              <w:rPr>
                <w:sz w:val="18"/>
              </w:rPr>
              <w:t>1000</w:t>
            </w:r>
          </w:p>
        </w:tc>
        <w:tc>
          <w:tcPr>
            <w:tcW w:w="1178" w:type="dxa"/>
          </w:tcPr>
          <w:p>
            <w:pPr>
              <w:pStyle w:val="TableParagraph"/>
              <w:rPr>
                <w:sz w:val="18"/>
              </w:rPr>
            </w:pPr>
            <w:r>
              <w:rPr>
                <w:sz w:val="18"/>
              </w:rPr>
              <w:t>996</w:t>
            </w:r>
          </w:p>
        </w:tc>
        <w:tc>
          <w:tcPr>
            <w:tcW w:w="1174" w:type="dxa"/>
          </w:tcPr>
          <w:p>
            <w:pPr>
              <w:pStyle w:val="TableParagraph"/>
              <w:rPr>
                <w:sz w:val="18"/>
              </w:rPr>
            </w:pPr>
            <w:r>
              <w:rPr>
                <w:sz w:val="18"/>
              </w:rPr>
              <w:t>0.4</w:t>
            </w:r>
          </w:p>
        </w:tc>
        <w:tc>
          <w:tcPr>
            <w:tcW w:w="1265" w:type="dxa"/>
          </w:tcPr>
          <w:p>
            <w:pPr>
              <w:pStyle w:val="TableParagraph"/>
              <w:ind w:left="100"/>
              <w:rPr>
                <w:sz w:val="18"/>
              </w:rPr>
            </w:pPr>
            <w:r>
              <w:rPr>
                <w:sz w:val="18"/>
              </w:rPr>
              <w:t>108</w:t>
            </w:r>
          </w:p>
        </w:tc>
        <w:tc>
          <w:tcPr>
            <w:tcW w:w="1284" w:type="dxa"/>
          </w:tcPr>
          <w:p>
            <w:pPr>
              <w:pStyle w:val="TableParagraph"/>
              <w:ind w:left="100"/>
              <w:rPr>
                <w:sz w:val="18"/>
              </w:rPr>
            </w:pPr>
            <w:r>
              <w:rPr>
                <w:sz w:val="18"/>
              </w:rPr>
              <w:t>24</w:t>
            </w:r>
          </w:p>
        </w:tc>
      </w:tr>
      <w:tr>
        <w:trPr>
          <w:trHeight w:val="324" w:hRule="exact"/>
        </w:trPr>
        <w:tc>
          <w:tcPr>
            <w:tcW w:w="1349" w:type="dxa"/>
          </w:tcPr>
          <w:p>
            <w:pPr>
              <w:pStyle w:val="TableParagraph"/>
              <w:rPr>
                <w:sz w:val="18"/>
              </w:rPr>
            </w:pPr>
            <w:r>
              <w:rPr>
                <w:sz w:val="18"/>
              </w:rPr>
              <w:t>0.2</w:t>
            </w:r>
          </w:p>
        </w:tc>
        <w:tc>
          <w:tcPr>
            <w:tcW w:w="1349" w:type="dxa"/>
          </w:tcPr>
          <w:p>
            <w:pPr>
              <w:pStyle w:val="TableParagraph"/>
              <w:rPr>
                <w:sz w:val="18"/>
              </w:rPr>
            </w:pPr>
            <w:r>
              <w:rPr>
                <w:w w:val="99"/>
                <w:sz w:val="18"/>
              </w:rPr>
              <w:t>1</w:t>
            </w:r>
          </w:p>
        </w:tc>
        <w:tc>
          <w:tcPr>
            <w:tcW w:w="1025" w:type="dxa"/>
          </w:tcPr>
          <w:p>
            <w:pPr>
              <w:pStyle w:val="TableParagraph"/>
              <w:rPr>
                <w:sz w:val="18"/>
              </w:rPr>
            </w:pPr>
            <w:r>
              <w:rPr>
                <w:sz w:val="18"/>
              </w:rPr>
              <w:t>Mid</w:t>
            </w:r>
          </w:p>
        </w:tc>
        <w:tc>
          <w:tcPr>
            <w:tcW w:w="1332" w:type="dxa"/>
          </w:tcPr>
          <w:p>
            <w:pPr>
              <w:pStyle w:val="TableParagraph"/>
              <w:rPr>
                <w:sz w:val="18"/>
              </w:rPr>
            </w:pPr>
            <w:r>
              <w:rPr>
                <w:sz w:val="18"/>
              </w:rPr>
              <w:t>1000</w:t>
            </w:r>
          </w:p>
        </w:tc>
        <w:tc>
          <w:tcPr>
            <w:tcW w:w="1178" w:type="dxa"/>
          </w:tcPr>
          <w:p>
            <w:pPr>
              <w:pStyle w:val="TableParagraph"/>
              <w:rPr>
                <w:sz w:val="18"/>
              </w:rPr>
            </w:pPr>
            <w:r>
              <w:rPr>
                <w:sz w:val="18"/>
              </w:rPr>
              <w:t>995</w:t>
            </w:r>
          </w:p>
        </w:tc>
        <w:tc>
          <w:tcPr>
            <w:tcW w:w="1174" w:type="dxa"/>
          </w:tcPr>
          <w:p>
            <w:pPr>
              <w:pStyle w:val="TableParagraph"/>
              <w:rPr>
                <w:sz w:val="18"/>
              </w:rPr>
            </w:pPr>
            <w:r>
              <w:rPr>
                <w:sz w:val="18"/>
              </w:rPr>
              <w:t>0.5</w:t>
            </w:r>
          </w:p>
        </w:tc>
        <w:tc>
          <w:tcPr>
            <w:tcW w:w="1265" w:type="dxa"/>
          </w:tcPr>
          <w:p>
            <w:pPr>
              <w:pStyle w:val="TableParagraph"/>
              <w:ind w:left="100"/>
              <w:rPr>
                <w:sz w:val="18"/>
              </w:rPr>
            </w:pPr>
            <w:r>
              <w:rPr>
                <w:sz w:val="18"/>
              </w:rPr>
              <w:t>108</w:t>
            </w:r>
          </w:p>
        </w:tc>
        <w:tc>
          <w:tcPr>
            <w:tcW w:w="1284" w:type="dxa"/>
          </w:tcPr>
          <w:p>
            <w:pPr>
              <w:pStyle w:val="TableParagraph"/>
              <w:ind w:left="100"/>
              <w:rPr>
                <w:sz w:val="18"/>
              </w:rPr>
            </w:pPr>
            <w:r>
              <w:rPr>
                <w:sz w:val="18"/>
              </w:rPr>
              <w:t>23</w:t>
            </w:r>
          </w:p>
        </w:tc>
      </w:tr>
      <w:tr>
        <w:trPr>
          <w:trHeight w:val="324" w:hRule="exact"/>
        </w:trPr>
        <w:tc>
          <w:tcPr>
            <w:tcW w:w="1349" w:type="dxa"/>
          </w:tcPr>
          <w:p>
            <w:pPr>
              <w:pStyle w:val="TableParagraph"/>
              <w:rPr>
                <w:sz w:val="18"/>
              </w:rPr>
            </w:pPr>
            <w:r>
              <w:rPr>
                <w:sz w:val="18"/>
              </w:rPr>
              <w:t>0.2</w:t>
            </w:r>
          </w:p>
        </w:tc>
        <w:tc>
          <w:tcPr>
            <w:tcW w:w="1349" w:type="dxa"/>
          </w:tcPr>
          <w:p>
            <w:pPr>
              <w:pStyle w:val="TableParagraph"/>
              <w:rPr>
                <w:sz w:val="18"/>
              </w:rPr>
            </w:pPr>
            <w:r>
              <w:rPr>
                <w:w w:val="99"/>
                <w:sz w:val="18"/>
              </w:rPr>
              <w:t>2</w:t>
            </w:r>
          </w:p>
        </w:tc>
        <w:tc>
          <w:tcPr>
            <w:tcW w:w="1025" w:type="dxa"/>
          </w:tcPr>
          <w:p>
            <w:pPr>
              <w:pStyle w:val="TableParagraph"/>
              <w:rPr>
                <w:sz w:val="18"/>
              </w:rPr>
            </w:pPr>
            <w:r>
              <w:rPr>
                <w:sz w:val="18"/>
              </w:rPr>
              <w:t>Mid</w:t>
            </w:r>
          </w:p>
        </w:tc>
        <w:tc>
          <w:tcPr>
            <w:tcW w:w="1332" w:type="dxa"/>
          </w:tcPr>
          <w:p>
            <w:pPr>
              <w:pStyle w:val="TableParagraph"/>
              <w:rPr>
                <w:sz w:val="18"/>
              </w:rPr>
            </w:pPr>
            <w:r>
              <w:rPr>
                <w:sz w:val="18"/>
              </w:rPr>
              <w:t>1000</w:t>
            </w:r>
          </w:p>
        </w:tc>
        <w:tc>
          <w:tcPr>
            <w:tcW w:w="1178" w:type="dxa"/>
          </w:tcPr>
          <w:p>
            <w:pPr>
              <w:pStyle w:val="TableParagraph"/>
              <w:rPr>
                <w:sz w:val="18"/>
              </w:rPr>
            </w:pPr>
            <w:r>
              <w:rPr>
                <w:sz w:val="18"/>
              </w:rPr>
              <w:t>1000</w:t>
            </w:r>
          </w:p>
        </w:tc>
        <w:tc>
          <w:tcPr>
            <w:tcW w:w="1174" w:type="dxa"/>
          </w:tcPr>
          <w:p>
            <w:pPr>
              <w:pStyle w:val="TableParagraph"/>
              <w:rPr>
                <w:sz w:val="18"/>
              </w:rPr>
            </w:pPr>
            <w:r>
              <w:rPr>
                <w:w w:val="99"/>
                <w:sz w:val="18"/>
              </w:rPr>
              <w:t>0</w:t>
            </w:r>
          </w:p>
        </w:tc>
        <w:tc>
          <w:tcPr>
            <w:tcW w:w="1265" w:type="dxa"/>
          </w:tcPr>
          <w:p>
            <w:pPr>
              <w:pStyle w:val="TableParagraph"/>
              <w:ind w:left="100"/>
              <w:rPr>
                <w:sz w:val="18"/>
              </w:rPr>
            </w:pPr>
            <w:r>
              <w:rPr>
                <w:sz w:val="18"/>
              </w:rPr>
              <w:t>106</w:t>
            </w:r>
          </w:p>
        </w:tc>
        <w:tc>
          <w:tcPr>
            <w:tcW w:w="1284" w:type="dxa"/>
          </w:tcPr>
          <w:p>
            <w:pPr>
              <w:pStyle w:val="TableParagraph"/>
              <w:ind w:left="100"/>
              <w:rPr>
                <w:sz w:val="18"/>
              </w:rPr>
            </w:pPr>
            <w:r>
              <w:rPr>
                <w:sz w:val="18"/>
              </w:rPr>
              <w:t>23</w:t>
            </w:r>
          </w:p>
        </w:tc>
      </w:tr>
      <w:tr>
        <w:trPr>
          <w:trHeight w:val="324" w:hRule="exact"/>
        </w:trPr>
        <w:tc>
          <w:tcPr>
            <w:tcW w:w="1349" w:type="dxa"/>
          </w:tcPr>
          <w:p>
            <w:pPr>
              <w:pStyle w:val="TableParagraph"/>
              <w:rPr>
                <w:sz w:val="18"/>
              </w:rPr>
            </w:pPr>
            <w:r>
              <w:rPr>
                <w:sz w:val="18"/>
              </w:rPr>
              <w:t>0.2</w:t>
            </w:r>
          </w:p>
        </w:tc>
        <w:tc>
          <w:tcPr>
            <w:tcW w:w="1349" w:type="dxa"/>
          </w:tcPr>
          <w:p>
            <w:pPr>
              <w:pStyle w:val="TableParagraph"/>
              <w:rPr>
                <w:sz w:val="18"/>
              </w:rPr>
            </w:pPr>
            <w:r>
              <w:rPr>
                <w:w w:val="99"/>
                <w:sz w:val="18"/>
              </w:rPr>
              <w:t>3</w:t>
            </w:r>
          </w:p>
        </w:tc>
        <w:tc>
          <w:tcPr>
            <w:tcW w:w="1025" w:type="dxa"/>
          </w:tcPr>
          <w:p>
            <w:pPr>
              <w:pStyle w:val="TableParagraph"/>
              <w:rPr>
                <w:sz w:val="18"/>
              </w:rPr>
            </w:pPr>
            <w:r>
              <w:rPr>
                <w:sz w:val="18"/>
              </w:rPr>
              <w:t>Mid</w:t>
            </w:r>
          </w:p>
        </w:tc>
        <w:tc>
          <w:tcPr>
            <w:tcW w:w="1332" w:type="dxa"/>
          </w:tcPr>
          <w:p>
            <w:pPr>
              <w:pStyle w:val="TableParagraph"/>
              <w:rPr>
                <w:sz w:val="18"/>
              </w:rPr>
            </w:pPr>
            <w:r>
              <w:rPr>
                <w:sz w:val="18"/>
              </w:rPr>
              <w:t>1000</w:t>
            </w:r>
          </w:p>
        </w:tc>
        <w:tc>
          <w:tcPr>
            <w:tcW w:w="1178" w:type="dxa"/>
          </w:tcPr>
          <w:p>
            <w:pPr>
              <w:pStyle w:val="TableParagraph"/>
              <w:rPr>
                <w:sz w:val="18"/>
              </w:rPr>
            </w:pPr>
            <w:r>
              <w:rPr>
                <w:sz w:val="18"/>
              </w:rPr>
              <w:t>999</w:t>
            </w:r>
          </w:p>
        </w:tc>
        <w:tc>
          <w:tcPr>
            <w:tcW w:w="1174" w:type="dxa"/>
          </w:tcPr>
          <w:p>
            <w:pPr>
              <w:pStyle w:val="TableParagraph"/>
              <w:rPr>
                <w:sz w:val="18"/>
              </w:rPr>
            </w:pPr>
            <w:r>
              <w:rPr>
                <w:sz w:val="18"/>
              </w:rPr>
              <w:t>0.1</w:t>
            </w:r>
          </w:p>
        </w:tc>
        <w:tc>
          <w:tcPr>
            <w:tcW w:w="1265" w:type="dxa"/>
          </w:tcPr>
          <w:p>
            <w:pPr>
              <w:pStyle w:val="TableParagraph"/>
              <w:ind w:left="100"/>
              <w:rPr>
                <w:sz w:val="18"/>
              </w:rPr>
            </w:pPr>
            <w:r>
              <w:rPr>
                <w:sz w:val="18"/>
              </w:rPr>
              <w:t>105</w:t>
            </w:r>
          </w:p>
        </w:tc>
        <w:tc>
          <w:tcPr>
            <w:tcW w:w="1284" w:type="dxa"/>
          </w:tcPr>
          <w:p>
            <w:pPr>
              <w:pStyle w:val="TableParagraph"/>
              <w:ind w:left="100"/>
              <w:rPr>
                <w:sz w:val="18"/>
              </w:rPr>
            </w:pPr>
            <w:r>
              <w:rPr>
                <w:sz w:val="18"/>
              </w:rPr>
              <w:t>22</w:t>
            </w:r>
          </w:p>
        </w:tc>
      </w:tr>
      <w:tr>
        <w:trPr>
          <w:trHeight w:val="324" w:hRule="exact"/>
        </w:trPr>
        <w:tc>
          <w:tcPr>
            <w:tcW w:w="1349" w:type="dxa"/>
          </w:tcPr>
          <w:p>
            <w:pPr>
              <w:pStyle w:val="TableParagraph"/>
              <w:rPr>
                <w:sz w:val="18"/>
              </w:rPr>
            </w:pPr>
            <w:r>
              <w:rPr>
                <w:sz w:val="18"/>
              </w:rPr>
              <w:t>0.5</w:t>
            </w:r>
          </w:p>
        </w:tc>
        <w:tc>
          <w:tcPr>
            <w:tcW w:w="1349" w:type="dxa"/>
          </w:tcPr>
          <w:p>
            <w:pPr>
              <w:pStyle w:val="TableParagraph"/>
              <w:rPr>
                <w:sz w:val="18"/>
              </w:rPr>
            </w:pPr>
            <w:r>
              <w:rPr>
                <w:w w:val="99"/>
                <w:sz w:val="18"/>
              </w:rPr>
              <w:t>1</w:t>
            </w:r>
          </w:p>
        </w:tc>
        <w:tc>
          <w:tcPr>
            <w:tcW w:w="1025" w:type="dxa"/>
          </w:tcPr>
          <w:p>
            <w:pPr>
              <w:pStyle w:val="TableParagraph"/>
              <w:rPr>
                <w:sz w:val="18"/>
              </w:rPr>
            </w:pPr>
            <w:r>
              <w:rPr>
                <w:sz w:val="18"/>
              </w:rPr>
              <w:t>Mid</w:t>
            </w:r>
          </w:p>
        </w:tc>
        <w:tc>
          <w:tcPr>
            <w:tcW w:w="1332" w:type="dxa"/>
          </w:tcPr>
          <w:p>
            <w:pPr>
              <w:pStyle w:val="TableParagraph"/>
              <w:rPr>
                <w:sz w:val="18"/>
              </w:rPr>
            </w:pPr>
            <w:r>
              <w:rPr>
                <w:sz w:val="18"/>
              </w:rPr>
              <w:t>1000</w:t>
            </w:r>
          </w:p>
        </w:tc>
        <w:tc>
          <w:tcPr>
            <w:tcW w:w="1178" w:type="dxa"/>
          </w:tcPr>
          <w:p>
            <w:pPr>
              <w:pStyle w:val="TableParagraph"/>
              <w:rPr>
                <w:sz w:val="18"/>
              </w:rPr>
            </w:pPr>
            <w:r>
              <w:rPr>
                <w:sz w:val="18"/>
              </w:rPr>
              <w:t>1000</w:t>
            </w:r>
          </w:p>
        </w:tc>
        <w:tc>
          <w:tcPr>
            <w:tcW w:w="1174" w:type="dxa"/>
          </w:tcPr>
          <w:p>
            <w:pPr>
              <w:pStyle w:val="TableParagraph"/>
              <w:rPr>
                <w:sz w:val="18"/>
              </w:rPr>
            </w:pPr>
            <w:r>
              <w:rPr>
                <w:w w:val="99"/>
                <w:sz w:val="18"/>
              </w:rPr>
              <w:t>0</w:t>
            </w:r>
          </w:p>
        </w:tc>
        <w:tc>
          <w:tcPr>
            <w:tcW w:w="1265" w:type="dxa"/>
          </w:tcPr>
          <w:p>
            <w:pPr>
              <w:pStyle w:val="TableParagraph"/>
              <w:ind w:left="100"/>
              <w:rPr>
                <w:sz w:val="18"/>
              </w:rPr>
            </w:pPr>
            <w:r>
              <w:rPr>
                <w:sz w:val="18"/>
              </w:rPr>
              <w:t>107</w:t>
            </w:r>
          </w:p>
        </w:tc>
        <w:tc>
          <w:tcPr>
            <w:tcW w:w="1284" w:type="dxa"/>
          </w:tcPr>
          <w:p>
            <w:pPr>
              <w:pStyle w:val="TableParagraph"/>
              <w:ind w:left="100"/>
              <w:rPr>
                <w:sz w:val="18"/>
              </w:rPr>
            </w:pPr>
            <w:r>
              <w:rPr>
                <w:sz w:val="18"/>
              </w:rPr>
              <w:t>22</w:t>
            </w:r>
          </w:p>
        </w:tc>
      </w:tr>
      <w:tr>
        <w:trPr>
          <w:trHeight w:val="324" w:hRule="exact"/>
        </w:trPr>
        <w:tc>
          <w:tcPr>
            <w:tcW w:w="1349" w:type="dxa"/>
          </w:tcPr>
          <w:p>
            <w:pPr>
              <w:pStyle w:val="TableParagraph"/>
              <w:rPr>
                <w:sz w:val="18"/>
              </w:rPr>
            </w:pPr>
            <w:r>
              <w:rPr>
                <w:sz w:val="18"/>
              </w:rPr>
              <w:t>0.5</w:t>
            </w:r>
          </w:p>
        </w:tc>
        <w:tc>
          <w:tcPr>
            <w:tcW w:w="1349" w:type="dxa"/>
          </w:tcPr>
          <w:p>
            <w:pPr>
              <w:pStyle w:val="TableParagraph"/>
              <w:rPr>
                <w:sz w:val="18"/>
              </w:rPr>
            </w:pPr>
            <w:r>
              <w:rPr>
                <w:w w:val="99"/>
                <w:sz w:val="18"/>
              </w:rPr>
              <w:t>2</w:t>
            </w:r>
          </w:p>
        </w:tc>
        <w:tc>
          <w:tcPr>
            <w:tcW w:w="1025" w:type="dxa"/>
          </w:tcPr>
          <w:p>
            <w:pPr>
              <w:pStyle w:val="TableParagraph"/>
              <w:rPr>
                <w:sz w:val="18"/>
              </w:rPr>
            </w:pPr>
            <w:r>
              <w:rPr>
                <w:sz w:val="18"/>
              </w:rPr>
              <w:t>Mid</w:t>
            </w:r>
          </w:p>
        </w:tc>
        <w:tc>
          <w:tcPr>
            <w:tcW w:w="1332" w:type="dxa"/>
          </w:tcPr>
          <w:p>
            <w:pPr>
              <w:pStyle w:val="TableParagraph"/>
              <w:rPr>
                <w:sz w:val="18"/>
              </w:rPr>
            </w:pPr>
            <w:r>
              <w:rPr>
                <w:sz w:val="18"/>
              </w:rPr>
              <w:t>1000</w:t>
            </w:r>
          </w:p>
        </w:tc>
        <w:tc>
          <w:tcPr>
            <w:tcW w:w="1178" w:type="dxa"/>
          </w:tcPr>
          <w:p>
            <w:pPr>
              <w:pStyle w:val="TableParagraph"/>
              <w:rPr>
                <w:sz w:val="18"/>
              </w:rPr>
            </w:pPr>
            <w:r>
              <w:rPr>
                <w:sz w:val="18"/>
              </w:rPr>
              <w:t>1000</w:t>
            </w:r>
          </w:p>
        </w:tc>
        <w:tc>
          <w:tcPr>
            <w:tcW w:w="1174" w:type="dxa"/>
          </w:tcPr>
          <w:p>
            <w:pPr>
              <w:pStyle w:val="TableParagraph"/>
              <w:rPr>
                <w:sz w:val="18"/>
              </w:rPr>
            </w:pPr>
            <w:r>
              <w:rPr>
                <w:w w:val="99"/>
                <w:sz w:val="18"/>
              </w:rPr>
              <w:t>0</w:t>
            </w:r>
          </w:p>
        </w:tc>
        <w:tc>
          <w:tcPr>
            <w:tcW w:w="1265" w:type="dxa"/>
          </w:tcPr>
          <w:p>
            <w:pPr>
              <w:pStyle w:val="TableParagraph"/>
              <w:ind w:left="100"/>
              <w:rPr>
                <w:sz w:val="18"/>
              </w:rPr>
            </w:pPr>
            <w:r>
              <w:rPr>
                <w:sz w:val="18"/>
              </w:rPr>
              <w:t>107</w:t>
            </w:r>
          </w:p>
        </w:tc>
        <w:tc>
          <w:tcPr>
            <w:tcW w:w="1284" w:type="dxa"/>
          </w:tcPr>
          <w:p>
            <w:pPr>
              <w:pStyle w:val="TableParagraph"/>
              <w:ind w:left="100"/>
              <w:rPr>
                <w:sz w:val="18"/>
              </w:rPr>
            </w:pPr>
            <w:r>
              <w:rPr>
                <w:sz w:val="18"/>
              </w:rPr>
              <w:t>22</w:t>
            </w:r>
          </w:p>
        </w:tc>
      </w:tr>
      <w:tr>
        <w:trPr>
          <w:trHeight w:val="324" w:hRule="exact"/>
        </w:trPr>
        <w:tc>
          <w:tcPr>
            <w:tcW w:w="1349" w:type="dxa"/>
          </w:tcPr>
          <w:p>
            <w:pPr>
              <w:pStyle w:val="TableParagraph"/>
              <w:rPr>
                <w:sz w:val="18"/>
              </w:rPr>
            </w:pPr>
            <w:r>
              <w:rPr>
                <w:sz w:val="18"/>
              </w:rPr>
              <w:t>0.5</w:t>
            </w:r>
          </w:p>
        </w:tc>
        <w:tc>
          <w:tcPr>
            <w:tcW w:w="1349" w:type="dxa"/>
          </w:tcPr>
          <w:p>
            <w:pPr>
              <w:pStyle w:val="TableParagraph"/>
              <w:rPr>
                <w:sz w:val="18"/>
              </w:rPr>
            </w:pPr>
            <w:r>
              <w:rPr>
                <w:w w:val="99"/>
                <w:sz w:val="18"/>
              </w:rPr>
              <w:t>3</w:t>
            </w:r>
          </w:p>
        </w:tc>
        <w:tc>
          <w:tcPr>
            <w:tcW w:w="1025" w:type="dxa"/>
          </w:tcPr>
          <w:p>
            <w:pPr>
              <w:pStyle w:val="TableParagraph"/>
              <w:rPr>
                <w:sz w:val="18"/>
              </w:rPr>
            </w:pPr>
            <w:r>
              <w:rPr>
                <w:sz w:val="18"/>
              </w:rPr>
              <w:t>Mid</w:t>
            </w:r>
          </w:p>
        </w:tc>
        <w:tc>
          <w:tcPr>
            <w:tcW w:w="1332" w:type="dxa"/>
          </w:tcPr>
          <w:p>
            <w:pPr>
              <w:pStyle w:val="TableParagraph"/>
              <w:rPr>
                <w:sz w:val="18"/>
              </w:rPr>
            </w:pPr>
            <w:r>
              <w:rPr>
                <w:sz w:val="18"/>
              </w:rPr>
              <w:t>1000</w:t>
            </w:r>
          </w:p>
        </w:tc>
        <w:tc>
          <w:tcPr>
            <w:tcW w:w="1178" w:type="dxa"/>
          </w:tcPr>
          <w:p>
            <w:pPr>
              <w:pStyle w:val="TableParagraph"/>
              <w:rPr>
                <w:sz w:val="18"/>
              </w:rPr>
            </w:pPr>
            <w:r>
              <w:rPr>
                <w:sz w:val="18"/>
              </w:rPr>
              <w:t>1000</w:t>
            </w:r>
          </w:p>
        </w:tc>
        <w:tc>
          <w:tcPr>
            <w:tcW w:w="1174" w:type="dxa"/>
          </w:tcPr>
          <w:p>
            <w:pPr>
              <w:pStyle w:val="TableParagraph"/>
              <w:rPr>
                <w:sz w:val="18"/>
              </w:rPr>
            </w:pPr>
            <w:r>
              <w:rPr>
                <w:w w:val="99"/>
                <w:sz w:val="18"/>
              </w:rPr>
              <w:t>0</w:t>
            </w:r>
          </w:p>
        </w:tc>
        <w:tc>
          <w:tcPr>
            <w:tcW w:w="1265" w:type="dxa"/>
          </w:tcPr>
          <w:p>
            <w:pPr>
              <w:pStyle w:val="TableParagraph"/>
              <w:ind w:left="100"/>
              <w:rPr>
                <w:sz w:val="18"/>
              </w:rPr>
            </w:pPr>
            <w:r>
              <w:rPr>
                <w:sz w:val="18"/>
              </w:rPr>
              <w:t>105</w:t>
            </w:r>
          </w:p>
        </w:tc>
        <w:tc>
          <w:tcPr>
            <w:tcW w:w="1284" w:type="dxa"/>
          </w:tcPr>
          <w:p>
            <w:pPr>
              <w:pStyle w:val="TableParagraph"/>
              <w:ind w:left="100"/>
              <w:rPr>
                <w:sz w:val="18"/>
              </w:rPr>
            </w:pPr>
            <w:r>
              <w:rPr>
                <w:sz w:val="18"/>
              </w:rPr>
              <w:t>23</w:t>
            </w:r>
          </w:p>
        </w:tc>
      </w:tr>
      <w:tr>
        <w:trPr>
          <w:trHeight w:val="324" w:hRule="exact"/>
        </w:trPr>
        <w:tc>
          <w:tcPr>
            <w:tcW w:w="1349" w:type="dxa"/>
          </w:tcPr>
          <w:p>
            <w:pPr>
              <w:pStyle w:val="TableParagraph"/>
              <w:rPr>
                <w:sz w:val="18"/>
              </w:rPr>
            </w:pPr>
            <w:r>
              <w:rPr>
                <w:w w:val="99"/>
                <w:sz w:val="18"/>
              </w:rPr>
              <w:t>1</w:t>
            </w:r>
          </w:p>
        </w:tc>
        <w:tc>
          <w:tcPr>
            <w:tcW w:w="1349" w:type="dxa"/>
          </w:tcPr>
          <w:p>
            <w:pPr>
              <w:pStyle w:val="TableParagraph"/>
              <w:rPr>
                <w:sz w:val="18"/>
              </w:rPr>
            </w:pPr>
            <w:r>
              <w:rPr>
                <w:w w:val="99"/>
                <w:sz w:val="18"/>
              </w:rPr>
              <w:t>1</w:t>
            </w:r>
          </w:p>
        </w:tc>
        <w:tc>
          <w:tcPr>
            <w:tcW w:w="1025" w:type="dxa"/>
          </w:tcPr>
          <w:p>
            <w:pPr>
              <w:pStyle w:val="TableParagraph"/>
              <w:rPr>
                <w:sz w:val="18"/>
              </w:rPr>
            </w:pPr>
            <w:r>
              <w:rPr>
                <w:sz w:val="18"/>
              </w:rPr>
              <w:t>Mid</w:t>
            </w:r>
          </w:p>
        </w:tc>
        <w:tc>
          <w:tcPr>
            <w:tcW w:w="1332" w:type="dxa"/>
          </w:tcPr>
          <w:p>
            <w:pPr>
              <w:pStyle w:val="TableParagraph"/>
              <w:rPr>
                <w:sz w:val="18"/>
              </w:rPr>
            </w:pPr>
            <w:r>
              <w:rPr>
                <w:sz w:val="18"/>
              </w:rPr>
              <w:t>1000</w:t>
            </w:r>
          </w:p>
        </w:tc>
        <w:tc>
          <w:tcPr>
            <w:tcW w:w="1178" w:type="dxa"/>
          </w:tcPr>
          <w:p>
            <w:pPr>
              <w:pStyle w:val="TableParagraph"/>
              <w:rPr>
                <w:sz w:val="18"/>
              </w:rPr>
            </w:pPr>
            <w:r>
              <w:rPr>
                <w:w w:val="99"/>
                <w:sz w:val="18"/>
              </w:rPr>
              <w:t>0</w:t>
            </w:r>
          </w:p>
        </w:tc>
        <w:tc>
          <w:tcPr>
            <w:tcW w:w="1174" w:type="dxa"/>
          </w:tcPr>
          <w:p>
            <w:pPr>
              <w:pStyle w:val="TableParagraph"/>
              <w:rPr>
                <w:sz w:val="18"/>
              </w:rPr>
            </w:pPr>
            <w:r>
              <w:rPr>
                <w:w w:val="99"/>
                <w:sz w:val="18"/>
              </w:rPr>
              <w:t>0</w:t>
            </w:r>
          </w:p>
        </w:tc>
        <w:tc>
          <w:tcPr>
            <w:tcW w:w="1265" w:type="dxa"/>
          </w:tcPr>
          <w:p>
            <w:pPr>
              <w:pStyle w:val="TableParagraph"/>
              <w:ind w:left="100"/>
              <w:rPr>
                <w:sz w:val="18"/>
              </w:rPr>
            </w:pPr>
            <w:r>
              <w:rPr>
                <w:sz w:val="18"/>
              </w:rPr>
              <w:t>107</w:t>
            </w:r>
          </w:p>
        </w:tc>
        <w:tc>
          <w:tcPr>
            <w:tcW w:w="1284" w:type="dxa"/>
          </w:tcPr>
          <w:p>
            <w:pPr>
              <w:pStyle w:val="TableParagraph"/>
              <w:ind w:left="100"/>
              <w:rPr>
                <w:sz w:val="18"/>
              </w:rPr>
            </w:pPr>
            <w:r>
              <w:rPr>
                <w:sz w:val="18"/>
              </w:rPr>
              <w:t>23</w:t>
            </w:r>
          </w:p>
        </w:tc>
      </w:tr>
      <w:tr>
        <w:trPr>
          <w:trHeight w:val="325" w:hRule="exact"/>
        </w:trPr>
        <w:tc>
          <w:tcPr>
            <w:tcW w:w="1349" w:type="dxa"/>
          </w:tcPr>
          <w:p>
            <w:pPr>
              <w:pStyle w:val="TableParagraph"/>
              <w:spacing w:line="207" w:lineRule="exact"/>
              <w:rPr>
                <w:sz w:val="18"/>
              </w:rPr>
            </w:pPr>
            <w:r>
              <w:rPr>
                <w:w w:val="99"/>
                <w:sz w:val="18"/>
              </w:rPr>
              <w:t>1</w:t>
            </w:r>
          </w:p>
        </w:tc>
        <w:tc>
          <w:tcPr>
            <w:tcW w:w="1349" w:type="dxa"/>
          </w:tcPr>
          <w:p>
            <w:pPr>
              <w:pStyle w:val="TableParagraph"/>
              <w:spacing w:line="207" w:lineRule="exact"/>
              <w:rPr>
                <w:sz w:val="18"/>
              </w:rPr>
            </w:pPr>
            <w:r>
              <w:rPr>
                <w:w w:val="99"/>
                <w:sz w:val="18"/>
              </w:rPr>
              <w:t>2</w:t>
            </w:r>
          </w:p>
        </w:tc>
        <w:tc>
          <w:tcPr>
            <w:tcW w:w="1025" w:type="dxa"/>
          </w:tcPr>
          <w:p>
            <w:pPr>
              <w:pStyle w:val="TableParagraph"/>
              <w:spacing w:line="207" w:lineRule="exact"/>
              <w:rPr>
                <w:sz w:val="18"/>
              </w:rPr>
            </w:pPr>
            <w:r>
              <w:rPr>
                <w:sz w:val="18"/>
              </w:rPr>
              <w:t>Mid</w:t>
            </w:r>
          </w:p>
        </w:tc>
        <w:tc>
          <w:tcPr>
            <w:tcW w:w="1332" w:type="dxa"/>
          </w:tcPr>
          <w:p>
            <w:pPr>
              <w:pStyle w:val="TableParagraph"/>
              <w:spacing w:line="207" w:lineRule="exact"/>
              <w:rPr>
                <w:sz w:val="18"/>
              </w:rPr>
            </w:pPr>
            <w:r>
              <w:rPr>
                <w:sz w:val="18"/>
              </w:rPr>
              <w:t>1000</w:t>
            </w:r>
          </w:p>
        </w:tc>
        <w:tc>
          <w:tcPr>
            <w:tcW w:w="1178" w:type="dxa"/>
          </w:tcPr>
          <w:p>
            <w:pPr>
              <w:pStyle w:val="TableParagraph"/>
              <w:spacing w:line="207" w:lineRule="exact"/>
              <w:rPr>
                <w:sz w:val="18"/>
              </w:rPr>
            </w:pPr>
            <w:r>
              <w:rPr>
                <w:sz w:val="18"/>
              </w:rPr>
              <w:t>1000</w:t>
            </w:r>
          </w:p>
        </w:tc>
        <w:tc>
          <w:tcPr>
            <w:tcW w:w="1174" w:type="dxa"/>
          </w:tcPr>
          <w:p>
            <w:pPr>
              <w:pStyle w:val="TableParagraph"/>
              <w:spacing w:line="207" w:lineRule="exact"/>
              <w:rPr>
                <w:sz w:val="18"/>
              </w:rPr>
            </w:pPr>
            <w:r>
              <w:rPr>
                <w:w w:val="99"/>
                <w:sz w:val="18"/>
              </w:rPr>
              <w:t>0</w:t>
            </w:r>
          </w:p>
        </w:tc>
        <w:tc>
          <w:tcPr>
            <w:tcW w:w="1265" w:type="dxa"/>
          </w:tcPr>
          <w:p>
            <w:pPr>
              <w:pStyle w:val="TableParagraph"/>
              <w:spacing w:line="207" w:lineRule="exact"/>
              <w:ind w:left="100"/>
              <w:rPr>
                <w:sz w:val="18"/>
              </w:rPr>
            </w:pPr>
            <w:r>
              <w:rPr>
                <w:sz w:val="18"/>
              </w:rPr>
              <w:t>107</w:t>
            </w:r>
          </w:p>
        </w:tc>
        <w:tc>
          <w:tcPr>
            <w:tcW w:w="1284" w:type="dxa"/>
          </w:tcPr>
          <w:p>
            <w:pPr>
              <w:pStyle w:val="TableParagraph"/>
              <w:spacing w:line="207" w:lineRule="exact"/>
              <w:ind w:left="100"/>
              <w:rPr>
                <w:sz w:val="18"/>
              </w:rPr>
            </w:pPr>
            <w:r>
              <w:rPr>
                <w:sz w:val="18"/>
              </w:rPr>
              <w:t>23</w:t>
            </w:r>
          </w:p>
        </w:tc>
      </w:tr>
      <w:tr>
        <w:trPr>
          <w:trHeight w:val="324" w:hRule="exact"/>
        </w:trPr>
        <w:tc>
          <w:tcPr>
            <w:tcW w:w="1349" w:type="dxa"/>
          </w:tcPr>
          <w:p>
            <w:pPr>
              <w:pStyle w:val="TableParagraph"/>
              <w:rPr>
                <w:sz w:val="18"/>
              </w:rPr>
            </w:pPr>
            <w:r>
              <w:rPr>
                <w:w w:val="99"/>
                <w:sz w:val="18"/>
              </w:rPr>
              <w:t>1</w:t>
            </w:r>
          </w:p>
        </w:tc>
        <w:tc>
          <w:tcPr>
            <w:tcW w:w="1349" w:type="dxa"/>
          </w:tcPr>
          <w:p>
            <w:pPr>
              <w:pStyle w:val="TableParagraph"/>
              <w:rPr>
                <w:sz w:val="18"/>
              </w:rPr>
            </w:pPr>
            <w:r>
              <w:rPr>
                <w:w w:val="99"/>
                <w:sz w:val="18"/>
              </w:rPr>
              <w:t>3</w:t>
            </w:r>
          </w:p>
        </w:tc>
        <w:tc>
          <w:tcPr>
            <w:tcW w:w="1025" w:type="dxa"/>
          </w:tcPr>
          <w:p>
            <w:pPr>
              <w:pStyle w:val="TableParagraph"/>
              <w:rPr>
                <w:sz w:val="18"/>
              </w:rPr>
            </w:pPr>
            <w:r>
              <w:rPr>
                <w:sz w:val="18"/>
              </w:rPr>
              <w:t>Mid</w:t>
            </w:r>
          </w:p>
        </w:tc>
        <w:tc>
          <w:tcPr>
            <w:tcW w:w="1332" w:type="dxa"/>
          </w:tcPr>
          <w:p>
            <w:pPr>
              <w:pStyle w:val="TableParagraph"/>
              <w:rPr>
                <w:sz w:val="18"/>
              </w:rPr>
            </w:pPr>
            <w:r>
              <w:rPr>
                <w:sz w:val="18"/>
              </w:rPr>
              <w:t>1000</w:t>
            </w:r>
          </w:p>
        </w:tc>
        <w:tc>
          <w:tcPr>
            <w:tcW w:w="1178" w:type="dxa"/>
          </w:tcPr>
          <w:p>
            <w:pPr>
              <w:pStyle w:val="TableParagraph"/>
              <w:rPr>
                <w:sz w:val="18"/>
              </w:rPr>
            </w:pPr>
            <w:r>
              <w:rPr>
                <w:sz w:val="18"/>
              </w:rPr>
              <w:t>1000</w:t>
            </w:r>
          </w:p>
        </w:tc>
        <w:tc>
          <w:tcPr>
            <w:tcW w:w="1174" w:type="dxa"/>
          </w:tcPr>
          <w:p>
            <w:pPr>
              <w:pStyle w:val="TableParagraph"/>
              <w:rPr>
                <w:sz w:val="18"/>
              </w:rPr>
            </w:pPr>
            <w:r>
              <w:rPr>
                <w:w w:val="99"/>
                <w:sz w:val="18"/>
              </w:rPr>
              <w:t>0</w:t>
            </w:r>
          </w:p>
        </w:tc>
        <w:tc>
          <w:tcPr>
            <w:tcW w:w="1265" w:type="dxa"/>
          </w:tcPr>
          <w:p>
            <w:pPr>
              <w:pStyle w:val="TableParagraph"/>
              <w:ind w:left="100"/>
              <w:rPr>
                <w:sz w:val="18"/>
              </w:rPr>
            </w:pPr>
            <w:r>
              <w:rPr>
                <w:sz w:val="18"/>
              </w:rPr>
              <w:t>105</w:t>
            </w:r>
          </w:p>
        </w:tc>
        <w:tc>
          <w:tcPr>
            <w:tcW w:w="1284" w:type="dxa"/>
          </w:tcPr>
          <w:p>
            <w:pPr>
              <w:pStyle w:val="TableParagraph"/>
              <w:ind w:left="100"/>
              <w:rPr>
                <w:sz w:val="18"/>
              </w:rPr>
            </w:pPr>
            <w:r>
              <w:rPr>
                <w:sz w:val="18"/>
              </w:rPr>
              <w:t>23</w:t>
            </w:r>
          </w:p>
        </w:tc>
      </w:tr>
      <w:tr>
        <w:trPr>
          <w:trHeight w:val="324" w:hRule="exact"/>
        </w:trPr>
        <w:tc>
          <w:tcPr>
            <w:tcW w:w="1349" w:type="dxa"/>
          </w:tcPr>
          <w:p>
            <w:pPr>
              <w:pStyle w:val="TableParagraph"/>
              <w:rPr>
                <w:sz w:val="18"/>
              </w:rPr>
            </w:pPr>
            <w:r>
              <w:rPr>
                <w:w w:val="99"/>
                <w:sz w:val="18"/>
              </w:rPr>
              <w:t>2</w:t>
            </w:r>
          </w:p>
        </w:tc>
        <w:tc>
          <w:tcPr>
            <w:tcW w:w="1349" w:type="dxa"/>
          </w:tcPr>
          <w:p>
            <w:pPr>
              <w:pStyle w:val="TableParagraph"/>
              <w:rPr>
                <w:sz w:val="18"/>
              </w:rPr>
            </w:pPr>
            <w:r>
              <w:rPr>
                <w:w w:val="99"/>
                <w:sz w:val="18"/>
              </w:rPr>
              <w:t>1</w:t>
            </w:r>
          </w:p>
        </w:tc>
        <w:tc>
          <w:tcPr>
            <w:tcW w:w="1025" w:type="dxa"/>
          </w:tcPr>
          <w:p>
            <w:pPr>
              <w:pStyle w:val="TableParagraph"/>
              <w:rPr>
                <w:sz w:val="18"/>
              </w:rPr>
            </w:pPr>
            <w:r>
              <w:rPr>
                <w:sz w:val="18"/>
              </w:rPr>
              <w:t>Mid</w:t>
            </w:r>
          </w:p>
        </w:tc>
        <w:tc>
          <w:tcPr>
            <w:tcW w:w="1332" w:type="dxa"/>
          </w:tcPr>
          <w:p>
            <w:pPr>
              <w:pStyle w:val="TableParagraph"/>
              <w:rPr>
                <w:sz w:val="18"/>
              </w:rPr>
            </w:pPr>
            <w:r>
              <w:rPr>
                <w:sz w:val="18"/>
              </w:rPr>
              <w:t>1000</w:t>
            </w:r>
          </w:p>
        </w:tc>
        <w:tc>
          <w:tcPr>
            <w:tcW w:w="1178" w:type="dxa"/>
          </w:tcPr>
          <w:p>
            <w:pPr>
              <w:pStyle w:val="TableParagraph"/>
              <w:rPr>
                <w:sz w:val="18"/>
              </w:rPr>
            </w:pPr>
            <w:r>
              <w:rPr>
                <w:sz w:val="18"/>
              </w:rPr>
              <w:t>7444</w:t>
            </w:r>
          </w:p>
        </w:tc>
        <w:tc>
          <w:tcPr>
            <w:tcW w:w="1174" w:type="dxa"/>
          </w:tcPr>
          <w:p>
            <w:pPr>
              <w:pStyle w:val="TableParagraph"/>
              <w:rPr>
                <w:sz w:val="18"/>
              </w:rPr>
            </w:pPr>
            <w:r>
              <w:rPr>
                <w:sz w:val="18"/>
              </w:rPr>
              <w:t>25.56</w:t>
            </w:r>
          </w:p>
        </w:tc>
        <w:tc>
          <w:tcPr>
            <w:tcW w:w="1265" w:type="dxa"/>
          </w:tcPr>
          <w:p>
            <w:pPr>
              <w:pStyle w:val="TableParagraph"/>
              <w:ind w:left="100"/>
              <w:rPr>
                <w:sz w:val="18"/>
              </w:rPr>
            </w:pPr>
            <w:r>
              <w:rPr>
                <w:sz w:val="18"/>
              </w:rPr>
              <w:t>n\a*</w:t>
            </w:r>
          </w:p>
        </w:tc>
        <w:tc>
          <w:tcPr>
            <w:tcW w:w="1284" w:type="dxa"/>
          </w:tcPr>
          <w:p>
            <w:pPr>
              <w:pStyle w:val="TableParagraph"/>
              <w:ind w:left="100"/>
              <w:rPr>
                <w:sz w:val="18"/>
              </w:rPr>
            </w:pPr>
            <w:r>
              <w:rPr>
                <w:sz w:val="18"/>
              </w:rPr>
              <w:t>n\a*</w:t>
            </w:r>
          </w:p>
        </w:tc>
      </w:tr>
      <w:tr>
        <w:trPr>
          <w:trHeight w:val="310" w:hRule="exact"/>
        </w:trPr>
        <w:tc>
          <w:tcPr>
            <w:tcW w:w="1349" w:type="dxa"/>
          </w:tcPr>
          <w:p>
            <w:pPr>
              <w:pStyle w:val="TableParagraph"/>
              <w:rPr>
                <w:sz w:val="18"/>
              </w:rPr>
            </w:pPr>
            <w:r>
              <w:rPr>
                <w:w w:val="99"/>
                <w:sz w:val="18"/>
              </w:rPr>
              <w:t>2</w:t>
            </w:r>
          </w:p>
        </w:tc>
        <w:tc>
          <w:tcPr>
            <w:tcW w:w="1349" w:type="dxa"/>
          </w:tcPr>
          <w:p>
            <w:pPr>
              <w:pStyle w:val="TableParagraph"/>
              <w:rPr>
                <w:sz w:val="18"/>
              </w:rPr>
            </w:pPr>
            <w:r>
              <w:rPr>
                <w:w w:val="99"/>
                <w:sz w:val="18"/>
              </w:rPr>
              <w:t>2</w:t>
            </w:r>
          </w:p>
        </w:tc>
        <w:tc>
          <w:tcPr>
            <w:tcW w:w="1025" w:type="dxa"/>
          </w:tcPr>
          <w:p>
            <w:pPr>
              <w:pStyle w:val="TableParagraph"/>
              <w:rPr>
                <w:sz w:val="18"/>
              </w:rPr>
            </w:pPr>
            <w:r>
              <w:rPr>
                <w:sz w:val="18"/>
              </w:rPr>
              <w:t>Mid</w:t>
            </w:r>
          </w:p>
        </w:tc>
        <w:tc>
          <w:tcPr>
            <w:tcW w:w="1332" w:type="dxa"/>
          </w:tcPr>
          <w:p>
            <w:pPr>
              <w:pStyle w:val="TableParagraph"/>
              <w:rPr>
                <w:sz w:val="18"/>
              </w:rPr>
            </w:pPr>
            <w:r>
              <w:rPr>
                <w:sz w:val="18"/>
              </w:rPr>
              <w:t>1000</w:t>
            </w:r>
          </w:p>
        </w:tc>
        <w:tc>
          <w:tcPr>
            <w:tcW w:w="1178" w:type="dxa"/>
          </w:tcPr>
          <w:p>
            <w:pPr>
              <w:pStyle w:val="TableParagraph"/>
              <w:rPr>
                <w:sz w:val="18"/>
              </w:rPr>
            </w:pPr>
            <w:r>
              <w:rPr>
                <w:sz w:val="18"/>
              </w:rPr>
              <w:t>1000</w:t>
            </w:r>
          </w:p>
        </w:tc>
        <w:tc>
          <w:tcPr>
            <w:tcW w:w="1174" w:type="dxa"/>
          </w:tcPr>
          <w:p>
            <w:pPr>
              <w:pStyle w:val="TableParagraph"/>
              <w:rPr>
                <w:sz w:val="18"/>
              </w:rPr>
            </w:pPr>
            <w:r>
              <w:rPr>
                <w:w w:val="99"/>
                <w:sz w:val="18"/>
              </w:rPr>
              <w:t>0</w:t>
            </w:r>
          </w:p>
        </w:tc>
        <w:tc>
          <w:tcPr>
            <w:tcW w:w="1265" w:type="dxa"/>
          </w:tcPr>
          <w:p>
            <w:pPr>
              <w:pStyle w:val="TableParagraph"/>
              <w:ind w:left="100"/>
              <w:rPr>
                <w:sz w:val="18"/>
              </w:rPr>
            </w:pPr>
            <w:r>
              <w:rPr>
                <w:sz w:val="18"/>
              </w:rPr>
              <w:t>107</w:t>
            </w:r>
          </w:p>
        </w:tc>
        <w:tc>
          <w:tcPr>
            <w:tcW w:w="1284" w:type="dxa"/>
          </w:tcPr>
          <w:p>
            <w:pPr>
              <w:pStyle w:val="TableParagraph"/>
              <w:ind w:left="100"/>
              <w:rPr>
                <w:sz w:val="18"/>
              </w:rPr>
            </w:pPr>
            <w:r>
              <w:rPr>
                <w:sz w:val="18"/>
              </w:rPr>
              <w:t>27</w:t>
            </w:r>
          </w:p>
        </w:tc>
      </w:tr>
      <w:tr>
        <w:trPr>
          <w:trHeight w:val="310" w:hRule="exact"/>
        </w:trPr>
        <w:tc>
          <w:tcPr>
            <w:tcW w:w="1349" w:type="dxa"/>
          </w:tcPr>
          <w:p>
            <w:pPr>
              <w:pStyle w:val="TableParagraph"/>
              <w:rPr>
                <w:sz w:val="18"/>
              </w:rPr>
            </w:pPr>
            <w:r>
              <w:rPr>
                <w:w w:val="99"/>
                <w:sz w:val="18"/>
              </w:rPr>
              <w:t>2</w:t>
            </w:r>
          </w:p>
        </w:tc>
        <w:tc>
          <w:tcPr>
            <w:tcW w:w="1349" w:type="dxa"/>
          </w:tcPr>
          <w:p>
            <w:pPr>
              <w:pStyle w:val="TableParagraph"/>
              <w:rPr>
                <w:sz w:val="18"/>
              </w:rPr>
            </w:pPr>
            <w:r>
              <w:rPr>
                <w:w w:val="99"/>
                <w:sz w:val="18"/>
              </w:rPr>
              <w:t>3</w:t>
            </w:r>
          </w:p>
        </w:tc>
        <w:tc>
          <w:tcPr>
            <w:tcW w:w="1025" w:type="dxa"/>
          </w:tcPr>
          <w:p>
            <w:pPr>
              <w:pStyle w:val="TableParagraph"/>
              <w:rPr>
                <w:sz w:val="18"/>
              </w:rPr>
            </w:pPr>
            <w:r>
              <w:rPr>
                <w:sz w:val="18"/>
              </w:rPr>
              <w:t>Mid</w:t>
            </w:r>
          </w:p>
        </w:tc>
        <w:tc>
          <w:tcPr>
            <w:tcW w:w="1332" w:type="dxa"/>
          </w:tcPr>
          <w:p>
            <w:pPr>
              <w:pStyle w:val="TableParagraph"/>
              <w:rPr>
                <w:sz w:val="18"/>
              </w:rPr>
            </w:pPr>
            <w:r>
              <w:rPr>
                <w:sz w:val="18"/>
              </w:rPr>
              <w:t>1000</w:t>
            </w:r>
          </w:p>
        </w:tc>
        <w:tc>
          <w:tcPr>
            <w:tcW w:w="1178" w:type="dxa"/>
          </w:tcPr>
          <w:p>
            <w:pPr>
              <w:pStyle w:val="TableParagraph"/>
              <w:rPr>
                <w:sz w:val="18"/>
              </w:rPr>
            </w:pPr>
            <w:r>
              <w:rPr>
                <w:sz w:val="18"/>
              </w:rPr>
              <w:t>1000</w:t>
            </w:r>
          </w:p>
        </w:tc>
        <w:tc>
          <w:tcPr>
            <w:tcW w:w="1174" w:type="dxa"/>
          </w:tcPr>
          <w:p>
            <w:pPr>
              <w:pStyle w:val="TableParagraph"/>
              <w:rPr>
                <w:sz w:val="18"/>
              </w:rPr>
            </w:pPr>
            <w:r>
              <w:rPr>
                <w:w w:val="99"/>
                <w:sz w:val="18"/>
              </w:rPr>
              <w:t>0</w:t>
            </w:r>
          </w:p>
        </w:tc>
        <w:tc>
          <w:tcPr>
            <w:tcW w:w="1265" w:type="dxa"/>
          </w:tcPr>
          <w:p>
            <w:pPr>
              <w:pStyle w:val="TableParagraph"/>
              <w:ind w:left="100"/>
              <w:rPr>
                <w:sz w:val="18"/>
              </w:rPr>
            </w:pPr>
            <w:r>
              <w:rPr>
                <w:sz w:val="18"/>
              </w:rPr>
              <w:t>107</w:t>
            </w:r>
          </w:p>
        </w:tc>
        <w:tc>
          <w:tcPr>
            <w:tcW w:w="1284" w:type="dxa"/>
          </w:tcPr>
          <w:p>
            <w:pPr>
              <w:pStyle w:val="TableParagraph"/>
              <w:ind w:left="100"/>
              <w:rPr>
                <w:sz w:val="18"/>
              </w:rPr>
            </w:pPr>
            <w:r>
              <w:rPr>
                <w:sz w:val="18"/>
              </w:rPr>
              <w:t>22</w:t>
            </w:r>
          </w:p>
        </w:tc>
      </w:tr>
      <w:tr>
        <w:trPr>
          <w:trHeight w:val="310" w:hRule="exact"/>
        </w:trPr>
        <w:tc>
          <w:tcPr>
            <w:tcW w:w="1349" w:type="dxa"/>
          </w:tcPr>
          <w:p>
            <w:pPr>
              <w:pStyle w:val="TableParagraph"/>
              <w:rPr>
                <w:sz w:val="18"/>
              </w:rPr>
            </w:pPr>
            <w:r>
              <w:rPr>
                <w:w w:val="99"/>
                <w:sz w:val="18"/>
              </w:rPr>
              <w:t>5</w:t>
            </w:r>
          </w:p>
        </w:tc>
        <w:tc>
          <w:tcPr>
            <w:tcW w:w="1349" w:type="dxa"/>
          </w:tcPr>
          <w:p>
            <w:pPr>
              <w:pStyle w:val="TableParagraph"/>
              <w:rPr>
                <w:sz w:val="18"/>
              </w:rPr>
            </w:pPr>
            <w:r>
              <w:rPr>
                <w:w w:val="99"/>
                <w:sz w:val="18"/>
              </w:rPr>
              <w:t>1</w:t>
            </w:r>
          </w:p>
        </w:tc>
        <w:tc>
          <w:tcPr>
            <w:tcW w:w="1025" w:type="dxa"/>
          </w:tcPr>
          <w:p>
            <w:pPr>
              <w:pStyle w:val="TableParagraph"/>
              <w:rPr>
                <w:sz w:val="18"/>
              </w:rPr>
            </w:pPr>
            <w:r>
              <w:rPr>
                <w:sz w:val="18"/>
              </w:rPr>
              <w:t>Mid</w:t>
            </w:r>
          </w:p>
        </w:tc>
        <w:tc>
          <w:tcPr>
            <w:tcW w:w="1332" w:type="dxa"/>
          </w:tcPr>
          <w:p>
            <w:pPr>
              <w:pStyle w:val="TableParagraph"/>
              <w:rPr>
                <w:sz w:val="18"/>
              </w:rPr>
            </w:pPr>
            <w:r>
              <w:rPr>
                <w:sz w:val="18"/>
              </w:rPr>
              <w:t>1000</w:t>
            </w:r>
          </w:p>
        </w:tc>
        <w:tc>
          <w:tcPr>
            <w:tcW w:w="1178" w:type="dxa"/>
          </w:tcPr>
          <w:p>
            <w:pPr>
              <w:pStyle w:val="TableParagraph"/>
              <w:rPr>
                <w:sz w:val="18"/>
              </w:rPr>
            </w:pPr>
            <w:r>
              <w:rPr>
                <w:w w:val="99"/>
                <w:sz w:val="18"/>
              </w:rPr>
              <w:t>0</w:t>
            </w:r>
          </w:p>
        </w:tc>
        <w:tc>
          <w:tcPr>
            <w:tcW w:w="1174" w:type="dxa"/>
          </w:tcPr>
          <w:p>
            <w:pPr>
              <w:pStyle w:val="TableParagraph"/>
              <w:rPr>
                <w:sz w:val="18"/>
              </w:rPr>
            </w:pPr>
            <w:r>
              <w:rPr>
                <w:sz w:val="18"/>
              </w:rPr>
              <w:t>100</w:t>
            </w:r>
          </w:p>
        </w:tc>
        <w:tc>
          <w:tcPr>
            <w:tcW w:w="1265" w:type="dxa"/>
          </w:tcPr>
          <w:p>
            <w:pPr>
              <w:pStyle w:val="TableParagraph"/>
              <w:ind w:left="100"/>
              <w:rPr>
                <w:sz w:val="18"/>
              </w:rPr>
            </w:pPr>
            <w:r>
              <w:rPr>
                <w:sz w:val="18"/>
              </w:rPr>
              <w:t>n\a*</w:t>
            </w:r>
          </w:p>
        </w:tc>
        <w:tc>
          <w:tcPr>
            <w:tcW w:w="1284" w:type="dxa"/>
          </w:tcPr>
          <w:p>
            <w:pPr>
              <w:pStyle w:val="TableParagraph"/>
              <w:ind w:left="100"/>
              <w:rPr>
                <w:sz w:val="18"/>
              </w:rPr>
            </w:pPr>
            <w:r>
              <w:rPr>
                <w:sz w:val="18"/>
              </w:rPr>
              <w:t>n\a*</w:t>
            </w:r>
          </w:p>
        </w:tc>
      </w:tr>
      <w:tr>
        <w:trPr>
          <w:trHeight w:val="310" w:hRule="exact"/>
        </w:trPr>
        <w:tc>
          <w:tcPr>
            <w:tcW w:w="1349" w:type="dxa"/>
          </w:tcPr>
          <w:p>
            <w:pPr>
              <w:pStyle w:val="TableParagraph"/>
              <w:rPr>
                <w:sz w:val="18"/>
              </w:rPr>
            </w:pPr>
            <w:r>
              <w:rPr>
                <w:w w:val="99"/>
                <w:sz w:val="18"/>
              </w:rPr>
              <w:t>5</w:t>
            </w:r>
          </w:p>
        </w:tc>
        <w:tc>
          <w:tcPr>
            <w:tcW w:w="1349" w:type="dxa"/>
          </w:tcPr>
          <w:p>
            <w:pPr>
              <w:pStyle w:val="TableParagraph"/>
              <w:rPr>
                <w:sz w:val="18"/>
              </w:rPr>
            </w:pPr>
            <w:r>
              <w:rPr>
                <w:w w:val="99"/>
                <w:sz w:val="18"/>
              </w:rPr>
              <w:t>2</w:t>
            </w:r>
          </w:p>
        </w:tc>
        <w:tc>
          <w:tcPr>
            <w:tcW w:w="1025" w:type="dxa"/>
          </w:tcPr>
          <w:p>
            <w:pPr>
              <w:pStyle w:val="TableParagraph"/>
              <w:rPr>
                <w:sz w:val="18"/>
              </w:rPr>
            </w:pPr>
            <w:r>
              <w:rPr>
                <w:sz w:val="18"/>
              </w:rPr>
              <w:t>Mid</w:t>
            </w:r>
          </w:p>
        </w:tc>
        <w:tc>
          <w:tcPr>
            <w:tcW w:w="1332" w:type="dxa"/>
          </w:tcPr>
          <w:p>
            <w:pPr>
              <w:pStyle w:val="TableParagraph"/>
              <w:rPr>
                <w:sz w:val="18"/>
              </w:rPr>
            </w:pPr>
            <w:r>
              <w:rPr>
                <w:sz w:val="18"/>
              </w:rPr>
              <w:t>1000</w:t>
            </w:r>
          </w:p>
        </w:tc>
        <w:tc>
          <w:tcPr>
            <w:tcW w:w="1178" w:type="dxa"/>
          </w:tcPr>
          <w:p>
            <w:pPr>
              <w:pStyle w:val="TableParagraph"/>
              <w:rPr>
                <w:sz w:val="18"/>
              </w:rPr>
            </w:pPr>
            <w:r>
              <w:rPr>
                <w:sz w:val="18"/>
              </w:rPr>
              <w:t>997</w:t>
            </w:r>
          </w:p>
        </w:tc>
        <w:tc>
          <w:tcPr>
            <w:tcW w:w="1174" w:type="dxa"/>
          </w:tcPr>
          <w:p>
            <w:pPr>
              <w:pStyle w:val="TableParagraph"/>
              <w:rPr>
                <w:sz w:val="18"/>
              </w:rPr>
            </w:pPr>
            <w:r>
              <w:rPr>
                <w:sz w:val="18"/>
              </w:rPr>
              <w:t>0.3</w:t>
            </w:r>
          </w:p>
        </w:tc>
        <w:tc>
          <w:tcPr>
            <w:tcW w:w="1265" w:type="dxa"/>
          </w:tcPr>
          <w:p>
            <w:pPr>
              <w:pStyle w:val="TableParagraph"/>
              <w:ind w:left="100"/>
              <w:rPr>
                <w:sz w:val="18"/>
              </w:rPr>
            </w:pPr>
            <w:r>
              <w:rPr>
                <w:sz w:val="18"/>
              </w:rPr>
              <w:t>108</w:t>
            </w:r>
          </w:p>
        </w:tc>
        <w:tc>
          <w:tcPr>
            <w:tcW w:w="1284" w:type="dxa"/>
          </w:tcPr>
          <w:p>
            <w:pPr>
              <w:pStyle w:val="TableParagraph"/>
              <w:ind w:left="100"/>
              <w:rPr>
                <w:sz w:val="18"/>
              </w:rPr>
            </w:pPr>
            <w:r>
              <w:rPr>
                <w:sz w:val="18"/>
              </w:rPr>
              <w:t>25</w:t>
            </w:r>
          </w:p>
        </w:tc>
      </w:tr>
      <w:tr>
        <w:trPr>
          <w:trHeight w:val="312" w:hRule="exact"/>
        </w:trPr>
        <w:tc>
          <w:tcPr>
            <w:tcW w:w="1349" w:type="dxa"/>
          </w:tcPr>
          <w:p>
            <w:pPr>
              <w:pStyle w:val="TableParagraph"/>
              <w:spacing w:line="240" w:lineRule="auto" w:before="1"/>
              <w:rPr>
                <w:sz w:val="18"/>
              </w:rPr>
            </w:pPr>
            <w:r>
              <w:rPr>
                <w:w w:val="99"/>
                <w:sz w:val="18"/>
              </w:rPr>
              <w:t>5</w:t>
            </w:r>
          </w:p>
        </w:tc>
        <w:tc>
          <w:tcPr>
            <w:tcW w:w="1349" w:type="dxa"/>
          </w:tcPr>
          <w:p>
            <w:pPr>
              <w:pStyle w:val="TableParagraph"/>
              <w:spacing w:line="240" w:lineRule="auto" w:before="1"/>
              <w:rPr>
                <w:sz w:val="18"/>
              </w:rPr>
            </w:pPr>
            <w:r>
              <w:rPr>
                <w:w w:val="99"/>
                <w:sz w:val="18"/>
              </w:rPr>
              <w:t>3</w:t>
            </w:r>
          </w:p>
        </w:tc>
        <w:tc>
          <w:tcPr>
            <w:tcW w:w="1025" w:type="dxa"/>
          </w:tcPr>
          <w:p>
            <w:pPr>
              <w:pStyle w:val="TableParagraph"/>
              <w:spacing w:line="240" w:lineRule="auto" w:before="1"/>
              <w:rPr>
                <w:sz w:val="18"/>
              </w:rPr>
            </w:pPr>
            <w:r>
              <w:rPr>
                <w:sz w:val="18"/>
              </w:rPr>
              <w:t>Mid</w:t>
            </w:r>
          </w:p>
        </w:tc>
        <w:tc>
          <w:tcPr>
            <w:tcW w:w="1332" w:type="dxa"/>
          </w:tcPr>
          <w:p>
            <w:pPr>
              <w:pStyle w:val="TableParagraph"/>
              <w:spacing w:line="240" w:lineRule="auto" w:before="1"/>
              <w:rPr>
                <w:sz w:val="18"/>
              </w:rPr>
            </w:pPr>
            <w:r>
              <w:rPr>
                <w:sz w:val="18"/>
              </w:rPr>
              <w:t>1000</w:t>
            </w:r>
          </w:p>
        </w:tc>
        <w:tc>
          <w:tcPr>
            <w:tcW w:w="1178" w:type="dxa"/>
          </w:tcPr>
          <w:p>
            <w:pPr>
              <w:pStyle w:val="TableParagraph"/>
              <w:spacing w:line="240" w:lineRule="auto" w:before="1"/>
              <w:rPr>
                <w:sz w:val="18"/>
              </w:rPr>
            </w:pPr>
            <w:r>
              <w:rPr>
                <w:sz w:val="18"/>
              </w:rPr>
              <w:t>1000</w:t>
            </w:r>
          </w:p>
        </w:tc>
        <w:tc>
          <w:tcPr>
            <w:tcW w:w="1174" w:type="dxa"/>
          </w:tcPr>
          <w:p>
            <w:pPr>
              <w:pStyle w:val="TableParagraph"/>
              <w:spacing w:line="240" w:lineRule="auto" w:before="1"/>
              <w:rPr>
                <w:sz w:val="18"/>
              </w:rPr>
            </w:pPr>
            <w:r>
              <w:rPr>
                <w:w w:val="99"/>
                <w:sz w:val="18"/>
              </w:rPr>
              <w:t>0</w:t>
            </w:r>
          </w:p>
        </w:tc>
        <w:tc>
          <w:tcPr>
            <w:tcW w:w="1265" w:type="dxa"/>
          </w:tcPr>
          <w:p>
            <w:pPr>
              <w:pStyle w:val="TableParagraph"/>
              <w:spacing w:line="240" w:lineRule="auto" w:before="1"/>
              <w:ind w:left="100"/>
              <w:rPr>
                <w:sz w:val="18"/>
              </w:rPr>
            </w:pPr>
            <w:r>
              <w:rPr>
                <w:sz w:val="18"/>
              </w:rPr>
              <w:t>107</w:t>
            </w:r>
          </w:p>
        </w:tc>
        <w:tc>
          <w:tcPr>
            <w:tcW w:w="1284" w:type="dxa"/>
          </w:tcPr>
          <w:p>
            <w:pPr>
              <w:pStyle w:val="TableParagraph"/>
              <w:spacing w:line="240" w:lineRule="auto" w:before="1"/>
              <w:ind w:left="100"/>
              <w:rPr>
                <w:sz w:val="18"/>
              </w:rPr>
            </w:pPr>
            <w:r>
              <w:rPr>
                <w:sz w:val="18"/>
              </w:rPr>
              <w:t>22</w:t>
            </w:r>
          </w:p>
        </w:tc>
      </w:tr>
    </w:tbl>
    <w:p>
      <w:pPr>
        <w:pStyle w:val="BodyText"/>
        <w:ind w:left="1133"/>
      </w:pPr>
      <w:r>
        <w:rPr/>
        <w:t>n\a* - Latency and IPG are shown only in scenarios where PER is &lt; 10%</w:t>
      </w:r>
    </w:p>
    <w:p>
      <w:pPr>
        <w:spacing w:after="0"/>
        <w:sectPr>
          <w:headerReference w:type="default" r:id="rId422"/>
          <w:pgSz w:w="11910" w:h="16850"/>
          <w:pgMar w:header="852" w:footer="876" w:top="1040" w:bottom="1160" w:left="0" w:right="0"/>
        </w:sectPr>
      </w:pPr>
    </w:p>
    <w:p>
      <w:pPr>
        <w:pStyle w:val="BodyText"/>
        <w:rPr>
          <w:sz w:val="23"/>
        </w:rPr>
      </w:pPr>
    </w:p>
    <w:p>
      <w:pPr>
        <w:pStyle w:val="Heading7"/>
        <w:spacing w:before="93"/>
        <w:jc w:val="both"/>
      </w:pPr>
      <w:r>
        <w:rPr/>
        <w:t>Table 38: DSRC results</w:t>
      </w:r>
    </w:p>
    <w:p>
      <w:pPr>
        <w:pStyle w:val="BodyText"/>
        <w:spacing w:before="2"/>
        <w:rPr>
          <w:b/>
          <w:sz w:val="16"/>
        </w:rPr>
      </w:pPr>
    </w:p>
    <w:tbl>
      <w:tblPr>
        <w:tblW w:w="0" w:type="auto"/>
        <w:jc w:val="left"/>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9"/>
        <w:gridCol w:w="1349"/>
        <w:gridCol w:w="1025"/>
        <w:gridCol w:w="1332"/>
        <w:gridCol w:w="1178"/>
        <w:gridCol w:w="1174"/>
        <w:gridCol w:w="1265"/>
        <w:gridCol w:w="1284"/>
      </w:tblGrid>
      <w:tr>
        <w:trPr>
          <w:trHeight w:val="1872" w:hRule="exact"/>
        </w:trPr>
        <w:tc>
          <w:tcPr>
            <w:tcW w:w="1349" w:type="dxa"/>
            <w:vMerge w:val="restart"/>
            <w:shd w:val="clear" w:color="auto" w:fill="D9D9D9"/>
          </w:tcPr>
          <w:p>
            <w:pPr>
              <w:pStyle w:val="TableParagraph"/>
              <w:tabs>
                <w:tab w:pos="1137" w:val="left" w:leader="none"/>
              </w:tabs>
              <w:spacing w:line="240" w:lineRule="auto"/>
              <w:ind w:right="99"/>
              <w:rPr>
                <w:b/>
                <w:sz w:val="18"/>
              </w:rPr>
            </w:pPr>
            <w:r>
              <w:rPr>
                <w:b/>
                <w:sz w:val="18"/>
              </w:rPr>
              <w:t>Signal Generator Setting</w:t>
              <w:tab/>
              <w:t>– Interference Bandwidth (MHz)</w:t>
            </w:r>
          </w:p>
        </w:tc>
        <w:tc>
          <w:tcPr>
            <w:tcW w:w="1349" w:type="dxa"/>
            <w:shd w:val="clear" w:color="auto" w:fill="D9D9D9"/>
          </w:tcPr>
          <w:p>
            <w:pPr>
              <w:pStyle w:val="TableParagraph"/>
              <w:tabs>
                <w:tab w:pos="1138" w:val="left" w:leader="none"/>
              </w:tabs>
              <w:spacing w:line="240" w:lineRule="auto"/>
              <w:ind w:right="99"/>
              <w:rPr>
                <w:b/>
                <w:sz w:val="18"/>
              </w:rPr>
            </w:pPr>
            <w:r>
              <w:rPr>
                <w:b/>
                <w:sz w:val="18"/>
              </w:rPr>
              <w:t>Signal Generator Setting</w:t>
              <w:tab/>
              <w:t>– Position (i.e. Interference Center Frequency (1, 2, or</w:t>
            </w:r>
            <w:r>
              <w:rPr>
                <w:b/>
                <w:spacing w:val="-3"/>
                <w:sz w:val="18"/>
              </w:rPr>
              <w:t> </w:t>
            </w:r>
            <w:r>
              <w:rPr>
                <w:b/>
                <w:sz w:val="18"/>
              </w:rPr>
              <w:t>3)</w:t>
            </w:r>
          </w:p>
        </w:tc>
        <w:tc>
          <w:tcPr>
            <w:tcW w:w="1025" w:type="dxa"/>
            <w:vMerge w:val="restart"/>
            <w:shd w:val="clear" w:color="auto" w:fill="D9D9D9"/>
          </w:tcPr>
          <w:p>
            <w:pPr>
              <w:pStyle w:val="TableParagraph"/>
              <w:tabs>
                <w:tab w:pos="808" w:val="left" w:leader="none"/>
              </w:tabs>
              <w:spacing w:line="240" w:lineRule="auto"/>
              <w:ind w:right="99"/>
              <w:rPr>
                <w:b/>
                <w:sz w:val="18"/>
              </w:rPr>
            </w:pPr>
            <w:r>
              <w:rPr>
                <w:b/>
                <w:sz w:val="18"/>
              </w:rPr>
              <w:t>SigGen Location (“Rx”</w:t>
              <w:tab/>
              <w:t>=</w:t>
            </w:r>
          </w:p>
          <w:p>
            <w:pPr>
              <w:pStyle w:val="TableParagraph"/>
              <w:tabs>
                <w:tab w:pos="592" w:val="left" w:leader="none"/>
                <w:tab w:pos="808" w:val="left" w:leader="none"/>
              </w:tabs>
              <w:spacing w:line="240" w:lineRule="auto" w:before="7"/>
              <w:ind w:right="99"/>
              <w:rPr>
                <w:b/>
                <w:sz w:val="18"/>
              </w:rPr>
            </w:pPr>
            <w:r>
              <w:rPr>
                <w:b/>
                <w:sz w:val="18"/>
              </w:rPr>
              <w:t>close to Rx device; “Mid”</w:t>
              <w:tab/>
              <w:t>= halfway between Tx</w:t>
              <w:tab/>
              <w:t>and Rx Devices)</w:t>
            </w:r>
          </w:p>
        </w:tc>
        <w:tc>
          <w:tcPr>
            <w:tcW w:w="1332" w:type="dxa"/>
            <w:shd w:val="clear" w:color="auto" w:fill="D9D9D9"/>
          </w:tcPr>
          <w:p>
            <w:pPr>
              <w:pStyle w:val="TableParagraph"/>
              <w:spacing w:line="240" w:lineRule="auto" w:before="5"/>
              <w:ind w:left="0"/>
              <w:rPr>
                <w:b/>
                <w:sz w:val="17"/>
              </w:rPr>
            </w:pPr>
          </w:p>
          <w:p>
            <w:pPr>
              <w:pStyle w:val="TableParagraph"/>
              <w:tabs>
                <w:tab w:pos="1051" w:val="left" w:leader="none"/>
              </w:tabs>
              <w:spacing w:line="207" w:lineRule="exact"/>
              <w:rPr>
                <w:b/>
                <w:sz w:val="18"/>
              </w:rPr>
            </w:pPr>
            <w:r>
              <w:rPr>
                <w:b/>
                <w:sz w:val="18"/>
              </w:rPr>
              <w:t>No.</w:t>
              <w:tab/>
              <w:t>of</w:t>
            </w:r>
          </w:p>
          <w:p>
            <w:pPr>
              <w:pStyle w:val="TableParagraph"/>
              <w:spacing w:line="240" w:lineRule="auto"/>
              <w:ind w:right="59"/>
              <w:rPr>
                <w:b/>
                <w:sz w:val="18"/>
              </w:rPr>
            </w:pPr>
            <w:r>
              <w:rPr>
                <w:b/>
                <w:sz w:val="18"/>
              </w:rPr>
              <w:t>Transmitted pkts (summed across all 60- second iterations)</w:t>
            </w:r>
          </w:p>
        </w:tc>
        <w:tc>
          <w:tcPr>
            <w:tcW w:w="1178" w:type="dxa"/>
            <w:shd w:val="clear" w:color="auto" w:fill="D9D9D9"/>
          </w:tcPr>
          <w:p>
            <w:pPr>
              <w:pStyle w:val="TableParagraph"/>
              <w:spacing w:line="240" w:lineRule="auto" w:before="5"/>
              <w:ind w:left="0"/>
              <w:rPr>
                <w:b/>
                <w:sz w:val="17"/>
              </w:rPr>
            </w:pPr>
          </w:p>
          <w:p>
            <w:pPr>
              <w:pStyle w:val="TableParagraph"/>
              <w:tabs>
                <w:tab w:pos="894" w:val="left" w:leader="none"/>
              </w:tabs>
              <w:spacing w:line="207" w:lineRule="exact"/>
              <w:rPr>
                <w:b/>
                <w:sz w:val="18"/>
              </w:rPr>
            </w:pPr>
            <w:r>
              <w:rPr>
                <w:b/>
                <w:sz w:val="18"/>
              </w:rPr>
              <w:t>No.</w:t>
              <w:tab/>
              <w:t>of</w:t>
            </w:r>
          </w:p>
          <w:p>
            <w:pPr>
              <w:pStyle w:val="TableParagraph"/>
              <w:spacing w:line="240" w:lineRule="auto"/>
              <w:ind w:right="102"/>
              <w:rPr>
                <w:b/>
                <w:sz w:val="18"/>
              </w:rPr>
            </w:pPr>
            <w:r>
              <w:rPr>
                <w:b/>
                <w:sz w:val="18"/>
              </w:rPr>
              <w:t>Received pkts (summed across all 60-second iterations)</w:t>
            </w:r>
          </w:p>
        </w:tc>
        <w:tc>
          <w:tcPr>
            <w:tcW w:w="1174" w:type="dxa"/>
            <w:shd w:val="clear" w:color="auto" w:fill="D9D9D9"/>
          </w:tcPr>
          <w:p>
            <w:pPr>
              <w:pStyle w:val="TableParagraph"/>
              <w:spacing w:line="240" w:lineRule="auto"/>
              <w:ind w:left="0"/>
              <w:rPr>
                <w:b/>
                <w:sz w:val="20"/>
              </w:rPr>
            </w:pPr>
          </w:p>
          <w:p>
            <w:pPr>
              <w:pStyle w:val="TableParagraph"/>
              <w:spacing w:line="240" w:lineRule="auto"/>
              <w:ind w:left="0"/>
              <w:rPr>
                <w:b/>
                <w:sz w:val="20"/>
              </w:rPr>
            </w:pPr>
          </w:p>
          <w:p>
            <w:pPr>
              <w:pStyle w:val="TableParagraph"/>
              <w:spacing w:line="240" w:lineRule="auto"/>
              <w:ind w:left="0"/>
              <w:rPr>
                <w:b/>
                <w:sz w:val="20"/>
              </w:rPr>
            </w:pPr>
          </w:p>
          <w:p>
            <w:pPr>
              <w:pStyle w:val="TableParagraph"/>
              <w:spacing w:line="240" w:lineRule="auto" w:before="132"/>
              <w:rPr>
                <w:b/>
                <w:sz w:val="18"/>
              </w:rPr>
            </w:pPr>
            <w:r>
              <w:rPr>
                <w:b/>
                <w:sz w:val="18"/>
              </w:rPr>
              <w:t>PER %</w:t>
            </w:r>
          </w:p>
        </w:tc>
        <w:tc>
          <w:tcPr>
            <w:tcW w:w="1265" w:type="dxa"/>
            <w:shd w:val="clear" w:color="auto" w:fill="D9D9D9"/>
          </w:tcPr>
          <w:p>
            <w:pPr>
              <w:pStyle w:val="TableParagraph"/>
              <w:spacing w:line="240" w:lineRule="auto"/>
              <w:ind w:left="0"/>
              <w:rPr>
                <w:b/>
                <w:sz w:val="20"/>
              </w:rPr>
            </w:pPr>
          </w:p>
          <w:p>
            <w:pPr>
              <w:pStyle w:val="TableParagraph"/>
              <w:spacing w:line="240" w:lineRule="auto"/>
              <w:ind w:left="0"/>
              <w:rPr>
                <w:b/>
                <w:sz w:val="20"/>
              </w:rPr>
            </w:pPr>
          </w:p>
          <w:p>
            <w:pPr>
              <w:pStyle w:val="TableParagraph"/>
              <w:spacing w:line="240" w:lineRule="auto" w:before="156"/>
              <w:ind w:left="100" w:right="275"/>
              <w:rPr>
                <w:b/>
                <w:sz w:val="18"/>
              </w:rPr>
            </w:pPr>
            <w:r>
              <w:rPr>
                <w:b/>
                <w:sz w:val="18"/>
              </w:rPr>
              <w:t>95th Percentile IPG (ms)</w:t>
            </w:r>
          </w:p>
        </w:tc>
        <w:tc>
          <w:tcPr>
            <w:tcW w:w="1284" w:type="dxa"/>
            <w:shd w:val="clear" w:color="auto" w:fill="D9D9D9"/>
          </w:tcPr>
          <w:p>
            <w:pPr>
              <w:pStyle w:val="TableParagraph"/>
              <w:spacing w:line="240" w:lineRule="auto"/>
              <w:ind w:left="0"/>
              <w:rPr>
                <w:b/>
                <w:sz w:val="20"/>
              </w:rPr>
            </w:pPr>
          </w:p>
          <w:p>
            <w:pPr>
              <w:pStyle w:val="TableParagraph"/>
              <w:spacing w:line="240" w:lineRule="auto" w:before="6"/>
              <w:ind w:left="0"/>
              <w:rPr>
                <w:b/>
                <w:sz w:val="24"/>
              </w:rPr>
            </w:pPr>
          </w:p>
          <w:p>
            <w:pPr>
              <w:pStyle w:val="TableParagraph"/>
              <w:spacing w:line="240" w:lineRule="auto" w:before="1"/>
              <w:ind w:left="100" w:right="293"/>
              <w:rPr>
                <w:b/>
                <w:sz w:val="18"/>
              </w:rPr>
            </w:pPr>
            <w:r>
              <w:rPr>
                <w:b/>
                <w:sz w:val="18"/>
              </w:rPr>
              <w:t>95th Percentile Latency (ms)</w:t>
            </w:r>
          </w:p>
        </w:tc>
      </w:tr>
      <w:tr>
        <w:trPr>
          <w:trHeight w:val="828" w:hRule="exact"/>
        </w:trPr>
        <w:tc>
          <w:tcPr>
            <w:tcW w:w="1349" w:type="dxa"/>
            <w:vMerge/>
            <w:shd w:val="clear" w:color="auto" w:fill="D9D9D9"/>
          </w:tcPr>
          <w:p>
            <w:pPr/>
          </w:p>
        </w:tc>
        <w:tc>
          <w:tcPr>
            <w:tcW w:w="1349" w:type="dxa"/>
            <w:shd w:val="clear" w:color="auto" w:fill="D9D9D9"/>
          </w:tcPr>
          <w:p>
            <w:pPr/>
          </w:p>
        </w:tc>
        <w:tc>
          <w:tcPr>
            <w:tcW w:w="1025" w:type="dxa"/>
            <w:vMerge/>
            <w:shd w:val="clear" w:color="auto" w:fill="D9D9D9"/>
          </w:tcPr>
          <w:p>
            <w:pPr/>
          </w:p>
        </w:tc>
        <w:tc>
          <w:tcPr>
            <w:tcW w:w="1332" w:type="dxa"/>
            <w:shd w:val="clear" w:color="auto" w:fill="D9D9D9"/>
          </w:tcPr>
          <w:p>
            <w:pPr>
              <w:pStyle w:val="TableParagraph"/>
              <w:spacing w:line="240" w:lineRule="auto" w:before="2"/>
              <w:ind w:left="0"/>
              <w:rPr>
                <w:b/>
                <w:sz w:val="17"/>
              </w:rPr>
            </w:pPr>
          </w:p>
          <w:p>
            <w:pPr>
              <w:pStyle w:val="TableParagraph"/>
              <w:spacing w:line="240" w:lineRule="auto" w:before="1"/>
              <w:rPr>
                <w:b/>
                <w:sz w:val="18"/>
              </w:rPr>
            </w:pPr>
            <w:r>
              <w:rPr>
                <w:b/>
                <w:sz w:val="18"/>
              </w:rPr>
              <w:t>Measured at Tx Device</w:t>
            </w:r>
          </w:p>
        </w:tc>
        <w:tc>
          <w:tcPr>
            <w:tcW w:w="1178" w:type="dxa"/>
            <w:shd w:val="clear" w:color="auto" w:fill="D9D9D9"/>
          </w:tcPr>
          <w:p>
            <w:pPr>
              <w:pStyle w:val="TableParagraph"/>
              <w:tabs>
                <w:tab w:pos="835" w:val="left" w:leader="none"/>
              </w:tabs>
              <w:spacing w:line="240" w:lineRule="auto" w:before="92"/>
              <w:ind w:right="102"/>
              <w:rPr>
                <w:b/>
                <w:sz w:val="18"/>
              </w:rPr>
            </w:pPr>
            <w:r>
              <w:rPr>
                <w:b/>
                <w:sz w:val="18"/>
              </w:rPr>
              <w:t>Measured at</w:t>
              <w:tab/>
              <w:t>Rx</w:t>
            </w:r>
          </w:p>
          <w:p>
            <w:pPr>
              <w:pStyle w:val="TableParagraph"/>
              <w:rPr>
                <w:b/>
                <w:sz w:val="18"/>
              </w:rPr>
            </w:pPr>
            <w:r>
              <w:rPr>
                <w:b/>
                <w:sz w:val="18"/>
              </w:rPr>
              <w:t>Device</w:t>
            </w:r>
          </w:p>
        </w:tc>
        <w:tc>
          <w:tcPr>
            <w:tcW w:w="1174" w:type="dxa"/>
            <w:shd w:val="clear" w:color="auto" w:fill="D9D9D9"/>
          </w:tcPr>
          <w:p>
            <w:pPr>
              <w:pStyle w:val="TableParagraph"/>
              <w:tabs>
                <w:tab w:pos="830" w:val="left" w:leader="none"/>
              </w:tabs>
              <w:spacing w:line="240" w:lineRule="auto" w:before="92"/>
              <w:ind w:right="102"/>
              <w:rPr>
                <w:b/>
                <w:sz w:val="18"/>
              </w:rPr>
            </w:pPr>
            <w:r>
              <w:rPr>
                <w:b/>
                <w:sz w:val="18"/>
              </w:rPr>
              <w:t>Calculated at</w:t>
              <w:tab/>
              <w:t>Rx</w:t>
            </w:r>
          </w:p>
          <w:p>
            <w:pPr>
              <w:pStyle w:val="TableParagraph"/>
              <w:rPr>
                <w:b/>
                <w:sz w:val="18"/>
              </w:rPr>
            </w:pPr>
            <w:r>
              <w:rPr>
                <w:b/>
                <w:sz w:val="18"/>
              </w:rPr>
              <w:t>Device</w:t>
            </w:r>
          </w:p>
        </w:tc>
        <w:tc>
          <w:tcPr>
            <w:tcW w:w="1265" w:type="dxa"/>
            <w:shd w:val="clear" w:color="auto" w:fill="D9D9D9"/>
          </w:tcPr>
          <w:p>
            <w:pPr>
              <w:pStyle w:val="TableParagraph"/>
              <w:spacing w:line="240" w:lineRule="auto" w:before="2"/>
              <w:ind w:left="0"/>
              <w:rPr>
                <w:b/>
                <w:sz w:val="17"/>
              </w:rPr>
            </w:pPr>
          </w:p>
          <w:p>
            <w:pPr>
              <w:pStyle w:val="TableParagraph"/>
              <w:spacing w:line="240" w:lineRule="auto" w:before="1"/>
              <w:ind w:left="100" w:right="89"/>
              <w:rPr>
                <w:b/>
                <w:sz w:val="18"/>
              </w:rPr>
            </w:pPr>
            <w:r>
              <w:rPr>
                <w:b/>
                <w:sz w:val="18"/>
              </w:rPr>
              <w:t>Calculated at Rx</w:t>
            </w:r>
            <w:r>
              <w:rPr>
                <w:b/>
                <w:spacing w:val="-24"/>
                <w:sz w:val="18"/>
              </w:rPr>
              <w:t> </w:t>
            </w:r>
            <w:r>
              <w:rPr>
                <w:b/>
                <w:sz w:val="18"/>
              </w:rPr>
              <w:t>Device</w:t>
            </w:r>
          </w:p>
        </w:tc>
        <w:tc>
          <w:tcPr>
            <w:tcW w:w="1284" w:type="dxa"/>
            <w:shd w:val="clear" w:color="auto" w:fill="D9D9D9"/>
          </w:tcPr>
          <w:p>
            <w:pPr>
              <w:pStyle w:val="TableParagraph"/>
              <w:spacing w:line="240" w:lineRule="auto" w:before="2"/>
              <w:ind w:left="0"/>
              <w:rPr>
                <w:b/>
                <w:sz w:val="17"/>
              </w:rPr>
            </w:pPr>
          </w:p>
          <w:p>
            <w:pPr>
              <w:pStyle w:val="TableParagraph"/>
              <w:spacing w:line="240" w:lineRule="auto" w:before="1"/>
              <w:ind w:left="100" w:right="104"/>
              <w:rPr>
                <w:b/>
                <w:sz w:val="18"/>
              </w:rPr>
            </w:pPr>
            <w:r>
              <w:rPr>
                <w:b/>
                <w:sz w:val="18"/>
              </w:rPr>
              <w:t>Calculated at Rx</w:t>
            </w:r>
            <w:r>
              <w:rPr>
                <w:b/>
                <w:spacing w:val="-8"/>
                <w:sz w:val="18"/>
              </w:rPr>
              <w:t> </w:t>
            </w:r>
            <w:r>
              <w:rPr>
                <w:b/>
                <w:sz w:val="18"/>
              </w:rPr>
              <w:t>Device</w:t>
            </w:r>
          </w:p>
        </w:tc>
      </w:tr>
      <w:tr>
        <w:trPr>
          <w:trHeight w:val="300" w:hRule="exact"/>
        </w:trPr>
        <w:tc>
          <w:tcPr>
            <w:tcW w:w="1349" w:type="dxa"/>
          </w:tcPr>
          <w:p>
            <w:pPr>
              <w:pStyle w:val="TableParagraph"/>
              <w:spacing w:line="240" w:lineRule="auto" w:before="40"/>
              <w:rPr>
                <w:sz w:val="18"/>
              </w:rPr>
            </w:pPr>
            <w:r>
              <w:rPr>
                <w:sz w:val="18"/>
              </w:rPr>
              <w:t>0.2</w:t>
            </w:r>
          </w:p>
        </w:tc>
        <w:tc>
          <w:tcPr>
            <w:tcW w:w="1349" w:type="dxa"/>
          </w:tcPr>
          <w:p>
            <w:pPr>
              <w:pStyle w:val="TableParagraph"/>
              <w:spacing w:line="240" w:lineRule="auto" w:before="40"/>
              <w:rPr>
                <w:sz w:val="18"/>
              </w:rPr>
            </w:pPr>
            <w:r>
              <w:rPr>
                <w:w w:val="99"/>
                <w:sz w:val="18"/>
              </w:rPr>
              <w:t>1</w:t>
            </w:r>
          </w:p>
        </w:tc>
        <w:tc>
          <w:tcPr>
            <w:tcW w:w="1025" w:type="dxa"/>
          </w:tcPr>
          <w:p>
            <w:pPr>
              <w:pStyle w:val="TableParagraph"/>
              <w:spacing w:line="240" w:lineRule="auto" w:before="40"/>
              <w:rPr>
                <w:sz w:val="18"/>
              </w:rPr>
            </w:pPr>
            <w:r>
              <w:rPr>
                <w:sz w:val="18"/>
              </w:rPr>
              <w:t>Rx</w:t>
            </w:r>
          </w:p>
        </w:tc>
        <w:tc>
          <w:tcPr>
            <w:tcW w:w="1332" w:type="dxa"/>
          </w:tcPr>
          <w:p>
            <w:pPr>
              <w:pStyle w:val="TableParagraph"/>
              <w:spacing w:line="240" w:lineRule="auto" w:before="40"/>
              <w:rPr>
                <w:sz w:val="18"/>
              </w:rPr>
            </w:pPr>
            <w:r>
              <w:rPr>
                <w:sz w:val="18"/>
              </w:rPr>
              <w:t>1000</w:t>
            </w:r>
          </w:p>
        </w:tc>
        <w:tc>
          <w:tcPr>
            <w:tcW w:w="1178" w:type="dxa"/>
          </w:tcPr>
          <w:p>
            <w:pPr>
              <w:pStyle w:val="TableParagraph"/>
              <w:spacing w:line="240" w:lineRule="auto" w:before="40"/>
              <w:rPr>
                <w:sz w:val="18"/>
              </w:rPr>
            </w:pPr>
            <w:r>
              <w:rPr>
                <w:w w:val="99"/>
                <w:sz w:val="18"/>
              </w:rPr>
              <w:t>0</w:t>
            </w:r>
          </w:p>
        </w:tc>
        <w:tc>
          <w:tcPr>
            <w:tcW w:w="1174" w:type="dxa"/>
          </w:tcPr>
          <w:p>
            <w:pPr>
              <w:pStyle w:val="TableParagraph"/>
              <w:spacing w:line="240" w:lineRule="auto" w:before="40"/>
              <w:rPr>
                <w:sz w:val="18"/>
              </w:rPr>
            </w:pPr>
            <w:r>
              <w:rPr>
                <w:sz w:val="18"/>
              </w:rPr>
              <w:t>100</w:t>
            </w:r>
          </w:p>
        </w:tc>
        <w:tc>
          <w:tcPr>
            <w:tcW w:w="1265" w:type="dxa"/>
          </w:tcPr>
          <w:p>
            <w:pPr>
              <w:pStyle w:val="TableParagraph"/>
              <w:spacing w:line="240" w:lineRule="auto" w:before="80"/>
              <w:ind w:left="100"/>
              <w:rPr>
                <w:sz w:val="18"/>
              </w:rPr>
            </w:pPr>
            <w:r>
              <w:rPr>
                <w:sz w:val="18"/>
              </w:rPr>
              <w:t>n\a</w:t>
            </w:r>
          </w:p>
        </w:tc>
        <w:tc>
          <w:tcPr>
            <w:tcW w:w="1284" w:type="dxa"/>
          </w:tcPr>
          <w:p>
            <w:pPr>
              <w:pStyle w:val="TableParagraph"/>
              <w:ind w:left="100"/>
              <w:rPr>
                <w:sz w:val="18"/>
              </w:rPr>
            </w:pPr>
            <w:r>
              <w:rPr>
                <w:sz w:val="18"/>
              </w:rPr>
              <w:t>n\a</w:t>
            </w:r>
          </w:p>
        </w:tc>
      </w:tr>
      <w:tr>
        <w:trPr>
          <w:trHeight w:val="325" w:hRule="exact"/>
        </w:trPr>
        <w:tc>
          <w:tcPr>
            <w:tcW w:w="1349" w:type="dxa"/>
          </w:tcPr>
          <w:p>
            <w:pPr>
              <w:pStyle w:val="TableParagraph"/>
              <w:spacing w:line="240" w:lineRule="auto" w:before="52"/>
              <w:rPr>
                <w:sz w:val="18"/>
              </w:rPr>
            </w:pPr>
            <w:r>
              <w:rPr>
                <w:sz w:val="18"/>
              </w:rPr>
              <w:t>0.2</w:t>
            </w:r>
          </w:p>
        </w:tc>
        <w:tc>
          <w:tcPr>
            <w:tcW w:w="1349" w:type="dxa"/>
          </w:tcPr>
          <w:p>
            <w:pPr>
              <w:pStyle w:val="TableParagraph"/>
              <w:spacing w:line="240" w:lineRule="auto" w:before="52"/>
              <w:rPr>
                <w:sz w:val="18"/>
              </w:rPr>
            </w:pPr>
            <w:r>
              <w:rPr>
                <w:w w:val="99"/>
                <w:sz w:val="18"/>
              </w:rPr>
              <w:t>2</w:t>
            </w:r>
          </w:p>
        </w:tc>
        <w:tc>
          <w:tcPr>
            <w:tcW w:w="1025" w:type="dxa"/>
          </w:tcPr>
          <w:p>
            <w:pPr>
              <w:pStyle w:val="TableParagraph"/>
              <w:spacing w:line="240" w:lineRule="auto" w:before="52"/>
              <w:rPr>
                <w:sz w:val="18"/>
              </w:rPr>
            </w:pPr>
            <w:r>
              <w:rPr>
                <w:sz w:val="18"/>
              </w:rPr>
              <w:t>Rx</w:t>
            </w:r>
          </w:p>
        </w:tc>
        <w:tc>
          <w:tcPr>
            <w:tcW w:w="1332" w:type="dxa"/>
          </w:tcPr>
          <w:p>
            <w:pPr>
              <w:pStyle w:val="TableParagraph"/>
              <w:spacing w:line="240" w:lineRule="auto" w:before="52"/>
              <w:rPr>
                <w:sz w:val="18"/>
              </w:rPr>
            </w:pPr>
            <w:r>
              <w:rPr>
                <w:sz w:val="18"/>
              </w:rPr>
              <w:t>1000</w:t>
            </w:r>
          </w:p>
        </w:tc>
        <w:tc>
          <w:tcPr>
            <w:tcW w:w="1178" w:type="dxa"/>
          </w:tcPr>
          <w:p>
            <w:pPr>
              <w:pStyle w:val="TableParagraph"/>
              <w:spacing w:line="240" w:lineRule="auto" w:before="52"/>
              <w:rPr>
                <w:sz w:val="18"/>
              </w:rPr>
            </w:pPr>
            <w:r>
              <w:rPr>
                <w:w w:val="99"/>
                <w:sz w:val="18"/>
              </w:rPr>
              <w:t>0</w:t>
            </w:r>
          </w:p>
        </w:tc>
        <w:tc>
          <w:tcPr>
            <w:tcW w:w="1174" w:type="dxa"/>
          </w:tcPr>
          <w:p>
            <w:pPr>
              <w:pStyle w:val="TableParagraph"/>
              <w:spacing w:line="240" w:lineRule="auto" w:before="52"/>
              <w:rPr>
                <w:sz w:val="18"/>
              </w:rPr>
            </w:pPr>
            <w:r>
              <w:rPr>
                <w:sz w:val="18"/>
              </w:rPr>
              <w:t>100</w:t>
            </w:r>
          </w:p>
        </w:tc>
        <w:tc>
          <w:tcPr>
            <w:tcW w:w="1265" w:type="dxa"/>
          </w:tcPr>
          <w:p>
            <w:pPr>
              <w:pStyle w:val="TableParagraph"/>
              <w:spacing w:line="240" w:lineRule="auto" w:before="105"/>
              <w:ind w:left="100"/>
              <w:rPr>
                <w:sz w:val="18"/>
              </w:rPr>
            </w:pPr>
            <w:r>
              <w:rPr>
                <w:sz w:val="18"/>
              </w:rPr>
              <w:t>n\a</w:t>
            </w:r>
          </w:p>
        </w:tc>
        <w:tc>
          <w:tcPr>
            <w:tcW w:w="1284" w:type="dxa"/>
          </w:tcPr>
          <w:p>
            <w:pPr>
              <w:pStyle w:val="TableParagraph"/>
              <w:ind w:left="100"/>
              <w:rPr>
                <w:sz w:val="18"/>
              </w:rPr>
            </w:pPr>
            <w:r>
              <w:rPr>
                <w:sz w:val="18"/>
              </w:rPr>
              <w:t>n\a</w:t>
            </w:r>
          </w:p>
        </w:tc>
      </w:tr>
      <w:tr>
        <w:trPr>
          <w:trHeight w:val="324" w:hRule="exact"/>
        </w:trPr>
        <w:tc>
          <w:tcPr>
            <w:tcW w:w="1349" w:type="dxa"/>
          </w:tcPr>
          <w:p>
            <w:pPr>
              <w:pStyle w:val="TableParagraph"/>
              <w:spacing w:line="240" w:lineRule="auto" w:before="52"/>
              <w:rPr>
                <w:sz w:val="18"/>
              </w:rPr>
            </w:pPr>
            <w:r>
              <w:rPr>
                <w:w w:val="99"/>
                <w:sz w:val="18"/>
              </w:rPr>
              <w:t>1</w:t>
            </w:r>
          </w:p>
        </w:tc>
        <w:tc>
          <w:tcPr>
            <w:tcW w:w="1349" w:type="dxa"/>
          </w:tcPr>
          <w:p>
            <w:pPr>
              <w:pStyle w:val="TableParagraph"/>
              <w:spacing w:line="240" w:lineRule="auto" w:before="52"/>
              <w:rPr>
                <w:sz w:val="18"/>
              </w:rPr>
            </w:pPr>
            <w:r>
              <w:rPr>
                <w:w w:val="99"/>
                <w:sz w:val="18"/>
              </w:rPr>
              <w:t>1</w:t>
            </w:r>
          </w:p>
        </w:tc>
        <w:tc>
          <w:tcPr>
            <w:tcW w:w="1025" w:type="dxa"/>
          </w:tcPr>
          <w:p>
            <w:pPr>
              <w:pStyle w:val="TableParagraph"/>
              <w:spacing w:line="240" w:lineRule="auto" w:before="52"/>
              <w:rPr>
                <w:sz w:val="18"/>
              </w:rPr>
            </w:pPr>
            <w:r>
              <w:rPr>
                <w:sz w:val="18"/>
              </w:rPr>
              <w:t>Rx</w:t>
            </w:r>
          </w:p>
        </w:tc>
        <w:tc>
          <w:tcPr>
            <w:tcW w:w="1332" w:type="dxa"/>
          </w:tcPr>
          <w:p>
            <w:pPr>
              <w:pStyle w:val="TableParagraph"/>
              <w:spacing w:line="240" w:lineRule="auto" w:before="52"/>
              <w:rPr>
                <w:sz w:val="18"/>
              </w:rPr>
            </w:pPr>
            <w:r>
              <w:rPr>
                <w:sz w:val="18"/>
              </w:rPr>
              <w:t>1000</w:t>
            </w:r>
          </w:p>
        </w:tc>
        <w:tc>
          <w:tcPr>
            <w:tcW w:w="1178" w:type="dxa"/>
          </w:tcPr>
          <w:p>
            <w:pPr>
              <w:pStyle w:val="TableParagraph"/>
              <w:spacing w:line="240" w:lineRule="auto" w:before="52"/>
              <w:rPr>
                <w:sz w:val="18"/>
              </w:rPr>
            </w:pPr>
            <w:r>
              <w:rPr>
                <w:w w:val="99"/>
                <w:sz w:val="18"/>
              </w:rPr>
              <w:t>0</w:t>
            </w:r>
          </w:p>
        </w:tc>
        <w:tc>
          <w:tcPr>
            <w:tcW w:w="1174" w:type="dxa"/>
          </w:tcPr>
          <w:p>
            <w:pPr>
              <w:pStyle w:val="TableParagraph"/>
              <w:spacing w:line="240" w:lineRule="auto" w:before="52"/>
              <w:rPr>
                <w:sz w:val="18"/>
              </w:rPr>
            </w:pPr>
            <w:r>
              <w:rPr>
                <w:sz w:val="18"/>
              </w:rPr>
              <w:t>100</w:t>
            </w:r>
          </w:p>
        </w:tc>
        <w:tc>
          <w:tcPr>
            <w:tcW w:w="1265" w:type="dxa"/>
          </w:tcPr>
          <w:p>
            <w:pPr>
              <w:pStyle w:val="TableParagraph"/>
              <w:spacing w:line="240" w:lineRule="auto" w:before="104"/>
              <w:ind w:left="100"/>
              <w:rPr>
                <w:sz w:val="18"/>
              </w:rPr>
            </w:pPr>
            <w:r>
              <w:rPr>
                <w:sz w:val="18"/>
              </w:rPr>
              <w:t>n\a</w:t>
            </w:r>
          </w:p>
        </w:tc>
        <w:tc>
          <w:tcPr>
            <w:tcW w:w="1284" w:type="dxa"/>
          </w:tcPr>
          <w:p>
            <w:pPr>
              <w:pStyle w:val="TableParagraph"/>
              <w:ind w:left="100"/>
              <w:rPr>
                <w:sz w:val="18"/>
              </w:rPr>
            </w:pPr>
            <w:r>
              <w:rPr>
                <w:sz w:val="18"/>
              </w:rPr>
              <w:t>n\a</w:t>
            </w:r>
          </w:p>
        </w:tc>
      </w:tr>
      <w:tr>
        <w:trPr>
          <w:trHeight w:val="324" w:hRule="exact"/>
        </w:trPr>
        <w:tc>
          <w:tcPr>
            <w:tcW w:w="1349" w:type="dxa"/>
          </w:tcPr>
          <w:p>
            <w:pPr>
              <w:pStyle w:val="TableParagraph"/>
              <w:spacing w:line="240" w:lineRule="auto" w:before="52"/>
              <w:rPr>
                <w:sz w:val="18"/>
              </w:rPr>
            </w:pPr>
            <w:r>
              <w:rPr>
                <w:w w:val="99"/>
                <w:sz w:val="18"/>
              </w:rPr>
              <w:t>1</w:t>
            </w:r>
          </w:p>
        </w:tc>
        <w:tc>
          <w:tcPr>
            <w:tcW w:w="1349" w:type="dxa"/>
          </w:tcPr>
          <w:p>
            <w:pPr>
              <w:pStyle w:val="TableParagraph"/>
              <w:spacing w:line="240" w:lineRule="auto" w:before="52"/>
              <w:rPr>
                <w:sz w:val="18"/>
              </w:rPr>
            </w:pPr>
            <w:r>
              <w:rPr>
                <w:w w:val="99"/>
                <w:sz w:val="18"/>
              </w:rPr>
              <w:t>2</w:t>
            </w:r>
          </w:p>
        </w:tc>
        <w:tc>
          <w:tcPr>
            <w:tcW w:w="1025" w:type="dxa"/>
          </w:tcPr>
          <w:p>
            <w:pPr>
              <w:pStyle w:val="TableParagraph"/>
              <w:spacing w:line="240" w:lineRule="auto" w:before="52"/>
              <w:rPr>
                <w:sz w:val="18"/>
              </w:rPr>
            </w:pPr>
            <w:r>
              <w:rPr>
                <w:sz w:val="18"/>
              </w:rPr>
              <w:t>Rx</w:t>
            </w:r>
          </w:p>
        </w:tc>
        <w:tc>
          <w:tcPr>
            <w:tcW w:w="1332" w:type="dxa"/>
          </w:tcPr>
          <w:p>
            <w:pPr>
              <w:pStyle w:val="TableParagraph"/>
              <w:spacing w:line="240" w:lineRule="auto" w:before="52"/>
              <w:rPr>
                <w:sz w:val="18"/>
              </w:rPr>
            </w:pPr>
            <w:r>
              <w:rPr>
                <w:sz w:val="18"/>
              </w:rPr>
              <w:t>1000</w:t>
            </w:r>
          </w:p>
        </w:tc>
        <w:tc>
          <w:tcPr>
            <w:tcW w:w="1178" w:type="dxa"/>
          </w:tcPr>
          <w:p>
            <w:pPr>
              <w:pStyle w:val="TableParagraph"/>
              <w:spacing w:line="240" w:lineRule="auto" w:before="52"/>
              <w:rPr>
                <w:sz w:val="18"/>
              </w:rPr>
            </w:pPr>
            <w:r>
              <w:rPr>
                <w:w w:val="99"/>
                <w:sz w:val="18"/>
              </w:rPr>
              <w:t>0</w:t>
            </w:r>
          </w:p>
        </w:tc>
        <w:tc>
          <w:tcPr>
            <w:tcW w:w="1174" w:type="dxa"/>
          </w:tcPr>
          <w:p>
            <w:pPr>
              <w:pStyle w:val="TableParagraph"/>
              <w:spacing w:line="240" w:lineRule="auto" w:before="52"/>
              <w:rPr>
                <w:sz w:val="18"/>
              </w:rPr>
            </w:pPr>
            <w:r>
              <w:rPr>
                <w:sz w:val="18"/>
              </w:rPr>
              <w:t>100</w:t>
            </w:r>
          </w:p>
        </w:tc>
        <w:tc>
          <w:tcPr>
            <w:tcW w:w="1265" w:type="dxa"/>
          </w:tcPr>
          <w:p>
            <w:pPr>
              <w:pStyle w:val="TableParagraph"/>
              <w:spacing w:line="240" w:lineRule="auto" w:before="104"/>
              <w:ind w:left="100"/>
              <w:rPr>
                <w:sz w:val="18"/>
              </w:rPr>
            </w:pPr>
            <w:r>
              <w:rPr>
                <w:sz w:val="18"/>
              </w:rPr>
              <w:t>n\a</w:t>
            </w:r>
          </w:p>
        </w:tc>
        <w:tc>
          <w:tcPr>
            <w:tcW w:w="1284" w:type="dxa"/>
          </w:tcPr>
          <w:p>
            <w:pPr>
              <w:pStyle w:val="TableParagraph"/>
              <w:ind w:left="100"/>
              <w:rPr>
                <w:sz w:val="18"/>
              </w:rPr>
            </w:pPr>
            <w:r>
              <w:rPr>
                <w:sz w:val="18"/>
              </w:rPr>
              <w:t>n\a</w:t>
            </w:r>
          </w:p>
        </w:tc>
      </w:tr>
      <w:tr>
        <w:trPr>
          <w:trHeight w:val="324" w:hRule="exact"/>
        </w:trPr>
        <w:tc>
          <w:tcPr>
            <w:tcW w:w="1349" w:type="dxa"/>
          </w:tcPr>
          <w:p>
            <w:pPr>
              <w:pStyle w:val="TableParagraph"/>
              <w:spacing w:line="240" w:lineRule="auto" w:before="52"/>
              <w:rPr>
                <w:sz w:val="18"/>
              </w:rPr>
            </w:pPr>
            <w:r>
              <w:rPr>
                <w:w w:val="99"/>
                <w:sz w:val="18"/>
              </w:rPr>
              <w:t>5</w:t>
            </w:r>
          </w:p>
        </w:tc>
        <w:tc>
          <w:tcPr>
            <w:tcW w:w="1349" w:type="dxa"/>
          </w:tcPr>
          <w:p>
            <w:pPr>
              <w:pStyle w:val="TableParagraph"/>
              <w:spacing w:line="240" w:lineRule="auto" w:before="52"/>
              <w:rPr>
                <w:sz w:val="18"/>
              </w:rPr>
            </w:pPr>
            <w:r>
              <w:rPr>
                <w:w w:val="99"/>
                <w:sz w:val="18"/>
              </w:rPr>
              <w:t>1</w:t>
            </w:r>
          </w:p>
        </w:tc>
        <w:tc>
          <w:tcPr>
            <w:tcW w:w="1025" w:type="dxa"/>
          </w:tcPr>
          <w:p>
            <w:pPr>
              <w:pStyle w:val="TableParagraph"/>
              <w:spacing w:line="240" w:lineRule="auto" w:before="52"/>
              <w:rPr>
                <w:sz w:val="18"/>
              </w:rPr>
            </w:pPr>
            <w:r>
              <w:rPr>
                <w:sz w:val="18"/>
              </w:rPr>
              <w:t>Rx</w:t>
            </w:r>
          </w:p>
        </w:tc>
        <w:tc>
          <w:tcPr>
            <w:tcW w:w="1332" w:type="dxa"/>
          </w:tcPr>
          <w:p>
            <w:pPr>
              <w:pStyle w:val="TableParagraph"/>
              <w:spacing w:line="240" w:lineRule="auto" w:before="52"/>
              <w:rPr>
                <w:sz w:val="18"/>
              </w:rPr>
            </w:pPr>
            <w:r>
              <w:rPr>
                <w:sz w:val="18"/>
              </w:rPr>
              <w:t>1000</w:t>
            </w:r>
          </w:p>
        </w:tc>
        <w:tc>
          <w:tcPr>
            <w:tcW w:w="1178" w:type="dxa"/>
          </w:tcPr>
          <w:p>
            <w:pPr>
              <w:pStyle w:val="TableParagraph"/>
              <w:spacing w:line="240" w:lineRule="auto" w:before="52"/>
              <w:rPr>
                <w:sz w:val="18"/>
              </w:rPr>
            </w:pPr>
            <w:r>
              <w:rPr>
                <w:w w:val="99"/>
                <w:sz w:val="18"/>
              </w:rPr>
              <w:t>0</w:t>
            </w:r>
          </w:p>
        </w:tc>
        <w:tc>
          <w:tcPr>
            <w:tcW w:w="1174" w:type="dxa"/>
          </w:tcPr>
          <w:p>
            <w:pPr>
              <w:pStyle w:val="TableParagraph"/>
              <w:spacing w:line="240" w:lineRule="auto" w:before="52"/>
              <w:rPr>
                <w:sz w:val="18"/>
              </w:rPr>
            </w:pPr>
            <w:r>
              <w:rPr>
                <w:sz w:val="18"/>
              </w:rPr>
              <w:t>100</w:t>
            </w:r>
          </w:p>
        </w:tc>
        <w:tc>
          <w:tcPr>
            <w:tcW w:w="1265" w:type="dxa"/>
          </w:tcPr>
          <w:p>
            <w:pPr>
              <w:pStyle w:val="TableParagraph"/>
              <w:spacing w:line="240" w:lineRule="auto" w:before="104"/>
              <w:ind w:left="100"/>
              <w:rPr>
                <w:sz w:val="18"/>
              </w:rPr>
            </w:pPr>
            <w:r>
              <w:rPr>
                <w:sz w:val="18"/>
              </w:rPr>
              <w:t>n\a</w:t>
            </w:r>
          </w:p>
        </w:tc>
        <w:tc>
          <w:tcPr>
            <w:tcW w:w="1284" w:type="dxa"/>
          </w:tcPr>
          <w:p>
            <w:pPr>
              <w:pStyle w:val="TableParagraph"/>
              <w:ind w:left="100"/>
              <w:rPr>
                <w:sz w:val="18"/>
              </w:rPr>
            </w:pPr>
            <w:r>
              <w:rPr>
                <w:sz w:val="18"/>
              </w:rPr>
              <w:t>n\a</w:t>
            </w:r>
          </w:p>
        </w:tc>
      </w:tr>
      <w:tr>
        <w:trPr>
          <w:trHeight w:val="324" w:hRule="exact"/>
        </w:trPr>
        <w:tc>
          <w:tcPr>
            <w:tcW w:w="1349" w:type="dxa"/>
          </w:tcPr>
          <w:p>
            <w:pPr>
              <w:pStyle w:val="TableParagraph"/>
              <w:spacing w:line="240" w:lineRule="auto" w:before="52"/>
              <w:rPr>
                <w:sz w:val="18"/>
              </w:rPr>
            </w:pPr>
            <w:r>
              <w:rPr>
                <w:w w:val="99"/>
                <w:sz w:val="18"/>
              </w:rPr>
              <w:t>5</w:t>
            </w:r>
          </w:p>
        </w:tc>
        <w:tc>
          <w:tcPr>
            <w:tcW w:w="1349" w:type="dxa"/>
          </w:tcPr>
          <w:p>
            <w:pPr>
              <w:pStyle w:val="TableParagraph"/>
              <w:spacing w:line="240" w:lineRule="auto" w:before="52"/>
              <w:rPr>
                <w:sz w:val="18"/>
              </w:rPr>
            </w:pPr>
            <w:r>
              <w:rPr>
                <w:w w:val="99"/>
                <w:sz w:val="18"/>
              </w:rPr>
              <w:t>2</w:t>
            </w:r>
          </w:p>
        </w:tc>
        <w:tc>
          <w:tcPr>
            <w:tcW w:w="1025" w:type="dxa"/>
          </w:tcPr>
          <w:p>
            <w:pPr>
              <w:pStyle w:val="TableParagraph"/>
              <w:spacing w:line="240" w:lineRule="auto" w:before="52"/>
              <w:rPr>
                <w:sz w:val="18"/>
              </w:rPr>
            </w:pPr>
            <w:r>
              <w:rPr>
                <w:sz w:val="18"/>
              </w:rPr>
              <w:t>Rx</w:t>
            </w:r>
          </w:p>
        </w:tc>
        <w:tc>
          <w:tcPr>
            <w:tcW w:w="1332" w:type="dxa"/>
          </w:tcPr>
          <w:p>
            <w:pPr>
              <w:pStyle w:val="TableParagraph"/>
              <w:spacing w:line="240" w:lineRule="auto" w:before="52"/>
              <w:rPr>
                <w:sz w:val="18"/>
              </w:rPr>
            </w:pPr>
            <w:r>
              <w:rPr>
                <w:sz w:val="18"/>
              </w:rPr>
              <w:t>1000</w:t>
            </w:r>
          </w:p>
        </w:tc>
        <w:tc>
          <w:tcPr>
            <w:tcW w:w="1178" w:type="dxa"/>
          </w:tcPr>
          <w:p>
            <w:pPr>
              <w:pStyle w:val="TableParagraph"/>
              <w:spacing w:line="240" w:lineRule="auto" w:before="52"/>
              <w:rPr>
                <w:sz w:val="18"/>
              </w:rPr>
            </w:pPr>
            <w:r>
              <w:rPr>
                <w:w w:val="99"/>
                <w:sz w:val="18"/>
              </w:rPr>
              <w:t>0</w:t>
            </w:r>
          </w:p>
        </w:tc>
        <w:tc>
          <w:tcPr>
            <w:tcW w:w="1174" w:type="dxa"/>
          </w:tcPr>
          <w:p>
            <w:pPr>
              <w:pStyle w:val="TableParagraph"/>
              <w:spacing w:line="240" w:lineRule="auto" w:before="52"/>
              <w:rPr>
                <w:sz w:val="18"/>
              </w:rPr>
            </w:pPr>
            <w:r>
              <w:rPr>
                <w:sz w:val="18"/>
              </w:rPr>
              <w:t>100</w:t>
            </w:r>
          </w:p>
        </w:tc>
        <w:tc>
          <w:tcPr>
            <w:tcW w:w="1265" w:type="dxa"/>
          </w:tcPr>
          <w:p>
            <w:pPr>
              <w:pStyle w:val="TableParagraph"/>
              <w:spacing w:line="240" w:lineRule="auto" w:before="104"/>
              <w:ind w:left="100"/>
              <w:rPr>
                <w:sz w:val="18"/>
              </w:rPr>
            </w:pPr>
            <w:r>
              <w:rPr>
                <w:sz w:val="18"/>
              </w:rPr>
              <w:t>n\a</w:t>
            </w:r>
          </w:p>
        </w:tc>
        <w:tc>
          <w:tcPr>
            <w:tcW w:w="1284" w:type="dxa"/>
          </w:tcPr>
          <w:p>
            <w:pPr>
              <w:pStyle w:val="TableParagraph"/>
              <w:ind w:left="100"/>
              <w:rPr>
                <w:sz w:val="18"/>
              </w:rPr>
            </w:pPr>
            <w:r>
              <w:rPr>
                <w:sz w:val="18"/>
              </w:rPr>
              <w:t>n\a</w:t>
            </w:r>
          </w:p>
        </w:tc>
      </w:tr>
      <w:tr>
        <w:trPr>
          <w:trHeight w:val="324" w:hRule="exact"/>
        </w:trPr>
        <w:tc>
          <w:tcPr>
            <w:tcW w:w="1349" w:type="dxa"/>
          </w:tcPr>
          <w:p>
            <w:pPr>
              <w:pStyle w:val="TableParagraph"/>
              <w:spacing w:line="240" w:lineRule="auto" w:before="52"/>
              <w:rPr>
                <w:sz w:val="18"/>
              </w:rPr>
            </w:pPr>
            <w:r>
              <w:rPr>
                <w:sz w:val="18"/>
              </w:rPr>
              <w:t>0.2</w:t>
            </w:r>
          </w:p>
        </w:tc>
        <w:tc>
          <w:tcPr>
            <w:tcW w:w="1349" w:type="dxa"/>
          </w:tcPr>
          <w:p>
            <w:pPr>
              <w:pStyle w:val="TableParagraph"/>
              <w:spacing w:line="240" w:lineRule="auto" w:before="52"/>
              <w:rPr>
                <w:sz w:val="18"/>
              </w:rPr>
            </w:pPr>
            <w:r>
              <w:rPr>
                <w:w w:val="99"/>
                <w:sz w:val="18"/>
              </w:rPr>
              <w:t>1</w:t>
            </w:r>
          </w:p>
        </w:tc>
        <w:tc>
          <w:tcPr>
            <w:tcW w:w="1025" w:type="dxa"/>
          </w:tcPr>
          <w:p>
            <w:pPr>
              <w:pStyle w:val="TableParagraph"/>
              <w:spacing w:line="240" w:lineRule="auto" w:before="52"/>
              <w:rPr>
                <w:sz w:val="18"/>
              </w:rPr>
            </w:pPr>
            <w:r>
              <w:rPr>
                <w:sz w:val="18"/>
              </w:rPr>
              <w:t>Mid</w:t>
            </w:r>
          </w:p>
        </w:tc>
        <w:tc>
          <w:tcPr>
            <w:tcW w:w="1332" w:type="dxa"/>
          </w:tcPr>
          <w:p>
            <w:pPr>
              <w:pStyle w:val="TableParagraph"/>
              <w:spacing w:line="240" w:lineRule="auto" w:before="52"/>
              <w:rPr>
                <w:sz w:val="18"/>
              </w:rPr>
            </w:pPr>
            <w:r>
              <w:rPr>
                <w:sz w:val="18"/>
              </w:rPr>
              <w:t>1000</w:t>
            </w:r>
          </w:p>
        </w:tc>
        <w:tc>
          <w:tcPr>
            <w:tcW w:w="1178" w:type="dxa"/>
          </w:tcPr>
          <w:p>
            <w:pPr>
              <w:pStyle w:val="TableParagraph"/>
              <w:spacing w:line="240" w:lineRule="auto" w:before="52"/>
              <w:rPr>
                <w:sz w:val="18"/>
              </w:rPr>
            </w:pPr>
            <w:r>
              <w:rPr>
                <w:w w:val="99"/>
                <w:sz w:val="18"/>
              </w:rPr>
              <w:t>0</w:t>
            </w:r>
          </w:p>
        </w:tc>
        <w:tc>
          <w:tcPr>
            <w:tcW w:w="1174" w:type="dxa"/>
          </w:tcPr>
          <w:p>
            <w:pPr>
              <w:pStyle w:val="TableParagraph"/>
              <w:spacing w:line="240" w:lineRule="auto" w:before="52"/>
              <w:rPr>
                <w:sz w:val="18"/>
              </w:rPr>
            </w:pPr>
            <w:r>
              <w:rPr>
                <w:sz w:val="18"/>
              </w:rPr>
              <w:t>100</w:t>
            </w:r>
          </w:p>
        </w:tc>
        <w:tc>
          <w:tcPr>
            <w:tcW w:w="1265" w:type="dxa"/>
          </w:tcPr>
          <w:p>
            <w:pPr>
              <w:pStyle w:val="TableParagraph"/>
              <w:spacing w:line="240" w:lineRule="auto" w:before="104"/>
              <w:ind w:left="100"/>
              <w:rPr>
                <w:sz w:val="18"/>
              </w:rPr>
            </w:pPr>
            <w:r>
              <w:rPr>
                <w:sz w:val="18"/>
              </w:rPr>
              <w:t>n\a</w:t>
            </w:r>
          </w:p>
        </w:tc>
        <w:tc>
          <w:tcPr>
            <w:tcW w:w="1284" w:type="dxa"/>
          </w:tcPr>
          <w:p>
            <w:pPr>
              <w:pStyle w:val="TableParagraph"/>
              <w:ind w:left="100"/>
              <w:rPr>
                <w:sz w:val="18"/>
              </w:rPr>
            </w:pPr>
            <w:r>
              <w:rPr>
                <w:sz w:val="18"/>
              </w:rPr>
              <w:t>n\a</w:t>
            </w:r>
          </w:p>
        </w:tc>
      </w:tr>
      <w:tr>
        <w:trPr>
          <w:trHeight w:val="324" w:hRule="exact"/>
        </w:trPr>
        <w:tc>
          <w:tcPr>
            <w:tcW w:w="1349" w:type="dxa"/>
          </w:tcPr>
          <w:p>
            <w:pPr>
              <w:pStyle w:val="TableParagraph"/>
              <w:spacing w:line="240" w:lineRule="auto" w:before="52"/>
              <w:rPr>
                <w:sz w:val="18"/>
              </w:rPr>
            </w:pPr>
            <w:r>
              <w:rPr>
                <w:sz w:val="18"/>
              </w:rPr>
              <w:t>0.2</w:t>
            </w:r>
          </w:p>
        </w:tc>
        <w:tc>
          <w:tcPr>
            <w:tcW w:w="1349" w:type="dxa"/>
          </w:tcPr>
          <w:p>
            <w:pPr>
              <w:pStyle w:val="TableParagraph"/>
              <w:spacing w:line="240" w:lineRule="auto" w:before="52"/>
              <w:rPr>
                <w:sz w:val="18"/>
              </w:rPr>
            </w:pPr>
            <w:r>
              <w:rPr>
                <w:w w:val="99"/>
                <w:sz w:val="18"/>
              </w:rPr>
              <w:t>2</w:t>
            </w:r>
          </w:p>
        </w:tc>
        <w:tc>
          <w:tcPr>
            <w:tcW w:w="1025" w:type="dxa"/>
          </w:tcPr>
          <w:p>
            <w:pPr>
              <w:pStyle w:val="TableParagraph"/>
              <w:spacing w:line="240" w:lineRule="auto" w:before="52"/>
              <w:rPr>
                <w:sz w:val="18"/>
              </w:rPr>
            </w:pPr>
            <w:r>
              <w:rPr>
                <w:sz w:val="18"/>
              </w:rPr>
              <w:t>Mid</w:t>
            </w:r>
          </w:p>
        </w:tc>
        <w:tc>
          <w:tcPr>
            <w:tcW w:w="1332" w:type="dxa"/>
          </w:tcPr>
          <w:p>
            <w:pPr>
              <w:pStyle w:val="TableParagraph"/>
              <w:spacing w:line="240" w:lineRule="auto" w:before="52"/>
              <w:rPr>
                <w:sz w:val="18"/>
              </w:rPr>
            </w:pPr>
            <w:r>
              <w:rPr>
                <w:sz w:val="18"/>
              </w:rPr>
              <w:t>1000</w:t>
            </w:r>
          </w:p>
        </w:tc>
        <w:tc>
          <w:tcPr>
            <w:tcW w:w="1178" w:type="dxa"/>
          </w:tcPr>
          <w:p>
            <w:pPr>
              <w:pStyle w:val="TableParagraph"/>
              <w:spacing w:line="240" w:lineRule="auto" w:before="52"/>
              <w:rPr>
                <w:sz w:val="18"/>
              </w:rPr>
            </w:pPr>
            <w:r>
              <w:rPr>
                <w:w w:val="99"/>
                <w:sz w:val="18"/>
              </w:rPr>
              <w:t>0</w:t>
            </w:r>
          </w:p>
        </w:tc>
        <w:tc>
          <w:tcPr>
            <w:tcW w:w="1174" w:type="dxa"/>
          </w:tcPr>
          <w:p>
            <w:pPr>
              <w:pStyle w:val="TableParagraph"/>
              <w:spacing w:line="240" w:lineRule="auto" w:before="52"/>
              <w:rPr>
                <w:sz w:val="18"/>
              </w:rPr>
            </w:pPr>
            <w:r>
              <w:rPr>
                <w:sz w:val="18"/>
              </w:rPr>
              <w:t>100</w:t>
            </w:r>
          </w:p>
        </w:tc>
        <w:tc>
          <w:tcPr>
            <w:tcW w:w="1265" w:type="dxa"/>
          </w:tcPr>
          <w:p>
            <w:pPr>
              <w:pStyle w:val="TableParagraph"/>
              <w:spacing w:line="240" w:lineRule="auto" w:before="104"/>
              <w:ind w:left="100"/>
              <w:rPr>
                <w:sz w:val="18"/>
              </w:rPr>
            </w:pPr>
            <w:r>
              <w:rPr>
                <w:sz w:val="18"/>
              </w:rPr>
              <w:t>n\a</w:t>
            </w:r>
          </w:p>
        </w:tc>
        <w:tc>
          <w:tcPr>
            <w:tcW w:w="1284" w:type="dxa"/>
          </w:tcPr>
          <w:p>
            <w:pPr>
              <w:pStyle w:val="TableParagraph"/>
              <w:ind w:left="100"/>
              <w:rPr>
                <w:sz w:val="18"/>
              </w:rPr>
            </w:pPr>
            <w:r>
              <w:rPr>
                <w:sz w:val="18"/>
              </w:rPr>
              <w:t>n\a</w:t>
            </w:r>
          </w:p>
        </w:tc>
      </w:tr>
      <w:tr>
        <w:trPr>
          <w:trHeight w:val="324" w:hRule="exact"/>
        </w:trPr>
        <w:tc>
          <w:tcPr>
            <w:tcW w:w="1349" w:type="dxa"/>
          </w:tcPr>
          <w:p>
            <w:pPr>
              <w:pStyle w:val="TableParagraph"/>
              <w:spacing w:line="240" w:lineRule="auto" w:before="52"/>
              <w:rPr>
                <w:sz w:val="18"/>
              </w:rPr>
            </w:pPr>
            <w:r>
              <w:rPr>
                <w:w w:val="99"/>
                <w:sz w:val="18"/>
              </w:rPr>
              <w:t>1</w:t>
            </w:r>
          </w:p>
        </w:tc>
        <w:tc>
          <w:tcPr>
            <w:tcW w:w="1349" w:type="dxa"/>
          </w:tcPr>
          <w:p>
            <w:pPr>
              <w:pStyle w:val="TableParagraph"/>
              <w:spacing w:line="240" w:lineRule="auto" w:before="52"/>
              <w:rPr>
                <w:sz w:val="18"/>
              </w:rPr>
            </w:pPr>
            <w:r>
              <w:rPr>
                <w:w w:val="99"/>
                <w:sz w:val="18"/>
              </w:rPr>
              <w:t>1</w:t>
            </w:r>
          </w:p>
        </w:tc>
        <w:tc>
          <w:tcPr>
            <w:tcW w:w="1025" w:type="dxa"/>
          </w:tcPr>
          <w:p>
            <w:pPr>
              <w:pStyle w:val="TableParagraph"/>
              <w:spacing w:line="240" w:lineRule="auto" w:before="52"/>
              <w:rPr>
                <w:sz w:val="18"/>
              </w:rPr>
            </w:pPr>
            <w:r>
              <w:rPr>
                <w:sz w:val="18"/>
              </w:rPr>
              <w:t>Mid</w:t>
            </w:r>
          </w:p>
        </w:tc>
        <w:tc>
          <w:tcPr>
            <w:tcW w:w="1332" w:type="dxa"/>
          </w:tcPr>
          <w:p>
            <w:pPr>
              <w:pStyle w:val="TableParagraph"/>
              <w:spacing w:line="240" w:lineRule="auto" w:before="52"/>
              <w:rPr>
                <w:sz w:val="18"/>
              </w:rPr>
            </w:pPr>
            <w:r>
              <w:rPr>
                <w:sz w:val="18"/>
              </w:rPr>
              <w:t>1000</w:t>
            </w:r>
          </w:p>
        </w:tc>
        <w:tc>
          <w:tcPr>
            <w:tcW w:w="1178" w:type="dxa"/>
          </w:tcPr>
          <w:p>
            <w:pPr>
              <w:pStyle w:val="TableParagraph"/>
              <w:spacing w:line="240" w:lineRule="auto" w:before="52"/>
              <w:rPr>
                <w:sz w:val="18"/>
              </w:rPr>
            </w:pPr>
            <w:r>
              <w:rPr>
                <w:w w:val="99"/>
                <w:sz w:val="18"/>
              </w:rPr>
              <w:t>0</w:t>
            </w:r>
          </w:p>
        </w:tc>
        <w:tc>
          <w:tcPr>
            <w:tcW w:w="1174" w:type="dxa"/>
          </w:tcPr>
          <w:p>
            <w:pPr>
              <w:pStyle w:val="TableParagraph"/>
              <w:spacing w:line="240" w:lineRule="auto" w:before="52"/>
              <w:rPr>
                <w:sz w:val="18"/>
              </w:rPr>
            </w:pPr>
            <w:r>
              <w:rPr>
                <w:sz w:val="18"/>
              </w:rPr>
              <w:t>100</w:t>
            </w:r>
          </w:p>
        </w:tc>
        <w:tc>
          <w:tcPr>
            <w:tcW w:w="1265" w:type="dxa"/>
          </w:tcPr>
          <w:p>
            <w:pPr>
              <w:pStyle w:val="TableParagraph"/>
              <w:spacing w:line="240" w:lineRule="auto" w:before="104"/>
              <w:ind w:left="100"/>
              <w:rPr>
                <w:sz w:val="18"/>
              </w:rPr>
            </w:pPr>
            <w:r>
              <w:rPr>
                <w:sz w:val="18"/>
              </w:rPr>
              <w:t>n\a</w:t>
            </w:r>
          </w:p>
        </w:tc>
        <w:tc>
          <w:tcPr>
            <w:tcW w:w="1284" w:type="dxa"/>
          </w:tcPr>
          <w:p>
            <w:pPr>
              <w:pStyle w:val="TableParagraph"/>
              <w:ind w:left="100"/>
              <w:rPr>
                <w:sz w:val="18"/>
              </w:rPr>
            </w:pPr>
            <w:r>
              <w:rPr>
                <w:sz w:val="18"/>
              </w:rPr>
              <w:t>n\a</w:t>
            </w:r>
          </w:p>
        </w:tc>
      </w:tr>
      <w:tr>
        <w:trPr>
          <w:trHeight w:val="324" w:hRule="exact"/>
        </w:trPr>
        <w:tc>
          <w:tcPr>
            <w:tcW w:w="1349" w:type="dxa"/>
          </w:tcPr>
          <w:p>
            <w:pPr>
              <w:pStyle w:val="TableParagraph"/>
              <w:spacing w:line="240" w:lineRule="auto" w:before="52"/>
              <w:rPr>
                <w:sz w:val="18"/>
              </w:rPr>
            </w:pPr>
            <w:r>
              <w:rPr>
                <w:w w:val="99"/>
                <w:sz w:val="18"/>
              </w:rPr>
              <w:t>1</w:t>
            </w:r>
          </w:p>
        </w:tc>
        <w:tc>
          <w:tcPr>
            <w:tcW w:w="1349" w:type="dxa"/>
          </w:tcPr>
          <w:p>
            <w:pPr>
              <w:pStyle w:val="TableParagraph"/>
              <w:spacing w:line="240" w:lineRule="auto" w:before="52"/>
              <w:rPr>
                <w:sz w:val="18"/>
              </w:rPr>
            </w:pPr>
            <w:r>
              <w:rPr>
                <w:w w:val="99"/>
                <w:sz w:val="18"/>
              </w:rPr>
              <w:t>2</w:t>
            </w:r>
          </w:p>
        </w:tc>
        <w:tc>
          <w:tcPr>
            <w:tcW w:w="1025" w:type="dxa"/>
          </w:tcPr>
          <w:p>
            <w:pPr>
              <w:pStyle w:val="TableParagraph"/>
              <w:spacing w:line="240" w:lineRule="auto" w:before="52"/>
              <w:rPr>
                <w:sz w:val="18"/>
              </w:rPr>
            </w:pPr>
            <w:r>
              <w:rPr>
                <w:sz w:val="18"/>
              </w:rPr>
              <w:t>Mid</w:t>
            </w:r>
          </w:p>
        </w:tc>
        <w:tc>
          <w:tcPr>
            <w:tcW w:w="1332" w:type="dxa"/>
          </w:tcPr>
          <w:p>
            <w:pPr>
              <w:pStyle w:val="TableParagraph"/>
              <w:spacing w:line="240" w:lineRule="auto" w:before="52"/>
              <w:rPr>
                <w:sz w:val="18"/>
              </w:rPr>
            </w:pPr>
            <w:r>
              <w:rPr>
                <w:sz w:val="18"/>
              </w:rPr>
              <w:t>1000</w:t>
            </w:r>
          </w:p>
        </w:tc>
        <w:tc>
          <w:tcPr>
            <w:tcW w:w="1178" w:type="dxa"/>
          </w:tcPr>
          <w:p>
            <w:pPr>
              <w:pStyle w:val="TableParagraph"/>
              <w:spacing w:line="240" w:lineRule="auto" w:before="52"/>
              <w:rPr>
                <w:sz w:val="18"/>
              </w:rPr>
            </w:pPr>
            <w:r>
              <w:rPr>
                <w:w w:val="99"/>
                <w:sz w:val="18"/>
              </w:rPr>
              <w:t>0</w:t>
            </w:r>
          </w:p>
        </w:tc>
        <w:tc>
          <w:tcPr>
            <w:tcW w:w="1174" w:type="dxa"/>
          </w:tcPr>
          <w:p>
            <w:pPr>
              <w:pStyle w:val="TableParagraph"/>
              <w:spacing w:line="240" w:lineRule="auto" w:before="52"/>
              <w:rPr>
                <w:sz w:val="18"/>
              </w:rPr>
            </w:pPr>
            <w:r>
              <w:rPr>
                <w:sz w:val="18"/>
              </w:rPr>
              <w:t>100</w:t>
            </w:r>
          </w:p>
        </w:tc>
        <w:tc>
          <w:tcPr>
            <w:tcW w:w="1265" w:type="dxa"/>
          </w:tcPr>
          <w:p>
            <w:pPr>
              <w:pStyle w:val="TableParagraph"/>
              <w:spacing w:line="240" w:lineRule="auto" w:before="104"/>
              <w:ind w:left="100"/>
              <w:rPr>
                <w:sz w:val="18"/>
              </w:rPr>
            </w:pPr>
            <w:r>
              <w:rPr>
                <w:sz w:val="18"/>
              </w:rPr>
              <w:t>n\a</w:t>
            </w:r>
          </w:p>
        </w:tc>
        <w:tc>
          <w:tcPr>
            <w:tcW w:w="1284" w:type="dxa"/>
          </w:tcPr>
          <w:p>
            <w:pPr>
              <w:pStyle w:val="TableParagraph"/>
              <w:ind w:left="100"/>
              <w:rPr>
                <w:sz w:val="18"/>
              </w:rPr>
            </w:pPr>
            <w:r>
              <w:rPr>
                <w:sz w:val="18"/>
              </w:rPr>
              <w:t>n\a</w:t>
            </w:r>
          </w:p>
        </w:tc>
      </w:tr>
      <w:tr>
        <w:trPr>
          <w:trHeight w:val="324" w:hRule="exact"/>
        </w:trPr>
        <w:tc>
          <w:tcPr>
            <w:tcW w:w="1349" w:type="dxa"/>
          </w:tcPr>
          <w:p>
            <w:pPr>
              <w:pStyle w:val="TableParagraph"/>
              <w:spacing w:line="240" w:lineRule="auto" w:before="52"/>
              <w:rPr>
                <w:sz w:val="18"/>
              </w:rPr>
            </w:pPr>
            <w:r>
              <w:rPr>
                <w:w w:val="99"/>
                <w:sz w:val="18"/>
              </w:rPr>
              <w:t>5</w:t>
            </w:r>
          </w:p>
        </w:tc>
        <w:tc>
          <w:tcPr>
            <w:tcW w:w="1349" w:type="dxa"/>
          </w:tcPr>
          <w:p>
            <w:pPr>
              <w:pStyle w:val="TableParagraph"/>
              <w:spacing w:line="240" w:lineRule="auto" w:before="52"/>
              <w:rPr>
                <w:sz w:val="18"/>
              </w:rPr>
            </w:pPr>
            <w:r>
              <w:rPr>
                <w:w w:val="99"/>
                <w:sz w:val="18"/>
              </w:rPr>
              <w:t>1</w:t>
            </w:r>
          </w:p>
        </w:tc>
        <w:tc>
          <w:tcPr>
            <w:tcW w:w="1025" w:type="dxa"/>
          </w:tcPr>
          <w:p>
            <w:pPr>
              <w:pStyle w:val="TableParagraph"/>
              <w:spacing w:line="240" w:lineRule="auto" w:before="52"/>
              <w:rPr>
                <w:sz w:val="18"/>
              </w:rPr>
            </w:pPr>
            <w:r>
              <w:rPr>
                <w:sz w:val="18"/>
              </w:rPr>
              <w:t>Mid</w:t>
            </w:r>
          </w:p>
        </w:tc>
        <w:tc>
          <w:tcPr>
            <w:tcW w:w="1332" w:type="dxa"/>
          </w:tcPr>
          <w:p>
            <w:pPr>
              <w:pStyle w:val="TableParagraph"/>
              <w:spacing w:line="240" w:lineRule="auto" w:before="52"/>
              <w:rPr>
                <w:sz w:val="18"/>
              </w:rPr>
            </w:pPr>
            <w:r>
              <w:rPr>
                <w:sz w:val="18"/>
              </w:rPr>
              <w:t>1000</w:t>
            </w:r>
          </w:p>
        </w:tc>
        <w:tc>
          <w:tcPr>
            <w:tcW w:w="1178" w:type="dxa"/>
          </w:tcPr>
          <w:p>
            <w:pPr>
              <w:pStyle w:val="TableParagraph"/>
              <w:spacing w:line="240" w:lineRule="auto" w:before="52"/>
              <w:rPr>
                <w:sz w:val="18"/>
              </w:rPr>
            </w:pPr>
            <w:r>
              <w:rPr>
                <w:w w:val="99"/>
                <w:sz w:val="18"/>
              </w:rPr>
              <w:t>0</w:t>
            </w:r>
          </w:p>
        </w:tc>
        <w:tc>
          <w:tcPr>
            <w:tcW w:w="1174" w:type="dxa"/>
          </w:tcPr>
          <w:p>
            <w:pPr>
              <w:pStyle w:val="TableParagraph"/>
              <w:spacing w:line="240" w:lineRule="auto" w:before="52"/>
              <w:rPr>
                <w:sz w:val="18"/>
              </w:rPr>
            </w:pPr>
            <w:r>
              <w:rPr>
                <w:sz w:val="18"/>
              </w:rPr>
              <w:t>100</w:t>
            </w:r>
          </w:p>
        </w:tc>
        <w:tc>
          <w:tcPr>
            <w:tcW w:w="1265" w:type="dxa"/>
          </w:tcPr>
          <w:p>
            <w:pPr>
              <w:pStyle w:val="TableParagraph"/>
              <w:spacing w:line="240" w:lineRule="auto" w:before="104"/>
              <w:ind w:left="100"/>
              <w:rPr>
                <w:sz w:val="18"/>
              </w:rPr>
            </w:pPr>
            <w:r>
              <w:rPr>
                <w:sz w:val="18"/>
              </w:rPr>
              <w:t>n\a</w:t>
            </w:r>
          </w:p>
        </w:tc>
        <w:tc>
          <w:tcPr>
            <w:tcW w:w="1284" w:type="dxa"/>
          </w:tcPr>
          <w:p>
            <w:pPr>
              <w:pStyle w:val="TableParagraph"/>
              <w:ind w:left="100"/>
              <w:rPr>
                <w:sz w:val="18"/>
              </w:rPr>
            </w:pPr>
            <w:r>
              <w:rPr>
                <w:sz w:val="18"/>
              </w:rPr>
              <w:t>n\a</w:t>
            </w:r>
          </w:p>
        </w:tc>
      </w:tr>
      <w:tr>
        <w:trPr>
          <w:trHeight w:val="324" w:hRule="exact"/>
        </w:trPr>
        <w:tc>
          <w:tcPr>
            <w:tcW w:w="1349" w:type="dxa"/>
          </w:tcPr>
          <w:p>
            <w:pPr>
              <w:pStyle w:val="TableParagraph"/>
              <w:spacing w:line="240" w:lineRule="auto" w:before="52"/>
              <w:rPr>
                <w:sz w:val="18"/>
              </w:rPr>
            </w:pPr>
            <w:r>
              <w:rPr>
                <w:w w:val="99"/>
                <w:sz w:val="18"/>
              </w:rPr>
              <w:t>5</w:t>
            </w:r>
          </w:p>
        </w:tc>
        <w:tc>
          <w:tcPr>
            <w:tcW w:w="1349" w:type="dxa"/>
          </w:tcPr>
          <w:p>
            <w:pPr>
              <w:pStyle w:val="TableParagraph"/>
              <w:spacing w:line="240" w:lineRule="auto" w:before="52"/>
              <w:rPr>
                <w:sz w:val="18"/>
              </w:rPr>
            </w:pPr>
            <w:r>
              <w:rPr>
                <w:w w:val="99"/>
                <w:sz w:val="18"/>
              </w:rPr>
              <w:t>2</w:t>
            </w:r>
          </w:p>
        </w:tc>
        <w:tc>
          <w:tcPr>
            <w:tcW w:w="1025" w:type="dxa"/>
          </w:tcPr>
          <w:p>
            <w:pPr>
              <w:pStyle w:val="TableParagraph"/>
              <w:spacing w:line="240" w:lineRule="auto" w:before="52"/>
              <w:rPr>
                <w:sz w:val="18"/>
              </w:rPr>
            </w:pPr>
            <w:r>
              <w:rPr>
                <w:sz w:val="18"/>
              </w:rPr>
              <w:t>Mid</w:t>
            </w:r>
          </w:p>
        </w:tc>
        <w:tc>
          <w:tcPr>
            <w:tcW w:w="1332" w:type="dxa"/>
          </w:tcPr>
          <w:p>
            <w:pPr>
              <w:pStyle w:val="TableParagraph"/>
              <w:spacing w:line="240" w:lineRule="auto" w:before="52"/>
              <w:rPr>
                <w:sz w:val="18"/>
              </w:rPr>
            </w:pPr>
            <w:r>
              <w:rPr>
                <w:sz w:val="18"/>
              </w:rPr>
              <w:t>1000</w:t>
            </w:r>
          </w:p>
        </w:tc>
        <w:tc>
          <w:tcPr>
            <w:tcW w:w="1178" w:type="dxa"/>
          </w:tcPr>
          <w:p>
            <w:pPr>
              <w:pStyle w:val="TableParagraph"/>
              <w:spacing w:line="240" w:lineRule="auto" w:before="52"/>
              <w:rPr>
                <w:sz w:val="18"/>
              </w:rPr>
            </w:pPr>
            <w:r>
              <w:rPr>
                <w:w w:val="99"/>
                <w:sz w:val="18"/>
              </w:rPr>
              <w:t>0</w:t>
            </w:r>
          </w:p>
        </w:tc>
        <w:tc>
          <w:tcPr>
            <w:tcW w:w="1174" w:type="dxa"/>
          </w:tcPr>
          <w:p>
            <w:pPr>
              <w:pStyle w:val="TableParagraph"/>
              <w:spacing w:line="240" w:lineRule="auto" w:before="52"/>
              <w:rPr>
                <w:sz w:val="18"/>
              </w:rPr>
            </w:pPr>
            <w:r>
              <w:rPr>
                <w:sz w:val="18"/>
              </w:rPr>
              <w:t>100</w:t>
            </w:r>
          </w:p>
        </w:tc>
        <w:tc>
          <w:tcPr>
            <w:tcW w:w="1265" w:type="dxa"/>
          </w:tcPr>
          <w:p>
            <w:pPr>
              <w:pStyle w:val="TableParagraph"/>
              <w:spacing w:line="240" w:lineRule="auto" w:before="104"/>
              <w:ind w:left="100"/>
              <w:rPr>
                <w:sz w:val="18"/>
              </w:rPr>
            </w:pPr>
            <w:r>
              <w:rPr>
                <w:sz w:val="18"/>
              </w:rPr>
              <w:t>n\a</w:t>
            </w:r>
          </w:p>
        </w:tc>
        <w:tc>
          <w:tcPr>
            <w:tcW w:w="1284" w:type="dxa"/>
          </w:tcPr>
          <w:p>
            <w:pPr>
              <w:pStyle w:val="TableParagraph"/>
              <w:ind w:left="100"/>
              <w:rPr>
                <w:sz w:val="18"/>
              </w:rPr>
            </w:pPr>
            <w:r>
              <w:rPr>
                <w:sz w:val="18"/>
              </w:rPr>
              <w:t>n\a</w:t>
            </w:r>
          </w:p>
        </w:tc>
      </w:tr>
    </w:tbl>
    <w:p>
      <w:pPr>
        <w:pStyle w:val="BodyText"/>
        <w:rPr>
          <w:b/>
          <w:sz w:val="22"/>
        </w:rPr>
      </w:pPr>
    </w:p>
    <w:p>
      <w:pPr>
        <w:pStyle w:val="BodyText"/>
        <w:spacing w:before="155"/>
        <w:ind w:left="1133" w:right="1136"/>
        <w:jc w:val="both"/>
      </w:pPr>
      <w:r>
        <w:rPr/>
        <w:t>The</w:t>
      </w:r>
      <w:r>
        <w:rPr>
          <w:spacing w:val="-11"/>
        </w:rPr>
        <w:t> </w:t>
      </w:r>
      <w:r>
        <w:rPr/>
        <w:t>DSRC</w:t>
      </w:r>
      <w:r>
        <w:rPr>
          <w:spacing w:val="-10"/>
        </w:rPr>
        <w:t> </w:t>
      </w:r>
      <w:r>
        <w:rPr/>
        <w:t>system</w:t>
      </w:r>
      <w:r>
        <w:rPr>
          <w:spacing w:val="-6"/>
        </w:rPr>
        <w:t> </w:t>
      </w:r>
      <w:r>
        <w:rPr/>
        <w:t>did</w:t>
      </w:r>
      <w:r>
        <w:rPr>
          <w:spacing w:val="-10"/>
        </w:rPr>
        <w:t> </w:t>
      </w:r>
      <w:r>
        <w:rPr/>
        <w:t>not</w:t>
      </w:r>
      <w:r>
        <w:rPr>
          <w:spacing w:val="-10"/>
        </w:rPr>
        <w:t> </w:t>
      </w:r>
      <w:r>
        <w:rPr/>
        <w:t>receive</w:t>
      </w:r>
      <w:r>
        <w:rPr>
          <w:spacing w:val="-10"/>
        </w:rPr>
        <w:t> </w:t>
      </w:r>
      <w:r>
        <w:rPr/>
        <w:t>any</w:t>
      </w:r>
      <w:r>
        <w:rPr>
          <w:spacing w:val="-11"/>
        </w:rPr>
        <w:t> </w:t>
      </w:r>
      <w:r>
        <w:rPr/>
        <w:t>data</w:t>
      </w:r>
      <w:r>
        <w:rPr>
          <w:spacing w:val="-8"/>
        </w:rPr>
        <w:t> </w:t>
      </w:r>
      <w:r>
        <w:rPr/>
        <w:t>packages</w:t>
      </w:r>
      <w:r>
        <w:rPr>
          <w:spacing w:val="-9"/>
        </w:rPr>
        <w:t> </w:t>
      </w:r>
      <w:r>
        <w:rPr/>
        <w:t>while</w:t>
      </w:r>
      <w:r>
        <w:rPr>
          <w:spacing w:val="-10"/>
        </w:rPr>
        <w:t> </w:t>
      </w:r>
      <w:r>
        <w:rPr/>
        <w:t>the</w:t>
      </w:r>
      <w:r>
        <w:rPr>
          <w:spacing w:val="-10"/>
        </w:rPr>
        <w:t> </w:t>
      </w:r>
      <w:r>
        <w:rPr/>
        <w:t>interfering</w:t>
      </w:r>
      <w:r>
        <w:rPr>
          <w:spacing w:val="-10"/>
        </w:rPr>
        <w:t> </w:t>
      </w:r>
      <w:r>
        <w:rPr/>
        <w:t>signal</w:t>
      </w:r>
      <w:r>
        <w:rPr>
          <w:spacing w:val="-9"/>
        </w:rPr>
        <w:t> </w:t>
      </w:r>
      <w:r>
        <w:rPr/>
        <w:t>was</w:t>
      </w:r>
      <w:r>
        <w:rPr>
          <w:spacing w:val="-9"/>
        </w:rPr>
        <w:t> </w:t>
      </w:r>
      <w:r>
        <w:rPr/>
        <w:t>present.</w:t>
      </w:r>
      <w:r>
        <w:rPr>
          <w:spacing w:val="-10"/>
        </w:rPr>
        <w:t> </w:t>
      </w:r>
      <w:r>
        <w:rPr/>
        <w:t>For</w:t>
      </w:r>
      <w:r>
        <w:rPr>
          <w:spacing w:val="-9"/>
        </w:rPr>
        <w:t> </w:t>
      </w:r>
      <w:r>
        <w:rPr/>
        <w:t>that</w:t>
      </w:r>
      <w:r>
        <w:rPr>
          <w:spacing w:val="-10"/>
        </w:rPr>
        <w:t> </w:t>
      </w:r>
      <w:r>
        <w:rPr/>
        <w:t>reason, latency and IPG time calculation is not possible at receiving side. This is marked “n\a” in Table</w:t>
      </w:r>
      <w:r>
        <w:rPr>
          <w:spacing w:val="-26"/>
        </w:rPr>
        <w:t> </w:t>
      </w:r>
      <w:r>
        <w:rPr/>
        <w:t>38.</w:t>
      </w:r>
    </w:p>
    <w:p>
      <w:pPr>
        <w:pStyle w:val="BodyText"/>
        <w:spacing w:before="178"/>
        <w:ind w:left="1133" w:right="1132"/>
        <w:jc w:val="both"/>
      </w:pPr>
      <w:r>
        <w:rPr/>
        <w:t>When the disturbing signal is injected closer at the Rx device (case “Rx”), poor SNR ratio is the main root cause for failing. If injected halfway between Tx and Rx and therefore also disturbing Tx is noticeable (case “Mid”), Clear Channel Assessment (CCA) of Wi-fi technology can make the transmitter hold off sending data packages or send them with a delay (after the interferer is gone).</w:t>
      </w:r>
    </w:p>
    <w:p>
      <w:pPr>
        <w:pStyle w:val="BodyText"/>
        <w:spacing w:before="1"/>
        <w:rPr>
          <w:sz w:val="26"/>
        </w:rPr>
      </w:pPr>
    </w:p>
    <w:p>
      <w:pPr>
        <w:pStyle w:val="BodyText"/>
        <w:ind w:left="1133"/>
        <w:jc w:val="both"/>
      </w:pPr>
      <w:r>
        <w:rPr/>
        <w:pict>
          <v:group style="position:absolute;margin-left:107.550003pt;margin-top:7.389874pt;width:362.4pt;height:180.75pt;mso-position-horizontal-relative:page;mso-position-vertical-relative:paragraph;z-index:-499216" coordorigin="2151,148" coordsize="7248,3615">
            <v:shape style="position:absolute;left:3149;top:1573;width:5485;height:1330" coordorigin="3149,1573" coordsize="5485,1330" path="m5613,1573l3149,1573,3149,2902,5613,2902,5613,1573m8634,1573l6067,1573,6067,2902,8634,2902,8634,1573e" filled="true" fillcolor="#d9d9d9" stroked="false">
              <v:path arrowok="t"/>
              <v:fill type="solid"/>
            </v:shape>
            <v:shape style="position:absolute;left:2151;top:2829;width:7248;height:120" coordorigin="2151,2829" coordsize="7248,120" path="m9389,2884l9299,2884,9299,2894,9279,2894,9279,2949,9399,2889,9389,2884xm9279,2884l2151,2897,2151,2907,9279,2894,9279,2884xm9299,2884l9279,2884,9279,2894,9299,2894,9299,2884xm9279,2829l9279,2884,9389,2884,9279,2829xe" filled="true" fillcolor="#000000" stroked="false">
              <v:path arrowok="t"/>
              <v:fill type="solid"/>
            </v:shape>
            <v:shape style="position:absolute;left:2489;top:2908;width:1399;height:475" type="#_x0000_t75" stroked="false">
              <v:imagedata r:id="rId424" o:title=""/>
            </v:shape>
            <v:shape style="position:absolute;left:7954;top:2901;width:1399;height:475" type="#_x0000_t75" stroked="false">
              <v:imagedata r:id="rId424" o:title=""/>
            </v:shape>
            <v:rect style="position:absolute;left:5613;top:642;width:454;height:2247" filled="true" fillcolor="#ffcc99" stroked="false">
              <v:fill type="solid"/>
            </v:rect>
            <v:shape style="position:absolute;left:5074;top:2927;width:1694;height:475" type="#_x0000_t75" stroked="false">
              <v:imagedata r:id="rId425" o:title=""/>
            </v:shape>
            <v:shape style="position:absolute;left:6586;top:2922;width:1692;height:473" type="#_x0000_t75" stroked="false">
              <v:imagedata r:id="rId426" o:title=""/>
            </v:shape>
            <v:shape style="position:absolute;left:3552;top:2934;width:1692;height:475" type="#_x0000_t75" stroked="false">
              <v:imagedata r:id="rId427" o:title=""/>
            </v:shape>
            <v:shape style="position:absolute;left:5330;top:148;width:1548;height:494" type="#_x0000_t75" stroked="false">
              <v:imagedata r:id="rId428" o:title=""/>
            </v:shape>
            <v:shape style="position:absolute;left:3718;top:3289;width:3989;height:473" type="#_x0000_t75" stroked="false">
              <v:imagedata r:id="rId429" o:title=""/>
            </v:shape>
            <v:shape style="position:absolute;left:5548;top:420;width:894;height:221" type="#_x0000_t202" filled="false" stroked="false">
              <v:textbox inset="0,0,0,0">
                <w:txbxContent>
                  <w:p>
                    <w:pPr>
                      <w:spacing w:line="221" w:lineRule="exact" w:before="0"/>
                      <w:ind w:left="0" w:right="0" w:firstLine="0"/>
                      <w:jc w:val="left"/>
                      <w:rPr>
                        <w:rFonts w:ascii="Calibri"/>
                        <w:sz w:val="22"/>
                      </w:rPr>
                    </w:pPr>
                    <w:r>
                      <w:rPr>
                        <w:rFonts w:ascii="Calibri"/>
                        <w:color w:val="C00000"/>
                        <w:sz w:val="22"/>
                      </w:rPr>
                      <w:t>Interferer</w:t>
                    </w:r>
                  </w:p>
                </w:txbxContent>
              </v:textbox>
              <w10:wrap type="none"/>
            </v:shape>
            <v:shape style="position:absolute;left:2986;top:2943;width:5890;height:816" type="#_x0000_t202" filled="false" stroked="false">
              <v:textbox inset="0,0,0,0">
                <w:txbxContent>
                  <w:p>
                    <w:pPr>
                      <w:tabs>
                        <w:tab w:pos="756" w:val="left" w:leader="none"/>
                        <w:tab w:pos="2352" w:val="left" w:leader="none"/>
                        <w:tab w:pos="3790" w:val="left" w:leader="none"/>
                        <w:tab w:pos="5466" w:val="left" w:leader="none"/>
                      </w:tabs>
                      <w:spacing w:line="222" w:lineRule="exact" w:before="0"/>
                      <w:ind w:left="0" w:right="0" w:firstLine="0"/>
                      <w:jc w:val="left"/>
                      <w:rPr>
                        <w:rFonts w:ascii="Calibri"/>
                        <w:sz w:val="20"/>
                      </w:rPr>
                    </w:pPr>
                    <w:r>
                      <w:rPr>
                        <w:rFonts w:ascii="Calibri"/>
                        <w:position w:val="3"/>
                        <w:sz w:val="20"/>
                      </w:rPr>
                      <w:t>5855</w:t>
                      <w:tab/>
                    </w:r>
                    <w:r>
                      <w:rPr>
                        <w:rFonts w:ascii="Calibri"/>
                        <w:sz w:val="20"/>
                      </w:rPr>
                      <w:t>fc =</w:t>
                    </w:r>
                    <w:r>
                      <w:rPr>
                        <w:rFonts w:ascii="Calibri"/>
                        <w:spacing w:val="-4"/>
                        <w:sz w:val="20"/>
                      </w:rPr>
                      <w:t> </w:t>
                    </w:r>
                    <w:r>
                      <w:rPr>
                        <w:rFonts w:ascii="Calibri"/>
                        <w:sz w:val="20"/>
                      </w:rPr>
                      <w:t>5857.5</w:t>
                    </w:r>
                    <w:r>
                      <w:rPr>
                        <w:rFonts w:ascii="Calibri"/>
                        <w:spacing w:val="-2"/>
                        <w:sz w:val="20"/>
                      </w:rPr>
                      <w:t> </w:t>
                    </w:r>
                    <w:r>
                      <w:rPr>
                        <w:rFonts w:ascii="Calibri"/>
                        <w:sz w:val="20"/>
                      </w:rPr>
                      <w:t>MHz</w:t>
                      <w:tab/>
                    </w:r>
                    <w:r>
                      <w:rPr>
                        <w:rFonts w:ascii="Calibri"/>
                        <w:position w:val="1"/>
                        <w:sz w:val="20"/>
                      </w:rPr>
                      <w:t>fc =</w:t>
                    </w:r>
                    <w:r>
                      <w:rPr>
                        <w:rFonts w:ascii="Calibri"/>
                        <w:spacing w:val="-3"/>
                        <w:position w:val="1"/>
                        <w:sz w:val="20"/>
                      </w:rPr>
                      <w:t> </w:t>
                    </w:r>
                    <w:r>
                      <w:rPr>
                        <w:rFonts w:ascii="Calibri"/>
                        <w:position w:val="1"/>
                        <w:sz w:val="20"/>
                      </w:rPr>
                      <w:t>5860</w:t>
                    </w:r>
                    <w:r>
                      <w:rPr>
                        <w:rFonts w:ascii="Calibri"/>
                        <w:spacing w:val="-2"/>
                        <w:position w:val="1"/>
                        <w:sz w:val="20"/>
                      </w:rPr>
                      <w:t> </w:t>
                    </w:r>
                    <w:r>
                      <w:rPr>
                        <w:rFonts w:ascii="Calibri"/>
                        <w:position w:val="1"/>
                        <w:sz w:val="20"/>
                      </w:rPr>
                      <w:t>MHz</w:t>
                      <w:tab/>
                      <w:t>fc =</w:t>
                    </w:r>
                    <w:r>
                      <w:rPr>
                        <w:rFonts w:ascii="Calibri"/>
                        <w:spacing w:val="-4"/>
                        <w:position w:val="1"/>
                        <w:sz w:val="20"/>
                      </w:rPr>
                      <w:t> </w:t>
                    </w:r>
                    <w:r>
                      <w:rPr>
                        <w:rFonts w:ascii="Calibri"/>
                        <w:position w:val="1"/>
                        <w:sz w:val="20"/>
                      </w:rPr>
                      <w:t>5862.5</w:t>
                    </w:r>
                    <w:r>
                      <w:rPr>
                        <w:rFonts w:ascii="Calibri"/>
                        <w:spacing w:val="-2"/>
                        <w:position w:val="1"/>
                        <w:sz w:val="20"/>
                      </w:rPr>
                      <w:t> </w:t>
                    </w:r>
                    <w:r>
                      <w:rPr>
                        <w:rFonts w:ascii="Calibri"/>
                        <w:position w:val="1"/>
                        <w:sz w:val="20"/>
                      </w:rPr>
                      <w:t>MHz</w:t>
                      <w:tab/>
                    </w:r>
                    <w:r>
                      <w:rPr>
                        <w:rFonts w:ascii="Calibri"/>
                        <w:position w:val="3"/>
                        <w:sz w:val="20"/>
                      </w:rPr>
                      <w:t>5865</w:t>
                    </w:r>
                  </w:p>
                  <w:p>
                    <w:pPr>
                      <w:tabs>
                        <w:tab w:pos="1010" w:val="left" w:leader="none"/>
                        <w:tab w:pos="2532" w:val="left" w:leader="none"/>
                        <w:tab w:pos="4016" w:val="left" w:leader="none"/>
                        <w:tab w:pos="5480" w:val="left" w:leader="none"/>
                      </w:tabs>
                      <w:spacing w:line="259" w:lineRule="exact" w:before="0"/>
                      <w:ind w:left="14" w:right="0" w:firstLine="0"/>
                      <w:jc w:val="left"/>
                      <w:rPr>
                        <w:rFonts w:ascii="Calibri"/>
                        <w:sz w:val="20"/>
                      </w:rPr>
                    </w:pPr>
                    <w:r>
                      <w:rPr>
                        <w:rFonts w:ascii="Calibri"/>
                        <w:position w:val="3"/>
                        <w:sz w:val="20"/>
                      </w:rPr>
                      <w:t>MHz</w:t>
                      <w:tab/>
                    </w:r>
                    <w:r>
                      <w:rPr>
                        <w:rFonts w:ascii="Calibri"/>
                        <w:sz w:val="20"/>
                      </w:rPr>
                      <w:t>Position</w:t>
                    </w:r>
                    <w:r>
                      <w:rPr>
                        <w:rFonts w:ascii="Calibri"/>
                        <w:spacing w:val="-1"/>
                        <w:sz w:val="20"/>
                      </w:rPr>
                      <w:t> </w:t>
                    </w:r>
                    <w:r>
                      <w:rPr>
                        <w:rFonts w:ascii="Calibri"/>
                        <w:sz w:val="20"/>
                      </w:rPr>
                      <w:t>2</w:t>
                      <w:tab/>
                    </w:r>
                    <w:r>
                      <w:rPr>
                        <w:rFonts w:ascii="Calibri"/>
                        <w:position w:val="1"/>
                        <w:sz w:val="20"/>
                      </w:rPr>
                      <w:t>Position</w:t>
                    </w:r>
                    <w:r>
                      <w:rPr>
                        <w:rFonts w:ascii="Calibri"/>
                        <w:spacing w:val="-1"/>
                        <w:position w:val="1"/>
                        <w:sz w:val="20"/>
                      </w:rPr>
                      <w:t> </w:t>
                    </w:r>
                    <w:r>
                      <w:rPr>
                        <w:rFonts w:ascii="Calibri"/>
                        <w:position w:val="1"/>
                        <w:sz w:val="20"/>
                      </w:rPr>
                      <w:t>1</w:t>
                      <w:tab/>
                    </w:r>
                    <w:r>
                      <w:rPr>
                        <w:b/>
                        <w:position w:val="3"/>
                        <w:sz w:val="18"/>
                      </w:rPr>
                      <w:t>Position</w:t>
                    </w:r>
                    <w:r>
                      <w:rPr>
                        <w:b/>
                        <w:spacing w:val="-2"/>
                        <w:position w:val="3"/>
                        <w:sz w:val="18"/>
                      </w:rPr>
                      <w:t> </w:t>
                    </w:r>
                    <w:r>
                      <w:rPr>
                        <w:b/>
                        <w:position w:val="3"/>
                        <w:sz w:val="18"/>
                      </w:rPr>
                      <w:t>3</w:t>
                      <w:tab/>
                    </w:r>
                    <w:r>
                      <w:rPr>
                        <w:rFonts w:ascii="Calibri"/>
                        <w:position w:val="3"/>
                        <w:sz w:val="20"/>
                      </w:rPr>
                      <w:t>MHz</w:t>
                    </w:r>
                  </w:p>
                  <w:p>
                    <w:pPr>
                      <w:spacing w:line="240" w:lineRule="exact" w:before="94"/>
                      <w:ind w:left="948" w:right="0" w:firstLine="0"/>
                      <w:jc w:val="left"/>
                      <w:rPr>
                        <w:rFonts w:ascii="Calibri"/>
                        <w:sz w:val="20"/>
                      </w:rPr>
                    </w:pPr>
                    <w:r>
                      <w:rPr>
                        <w:rFonts w:ascii="Calibri"/>
                        <w:color w:val="C00000"/>
                        <w:sz w:val="20"/>
                      </w:rPr>
                      <w:t>C-V2X 10MHz band (PSD not drawn to scale)</w:t>
                    </w:r>
                  </w:p>
                </w:txbxContent>
              </v:textbox>
              <w10:wrap type="none"/>
            </v:shape>
            <w10:wrap type="none"/>
          </v:group>
        </w:pict>
      </w:r>
      <w:r>
        <w:rPr>
          <w:u w:val="single"/>
        </w:rPr>
        <w:t>C-V2X vs DSRC Comparison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1"/>
        </w:rPr>
      </w:pPr>
    </w:p>
    <w:p>
      <w:pPr>
        <w:pStyle w:val="Heading4"/>
      </w:pPr>
      <w:r>
        <w:rPr/>
        <w:t>Figure 79: When Interferer is at Position 1</w:t>
      </w:r>
    </w:p>
    <w:p>
      <w:pPr>
        <w:spacing w:after="0"/>
        <w:sectPr>
          <w:headerReference w:type="default" r:id="rId423"/>
          <w:pgSz w:w="11910" w:h="16850"/>
          <w:pgMar w:header="852" w:footer="876" w:top="1040" w:bottom="1160" w:left="0" w:right="0"/>
        </w:sectPr>
      </w:pPr>
    </w:p>
    <w:p>
      <w:pPr>
        <w:pStyle w:val="BodyText"/>
        <w:rPr>
          <w:b/>
        </w:rPr>
      </w:pPr>
      <w:r>
        <w:rPr/>
        <w:pict>
          <v:shape style="position:absolute;margin-left:72.674004pt;margin-top:249.181763pt;width:12pt;height:33.65pt;mso-position-horizontal-relative:page;mso-position-vertical-relative:page;z-index:9184" type="#_x0000_t202" filled="false" stroked="false">
            <v:textbox inset="0,0,0,0" style="layout-flow:vertical;mso-layout-flow-alt:bottom-to-top">
              <w:txbxContent>
                <w:p>
                  <w:pPr>
                    <w:spacing w:line="223" w:lineRule="exact" w:before="0"/>
                    <w:ind w:left="20" w:right="-113" w:firstLine="0"/>
                    <w:jc w:val="left"/>
                    <w:rPr>
                      <w:rFonts w:ascii="Calibri"/>
                      <w:b/>
                      <w:sz w:val="20"/>
                    </w:rPr>
                  </w:pPr>
                  <w:r>
                    <w:rPr>
                      <w:rFonts w:ascii="Calibri"/>
                      <w:b/>
                      <w:color w:val="585858"/>
                      <w:spacing w:val="-1"/>
                      <w:w w:val="99"/>
                      <w:sz w:val="20"/>
                    </w:rPr>
                    <w:t>P</w:t>
                  </w:r>
                  <w:r>
                    <w:rPr>
                      <w:rFonts w:ascii="Calibri"/>
                      <w:b/>
                      <w:color w:val="585858"/>
                      <w:spacing w:val="-2"/>
                      <w:w w:val="99"/>
                      <w:sz w:val="20"/>
                    </w:rPr>
                    <w:t>E</w:t>
                  </w:r>
                  <w:r>
                    <w:rPr>
                      <w:rFonts w:ascii="Calibri"/>
                      <w:b/>
                      <w:color w:val="585858"/>
                      <w:w w:val="99"/>
                      <w:sz w:val="20"/>
                    </w:rPr>
                    <w:t>R</w:t>
                  </w:r>
                  <w:r>
                    <w:rPr>
                      <w:rFonts w:ascii="Calibri"/>
                      <w:b/>
                      <w:color w:val="585858"/>
                      <w:spacing w:val="3"/>
                      <w:sz w:val="20"/>
                    </w:rPr>
                    <w:t> </w:t>
                  </w:r>
                  <w:r>
                    <w:rPr>
                      <w:rFonts w:ascii="Calibri"/>
                      <w:b/>
                      <w:color w:val="585858"/>
                      <w:w w:val="99"/>
                      <w:sz w:val="20"/>
                    </w:rPr>
                    <w:t>(</w:t>
                  </w:r>
                  <w:r>
                    <w:rPr>
                      <w:rFonts w:ascii="Calibri"/>
                      <w:b/>
                      <w:color w:val="585858"/>
                      <w:spacing w:val="1"/>
                      <w:w w:val="99"/>
                      <w:sz w:val="20"/>
                    </w:rPr>
                    <w:t>%</w:t>
                  </w:r>
                  <w:r>
                    <w:rPr>
                      <w:rFonts w:ascii="Calibri"/>
                      <w:b/>
                      <w:color w:val="585858"/>
                      <w:w w:val="99"/>
                      <w:sz w:val="20"/>
                    </w:rPr>
                    <w:t>)</w:t>
                  </w:r>
                </w:p>
              </w:txbxContent>
            </v:textbox>
            <w10:wrap type="none"/>
          </v:shape>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
        <w:rPr>
          <w:b/>
          <w:sz w:val="26"/>
        </w:rPr>
      </w:pPr>
    </w:p>
    <w:p>
      <w:pPr>
        <w:spacing w:before="92"/>
        <w:ind w:left="1133" w:right="0" w:firstLine="0"/>
        <w:jc w:val="left"/>
        <w:rPr>
          <w:b/>
          <w:sz w:val="24"/>
        </w:rPr>
      </w:pPr>
      <w:r>
        <w:rPr/>
        <w:pict>
          <v:group style="position:absolute;margin-left:58.775002pt;margin-top:-310.62915pt;width:468.75pt;height:309.4pt;mso-position-horizontal-relative:page;mso-position-vertical-relative:paragraph;z-index:9160" coordorigin="1176,-6213" coordsize="9375,6188">
            <v:shape style="position:absolute;left:2178;top:-4504;width:8145;height:3584" type="#_x0000_t75" stroked="false">
              <v:imagedata r:id="rId431" o:title=""/>
            </v:shape>
            <v:shape style="position:absolute;left:0;top:5583;width:8146;height:3227" coordorigin="0,5583" coordsize="8146,3227" path="m2178,-1277l10323,-1277m7977,-1637l10323,-1637m2178,-1637l7778,-1637m2178,-1995l10323,-1995m2178,-2353l10323,-2353m2178,-2713l10323,-2713m2178,-3070l10323,-3070m2178,-3430l10323,-3430m2178,-3788l10323,-3788m2178,-4145l10323,-4145m9607,-4504l10323,-4504m7977,-4504l9408,-4504m6348,-4504l7781,-4504m4721,-4504l6151,-4504m3091,-4504l4524,-4504m2178,-4504l2894,-4504e" filled="false" stroked="true" strokeweight=".75pt" strokecolor="#d9d9d9">
              <v:path arrowok="t"/>
              <v:stroke dashstyle="solid"/>
            </v:shape>
            <v:shape style="position:absolute;left:0;top:8907;width:6516;height:3488" coordorigin="0,8907" coordsize="6516,3488" path="m2993,-4407l2993,-1026m4622,-4407l4622,-1021m6250,-4407l6250,-1026m7879,-4407l7879,-1667m7879,-1467l7879,-920m9509,-4407l9509,-920e" filled="false" stroked="true" strokeweight=".75pt" strokecolor="#d9d9d9">
              <v:path arrowok="t"/>
              <v:stroke dashstyle="solid"/>
            </v:shape>
            <v:shape style="position:absolute;left:0;top:8810;width:8146;height:3585" coordorigin="0,8810" coordsize="8146,3585" path="m2178,-4504l2178,-920m3806,-4504l3806,-920m5436,-4504l5436,-920m7066,-4504l7066,-920m8693,-4504l8693,-920m10323,-4504l10323,-920e" filled="false" stroked="true" strokeweight=".75pt" strokecolor="#d9d9d9">
              <v:path arrowok="t"/>
              <v:stroke dashstyle="solid"/>
            </v:shape>
            <v:shape style="position:absolute;left:0;top:8810;width:8146;height:2" coordorigin="0,8810" coordsize="8146,0" path="m6348,-920l10323,-920m4721,-920l6149,-920m3091,-920l4521,-920m2178,-920l2892,-920e" filled="false" stroked="true" strokeweight=".75pt" strokecolor="#d9d9d9">
              <v:path arrowok="t"/>
              <v:stroke dashstyle="solid"/>
            </v:shape>
            <v:shape style="position:absolute;left:2992;top:-4504;width:6517;height:3585" coordorigin="2992,-4504" coordsize="6517,3585" path="m2992,-925l4622,-920,6250,-925,7879,-1565,9508,-4504e" filled="false" stroked="true" strokeweight="1.75pt" strokecolor="#006fc0">
              <v:path arrowok="t"/>
              <v:stroke dashstyle="solid"/>
            </v:shape>
            <v:rect style="position:absolute;left:2892;top:-1026;width:199;height:199" filled="true" fillcolor="#006fc0" stroked="false">
              <v:fill type="solid"/>
            </v:rect>
            <v:rect style="position:absolute;left:2892;top:-1026;width:199;height:199" filled="false" stroked="true" strokeweight="1.2pt" strokecolor="#006fc0">
              <v:stroke dashstyle="solid"/>
            </v:rect>
            <v:rect style="position:absolute;left:4521;top:-1021;width:199;height:199" filled="true" fillcolor="#006fc0" stroked="false">
              <v:fill type="solid"/>
            </v:rect>
            <v:rect style="position:absolute;left:4521;top:-1021;width:199;height:199" filled="false" stroked="true" strokeweight="1.2pt" strokecolor="#006fc0">
              <v:stroke dashstyle="solid"/>
            </v:rect>
            <v:rect style="position:absolute;left:6149;top:-1026;width:199;height:199" filled="true" fillcolor="#006fc0" stroked="false">
              <v:fill type="solid"/>
            </v:rect>
            <v:rect style="position:absolute;left:6149;top:-1026;width:199;height:199" filled="false" stroked="true" strokeweight="1.2pt" strokecolor="#006fc0">
              <v:stroke dashstyle="solid"/>
            </v:rect>
            <v:rect style="position:absolute;left:7778;top:-1667;width:199;height:199" filled="true" fillcolor="#006fc0" stroked="false">
              <v:fill type="solid"/>
            </v:rect>
            <v:rect style="position:absolute;left:7778;top:-1667;width:199;height:199" filled="false" stroked="true" strokeweight="1.2pt" strokecolor="#006fc0">
              <v:stroke dashstyle="solid"/>
            </v:rect>
            <v:rect style="position:absolute;left:9408;top:-4607;width:199;height:199" filled="true" fillcolor="#006fc0" stroked="false">
              <v:fill type="solid"/>
            </v:rect>
            <v:rect style="position:absolute;left:9408;top:-4607;width:199;height:199" filled="false" stroked="true" strokeweight="1.2pt" strokecolor="#006fc0">
              <v:stroke dashstyle="solid"/>
            </v:rect>
            <v:shape style="position:absolute;left:2992;top:-4504;width:6517;height:3585" coordorigin="2992,-4504" coordsize="6517,3585" path="m2992,-939l4622,-920,6250,-920,7879,-1837,9508,-4504e" filled="false" stroked="true" strokeweight="1.75pt" strokecolor="#00af50">
              <v:path arrowok="t"/>
              <v:stroke dashstyle="solid"/>
            </v:shape>
            <v:shape style="position:absolute;left:2911;top:-1021;width:163;height:163" type="#_x0000_t75" stroked="false">
              <v:imagedata r:id="rId432" o:title=""/>
            </v:shape>
            <v:shape style="position:absolute;left:4541;top:-1002;width:163;height:163" type="#_x0000_t75" stroked="false">
              <v:imagedata r:id="rId432" o:title=""/>
            </v:shape>
            <v:shape style="position:absolute;left:6168;top:-1002;width:163;height:163" type="#_x0000_t75" stroked="false">
              <v:imagedata r:id="rId432" o:title=""/>
            </v:shape>
            <v:shape style="position:absolute;left:7797;top:-1919;width:163;height:163" type="#_x0000_t75" stroked="false">
              <v:imagedata r:id="rId433" o:title=""/>
            </v:shape>
            <v:shape style="position:absolute;left:9427;top:-4587;width:163;height:163" type="#_x0000_t75" stroked="false">
              <v:imagedata r:id="rId434" o:title=""/>
            </v:shape>
            <v:shape style="position:absolute;left:99;top:8810;width:6320;height:2" coordorigin="99,8810" coordsize="6320,0" path="m7977,-4504l9410,-4504m6348,-4504l7781,-4504m4721,-4504l6151,-4504m3091,-4504l4524,-4504e" filled="false" stroked="true" strokeweight="1.75pt" strokecolor="#ffc000">
              <v:path arrowok="t"/>
              <v:stroke dashstyle="solid"/>
            </v:shape>
            <v:rect style="position:absolute;left:2894;top:-4604;width:197;height:197" filled="true" fillcolor="#ffc000" stroked="false">
              <v:fill type="solid"/>
            </v:rect>
            <v:rect style="position:absolute;left:2894;top:-4604;width:197;height:197" filled="false" stroked="true" strokeweight=".96pt" strokecolor="#ffc000">
              <v:stroke dashstyle="solid"/>
            </v:rect>
            <v:rect style="position:absolute;left:4524;top:-4604;width:197;height:197" filled="true" fillcolor="#ffc000" stroked="false">
              <v:fill type="solid"/>
            </v:rect>
            <v:rect style="position:absolute;left:4524;top:-4604;width:197;height:197" filled="false" stroked="true" strokeweight=".96pt" strokecolor="#ffc000">
              <v:stroke dashstyle="solid"/>
            </v:rect>
            <v:rect style="position:absolute;left:6151;top:-4604;width:197;height:197" filled="true" fillcolor="#ffc000" stroked="false">
              <v:fill type="solid"/>
            </v:rect>
            <v:rect style="position:absolute;left:6151;top:-4604;width:197;height:197" filled="false" stroked="true" strokeweight=".96pt" strokecolor="#ffc000">
              <v:stroke dashstyle="solid"/>
            </v:rect>
            <v:rect style="position:absolute;left:7781;top:-4604;width:197;height:197" filled="true" fillcolor="#ffc000" stroked="false">
              <v:fill type="solid"/>
            </v:rect>
            <v:rect style="position:absolute;left:7781;top:-4604;width:197;height:197" filled="false" stroked="true" strokeweight=".96pt" strokecolor="#ffc000">
              <v:stroke dashstyle="solid"/>
            </v:rect>
            <v:rect style="position:absolute;left:9410;top:-4604;width:197;height:197" filled="true" fillcolor="#ffc000" stroked="false">
              <v:fill type="solid"/>
            </v:rect>
            <v:rect style="position:absolute;left:9410;top:-4604;width:197;height:197" filled="false" stroked="true" strokeweight=".96pt" strokecolor="#ffc000">
              <v:stroke dashstyle="solid"/>
            </v:rect>
            <v:shape style="position:absolute;left:2894;top:-4604;width:197;height:197" coordorigin="2894,-4604" coordsize="197,197" path="m2993,-4506l2894,-4407,3091,-4407,2993,-4506xm3091,-4604l2894,-4604,2993,-4506,3091,-4604xe" filled="true" fillcolor="#ffc000" stroked="false">
              <v:path arrowok="t"/>
              <v:fill type="solid"/>
            </v:shape>
            <v:shape style="position:absolute;left:-197;top:8613;width:197;height:197" coordorigin="-197,8613" coordsize="197,197" path="m3091,-4407l2894,-4604m2894,-4407l3091,-4604e" filled="false" stroked="true" strokeweight="1.2pt" strokecolor="#ffc000">
              <v:path arrowok="t"/>
              <v:stroke dashstyle="solid"/>
            </v:shape>
            <v:shape style="position:absolute;left:4524;top:-4604;width:197;height:197" coordorigin="4524,-4604" coordsize="197,197" path="m4622,-4506l4524,-4407,4721,-4407,4622,-4506xm4721,-4604l4524,-4604,4622,-4506,4721,-4604xe" filled="true" fillcolor="#ffc000" stroked="false">
              <v:path arrowok="t"/>
              <v:fill type="solid"/>
            </v:shape>
            <v:shape style="position:absolute;left:-197;top:8613;width:197;height:197" coordorigin="-197,8613" coordsize="197,197" path="m4721,-4407l4524,-4604m4524,-4407l4721,-4604e" filled="false" stroked="true" strokeweight="1.2pt" strokecolor="#ffc000">
              <v:path arrowok="t"/>
              <v:stroke dashstyle="solid"/>
            </v:shape>
            <v:shape style="position:absolute;left:6151;top:-4604;width:197;height:197" coordorigin="6151,-4604" coordsize="197,197" path="m6249,-4506l6151,-4407,6348,-4407,6249,-4506xm6348,-4604l6151,-4604,6249,-4506,6348,-4604xe" filled="true" fillcolor="#ffc000" stroked="false">
              <v:path arrowok="t"/>
              <v:fill type="solid"/>
            </v:shape>
            <v:shape style="position:absolute;left:-197;top:8613;width:197;height:197" coordorigin="-197,8613" coordsize="197,197" path="m6348,-4407l6151,-4604m6151,-4407l6348,-4604e" filled="false" stroked="true" strokeweight="1.2pt" strokecolor="#ffc000">
              <v:path arrowok="t"/>
              <v:stroke dashstyle="solid"/>
            </v:shape>
            <v:shape style="position:absolute;left:7781;top:-4604;width:197;height:197" coordorigin="7781,-4604" coordsize="197,197" path="m7879,-4506l7781,-4407,7977,-4407,7879,-4506xm7977,-4604l7781,-4604,7879,-4506,7977,-4604xe" filled="true" fillcolor="#ffc000" stroked="false">
              <v:path arrowok="t"/>
              <v:fill type="solid"/>
            </v:shape>
            <v:shape style="position:absolute;left:-197;top:8613;width:197;height:197" coordorigin="-197,8613" coordsize="197,197" path="m7977,-4407l7781,-4604m7781,-4407l7977,-4604e" filled="false" stroked="true" strokeweight="1.2pt" strokecolor="#ffc000">
              <v:path arrowok="t"/>
              <v:stroke dashstyle="solid"/>
            </v:shape>
            <v:shape style="position:absolute;left:9410;top:-4604;width:197;height:197" coordorigin="9410,-4604" coordsize="197,197" path="m9509,-4506l9410,-4407,9607,-4407,9509,-4506xm9607,-4604l9410,-4604,9509,-4506,9607,-4604xe" filled="true" fillcolor="#ffc000" stroked="false">
              <v:path arrowok="t"/>
              <v:fill type="solid"/>
            </v:shape>
            <v:shape style="position:absolute;left:-197;top:8613;width:197;height:197" coordorigin="-197,8613" coordsize="197,197" path="m9607,-4407l9410,-4604m9410,-4407l9607,-4604e" filled="false" stroked="true" strokeweight="1.2pt" strokecolor="#ffc000">
              <v:path arrowok="t"/>
              <v:stroke dashstyle="solid"/>
            </v:shape>
            <v:shape style="position:absolute;left:2992;top:-4504;width:6517;height:2" coordorigin="2992,-4504" coordsize="6517,0" path="m2992,-4504l4622,-4504,6250,-4504,7879,-4504,9508,-4504e" filled="false" stroked="true" strokeweight="1.75pt" strokecolor="#c00000">
              <v:path arrowok="t"/>
              <v:stroke dashstyle="solid"/>
            </v:shape>
            <v:shape style="position:absolute;left:2901;top:-4597;width:182;height:182" type="#_x0000_t75" stroked="false">
              <v:imagedata r:id="rId435" o:title=""/>
            </v:shape>
            <v:shape style="position:absolute;left:4531;top:-4597;width:182;height:182" type="#_x0000_t75" stroked="false">
              <v:imagedata r:id="rId435" o:title=""/>
            </v:shape>
            <v:shape style="position:absolute;left:6158;top:-4597;width:182;height:182" type="#_x0000_t75" stroked="false">
              <v:imagedata r:id="rId435" o:title=""/>
            </v:shape>
            <v:shape style="position:absolute;left:7788;top:-4597;width:182;height:182" type="#_x0000_t75" stroked="false">
              <v:imagedata r:id="rId436" o:title=""/>
            </v:shape>
            <v:shape style="position:absolute;left:9417;top:-4597;width:182;height:182" type="#_x0000_t75" stroked="false">
              <v:imagedata r:id="rId435" o:title=""/>
            </v:shape>
            <v:shape style="position:absolute;left:0;top:8810;width:384;height:2" coordorigin="0,8810" coordsize="384,0" path="m2141,-5309l2264,-5309m1880,-5309l2002,-5309e" filled="false" stroked="true" strokeweight="1.75pt" strokecolor="#006fc0">
              <v:path arrowok="t"/>
              <v:stroke dashstyle="solid"/>
            </v:shape>
            <v:rect style="position:absolute;left:2002;top:-5379;width:139;height:139" filled="true" fillcolor="#006fc0" stroked="false">
              <v:fill type="solid"/>
            </v:rect>
            <v:rect style="position:absolute;left:2002;top:-5379;width:139;height:139" filled="false" stroked="true" strokeweight="1.25pt" strokecolor="#006fc0">
              <v:stroke dashstyle="solid"/>
            </v:rect>
            <v:shape style="position:absolute;left:5908;top:-5391;width:419;height:163" type="#_x0000_t75" stroked="false">
              <v:imagedata r:id="rId437" o:title=""/>
            </v:shape>
            <v:shape style="position:absolute;left:1863;top:-4984;width:419;height:164" type="#_x0000_t75" stroked="false">
              <v:imagedata r:id="rId438" o:title=""/>
            </v:shape>
            <v:line style="position:absolute" from="1880,-4899" to="2002,-4899" stroked="true" strokeweight="1.75pt" strokecolor="#ffc000">
              <v:stroke dashstyle="solid"/>
            </v:line>
            <v:shape style="position:absolute;left:5908;top:-4983;width:419;height:163" type="#_x0000_t75" stroked="false">
              <v:imagedata r:id="rId439" o:title=""/>
            </v:shape>
            <v:rect style="position:absolute;left:1183;top:-6205;width:9360;height:6173" filled="false" stroked="true" strokeweight=".75pt" strokecolor="#d9d9d9">
              <v:stroke dashstyle="solid"/>
            </v:rect>
            <v:shape style="position:absolute;left:4446;top:-5989;width:2857;height:320" type="#_x0000_t202" filled="false" stroked="false">
              <v:textbox inset="0,0,0,0">
                <w:txbxContent>
                  <w:p>
                    <w:pPr>
                      <w:spacing w:line="319" w:lineRule="exact" w:before="0"/>
                      <w:ind w:left="0" w:right="0" w:firstLine="0"/>
                      <w:jc w:val="left"/>
                      <w:rPr>
                        <w:rFonts w:ascii="Calibri Light"/>
                        <w:b w:val="0"/>
                        <w:sz w:val="32"/>
                      </w:rPr>
                    </w:pPr>
                    <w:r>
                      <w:rPr>
                        <w:rFonts w:ascii="Calibri Light"/>
                        <w:b w:val="0"/>
                        <w:color w:val="7E7E7E"/>
                        <w:spacing w:val="-4"/>
                        <w:sz w:val="32"/>
                      </w:rPr>
                      <w:t>Interferer </w:t>
                    </w:r>
                    <w:r>
                      <w:rPr>
                        <w:rFonts w:ascii="Calibri Light"/>
                        <w:b w:val="0"/>
                        <w:color w:val="7E7E7E"/>
                        <w:sz w:val="32"/>
                      </w:rPr>
                      <w:t>at </w:t>
                    </w:r>
                    <w:r>
                      <w:rPr>
                        <w:rFonts w:ascii="Calibri Light"/>
                        <w:b w:val="0"/>
                        <w:color w:val="7E7E7E"/>
                        <w:spacing w:val="-3"/>
                        <w:sz w:val="32"/>
                      </w:rPr>
                      <w:t>Position </w:t>
                    </w:r>
                    <w:r>
                      <w:rPr>
                        <w:rFonts w:ascii="Calibri Light"/>
                        <w:b w:val="0"/>
                        <w:color w:val="7E7E7E"/>
                        <w:sz w:val="32"/>
                      </w:rPr>
                      <w:t>1</w:t>
                    </w:r>
                  </w:p>
                </w:txbxContent>
              </v:textbox>
              <w10:wrap type="none"/>
            </v:shape>
            <v:shape style="position:absolute;left:2305;top:-5421;width:2887;height:651" type="#_x0000_t202" filled="false" stroked="false">
              <v:textbox inset="0,0,0,0">
                <w:txbxContent>
                  <w:p>
                    <w:pPr>
                      <w:spacing w:line="244" w:lineRule="exact" w:before="0"/>
                      <w:ind w:left="0" w:right="0" w:firstLine="0"/>
                      <w:jc w:val="left"/>
                      <w:rPr>
                        <w:rFonts w:ascii="Calibri"/>
                        <w:sz w:val="24"/>
                      </w:rPr>
                    </w:pPr>
                    <w:r>
                      <w:rPr>
                        <w:rFonts w:ascii="Calibri"/>
                        <w:color w:val="585858"/>
                        <w:sz w:val="24"/>
                      </w:rPr>
                      <w:t>C-V2X PER %(Interferer at Rx)</w:t>
                    </w:r>
                  </w:p>
                  <w:p>
                    <w:pPr>
                      <w:spacing w:line="289" w:lineRule="exact" w:before="117"/>
                      <w:ind w:left="0" w:right="0" w:firstLine="0"/>
                      <w:jc w:val="left"/>
                      <w:rPr>
                        <w:rFonts w:ascii="Calibri"/>
                        <w:sz w:val="24"/>
                      </w:rPr>
                    </w:pPr>
                    <w:r>
                      <w:rPr>
                        <w:rFonts w:ascii="Calibri"/>
                        <w:color w:val="585858"/>
                        <w:sz w:val="24"/>
                      </w:rPr>
                      <w:t>DSRC PER %(Interferer at Rx)</w:t>
                    </w:r>
                  </w:p>
                </w:txbxContent>
              </v:textbox>
              <w10:wrap type="none"/>
            </v:shape>
            <v:shape style="position:absolute;left:6352;top:-5421;width:3582;height:651" type="#_x0000_t202" filled="false" stroked="false">
              <v:textbox inset="0,0,0,0">
                <w:txbxContent>
                  <w:p>
                    <w:pPr>
                      <w:spacing w:line="244" w:lineRule="exact" w:before="0"/>
                      <w:ind w:left="0" w:right="0" w:firstLine="0"/>
                      <w:jc w:val="left"/>
                      <w:rPr>
                        <w:rFonts w:ascii="Calibri"/>
                        <w:sz w:val="24"/>
                      </w:rPr>
                    </w:pPr>
                    <w:r>
                      <w:rPr>
                        <w:rFonts w:ascii="Calibri"/>
                        <w:color w:val="585858"/>
                        <w:sz w:val="24"/>
                      </w:rPr>
                      <w:t>C-V2X PER %(Interferer at Tx and Rx)</w:t>
                    </w:r>
                  </w:p>
                  <w:p>
                    <w:pPr>
                      <w:spacing w:line="289" w:lineRule="exact" w:before="117"/>
                      <w:ind w:left="0" w:right="0" w:firstLine="0"/>
                      <w:jc w:val="left"/>
                      <w:rPr>
                        <w:rFonts w:ascii="Calibri"/>
                        <w:sz w:val="24"/>
                      </w:rPr>
                    </w:pPr>
                    <w:r>
                      <w:rPr>
                        <w:rFonts w:ascii="Calibri"/>
                        <w:color w:val="585858"/>
                        <w:sz w:val="24"/>
                      </w:rPr>
                      <w:t>DSRC PER %(Interferer at Tx and Rx)</w:t>
                    </w:r>
                  </w:p>
                </w:txbxContent>
              </v:textbox>
              <w10:wrap type="none"/>
            </v:shape>
            <v:shape style="position:absolute;left:1738;top:-4588;width:294;height:3765" type="#_x0000_t202" filled="false" stroked="false">
              <v:textbox inset="0,0,0,0">
                <w:txbxContent>
                  <w:p>
                    <w:pPr>
                      <w:spacing w:line="183" w:lineRule="exact" w:before="0"/>
                      <w:ind w:left="-1" w:right="18" w:firstLine="0"/>
                      <w:jc w:val="center"/>
                      <w:rPr>
                        <w:rFonts w:ascii="Calibri"/>
                        <w:sz w:val="18"/>
                      </w:rPr>
                    </w:pPr>
                    <w:r>
                      <w:rPr>
                        <w:rFonts w:ascii="Calibri"/>
                        <w:color w:val="585858"/>
                        <w:spacing w:val="-1"/>
                        <w:sz w:val="18"/>
                      </w:rPr>
                      <w:t>100</w:t>
                    </w:r>
                  </w:p>
                  <w:p>
                    <w:pPr>
                      <w:spacing w:before="138"/>
                      <w:ind w:left="91" w:right="0" w:firstLine="0"/>
                      <w:jc w:val="left"/>
                      <w:rPr>
                        <w:rFonts w:ascii="Calibri"/>
                        <w:sz w:val="18"/>
                      </w:rPr>
                    </w:pPr>
                    <w:r>
                      <w:rPr>
                        <w:rFonts w:ascii="Calibri"/>
                        <w:color w:val="585858"/>
                        <w:sz w:val="18"/>
                      </w:rPr>
                      <w:t>90</w:t>
                    </w:r>
                  </w:p>
                  <w:p>
                    <w:pPr>
                      <w:spacing w:before="138"/>
                      <w:ind w:left="91" w:right="0" w:firstLine="0"/>
                      <w:jc w:val="left"/>
                      <w:rPr>
                        <w:rFonts w:ascii="Calibri"/>
                        <w:sz w:val="18"/>
                      </w:rPr>
                    </w:pPr>
                    <w:r>
                      <w:rPr>
                        <w:rFonts w:ascii="Calibri"/>
                        <w:color w:val="585858"/>
                        <w:sz w:val="18"/>
                      </w:rPr>
                      <w:t>80</w:t>
                    </w:r>
                  </w:p>
                  <w:p>
                    <w:pPr>
                      <w:spacing w:before="138"/>
                      <w:ind w:left="91" w:right="0" w:firstLine="0"/>
                      <w:jc w:val="left"/>
                      <w:rPr>
                        <w:rFonts w:ascii="Calibri"/>
                        <w:sz w:val="18"/>
                      </w:rPr>
                    </w:pPr>
                    <w:r>
                      <w:rPr>
                        <w:rFonts w:ascii="Calibri"/>
                        <w:color w:val="585858"/>
                        <w:sz w:val="18"/>
                      </w:rPr>
                      <w:t>70</w:t>
                    </w:r>
                  </w:p>
                  <w:p>
                    <w:pPr>
                      <w:spacing w:before="138"/>
                      <w:ind w:left="91" w:right="0" w:firstLine="0"/>
                      <w:jc w:val="left"/>
                      <w:rPr>
                        <w:rFonts w:ascii="Calibri"/>
                        <w:sz w:val="18"/>
                      </w:rPr>
                    </w:pPr>
                    <w:r>
                      <w:rPr>
                        <w:rFonts w:ascii="Calibri"/>
                        <w:color w:val="585858"/>
                        <w:sz w:val="18"/>
                      </w:rPr>
                      <w:t>60</w:t>
                    </w:r>
                  </w:p>
                  <w:p>
                    <w:pPr>
                      <w:spacing w:before="138"/>
                      <w:ind w:left="91" w:right="0" w:firstLine="0"/>
                      <w:jc w:val="left"/>
                      <w:rPr>
                        <w:rFonts w:ascii="Calibri"/>
                        <w:sz w:val="18"/>
                      </w:rPr>
                    </w:pPr>
                    <w:r>
                      <w:rPr>
                        <w:rFonts w:ascii="Calibri"/>
                        <w:color w:val="585858"/>
                        <w:sz w:val="18"/>
                      </w:rPr>
                      <w:t>50</w:t>
                    </w:r>
                  </w:p>
                  <w:p>
                    <w:pPr>
                      <w:spacing w:before="138"/>
                      <w:ind w:left="91" w:right="0" w:firstLine="0"/>
                      <w:jc w:val="left"/>
                      <w:rPr>
                        <w:rFonts w:ascii="Calibri"/>
                        <w:sz w:val="18"/>
                      </w:rPr>
                    </w:pPr>
                    <w:r>
                      <w:rPr>
                        <w:rFonts w:ascii="Calibri"/>
                        <w:color w:val="585858"/>
                        <w:sz w:val="18"/>
                      </w:rPr>
                      <w:t>40</w:t>
                    </w:r>
                  </w:p>
                  <w:p>
                    <w:pPr>
                      <w:spacing w:before="138"/>
                      <w:ind w:left="91" w:right="0" w:firstLine="0"/>
                      <w:jc w:val="left"/>
                      <w:rPr>
                        <w:rFonts w:ascii="Calibri"/>
                        <w:sz w:val="18"/>
                      </w:rPr>
                    </w:pPr>
                    <w:r>
                      <w:rPr>
                        <w:rFonts w:ascii="Calibri"/>
                        <w:color w:val="585858"/>
                        <w:sz w:val="18"/>
                      </w:rPr>
                      <w:t>30</w:t>
                    </w:r>
                  </w:p>
                  <w:p>
                    <w:pPr>
                      <w:spacing w:before="137"/>
                      <w:ind w:left="91" w:right="0" w:firstLine="0"/>
                      <w:jc w:val="left"/>
                      <w:rPr>
                        <w:rFonts w:ascii="Calibri"/>
                        <w:sz w:val="18"/>
                      </w:rPr>
                    </w:pPr>
                    <w:r>
                      <w:rPr>
                        <w:rFonts w:ascii="Calibri"/>
                        <w:color w:val="585858"/>
                        <w:sz w:val="18"/>
                      </w:rPr>
                      <w:t>20</w:t>
                    </w:r>
                  </w:p>
                  <w:p>
                    <w:pPr>
                      <w:spacing w:before="138"/>
                      <w:ind w:left="91" w:right="0" w:firstLine="0"/>
                      <w:jc w:val="left"/>
                      <w:rPr>
                        <w:rFonts w:ascii="Calibri"/>
                        <w:sz w:val="18"/>
                      </w:rPr>
                    </w:pPr>
                    <w:r>
                      <w:rPr>
                        <w:rFonts w:ascii="Calibri"/>
                        <w:color w:val="585858"/>
                        <w:sz w:val="18"/>
                      </w:rPr>
                      <w:t>10</w:t>
                    </w:r>
                  </w:p>
                  <w:p>
                    <w:pPr>
                      <w:spacing w:line="216" w:lineRule="exact" w:before="138"/>
                      <w:ind w:left="162" w:right="0" w:firstLine="0"/>
                      <w:jc w:val="center"/>
                      <w:rPr>
                        <w:rFonts w:ascii="Calibri"/>
                        <w:sz w:val="18"/>
                      </w:rPr>
                    </w:pPr>
                    <w:r>
                      <w:rPr>
                        <w:rFonts w:ascii="Calibri"/>
                        <w:color w:val="585858"/>
                        <w:sz w:val="18"/>
                      </w:rPr>
                      <w:t>0</w:t>
                    </w:r>
                  </w:p>
                </w:txbxContent>
              </v:textbox>
              <w10:wrap type="none"/>
            </v:shape>
            <v:shape style="position:absolute;left:2690;top:-769;width:627;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0.2 MHz</w:t>
                    </w:r>
                  </w:p>
                </w:txbxContent>
              </v:textbox>
              <w10:wrap type="none"/>
            </v:shape>
            <v:shape style="position:absolute;left:4320;top:-769;width:627;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0.5 MHz</w:t>
                    </w:r>
                  </w:p>
                </w:txbxContent>
              </v:textbox>
              <w10:wrap type="none"/>
            </v:shape>
            <v:shape style="position:absolute;left:5368;top:-769;width:1781;height:484" type="#_x0000_t202" filled="false" stroked="false">
              <v:textbox inset="0,0,0,0">
                <w:txbxContent>
                  <w:p>
                    <w:pPr>
                      <w:spacing w:line="183" w:lineRule="exact" w:before="0"/>
                      <w:ind w:left="0" w:right="11" w:firstLine="0"/>
                      <w:jc w:val="center"/>
                      <w:rPr>
                        <w:rFonts w:ascii="Calibri"/>
                        <w:sz w:val="18"/>
                      </w:rPr>
                    </w:pPr>
                    <w:r>
                      <w:rPr>
                        <w:rFonts w:ascii="Calibri"/>
                        <w:color w:val="585858"/>
                        <w:sz w:val="18"/>
                      </w:rPr>
                      <w:t>1 MHz</w:t>
                    </w:r>
                  </w:p>
                  <w:p>
                    <w:pPr>
                      <w:spacing w:line="240" w:lineRule="exact" w:before="60"/>
                      <w:ind w:left="0" w:right="18" w:firstLine="0"/>
                      <w:jc w:val="center"/>
                      <w:rPr>
                        <w:rFonts w:ascii="Calibri"/>
                        <w:b/>
                        <w:sz w:val="20"/>
                      </w:rPr>
                    </w:pPr>
                    <w:r>
                      <w:rPr>
                        <w:rFonts w:ascii="Calibri"/>
                        <w:b/>
                        <w:color w:val="585858"/>
                        <w:sz w:val="20"/>
                      </w:rPr>
                      <w:t>Interferer Bandwidth</w:t>
                    </w:r>
                  </w:p>
                </w:txbxContent>
              </v:textbox>
              <w10:wrap type="none"/>
            </v:shape>
            <v:shape style="position:absolute;left:7647;top:-769;width:490;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2 MHz</w:t>
                    </w:r>
                  </w:p>
                </w:txbxContent>
              </v:textbox>
              <w10:wrap type="none"/>
            </v:shape>
            <v:shape style="position:absolute;left:9276;top:-769;width:490;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5 MHz</w:t>
                    </w:r>
                  </w:p>
                </w:txbxContent>
              </v:textbox>
              <w10:wrap type="none"/>
            </v:shape>
            <w10:wrap type="none"/>
          </v:group>
        </w:pict>
      </w:r>
      <w:r>
        <w:rPr>
          <w:b/>
          <w:sz w:val="24"/>
        </w:rPr>
        <w:t>Figure 80: C-V2X vs DSRC Comparison plot when Interferer is at Position 1</w:t>
      </w:r>
    </w:p>
    <w:p>
      <w:pPr>
        <w:pStyle w:val="BodyText"/>
        <w:rPr>
          <w:b/>
        </w:rPr>
      </w:pPr>
    </w:p>
    <w:p>
      <w:pPr>
        <w:pStyle w:val="BodyText"/>
        <w:rPr>
          <w:b/>
        </w:rPr>
      </w:pPr>
    </w:p>
    <w:p>
      <w:pPr>
        <w:pStyle w:val="BodyText"/>
        <w:rPr>
          <w:b/>
        </w:rPr>
      </w:pPr>
    </w:p>
    <w:p>
      <w:pPr>
        <w:pStyle w:val="BodyText"/>
        <w:rPr>
          <w:b/>
        </w:rPr>
      </w:pPr>
    </w:p>
    <w:p>
      <w:pPr>
        <w:pStyle w:val="BodyText"/>
        <w:spacing w:before="3"/>
        <w:rPr>
          <w:b/>
          <w:sz w:val="26"/>
        </w:rPr>
      </w:pPr>
    </w:p>
    <w:p>
      <w:pPr>
        <w:spacing w:before="56"/>
        <w:ind w:left="3903" w:right="0" w:firstLine="0"/>
        <w:jc w:val="left"/>
        <w:rPr>
          <w:rFonts w:ascii="Calibri"/>
          <w:sz w:val="22"/>
        </w:rPr>
      </w:pPr>
      <w:r>
        <w:rPr/>
        <w:pict>
          <v:group style="position:absolute;margin-left:104.169998pt;margin-top:21.923635pt;width:382.3pt;height:154.25pt;mso-position-horizontal-relative:page;mso-position-vertical-relative:paragraph;z-index:8920;mso-wrap-distance-left:0;mso-wrap-distance-right:0" coordorigin="2083,438" coordsize="7646,3085">
            <v:rect style="position:absolute;left:4641;top:1464;width:4281;height:1486" filled="true" fillcolor="#d9d9d9" stroked="false">
              <v:fill type="solid"/>
            </v:rect>
            <v:rect style="position:absolute;left:3137;top:1464;width:1026;height:1486" filled="true" fillcolor="#d9d9d9" stroked="false">
              <v:fill type="solid"/>
            </v:rect>
            <v:shape style="position:absolute;left:2083;top:2875;width:7646;height:120" coordorigin="2083,2875" coordsize="7646,120" path="m9720,2929l9630,2929,9630,2939,9610,2940,9610,2995,9729,2934,9720,2929xm9609,2930l2083,2944,2084,2954,9610,2940,9609,2930xm9630,2929l9609,2930,9610,2940,9630,2939,9630,2929xm9609,2875l9609,2930,9720,2929,9609,2875xe" filled="true" fillcolor="#000000" stroked="false">
              <v:path arrowok="t"/>
              <v:fill type="solid"/>
            </v:shape>
            <v:shape style="position:absolute;left:2438;top:2947;width:1478;height:547" type="#_x0000_t75" stroked="false">
              <v:imagedata r:id="rId440" o:title=""/>
            </v:shape>
            <v:shape style="position:absolute;left:8203;top:2940;width:1476;height:547" type="#_x0000_t75" stroked="false">
              <v:imagedata r:id="rId440" o:title=""/>
            </v:shape>
            <v:rect style="position:absolute;left:4163;top:438;width:479;height:2511" filled="true" fillcolor="#ffcc99" stroked="false">
              <v:fill type="solid"/>
            </v:rect>
            <v:shape style="position:absolute;left:5167;top:2969;width:1786;height:547" type="#_x0000_t75" stroked="false">
              <v:imagedata r:id="rId441" o:title=""/>
            </v:shape>
            <v:shape style="position:absolute;left:6761;top:2962;width:1783;height:547" type="#_x0000_t75" stroked="false">
              <v:imagedata r:id="rId442" o:title=""/>
            </v:shape>
            <v:shape style="position:absolute;left:3559;top:2976;width:1786;height:547" type="#_x0000_t75" stroked="false">
              <v:imagedata r:id="rId441" o:title=""/>
            </v:shape>
            <v:shape style="position:absolute;left:2974;top:2989;width:424;height:440" type="#_x0000_t202" filled="false" stroked="false">
              <v:textbox inset="0,0,0,0">
                <w:txbxContent>
                  <w:p>
                    <w:pPr>
                      <w:spacing w:line="201" w:lineRule="exact" w:before="0"/>
                      <w:ind w:left="0" w:right="0" w:firstLine="0"/>
                      <w:jc w:val="left"/>
                      <w:rPr>
                        <w:rFonts w:ascii="Calibri"/>
                        <w:sz w:val="20"/>
                      </w:rPr>
                    </w:pPr>
                    <w:r>
                      <w:rPr>
                        <w:rFonts w:ascii="Calibri"/>
                        <w:sz w:val="20"/>
                      </w:rPr>
                      <w:t>5855</w:t>
                    </w:r>
                  </w:p>
                  <w:p>
                    <w:pPr>
                      <w:spacing w:line="238" w:lineRule="exact" w:before="0"/>
                      <w:ind w:left="14" w:right="0" w:firstLine="0"/>
                      <w:jc w:val="left"/>
                      <w:rPr>
                        <w:rFonts w:ascii="Calibri"/>
                        <w:sz w:val="20"/>
                      </w:rPr>
                    </w:pPr>
                    <w:r>
                      <w:rPr>
                        <w:rFonts w:ascii="Calibri"/>
                        <w:sz w:val="20"/>
                      </w:rPr>
                      <w:t>MHz</w:t>
                    </w:r>
                  </w:p>
                </w:txbxContent>
              </v:textbox>
              <w10:wrap type="none"/>
            </v:shape>
            <v:shape style="position:absolute;left:3795;top:3004;width:4532;height:454" type="#_x0000_t202" filled="false" stroked="false">
              <v:textbox inset="0,0,0,0">
                <w:txbxContent>
                  <w:p>
                    <w:pPr>
                      <w:tabs>
                        <w:tab w:pos="1685" w:val="left" w:leader="none"/>
                        <w:tab w:pos="3201" w:val="left" w:leader="none"/>
                      </w:tabs>
                      <w:spacing w:line="210" w:lineRule="exact" w:before="0"/>
                      <w:ind w:left="0" w:right="18" w:firstLine="0"/>
                      <w:jc w:val="center"/>
                      <w:rPr>
                        <w:rFonts w:ascii="Calibri"/>
                        <w:sz w:val="20"/>
                      </w:rPr>
                    </w:pPr>
                    <w:r>
                      <w:rPr>
                        <w:rFonts w:ascii="Calibri"/>
                        <w:sz w:val="20"/>
                      </w:rPr>
                      <w:t>fc =</w:t>
                    </w:r>
                    <w:r>
                      <w:rPr>
                        <w:rFonts w:ascii="Calibri"/>
                        <w:spacing w:val="-4"/>
                        <w:sz w:val="20"/>
                      </w:rPr>
                      <w:t> </w:t>
                    </w:r>
                    <w:r>
                      <w:rPr>
                        <w:rFonts w:ascii="Calibri"/>
                        <w:sz w:val="20"/>
                      </w:rPr>
                      <w:t>5857.5</w:t>
                    </w:r>
                    <w:r>
                      <w:rPr>
                        <w:rFonts w:ascii="Calibri"/>
                        <w:spacing w:val="-2"/>
                        <w:sz w:val="20"/>
                      </w:rPr>
                      <w:t> </w:t>
                    </w:r>
                    <w:r>
                      <w:rPr>
                        <w:rFonts w:ascii="Calibri"/>
                        <w:sz w:val="20"/>
                      </w:rPr>
                      <w:t>MHz</w:t>
                      <w:tab/>
                    </w:r>
                    <w:r>
                      <w:rPr>
                        <w:rFonts w:ascii="Calibri"/>
                        <w:position w:val="1"/>
                        <w:sz w:val="20"/>
                      </w:rPr>
                      <w:t>fc =</w:t>
                    </w:r>
                    <w:r>
                      <w:rPr>
                        <w:rFonts w:ascii="Calibri"/>
                        <w:spacing w:val="-4"/>
                        <w:position w:val="1"/>
                        <w:sz w:val="20"/>
                      </w:rPr>
                      <w:t> </w:t>
                    </w:r>
                    <w:r>
                      <w:rPr>
                        <w:rFonts w:ascii="Calibri"/>
                        <w:position w:val="1"/>
                        <w:sz w:val="20"/>
                      </w:rPr>
                      <w:t>5860</w:t>
                    </w:r>
                    <w:r>
                      <w:rPr>
                        <w:rFonts w:ascii="Calibri"/>
                        <w:spacing w:val="-2"/>
                        <w:position w:val="1"/>
                        <w:sz w:val="20"/>
                      </w:rPr>
                      <w:t> </w:t>
                    </w:r>
                    <w:r>
                      <w:rPr>
                        <w:rFonts w:ascii="Calibri"/>
                        <w:position w:val="1"/>
                        <w:sz w:val="20"/>
                      </w:rPr>
                      <w:t>MHz</w:t>
                      <w:tab/>
                      <w:t>fc = 5862.5</w:t>
                    </w:r>
                    <w:r>
                      <w:rPr>
                        <w:rFonts w:ascii="Calibri"/>
                        <w:spacing w:val="-7"/>
                        <w:position w:val="1"/>
                        <w:sz w:val="20"/>
                      </w:rPr>
                      <w:t> </w:t>
                    </w:r>
                    <w:r>
                      <w:rPr>
                        <w:rFonts w:ascii="Calibri"/>
                        <w:position w:val="1"/>
                        <w:sz w:val="20"/>
                      </w:rPr>
                      <w:t>MHz</w:t>
                    </w:r>
                  </w:p>
                  <w:p>
                    <w:pPr>
                      <w:tabs>
                        <w:tab w:pos="1608" w:val="left" w:leader="none"/>
                        <w:tab w:pos="3201" w:val="left" w:leader="none"/>
                      </w:tabs>
                      <w:spacing w:line="243" w:lineRule="exact" w:before="0"/>
                      <w:ind w:left="0" w:right="18" w:firstLine="0"/>
                      <w:jc w:val="center"/>
                      <w:rPr>
                        <w:rFonts w:ascii="Calibri"/>
                        <w:sz w:val="20"/>
                      </w:rPr>
                    </w:pPr>
                    <w:r>
                      <w:rPr>
                        <w:rFonts w:ascii="Calibri"/>
                        <w:sz w:val="20"/>
                      </w:rPr>
                      <w:t>Position</w:t>
                    </w:r>
                    <w:r>
                      <w:rPr>
                        <w:rFonts w:ascii="Calibri"/>
                        <w:spacing w:val="-2"/>
                        <w:sz w:val="20"/>
                      </w:rPr>
                      <w:t> </w:t>
                    </w:r>
                    <w:r>
                      <w:rPr>
                        <w:rFonts w:ascii="Calibri"/>
                        <w:sz w:val="20"/>
                      </w:rPr>
                      <w:t>2</w:t>
                      <w:tab/>
                      <w:t>Position</w:t>
                    </w:r>
                    <w:r>
                      <w:rPr>
                        <w:rFonts w:ascii="Calibri"/>
                        <w:spacing w:val="-2"/>
                        <w:sz w:val="20"/>
                      </w:rPr>
                      <w:t> </w:t>
                    </w:r>
                    <w:r>
                      <w:rPr>
                        <w:rFonts w:ascii="Calibri"/>
                        <w:sz w:val="20"/>
                      </w:rPr>
                      <w:t>1</w:t>
                      <w:tab/>
                    </w:r>
                    <w:r>
                      <w:rPr>
                        <w:rFonts w:ascii="Calibri"/>
                        <w:position w:val="1"/>
                        <w:sz w:val="20"/>
                      </w:rPr>
                      <w:t>Position</w:t>
                    </w:r>
                    <w:r>
                      <w:rPr>
                        <w:rFonts w:ascii="Calibri"/>
                        <w:spacing w:val="-5"/>
                        <w:position w:val="1"/>
                        <w:sz w:val="20"/>
                      </w:rPr>
                      <w:t> </w:t>
                    </w:r>
                    <w:r>
                      <w:rPr>
                        <w:rFonts w:ascii="Calibri"/>
                        <w:position w:val="1"/>
                        <w:sz w:val="20"/>
                      </w:rPr>
                      <w:t>3</w:t>
                    </w:r>
                  </w:p>
                </w:txbxContent>
              </v:textbox>
              <w10:wrap type="none"/>
            </v:shape>
            <v:shape style="position:absolute;left:8740;top:2982;width:424;height:440" type="#_x0000_t202" filled="false" stroked="false">
              <v:textbox inset="0,0,0,0">
                <w:txbxContent>
                  <w:p>
                    <w:pPr>
                      <w:spacing w:line="201" w:lineRule="exact" w:before="0"/>
                      <w:ind w:left="0" w:right="0" w:firstLine="0"/>
                      <w:jc w:val="left"/>
                      <w:rPr>
                        <w:rFonts w:ascii="Calibri"/>
                        <w:sz w:val="20"/>
                      </w:rPr>
                    </w:pPr>
                    <w:r>
                      <w:rPr>
                        <w:rFonts w:ascii="Calibri"/>
                        <w:sz w:val="20"/>
                      </w:rPr>
                      <w:t>5865</w:t>
                    </w:r>
                  </w:p>
                  <w:p>
                    <w:pPr>
                      <w:spacing w:line="238" w:lineRule="exact" w:before="0"/>
                      <w:ind w:left="14" w:right="0" w:firstLine="0"/>
                      <w:jc w:val="left"/>
                      <w:rPr>
                        <w:rFonts w:ascii="Calibri"/>
                        <w:sz w:val="20"/>
                      </w:rPr>
                    </w:pPr>
                    <w:r>
                      <w:rPr>
                        <w:rFonts w:ascii="Calibri"/>
                        <w:sz w:val="20"/>
                      </w:rPr>
                      <w:t>MHz</w:t>
                    </w:r>
                  </w:p>
                </w:txbxContent>
              </v:textbox>
              <w10:wrap type="none"/>
            </v:shape>
            <w10:wrap type="topAndBottom"/>
          </v:group>
        </w:pict>
      </w:r>
      <w:r>
        <w:rPr>
          <w:rFonts w:ascii="Calibri"/>
          <w:color w:val="C00000"/>
          <w:sz w:val="22"/>
        </w:rPr>
        <w:t>Interferer</w:t>
      </w:r>
    </w:p>
    <w:p>
      <w:pPr>
        <w:pStyle w:val="BodyText"/>
        <w:rPr>
          <w:rFonts w:ascii="Calibri"/>
          <w:sz w:val="22"/>
        </w:rPr>
      </w:pPr>
    </w:p>
    <w:p>
      <w:pPr>
        <w:pStyle w:val="BodyText"/>
        <w:rPr>
          <w:rFonts w:ascii="Calibri"/>
          <w:sz w:val="22"/>
        </w:rPr>
      </w:pPr>
    </w:p>
    <w:p>
      <w:pPr>
        <w:pStyle w:val="BodyText"/>
        <w:spacing w:before="193"/>
        <w:ind w:left="3903"/>
        <w:rPr>
          <w:rFonts w:ascii="Calibri"/>
        </w:rPr>
      </w:pPr>
      <w:r>
        <w:rPr>
          <w:rFonts w:ascii="Calibri"/>
          <w:color w:val="C00000"/>
        </w:rPr>
        <w:t>C-V2X 10MHz band (PSD not drawn to scale)</w:t>
      </w:r>
    </w:p>
    <w:p>
      <w:pPr>
        <w:pStyle w:val="BodyText"/>
        <w:spacing w:before="10"/>
        <w:rPr>
          <w:rFonts w:ascii="Calibri"/>
          <w:sz w:val="22"/>
        </w:rPr>
      </w:pPr>
    </w:p>
    <w:p>
      <w:pPr>
        <w:pStyle w:val="Heading4"/>
        <w:spacing w:before="92"/>
      </w:pPr>
      <w:r>
        <w:rPr/>
        <w:t>Figure 81: When Interferer is at Position 2</w:t>
      </w:r>
    </w:p>
    <w:p>
      <w:pPr>
        <w:spacing w:after="0"/>
        <w:sectPr>
          <w:headerReference w:type="default" r:id="rId430"/>
          <w:pgSz w:w="11910" w:h="16850"/>
          <w:pgMar w:header="852" w:footer="876" w:top="1040" w:bottom="1160" w:left="0" w:right="0"/>
        </w:sectPr>
      </w:pPr>
    </w:p>
    <w:p>
      <w:pPr>
        <w:pStyle w:val="BodyText"/>
        <w:rPr>
          <w:b/>
        </w:rPr>
      </w:pPr>
      <w:r>
        <w:rPr/>
        <w:pict>
          <v:shape style="position:absolute;margin-left:72.961998pt;margin-top:216.061768pt;width:12pt;height:33.65pt;mso-position-horizontal-relative:page;mso-position-vertical-relative:page;z-index:9616" type="#_x0000_t202" filled="false" stroked="false">
            <v:textbox inset="0,0,0,0" style="layout-flow:vertical;mso-layout-flow-alt:bottom-to-top">
              <w:txbxContent>
                <w:p>
                  <w:pPr>
                    <w:spacing w:line="223" w:lineRule="exact" w:before="0"/>
                    <w:ind w:left="20" w:right="-113" w:firstLine="0"/>
                    <w:jc w:val="left"/>
                    <w:rPr>
                      <w:rFonts w:ascii="Calibri"/>
                      <w:b/>
                      <w:sz w:val="20"/>
                    </w:rPr>
                  </w:pPr>
                  <w:r>
                    <w:rPr>
                      <w:rFonts w:ascii="Calibri"/>
                      <w:b/>
                      <w:color w:val="585858"/>
                      <w:spacing w:val="-1"/>
                      <w:w w:val="99"/>
                      <w:sz w:val="20"/>
                    </w:rPr>
                    <w:t>P</w:t>
                  </w:r>
                  <w:r>
                    <w:rPr>
                      <w:rFonts w:ascii="Calibri"/>
                      <w:b/>
                      <w:color w:val="585858"/>
                      <w:spacing w:val="-2"/>
                      <w:w w:val="99"/>
                      <w:sz w:val="20"/>
                    </w:rPr>
                    <w:t>E</w:t>
                  </w:r>
                  <w:r>
                    <w:rPr>
                      <w:rFonts w:ascii="Calibri"/>
                      <w:b/>
                      <w:color w:val="585858"/>
                      <w:w w:val="99"/>
                      <w:sz w:val="20"/>
                    </w:rPr>
                    <w:t>R</w:t>
                  </w:r>
                  <w:r>
                    <w:rPr>
                      <w:rFonts w:ascii="Calibri"/>
                      <w:b/>
                      <w:color w:val="585858"/>
                      <w:spacing w:val="3"/>
                      <w:sz w:val="20"/>
                    </w:rPr>
                    <w:t> </w:t>
                  </w:r>
                  <w:r>
                    <w:rPr>
                      <w:rFonts w:ascii="Calibri"/>
                      <w:b/>
                      <w:color w:val="585858"/>
                      <w:w w:val="99"/>
                      <w:sz w:val="20"/>
                    </w:rPr>
                    <w:t>(</w:t>
                  </w:r>
                  <w:r>
                    <w:rPr>
                      <w:rFonts w:ascii="Calibri"/>
                      <w:b/>
                      <w:color w:val="585858"/>
                      <w:spacing w:val="1"/>
                      <w:w w:val="99"/>
                      <w:sz w:val="20"/>
                    </w:rPr>
                    <w:t>%</w:t>
                  </w:r>
                  <w:r>
                    <w:rPr>
                      <w:rFonts w:ascii="Calibri"/>
                      <w:b/>
                      <w:color w:val="585858"/>
                      <w:w w:val="99"/>
                      <w:sz w:val="20"/>
                    </w:rPr>
                    <w:t>)</w:t>
                  </w:r>
                </w:p>
              </w:txbxContent>
            </v:textbox>
            <w10:wrap type="none"/>
          </v:shape>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22"/>
        </w:rPr>
      </w:pPr>
    </w:p>
    <w:p>
      <w:pPr>
        <w:spacing w:before="93"/>
        <w:ind w:left="1133" w:right="0" w:firstLine="0"/>
        <w:jc w:val="left"/>
        <w:rPr>
          <w:b/>
          <w:sz w:val="24"/>
        </w:rPr>
      </w:pPr>
      <w:r>
        <w:rPr/>
        <w:pict>
          <v:group style="position:absolute;margin-left:59.053001pt;margin-top:-294.119141pt;width:468.75pt;height:282.850pt;mso-position-horizontal-relative:page;mso-position-vertical-relative:paragraph;z-index:9568" coordorigin="1181,-5882" coordsize="9375,5657">
            <v:shape style="position:absolute;left:2183;top:-4174;width:8145;height:3078" type="#_x0000_t75" stroked="false">
              <v:imagedata r:id="rId444" o:title=""/>
            </v:shape>
            <v:shape style="position:absolute;left:0;top:6780;width:8146;height:2771" coordorigin="0,6780" coordsize="8146,2771" path="m2183,-1404l10329,-1404m2183,-1711l10329,-1711m2183,-2020l10329,-2020m2183,-2328l10329,-2328m2183,-2635l10329,-2635m2183,-2942l10329,-2942m4709,-3252l10329,-3252m3080,-3252l4549,-3252m2183,-3252l2919,-3252m2183,-3559l10329,-3559m2183,-3866l10329,-3866m9596,-4174l10329,-4174m7966,-4174l9435,-4174m6356,-4174l7805,-4174m4726,-4174l6157,-4174m3097,-4174l4527,-4174m2183,-4174l2897,-4174e" filled="false" stroked="true" strokeweight=".75pt" strokecolor="#d9d9d9">
              <v:path arrowok="t"/>
              <v:stroke dashstyle="solid"/>
            </v:shape>
            <v:shape style="position:absolute;left:0;top:9632;width:6516;height:2916" coordorigin="0,9632" coordsize="6516,2916" path="m2998,-4075l2998,-3374m2998,-3213l2998,-1176m4627,-4075l4627,-3369m4627,-3208l4627,-1176m6257,-4075l6257,-3501m6257,-3340l6257,-1176m7884,-4077l7884,-1176m9514,-4092l9514,-1185e" filled="false" stroked="true" strokeweight=".75pt" strokecolor="#d9d9d9">
              <v:path arrowok="t"/>
              <v:stroke dashstyle="solid"/>
            </v:shape>
            <v:shape style="position:absolute;left:0;top:9550;width:8146;height:3078" coordorigin="0,9550" coordsize="8146,3078" path="m2183,-4174l2183,-1096m3811,-4174l3811,-1096m5441,-4174l5441,-1096m7070,-4174l7070,-1096m8700,-4174l8700,-1096m10329,-4174l10329,-1096e" filled="false" stroked="true" strokeweight=".75pt" strokecolor="#d9d9d9">
              <v:path arrowok="t"/>
              <v:stroke dashstyle="solid"/>
            </v:shape>
            <v:shape style="position:absolute;left:0;top:9550;width:8146;height:57" coordorigin="0,9550" coordsize="8146,57" path="m9596,-1096l10329,-1096m7966,-1096l9435,-1096m6339,-1096l7805,-1096m4709,-1096l6178,-1096m3080,-1096l4549,-1096m2183,-1096l2919,-1096m2183,-1096l2183,-1039m3811,-1096l3811,-1039m5441,-1096l5441,-1039m7070,-1096l7070,-1039m8700,-1096l8700,-1039m10329,-1096l10329,-1039e" filled="false" stroked="true" strokeweight=".75pt" strokecolor="#d9d9d9">
              <v:path arrowok="t"/>
              <v:stroke dashstyle="solid"/>
            </v:shape>
            <v:shape style="position:absolute;left:2998;top:-4174;width:6517;height:885" coordorigin="2998,-4174" coordsize="6517,885" path="m2998,-3295l4627,-3289,6257,-3422,7884,-4159,9514,-4174e" filled="false" stroked="true" strokeweight="1.75pt" strokecolor="#006fc0">
              <v:path arrowok="t"/>
              <v:stroke dashstyle="solid"/>
            </v:shape>
            <v:rect style="position:absolute;left:2919;top:-3374;width:161;height:161" filled="true" fillcolor="#006fc0" stroked="false">
              <v:fill type="solid"/>
            </v:rect>
            <v:rect style="position:absolute;left:2919;top:-3374;width:161;height:161" filled="false" stroked="true" strokeweight="1.2pt" strokecolor="#4f81bc">
              <v:stroke dashstyle="solid"/>
            </v:rect>
            <v:rect style="position:absolute;left:4549;top:-3369;width:161;height:161" filled="true" fillcolor="#006fc0" stroked="false">
              <v:fill type="solid"/>
            </v:rect>
            <v:rect style="position:absolute;left:4549;top:-3369;width:161;height:161" filled="false" stroked="true" strokeweight="1.2pt" strokecolor="#4f81bc">
              <v:stroke dashstyle="solid"/>
            </v:rect>
            <v:rect style="position:absolute;left:6178;top:-3501;width:161;height:161" filled="true" fillcolor="#006fc0" stroked="false">
              <v:fill type="solid"/>
            </v:rect>
            <v:shape style="position:absolute;left:6178;top:-4252;width:3418;height:912" coordorigin="6178,-4252" coordsize="3418,912" path="m6178,-3340l6339,-3340,6339,-3501,6178,-3501,6178,-3340xm7805,-4077l7966,-4077,7966,-4238,7805,-4238,7805,-4077xm9435,-4092l9596,-4092,9596,-4252,9435,-4252,9435,-4092xe" filled="false" stroked="true" strokeweight="1.2pt" strokecolor="#4f81bc">
              <v:path arrowok="t"/>
              <v:stroke dashstyle="solid"/>
            </v:shape>
            <v:shape style="position:absolute;left:3080;top:-1101;width:6356;height:2" coordorigin="3080,-1101" coordsize="6356,0" path="m7966,-1101l9435,-1101m6339,-1101l7805,-1101m4709,-1101l6178,-1101m3080,-1101l4549,-1101e" filled="false" stroked="true" strokeweight=".46pt" strokecolor="#00af50">
              <v:path arrowok="t"/>
              <v:stroke dashstyle="solid"/>
            </v:shape>
            <v:rect style="position:absolute;left:2919;top:-1176;width:161;height:161" filled="true" fillcolor="#00af50" stroked="false">
              <v:fill type="solid"/>
            </v:rect>
            <v:rect style="position:absolute;left:2919;top:-1176;width:161;height:161" filled="false" stroked="true" strokeweight="1.2pt" strokecolor="#00af50">
              <v:stroke dashstyle="solid"/>
            </v:rect>
            <v:rect style="position:absolute;left:4549;top:-1176;width:161;height:161" filled="true" fillcolor="#00af50" stroked="false">
              <v:fill type="solid"/>
            </v:rect>
            <v:rect style="position:absolute;left:4549;top:-1176;width:161;height:161" filled="false" stroked="true" strokeweight="1.2pt" strokecolor="#00af50">
              <v:stroke dashstyle="solid"/>
            </v:rect>
            <v:rect style="position:absolute;left:6178;top:-1176;width:161;height:161" filled="true" fillcolor="#00af50" stroked="false">
              <v:fill type="solid"/>
            </v:rect>
            <v:rect style="position:absolute;left:6178;top:-1176;width:161;height:161" filled="false" stroked="true" strokeweight="1.2pt" strokecolor="#00af50">
              <v:stroke dashstyle="solid"/>
            </v:rect>
            <v:rect style="position:absolute;left:7805;top:-1176;width:161;height:161" filled="true" fillcolor="#00af50" stroked="false">
              <v:fill type="solid"/>
            </v:rect>
            <v:rect style="position:absolute;left:7805;top:-1176;width:161;height:161" filled="false" stroked="true" strokeweight="1.2pt" strokecolor="#00af50">
              <v:stroke dashstyle="solid"/>
            </v:rect>
            <v:rect style="position:absolute;left:9435;top:-1185;width:161;height:161" filled="true" fillcolor="#00af50" stroked="false">
              <v:fill type="solid"/>
            </v:rect>
            <v:rect style="position:absolute;left:9435;top:-1185;width:161;height:161" filled="false" stroked="true" strokeweight="1.2pt" strokecolor="#00af50">
              <v:stroke dashstyle="solid"/>
            </v:rect>
            <v:shape style="position:absolute;left:99;top:9550;width:6317;height:2" coordorigin="99,9550" coordsize="6317,0" path="m7983,-4174l9413,-4174m6356,-4174l7784,-4174m4726,-4174l6157,-4174m3097,-4174l4527,-4174e" filled="false" stroked="true" strokeweight="1.75pt" strokecolor="#ffc000">
              <v:path arrowok="t"/>
              <v:stroke dashstyle="solid"/>
            </v:shape>
            <v:rect style="position:absolute;left:2897;top:-4274;width:199;height:199" filled="true" fillcolor="#ffc000" stroked="false">
              <v:fill type="solid"/>
            </v:rect>
            <v:rect style="position:absolute;left:2897;top:-4274;width:199;height:199" filled="false" stroked="true" strokeweight="1.2pt" strokecolor="#ffc000">
              <v:stroke dashstyle="solid"/>
            </v:rect>
            <v:rect style="position:absolute;left:4527;top:-4274;width:199;height:199" filled="true" fillcolor="#ffc000" stroked="false">
              <v:fill type="solid"/>
            </v:rect>
            <v:rect style="position:absolute;left:4527;top:-4274;width:199;height:199" filled="false" stroked="true" strokeweight="1.2pt" strokecolor="#ffc000">
              <v:stroke dashstyle="solid"/>
            </v:rect>
            <v:rect style="position:absolute;left:6157;top:-4274;width:199;height:199" filled="true" fillcolor="#ffc000" stroked="false">
              <v:fill type="solid"/>
            </v:rect>
            <v:rect style="position:absolute;left:6157;top:-4274;width:199;height:199" filled="false" stroked="true" strokeweight="1.2pt" strokecolor="#ffc000">
              <v:stroke dashstyle="solid"/>
            </v:rect>
            <v:rect style="position:absolute;left:7784;top:-4274;width:199;height:199" filled="true" fillcolor="#ffc000" stroked="false">
              <v:fill type="solid"/>
            </v:rect>
            <v:rect style="position:absolute;left:7784;top:-4274;width:199;height:199" filled="false" stroked="true" strokeweight="1.2pt" strokecolor="#ffc000">
              <v:stroke dashstyle="solid"/>
            </v:rect>
            <v:rect style="position:absolute;left:9413;top:-4274;width:199;height:199" filled="true" fillcolor="#ffc000" stroked="false">
              <v:fill type="solid"/>
            </v:rect>
            <v:rect style="position:absolute;left:9413;top:-4274;width:199;height:199" filled="false" stroked="true" strokeweight="1.2pt" strokecolor="#ffc000">
              <v:stroke dashstyle="solid"/>
            </v:rect>
            <v:shape style="position:absolute;left:2998;top:-4174;width:6517;height:2" coordorigin="2998,-4174" coordsize="6517,0" path="m2998,-4174l4627,-4174,6257,-4174,7884,-4174,9514,-4174e" filled="false" stroked="true" strokeweight="1.75pt" strokecolor="#c00000">
              <v:path arrowok="t"/>
              <v:stroke dashstyle="solid"/>
            </v:shape>
            <v:shape style="position:absolute;left:2926;top:-4245;width:144;height:144" type="#_x0000_t75" stroked="false">
              <v:imagedata r:id="rId445" o:title=""/>
            </v:shape>
            <v:shape style="position:absolute;left:4556;top:-4245;width:144;height:144" type="#_x0000_t75" stroked="false">
              <v:imagedata r:id="rId446" o:title=""/>
            </v:shape>
            <v:shape style="position:absolute;left:6185;top:-4245;width:144;height:144" type="#_x0000_t75" stroked="false">
              <v:imagedata r:id="rId445" o:title=""/>
            </v:shape>
            <v:shape style="position:absolute;left:7813;top:-4245;width:144;height:144" type="#_x0000_t75" stroked="false">
              <v:imagedata r:id="rId445" o:title=""/>
            </v:shape>
            <v:shape style="position:absolute;left:9442;top:-4245;width:144;height:144" type="#_x0000_t75" stroked="false">
              <v:imagedata r:id="rId445" o:title=""/>
            </v:shape>
            <v:shape style="position:absolute;left:0;top:9550;width:385;height:2" coordorigin="0,9550" coordsize="385,0" path="m2146,-4979l2270,-4979m1886,-4979l2006,-4979e" filled="false" stroked="true" strokeweight="1.75pt" strokecolor="#006fc0">
              <v:path arrowok="t"/>
              <v:stroke dashstyle="solid"/>
            </v:shape>
            <v:rect style="position:absolute;left:2006;top:-5049;width:139;height:139" filled="true" fillcolor="#006fc0" stroked="false">
              <v:fill type="solid"/>
            </v:rect>
            <v:rect style="position:absolute;left:2006;top:-5049;width:139;height:139" filled="false" stroked="true" strokeweight="1.25pt" strokecolor="#4f81bc">
              <v:stroke dashstyle="solid"/>
            </v:rect>
            <v:shape style="position:absolute;left:0;top:9550;width:384;height:2" coordorigin="0,9550" coordsize="384,0" path="m6192,-4979l6316,-4979m5932,-4979l6053,-4979e" filled="false" stroked="true" strokeweight="1.75pt" strokecolor="#00af50">
              <v:path arrowok="t"/>
              <v:stroke dashstyle="solid"/>
            </v:shape>
            <v:rect style="position:absolute;left:6053;top:-5049;width:139;height:139" filled="true" fillcolor="#00af50" stroked="false">
              <v:fill type="solid"/>
            </v:rect>
            <v:rect style="position:absolute;left:6053;top:-5049;width:139;height:139" filled="false" stroked="true" strokeweight="1.25pt" strokecolor="#00af50">
              <v:stroke dashstyle="solid"/>
            </v:rect>
            <v:shape style="position:absolute;left:0;top:9550;width:385;height:2" coordorigin="0,9550" coordsize="385,0" path="m2146,-4569l2270,-4569m1886,-4569l2006,-4569e" filled="false" stroked="true" strokeweight="1.75pt" strokecolor="#ffc000">
              <v:path arrowok="t"/>
              <v:stroke dashstyle="solid"/>
            </v:shape>
            <v:rect style="position:absolute;left:2006;top:-4639;width:139;height:139" filled="true" fillcolor="#ffc000" stroked="false">
              <v:fill type="solid"/>
            </v:rect>
            <v:rect style="position:absolute;left:2006;top:-4639;width:139;height:139" filled="false" stroked="true" strokeweight="1.25pt" strokecolor="#ffc000">
              <v:stroke dashstyle="solid"/>
            </v:rect>
            <v:shape style="position:absolute;left:5914;top:-4641;width:419;height:144" type="#_x0000_t75" stroked="false">
              <v:imagedata r:id="rId447" o:title=""/>
            </v:shape>
            <v:rect style="position:absolute;left:1189;top:-5875;width:9360;height:5642" filled="false" stroked="true" strokeweight=".75pt" strokecolor="#d9d9d9">
              <v:stroke dashstyle="solid"/>
            </v:rect>
            <v:shape style="position:absolute;left:4369;top:-5659;width:3018;height:320" type="#_x0000_t202" filled="false" stroked="false">
              <v:textbox inset="0,0,0,0">
                <w:txbxContent>
                  <w:p>
                    <w:pPr>
                      <w:spacing w:line="319" w:lineRule="exact" w:before="0"/>
                      <w:ind w:left="0" w:right="0" w:firstLine="0"/>
                      <w:jc w:val="left"/>
                      <w:rPr>
                        <w:rFonts w:ascii="Calibri"/>
                        <w:b/>
                        <w:sz w:val="32"/>
                      </w:rPr>
                    </w:pPr>
                    <w:r>
                      <w:rPr>
                        <w:rFonts w:ascii="Calibri"/>
                        <w:b/>
                        <w:color w:val="7E7E7E"/>
                        <w:spacing w:val="-3"/>
                        <w:sz w:val="32"/>
                      </w:rPr>
                      <w:t>Interferer </w:t>
                    </w:r>
                    <w:r>
                      <w:rPr>
                        <w:rFonts w:ascii="Calibri"/>
                        <w:b/>
                        <w:color w:val="7E7E7E"/>
                        <w:sz w:val="32"/>
                      </w:rPr>
                      <w:t>at Position 2</w:t>
                    </w:r>
                  </w:p>
                </w:txbxContent>
              </v:textbox>
              <w10:wrap type="none"/>
            </v:shape>
            <v:shape style="position:absolute;left:2311;top:-5090;width:2942;height:650" type="#_x0000_t202" filled="false" stroked="false">
              <v:textbox inset="0,0,0,0">
                <w:txbxContent>
                  <w:p>
                    <w:pPr>
                      <w:spacing w:line="244" w:lineRule="exact" w:before="0"/>
                      <w:ind w:left="0" w:right="0" w:firstLine="0"/>
                      <w:jc w:val="left"/>
                      <w:rPr>
                        <w:rFonts w:ascii="Calibri"/>
                        <w:sz w:val="24"/>
                      </w:rPr>
                    </w:pPr>
                    <w:r>
                      <w:rPr>
                        <w:rFonts w:ascii="Calibri"/>
                        <w:color w:val="585858"/>
                        <w:sz w:val="24"/>
                      </w:rPr>
                      <w:t>C-V2X PER % (Interferer at Rx)</w:t>
                    </w:r>
                  </w:p>
                  <w:p>
                    <w:pPr>
                      <w:spacing w:line="289" w:lineRule="exact" w:before="117"/>
                      <w:ind w:left="0" w:right="0" w:firstLine="0"/>
                      <w:jc w:val="left"/>
                      <w:rPr>
                        <w:rFonts w:ascii="Calibri"/>
                        <w:sz w:val="24"/>
                      </w:rPr>
                    </w:pPr>
                    <w:r>
                      <w:rPr>
                        <w:rFonts w:ascii="Calibri"/>
                        <w:color w:val="585858"/>
                        <w:sz w:val="24"/>
                      </w:rPr>
                      <w:t>DSRC PER % (Interferer at Rx)</w:t>
                    </w:r>
                  </w:p>
                </w:txbxContent>
              </v:textbox>
              <w10:wrap type="none"/>
            </v:shape>
            <v:shape style="position:absolute;left:6358;top:-5090;width:3582;height:650" type="#_x0000_t202" filled="false" stroked="false">
              <v:textbox inset="0,0,0,0">
                <w:txbxContent>
                  <w:p>
                    <w:pPr>
                      <w:spacing w:line="244" w:lineRule="exact" w:before="0"/>
                      <w:ind w:left="0" w:right="0" w:firstLine="0"/>
                      <w:jc w:val="left"/>
                      <w:rPr>
                        <w:rFonts w:ascii="Calibri"/>
                        <w:sz w:val="24"/>
                      </w:rPr>
                    </w:pPr>
                    <w:r>
                      <w:rPr>
                        <w:rFonts w:ascii="Calibri"/>
                        <w:color w:val="585858"/>
                        <w:sz w:val="24"/>
                      </w:rPr>
                      <w:t>C-V2X PER %(Interferer at Tx and Rx)</w:t>
                    </w:r>
                  </w:p>
                  <w:p>
                    <w:pPr>
                      <w:spacing w:line="289" w:lineRule="exact" w:before="117"/>
                      <w:ind w:left="0" w:right="0" w:firstLine="0"/>
                      <w:jc w:val="left"/>
                      <w:rPr>
                        <w:rFonts w:ascii="Calibri"/>
                        <w:sz w:val="24"/>
                      </w:rPr>
                    </w:pPr>
                    <w:r>
                      <w:rPr>
                        <w:rFonts w:ascii="Calibri"/>
                        <w:color w:val="585858"/>
                        <w:sz w:val="24"/>
                      </w:rPr>
                      <w:t>DSRC PER %(Interferer at Tx and Rx)</w:t>
                    </w:r>
                  </w:p>
                </w:txbxContent>
              </v:textbox>
              <w10:wrap type="none"/>
            </v:shape>
            <v:shape style="position:absolute;left:1743;top:-4258;width:294;height:3258" type="#_x0000_t202" filled="false" stroked="false">
              <v:textbox inset="0,0,0,0">
                <w:txbxContent>
                  <w:p>
                    <w:pPr>
                      <w:spacing w:line="183" w:lineRule="exact" w:before="0"/>
                      <w:ind w:left="-1" w:right="18" w:firstLine="0"/>
                      <w:jc w:val="center"/>
                      <w:rPr>
                        <w:rFonts w:ascii="Calibri"/>
                        <w:sz w:val="18"/>
                      </w:rPr>
                    </w:pPr>
                    <w:r>
                      <w:rPr>
                        <w:rFonts w:ascii="Calibri"/>
                        <w:color w:val="585858"/>
                        <w:spacing w:val="-1"/>
                        <w:sz w:val="18"/>
                      </w:rPr>
                      <w:t>100</w:t>
                    </w:r>
                  </w:p>
                  <w:p>
                    <w:pPr>
                      <w:spacing w:before="88"/>
                      <w:ind w:left="91" w:right="0" w:firstLine="0"/>
                      <w:jc w:val="left"/>
                      <w:rPr>
                        <w:rFonts w:ascii="Calibri"/>
                        <w:sz w:val="18"/>
                      </w:rPr>
                    </w:pPr>
                    <w:r>
                      <w:rPr>
                        <w:rFonts w:ascii="Calibri"/>
                        <w:color w:val="585858"/>
                        <w:sz w:val="18"/>
                      </w:rPr>
                      <w:t>90</w:t>
                    </w:r>
                  </w:p>
                  <w:p>
                    <w:pPr>
                      <w:spacing w:before="88"/>
                      <w:ind w:left="91" w:right="0" w:firstLine="0"/>
                      <w:jc w:val="left"/>
                      <w:rPr>
                        <w:rFonts w:ascii="Calibri"/>
                        <w:sz w:val="18"/>
                      </w:rPr>
                    </w:pPr>
                    <w:r>
                      <w:rPr>
                        <w:rFonts w:ascii="Calibri"/>
                        <w:color w:val="585858"/>
                        <w:sz w:val="18"/>
                      </w:rPr>
                      <w:t>80</w:t>
                    </w:r>
                  </w:p>
                  <w:p>
                    <w:pPr>
                      <w:spacing w:before="87"/>
                      <w:ind w:left="91" w:right="0" w:firstLine="0"/>
                      <w:jc w:val="left"/>
                      <w:rPr>
                        <w:rFonts w:ascii="Calibri"/>
                        <w:sz w:val="18"/>
                      </w:rPr>
                    </w:pPr>
                    <w:r>
                      <w:rPr>
                        <w:rFonts w:ascii="Calibri"/>
                        <w:color w:val="585858"/>
                        <w:sz w:val="18"/>
                      </w:rPr>
                      <w:t>70</w:t>
                    </w:r>
                  </w:p>
                  <w:p>
                    <w:pPr>
                      <w:spacing w:before="87"/>
                      <w:ind w:left="91" w:right="0" w:firstLine="0"/>
                      <w:jc w:val="left"/>
                      <w:rPr>
                        <w:rFonts w:ascii="Calibri"/>
                        <w:sz w:val="18"/>
                      </w:rPr>
                    </w:pPr>
                    <w:r>
                      <w:rPr>
                        <w:rFonts w:ascii="Calibri"/>
                        <w:color w:val="585858"/>
                        <w:sz w:val="18"/>
                      </w:rPr>
                      <w:t>60</w:t>
                    </w:r>
                  </w:p>
                  <w:p>
                    <w:pPr>
                      <w:spacing w:before="87"/>
                      <w:ind w:left="91" w:right="0" w:firstLine="0"/>
                      <w:jc w:val="left"/>
                      <w:rPr>
                        <w:rFonts w:ascii="Calibri"/>
                        <w:sz w:val="18"/>
                      </w:rPr>
                    </w:pPr>
                    <w:r>
                      <w:rPr>
                        <w:rFonts w:ascii="Calibri"/>
                        <w:color w:val="585858"/>
                        <w:sz w:val="18"/>
                      </w:rPr>
                      <w:t>50</w:t>
                    </w:r>
                  </w:p>
                  <w:p>
                    <w:pPr>
                      <w:spacing w:before="88"/>
                      <w:ind w:left="91" w:right="0" w:firstLine="0"/>
                      <w:jc w:val="left"/>
                      <w:rPr>
                        <w:rFonts w:ascii="Calibri"/>
                        <w:sz w:val="18"/>
                      </w:rPr>
                    </w:pPr>
                    <w:r>
                      <w:rPr>
                        <w:rFonts w:ascii="Calibri"/>
                        <w:color w:val="585858"/>
                        <w:sz w:val="18"/>
                      </w:rPr>
                      <w:t>40</w:t>
                    </w:r>
                  </w:p>
                  <w:p>
                    <w:pPr>
                      <w:spacing w:before="88"/>
                      <w:ind w:left="91" w:right="0" w:firstLine="0"/>
                      <w:jc w:val="left"/>
                      <w:rPr>
                        <w:rFonts w:ascii="Calibri"/>
                        <w:sz w:val="18"/>
                      </w:rPr>
                    </w:pPr>
                    <w:r>
                      <w:rPr>
                        <w:rFonts w:ascii="Calibri"/>
                        <w:color w:val="585858"/>
                        <w:sz w:val="18"/>
                      </w:rPr>
                      <w:t>30</w:t>
                    </w:r>
                  </w:p>
                  <w:p>
                    <w:pPr>
                      <w:spacing w:before="88"/>
                      <w:ind w:left="91" w:right="0" w:firstLine="0"/>
                      <w:jc w:val="left"/>
                      <w:rPr>
                        <w:rFonts w:ascii="Calibri"/>
                        <w:sz w:val="18"/>
                      </w:rPr>
                    </w:pPr>
                    <w:r>
                      <w:rPr>
                        <w:rFonts w:ascii="Calibri"/>
                        <w:color w:val="585858"/>
                        <w:sz w:val="18"/>
                      </w:rPr>
                      <w:t>20</w:t>
                    </w:r>
                  </w:p>
                  <w:p>
                    <w:pPr>
                      <w:spacing w:before="87"/>
                      <w:ind w:left="91" w:right="0" w:firstLine="0"/>
                      <w:jc w:val="left"/>
                      <w:rPr>
                        <w:rFonts w:ascii="Calibri"/>
                        <w:sz w:val="18"/>
                      </w:rPr>
                    </w:pPr>
                    <w:r>
                      <w:rPr>
                        <w:rFonts w:ascii="Calibri"/>
                        <w:color w:val="585858"/>
                        <w:sz w:val="18"/>
                      </w:rPr>
                      <w:t>10</w:t>
                    </w:r>
                  </w:p>
                  <w:p>
                    <w:pPr>
                      <w:spacing w:line="216" w:lineRule="exact" w:before="87"/>
                      <w:ind w:left="162" w:right="0" w:firstLine="0"/>
                      <w:jc w:val="center"/>
                      <w:rPr>
                        <w:rFonts w:ascii="Calibri"/>
                        <w:sz w:val="18"/>
                      </w:rPr>
                    </w:pPr>
                    <w:r>
                      <w:rPr>
                        <w:rFonts w:ascii="Calibri"/>
                        <w:color w:val="585858"/>
                        <w:sz w:val="18"/>
                      </w:rPr>
                      <w:t>0</w:t>
                    </w:r>
                  </w:p>
                </w:txbxContent>
              </v:textbox>
              <w10:wrap type="none"/>
            </v:shape>
            <v:shape style="position:absolute;left:2696;top:-946;width:627;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0.2 MHz</w:t>
                    </w:r>
                  </w:p>
                </w:txbxContent>
              </v:textbox>
              <w10:wrap type="none"/>
            </v:shape>
            <v:shape style="position:absolute;left:4325;top:-946;width:627;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0.5 MHz</w:t>
                    </w:r>
                  </w:p>
                </w:txbxContent>
              </v:textbox>
              <w10:wrap type="none"/>
            </v:shape>
            <v:shape style="position:absolute;left:5465;top:-946;width:1602;height:460" type="#_x0000_t202" filled="false" stroked="false">
              <v:textbox inset="0,0,0,0">
                <w:txbxContent>
                  <w:p>
                    <w:pPr>
                      <w:spacing w:line="183" w:lineRule="exact" w:before="0"/>
                      <w:ind w:left="3" w:right="18" w:firstLine="0"/>
                      <w:jc w:val="center"/>
                      <w:rPr>
                        <w:rFonts w:ascii="Calibri"/>
                        <w:sz w:val="18"/>
                      </w:rPr>
                    </w:pPr>
                    <w:r>
                      <w:rPr>
                        <w:rFonts w:ascii="Calibri"/>
                        <w:color w:val="585858"/>
                        <w:sz w:val="18"/>
                      </w:rPr>
                      <w:t>1 MHz</w:t>
                    </w:r>
                  </w:p>
                  <w:p>
                    <w:pPr>
                      <w:spacing w:line="216" w:lineRule="exact" w:before="60"/>
                      <w:ind w:left="-1" w:right="18" w:firstLine="0"/>
                      <w:jc w:val="center"/>
                      <w:rPr>
                        <w:rFonts w:ascii="Calibri"/>
                        <w:b/>
                        <w:sz w:val="18"/>
                      </w:rPr>
                    </w:pPr>
                    <w:r>
                      <w:rPr>
                        <w:rFonts w:ascii="Calibri"/>
                        <w:b/>
                        <w:color w:val="585858"/>
                        <w:sz w:val="18"/>
                      </w:rPr>
                      <w:t>Interferer</w:t>
                    </w:r>
                    <w:r>
                      <w:rPr>
                        <w:rFonts w:ascii="Calibri"/>
                        <w:b/>
                        <w:color w:val="585858"/>
                        <w:spacing w:val="-11"/>
                        <w:sz w:val="18"/>
                      </w:rPr>
                      <w:t> </w:t>
                    </w:r>
                    <w:r>
                      <w:rPr>
                        <w:rFonts w:ascii="Calibri"/>
                        <w:b/>
                        <w:color w:val="585858"/>
                        <w:sz w:val="18"/>
                      </w:rPr>
                      <w:t>Bandwidth</w:t>
                    </w:r>
                  </w:p>
                </w:txbxContent>
              </v:textbox>
              <w10:wrap type="none"/>
            </v:shape>
            <v:shape style="position:absolute;left:7652;top:-946;width:490;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2 MHz</w:t>
                    </w:r>
                  </w:p>
                </w:txbxContent>
              </v:textbox>
              <w10:wrap type="none"/>
            </v:shape>
            <v:shape style="position:absolute;left:9282;top:-946;width:490;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5 MHz</w:t>
                    </w:r>
                  </w:p>
                </w:txbxContent>
              </v:textbox>
              <w10:wrap type="none"/>
            </v:shape>
            <w10:wrap type="none"/>
          </v:group>
        </w:pict>
      </w:r>
      <w:r>
        <w:rPr>
          <w:b/>
          <w:sz w:val="24"/>
        </w:rPr>
        <w:t>Figure 82: C-V2X vs DSRC Comparison plot when Interferer is at Position 2</w:t>
      </w:r>
    </w:p>
    <w:p>
      <w:pPr>
        <w:pStyle w:val="BodyText"/>
        <w:rPr>
          <w:b/>
        </w:rPr>
      </w:pPr>
    </w:p>
    <w:p>
      <w:pPr>
        <w:pStyle w:val="BodyText"/>
        <w:rPr>
          <w:b/>
        </w:rPr>
      </w:pPr>
    </w:p>
    <w:p>
      <w:pPr>
        <w:pStyle w:val="BodyText"/>
        <w:rPr>
          <w:b/>
        </w:rPr>
      </w:pPr>
    </w:p>
    <w:p>
      <w:pPr>
        <w:pStyle w:val="BodyText"/>
        <w:spacing w:before="9"/>
        <w:rPr>
          <w:b/>
          <w:sz w:val="28"/>
        </w:rPr>
      </w:pPr>
    </w:p>
    <w:p>
      <w:pPr>
        <w:spacing w:before="94"/>
        <w:ind w:left="7218" w:right="0" w:firstLine="0"/>
        <w:jc w:val="left"/>
        <w:rPr>
          <w:b/>
          <w:sz w:val="18"/>
        </w:rPr>
      </w:pPr>
      <w:r>
        <w:rPr/>
        <w:drawing>
          <wp:anchor distT="0" distB="0" distL="0" distR="0" allowOverlap="1" layoutInCell="1" locked="0" behindDoc="1" simplePos="0" relativeHeight="267937007">
            <wp:simplePos x="0" y="0"/>
            <wp:positionH relativeFrom="page">
              <wp:posOffset>4303776</wp:posOffset>
            </wp:positionH>
            <wp:positionV relativeFrom="paragraph">
              <wp:posOffset>62381</wp:posOffset>
            </wp:positionV>
            <wp:extent cx="925068" cy="131063"/>
            <wp:effectExtent l="0" t="0" r="0" b="0"/>
            <wp:wrapNone/>
            <wp:docPr id="173" name="image214.png" descr=""/>
            <wp:cNvGraphicFramePr>
              <a:graphicFrameLocks noChangeAspect="1"/>
            </wp:cNvGraphicFramePr>
            <a:graphic>
              <a:graphicData uri="http://schemas.openxmlformats.org/drawingml/2006/picture">
                <pic:pic>
                  <pic:nvPicPr>
                    <pic:cNvPr id="174" name="image214.png"/>
                    <pic:cNvPicPr/>
                  </pic:nvPicPr>
                  <pic:blipFill>
                    <a:blip r:embed="rId448" cstate="print"/>
                    <a:stretch>
                      <a:fillRect/>
                    </a:stretch>
                  </pic:blipFill>
                  <pic:spPr>
                    <a:xfrm>
                      <a:off x="0" y="0"/>
                      <a:ext cx="925068" cy="131063"/>
                    </a:xfrm>
                    <a:prstGeom prst="rect">
                      <a:avLst/>
                    </a:prstGeom>
                  </pic:spPr>
                </pic:pic>
              </a:graphicData>
            </a:graphic>
          </wp:anchor>
        </w:drawing>
      </w:r>
      <w:r>
        <w:rPr>
          <w:b/>
          <w:sz w:val="18"/>
        </w:rPr>
        <w:t>Interferer</w:t>
      </w:r>
    </w:p>
    <w:p>
      <w:pPr>
        <w:pStyle w:val="BodyText"/>
        <w:spacing w:before="8"/>
        <w:rPr>
          <w:b/>
          <w:sz w:val="27"/>
        </w:rPr>
      </w:pPr>
      <w:r>
        <w:rPr/>
        <w:pict>
          <v:group style="position:absolute;margin-left:94.649002pt;margin-top:17.886738pt;width:384.4pt;height:165.65pt;mso-position-horizontal-relative:page;mso-position-vertical-relative:paragraph;z-index:9304;mso-wrap-distance-left:0;mso-wrap-distance-right:0" coordorigin="1893,358" coordsize="7688,3313">
            <v:rect style="position:absolute;left:2952;top:1473;width:5818;height:1582" filled="true" fillcolor="#d9d9d9" stroked="false">
              <v:fill type="solid"/>
            </v:rect>
            <v:shape style="position:absolute;left:1893;top:2979;width:7688;height:120" coordorigin="1893,2979" coordsize="7688,120" path="m9571,3034l9481,3034,9481,3044,9461,3044,9461,3099,9581,3039,9571,3034xm9461,3034l1893,3050,1893,3060,9461,3044,9461,3034xm9481,3034l9461,3034,9461,3044,9481,3044,9481,3034xm9461,2979l9461,3034,9571,3034,9461,2979xe" filled="true" fillcolor="#000000" stroked="false">
              <v:path arrowok="t"/>
              <v:fill type="solid"/>
            </v:shape>
            <v:shape style="position:absolute;left:2251;top:3049;width:1486;height:590" type="#_x0000_t75" stroked="false">
              <v:imagedata r:id="rId449" o:title=""/>
            </v:shape>
            <v:shape style="position:absolute;left:8047;top:3040;width:1486;height:593" type="#_x0000_t75" stroked="false">
              <v:imagedata r:id="rId449" o:title=""/>
            </v:shape>
            <v:rect style="position:absolute;left:7181;top:358;width:481;height:2673" filled="true" fillcolor="#ffcc99" stroked="false">
              <v:fill type="solid"/>
            </v:rect>
            <v:shape style="position:absolute;left:4994;top:3071;width:1795;height:593" type="#_x0000_t75" stroked="false">
              <v:imagedata r:id="rId450" o:title=""/>
            </v:shape>
            <v:shape style="position:absolute;left:6595;top:3064;width:1795;height:593" type="#_x0000_t75" stroked="false">
              <v:imagedata r:id="rId450" o:title=""/>
            </v:shape>
            <v:shape style="position:absolute;left:3379;top:3078;width:1793;height:593" type="#_x0000_t75" stroked="false">
              <v:imagedata r:id="rId450" o:title=""/>
            </v:shape>
            <v:shape style="position:absolute;left:2792;top:3051;width:424;height:418" type="#_x0000_t202" filled="false" stroked="false">
              <v:textbox inset="0,0,0,0">
                <w:txbxContent>
                  <w:p>
                    <w:pPr>
                      <w:spacing w:line="201" w:lineRule="exact" w:before="0"/>
                      <w:ind w:left="0" w:right="0" w:firstLine="0"/>
                      <w:jc w:val="left"/>
                      <w:rPr>
                        <w:b/>
                        <w:sz w:val="18"/>
                      </w:rPr>
                    </w:pPr>
                    <w:r>
                      <w:rPr>
                        <w:b/>
                        <w:sz w:val="18"/>
                      </w:rPr>
                      <w:t>5855</w:t>
                    </w:r>
                  </w:p>
                  <w:p>
                    <w:pPr>
                      <w:spacing w:before="9"/>
                      <w:ind w:left="16" w:right="0" w:firstLine="0"/>
                      <w:jc w:val="left"/>
                      <w:rPr>
                        <w:b/>
                        <w:sz w:val="18"/>
                      </w:rPr>
                    </w:pPr>
                    <w:r>
                      <w:rPr>
                        <w:b/>
                        <w:sz w:val="18"/>
                      </w:rPr>
                      <w:t>MHz</w:t>
                    </w:r>
                  </w:p>
                </w:txbxContent>
              </v:textbox>
              <w10:wrap type="none"/>
            </v:shape>
            <v:shape style="position:absolute;left:3608;top:3073;width:2899;height:427" type="#_x0000_t202" filled="false" stroked="false">
              <v:textbox inset="0,0,0,0">
                <w:txbxContent>
                  <w:p>
                    <w:pPr>
                      <w:tabs>
                        <w:tab w:pos="1692" w:val="left" w:leader="none"/>
                      </w:tabs>
                      <w:spacing w:line="208" w:lineRule="exact" w:before="0"/>
                      <w:ind w:left="0" w:right="18" w:firstLine="0"/>
                      <w:jc w:val="center"/>
                      <w:rPr>
                        <w:b/>
                        <w:sz w:val="18"/>
                      </w:rPr>
                    </w:pPr>
                    <w:r>
                      <w:rPr>
                        <w:b/>
                        <w:sz w:val="18"/>
                      </w:rPr>
                      <w:t>fc =</w:t>
                    </w:r>
                    <w:r>
                      <w:rPr>
                        <w:b/>
                        <w:spacing w:val="-1"/>
                        <w:sz w:val="18"/>
                      </w:rPr>
                      <w:t> </w:t>
                    </w:r>
                    <w:r>
                      <w:rPr>
                        <w:b/>
                        <w:sz w:val="18"/>
                      </w:rPr>
                      <w:t>5857.5</w:t>
                    </w:r>
                    <w:r>
                      <w:rPr>
                        <w:b/>
                        <w:spacing w:val="-3"/>
                        <w:sz w:val="18"/>
                      </w:rPr>
                      <w:t> </w:t>
                    </w:r>
                    <w:r>
                      <w:rPr>
                        <w:b/>
                        <w:sz w:val="18"/>
                      </w:rPr>
                      <w:t>MHz</w:t>
                      <w:tab/>
                    </w:r>
                    <w:r>
                      <w:rPr>
                        <w:b/>
                        <w:position w:val="1"/>
                        <w:sz w:val="18"/>
                      </w:rPr>
                      <w:t>fc = 5860</w:t>
                    </w:r>
                    <w:r>
                      <w:rPr>
                        <w:b/>
                        <w:spacing w:val="-4"/>
                        <w:position w:val="1"/>
                        <w:sz w:val="18"/>
                      </w:rPr>
                      <w:t> </w:t>
                    </w:r>
                    <w:r>
                      <w:rPr>
                        <w:b/>
                        <w:position w:val="1"/>
                        <w:sz w:val="18"/>
                      </w:rPr>
                      <w:t>MHz</w:t>
                    </w:r>
                  </w:p>
                  <w:p>
                    <w:pPr>
                      <w:tabs>
                        <w:tab w:pos="1672" w:val="left" w:leader="none"/>
                      </w:tabs>
                      <w:spacing w:before="1"/>
                      <w:ind w:left="57" w:right="0" w:firstLine="0"/>
                      <w:jc w:val="center"/>
                      <w:rPr>
                        <w:b/>
                        <w:sz w:val="18"/>
                      </w:rPr>
                    </w:pPr>
                    <w:r>
                      <w:rPr>
                        <w:b/>
                        <w:sz w:val="18"/>
                      </w:rPr>
                      <w:t>Position</w:t>
                    </w:r>
                    <w:r>
                      <w:rPr>
                        <w:b/>
                        <w:spacing w:val="-2"/>
                        <w:sz w:val="18"/>
                      </w:rPr>
                      <w:t> </w:t>
                    </w:r>
                    <w:r>
                      <w:rPr>
                        <w:b/>
                        <w:sz w:val="18"/>
                      </w:rPr>
                      <w:t>2</w:t>
                      <w:tab/>
                    </w:r>
                    <w:r>
                      <w:rPr>
                        <w:b/>
                        <w:position w:val="1"/>
                        <w:sz w:val="18"/>
                      </w:rPr>
                      <w:t>Position</w:t>
                    </w:r>
                    <w:r>
                      <w:rPr>
                        <w:b/>
                        <w:spacing w:val="-2"/>
                        <w:position w:val="1"/>
                        <w:sz w:val="18"/>
                      </w:rPr>
                      <w:t> </w:t>
                    </w:r>
                    <w:r>
                      <w:rPr>
                        <w:b/>
                        <w:position w:val="1"/>
                        <w:sz w:val="18"/>
                      </w:rPr>
                      <w:t>1</w:t>
                    </w:r>
                  </w:p>
                </w:txbxContent>
              </v:textbox>
              <w10:wrap type="none"/>
            </v:shape>
            <v:shape style="position:absolute;left:6825;top:3066;width:1358;height:415" type="#_x0000_t202" filled="false" stroked="false">
              <v:textbox inset="0,0,0,0">
                <w:txbxContent>
                  <w:p>
                    <w:pPr>
                      <w:spacing w:line="201" w:lineRule="exact" w:before="0"/>
                      <w:ind w:left="0" w:right="18" w:firstLine="0"/>
                      <w:jc w:val="center"/>
                      <w:rPr>
                        <w:b/>
                        <w:sz w:val="18"/>
                      </w:rPr>
                    </w:pPr>
                    <w:r>
                      <w:rPr>
                        <w:b/>
                        <w:sz w:val="18"/>
                      </w:rPr>
                      <w:t>fc = 5862.5 MHz</w:t>
                    </w:r>
                  </w:p>
                  <w:p>
                    <w:pPr>
                      <w:spacing w:before="6"/>
                      <w:ind w:left="0" w:right="14" w:firstLine="0"/>
                      <w:jc w:val="center"/>
                      <w:rPr>
                        <w:b/>
                        <w:sz w:val="18"/>
                      </w:rPr>
                    </w:pPr>
                    <w:r>
                      <w:rPr>
                        <w:b/>
                        <w:sz w:val="18"/>
                      </w:rPr>
                      <w:t>Position 3</w:t>
                    </w:r>
                  </w:p>
                </w:txbxContent>
              </v:textbox>
              <w10:wrap type="none"/>
            </v:shape>
            <v:shape style="position:absolute;left:8589;top:3042;width:424;height:415" type="#_x0000_t202" filled="false" stroked="false">
              <v:textbox inset="0,0,0,0">
                <w:txbxContent>
                  <w:p>
                    <w:pPr>
                      <w:spacing w:line="201" w:lineRule="exact" w:before="0"/>
                      <w:ind w:left="0" w:right="0" w:firstLine="0"/>
                      <w:jc w:val="left"/>
                      <w:rPr>
                        <w:b/>
                        <w:sz w:val="18"/>
                      </w:rPr>
                    </w:pPr>
                    <w:r>
                      <w:rPr>
                        <w:b/>
                        <w:sz w:val="18"/>
                      </w:rPr>
                      <w:t>5865</w:t>
                    </w:r>
                  </w:p>
                  <w:p>
                    <w:pPr>
                      <w:spacing w:before="6"/>
                      <w:ind w:left="16" w:right="0" w:firstLine="0"/>
                      <w:jc w:val="left"/>
                      <w:rPr>
                        <w:b/>
                        <w:sz w:val="18"/>
                      </w:rPr>
                    </w:pPr>
                    <w:r>
                      <w:rPr>
                        <w:b/>
                        <w:sz w:val="18"/>
                      </w:rPr>
                      <w:t>MHz</w:t>
                    </w:r>
                  </w:p>
                </w:txbxContent>
              </v:textbox>
              <w10:wrap type="none"/>
            </v:shape>
            <w10:wrap type="topAndBottom"/>
          </v:group>
        </w:pict>
      </w:r>
    </w:p>
    <w:p>
      <w:pPr>
        <w:pStyle w:val="BodyText"/>
        <w:rPr>
          <w:b/>
        </w:rPr>
      </w:pPr>
    </w:p>
    <w:p>
      <w:pPr>
        <w:pStyle w:val="BodyText"/>
        <w:spacing w:before="7"/>
        <w:rPr>
          <w:b/>
          <w:sz w:val="23"/>
        </w:rPr>
      </w:pPr>
    </w:p>
    <w:p>
      <w:pPr>
        <w:pStyle w:val="Heading4"/>
      </w:pPr>
      <w:r>
        <w:rPr/>
        <w:pict>
          <v:shape style="position:absolute;margin-left:147.600006pt;margin-top:-136.408142pt;width:290.9pt;height:79.1pt;mso-position-horizontal-relative:page;mso-position-vertical-relative:paragraph;z-index:-498712" type="#_x0000_t202" filled="false" stroked="false">
            <v:textbox inset="0,0,0,0">
              <w:txbxContent>
                <w:p>
                  <w:pPr>
                    <w:pStyle w:val="BodyText"/>
                    <w:rPr>
                      <w:b/>
                    </w:rPr>
                  </w:pPr>
                </w:p>
                <w:p>
                  <w:pPr>
                    <w:pStyle w:val="BodyText"/>
                    <w:rPr>
                      <w:b/>
                    </w:rPr>
                  </w:pPr>
                </w:p>
                <w:p>
                  <w:pPr>
                    <w:pStyle w:val="BodyText"/>
                    <w:rPr>
                      <w:b/>
                      <w:sz w:val="19"/>
                    </w:rPr>
                  </w:pPr>
                </w:p>
                <w:p>
                  <w:pPr>
                    <w:pStyle w:val="BodyText"/>
                    <w:ind w:left="1251"/>
                    <w:rPr>
                      <w:rFonts w:ascii="Calibri"/>
                    </w:rPr>
                  </w:pPr>
                  <w:r>
                    <w:rPr>
                      <w:rFonts w:ascii="Calibri"/>
                      <w:color w:val="C00000"/>
                    </w:rPr>
                    <w:t>C-V2X 10MHz band (PSD not drawn to scale)</w:t>
                  </w:r>
                </w:p>
              </w:txbxContent>
            </v:textbox>
            <w10:wrap type="none"/>
          </v:shape>
        </w:pict>
      </w:r>
      <w:r>
        <w:rPr/>
        <w:t>Figure 83: When Interferer is at Position 3</w:t>
      </w:r>
    </w:p>
    <w:p>
      <w:pPr>
        <w:spacing w:after="0"/>
        <w:sectPr>
          <w:headerReference w:type="default" r:id="rId443"/>
          <w:pgSz w:w="11910" w:h="16850"/>
          <w:pgMar w:header="852" w:footer="876" w:top="1040" w:bottom="1160" w:left="0" w:right="0"/>
        </w:sectPr>
      </w:pPr>
    </w:p>
    <w:p>
      <w:pPr>
        <w:pStyle w:val="BodyText"/>
        <w:rPr>
          <w:b/>
        </w:rPr>
      </w:pPr>
      <w:r>
        <w:rPr/>
        <w:pict>
          <v:shape style="position:absolute;margin-left:60.776001pt;margin-top:233.197205pt;width:12pt;height:32.9pt;mso-position-horizontal-relative:page;mso-position-vertical-relative:page;z-index:9880" type="#_x0000_t202" filled="false" stroked="false">
            <v:textbox inset="0,0,0,0" style="layout-flow:vertical;mso-layout-flow-alt:bottom-to-top">
              <w:txbxContent>
                <w:p>
                  <w:pPr>
                    <w:pStyle w:val="BodyText"/>
                    <w:spacing w:line="223" w:lineRule="exact"/>
                    <w:ind w:left="20" w:right="-110"/>
                    <w:rPr>
                      <w:rFonts w:ascii="Calibri"/>
                    </w:rPr>
                  </w:pPr>
                  <w:r>
                    <w:rPr>
                      <w:rFonts w:ascii="Calibri"/>
                      <w:color w:val="585858"/>
                      <w:w w:val="99"/>
                    </w:rPr>
                    <w:t>PER</w:t>
                  </w:r>
                  <w:r>
                    <w:rPr>
                      <w:rFonts w:ascii="Calibri"/>
                      <w:color w:val="585858"/>
                      <w:spacing w:val="-1"/>
                    </w:rPr>
                    <w:t> </w:t>
                  </w:r>
                  <w:r>
                    <w:rPr>
                      <w:rFonts w:ascii="Calibri"/>
                      <w:color w:val="585858"/>
                      <w:spacing w:val="-1"/>
                      <w:w w:val="99"/>
                    </w:rPr>
                    <w:t>(</w:t>
                  </w:r>
                  <w:r>
                    <w:rPr>
                      <w:rFonts w:ascii="Calibri"/>
                      <w:color w:val="585858"/>
                      <w:spacing w:val="-2"/>
                      <w:w w:val="99"/>
                    </w:rPr>
                    <w:t>%</w:t>
                  </w:r>
                  <w:r>
                    <w:rPr>
                      <w:rFonts w:ascii="Calibri"/>
                      <w:color w:val="585858"/>
                      <w:w w:val="99"/>
                    </w:rPr>
                    <w:t>)</w:t>
                  </w:r>
                </w:p>
              </w:txbxContent>
            </v:textbox>
            <w10:wrap type="none"/>
          </v:shape>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19"/>
        </w:rPr>
      </w:pPr>
    </w:p>
    <w:p>
      <w:pPr>
        <w:pStyle w:val="Heading4"/>
        <w:spacing w:before="92"/>
        <w:ind w:left="1200"/>
        <w:jc w:val="both"/>
      </w:pPr>
      <w:r>
        <w:rPr/>
        <w:pict>
          <v:group style="position:absolute;margin-left:56.275002pt;margin-top:-327.169159pt;width:468.75pt;height:317.1pt;mso-position-horizontal-relative:page;mso-position-vertical-relative:paragraph;z-index:9856" coordorigin="1126,-6543" coordsize="9375,6342">
            <v:shape style="position:absolute;left:1940;top:-4843;width:8370;height:3766" type="#_x0000_t75" stroked="false">
              <v:imagedata r:id="rId453" o:title=""/>
            </v:shape>
            <v:shape style="position:absolute;left:0;top:5499;width:8370;height:3391" coordorigin="0,5499" coordsize="8370,3391" path="m1940,-1453l10310,-1453m1940,-1829l10310,-1829m1940,-2206l10310,-2206m1940,-2583l10310,-2583m1940,-2960l10310,-2960m1940,-3337l10310,-3337m1940,-3713l10310,-3713m1940,-4090l10310,-4090m1940,-4467l10310,-4467m9571,-4843l10310,-4843m7899,-4843l9372,-4843m6223,-4843l7699,-4843m4551,-4843l6024,-4843m2875,-4843l4351,-4843m1940,-4843l2676,-4843e" filled="false" stroked="true" strokeweight=".75pt" strokecolor="#d9d9d9">
              <v:path arrowok="t"/>
              <v:stroke dashstyle="solid"/>
            </v:shape>
            <v:shape style="position:absolute;left:0;top:8986;width:6696;height:3579" coordorigin="0,8986" coordsize="6696,3579" path="m2777,-4745l2777,-1167m4452,-4745l4452,-1167m6125,-4745l6125,-1174m7800,-4745l7800,-1172m9473,-4745l9473,-1184e" filled="false" stroked="true" strokeweight=".75pt" strokecolor="#d9d9d9">
              <v:path arrowok="t"/>
              <v:stroke dashstyle="solid"/>
            </v:shape>
            <v:shape style="position:absolute;left:0;top:8889;width:8370;height:3767" coordorigin="0,8889" coordsize="8370,3767" path="m1940,-4843l1940,-1077m3614,-4843l3614,-1077m5287,-4843l5287,-1077m6962,-4843l6962,-1077m8635,-4843l8635,-1077m10310,-4843l10310,-1077e" filled="false" stroked="true" strokeweight=".75pt" strokecolor="#d9d9d9">
              <v:path arrowok="t"/>
              <v:stroke dashstyle="solid"/>
            </v:shape>
            <v:shape style="position:absolute;left:0;top:8889;width:8370;height:2" coordorigin="0,8889" coordsize="8370,0" path="m9562,-1077l10310,-1077m7889,-1077l9382,-1077m6214,-1077l7709,-1077m4541,-1077l6034,-1077m2866,-1077l4361,-1077m1940,-1077l2686,-1077e" filled="false" stroked="true" strokeweight=".75pt" strokecolor="#d9d9d9">
              <v:path arrowok="t"/>
              <v:stroke dashstyle="solid"/>
            </v:shape>
            <v:shape style="position:absolute;left:2866;top:-1084;width:6516;height:2" coordorigin="2866,-1084" coordsize="6516,0" path="m7889,-1084l9382,-1084m6214,-1084l7709,-1084m4541,-1084l6034,-1084m2866,-1084l4361,-1084e" filled="false" stroked="true" strokeweight=".75pt" strokecolor="#4f81bc">
              <v:path arrowok="t"/>
              <v:stroke dashstyle="solid"/>
            </v:shape>
            <v:rect style="position:absolute;left:2686;top:-1167;width:180;height:180" filled="true" fillcolor="#006fc0" stroked="false">
              <v:fill type="solid"/>
            </v:rect>
            <v:rect style="position:absolute;left:2686;top:-1167;width:180;height:180" filled="false" stroked="true" strokeweight="1.2pt" strokecolor="#4f81bc">
              <v:stroke dashstyle="solid"/>
            </v:rect>
            <v:rect style="position:absolute;left:4361;top:-1167;width:180;height:180" filled="true" fillcolor="#006fc0" stroked="false">
              <v:fill type="solid"/>
            </v:rect>
            <v:rect style="position:absolute;left:4361;top:-1167;width:180;height:180" filled="false" stroked="true" strokeweight="1.2pt" strokecolor="#4f81bc">
              <v:stroke dashstyle="solid"/>
            </v:rect>
            <v:rect style="position:absolute;left:6034;top:-1174;width:180;height:180" filled="true" fillcolor="#006fc0" stroked="false">
              <v:fill type="solid"/>
            </v:rect>
            <v:rect style="position:absolute;left:6034;top:-1174;width:180;height:180" filled="false" stroked="true" strokeweight="1.2pt" strokecolor="#4f81bc">
              <v:stroke dashstyle="solid"/>
            </v:rect>
            <v:rect style="position:absolute;left:7709;top:-1172;width:180;height:180" filled="true" fillcolor="#006fc0" stroked="false">
              <v:fill type="solid"/>
            </v:rect>
            <v:rect style="position:absolute;left:7709;top:-1172;width:180;height:180" filled="false" stroked="true" strokeweight="1.2pt" strokecolor="#4f81bc">
              <v:stroke dashstyle="solid"/>
            </v:rect>
            <v:rect style="position:absolute;left:9382;top:-1184;width:180;height:180" filled="true" fillcolor="#006fc0" stroked="false">
              <v:fill type="solid"/>
            </v:rect>
            <v:rect style="position:absolute;left:9382;top:-1184;width:180;height:180" filled="false" stroked="true" strokeweight="1.2pt" strokecolor="#4f81bc">
              <v:stroke dashstyle="solid"/>
            </v:rect>
            <v:line style="position:absolute" from="2777,-1079" to="9473,-1079" stroked="true" strokeweight=".19pt" strokecolor="#00af50">
              <v:stroke dashstyle="solid"/>
            </v:line>
            <v:shape style="position:absolute;left:2705;top:-1153;width:144;height:144" type="#_x0000_t75" stroked="false">
              <v:imagedata r:id="rId454" o:title=""/>
            </v:shape>
            <v:shape style="position:absolute;left:4380;top:-1148;width:144;height:144" type="#_x0000_t75" stroked="false">
              <v:imagedata r:id="rId454" o:title=""/>
            </v:shape>
            <v:shape style="position:absolute;left:6053;top:-1148;width:144;height:144" type="#_x0000_t75" stroked="false">
              <v:imagedata r:id="rId454" o:title=""/>
            </v:shape>
            <v:shape style="position:absolute;left:7728;top:-1148;width:144;height:144" type="#_x0000_t75" stroked="false">
              <v:imagedata r:id="rId455" o:title=""/>
            </v:shape>
            <v:shape style="position:absolute;left:9401;top:-1148;width:144;height:144" type="#_x0000_t75" stroked="false">
              <v:imagedata r:id="rId455" o:title=""/>
            </v:shape>
            <v:shape style="position:absolute;left:98;top:8889;width:6497;height:2" coordorigin="98,8889" coordsize="6497,0" path="m7899,-4843l9372,-4843m6223,-4843l7699,-4843m4551,-4843l6024,-4843m2875,-4843l4351,-4843e" filled="false" stroked="true" strokeweight="1.75pt" strokecolor="#ffc000">
              <v:path arrowok="t"/>
              <v:stroke dashstyle="solid"/>
            </v:shape>
            <v:rect style="position:absolute;left:2676;top:-4945;width:199;height:199" filled="true" fillcolor="#ffc000" stroked="false">
              <v:fill type="solid"/>
            </v:rect>
            <v:rect style="position:absolute;left:2676;top:-4945;width:199;height:199" filled="false" stroked="true" strokeweight="1.2pt" strokecolor="#ffc000">
              <v:stroke dashstyle="solid"/>
            </v:rect>
            <v:rect style="position:absolute;left:4351;top:-4945;width:199;height:199" filled="true" fillcolor="#ffc000" stroked="false">
              <v:fill type="solid"/>
            </v:rect>
            <v:rect style="position:absolute;left:4351;top:-4945;width:199;height:199" filled="false" stroked="true" strokeweight="1.2pt" strokecolor="#ffc000">
              <v:stroke dashstyle="solid"/>
            </v:rect>
            <v:rect style="position:absolute;left:6024;top:-4945;width:199;height:199" filled="true" fillcolor="#ffc000" stroked="false">
              <v:fill type="solid"/>
            </v:rect>
            <v:rect style="position:absolute;left:6024;top:-4945;width:199;height:199" filled="false" stroked="true" strokeweight="1.2pt" strokecolor="#ffc000">
              <v:stroke dashstyle="solid"/>
            </v:rect>
            <v:rect style="position:absolute;left:7699;top:-4945;width:199;height:199" filled="true" fillcolor="#ffc000" stroked="false">
              <v:fill type="solid"/>
            </v:rect>
            <v:rect style="position:absolute;left:7699;top:-4945;width:199;height:199" filled="false" stroked="true" strokeweight="1.2pt" strokecolor="#ffc000">
              <v:stroke dashstyle="solid"/>
            </v:rect>
            <v:rect style="position:absolute;left:9372;top:-4945;width:199;height:199" filled="true" fillcolor="#ffc000" stroked="false">
              <v:fill type="solid"/>
            </v:rect>
            <v:rect style="position:absolute;left:9372;top:-4945;width:199;height:199" filled="false" stroked="true" strokeweight="1.2pt" strokecolor="#ffc000">
              <v:stroke dashstyle="solid"/>
            </v:rect>
            <v:shape style="position:absolute;left:2777;top:-4843;width:6696;height:2" coordorigin="2777,-4843" coordsize="6696,0" path="m2777,-4843l4452,-4843,6125,-4843,7800,-4843,9473,-4843e" filled="false" stroked="true" strokeweight="1.75pt" strokecolor="#c00000">
              <v:path arrowok="t"/>
              <v:stroke dashstyle="solid"/>
            </v:shape>
            <v:shape style="position:absolute;left:2705;top:-4916;width:144;height:144" type="#_x0000_t75" stroked="false">
              <v:imagedata r:id="rId456" o:title=""/>
            </v:shape>
            <v:shape style="position:absolute;left:4380;top:-4916;width:144;height:144" type="#_x0000_t75" stroked="false">
              <v:imagedata r:id="rId456" o:title=""/>
            </v:shape>
            <v:shape style="position:absolute;left:6053;top:-4916;width:144;height:144" type="#_x0000_t75" stroked="false">
              <v:imagedata r:id="rId456" o:title=""/>
            </v:shape>
            <v:shape style="position:absolute;left:7728;top:-4916;width:144;height:144" type="#_x0000_t75" stroked="false">
              <v:imagedata r:id="rId457" o:title=""/>
            </v:shape>
            <v:shape style="position:absolute;left:9401;top:-4916;width:144;height:144" type="#_x0000_t75" stroked="false">
              <v:imagedata r:id="rId457" o:title=""/>
            </v:shape>
            <v:shape style="position:absolute;left:0;top:8889;width:384;height:2" coordorigin="0,8889" coordsize="384,0" path="m2090,-5640l2214,-5640m1830,-5640l1951,-5640e" filled="false" stroked="true" strokeweight="1.75pt" strokecolor="#4f81bc">
              <v:path arrowok="t"/>
              <v:stroke dashstyle="solid"/>
            </v:shape>
            <v:rect style="position:absolute;left:1951;top:-5710;width:139;height:139" filled="true" fillcolor="#006fc0" stroked="false">
              <v:fill type="solid"/>
            </v:rect>
            <v:rect style="position:absolute;left:1951;top:-5710;width:139;height:139" filled="false" stroked="true" strokeweight="1.25pt" strokecolor="#4f81bc">
              <v:stroke dashstyle="solid"/>
            </v:rect>
            <v:shape style="position:absolute;left:5858;top:-5713;width:419;height:144" type="#_x0000_t75" stroked="false">
              <v:imagedata r:id="rId458" o:title=""/>
            </v:shape>
            <v:shape style="position:absolute;left:0;top:8889;width:384;height:2" coordorigin="0,8889" coordsize="384,0" path="m2090,-5230l2214,-5230m1830,-5230l1951,-5230e" filled="false" stroked="true" strokeweight="1.75pt" strokecolor="#ffc000">
              <v:path arrowok="t"/>
              <v:stroke dashstyle="solid"/>
            </v:shape>
            <v:rect style="position:absolute;left:1951;top:-5300;width:139;height:139" filled="true" fillcolor="#ffc000" stroked="false">
              <v:fill type="solid"/>
            </v:rect>
            <v:rect style="position:absolute;left:1951;top:-5300;width:139;height:139" filled="false" stroked="true" strokeweight="1.25pt" strokecolor="#ffc000">
              <v:stroke dashstyle="solid"/>
            </v:rect>
            <v:shape style="position:absolute;left:5858;top:-5302;width:419;height:144" type="#_x0000_t75" stroked="false">
              <v:imagedata r:id="rId459" o:title=""/>
            </v:shape>
            <v:rect style="position:absolute;left:1133;top:-6536;width:9360;height:6327" filled="false" stroked="true" strokeweight=".75pt" strokecolor="#d9d9d9">
              <v:stroke dashstyle="solid"/>
            </v:rect>
            <v:shape style="position:absolute;left:4314;top:-6320;width:3023;height:320" type="#_x0000_t202" filled="false" stroked="false">
              <v:textbox inset="0,0,0,0">
                <w:txbxContent>
                  <w:p>
                    <w:pPr>
                      <w:spacing w:line="319" w:lineRule="exact" w:before="0"/>
                      <w:ind w:left="0" w:right="0" w:firstLine="0"/>
                      <w:jc w:val="left"/>
                      <w:rPr>
                        <w:rFonts w:ascii="Calibri"/>
                        <w:b/>
                        <w:sz w:val="32"/>
                      </w:rPr>
                    </w:pPr>
                    <w:r>
                      <w:rPr>
                        <w:rFonts w:ascii="Calibri"/>
                        <w:b/>
                        <w:color w:val="7E7E7E"/>
                        <w:spacing w:val="-3"/>
                        <w:sz w:val="32"/>
                      </w:rPr>
                      <w:t>Interferer </w:t>
                    </w:r>
                    <w:r>
                      <w:rPr>
                        <w:rFonts w:ascii="Calibri"/>
                        <w:b/>
                        <w:color w:val="7E7E7E"/>
                        <w:sz w:val="32"/>
                      </w:rPr>
                      <w:t>at Position 3</w:t>
                    </w:r>
                  </w:p>
                </w:txbxContent>
              </v:textbox>
              <w10:wrap type="none"/>
            </v:shape>
            <v:shape style="position:absolute;left:2256;top:-5751;width:2942;height:650" type="#_x0000_t202" filled="false" stroked="false">
              <v:textbox inset="0,0,0,0">
                <w:txbxContent>
                  <w:p>
                    <w:pPr>
                      <w:spacing w:line="244" w:lineRule="exact" w:before="0"/>
                      <w:ind w:left="0" w:right="0" w:firstLine="0"/>
                      <w:jc w:val="left"/>
                      <w:rPr>
                        <w:rFonts w:ascii="Calibri"/>
                        <w:sz w:val="24"/>
                      </w:rPr>
                    </w:pPr>
                    <w:r>
                      <w:rPr>
                        <w:rFonts w:ascii="Calibri"/>
                        <w:color w:val="585858"/>
                        <w:sz w:val="24"/>
                      </w:rPr>
                      <w:t>C-V2X PER % (Interferer at Rx)</w:t>
                    </w:r>
                  </w:p>
                  <w:p>
                    <w:pPr>
                      <w:spacing w:line="289" w:lineRule="exact" w:before="117"/>
                      <w:ind w:left="0" w:right="0" w:firstLine="0"/>
                      <w:jc w:val="left"/>
                      <w:rPr>
                        <w:rFonts w:ascii="Calibri"/>
                        <w:sz w:val="24"/>
                      </w:rPr>
                    </w:pPr>
                    <w:r>
                      <w:rPr>
                        <w:rFonts w:ascii="Calibri"/>
                        <w:color w:val="585858"/>
                        <w:sz w:val="24"/>
                      </w:rPr>
                      <w:t>DSRC PER % (Interferer at Rx)</w:t>
                    </w:r>
                  </w:p>
                </w:txbxContent>
              </v:textbox>
              <w10:wrap type="none"/>
            </v:shape>
            <v:shape style="position:absolute;left:6302;top:-5751;width:3582;height:650" type="#_x0000_t202" filled="false" stroked="false">
              <v:textbox inset="0,0,0,0">
                <w:txbxContent>
                  <w:p>
                    <w:pPr>
                      <w:spacing w:line="244" w:lineRule="exact" w:before="0"/>
                      <w:ind w:left="0" w:right="0" w:firstLine="0"/>
                      <w:jc w:val="left"/>
                      <w:rPr>
                        <w:rFonts w:ascii="Calibri"/>
                        <w:sz w:val="24"/>
                      </w:rPr>
                    </w:pPr>
                    <w:r>
                      <w:rPr>
                        <w:rFonts w:ascii="Calibri"/>
                        <w:color w:val="585858"/>
                        <w:sz w:val="24"/>
                      </w:rPr>
                      <w:t>C-V2X PER %(Interferer at Tx and Rx)</w:t>
                    </w:r>
                  </w:p>
                  <w:p>
                    <w:pPr>
                      <w:spacing w:line="289" w:lineRule="exact" w:before="117"/>
                      <w:ind w:left="0" w:right="0" w:firstLine="0"/>
                      <w:jc w:val="left"/>
                      <w:rPr>
                        <w:rFonts w:ascii="Calibri"/>
                        <w:sz w:val="24"/>
                      </w:rPr>
                    </w:pPr>
                    <w:r>
                      <w:rPr>
                        <w:rFonts w:ascii="Calibri"/>
                        <w:color w:val="585858"/>
                        <w:sz w:val="24"/>
                      </w:rPr>
                      <w:t>DSRC PER %(Interferer at Tx and Rx)</w:t>
                    </w:r>
                  </w:p>
                </w:txbxContent>
              </v:textbox>
              <w10:wrap type="none"/>
            </v:shape>
            <v:shape style="position:absolute;left:1500;top:-4926;width:294;height:3947" type="#_x0000_t202" filled="false" stroked="false">
              <v:textbox inset="0,0,0,0">
                <w:txbxContent>
                  <w:p>
                    <w:pPr>
                      <w:spacing w:line="183" w:lineRule="exact" w:before="0"/>
                      <w:ind w:left="-1" w:right="18" w:firstLine="0"/>
                      <w:jc w:val="center"/>
                      <w:rPr>
                        <w:rFonts w:ascii="Calibri"/>
                        <w:sz w:val="18"/>
                      </w:rPr>
                    </w:pPr>
                    <w:r>
                      <w:rPr>
                        <w:rFonts w:ascii="Calibri"/>
                        <w:color w:val="585858"/>
                        <w:spacing w:val="-1"/>
                        <w:sz w:val="18"/>
                      </w:rPr>
                      <w:t>100</w:t>
                    </w:r>
                  </w:p>
                  <w:p>
                    <w:pPr>
                      <w:spacing w:before="156"/>
                      <w:ind w:left="91" w:right="0" w:firstLine="0"/>
                      <w:jc w:val="left"/>
                      <w:rPr>
                        <w:rFonts w:ascii="Calibri"/>
                        <w:sz w:val="18"/>
                      </w:rPr>
                    </w:pPr>
                    <w:r>
                      <w:rPr>
                        <w:rFonts w:ascii="Calibri"/>
                        <w:color w:val="585858"/>
                        <w:sz w:val="18"/>
                      </w:rPr>
                      <w:t>90</w:t>
                    </w:r>
                  </w:p>
                  <w:p>
                    <w:pPr>
                      <w:spacing w:before="156"/>
                      <w:ind w:left="91" w:right="0" w:firstLine="0"/>
                      <w:jc w:val="left"/>
                      <w:rPr>
                        <w:rFonts w:ascii="Calibri"/>
                        <w:sz w:val="18"/>
                      </w:rPr>
                    </w:pPr>
                    <w:r>
                      <w:rPr>
                        <w:rFonts w:ascii="Calibri"/>
                        <w:color w:val="585858"/>
                        <w:sz w:val="18"/>
                      </w:rPr>
                      <w:t>80</w:t>
                    </w:r>
                  </w:p>
                  <w:p>
                    <w:pPr>
                      <w:spacing w:before="156"/>
                      <w:ind w:left="91" w:right="0" w:firstLine="0"/>
                      <w:jc w:val="left"/>
                      <w:rPr>
                        <w:rFonts w:ascii="Calibri"/>
                        <w:sz w:val="18"/>
                      </w:rPr>
                    </w:pPr>
                    <w:r>
                      <w:rPr>
                        <w:rFonts w:ascii="Calibri"/>
                        <w:color w:val="585858"/>
                        <w:sz w:val="18"/>
                      </w:rPr>
                      <w:t>70</w:t>
                    </w:r>
                  </w:p>
                  <w:p>
                    <w:pPr>
                      <w:spacing w:before="156"/>
                      <w:ind w:left="91" w:right="0" w:firstLine="0"/>
                      <w:jc w:val="left"/>
                      <w:rPr>
                        <w:rFonts w:ascii="Calibri"/>
                        <w:sz w:val="18"/>
                      </w:rPr>
                    </w:pPr>
                    <w:r>
                      <w:rPr>
                        <w:rFonts w:ascii="Calibri"/>
                        <w:color w:val="585858"/>
                        <w:sz w:val="18"/>
                      </w:rPr>
                      <w:t>60</w:t>
                    </w:r>
                  </w:p>
                  <w:p>
                    <w:pPr>
                      <w:spacing w:before="156"/>
                      <w:ind w:left="91" w:right="0" w:firstLine="0"/>
                      <w:jc w:val="left"/>
                      <w:rPr>
                        <w:rFonts w:ascii="Calibri"/>
                        <w:sz w:val="18"/>
                      </w:rPr>
                    </w:pPr>
                    <w:r>
                      <w:rPr>
                        <w:rFonts w:ascii="Calibri"/>
                        <w:color w:val="585858"/>
                        <w:sz w:val="18"/>
                      </w:rPr>
                      <w:t>50</w:t>
                    </w:r>
                  </w:p>
                  <w:p>
                    <w:pPr>
                      <w:spacing w:before="157"/>
                      <w:ind w:left="91" w:right="0" w:firstLine="0"/>
                      <w:jc w:val="left"/>
                      <w:rPr>
                        <w:rFonts w:ascii="Calibri"/>
                        <w:sz w:val="18"/>
                      </w:rPr>
                    </w:pPr>
                    <w:r>
                      <w:rPr>
                        <w:rFonts w:ascii="Calibri"/>
                        <w:color w:val="585858"/>
                        <w:sz w:val="18"/>
                      </w:rPr>
                      <w:t>40</w:t>
                    </w:r>
                  </w:p>
                  <w:p>
                    <w:pPr>
                      <w:spacing w:before="157"/>
                      <w:ind w:left="91" w:right="0" w:firstLine="0"/>
                      <w:jc w:val="left"/>
                      <w:rPr>
                        <w:rFonts w:ascii="Calibri"/>
                        <w:sz w:val="18"/>
                      </w:rPr>
                    </w:pPr>
                    <w:r>
                      <w:rPr>
                        <w:rFonts w:ascii="Calibri"/>
                        <w:color w:val="585858"/>
                        <w:sz w:val="18"/>
                      </w:rPr>
                      <w:t>30</w:t>
                    </w:r>
                  </w:p>
                  <w:p>
                    <w:pPr>
                      <w:spacing w:before="156"/>
                      <w:ind w:left="91" w:right="0" w:firstLine="0"/>
                      <w:jc w:val="left"/>
                      <w:rPr>
                        <w:rFonts w:ascii="Calibri"/>
                        <w:sz w:val="18"/>
                      </w:rPr>
                    </w:pPr>
                    <w:r>
                      <w:rPr>
                        <w:rFonts w:ascii="Calibri"/>
                        <w:color w:val="585858"/>
                        <w:sz w:val="18"/>
                      </w:rPr>
                      <w:t>20</w:t>
                    </w:r>
                  </w:p>
                  <w:p>
                    <w:pPr>
                      <w:spacing w:before="156"/>
                      <w:ind w:left="91" w:right="0" w:firstLine="0"/>
                      <w:jc w:val="left"/>
                      <w:rPr>
                        <w:rFonts w:ascii="Calibri"/>
                        <w:sz w:val="18"/>
                      </w:rPr>
                    </w:pPr>
                    <w:r>
                      <w:rPr>
                        <w:rFonts w:ascii="Calibri"/>
                        <w:color w:val="585858"/>
                        <w:sz w:val="18"/>
                      </w:rPr>
                      <w:t>10</w:t>
                    </w:r>
                  </w:p>
                  <w:p>
                    <w:pPr>
                      <w:spacing w:line="216" w:lineRule="exact" w:before="156"/>
                      <w:ind w:left="162" w:right="0" w:firstLine="0"/>
                      <w:jc w:val="center"/>
                      <w:rPr>
                        <w:rFonts w:ascii="Calibri"/>
                        <w:sz w:val="18"/>
                      </w:rPr>
                    </w:pPr>
                    <w:r>
                      <w:rPr>
                        <w:rFonts w:ascii="Calibri"/>
                        <w:color w:val="585858"/>
                        <w:sz w:val="18"/>
                      </w:rPr>
                      <w:t>0</w:t>
                    </w:r>
                  </w:p>
                </w:txbxContent>
              </v:textbox>
              <w10:wrap type="none"/>
            </v:shape>
            <v:shape style="position:absolute;left:2475;top:-926;width:627;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0.2 MHz</w:t>
                    </w:r>
                  </w:p>
                </w:txbxContent>
              </v:textbox>
              <w10:wrap type="none"/>
            </v:shape>
            <v:shape style="position:absolute;left:4149;top:-926;width:627;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0.5 MHz</w:t>
                    </w:r>
                  </w:p>
                </w:txbxContent>
              </v:textbox>
              <w10:wrap type="none"/>
            </v:shape>
            <v:shape style="position:absolute;left:5392;top:-926;width:1487;height:484" type="#_x0000_t202" filled="false" stroked="false">
              <v:textbox inset="0,0,0,0">
                <w:txbxContent>
                  <w:p>
                    <w:pPr>
                      <w:spacing w:line="183" w:lineRule="exact" w:before="0"/>
                      <w:ind w:left="0" w:right="15" w:firstLine="0"/>
                      <w:jc w:val="center"/>
                      <w:rPr>
                        <w:rFonts w:ascii="Calibri"/>
                        <w:sz w:val="18"/>
                      </w:rPr>
                    </w:pPr>
                    <w:r>
                      <w:rPr>
                        <w:rFonts w:ascii="Calibri"/>
                        <w:color w:val="585858"/>
                        <w:sz w:val="18"/>
                      </w:rPr>
                      <w:t>1 MHz</w:t>
                    </w:r>
                  </w:p>
                  <w:p>
                    <w:pPr>
                      <w:spacing w:line="240" w:lineRule="exact" w:before="59"/>
                      <w:ind w:left="0" w:right="18" w:firstLine="0"/>
                      <w:jc w:val="center"/>
                      <w:rPr>
                        <w:rFonts w:ascii="Calibri"/>
                        <w:sz w:val="20"/>
                      </w:rPr>
                    </w:pPr>
                    <w:r>
                      <w:rPr>
                        <w:rFonts w:ascii="Calibri"/>
                        <w:color w:val="585858"/>
                        <w:sz w:val="20"/>
                      </w:rPr>
                      <w:t>Jammer</w:t>
                    </w:r>
                    <w:r>
                      <w:rPr>
                        <w:rFonts w:ascii="Calibri"/>
                        <w:color w:val="585858"/>
                        <w:spacing w:val="-6"/>
                        <w:sz w:val="20"/>
                      </w:rPr>
                      <w:t> </w:t>
                    </w:r>
                    <w:r>
                      <w:rPr>
                        <w:rFonts w:ascii="Calibri"/>
                        <w:color w:val="585858"/>
                        <w:sz w:val="20"/>
                      </w:rPr>
                      <w:t>Bandwith</w:t>
                    </w:r>
                  </w:p>
                </w:txbxContent>
              </v:textbox>
              <w10:wrap type="none"/>
            </v:shape>
            <v:shape style="position:absolute;left:7566;top:-926;width:490;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2 MHz</w:t>
                    </w:r>
                  </w:p>
                </w:txbxContent>
              </v:textbox>
              <w10:wrap type="none"/>
            </v:shape>
            <v:shape style="position:absolute;left:9240;top:-926;width:490;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5 MHz</w:t>
                    </w:r>
                  </w:p>
                </w:txbxContent>
              </v:textbox>
              <w10:wrap type="none"/>
            </v:shape>
            <w10:wrap type="none"/>
          </v:group>
        </w:pict>
      </w:r>
      <w:r>
        <w:rPr/>
        <w:t>Figure 84: C-V2X vs DSRC Comparison plot when Interferer is at Position 3</w:t>
      </w:r>
    </w:p>
    <w:p>
      <w:pPr>
        <w:pStyle w:val="BodyText"/>
        <w:rPr>
          <w:b/>
          <w:sz w:val="26"/>
        </w:rPr>
      </w:pPr>
    </w:p>
    <w:p>
      <w:pPr>
        <w:pStyle w:val="BodyText"/>
        <w:spacing w:line="242" w:lineRule="auto" w:before="177"/>
        <w:ind w:left="2268" w:right="1131" w:hanging="852"/>
        <w:jc w:val="both"/>
      </w:pPr>
      <w:r>
        <w:rPr/>
        <w:t>NOTE: The difference in </w:t>
      </w:r>
      <w:r>
        <w:rPr>
          <w:b/>
        </w:rPr>
        <w:t>Interferer at Rx </w:t>
      </w:r>
      <w:r>
        <w:rPr/>
        <w:t>plots between Figure 82 and Figure 84 for C-V2X can be explained by the unevenness in noise level. Since the noise level of a given test environment cannot be perfectly flat, it plays a role in the C-V2X device’s scheduling decisions for choosing a part of the spectrum with lower energy for transmission.</w:t>
      </w:r>
    </w:p>
    <w:p>
      <w:pPr>
        <w:pStyle w:val="BodyText"/>
        <w:spacing w:before="8"/>
        <w:rPr>
          <w:sz w:val="25"/>
        </w:rPr>
      </w:pPr>
    </w:p>
    <w:p>
      <w:pPr>
        <w:pStyle w:val="Heading5"/>
        <w:numPr>
          <w:ilvl w:val="3"/>
          <w:numId w:val="55"/>
        </w:numPr>
        <w:tabs>
          <w:tab w:pos="2552" w:val="left" w:leader="none"/>
        </w:tabs>
        <w:spacing w:line="240" w:lineRule="auto" w:before="0" w:after="0"/>
        <w:ind w:left="2551" w:right="0" w:hanging="1418"/>
        <w:jc w:val="both"/>
        <w:rPr>
          <w:rFonts w:ascii="Arial"/>
        </w:rPr>
      </w:pPr>
      <w:r>
        <w:rPr>
          <w:rFonts w:ascii="Arial"/>
        </w:rPr>
        <w:t>Evaluation</w:t>
      </w:r>
      <w:r>
        <w:rPr>
          <w:rFonts w:ascii="Arial"/>
          <w:spacing w:val="-6"/>
        </w:rPr>
        <w:t> </w:t>
      </w:r>
      <w:r>
        <w:rPr>
          <w:rFonts w:ascii="Arial"/>
        </w:rPr>
        <w:t>Criteria</w:t>
      </w:r>
    </w:p>
    <w:p>
      <w:pPr>
        <w:pStyle w:val="BodyText"/>
        <w:spacing w:before="181"/>
        <w:ind w:left="1133" w:right="1129"/>
        <w:jc w:val="both"/>
      </w:pPr>
      <w:r>
        <w:rPr/>
        <w:t>Evaluation criteria assesses and compare Tx and Rx activity of the Tx and Rx devices, respectively, across the various interference scenarios. In addition, the purpose is to measure reported PER values for the Rx device with the injected interference stream.</w:t>
      </w:r>
    </w:p>
    <w:p>
      <w:pPr>
        <w:pStyle w:val="BodyText"/>
        <w:rPr>
          <w:sz w:val="26"/>
        </w:rPr>
      </w:pPr>
    </w:p>
    <w:p>
      <w:pPr>
        <w:pStyle w:val="Heading5"/>
        <w:numPr>
          <w:ilvl w:val="3"/>
          <w:numId w:val="55"/>
        </w:numPr>
        <w:tabs>
          <w:tab w:pos="2552" w:val="left" w:leader="none"/>
        </w:tabs>
        <w:spacing w:line="240" w:lineRule="auto" w:before="0" w:after="0"/>
        <w:ind w:left="2551" w:right="0" w:hanging="1418"/>
        <w:jc w:val="both"/>
        <w:rPr>
          <w:rFonts w:ascii="Arial"/>
        </w:rPr>
      </w:pPr>
      <w:r>
        <w:rPr>
          <w:rFonts w:ascii="Arial"/>
        </w:rPr>
        <w:t>Key</w:t>
      </w:r>
      <w:r>
        <w:rPr>
          <w:rFonts w:ascii="Arial"/>
          <w:spacing w:val="-8"/>
        </w:rPr>
        <w:t> </w:t>
      </w:r>
      <w:r>
        <w:rPr>
          <w:rFonts w:ascii="Arial"/>
        </w:rPr>
        <w:t>Takeaway</w:t>
      </w:r>
    </w:p>
    <w:p>
      <w:pPr>
        <w:pStyle w:val="BodyText"/>
        <w:spacing w:before="182"/>
        <w:ind w:left="1133" w:right="1128"/>
        <w:jc w:val="both"/>
      </w:pPr>
      <w:r>
        <w:rPr/>
        <w:t>This</w:t>
      </w:r>
      <w:r>
        <w:rPr>
          <w:spacing w:val="-7"/>
        </w:rPr>
        <w:t> </w:t>
      </w:r>
      <w:r>
        <w:rPr/>
        <w:t>test</w:t>
      </w:r>
      <w:r>
        <w:rPr>
          <w:spacing w:val="-8"/>
        </w:rPr>
        <w:t> </w:t>
      </w:r>
      <w:r>
        <w:rPr/>
        <w:t>examines</w:t>
      </w:r>
      <w:r>
        <w:rPr>
          <w:spacing w:val="-7"/>
        </w:rPr>
        <w:t> </w:t>
      </w:r>
      <w:r>
        <w:rPr/>
        <w:t>and</w:t>
      </w:r>
      <w:r>
        <w:rPr>
          <w:spacing w:val="-8"/>
        </w:rPr>
        <w:t> </w:t>
      </w:r>
      <w:r>
        <w:rPr/>
        <w:t>compares</w:t>
      </w:r>
      <w:r>
        <w:rPr>
          <w:spacing w:val="-7"/>
        </w:rPr>
        <w:t> </w:t>
      </w:r>
      <w:r>
        <w:rPr/>
        <w:t>the</w:t>
      </w:r>
      <w:r>
        <w:rPr>
          <w:spacing w:val="-8"/>
        </w:rPr>
        <w:t> </w:t>
      </w:r>
      <w:r>
        <w:rPr/>
        <w:t>robustness</w:t>
      </w:r>
      <w:r>
        <w:rPr>
          <w:spacing w:val="-7"/>
        </w:rPr>
        <w:t> </w:t>
      </w:r>
      <w:r>
        <w:rPr/>
        <w:t>of</w:t>
      </w:r>
      <w:r>
        <w:rPr>
          <w:spacing w:val="-6"/>
        </w:rPr>
        <w:t> </w:t>
      </w:r>
      <w:r>
        <w:rPr/>
        <w:t>V2X</w:t>
      </w:r>
      <w:r>
        <w:rPr>
          <w:spacing w:val="-7"/>
        </w:rPr>
        <w:t> </w:t>
      </w:r>
      <w:r>
        <w:rPr/>
        <w:t>technologies</w:t>
      </w:r>
      <w:r>
        <w:rPr>
          <w:spacing w:val="-7"/>
        </w:rPr>
        <w:t> </w:t>
      </w:r>
      <w:r>
        <w:rPr/>
        <w:t>to</w:t>
      </w:r>
      <w:r>
        <w:rPr>
          <w:spacing w:val="-8"/>
        </w:rPr>
        <w:t> </w:t>
      </w:r>
      <w:r>
        <w:rPr/>
        <w:t>narrow</w:t>
      </w:r>
      <w:r>
        <w:rPr>
          <w:spacing w:val="-7"/>
        </w:rPr>
        <w:t> </w:t>
      </w:r>
      <w:r>
        <w:rPr/>
        <w:t>band</w:t>
      </w:r>
      <w:r>
        <w:rPr>
          <w:spacing w:val="-6"/>
        </w:rPr>
        <w:t> </w:t>
      </w:r>
      <w:r>
        <w:rPr/>
        <w:t>Interferer.</w:t>
      </w:r>
      <w:r>
        <w:rPr>
          <w:spacing w:val="-8"/>
        </w:rPr>
        <w:t> </w:t>
      </w:r>
      <w:r>
        <w:rPr/>
        <w:t>The</w:t>
      </w:r>
      <w:r>
        <w:rPr>
          <w:spacing w:val="-8"/>
        </w:rPr>
        <w:t> </w:t>
      </w:r>
      <w:r>
        <w:rPr/>
        <w:t>jamming signal is placed at various frequency locations within the channel. Two scenarios are modelled. In the first scenario,</w:t>
      </w:r>
      <w:r>
        <w:rPr>
          <w:spacing w:val="-13"/>
        </w:rPr>
        <w:t> </w:t>
      </w:r>
      <w:r>
        <w:rPr/>
        <w:t>the</w:t>
      </w:r>
      <w:r>
        <w:rPr>
          <w:spacing w:val="-13"/>
        </w:rPr>
        <w:t> </w:t>
      </w:r>
      <w:r>
        <w:rPr/>
        <w:t>jamming</w:t>
      </w:r>
      <w:r>
        <w:rPr>
          <w:spacing w:val="-13"/>
        </w:rPr>
        <w:t> </w:t>
      </w:r>
      <w:r>
        <w:rPr/>
        <w:t>signal</w:t>
      </w:r>
      <w:r>
        <w:rPr>
          <w:spacing w:val="-14"/>
        </w:rPr>
        <w:t> </w:t>
      </w:r>
      <w:r>
        <w:rPr/>
        <w:t>is</w:t>
      </w:r>
      <w:r>
        <w:rPr>
          <w:spacing w:val="-11"/>
        </w:rPr>
        <w:t> </w:t>
      </w:r>
      <w:r>
        <w:rPr/>
        <w:t>heard</w:t>
      </w:r>
      <w:r>
        <w:rPr>
          <w:spacing w:val="-12"/>
        </w:rPr>
        <w:t> </w:t>
      </w:r>
      <w:r>
        <w:rPr/>
        <w:t>only</w:t>
      </w:r>
      <w:r>
        <w:rPr>
          <w:spacing w:val="-15"/>
        </w:rPr>
        <w:t> </w:t>
      </w:r>
      <w:r>
        <w:rPr/>
        <w:t>by</w:t>
      </w:r>
      <w:r>
        <w:rPr>
          <w:spacing w:val="-15"/>
        </w:rPr>
        <w:t> </w:t>
      </w:r>
      <w:r>
        <w:rPr/>
        <w:t>the</w:t>
      </w:r>
      <w:r>
        <w:rPr>
          <w:spacing w:val="-13"/>
        </w:rPr>
        <w:t> </w:t>
      </w:r>
      <w:r>
        <w:rPr/>
        <w:t>receiving</w:t>
      </w:r>
      <w:r>
        <w:rPr>
          <w:spacing w:val="-13"/>
        </w:rPr>
        <w:t> </w:t>
      </w:r>
      <w:r>
        <w:rPr/>
        <w:t>device.</w:t>
      </w:r>
      <w:r>
        <w:rPr>
          <w:spacing w:val="-13"/>
        </w:rPr>
        <w:t> </w:t>
      </w:r>
      <w:r>
        <w:rPr/>
        <w:t>This</w:t>
      </w:r>
      <w:r>
        <w:rPr>
          <w:spacing w:val="-11"/>
        </w:rPr>
        <w:t> </w:t>
      </w:r>
      <w:r>
        <w:rPr/>
        <w:t>emulates</w:t>
      </w:r>
      <w:r>
        <w:rPr>
          <w:spacing w:val="-11"/>
        </w:rPr>
        <w:t> </w:t>
      </w:r>
      <w:r>
        <w:rPr/>
        <w:t>a</w:t>
      </w:r>
      <w:r>
        <w:rPr>
          <w:spacing w:val="-13"/>
        </w:rPr>
        <w:t> </w:t>
      </w:r>
      <w:r>
        <w:rPr/>
        <w:t>situation</w:t>
      </w:r>
      <w:r>
        <w:rPr>
          <w:spacing w:val="-10"/>
        </w:rPr>
        <w:t> </w:t>
      </w:r>
      <w:r>
        <w:rPr/>
        <w:t>where</w:t>
      </w:r>
      <w:r>
        <w:rPr>
          <w:spacing w:val="-13"/>
        </w:rPr>
        <w:t> </w:t>
      </w:r>
      <w:r>
        <w:rPr/>
        <w:t>the</w:t>
      </w:r>
      <w:r>
        <w:rPr>
          <w:spacing w:val="-3"/>
        </w:rPr>
        <w:t> </w:t>
      </w:r>
      <w:r>
        <w:rPr/>
        <w:t>location of</w:t>
      </w:r>
      <w:r>
        <w:rPr>
          <w:spacing w:val="-6"/>
        </w:rPr>
        <w:t> </w:t>
      </w:r>
      <w:r>
        <w:rPr/>
        <w:t>the</w:t>
      </w:r>
      <w:r>
        <w:rPr>
          <w:spacing w:val="-8"/>
        </w:rPr>
        <w:t> </w:t>
      </w:r>
      <w:r>
        <w:rPr/>
        <w:t>Interferer</w:t>
      </w:r>
      <w:r>
        <w:rPr>
          <w:spacing w:val="-7"/>
        </w:rPr>
        <w:t> </w:t>
      </w:r>
      <w:r>
        <w:rPr/>
        <w:t>hides</w:t>
      </w:r>
      <w:r>
        <w:rPr>
          <w:spacing w:val="-7"/>
        </w:rPr>
        <w:t> </w:t>
      </w:r>
      <w:r>
        <w:rPr/>
        <w:t>it</w:t>
      </w:r>
      <w:r>
        <w:rPr>
          <w:spacing w:val="-8"/>
        </w:rPr>
        <w:t> </w:t>
      </w:r>
      <w:r>
        <w:rPr/>
        <w:t>from</w:t>
      </w:r>
      <w:r>
        <w:rPr>
          <w:spacing w:val="-6"/>
        </w:rPr>
        <w:t> </w:t>
      </w:r>
      <w:r>
        <w:rPr/>
        <w:t>the</w:t>
      </w:r>
      <w:r>
        <w:rPr>
          <w:spacing w:val="-8"/>
        </w:rPr>
        <w:t> </w:t>
      </w:r>
      <w:r>
        <w:rPr/>
        <w:t>transmitter’s</w:t>
      </w:r>
      <w:r>
        <w:rPr>
          <w:spacing w:val="-7"/>
        </w:rPr>
        <w:t> </w:t>
      </w:r>
      <w:r>
        <w:rPr/>
        <w:t>perspective.</w:t>
      </w:r>
      <w:r>
        <w:rPr>
          <w:spacing w:val="-8"/>
        </w:rPr>
        <w:t> </w:t>
      </w:r>
      <w:r>
        <w:rPr/>
        <w:t>In</w:t>
      </w:r>
      <w:r>
        <w:rPr>
          <w:spacing w:val="-8"/>
        </w:rPr>
        <w:t> </w:t>
      </w:r>
      <w:r>
        <w:rPr/>
        <w:t>the</w:t>
      </w:r>
      <w:r>
        <w:rPr>
          <w:spacing w:val="-8"/>
        </w:rPr>
        <w:t> </w:t>
      </w:r>
      <w:r>
        <w:rPr/>
        <w:t>second</w:t>
      </w:r>
      <w:r>
        <w:rPr>
          <w:spacing w:val="-8"/>
        </w:rPr>
        <w:t> </w:t>
      </w:r>
      <w:r>
        <w:rPr/>
        <w:t>scenario,</w:t>
      </w:r>
      <w:r>
        <w:rPr>
          <w:spacing w:val="-6"/>
        </w:rPr>
        <w:t> </w:t>
      </w:r>
      <w:r>
        <w:rPr/>
        <w:t>the</w:t>
      </w:r>
      <w:r>
        <w:rPr>
          <w:spacing w:val="-8"/>
        </w:rPr>
        <w:t> </w:t>
      </w:r>
      <w:r>
        <w:rPr/>
        <w:t>jamming</w:t>
      </w:r>
      <w:r>
        <w:rPr>
          <w:spacing w:val="-8"/>
        </w:rPr>
        <w:t> </w:t>
      </w:r>
      <w:r>
        <w:rPr/>
        <w:t>signal</w:t>
      </w:r>
      <w:r>
        <w:rPr>
          <w:spacing w:val="-9"/>
        </w:rPr>
        <w:t> </w:t>
      </w:r>
      <w:r>
        <w:rPr/>
        <w:t>is</w:t>
      </w:r>
      <w:r>
        <w:rPr>
          <w:spacing w:val="-7"/>
        </w:rPr>
        <w:t> </w:t>
      </w:r>
      <w:r>
        <w:rPr/>
        <w:t>heard by the receiving and transmitting</w:t>
      </w:r>
      <w:r>
        <w:rPr>
          <w:spacing w:val="-14"/>
        </w:rPr>
        <w:t> </w:t>
      </w:r>
      <w:r>
        <w:rPr/>
        <w:t>devices.</w:t>
      </w:r>
    </w:p>
    <w:p>
      <w:pPr>
        <w:pStyle w:val="BodyText"/>
        <w:spacing w:before="178"/>
        <w:ind w:left="1133" w:right="1128"/>
        <w:jc w:val="both"/>
      </w:pPr>
      <w:r>
        <w:rPr/>
        <w:t>The</w:t>
      </w:r>
      <w:r>
        <w:rPr>
          <w:spacing w:val="-10"/>
        </w:rPr>
        <w:t> </w:t>
      </w:r>
      <w:r>
        <w:rPr/>
        <w:t>results</w:t>
      </w:r>
      <w:r>
        <w:rPr>
          <w:spacing w:val="-8"/>
        </w:rPr>
        <w:t> </w:t>
      </w:r>
      <w:r>
        <w:rPr/>
        <w:t>show</w:t>
      </w:r>
      <w:r>
        <w:rPr>
          <w:spacing w:val="-11"/>
        </w:rPr>
        <w:t> </w:t>
      </w:r>
      <w:r>
        <w:rPr/>
        <w:t>that</w:t>
      </w:r>
      <w:r>
        <w:rPr>
          <w:spacing w:val="-10"/>
        </w:rPr>
        <w:t> </w:t>
      </w:r>
      <w:r>
        <w:rPr/>
        <w:t>C-V2X</w:t>
      </w:r>
      <w:r>
        <w:rPr>
          <w:spacing w:val="-8"/>
        </w:rPr>
        <w:t> </w:t>
      </w:r>
      <w:r>
        <w:rPr/>
        <w:t>is</w:t>
      </w:r>
      <w:r>
        <w:rPr>
          <w:spacing w:val="-10"/>
        </w:rPr>
        <w:t> </w:t>
      </w:r>
      <w:r>
        <w:rPr/>
        <w:t>much</w:t>
      </w:r>
      <w:r>
        <w:rPr>
          <w:spacing w:val="-12"/>
        </w:rPr>
        <w:t> </w:t>
      </w:r>
      <w:r>
        <w:rPr/>
        <w:t>more</w:t>
      </w:r>
      <w:r>
        <w:rPr>
          <w:spacing w:val="-9"/>
        </w:rPr>
        <w:t> </w:t>
      </w:r>
      <w:r>
        <w:rPr/>
        <w:t>robust</w:t>
      </w:r>
      <w:r>
        <w:rPr>
          <w:spacing w:val="-9"/>
        </w:rPr>
        <w:t> </w:t>
      </w:r>
      <w:r>
        <w:rPr/>
        <w:t>than</w:t>
      </w:r>
      <w:r>
        <w:rPr>
          <w:spacing w:val="-7"/>
        </w:rPr>
        <w:t> </w:t>
      </w:r>
      <w:r>
        <w:rPr/>
        <w:t>DSRC</w:t>
      </w:r>
      <w:r>
        <w:rPr>
          <w:spacing w:val="-6"/>
        </w:rPr>
        <w:t> </w:t>
      </w:r>
      <w:r>
        <w:rPr/>
        <w:t>in</w:t>
      </w:r>
      <w:r>
        <w:rPr>
          <w:spacing w:val="-7"/>
        </w:rPr>
        <w:t> </w:t>
      </w:r>
      <w:r>
        <w:rPr/>
        <w:t>both</w:t>
      </w:r>
      <w:r>
        <w:rPr>
          <w:spacing w:val="-10"/>
        </w:rPr>
        <w:t> </w:t>
      </w:r>
      <w:r>
        <w:rPr/>
        <w:t>scenarios.</w:t>
      </w:r>
      <w:r>
        <w:rPr>
          <w:spacing w:val="-9"/>
        </w:rPr>
        <w:t> </w:t>
      </w:r>
      <w:r>
        <w:rPr/>
        <w:t>The</w:t>
      </w:r>
      <w:r>
        <w:rPr>
          <w:spacing w:val="-10"/>
        </w:rPr>
        <w:t> </w:t>
      </w:r>
      <w:r>
        <w:rPr/>
        <w:t>DSRC</w:t>
      </w:r>
      <w:r>
        <w:rPr>
          <w:spacing w:val="-9"/>
        </w:rPr>
        <w:t> </w:t>
      </w:r>
      <w:r>
        <w:rPr/>
        <w:t>link</w:t>
      </w:r>
      <w:r>
        <w:rPr>
          <w:spacing w:val="-6"/>
        </w:rPr>
        <w:t> </w:t>
      </w:r>
      <w:r>
        <w:rPr/>
        <w:t>does</w:t>
      </w:r>
      <w:r>
        <w:rPr>
          <w:spacing w:val="-8"/>
        </w:rPr>
        <w:t> </w:t>
      </w:r>
      <w:r>
        <w:rPr/>
        <w:t>not</w:t>
      </w:r>
      <w:r>
        <w:rPr>
          <w:spacing w:val="-7"/>
        </w:rPr>
        <w:t> </w:t>
      </w:r>
      <w:r>
        <w:rPr/>
        <w:t>work in either scenario. This is due either to corruption of the received signal, or CSMA/CA starvation. For </w:t>
      </w:r>
      <w:r>
        <w:rPr>
          <w:spacing w:val="2"/>
        </w:rPr>
        <w:t>C-V2X, </w:t>
      </w:r>
      <w:r>
        <w:rPr/>
        <w:t>when</w:t>
      </w:r>
      <w:r>
        <w:rPr>
          <w:spacing w:val="-6"/>
        </w:rPr>
        <w:t> </w:t>
      </w:r>
      <w:r>
        <w:rPr/>
        <w:t>the</w:t>
      </w:r>
      <w:r>
        <w:rPr>
          <w:spacing w:val="-6"/>
        </w:rPr>
        <w:t> </w:t>
      </w:r>
      <w:r>
        <w:rPr/>
        <w:t>Interferer</w:t>
      </w:r>
      <w:r>
        <w:rPr>
          <w:spacing w:val="-7"/>
        </w:rPr>
        <w:t> </w:t>
      </w:r>
      <w:r>
        <w:rPr/>
        <w:t>can</w:t>
      </w:r>
      <w:r>
        <w:rPr>
          <w:spacing w:val="-8"/>
        </w:rPr>
        <w:t> </w:t>
      </w:r>
      <w:r>
        <w:rPr/>
        <w:t>be</w:t>
      </w:r>
      <w:r>
        <w:rPr>
          <w:spacing w:val="-6"/>
        </w:rPr>
        <w:t> </w:t>
      </w:r>
      <w:r>
        <w:rPr/>
        <w:t>heard</w:t>
      </w:r>
      <w:r>
        <w:rPr>
          <w:spacing w:val="-5"/>
        </w:rPr>
        <w:t> </w:t>
      </w:r>
      <w:r>
        <w:rPr/>
        <w:t>at</w:t>
      </w:r>
      <w:r>
        <w:rPr>
          <w:spacing w:val="-8"/>
        </w:rPr>
        <w:t> </w:t>
      </w:r>
      <w:r>
        <w:rPr/>
        <w:t>the</w:t>
      </w:r>
      <w:r>
        <w:rPr>
          <w:spacing w:val="-6"/>
        </w:rPr>
        <w:t> </w:t>
      </w:r>
      <w:r>
        <w:rPr/>
        <w:t>transmitter,</w:t>
      </w:r>
      <w:r>
        <w:rPr>
          <w:spacing w:val="-8"/>
        </w:rPr>
        <w:t> </w:t>
      </w:r>
      <w:r>
        <w:rPr/>
        <w:t>the</w:t>
      </w:r>
      <w:r>
        <w:rPr>
          <w:spacing w:val="-6"/>
        </w:rPr>
        <w:t> </w:t>
      </w:r>
      <w:r>
        <w:rPr/>
        <w:t>transmitter</w:t>
      </w:r>
      <w:r>
        <w:rPr>
          <w:spacing w:val="-7"/>
        </w:rPr>
        <w:t> </w:t>
      </w:r>
      <w:r>
        <w:rPr/>
        <w:t>tries</w:t>
      </w:r>
      <w:r>
        <w:rPr>
          <w:spacing w:val="-7"/>
        </w:rPr>
        <w:t> </w:t>
      </w:r>
      <w:r>
        <w:rPr/>
        <w:t>to</w:t>
      </w:r>
      <w:r>
        <w:rPr>
          <w:spacing w:val="-8"/>
        </w:rPr>
        <w:t> </w:t>
      </w:r>
      <w:r>
        <w:rPr/>
        <w:t>avoid</w:t>
      </w:r>
      <w:r>
        <w:rPr>
          <w:spacing w:val="-6"/>
        </w:rPr>
        <w:t> </w:t>
      </w:r>
      <w:r>
        <w:rPr/>
        <w:t>the</w:t>
      </w:r>
      <w:r>
        <w:rPr>
          <w:spacing w:val="-8"/>
        </w:rPr>
        <w:t> </w:t>
      </w:r>
      <w:r>
        <w:rPr/>
        <w:t>jammed</w:t>
      </w:r>
      <w:r>
        <w:rPr>
          <w:spacing w:val="-8"/>
        </w:rPr>
        <w:t> </w:t>
      </w:r>
      <w:r>
        <w:rPr/>
        <w:t>frequencies.</w:t>
      </w:r>
      <w:r>
        <w:rPr>
          <w:spacing w:val="-8"/>
        </w:rPr>
        <w:t> </w:t>
      </w:r>
      <w:r>
        <w:rPr/>
        <w:t>This results in uncompromised communication in most configurations except when the Interferer bandwidth becomes so wide that the location of it makes complete avoidance impossible (i.e., location 1 with Interferer bandwidth wider than 2 MHz). </w:t>
      </w:r>
      <w:r>
        <w:rPr>
          <w:spacing w:val="2"/>
        </w:rPr>
        <w:t>When </w:t>
      </w:r>
      <w:r>
        <w:rPr/>
        <w:t>the Interferer is configured to be hidden from the transmitter, transmissions</w:t>
      </w:r>
      <w:r>
        <w:rPr>
          <w:spacing w:val="-3"/>
        </w:rPr>
        <w:t> </w:t>
      </w:r>
      <w:r>
        <w:rPr/>
        <w:t>cannot</w:t>
      </w:r>
      <w:r>
        <w:rPr>
          <w:spacing w:val="-4"/>
        </w:rPr>
        <w:t> </w:t>
      </w:r>
      <w:r>
        <w:rPr/>
        <w:t>avoid</w:t>
      </w:r>
      <w:r>
        <w:rPr>
          <w:spacing w:val="-2"/>
        </w:rPr>
        <w:t> </w:t>
      </w:r>
      <w:r>
        <w:rPr/>
        <w:t>the</w:t>
      </w:r>
      <w:r>
        <w:rPr>
          <w:spacing w:val="-4"/>
        </w:rPr>
        <w:t> </w:t>
      </w:r>
      <w:r>
        <w:rPr/>
        <w:t>jammed</w:t>
      </w:r>
      <w:r>
        <w:rPr>
          <w:spacing w:val="-6"/>
        </w:rPr>
        <w:t> </w:t>
      </w:r>
      <w:r>
        <w:rPr/>
        <w:t>frequency.</w:t>
      </w:r>
      <w:r>
        <w:rPr>
          <w:spacing w:val="-2"/>
        </w:rPr>
        <w:t> </w:t>
      </w:r>
      <w:r>
        <w:rPr/>
        <w:t>Even</w:t>
      </w:r>
      <w:r>
        <w:rPr>
          <w:spacing w:val="-4"/>
        </w:rPr>
        <w:t> </w:t>
      </w:r>
      <w:r>
        <w:rPr/>
        <w:t>in</w:t>
      </w:r>
      <w:r>
        <w:rPr>
          <w:spacing w:val="-2"/>
        </w:rPr>
        <w:t> </w:t>
      </w:r>
      <w:r>
        <w:rPr/>
        <w:t>this</w:t>
      </w:r>
      <w:r>
        <w:rPr>
          <w:spacing w:val="-3"/>
        </w:rPr>
        <w:t> </w:t>
      </w:r>
      <w:r>
        <w:rPr/>
        <w:t>case,</w:t>
      </w:r>
      <w:r>
        <w:rPr>
          <w:spacing w:val="-2"/>
        </w:rPr>
        <w:t> </w:t>
      </w:r>
      <w:r>
        <w:rPr/>
        <w:t>we</w:t>
      </w:r>
      <w:r>
        <w:rPr>
          <w:spacing w:val="-4"/>
        </w:rPr>
        <w:t> </w:t>
      </w:r>
      <w:r>
        <w:rPr/>
        <w:t>observe</w:t>
      </w:r>
      <w:r>
        <w:rPr>
          <w:spacing w:val="-2"/>
        </w:rPr>
        <w:t> </w:t>
      </w:r>
      <w:r>
        <w:rPr/>
        <w:t>that</w:t>
      </w:r>
      <w:r>
        <w:rPr>
          <w:spacing w:val="-4"/>
        </w:rPr>
        <w:t> </w:t>
      </w:r>
      <w:r>
        <w:rPr/>
        <w:t>in</w:t>
      </w:r>
      <w:r>
        <w:rPr>
          <w:spacing w:val="-4"/>
        </w:rPr>
        <w:t> </w:t>
      </w:r>
      <w:r>
        <w:rPr/>
        <w:t>many</w:t>
      </w:r>
      <w:r>
        <w:rPr>
          <w:spacing w:val="-9"/>
        </w:rPr>
        <w:t> </w:t>
      </w:r>
      <w:r>
        <w:rPr/>
        <w:t>configurations the communication link remains</w:t>
      </w:r>
      <w:r>
        <w:rPr>
          <w:spacing w:val="-14"/>
        </w:rPr>
        <w:t> </w:t>
      </w:r>
      <w:r>
        <w:rPr/>
        <w:t>reliable.</w:t>
      </w:r>
    </w:p>
    <w:p>
      <w:pPr>
        <w:spacing w:after="0"/>
        <w:jc w:val="both"/>
        <w:sectPr>
          <w:headerReference w:type="default" r:id="rId451"/>
          <w:footerReference w:type="default" r:id="rId452"/>
          <w:pgSz w:w="11910" w:h="16850"/>
          <w:pgMar w:header="852" w:footer="979" w:top="1040" w:bottom="1160" w:left="0" w:right="0"/>
        </w:sectPr>
      </w:pPr>
    </w:p>
    <w:p>
      <w:pPr>
        <w:pStyle w:val="BodyText"/>
        <w:spacing w:before="3"/>
        <w:rPr>
          <w:sz w:val="23"/>
        </w:rPr>
      </w:pPr>
    </w:p>
    <w:p>
      <w:pPr>
        <w:pStyle w:val="Heading3"/>
        <w:numPr>
          <w:ilvl w:val="2"/>
          <w:numId w:val="59"/>
        </w:numPr>
        <w:tabs>
          <w:tab w:pos="2267" w:val="left" w:leader="none"/>
        </w:tabs>
        <w:spacing w:line="240" w:lineRule="auto" w:before="91" w:after="0"/>
        <w:ind w:left="2266" w:right="1131" w:hanging="1133"/>
        <w:jc w:val="both"/>
      </w:pPr>
      <w:bookmarkStart w:name="_bookmark158" w:id="246"/>
      <w:bookmarkEnd w:id="246"/>
      <w:r>
        <w:rPr/>
      </w:r>
      <w:bookmarkStart w:name="_bookmark158" w:id="247"/>
      <w:bookmarkEnd w:id="247"/>
      <w:r>
        <w:rPr/>
        <w:t>C</w:t>
      </w:r>
      <w:r>
        <w:rPr/>
        <w:t>abled Transmission and Reception Test with Simulated External Interference: flat characteristics, constant in time, starting from</w:t>
      </w:r>
      <w:r>
        <w:rPr>
          <w:spacing w:val="-32"/>
        </w:rPr>
        <w:t> </w:t>
      </w:r>
      <w:r>
        <w:rPr/>
        <w:t>guard band occupying part of given ITS channel (e.g., channel</w:t>
      </w:r>
      <w:r>
        <w:rPr>
          <w:spacing w:val="-14"/>
        </w:rPr>
        <w:t> </w:t>
      </w:r>
      <w:r>
        <w:rPr/>
        <w:t>172)</w:t>
      </w:r>
    </w:p>
    <w:p>
      <w:pPr>
        <w:pStyle w:val="BodyText"/>
        <w:spacing w:before="10"/>
        <w:rPr>
          <w:sz w:val="25"/>
        </w:rPr>
      </w:pPr>
    </w:p>
    <w:p>
      <w:pPr>
        <w:pStyle w:val="Heading5"/>
        <w:numPr>
          <w:ilvl w:val="3"/>
          <w:numId w:val="59"/>
        </w:numPr>
        <w:tabs>
          <w:tab w:pos="2552" w:val="left" w:leader="none"/>
        </w:tabs>
        <w:spacing w:line="240" w:lineRule="auto" w:before="0" w:after="0"/>
        <w:ind w:left="2551" w:right="0" w:hanging="1418"/>
        <w:jc w:val="both"/>
        <w:rPr>
          <w:rFonts w:ascii="Arial"/>
        </w:rPr>
      </w:pPr>
      <w:r>
        <w:rPr>
          <w:rFonts w:ascii="Arial"/>
        </w:rPr>
        <w:t>Background</w:t>
      </w:r>
    </w:p>
    <w:p>
      <w:pPr>
        <w:pStyle w:val="BodyText"/>
        <w:spacing w:before="181"/>
        <w:ind w:left="1133" w:right="1128"/>
        <w:jc w:val="both"/>
      </w:pPr>
      <w:r>
        <w:rPr/>
        <w:t>This test analyzes robustness to external interference which has flat spectrum density, varying bandwidths, and is constant in time, where the external interference is starting from the guard band of channel 172.</w:t>
      </w:r>
    </w:p>
    <w:p>
      <w:pPr>
        <w:pStyle w:val="BodyText"/>
        <w:spacing w:before="180"/>
        <w:ind w:left="1133" w:right="1130"/>
        <w:jc w:val="both"/>
      </w:pPr>
      <w:r>
        <w:rPr/>
        <w:t>The goal is to verify that C-V2X devices can transmit and receive C-V2X messages over the PC5 interface with</w:t>
      </w:r>
      <w:r>
        <w:rPr>
          <w:spacing w:val="-13"/>
        </w:rPr>
        <w:t> </w:t>
      </w:r>
      <w:r>
        <w:rPr/>
        <w:t>an</w:t>
      </w:r>
      <w:r>
        <w:rPr>
          <w:spacing w:val="-11"/>
        </w:rPr>
        <w:t> </w:t>
      </w:r>
      <w:r>
        <w:rPr/>
        <w:t>interference</w:t>
      </w:r>
      <w:r>
        <w:rPr>
          <w:spacing w:val="-13"/>
        </w:rPr>
        <w:t> </w:t>
      </w:r>
      <w:r>
        <w:rPr/>
        <w:t>model</w:t>
      </w:r>
      <w:r>
        <w:rPr>
          <w:spacing w:val="-14"/>
        </w:rPr>
        <w:t> </w:t>
      </w:r>
      <w:r>
        <w:rPr/>
        <w:t>being</w:t>
      </w:r>
      <w:r>
        <w:rPr>
          <w:spacing w:val="-13"/>
        </w:rPr>
        <w:t> </w:t>
      </w:r>
      <w:r>
        <w:rPr/>
        <w:t>applied</w:t>
      </w:r>
      <w:r>
        <w:rPr>
          <w:spacing w:val="-13"/>
        </w:rPr>
        <w:t> </w:t>
      </w:r>
      <w:r>
        <w:rPr/>
        <w:t>between</w:t>
      </w:r>
      <w:r>
        <w:rPr>
          <w:spacing w:val="-13"/>
        </w:rPr>
        <w:t> </w:t>
      </w:r>
      <w:r>
        <w:rPr/>
        <w:t>the</w:t>
      </w:r>
      <w:r>
        <w:rPr>
          <w:spacing w:val="-13"/>
        </w:rPr>
        <w:t> </w:t>
      </w:r>
      <w:r>
        <w:rPr/>
        <w:t>transmit</w:t>
      </w:r>
      <w:r>
        <w:rPr>
          <w:spacing w:val="-14"/>
        </w:rPr>
        <w:t> </w:t>
      </w:r>
      <w:r>
        <w:rPr/>
        <w:t>and</w:t>
      </w:r>
      <w:r>
        <w:rPr>
          <w:spacing w:val="-14"/>
        </w:rPr>
        <w:t> </w:t>
      </w:r>
      <w:r>
        <w:rPr/>
        <w:t>receive</w:t>
      </w:r>
      <w:r>
        <w:rPr>
          <w:spacing w:val="-13"/>
        </w:rPr>
        <w:t> </w:t>
      </w:r>
      <w:r>
        <w:rPr/>
        <w:t>C-V2X</w:t>
      </w:r>
      <w:r>
        <w:rPr>
          <w:spacing w:val="-11"/>
        </w:rPr>
        <w:t> </w:t>
      </w:r>
      <w:r>
        <w:rPr/>
        <w:t>devices</w:t>
      </w:r>
      <w:r>
        <w:rPr>
          <w:spacing w:val="-14"/>
        </w:rPr>
        <w:t> </w:t>
      </w:r>
      <w:r>
        <w:rPr/>
        <w:t>to</w:t>
      </w:r>
      <w:r>
        <w:rPr>
          <w:spacing w:val="-14"/>
        </w:rPr>
        <w:t> </w:t>
      </w:r>
      <w:r>
        <w:rPr/>
        <w:t>simulate</w:t>
      </w:r>
      <w:r>
        <w:rPr>
          <w:spacing w:val="-13"/>
        </w:rPr>
        <w:t> </w:t>
      </w:r>
      <w:r>
        <w:rPr/>
        <w:t>potential external interference in the system with pre-defined</w:t>
      </w:r>
      <w:r>
        <w:rPr>
          <w:spacing w:val="-17"/>
        </w:rPr>
        <w:t> </w:t>
      </w:r>
      <w:r>
        <w:rPr/>
        <w:t>characteristics.</w:t>
      </w:r>
    </w:p>
    <w:p>
      <w:pPr>
        <w:pStyle w:val="BodyText"/>
        <w:spacing w:before="11"/>
        <w:rPr>
          <w:sz w:val="25"/>
        </w:rPr>
      </w:pPr>
    </w:p>
    <w:p>
      <w:pPr>
        <w:pStyle w:val="Heading5"/>
        <w:numPr>
          <w:ilvl w:val="3"/>
          <w:numId w:val="59"/>
        </w:numPr>
        <w:tabs>
          <w:tab w:pos="2552" w:val="left" w:leader="none"/>
        </w:tabs>
        <w:spacing w:line="240" w:lineRule="auto" w:before="0" w:after="0"/>
        <w:ind w:left="2551" w:right="0" w:hanging="1418"/>
        <w:jc w:val="both"/>
        <w:rPr>
          <w:rFonts w:ascii="Arial"/>
        </w:rPr>
      </w:pPr>
      <w:r>
        <w:rPr>
          <w:rFonts w:ascii="Arial"/>
        </w:rPr>
        <w:t>Assumptions</w:t>
      </w:r>
    </w:p>
    <w:p>
      <w:pPr>
        <w:pStyle w:val="BodyText"/>
        <w:spacing w:before="182"/>
        <w:ind w:left="1133" w:right="1128"/>
        <w:jc w:val="both"/>
      </w:pPr>
      <w:r>
        <w:rPr/>
        <w:t>The</w:t>
      </w:r>
      <w:r>
        <w:rPr>
          <w:spacing w:val="-10"/>
        </w:rPr>
        <w:t> </w:t>
      </w:r>
      <w:r>
        <w:rPr/>
        <w:t>operating</w:t>
      </w:r>
      <w:r>
        <w:rPr>
          <w:spacing w:val="-10"/>
        </w:rPr>
        <w:t> </w:t>
      </w:r>
      <w:r>
        <w:rPr/>
        <w:t>system</w:t>
      </w:r>
      <w:r>
        <w:rPr>
          <w:spacing w:val="-5"/>
        </w:rPr>
        <w:t> </w:t>
      </w:r>
      <w:r>
        <w:rPr/>
        <w:t>time</w:t>
      </w:r>
      <w:r>
        <w:rPr>
          <w:spacing w:val="-12"/>
        </w:rPr>
        <w:t> </w:t>
      </w:r>
      <w:r>
        <w:rPr/>
        <w:t>of</w:t>
      </w:r>
      <w:r>
        <w:rPr>
          <w:spacing w:val="-7"/>
        </w:rPr>
        <w:t> </w:t>
      </w:r>
      <w:r>
        <w:rPr/>
        <w:t>both</w:t>
      </w:r>
      <w:r>
        <w:rPr>
          <w:spacing w:val="-10"/>
        </w:rPr>
        <w:t> </w:t>
      </w:r>
      <w:r>
        <w:rPr/>
        <w:t>the</w:t>
      </w:r>
      <w:r>
        <w:rPr>
          <w:spacing w:val="-7"/>
        </w:rPr>
        <w:t> </w:t>
      </w:r>
      <w:r>
        <w:rPr/>
        <w:t>transmitter</w:t>
      </w:r>
      <w:r>
        <w:rPr>
          <w:spacing w:val="-8"/>
        </w:rPr>
        <w:t> </w:t>
      </w:r>
      <w:r>
        <w:rPr/>
        <w:t>and</w:t>
      </w:r>
      <w:r>
        <w:rPr>
          <w:spacing w:val="-9"/>
        </w:rPr>
        <w:t> </w:t>
      </w:r>
      <w:r>
        <w:rPr/>
        <w:t>receiver</w:t>
      </w:r>
      <w:r>
        <w:rPr>
          <w:spacing w:val="-8"/>
        </w:rPr>
        <w:t> </w:t>
      </w:r>
      <w:r>
        <w:rPr/>
        <w:t>boxes</w:t>
      </w:r>
      <w:r>
        <w:rPr>
          <w:spacing w:val="-8"/>
        </w:rPr>
        <w:t> </w:t>
      </w:r>
      <w:r>
        <w:rPr/>
        <w:t>is</w:t>
      </w:r>
      <w:r>
        <w:rPr>
          <w:spacing w:val="-8"/>
        </w:rPr>
        <w:t> </w:t>
      </w:r>
      <w:r>
        <w:rPr/>
        <w:t>synchronized</w:t>
      </w:r>
      <w:r>
        <w:rPr>
          <w:spacing w:val="-10"/>
        </w:rPr>
        <w:t> </w:t>
      </w:r>
      <w:r>
        <w:rPr/>
        <w:t>to</w:t>
      </w:r>
      <w:r>
        <w:rPr>
          <w:spacing w:val="-10"/>
        </w:rPr>
        <w:t> </w:t>
      </w:r>
      <w:r>
        <w:rPr/>
        <w:t>a</w:t>
      </w:r>
      <w:r>
        <w:rPr>
          <w:spacing w:val="-9"/>
        </w:rPr>
        <w:t> </w:t>
      </w:r>
      <w:r>
        <w:rPr/>
        <w:t>common</w:t>
      </w:r>
      <w:r>
        <w:rPr>
          <w:spacing w:val="-10"/>
        </w:rPr>
        <w:t> </w:t>
      </w:r>
      <w:r>
        <w:rPr/>
        <w:t>clock</w:t>
      </w:r>
      <w:r>
        <w:rPr>
          <w:spacing w:val="-6"/>
        </w:rPr>
        <w:t> </w:t>
      </w:r>
      <w:r>
        <w:rPr/>
        <w:t>(e.g., GPS) with an error of no more than</w:t>
      </w:r>
      <w:r>
        <w:rPr>
          <w:spacing w:val="-7"/>
        </w:rPr>
        <w:t> </w:t>
      </w:r>
      <w:r>
        <w:rPr/>
        <w:t>1ms.</w:t>
      </w:r>
    </w:p>
    <w:p>
      <w:pPr>
        <w:pStyle w:val="BodyText"/>
        <w:spacing w:before="180"/>
        <w:ind w:left="1133"/>
        <w:jc w:val="both"/>
      </w:pPr>
      <w:r>
        <w:rPr/>
        <w:t>The testing environment is isolated from other external interference sources.</w:t>
      </w:r>
    </w:p>
    <w:p>
      <w:pPr>
        <w:pStyle w:val="BodyText"/>
        <w:spacing w:before="180"/>
        <w:ind w:left="1133"/>
        <w:jc w:val="both"/>
      </w:pPr>
      <w:r>
        <w:rPr/>
        <w:t>Tests should be conducted at room temperature (21 degrees Celsius +/- 5 degrees).</w:t>
      </w:r>
    </w:p>
    <w:p>
      <w:pPr>
        <w:pStyle w:val="BodyText"/>
        <w:spacing w:before="11"/>
        <w:rPr>
          <w:sz w:val="25"/>
        </w:rPr>
      </w:pPr>
    </w:p>
    <w:p>
      <w:pPr>
        <w:pStyle w:val="Heading5"/>
        <w:numPr>
          <w:ilvl w:val="3"/>
          <w:numId w:val="59"/>
        </w:numPr>
        <w:tabs>
          <w:tab w:pos="2618" w:val="left" w:leader="none"/>
          <w:tab w:pos="2619" w:val="left" w:leader="none"/>
        </w:tabs>
        <w:spacing w:line="240" w:lineRule="auto" w:before="0" w:after="0"/>
        <w:ind w:left="2618" w:right="0" w:hanging="1485"/>
        <w:jc w:val="both"/>
        <w:rPr>
          <w:rFonts w:ascii="Arial"/>
        </w:rPr>
      </w:pPr>
      <w:r>
        <w:rPr>
          <w:rFonts w:ascii="Arial"/>
        </w:rPr>
        <w:t>Setup</w:t>
      </w:r>
    </w:p>
    <w:p>
      <w:pPr>
        <w:pStyle w:val="BodyText"/>
        <w:spacing w:before="181"/>
        <w:ind w:left="1133" w:right="1128"/>
        <w:jc w:val="both"/>
      </w:pPr>
      <w:r>
        <w:rPr/>
        <w:t>This test uses a lab cabled setup as shown in Figure 85. Signal generators (1, 2 and 3) are used to model different characteristics of potential interface in a 10-MHz channel bandwidth. Device 2 (receiver, Rx), also known as DUT, is configured to receive data from Device 1 (Tx) on the same impaired channel.</w:t>
      </w:r>
    </w:p>
    <w:p>
      <w:pPr>
        <w:pStyle w:val="ListParagraph"/>
        <w:numPr>
          <w:ilvl w:val="4"/>
          <w:numId w:val="59"/>
        </w:numPr>
        <w:tabs>
          <w:tab w:pos="1701" w:val="left" w:leader="none"/>
          <w:tab w:pos="1702" w:val="left" w:leader="none"/>
        </w:tabs>
        <w:spacing w:line="240" w:lineRule="auto" w:before="177" w:after="0"/>
        <w:ind w:left="1702" w:right="1132" w:hanging="286"/>
        <w:jc w:val="left"/>
        <w:rPr>
          <w:sz w:val="20"/>
        </w:rPr>
      </w:pPr>
      <w:r>
        <w:rPr>
          <w:sz w:val="20"/>
        </w:rPr>
        <w:t>Channel</w:t>
      </w:r>
      <w:r>
        <w:rPr>
          <w:spacing w:val="-9"/>
          <w:sz w:val="20"/>
        </w:rPr>
        <w:t> </w:t>
      </w:r>
      <w:r>
        <w:rPr>
          <w:sz w:val="20"/>
        </w:rPr>
        <w:t>impairment</w:t>
      </w:r>
      <w:r>
        <w:rPr>
          <w:spacing w:val="-13"/>
          <w:sz w:val="20"/>
        </w:rPr>
        <w:t> </w:t>
      </w:r>
      <w:r>
        <w:rPr>
          <w:sz w:val="20"/>
        </w:rPr>
        <w:t>settings</w:t>
      </w:r>
      <w:r>
        <w:rPr>
          <w:spacing w:val="-11"/>
          <w:sz w:val="20"/>
        </w:rPr>
        <w:t> </w:t>
      </w:r>
      <w:r>
        <w:rPr>
          <w:sz w:val="20"/>
        </w:rPr>
        <w:t>on</w:t>
      </w:r>
      <w:r>
        <w:rPr>
          <w:spacing w:val="-11"/>
          <w:sz w:val="20"/>
        </w:rPr>
        <w:t> </w:t>
      </w:r>
      <w:r>
        <w:rPr>
          <w:sz w:val="20"/>
        </w:rPr>
        <w:t>the</w:t>
      </w:r>
      <w:r>
        <w:rPr>
          <w:spacing w:val="-9"/>
          <w:sz w:val="20"/>
        </w:rPr>
        <w:t> </w:t>
      </w:r>
      <w:r>
        <w:rPr>
          <w:sz w:val="20"/>
        </w:rPr>
        <w:t>Signal</w:t>
      </w:r>
      <w:r>
        <w:rPr>
          <w:spacing w:val="-13"/>
          <w:sz w:val="20"/>
        </w:rPr>
        <w:t> </w:t>
      </w:r>
      <w:r>
        <w:rPr>
          <w:sz w:val="20"/>
        </w:rPr>
        <w:t>Generator</w:t>
      </w:r>
      <w:r>
        <w:rPr>
          <w:spacing w:val="-12"/>
          <w:sz w:val="20"/>
        </w:rPr>
        <w:t> </w:t>
      </w:r>
      <w:r>
        <w:rPr>
          <w:sz w:val="20"/>
        </w:rPr>
        <w:t>(Signal</w:t>
      </w:r>
      <w:r>
        <w:rPr>
          <w:spacing w:val="-13"/>
          <w:sz w:val="20"/>
        </w:rPr>
        <w:t> </w:t>
      </w:r>
      <w:r>
        <w:rPr>
          <w:sz w:val="20"/>
        </w:rPr>
        <w:t>Generators</w:t>
      </w:r>
      <w:r>
        <w:rPr>
          <w:spacing w:val="-11"/>
          <w:sz w:val="20"/>
        </w:rPr>
        <w:t> </w:t>
      </w:r>
      <w:r>
        <w:rPr>
          <w:sz w:val="20"/>
        </w:rPr>
        <w:t>1-3)</w:t>
      </w:r>
      <w:r>
        <w:rPr>
          <w:spacing w:val="-10"/>
          <w:sz w:val="20"/>
        </w:rPr>
        <w:t> </w:t>
      </w:r>
      <w:r>
        <w:rPr>
          <w:sz w:val="20"/>
        </w:rPr>
        <w:t>are</w:t>
      </w:r>
      <w:r>
        <w:rPr>
          <w:spacing w:val="-8"/>
          <w:sz w:val="20"/>
        </w:rPr>
        <w:t> </w:t>
      </w:r>
      <w:r>
        <w:rPr>
          <w:sz w:val="20"/>
        </w:rPr>
        <w:t>configured</w:t>
      </w:r>
      <w:r>
        <w:rPr>
          <w:spacing w:val="-11"/>
          <w:sz w:val="20"/>
        </w:rPr>
        <w:t> </w:t>
      </w:r>
      <w:r>
        <w:rPr>
          <w:sz w:val="20"/>
        </w:rPr>
        <w:t>to</w:t>
      </w:r>
      <w:r>
        <w:rPr>
          <w:spacing w:val="-11"/>
          <w:sz w:val="20"/>
        </w:rPr>
        <w:t> </w:t>
      </w:r>
      <w:r>
        <w:rPr>
          <w:sz w:val="20"/>
        </w:rPr>
        <w:t>emulate pre-defined interference</w:t>
      </w:r>
      <w:r>
        <w:rPr>
          <w:spacing w:val="-15"/>
          <w:sz w:val="20"/>
        </w:rPr>
        <w:t> </w:t>
      </w:r>
      <w:r>
        <w:rPr>
          <w:sz w:val="20"/>
        </w:rPr>
        <w:t>characterization:</w:t>
      </w:r>
    </w:p>
    <w:p>
      <w:pPr>
        <w:pStyle w:val="ListParagraph"/>
        <w:numPr>
          <w:ilvl w:val="5"/>
          <w:numId w:val="59"/>
        </w:numPr>
        <w:tabs>
          <w:tab w:pos="1985" w:val="left" w:leader="none"/>
          <w:tab w:pos="1986" w:val="left" w:leader="none"/>
        </w:tabs>
        <w:spacing w:line="240" w:lineRule="auto" w:before="179" w:after="0"/>
        <w:ind w:left="1985" w:right="0" w:hanging="286"/>
        <w:jc w:val="left"/>
        <w:rPr>
          <w:sz w:val="20"/>
        </w:rPr>
      </w:pPr>
      <w:r>
        <w:rPr>
          <w:sz w:val="20"/>
        </w:rPr>
        <w:t>Flat characteristic, constant power spectral density within the predefined</w:t>
      </w:r>
      <w:r>
        <w:rPr>
          <w:spacing w:val="-18"/>
          <w:sz w:val="20"/>
        </w:rPr>
        <w:t> </w:t>
      </w:r>
      <w:r>
        <w:rPr>
          <w:sz w:val="20"/>
        </w:rPr>
        <w:t>bandwidth</w:t>
      </w:r>
    </w:p>
    <w:p>
      <w:pPr>
        <w:pStyle w:val="ListParagraph"/>
        <w:numPr>
          <w:ilvl w:val="5"/>
          <w:numId w:val="59"/>
        </w:numPr>
        <w:tabs>
          <w:tab w:pos="1985" w:val="left" w:leader="none"/>
          <w:tab w:pos="1986" w:val="left" w:leader="none"/>
        </w:tabs>
        <w:spacing w:line="240" w:lineRule="auto" w:before="179" w:after="0"/>
        <w:ind w:left="1985" w:right="1134" w:hanging="286"/>
        <w:jc w:val="left"/>
        <w:rPr>
          <w:sz w:val="20"/>
        </w:rPr>
      </w:pPr>
      <w:r>
        <w:rPr>
          <w:sz w:val="20"/>
        </w:rPr>
        <w:t>Bandwidth</w:t>
      </w:r>
      <w:r>
        <w:rPr>
          <w:spacing w:val="-8"/>
          <w:sz w:val="20"/>
        </w:rPr>
        <w:t> </w:t>
      </w:r>
      <w:r>
        <w:rPr>
          <w:sz w:val="20"/>
        </w:rPr>
        <w:t>of</w:t>
      </w:r>
      <w:r>
        <w:rPr>
          <w:spacing w:val="-8"/>
          <w:sz w:val="20"/>
        </w:rPr>
        <w:t> </w:t>
      </w:r>
      <w:r>
        <w:rPr>
          <w:sz w:val="20"/>
        </w:rPr>
        <w:t>the</w:t>
      </w:r>
      <w:r>
        <w:rPr>
          <w:spacing w:val="-8"/>
          <w:sz w:val="20"/>
        </w:rPr>
        <w:t> </w:t>
      </w:r>
      <w:r>
        <w:rPr>
          <w:sz w:val="20"/>
        </w:rPr>
        <w:t>interference</w:t>
      </w:r>
      <w:r>
        <w:rPr>
          <w:spacing w:val="-10"/>
          <w:sz w:val="20"/>
        </w:rPr>
        <w:t> </w:t>
      </w:r>
      <w:r>
        <w:rPr>
          <w:sz w:val="20"/>
        </w:rPr>
        <w:t>signal</w:t>
      </w:r>
      <w:r>
        <w:rPr>
          <w:spacing w:val="-11"/>
          <w:sz w:val="20"/>
        </w:rPr>
        <w:t> </w:t>
      </w:r>
      <w:r>
        <w:rPr>
          <w:sz w:val="20"/>
        </w:rPr>
        <w:t>defined</w:t>
      </w:r>
      <w:r>
        <w:rPr>
          <w:spacing w:val="-8"/>
          <w:sz w:val="20"/>
        </w:rPr>
        <w:t> </w:t>
      </w:r>
      <w:r>
        <w:rPr>
          <w:sz w:val="20"/>
        </w:rPr>
        <w:t>in</w:t>
      </w:r>
      <w:r>
        <w:rPr>
          <w:spacing w:val="-8"/>
          <w:sz w:val="20"/>
        </w:rPr>
        <w:t> </w:t>
      </w:r>
      <w:r>
        <w:rPr>
          <w:sz w:val="20"/>
        </w:rPr>
        <w:t>Figure</w:t>
      </w:r>
      <w:r>
        <w:rPr>
          <w:spacing w:val="-3"/>
          <w:sz w:val="20"/>
        </w:rPr>
        <w:t> </w:t>
      </w:r>
      <w:r>
        <w:rPr>
          <w:sz w:val="20"/>
        </w:rPr>
        <w:t>85</w:t>
      </w:r>
      <w:r>
        <w:rPr>
          <w:spacing w:val="-8"/>
          <w:sz w:val="20"/>
        </w:rPr>
        <w:t> </w:t>
      </w:r>
      <w:r>
        <w:rPr>
          <w:sz w:val="20"/>
        </w:rPr>
        <w:t>with</w:t>
      </w:r>
      <w:r>
        <w:rPr>
          <w:spacing w:val="-11"/>
          <w:sz w:val="20"/>
        </w:rPr>
        <w:t> </w:t>
      </w:r>
      <w:r>
        <w:rPr>
          <w:sz w:val="20"/>
        </w:rPr>
        <w:t>the</w:t>
      </w:r>
      <w:r>
        <w:rPr>
          <w:spacing w:val="-11"/>
          <w:sz w:val="20"/>
        </w:rPr>
        <w:t> </w:t>
      </w:r>
      <w:r>
        <w:rPr>
          <w:sz w:val="20"/>
        </w:rPr>
        <w:t>center</w:t>
      </w:r>
      <w:r>
        <w:rPr>
          <w:spacing w:val="-9"/>
          <w:sz w:val="20"/>
        </w:rPr>
        <w:t> </w:t>
      </w:r>
      <w:r>
        <w:rPr>
          <w:sz w:val="20"/>
        </w:rPr>
        <w:t>frequency</w:t>
      </w:r>
      <w:r>
        <w:rPr>
          <w:spacing w:val="-11"/>
          <w:sz w:val="20"/>
        </w:rPr>
        <w:t> </w:t>
      </w:r>
      <w:r>
        <w:rPr>
          <w:sz w:val="20"/>
        </w:rPr>
        <w:t>of</w:t>
      </w:r>
      <w:r>
        <w:rPr>
          <w:spacing w:val="-8"/>
          <w:sz w:val="20"/>
        </w:rPr>
        <w:t> </w:t>
      </w:r>
      <w:r>
        <w:rPr>
          <w:sz w:val="20"/>
        </w:rPr>
        <w:t>the</w:t>
      </w:r>
      <w:r>
        <w:rPr>
          <w:spacing w:val="-11"/>
          <w:sz w:val="20"/>
        </w:rPr>
        <w:t> </w:t>
      </w:r>
      <w:r>
        <w:rPr>
          <w:sz w:val="20"/>
        </w:rPr>
        <w:t>signal</w:t>
      </w:r>
      <w:r>
        <w:rPr>
          <w:spacing w:val="-11"/>
          <w:sz w:val="20"/>
        </w:rPr>
        <w:t> </w:t>
      </w:r>
      <w:r>
        <w:rPr>
          <w:sz w:val="20"/>
        </w:rPr>
        <w:t>such that it starts from the edge of the spectrum as shown in Figure</w:t>
      </w:r>
      <w:r>
        <w:rPr>
          <w:spacing w:val="-16"/>
          <w:sz w:val="20"/>
        </w:rPr>
        <w:t> </w:t>
      </w:r>
      <w:r>
        <w:rPr>
          <w:sz w:val="20"/>
        </w:rPr>
        <w:t>86.</w:t>
      </w:r>
    </w:p>
    <w:p>
      <w:pPr>
        <w:pStyle w:val="ListParagraph"/>
        <w:numPr>
          <w:ilvl w:val="5"/>
          <w:numId w:val="59"/>
        </w:numPr>
        <w:tabs>
          <w:tab w:pos="1985" w:val="left" w:leader="none"/>
          <w:tab w:pos="1986" w:val="left" w:leader="none"/>
        </w:tabs>
        <w:spacing w:line="240" w:lineRule="auto" w:before="177" w:after="0"/>
        <w:ind w:left="1985" w:right="0" w:hanging="286"/>
        <w:jc w:val="left"/>
        <w:rPr>
          <w:sz w:val="20"/>
        </w:rPr>
      </w:pPr>
      <w:r>
        <w:rPr>
          <w:sz w:val="20"/>
        </w:rPr>
        <w:t>Signal Generators 1&amp;2 are set to ensure that power at DUT input is 40</w:t>
      </w:r>
      <w:r>
        <w:rPr>
          <w:spacing w:val="-11"/>
          <w:sz w:val="20"/>
        </w:rPr>
        <w:t> </w:t>
      </w:r>
      <w:r>
        <w:rPr>
          <w:sz w:val="20"/>
        </w:rPr>
        <w:t>dBm.</w:t>
      </w:r>
    </w:p>
    <w:p>
      <w:pPr>
        <w:pStyle w:val="ListParagraph"/>
        <w:numPr>
          <w:ilvl w:val="5"/>
          <w:numId w:val="59"/>
        </w:numPr>
        <w:tabs>
          <w:tab w:pos="1985" w:val="left" w:leader="none"/>
          <w:tab w:pos="1986" w:val="left" w:leader="none"/>
        </w:tabs>
        <w:spacing w:line="240" w:lineRule="auto" w:before="180" w:after="0"/>
        <w:ind w:left="1985" w:right="0" w:hanging="286"/>
        <w:jc w:val="left"/>
        <w:rPr>
          <w:sz w:val="20"/>
        </w:rPr>
      </w:pPr>
      <w:r>
        <w:rPr>
          <w:sz w:val="20"/>
        </w:rPr>
        <w:t>Signal Generator 3 is set to ensure that power at Tx input is 40</w:t>
      </w:r>
      <w:r>
        <w:rPr>
          <w:spacing w:val="-11"/>
          <w:sz w:val="20"/>
        </w:rPr>
        <w:t> </w:t>
      </w:r>
      <w:r>
        <w:rPr>
          <w:sz w:val="20"/>
        </w:rPr>
        <w:t>dBm.</w:t>
      </w:r>
    </w:p>
    <w:p>
      <w:pPr>
        <w:pStyle w:val="ListParagraph"/>
        <w:numPr>
          <w:ilvl w:val="4"/>
          <w:numId w:val="59"/>
        </w:numPr>
        <w:tabs>
          <w:tab w:pos="1701" w:val="left" w:leader="none"/>
          <w:tab w:pos="1702" w:val="left" w:leader="none"/>
        </w:tabs>
        <w:spacing w:line="240" w:lineRule="auto" w:before="180" w:after="0"/>
        <w:ind w:left="1702" w:right="1139" w:hanging="286"/>
        <w:jc w:val="left"/>
        <w:rPr>
          <w:sz w:val="20"/>
        </w:rPr>
      </w:pPr>
      <w:r>
        <w:rPr>
          <w:sz w:val="20"/>
        </w:rPr>
        <w:t>Testing is done by switching on/off signal generator 3 an/or signal generators 1&amp;2 so that the interference source is located at two different positions</w:t>
      </w:r>
      <w:r>
        <w:rPr>
          <w:spacing w:val="-11"/>
          <w:sz w:val="20"/>
        </w:rPr>
        <w:t> </w:t>
      </w:r>
      <w:r>
        <w:rPr>
          <w:b/>
          <w:position w:val="6"/>
          <w:sz w:val="16"/>
        </w:rPr>
        <w:t>3</w:t>
      </w:r>
      <w:r>
        <w:rPr>
          <w:sz w:val="20"/>
        </w:rPr>
        <w:t>:</w:t>
      </w:r>
    </w:p>
    <w:p>
      <w:pPr>
        <w:pStyle w:val="ListParagraph"/>
        <w:numPr>
          <w:ilvl w:val="5"/>
          <w:numId w:val="59"/>
        </w:numPr>
        <w:tabs>
          <w:tab w:pos="1985" w:val="left" w:leader="none"/>
          <w:tab w:pos="1986" w:val="left" w:leader="none"/>
        </w:tabs>
        <w:spacing w:line="240" w:lineRule="auto" w:before="177" w:after="0"/>
        <w:ind w:left="1985" w:right="0" w:hanging="286"/>
        <w:jc w:val="left"/>
        <w:rPr>
          <w:sz w:val="20"/>
        </w:rPr>
      </w:pPr>
      <w:r>
        <w:rPr>
          <w:sz w:val="20"/>
        </w:rPr>
        <w:t>Interference source at the Rx side only (Device</w:t>
      </w:r>
      <w:r>
        <w:rPr>
          <w:spacing w:val="-12"/>
          <w:sz w:val="20"/>
        </w:rPr>
        <w:t> </w:t>
      </w:r>
      <w:r>
        <w:rPr>
          <w:sz w:val="20"/>
        </w:rPr>
        <w:t>2)</w:t>
      </w:r>
    </w:p>
    <w:p>
      <w:pPr>
        <w:pStyle w:val="ListParagraph"/>
        <w:numPr>
          <w:ilvl w:val="5"/>
          <w:numId w:val="59"/>
        </w:numPr>
        <w:tabs>
          <w:tab w:pos="1985" w:val="left" w:leader="none"/>
          <w:tab w:pos="1986" w:val="left" w:leader="none"/>
        </w:tabs>
        <w:spacing w:line="240" w:lineRule="auto" w:before="180" w:after="0"/>
        <w:ind w:left="1985" w:right="1131" w:hanging="286"/>
        <w:jc w:val="left"/>
        <w:rPr>
          <w:b/>
          <w:sz w:val="16"/>
        </w:rPr>
      </w:pPr>
      <w:r>
        <w:rPr>
          <w:sz w:val="20"/>
        </w:rPr>
        <w:t>Interference</w:t>
      </w:r>
      <w:r>
        <w:rPr>
          <w:spacing w:val="-10"/>
          <w:sz w:val="20"/>
        </w:rPr>
        <w:t> </w:t>
      </w:r>
      <w:r>
        <w:rPr>
          <w:sz w:val="20"/>
        </w:rPr>
        <w:t>source</w:t>
      </w:r>
      <w:r>
        <w:rPr>
          <w:spacing w:val="-10"/>
          <w:sz w:val="20"/>
        </w:rPr>
        <w:t> </w:t>
      </w:r>
      <w:r>
        <w:rPr>
          <w:sz w:val="20"/>
        </w:rPr>
        <w:t>midway</w:t>
      </w:r>
      <w:r>
        <w:rPr>
          <w:spacing w:val="-11"/>
          <w:sz w:val="20"/>
        </w:rPr>
        <w:t> </w:t>
      </w:r>
      <w:r>
        <w:rPr>
          <w:sz w:val="20"/>
        </w:rPr>
        <w:t>between</w:t>
      </w:r>
      <w:r>
        <w:rPr>
          <w:spacing w:val="-8"/>
          <w:sz w:val="20"/>
        </w:rPr>
        <w:t> </w:t>
      </w:r>
      <w:r>
        <w:rPr>
          <w:sz w:val="20"/>
        </w:rPr>
        <w:t>Tx</w:t>
      </w:r>
      <w:r>
        <w:rPr>
          <w:spacing w:val="-8"/>
          <w:sz w:val="20"/>
        </w:rPr>
        <w:t> </w:t>
      </w:r>
      <w:r>
        <w:rPr>
          <w:sz w:val="20"/>
        </w:rPr>
        <w:t>side</w:t>
      </w:r>
      <w:r>
        <w:rPr>
          <w:spacing w:val="-11"/>
          <w:sz w:val="20"/>
        </w:rPr>
        <w:t> </w:t>
      </w:r>
      <w:r>
        <w:rPr>
          <w:sz w:val="20"/>
        </w:rPr>
        <w:t>(Device</w:t>
      </w:r>
      <w:r>
        <w:rPr>
          <w:spacing w:val="-10"/>
          <w:sz w:val="20"/>
        </w:rPr>
        <w:t> </w:t>
      </w:r>
      <w:r>
        <w:rPr>
          <w:sz w:val="20"/>
        </w:rPr>
        <w:t>1)</w:t>
      </w:r>
      <w:r>
        <w:rPr>
          <w:spacing w:val="-7"/>
          <w:sz w:val="20"/>
        </w:rPr>
        <w:t> </w:t>
      </w:r>
      <w:r>
        <w:rPr>
          <w:sz w:val="20"/>
        </w:rPr>
        <w:t>and</w:t>
      </w:r>
      <w:r>
        <w:rPr>
          <w:spacing w:val="-7"/>
          <w:sz w:val="20"/>
        </w:rPr>
        <w:t> </w:t>
      </w:r>
      <w:r>
        <w:rPr>
          <w:sz w:val="20"/>
        </w:rPr>
        <w:t>Rx</w:t>
      </w:r>
      <w:r>
        <w:rPr>
          <w:spacing w:val="-8"/>
          <w:sz w:val="20"/>
        </w:rPr>
        <w:t> </w:t>
      </w:r>
      <w:r>
        <w:rPr>
          <w:sz w:val="20"/>
        </w:rPr>
        <w:t>side</w:t>
      </w:r>
      <w:r>
        <w:rPr>
          <w:spacing w:val="-9"/>
          <w:sz w:val="20"/>
        </w:rPr>
        <w:t> </w:t>
      </w:r>
      <w:r>
        <w:rPr>
          <w:sz w:val="20"/>
        </w:rPr>
        <w:t>(Device</w:t>
      </w:r>
      <w:r>
        <w:rPr>
          <w:spacing w:val="-8"/>
          <w:sz w:val="20"/>
        </w:rPr>
        <w:t> </w:t>
      </w:r>
      <w:r>
        <w:rPr>
          <w:sz w:val="20"/>
        </w:rPr>
        <w:t>2),</w:t>
      </w:r>
      <w:r>
        <w:rPr>
          <w:spacing w:val="-10"/>
          <w:sz w:val="20"/>
        </w:rPr>
        <w:t> </w:t>
      </w:r>
      <w:r>
        <w:rPr>
          <w:sz w:val="20"/>
        </w:rPr>
        <w:t>so</w:t>
      </w:r>
      <w:r>
        <w:rPr>
          <w:spacing w:val="-8"/>
          <w:sz w:val="20"/>
        </w:rPr>
        <w:t> </w:t>
      </w:r>
      <w:r>
        <w:rPr>
          <w:sz w:val="20"/>
        </w:rPr>
        <w:t>that</w:t>
      </w:r>
      <w:r>
        <w:rPr>
          <w:spacing w:val="-8"/>
          <w:sz w:val="20"/>
        </w:rPr>
        <w:t> </w:t>
      </w:r>
      <w:r>
        <w:rPr>
          <w:sz w:val="20"/>
        </w:rPr>
        <w:t>both</w:t>
      </w:r>
      <w:r>
        <w:rPr>
          <w:spacing w:val="-8"/>
          <w:sz w:val="20"/>
        </w:rPr>
        <w:t> </w:t>
      </w:r>
      <w:r>
        <w:rPr>
          <w:sz w:val="20"/>
        </w:rPr>
        <w:t>devices are</w:t>
      </w:r>
      <w:r>
        <w:rPr>
          <w:spacing w:val="-3"/>
          <w:sz w:val="20"/>
        </w:rPr>
        <w:t> </w:t>
      </w:r>
      <w:r>
        <w:rPr>
          <w:sz w:val="20"/>
        </w:rPr>
        <w:t>affected</w:t>
      </w:r>
      <w:r>
        <w:rPr>
          <w:b/>
          <w:position w:val="6"/>
          <w:sz w:val="16"/>
        </w:rPr>
        <w:t>4</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23"/>
        </w:rPr>
      </w:pPr>
      <w:r>
        <w:rPr/>
        <w:pict>
          <v:line style="position:absolute;mso-position-horizontal-relative:page;mso-position-vertical-relative:paragraph;z-index:9904;mso-wrap-distance-left:0;mso-wrap-distance-right:0" from="56.664001pt,15.577466pt" to="200.684001pt,15.577466pt" stroked="true" strokeweight=".48pt" strokecolor="#000000">
            <v:stroke dashstyle="solid"/>
            <w10:wrap type="topAndBottom"/>
          </v:line>
        </w:pict>
      </w:r>
    </w:p>
    <w:p>
      <w:pPr>
        <w:pStyle w:val="BodyText"/>
        <w:spacing w:before="4"/>
        <w:rPr>
          <w:b/>
          <w:sz w:val="12"/>
        </w:rPr>
      </w:pPr>
    </w:p>
    <w:p>
      <w:pPr>
        <w:pStyle w:val="ListParagraph"/>
        <w:numPr>
          <w:ilvl w:val="0"/>
          <w:numId w:val="56"/>
        </w:numPr>
        <w:tabs>
          <w:tab w:pos="1586" w:val="left" w:leader="none"/>
          <w:tab w:pos="1587" w:val="left" w:leader="none"/>
        </w:tabs>
        <w:spacing w:line="240" w:lineRule="auto" w:before="94" w:after="0"/>
        <w:ind w:left="1586" w:right="1213" w:hanging="453"/>
        <w:jc w:val="left"/>
        <w:rPr>
          <w:rFonts w:ascii="Times New Roman"/>
          <w:sz w:val="16"/>
        </w:rPr>
      </w:pPr>
      <w:r>
        <w:rPr>
          <w:rFonts w:ascii="Times New Roman"/>
          <w:sz w:val="16"/>
        </w:rPr>
        <w:t>Signal Generators will not be physically moved. Rather, the varying positions of Signal Generators will be simulated by adjusting each signal generator</w:t>
      </w:r>
      <w:r>
        <w:rPr>
          <w:rFonts w:ascii="Times New Roman"/>
          <w:spacing w:val="-4"/>
          <w:sz w:val="16"/>
        </w:rPr>
        <w:t> </w:t>
      </w:r>
      <w:r>
        <w:rPr>
          <w:rFonts w:ascii="Times New Roman"/>
          <w:sz w:val="16"/>
        </w:rPr>
        <w:t>1-3.</w:t>
      </w:r>
    </w:p>
    <w:p>
      <w:pPr>
        <w:pStyle w:val="ListParagraph"/>
        <w:numPr>
          <w:ilvl w:val="0"/>
          <w:numId w:val="56"/>
        </w:numPr>
        <w:tabs>
          <w:tab w:pos="1586" w:val="left" w:leader="none"/>
          <w:tab w:pos="1587" w:val="left" w:leader="none"/>
        </w:tabs>
        <w:spacing w:line="240" w:lineRule="auto" w:before="0" w:after="0"/>
        <w:ind w:left="1586" w:right="1603" w:hanging="453"/>
        <w:jc w:val="left"/>
        <w:rPr>
          <w:rFonts w:ascii="Times New Roman"/>
          <w:sz w:val="16"/>
        </w:rPr>
      </w:pPr>
      <w:r>
        <w:rPr>
          <w:rFonts w:ascii="Times New Roman"/>
          <w:sz w:val="16"/>
        </w:rPr>
        <w:t>Although Device 1 (Tx side) does not receive the data stream, its behavior as a transmitter is affected by the signal received from Signal Generator</w:t>
      </w:r>
      <w:r>
        <w:rPr>
          <w:rFonts w:ascii="Times New Roman"/>
          <w:spacing w:val="-6"/>
          <w:sz w:val="16"/>
        </w:rPr>
        <w:t> </w:t>
      </w:r>
      <w:r>
        <w:rPr>
          <w:rFonts w:ascii="Times New Roman"/>
          <w:sz w:val="16"/>
        </w:rPr>
        <w:t>3.</w:t>
      </w:r>
    </w:p>
    <w:p>
      <w:pPr>
        <w:spacing w:after="0" w:line="240" w:lineRule="auto"/>
        <w:jc w:val="left"/>
        <w:rPr>
          <w:rFonts w:ascii="Times New Roman"/>
          <w:sz w:val="16"/>
        </w:rPr>
        <w:sectPr>
          <w:headerReference w:type="default" r:id="rId460"/>
          <w:footerReference w:type="default" r:id="rId461"/>
          <w:pgSz w:w="11910" w:h="16850"/>
          <w:pgMar w:header="852" w:footer="876" w:top="1040" w:bottom="1060" w:left="0" w:right="0"/>
          <w:pgNumType w:start="111"/>
        </w:sectPr>
      </w:pPr>
    </w:p>
    <w:p>
      <w:pPr>
        <w:pStyle w:val="BodyText"/>
        <w:rPr>
          <w:rFonts w:ascii="Times New Roman"/>
        </w:rPr>
      </w:pPr>
    </w:p>
    <w:p>
      <w:pPr>
        <w:pStyle w:val="BodyText"/>
        <w:spacing w:before="6"/>
        <w:rPr>
          <w:rFonts w:ascii="Times New Roman"/>
          <w:sz w:val="11"/>
        </w:rPr>
      </w:pPr>
    </w:p>
    <w:p>
      <w:pPr>
        <w:pStyle w:val="BodyText"/>
        <w:ind w:left="1188"/>
        <w:rPr>
          <w:rFonts w:ascii="Times New Roman"/>
        </w:rPr>
      </w:pPr>
      <w:r>
        <w:rPr>
          <w:rFonts w:ascii="Times New Roman"/>
        </w:rPr>
        <w:drawing>
          <wp:inline distT="0" distB="0" distL="0" distR="0">
            <wp:extent cx="5922434" cy="2594229"/>
            <wp:effectExtent l="0" t="0" r="0" b="0"/>
            <wp:docPr id="179" name="image189.jpeg" descr=""/>
            <wp:cNvGraphicFramePr>
              <a:graphicFrameLocks noChangeAspect="1"/>
            </wp:cNvGraphicFramePr>
            <a:graphic>
              <a:graphicData uri="http://schemas.openxmlformats.org/drawingml/2006/picture">
                <pic:pic>
                  <pic:nvPicPr>
                    <pic:cNvPr id="180" name="image189.jpeg"/>
                    <pic:cNvPicPr/>
                  </pic:nvPicPr>
                  <pic:blipFill>
                    <a:blip r:embed="rId416" cstate="print"/>
                    <a:stretch>
                      <a:fillRect/>
                    </a:stretch>
                  </pic:blipFill>
                  <pic:spPr>
                    <a:xfrm>
                      <a:off x="0" y="0"/>
                      <a:ext cx="5922434" cy="2594229"/>
                    </a:xfrm>
                    <a:prstGeom prst="rect">
                      <a:avLst/>
                    </a:prstGeom>
                  </pic:spPr>
                </pic:pic>
              </a:graphicData>
            </a:graphic>
          </wp:inline>
        </w:drawing>
      </w:r>
      <w:r>
        <w:rPr>
          <w:rFonts w:ascii="Times New Roman"/>
        </w:rPr>
      </w:r>
    </w:p>
    <w:p>
      <w:pPr>
        <w:pStyle w:val="BodyText"/>
        <w:spacing w:before="11"/>
        <w:rPr>
          <w:rFonts w:ascii="Times New Roman"/>
          <w:sz w:val="19"/>
        </w:rPr>
      </w:pPr>
    </w:p>
    <w:p>
      <w:pPr>
        <w:spacing w:before="92"/>
        <w:ind w:left="1133" w:right="0" w:firstLine="0"/>
        <w:jc w:val="left"/>
        <w:rPr>
          <w:b/>
          <w:sz w:val="24"/>
        </w:rPr>
      </w:pPr>
      <w:r>
        <w:rPr>
          <w:b/>
          <w:sz w:val="24"/>
        </w:rPr>
        <w:t>Figure 85: A.1.2.3 - Test Setup</w:t>
      </w:r>
    </w:p>
    <w:p>
      <w:pPr>
        <w:pStyle w:val="BodyText"/>
        <w:rPr>
          <w:b/>
          <w:sz w:val="26"/>
        </w:rPr>
      </w:pPr>
    </w:p>
    <w:p>
      <w:pPr>
        <w:pStyle w:val="ListParagraph"/>
        <w:numPr>
          <w:ilvl w:val="1"/>
          <w:numId w:val="56"/>
        </w:numPr>
        <w:tabs>
          <w:tab w:pos="1701" w:val="left" w:leader="none"/>
          <w:tab w:pos="1702" w:val="left" w:leader="none"/>
        </w:tabs>
        <w:spacing w:line="240" w:lineRule="auto" w:before="179" w:after="0"/>
        <w:ind w:left="1701" w:right="0" w:hanging="285"/>
        <w:jc w:val="left"/>
        <w:rPr>
          <w:sz w:val="20"/>
        </w:rPr>
      </w:pPr>
      <w:r>
        <w:rPr>
          <w:sz w:val="20"/>
        </w:rPr>
        <w:t>Settings on Device 1 (Transmit</w:t>
      </w:r>
      <w:r>
        <w:rPr>
          <w:spacing w:val="-11"/>
          <w:sz w:val="20"/>
        </w:rPr>
        <w:t> </w:t>
      </w:r>
      <w:r>
        <w:rPr>
          <w:sz w:val="20"/>
        </w:rPr>
        <w:t>Radio):</w:t>
      </w:r>
    </w:p>
    <w:p>
      <w:pPr>
        <w:pStyle w:val="ListParagraph"/>
        <w:numPr>
          <w:ilvl w:val="2"/>
          <w:numId w:val="56"/>
        </w:numPr>
        <w:tabs>
          <w:tab w:pos="1985" w:val="left" w:leader="none"/>
          <w:tab w:pos="1986" w:val="left" w:leader="none"/>
        </w:tabs>
        <w:spacing w:line="240" w:lineRule="auto" w:before="179" w:after="0"/>
        <w:ind w:left="1985" w:right="1133" w:hanging="286"/>
        <w:jc w:val="left"/>
        <w:rPr>
          <w:sz w:val="20"/>
        </w:rPr>
      </w:pPr>
      <w:r>
        <w:rPr>
          <w:sz w:val="20"/>
        </w:rPr>
        <w:t>SPS</w:t>
      </w:r>
      <w:r>
        <w:rPr>
          <w:spacing w:val="-8"/>
          <w:sz w:val="20"/>
        </w:rPr>
        <w:t> </w:t>
      </w:r>
      <w:r>
        <w:rPr>
          <w:sz w:val="20"/>
        </w:rPr>
        <w:t>(Semi-Persistent</w:t>
      </w:r>
      <w:r>
        <w:rPr>
          <w:spacing w:val="-8"/>
          <w:sz w:val="20"/>
        </w:rPr>
        <w:t> </w:t>
      </w:r>
      <w:r>
        <w:rPr>
          <w:sz w:val="20"/>
        </w:rPr>
        <w:t>Scheduling)</w:t>
      </w:r>
      <w:r>
        <w:rPr>
          <w:spacing w:val="-7"/>
          <w:sz w:val="20"/>
        </w:rPr>
        <w:t> </w:t>
      </w:r>
      <w:r>
        <w:rPr>
          <w:sz w:val="20"/>
        </w:rPr>
        <w:t>based</w:t>
      </w:r>
      <w:r>
        <w:rPr>
          <w:spacing w:val="-8"/>
          <w:sz w:val="20"/>
        </w:rPr>
        <w:t> </w:t>
      </w:r>
      <w:r>
        <w:rPr>
          <w:sz w:val="20"/>
        </w:rPr>
        <w:t>transmit</w:t>
      </w:r>
      <w:r>
        <w:rPr>
          <w:spacing w:val="-8"/>
          <w:sz w:val="20"/>
        </w:rPr>
        <w:t> </w:t>
      </w:r>
      <w:r>
        <w:rPr>
          <w:sz w:val="20"/>
        </w:rPr>
        <w:t>flow</w:t>
      </w:r>
      <w:r>
        <w:rPr>
          <w:spacing w:val="-8"/>
          <w:sz w:val="20"/>
        </w:rPr>
        <w:t> </w:t>
      </w:r>
      <w:r>
        <w:rPr>
          <w:sz w:val="20"/>
        </w:rPr>
        <w:t>with</w:t>
      </w:r>
      <w:r>
        <w:rPr>
          <w:spacing w:val="-8"/>
          <w:sz w:val="20"/>
        </w:rPr>
        <w:t> </w:t>
      </w:r>
      <w:r>
        <w:rPr>
          <w:sz w:val="20"/>
        </w:rPr>
        <w:t>a</w:t>
      </w:r>
      <w:r>
        <w:rPr>
          <w:spacing w:val="-6"/>
          <w:sz w:val="20"/>
        </w:rPr>
        <w:t> </w:t>
      </w:r>
      <w:r>
        <w:rPr>
          <w:sz w:val="20"/>
        </w:rPr>
        <w:t>periodicity</w:t>
      </w:r>
      <w:r>
        <w:rPr>
          <w:spacing w:val="-11"/>
          <w:sz w:val="20"/>
        </w:rPr>
        <w:t> </w:t>
      </w:r>
      <w:r>
        <w:rPr>
          <w:sz w:val="20"/>
        </w:rPr>
        <w:t>of</w:t>
      </w:r>
      <w:r>
        <w:rPr>
          <w:spacing w:val="-6"/>
          <w:sz w:val="20"/>
        </w:rPr>
        <w:t> </w:t>
      </w:r>
      <w:r>
        <w:rPr>
          <w:sz w:val="20"/>
        </w:rPr>
        <w:t>100</w:t>
      </w:r>
      <w:r>
        <w:rPr>
          <w:spacing w:val="-8"/>
          <w:sz w:val="20"/>
        </w:rPr>
        <w:t> </w:t>
      </w:r>
      <w:r>
        <w:rPr>
          <w:sz w:val="20"/>
        </w:rPr>
        <w:t>ms</w:t>
      </w:r>
      <w:r>
        <w:rPr>
          <w:spacing w:val="-9"/>
          <w:sz w:val="20"/>
        </w:rPr>
        <w:t> </w:t>
      </w:r>
      <w:r>
        <w:rPr>
          <w:sz w:val="20"/>
        </w:rPr>
        <w:t>(Note:</w:t>
      </w:r>
      <w:r>
        <w:rPr>
          <w:spacing w:val="-8"/>
          <w:sz w:val="20"/>
        </w:rPr>
        <w:t> </w:t>
      </w:r>
      <w:r>
        <w:rPr>
          <w:sz w:val="20"/>
        </w:rPr>
        <w:t>equivalent to setting a periodic stream at 100 ms period for other</w:t>
      </w:r>
      <w:r>
        <w:rPr>
          <w:spacing w:val="-15"/>
          <w:sz w:val="20"/>
        </w:rPr>
        <w:t> </w:t>
      </w:r>
      <w:r>
        <w:rPr>
          <w:sz w:val="20"/>
        </w:rPr>
        <w:t>technologies)</w:t>
      </w:r>
    </w:p>
    <w:p>
      <w:pPr>
        <w:pStyle w:val="ListParagraph"/>
        <w:numPr>
          <w:ilvl w:val="2"/>
          <w:numId w:val="56"/>
        </w:numPr>
        <w:tabs>
          <w:tab w:pos="1985" w:val="left" w:leader="none"/>
          <w:tab w:pos="1986" w:val="left" w:leader="none"/>
        </w:tabs>
        <w:spacing w:line="240" w:lineRule="auto" w:before="179" w:after="0"/>
        <w:ind w:left="1985" w:right="0" w:hanging="286"/>
        <w:jc w:val="left"/>
        <w:rPr>
          <w:sz w:val="20"/>
        </w:rPr>
      </w:pPr>
      <w:r>
        <w:rPr>
          <w:sz w:val="20"/>
        </w:rPr>
        <w:t>Packet length of 193</w:t>
      </w:r>
      <w:r>
        <w:rPr>
          <w:spacing w:val="-8"/>
          <w:sz w:val="20"/>
        </w:rPr>
        <w:t> </w:t>
      </w:r>
      <w:r>
        <w:rPr>
          <w:sz w:val="20"/>
        </w:rPr>
        <w:t>bytes</w:t>
      </w:r>
    </w:p>
    <w:p>
      <w:pPr>
        <w:pStyle w:val="ListParagraph"/>
        <w:numPr>
          <w:ilvl w:val="2"/>
          <w:numId w:val="56"/>
        </w:numPr>
        <w:tabs>
          <w:tab w:pos="1985" w:val="left" w:leader="none"/>
          <w:tab w:pos="1986" w:val="left" w:leader="none"/>
        </w:tabs>
        <w:spacing w:line="240" w:lineRule="auto" w:before="179" w:after="0"/>
        <w:ind w:left="1985" w:right="0" w:hanging="286"/>
        <w:jc w:val="left"/>
        <w:rPr>
          <w:sz w:val="20"/>
        </w:rPr>
      </w:pPr>
      <w:r>
        <w:rPr>
          <w:sz w:val="20"/>
        </w:rPr>
        <w:t>Transmit on ITS band (e.g., center frequency 5,860 MHz) with bandwidth of 10</w:t>
      </w:r>
      <w:r>
        <w:rPr>
          <w:spacing w:val="-23"/>
          <w:sz w:val="20"/>
        </w:rPr>
        <w:t> </w:t>
      </w:r>
      <w:r>
        <w:rPr>
          <w:sz w:val="20"/>
        </w:rPr>
        <w:t>MHz</w:t>
      </w:r>
    </w:p>
    <w:p>
      <w:pPr>
        <w:pStyle w:val="ListParagraph"/>
        <w:numPr>
          <w:ilvl w:val="2"/>
          <w:numId w:val="56"/>
        </w:numPr>
        <w:tabs>
          <w:tab w:pos="1985" w:val="left" w:leader="none"/>
          <w:tab w:pos="1986" w:val="left" w:leader="none"/>
        </w:tabs>
        <w:spacing w:line="240" w:lineRule="auto" w:before="180" w:after="0"/>
        <w:ind w:left="1985" w:right="1139" w:hanging="286"/>
        <w:jc w:val="left"/>
        <w:rPr>
          <w:sz w:val="20"/>
        </w:rPr>
      </w:pPr>
      <w:r>
        <w:rPr>
          <w:sz w:val="20"/>
        </w:rPr>
        <w:t>Appropriate transmit power and fixed attenuation added Attenuator 1 (A1) to ensure that Device 1 Rx power at DUT input is 50</w:t>
      </w:r>
      <w:r>
        <w:rPr>
          <w:spacing w:val="-11"/>
          <w:sz w:val="20"/>
        </w:rPr>
        <w:t> </w:t>
      </w:r>
      <w:r>
        <w:rPr>
          <w:sz w:val="20"/>
        </w:rPr>
        <w:t>dBm</w:t>
      </w:r>
    </w:p>
    <w:p>
      <w:pPr>
        <w:pStyle w:val="BodyText"/>
      </w:pPr>
    </w:p>
    <w:p>
      <w:pPr>
        <w:pStyle w:val="BodyText"/>
        <w:spacing w:before="11"/>
        <w:rPr>
          <w:sz w:val="26"/>
        </w:rPr>
      </w:pPr>
      <w:r>
        <w:rPr/>
        <w:pict>
          <v:group style="position:absolute;margin-left:56.648998pt;margin-top:17.463377pt;width:395.55pt;height:152pt;mso-position-horizontal-relative:page;mso-position-vertical-relative:paragraph;z-index:9976;mso-wrap-distance-left:0;mso-wrap-distance-right:0" coordorigin="1133,349" coordsize="7911,3040">
            <v:rect style="position:absolute;left:2223;top:1385;width:5986;height:1465" filled="true" fillcolor="#d9d9d9" stroked="false">
              <v:fill type="solid"/>
            </v:rect>
            <v:shape style="position:absolute;left:1133;top:2776;width:7911;height:120" coordorigin="1133,2776" coordsize="7911,120" path="m9034,2831l8944,2831,8944,2841,8924,2841,8924,2896,9044,2836,9034,2831xm8924,2831l1133,2846,1133,2856,8924,2841,8924,2831xm8944,2831l8924,2831,8924,2841,8944,2841,8944,2831xm8924,2776l8924,2831,9034,2831,8924,2776xe" filled="true" fillcolor="#000000" stroked="false">
              <v:path arrowok="t"/>
              <v:fill type="solid"/>
            </v:shape>
            <v:shape style="position:absolute;left:1500;top:2848;width:1529;height:540" type="#_x0000_t75" stroked="false">
              <v:imagedata r:id="rId463" o:title=""/>
            </v:shape>
            <v:shape style="position:absolute;left:7464;top:2841;width:1531;height:540" type="#_x0000_t75" stroked="false">
              <v:imagedata r:id="rId463" o:title=""/>
            </v:shape>
            <v:rect style="position:absolute;left:2223;top:359;width:365;height:2477" filled="true" fillcolor="#f8caac" stroked="false">
              <v:fill type="solid"/>
            </v:rect>
            <v:rect style="position:absolute;left:2223;top:359;width:365;height:2477" filled="false" stroked="true" strokeweight="1pt" strokecolor="#ffcc99">
              <v:stroke dashstyle="solid"/>
            </v:rect>
            <v:shape style="position:absolute;left:2043;top:2913;width:463;height:223" type="#_x0000_t202" filled="false" stroked="false">
              <v:textbox inset="0,0,0,0">
                <w:txbxContent>
                  <w:p>
                    <w:pPr>
                      <w:spacing w:line="223" w:lineRule="exact" w:before="0"/>
                      <w:ind w:left="0" w:right="0" w:firstLine="0"/>
                      <w:jc w:val="left"/>
                      <w:rPr>
                        <w:b/>
                        <w:sz w:val="20"/>
                      </w:rPr>
                    </w:pPr>
                    <w:r>
                      <w:rPr>
                        <w:b/>
                        <w:sz w:val="20"/>
                      </w:rPr>
                      <w:t>5855</w:t>
                    </w:r>
                  </w:p>
                </w:txbxContent>
              </v:textbox>
              <w10:wrap type="none"/>
            </v:shape>
            <v:shape style="position:absolute;left:8008;top:2905;width:463;height:223" type="#_x0000_t202" filled="false" stroked="false">
              <v:textbox inset="0,0,0,0">
                <w:txbxContent>
                  <w:p>
                    <w:pPr>
                      <w:spacing w:line="223" w:lineRule="exact" w:before="0"/>
                      <w:ind w:left="0" w:right="0" w:firstLine="0"/>
                      <w:jc w:val="left"/>
                      <w:rPr>
                        <w:b/>
                        <w:sz w:val="20"/>
                      </w:rPr>
                    </w:pPr>
                    <w:r>
                      <w:rPr>
                        <w:b/>
                        <w:sz w:val="20"/>
                      </w:rPr>
                      <w:t>5865</w:t>
                    </w:r>
                  </w:p>
                </w:txbxContent>
              </v:textbox>
              <w10:wrap type="none"/>
            </v:shape>
            <w10:wrap type="topAndBottom"/>
          </v:group>
        </w:pict>
      </w:r>
    </w:p>
    <w:p>
      <w:pPr>
        <w:pStyle w:val="Heading4"/>
        <w:spacing w:before="160"/>
      </w:pPr>
      <w:r>
        <w:rPr/>
        <w:t>Figure 86: Interference position in Channel 172 (PSD not drawn to scale)</w:t>
      </w:r>
    </w:p>
    <w:p>
      <w:pPr>
        <w:pStyle w:val="BodyText"/>
        <w:rPr>
          <w:b/>
          <w:sz w:val="26"/>
        </w:rPr>
      </w:pPr>
    </w:p>
    <w:p>
      <w:pPr>
        <w:pStyle w:val="ListParagraph"/>
        <w:numPr>
          <w:ilvl w:val="1"/>
          <w:numId w:val="56"/>
        </w:numPr>
        <w:tabs>
          <w:tab w:pos="1701" w:val="left" w:leader="none"/>
          <w:tab w:pos="1702" w:val="left" w:leader="none"/>
        </w:tabs>
        <w:spacing w:line="240" w:lineRule="auto" w:before="182" w:after="0"/>
        <w:ind w:left="1701" w:right="0" w:hanging="285"/>
        <w:jc w:val="left"/>
        <w:rPr>
          <w:sz w:val="20"/>
        </w:rPr>
      </w:pPr>
      <w:r>
        <w:rPr>
          <w:sz w:val="20"/>
        </w:rPr>
        <w:t>Settings on the Device 2 (Receive Radio,</w:t>
      </w:r>
      <w:r>
        <w:rPr>
          <w:spacing w:val="-13"/>
          <w:sz w:val="20"/>
        </w:rPr>
        <w:t> </w:t>
      </w:r>
      <w:r>
        <w:rPr>
          <w:sz w:val="20"/>
        </w:rPr>
        <w:t>Rx):</w:t>
      </w:r>
    </w:p>
    <w:p>
      <w:pPr>
        <w:pStyle w:val="ListParagraph"/>
        <w:numPr>
          <w:ilvl w:val="2"/>
          <w:numId w:val="56"/>
        </w:numPr>
        <w:tabs>
          <w:tab w:pos="1985" w:val="left" w:leader="none"/>
          <w:tab w:pos="1986" w:val="left" w:leader="none"/>
        </w:tabs>
        <w:spacing w:line="240" w:lineRule="auto" w:before="178" w:after="0"/>
        <w:ind w:left="1985" w:right="0" w:hanging="286"/>
        <w:jc w:val="left"/>
        <w:rPr>
          <w:sz w:val="20"/>
        </w:rPr>
      </w:pPr>
      <w:r>
        <w:rPr>
          <w:sz w:val="20"/>
        </w:rPr>
        <w:t>Configured to receive on ITS band (e.g., center frequency 5,860 MHz) with bandwidth of 10</w:t>
      </w:r>
      <w:r>
        <w:rPr>
          <w:spacing w:val="-32"/>
          <w:sz w:val="20"/>
        </w:rPr>
        <w:t> </w:t>
      </w:r>
      <w:r>
        <w:rPr>
          <w:sz w:val="20"/>
        </w:rPr>
        <w:t>MHz</w:t>
      </w:r>
    </w:p>
    <w:p>
      <w:pPr>
        <w:pStyle w:val="ListParagraph"/>
        <w:numPr>
          <w:ilvl w:val="2"/>
          <w:numId w:val="56"/>
        </w:numPr>
        <w:tabs>
          <w:tab w:pos="1985" w:val="left" w:leader="none"/>
          <w:tab w:pos="1986" w:val="left" w:leader="none"/>
        </w:tabs>
        <w:spacing w:line="240" w:lineRule="auto" w:before="180" w:after="0"/>
        <w:ind w:left="1985" w:right="0" w:hanging="286"/>
        <w:jc w:val="left"/>
        <w:rPr>
          <w:sz w:val="20"/>
        </w:rPr>
      </w:pPr>
      <w:r>
        <w:rPr>
          <w:sz w:val="20"/>
        </w:rPr>
        <w:t>All measurements of receiving side performance are done on this</w:t>
      </w:r>
      <w:r>
        <w:rPr>
          <w:spacing w:val="-22"/>
          <w:sz w:val="20"/>
        </w:rPr>
        <w:t> </w:t>
      </w:r>
      <w:r>
        <w:rPr>
          <w:sz w:val="20"/>
        </w:rPr>
        <w:t>device.</w:t>
      </w:r>
    </w:p>
    <w:p>
      <w:pPr>
        <w:pStyle w:val="ListParagraph"/>
        <w:numPr>
          <w:ilvl w:val="1"/>
          <w:numId w:val="56"/>
        </w:numPr>
        <w:tabs>
          <w:tab w:pos="1701" w:val="left" w:leader="none"/>
          <w:tab w:pos="1702" w:val="left" w:leader="none"/>
        </w:tabs>
        <w:spacing w:line="240" w:lineRule="auto" w:before="180" w:after="0"/>
        <w:ind w:left="1701" w:right="0" w:hanging="285"/>
        <w:jc w:val="left"/>
        <w:rPr>
          <w:sz w:val="20"/>
        </w:rPr>
      </w:pPr>
      <w:r>
        <w:rPr>
          <w:sz w:val="20"/>
        </w:rPr>
        <w:t>Data Collection at Tx (Device</w:t>
      </w:r>
      <w:r>
        <w:rPr>
          <w:spacing w:val="-7"/>
          <w:sz w:val="20"/>
        </w:rPr>
        <w:t> </w:t>
      </w:r>
      <w:r>
        <w:rPr>
          <w:sz w:val="20"/>
        </w:rPr>
        <w:t>1):</w:t>
      </w:r>
    </w:p>
    <w:p>
      <w:pPr>
        <w:pStyle w:val="ListParagraph"/>
        <w:numPr>
          <w:ilvl w:val="2"/>
          <w:numId w:val="56"/>
        </w:numPr>
        <w:tabs>
          <w:tab w:pos="1985" w:val="left" w:leader="none"/>
          <w:tab w:pos="1986" w:val="left" w:leader="none"/>
        </w:tabs>
        <w:spacing w:line="240" w:lineRule="auto" w:before="181" w:after="0"/>
        <w:ind w:left="1985" w:right="0" w:hanging="286"/>
        <w:jc w:val="left"/>
        <w:rPr>
          <w:sz w:val="20"/>
        </w:rPr>
      </w:pPr>
      <w:r>
        <w:rPr>
          <w:sz w:val="20"/>
        </w:rPr>
        <w:t>OS timestamp for each transmitted</w:t>
      </w:r>
      <w:r>
        <w:rPr>
          <w:spacing w:val="-14"/>
          <w:sz w:val="20"/>
        </w:rPr>
        <w:t> </w:t>
      </w:r>
      <w:r>
        <w:rPr>
          <w:sz w:val="20"/>
        </w:rPr>
        <w:t>packet</w:t>
      </w:r>
    </w:p>
    <w:p>
      <w:pPr>
        <w:spacing w:after="0" w:line="240" w:lineRule="auto"/>
        <w:jc w:val="left"/>
        <w:rPr>
          <w:sz w:val="20"/>
        </w:rPr>
        <w:sectPr>
          <w:headerReference w:type="default" r:id="rId462"/>
          <w:pgSz w:w="11910" w:h="16850"/>
          <w:pgMar w:header="852" w:footer="876" w:top="1040" w:bottom="1160" w:left="0" w:right="0"/>
        </w:sectPr>
      </w:pPr>
    </w:p>
    <w:p>
      <w:pPr>
        <w:pStyle w:val="BodyText"/>
        <w:spacing w:before="2"/>
        <w:rPr>
          <w:sz w:val="23"/>
        </w:rPr>
      </w:pPr>
    </w:p>
    <w:p>
      <w:pPr>
        <w:pStyle w:val="ListParagraph"/>
        <w:numPr>
          <w:ilvl w:val="2"/>
          <w:numId w:val="56"/>
        </w:numPr>
        <w:tabs>
          <w:tab w:pos="1985" w:val="left" w:leader="none"/>
          <w:tab w:pos="1986" w:val="left" w:leader="none"/>
        </w:tabs>
        <w:spacing w:line="240" w:lineRule="auto" w:before="93" w:after="0"/>
        <w:ind w:left="1985" w:right="0" w:hanging="286"/>
        <w:jc w:val="left"/>
        <w:rPr>
          <w:sz w:val="20"/>
        </w:rPr>
      </w:pPr>
      <w:r>
        <w:rPr>
          <w:sz w:val="20"/>
        </w:rPr>
        <w:t>Sequence number of each transmitted</w:t>
      </w:r>
      <w:r>
        <w:rPr>
          <w:spacing w:val="-7"/>
          <w:sz w:val="20"/>
        </w:rPr>
        <w:t> </w:t>
      </w:r>
      <w:r>
        <w:rPr>
          <w:sz w:val="20"/>
        </w:rPr>
        <w:t>packet</w:t>
      </w:r>
    </w:p>
    <w:p>
      <w:pPr>
        <w:pStyle w:val="ListParagraph"/>
        <w:numPr>
          <w:ilvl w:val="1"/>
          <w:numId w:val="56"/>
        </w:numPr>
        <w:tabs>
          <w:tab w:pos="1701" w:val="left" w:leader="none"/>
          <w:tab w:pos="1702" w:val="left" w:leader="none"/>
        </w:tabs>
        <w:spacing w:line="240" w:lineRule="auto" w:before="180" w:after="0"/>
        <w:ind w:left="1701" w:right="0" w:hanging="285"/>
        <w:jc w:val="left"/>
        <w:rPr>
          <w:sz w:val="20"/>
        </w:rPr>
      </w:pPr>
      <w:r>
        <w:rPr>
          <w:sz w:val="20"/>
        </w:rPr>
        <w:t>Data Collection at Rx (Device</w:t>
      </w:r>
      <w:r>
        <w:rPr>
          <w:spacing w:val="-8"/>
          <w:sz w:val="20"/>
        </w:rPr>
        <w:t> </w:t>
      </w:r>
      <w:r>
        <w:rPr>
          <w:sz w:val="20"/>
        </w:rPr>
        <w:t>2):</w:t>
      </w:r>
    </w:p>
    <w:p>
      <w:pPr>
        <w:pStyle w:val="ListParagraph"/>
        <w:numPr>
          <w:ilvl w:val="2"/>
          <w:numId w:val="56"/>
        </w:numPr>
        <w:tabs>
          <w:tab w:pos="1985" w:val="left" w:leader="none"/>
          <w:tab w:pos="1986" w:val="left" w:leader="none"/>
        </w:tabs>
        <w:spacing w:line="240" w:lineRule="auto" w:before="180" w:after="0"/>
        <w:ind w:left="1985" w:right="0" w:hanging="286"/>
        <w:jc w:val="left"/>
        <w:rPr>
          <w:sz w:val="20"/>
        </w:rPr>
      </w:pPr>
      <w:r>
        <w:rPr>
          <w:sz w:val="20"/>
        </w:rPr>
        <w:t>OS timestamp for each received</w:t>
      </w:r>
      <w:r>
        <w:rPr>
          <w:spacing w:val="-11"/>
          <w:sz w:val="20"/>
        </w:rPr>
        <w:t> </w:t>
      </w:r>
      <w:r>
        <w:rPr>
          <w:sz w:val="20"/>
        </w:rPr>
        <w:t>packet</w:t>
      </w:r>
    </w:p>
    <w:p>
      <w:pPr>
        <w:pStyle w:val="ListParagraph"/>
        <w:numPr>
          <w:ilvl w:val="2"/>
          <w:numId w:val="56"/>
        </w:numPr>
        <w:tabs>
          <w:tab w:pos="1985" w:val="left" w:leader="none"/>
          <w:tab w:pos="1986" w:val="left" w:leader="none"/>
        </w:tabs>
        <w:spacing w:line="240" w:lineRule="auto" w:before="178" w:after="0"/>
        <w:ind w:left="1985" w:right="0" w:hanging="286"/>
        <w:jc w:val="left"/>
        <w:rPr>
          <w:sz w:val="20"/>
        </w:rPr>
      </w:pPr>
      <w:r>
        <w:rPr>
          <w:sz w:val="20"/>
        </w:rPr>
        <w:t>Sequence number of each received</w:t>
      </w:r>
      <w:r>
        <w:rPr>
          <w:spacing w:val="-8"/>
          <w:sz w:val="20"/>
        </w:rPr>
        <w:t> </w:t>
      </w:r>
      <w:r>
        <w:rPr>
          <w:sz w:val="20"/>
        </w:rPr>
        <w:t>packet</w:t>
      </w:r>
    </w:p>
    <w:p>
      <w:pPr>
        <w:pStyle w:val="ListParagraph"/>
        <w:numPr>
          <w:ilvl w:val="2"/>
          <w:numId w:val="56"/>
        </w:numPr>
        <w:tabs>
          <w:tab w:pos="1985" w:val="left" w:leader="none"/>
          <w:tab w:pos="1986" w:val="left" w:leader="none"/>
        </w:tabs>
        <w:spacing w:line="240" w:lineRule="auto" w:before="180" w:after="0"/>
        <w:ind w:left="1985" w:right="0" w:hanging="286"/>
        <w:jc w:val="left"/>
        <w:rPr>
          <w:sz w:val="20"/>
        </w:rPr>
      </w:pPr>
      <w:r>
        <w:rPr>
          <w:sz w:val="20"/>
        </w:rPr>
        <w:t>Receive signal power for each received</w:t>
      </w:r>
      <w:r>
        <w:rPr>
          <w:spacing w:val="-19"/>
          <w:sz w:val="20"/>
        </w:rPr>
        <w:t> </w:t>
      </w:r>
      <w:r>
        <w:rPr>
          <w:sz w:val="20"/>
        </w:rPr>
        <w:t>packet</w:t>
      </w:r>
    </w:p>
    <w:p>
      <w:pPr>
        <w:pStyle w:val="BodyText"/>
        <w:spacing w:before="7"/>
      </w:pPr>
    </w:p>
    <w:p>
      <w:pPr>
        <w:pStyle w:val="Heading7"/>
      </w:pPr>
      <w:r>
        <w:rPr/>
        <w:t>Table 39: Test configuration</w:t>
      </w:r>
    </w:p>
    <w:p>
      <w:pPr>
        <w:pStyle w:val="BodyText"/>
        <w:spacing w:after="1"/>
        <w:rPr>
          <w:b/>
          <w:sz w:val="16"/>
        </w:rPr>
      </w:pPr>
    </w:p>
    <w:tbl>
      <w:tblPr>
        <w:tblW w:w="0" w:type="auto"/>
        <w:jc w:val="left"/>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0"/>
        <w:gridCol w:w="3022"/>
        <w:gridCol w:w="3023"/>
      </w:tblGrid>
      <w:tr>
        <w:trPr>
          <w:trHeight w:val="456" w:hRule="exact"/>
        </w:trPr>
        <w:tc>
          <w:tcPr>
            <w:tcW w:w="3020" w:type="dxa"/>
            <w:shd w:val="clear" w:color="auto" w:fill="D9D9D9"/>
          </w:tcPr>
          <w:p>
            <w:pPr>
              <w:pStyle w:val="TableParagraph"/>
              <w:spacing w:line="201" w:lineRule="exact"/>
              <w:rPr>
                <w:b/>
                <w:sz w:val="18"/>
              </w:rPr>
            </w:pPr>
            <w:r>
              <w:rPr>
                <w:b/>
                <w:sz w:val="18"/>
              </w:rPr>
              <w:t>Configuration</w:t>
            </w:r>
          </w:p>
        </w:tc>
        <w:tc>
          <w:tcPr>
            <w:tcW w:w="3022" w:type="dxa"/>
            <w:shd w:val="clear" w:color="auto" w:fill="D9D9D9"/>
          </w:tcPr>
          <w:p>
            <w:pPr>
              <w:pStyle w:val="TableParagraph"/>
              <w:spacing w:line="201" w:lineRule="exact"/>
              <w:rPr>
                <w:b/>
                <w:sz w:val="18"/>
              </w:rPr>
            </w:pPr>
            <w:r>
              <w:rPr>
                <w:b/>
                <w:sz w:val="18"/>
              </w:rPr>
              <w:t>C-V2X</w:t>
            </w:r>
          </w:p>
        </w:tc>
        <w:tc>
          <w:tcPr>
            <w:tcW w:w="3023" w:type="dxa"/>
            <w:shd w:val="clear" w:color="auto" w:fill="D9D9D9"/>
          </w:tcPr>
          <w:p>
            <w:pPr>
              <w:pStyle w:val="TableParagraph"/>
              <w:spacing w:line="201" w:lineRule="exact"/>
              <w:rPr>
                <w:b/>
                <w:sz w:val="18"/>
              </w:rPr>
            </w:pPr>
            <w:r>
              <w:rPr>
                <w:b/>
                <w:sz w:val="18"/>
              </w:rPr>
              <w:t>DSRC</w:t>
            </w:r>
          </w:p>
        </w:tc>
      </w:tr>
      <w:tr>
        <w:trPr>
          <w:trHeight w:val="454" w:hRule="exact"/>
        </w:trPr>
        <w:tc>
          <w:tcPr>
            <w:tcW w:w="3020" w:type="dxa"/>
          </w:tcPr>
          <w:p>
            <w:pPr>
              <w:pStyle w:val="TableParagraph"/>
              <w:rPr>
                <w:sz w:val="18"/>
              </w:rPr>
            </w:pPr>
            <w:r>
              <w:rPr>
                <w:sz w:val="18"/>
              </w:rPr>
              <w:t>Number of Samples</w:t>
            </w:r>
          </w:p>
        </w:tc>
        <w:tc>
          <w:tcPr>
            <w:tcW w:w="3022" w:type="dxa"/>
          </w:tcPr>
          <w:p>
            <w:pPr>
              <w:pStyle w:val="TableParagraph"/>
              <w:rPr>
                <w:sz w:val="18"/>
              </w:rPr>
            </w:pPr>
            <w:r>
              <w:rPr>
                <w:sz w:val="18"/>
              </w:rPr>
              <w:t>1000</w:t>
            </w:r>
          </w:p>
        </w:tc>
        <w:tc>
          <w:tcPr>
            <w:tcW w:w="3023" w:type="dxa"/>
          </w:tcPr>
          <w:p>
            <w:pPr>
              <w:pStyle w:val="TableParagraph"/>
              <w:rPr>
                <w:sz w:val="18"/>
              </w:rPr>
            </w:pPr>
            <w:r>
              <w:rPr>
                <w:sz w:val="18"/>
              </w:rPr>
              <w:t>1000</w:t>
            </w:r>
          </w:p>
        </w:tc>
      </w:tr>
      <w:tr>
        <w:trPr>
          <w:trHeight w:val="466" w:hRule="exact"/>
        </w:trPr>
        <w:tc>
          <w:tcPr>
            <w:tcW w:w="3020" w:type="dxa"/>
          </w:tcPr>
          <w:p>
            <w:pPr>
              <w:pStyle w:val="TableParagraph"/>
              <w:rPr>
                <w:sz w:val="18"/>
              </w:rPr>
            </w:pPr>
            <w:r>
              <w:rPr>
                <w:sz w:val="18"/>
              </w:rPr>
              <w:t>Interference Signal</w:t>
            </w:r>
          </w:p>
        </w:tc>
        <w:tc>
          <w:tcPr>
            <w:tcW w:w="3022" w:type="dxa"/>
          </w:tcPr>
          <w:p>
            <w:pPr>
              <w:pStyle w:val="TableParagraph"/>
              <w:rPr>
                <w:sz w:val="18"/>
              </w:rPr>
            </w:pPr>
            <w:r>
              <w:rPr>
                <w:sz w:val="18"/>
              </w:rPr>
              <w:t>External AWGN source</w:t>
            </w:r>
          </w:p>
        </w:tc>
        <w:tc>
          <w:tcPr>
            <w:tcW w:w="3023" w:type="dxa"/>
          </w:tcPr>
          <w:p>
            <w:pPr>
              <w:pStyle w:val="TableParagraph"/>
              <w:rPr>
                <w:sz w:val="18"/>
              </w:rPr>
            </w:pPr>
            <w:r>
              <w:rPr>
                <w:sz w:val="18"/>
              </w:rPr>
              <w:t>External AWGN source</w:t>
            </w:r>
          </w:p>
        </w:tc>
      </w:tr>
    </w:tbl>
    <w:p>
      <w:pPr>
        <w:pStyle w:val="BodyText"/>
        <w:rPr>
          <w:b/>
          <w:sz w:val="22"/>
        </w:rPr>
      </w:pPr>
    </w:p>
    <w:p>
      <w:pPr>
        <w:pStyle w:val="BodyText"/>
        <w:spacing w:before="5"/>
        <w:rPr>
          <w:b/>
          <w:sz w:val="18"/>
        </w:rPr>
      </w:pPr>
    </w:p>
    <w:p>
      <w:pPr>
        <w:spacing w:before="0"/>
        <w:ind w:left="1133" w:right="0" w:firstLine="0"/>
        <w:jc w:val="left"/>
        <w:rPr>
          <w:b/>
          <w:sz w:val="20"/>
        </w:rPr>
      </w:pPr>
      <w:r>
        <w:rPr>
          <w:b/>
          <w:sz w:val="20"/>
        </w:rPr>
        <w:t>Table 40: Interference characterization definition</w:t>
      </w:r>
    </w:p>
    <w:p>
      <w:pPr>
        <w:pStyle w:val="BodyText"/>
        <w:spacing w:before="1"/>
        <w:rPr>
          <w:b/>
          <w:sz w:val="16"/>
        </w:rPr>
      </w:pPr>
    </w:p>
    <w:tbl>
      <w:tblPr>
        <w:tblW w:w="0" w:type="auto"/>
        <w:jc w:val="left"/>
        <w:tblInd w:w="2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6"/>
        <w:gridCol w:w="2655"/>
      </w:tblGrid>
      <w:tr>
        <w:trPr>
          <w:trHeight w:val="290" w:hRule="exact"/>
        </w:trPr>
        <w:tc>
          <w:tcPr>
            <w:tcW w:w="5951" w:type="dxa"/>
            <w:gridSpan w:val="2"/>
            <w:shd w:val="clear" w:color="auto" w:fill="D9D9D9"/>
          </w:tcPr>
          <w:p>
            <w:pPr>
              <w:pStyle w:val="TableParagraph"/>
              <w:spacing w:line="201" w:lineRule="exact"/>
              <w:rPr>
                <w:b/>
                <w:sz w:val="18"/>
              </w:rPr>
            </w:pPr>
            <w:r>
              <w:rPr>
                <w:b/>
                <w:sz w:val="18"/>
              </w:rPr>
              <w:t>Signal Generator Setting</w:t>
            </w:r>
          </w:p>
        </w:tc>
      </w:tr>
      <w:tr>
        <w:trPr>
          <w:trHeight w:val="216" w:hRule="exact"/>
        </w:trPr>
        <w:tc>
          <w:tcPr>
            <w:tcW w:w="3296" w:type="dxa"/>
            <w:shd w:val="clear" w:color="auto" w:fill="D9D9D9"/>
          </w:tcPr>
          <w:p>
            <w:pPr>
              <w:pStyle w:val="TableParagraph"/>
              <w:spacing w:line="201" w:lineRule="exact"/>
              <w:rPr>
                <w:b/>
                <w:sz w:val="18"/>
              </w:rPr>
            </w:pPr>
            <w:r>
              <w:rPr>
                <w:b/>
                <w:sz w:val="18"/>
              </w:rPr>
              <w:t>Interference Bandwidth [MHz]</w:t>
            </w:r>
          </w:p>
        </w:tc>
        <w:tc>
          <w:tcPr>
            <w:tcW w:w="2655" w:type="dxa"/>
            <w:shd w:val="clear" w:color="auto" w:fill="D9D9D9"/>
          </w:tcPr>
          <w:p>
            <w:pPr>
              <w:pStyle w:val="TableParagraph"/>
              <w:spacing w:line="201" w:lineRule="exact"/>
              <w:rPr>
                <w:b/>
                <w:sz w:val="18"/>
              </w:rPr>
            </w:pPr>
            <w:r>
              <w:rPr>
                <w:b/>
                <w:sz w:val="18"/>
              </w:rPr>
              <w:t>Number of Iterations</w:t>
            </w:r>
          </w:p>
        </w:tc>
      </w:tr>
      <w:tr>
        <w:trPr>
          <w:trHeight w:val="218" w:hRule="exact"/>
        </w:trPr>
        <w:tc>
          <w:tcPr>
            <w:tcW w:w="3296" w:type="dxa"/>
          </w:tcPr>
          <w:p>
            <w:pPr>
              <w:pStyle w:val="TableParagraph"/>
              <w:spacing w:line="240" w:lineRule="auto" w:before="1"/>
              <w:rPr>
                <w:sz w:val="18"/>
              </w:rPr>
            </w:pPr>
            <w:r>
              <w:rPr>
                <w:sz w:val="18"/>
              </w:rPr>
              <w:t>0.05</w:t>
            </w:r>
          </w:p>
        </w:tc>
        <w:tc>
          <w:tcPr>
            <w:tcW w:w="2655" w:type="dxa"/>
          </w:tcPr>
          <w:p>
            <w:pPr>
              <w:pStyle w:val="TableParagraph"/>
              <w:spacing w:line="240" w:lineRule="auto" w:before="1"/>
              <w:rPr>
                <w:sz w:val="18"/>
              </w:rPr>
            </w:pPr>
            <w:r>
              <w:rPr>
                <w:w w:val="99"/>
                <w:sz w:val="18"/>
              </w:rPr>
              <w:t>1</w:t>
            </w:r>
          </w:p>
        </w:tc>
      </w:tr>
      <w:tr>
        <w:trPr>
          <w:trHeight w:val="216" w:hRule="exact"/>
        </w:trPr>
        <w:tc>
          <w:tcPr>
            <w:tcW w:w="3296" w:type="dxa"/>
          </w:tcPr>
          <w:p>
            <w:pPr>
              <w:pStyle w:val="TableParagraph"/>
              <w:rPr>
                <w:sz w:val="18"/>
              </w:rPr>
            </w:pPr>
            <w:r>
              <w:rPr>
                <w:sz w:val="18"/>
              </w:rPr>
              <w:t>0.1</w:t>
            </w:r>
          </w:p>
        </w:tc>
        <w:tc>
          <w:tcPr>
            <w:tcW w:w="2655" w:type="dxa"/>
          </w:tcPr>
          <w:p>
            <w:pPr>
              <w:pStyle w:val="TableParagraph"/>
              <w:rPr>
                <w:sz w:val="18"/>
              </w:rPr>
            </w:pPr>
            <w:r>
              <w:rPr>
                <w:w w:val="99"/>
                <w:sz w:val="18"/>
              </w:rPr>
              <w:t>1</w:t>
            </w:r>
          </w:p>
        </w:tc>
      </w:tr>
      <w:tr>
        <w:trPr>
          <w:trHeight w:val="218" w:hRule="exact"/>
        </w:trPr>
        <w:tc>
          <w:tcPr>
            <w:tcW w:w="3296" w:type="dxa"/>
          </w:tcPr>
          <w:p>
            <w:pPr>
              <w:pStyle w:val="TableParagraph"/>
              <w:rPr>
                <w:sz w:val="18"/>
              </w:rPr>
            </w:pPr>
            <w:r>
              <w:rPr>
                <w:sz w:val="18"/>
              </w:rPr>
              <w:t>0.2</w:t>
            </w:r>
          </w:p>
        </w:tc>
        <w:tc>
          <w:tcPr>
            <w:tcW w:w="2655" w:type="dxa"/>
          </w:tcPr>
          <w:p>
            <w:pPr>
              <w:pStyle w:val="TableParagraph"/>
              <w:rPr>
                <w:sz w:val="18"/>
              </w:rPr>
            </w:pPr>
            <w:r>
              <w:rPr>
                <w:w w:val="99"/>
                <w:sz w:val="18"/>
              </w:rPr>
              <w:t>1</w:t>
            </w:r>
          </w:p>
        </w:tc>
      </w:tr>
      <w:tr>
        <w:trPr>
          <w:trHeight w:val="216" w:hRule="exact"/>
        </w:trPr>
        <w:tc>
          <w:tcPr>
            <w:tcW w:w="3296" w:type="dxa"/>
          </w:tcPr>
          <w:p>
            <w:pPr>
              <w:pStyle w:val="TableParagraph"/>
              <w:rPr>
                <w:sz w:val="18"/>
              </w:rPr>
            </w:pPr>
            <w:r>
              <w:rPr>
                <w:sz w:val="18"/>
              </w:rPr>
              <w:t>0.3</w:t>
            </w:r>
          </w:p>
        </w:tc>
        <w:tc>
          <w:tcPr>
            <w:tcW w:w="2655" w:type="dxa"/>
          </w:tcPr>
          <w:p>
            <w:pPr>
              <w:pStyle w:val="TableParagraph"/>
              <w:rPr>
                <w:sz w:val="18"/>
              </w:rPr>
            </w:pPr>
            <w:r>
              <w:rPr>
                <w:w w:val="99"/>
                <w:sz w:val="18"/>
              </w:rPr>
              <w:t>1</w:t>
            </w:r>
          </w:p>
        </w:tc>
      </w:tr>
      <w:tr>
        <w:trPr>
          <w:trHeight w:val="216" w:hRule="exact"/>
        </w:trPr>
        <w:tc>
          <w:tcPr>
            <w:tcW w:w="3296" w:type="dxa"/>
          </w:tcPr>
          <w:p>
            <w:pPr>
              <w:pStyle w:val="TableParagraph"/>
              <w:rPr>
                <w:sz w:val="18"/>
              </w:rPr>
            </w:pPr>
            <w:r>
              <w:rPr>
                <w:sz w:val="18"/>
              </w:rPr>
              <w:t>0.4</w:t>
            </w:r>
          </w:p>
        </w:tc>
        <w:tc>
          <w:tcPr>
            <w:tcW w:w="2655" w:type="dxa"/>
          </w:tcPr>
          <w:p>
            <w:pPr>
              <w:pStyle w:val="TableParagraph"/>
              <w:rPr>
                <w:sz w:val="18"/>
              </w:rPr>
            </w:pPr>
            <w:r>
              <w:rPr>
                <w:w w:val="99"/>
                <w:sz w:val="18"/>
              </w:rPr>
              <w:t>1</w:t>
            </w:r>
          </w:p>
        </w:tc>
      </w:tr>
      <w:tr>
        <w:trPr>
          <w:trHeight w:val="218" w:hRule="exact"/>
        </w:trPr>
        <w:tc>
          <w:tcPr>
            <w:tcW w:w="3296" w:type="dxa"/>
          </w:tcPr>
          <w:p>
            <w:pPr>
              <w:pStyle w:val="TableParagraph"/>
              <w:spacing w:line="240" w:lineRule="auto" w:before="1"/>
              <w:rPr>
                <w:sz w:val="18"/>
              </w:rPr>
            </w:pPr>
            <w:r>
              <w:rPr>
                <w:sz w:val="18"/>
              </w:rPr>
              <w:t>0.5</w:t>
            </w:r>
          </w:p>
        </w:tc>
        <w:tc>
          <w:tcPr>
            <w:tcW w:w="2655" w:type="dxa"/>
          </w:tcPr>
          <w:p>
            <w:pPr>
              <w:pStyle w:val="TableParagraph"/>
              <w:spacing w:line="240" w:lineRule="auto" w:before="1"/>
              <w:rPr>
                <w:sz w:val="18"/>
              </w:rPr>
            </w:pPr>
            <w:r>
              <w:rPr>
                <w:w w:val="99"/>
                <w:sz w:val="18"/>
              </w:rPr>
              <w:t>1</w:t>
            </w:r>
          </w:p>
        </w:tc>
      </w:tr>
      <w:tr>
        <w:trPr>
          <w:trHeight w:val="216" w:hRule="exact"/>
        </w:trPr>
        <w:tc>
          <w:tcPr>
            <w:tcW w:w="3296" w:type="dxa"/>
          </w:tcPr>
          <w:p>
            <w:pPr>
              <w:pStyle w:val="TableParagraph"/>
              <w:rPr>
                <w:sz w:val="18"/>
              </w:rPr>
            </w:pPr>
            <w:r>
              <w:rPr>
                <w:sz w:val="18"/>
              </w:rPr>
              <w:t>0.6</w:t>
            </w:r>
          </w:p>
        </w:tc>
        <w:tc>
          <w:tcPr>
            <w:tcW w:w="2655" w:type="dxa"/>
          </w:tcPr>
          <w:p>
            <w:pPr>
              <w:pStyle w:val="TableParagraph"/>
              <w:rPr>
                <w:sz w:val="18"/>
              </w:rPr>
            </w:pPr>
            <w:r>
              <w:rPr>
                <w:w w:val="99"/>
                <w:sz w:val="18"/>
              </w:rPr>
              <w:t>1</w:t>
            </w:r>
          </w:p>
        </w:tc>
      </w:tr>
      <w:tr>
        <w:trPr>
          <w:trHeight w:val="219" w:hRule="exact"/>
        </w:trPr>
        <w:tc>
          <w:tcPr>
            <w:tcW w:w="3296" w:type="dxa"/>
          </w:tcPr>
          <w:p>
            <w:pPr>
              <w:pStyle w:val="TableParagraph"/>
              <w:rPr>
                <w:sz w:val="18"/>
              </w:rPr>
            </w:pPr>
            <w:r>
              <w:rPr>
                <w:sz w:val="18"/>
              </w:rPr>
              <w:t>0.7</w:t>
            </w:r>
          </w:p>
        </w:tc>
        <w:tc>
          <w:tcPr>
            <w:tcW w:w="2655" w:type="dxa"/>
          </w:tcPr>
          <w:p>
            <w:pPr>
              <w:pStyle w:val="TableParagraph"/>
              <w:rPr>
                <w:sz w:val="18"/>
              </w:rPr>
            </w:pPr>
            <w:r>
              <w:rPr>
                <w:w w:val="99"/>
                <w:sz w:val="18"/>
              </w:rPr>
              <w:t>1</w:t>
            </w:r>
          </w:p>
        </w:tc>
      </w:tr>
      <w:tr>
        <w:trPr>
          <w:trHeight w:val="216" w:hRule="exact"/>
        </w:trPr>
        <w:tc>
          <w:tcPr>
            <w:tcW w:w="3296" w:type="dxa"/>
          </w:tcPr>
          <w:p>
            <w:pPr>
              <w:pStyle w:val="TableParagraph"/>
              <w:rPr>
                <w:sz w:val="18"/>
              </w:rPr>
            </w:pPr>
            <w:r>
              <w:rPr>
                <w:sz w:val="18"/>
              </w:rPr>
              <w:t>0.8</w:t>
            </w:r>
          </w:p>
        </w:tc>
        <w:tc>
          <w:tcPr>
            <w:tcW w:w="2655" w:type="dxa"/>
          </w:tcPr>
          <w:p>
            <w:pPr>
              <w:pStyle w:val="TableParagraph"/>
              <w:rPr>
                <w:sz w:val="18"/>
              </w:rPr>
            </w:pPr>
            <w:r>
              <w:rPr>
                <w:w w:val="99"/>
                <w:sz w:val="18"/>
              </w:rPr>
              <w:t>1</w:t>
            </w:r>
          </w:p>
        </w:tc>
      </w:tr>
      <w:tr>
        <w:trPr>
          <w:trHeight w:val="216" w:hRule="exact"/>
        </w:trPr>
        <w:tc>
          <w:tcPr>
            <w:tcW w:w="3296" w:type="dxa"/>
          </w:tcPr>
          <w:p>
            <w:pPr>
              <w:pStyle w:val="TableParagraph"/>
              <w:rPr>
                <w:sz w:val="18"/>
              </w:rPr>
            </w:pPr>
            <w:r>
              <w:rPr>
                <w:sz w:val="18"/>
              </w:rPr>
              <w:t>0.9</w:t>
            </w:r>
          </w:p>
        </w:tc>
        <w:tc>
          <w:tcPr>
            <w:tcW w:w="2655" w:type="dxa"/>
          </w:tcPr>
          <w:p>
            <w:pPr>
              <w:pStyle w:val="TableParagraph"/>
              <w:rPr>
                <w:sz w:val="18"/>
              </w:rPr>
            </w:pPr>
            <w:r>
              <w:rPr>
                <w:w w:val="99"/>
                <w:sz w:val="18"/>
              </w:rPr>
              <w:t>1</w:t>
            </w:r>
          </w:p>
        </w:tc>
      </w:tr>
      <w:tr>
        <w:trPr>
          <w:trHeight w:val="218" w:hRule="exact"/>
        </w:trPr>
        <w:tc>
          <w:tcPr>
            <w:tcW w:w="3296" w:type="dxa"/>
          </w:tcPr>
          <w:p>
            <w:pPr>
              <w:pStyle w:val="TableParagraph"/>
              <w:spacing w:line="240" w:lineRule="auto" w:before="1"/>
              <w:rPr>
                <w:sz w:val="18"/>
              </w:rPr>
            </w:pPr>
            <w:r>
              <w:rPr>
                <w:w w:val="99"/>
                <w:sz w:val="18"/>
              </w:rPr>
              <w:t>1</w:t>
            </w:r>
          </w:p>
        </w:tc>
        <w:tc>
          <w:tcPr>
            <w:tcW w:w="2655" w:type="dxa"/>
          </w:tcPr>
          <w:p>
            <w:pPr>
              <w:pStyle w:val="TableParagraph"/>
              <w:spacing w:line="240" w:lineRule="auto" w:before="1"/>
              <w:rPr>
                <w:sz w:val="18"/>
              </w:rPr>
            </w:pPr>
            <w:r>
              <w:rPr>
                <w:w w:val="99"/>
                <w:sz w:val="18"/>
              </w:rPr>
              <w:t>1</w:t>
            </w:r>
          </w:p>
        </w:tc>
      </w:tr>
    </w:tbl>
    <w:p>
      <w:pPr>
        <w:pStyle w:val="ListParagraph"/>
        <w:numPr>
          <w:ilvl w:val="3"/>
          <w:numId w:val="59"/>
        </w:numPr>
        <w:tabs>
          <w:tab w:pos="2551" w:val="left" w:leader="none"/>
          <w:tab w:pos="2552" w:val="left" w:leader="none"/>
        </w:tabs>
        <w:spacing w:line="240" w:lineRule="auto" w:before="115" w:after="0"/>
        <w:ind w:left="2551" w:right="0" w:hanging="1418"/>
        <w:jc w:val="left"/>
        <w:rPr>
          <w:sz w:val="24"/>
        </w:rPr>
      </w:pPr>
      <w:r>
        <w:rPr>
          <w:sz w:val="24"/>
        </w:rPr>
        <w:t>Test</w:t>
      </w:r>
      <w:r>
        <w:rPr>
          <w:spacing w:val="-8"/>
          <w:sz w:val="24"/>
        </w:rPr>
        <w:t> </w:t>
      </w:r>
      <w:r>
        <w:rPr>
          <w:sz w:val="24"/>
        </w:rPr>
        <w:t>Execution</w:t>
      </w:r>
    </w:p>
    <w:p>
      <w:pPr>
        <w:pStyle w:val="BodyText"/>
        <w:spacing w:before="181"/>
        <w:ind w:left="1416"/>
      </w:pPr>
      <w:r>
        <w:rPr/>
        <w:t>NOTE: Tests should be conducted at room temperature (21 degrees Celsius +/- 5 degrees)</w:t>
      </w:r>
    </w:p>
    <w:p>
      <w:pPr>
        <w:pStyle w:val="ListParagraph"/>
        <w:numPr>
          <w:ilvl w:val="0"/>
          <w:numId w:val="60"/>
        </w:numPr>
        <w:tabs>
          <w:tab w:pos="1702" w:val="left" w:leader="none"/>
        </w:tabs>
        <w:spacing w:line="240" w:lineRule="auto" w:before="180" w:after="0"/>
        <w:ind w:left="1702" w:right="1132" w:hanging="286"/>
        <w:jc w:val="both"/>
        <w:rPr>
          <w:sz w:val="20"/>
        </w:rPr>
      </w:pPr>
      <w:r>
        <w:rPr>
          <w:sz w:val="20"/>
        </w:rPr>
        <w:t>Configure the Signal Generator 1-3 to generate a pre-defined interference of 50 kHz bandwidth (subsequently referred to as “Interference_Bandwidth") with a center frequency of (5855 MHz + Interference_Bandwidth/2).</w:t>
      </w:r>
    </w:p>
    <w:p>
      <w:pPr>
        <w:pStyle w:val="ListParagraph"/>
        <w:numPr>
          <w:ilvl w:val="0"/>
          <w:numId w:val="60"/>
        </w:numPr>
        <w:tabs>
          <w:tab w:pos="1702" w:val="left" w:leader="none"/>
        </w:tabs>
        <w:spacing w:line="240" w:lineRule="auto" w:before="180" w:after="0"/>
        <w:ind w:left="1702" w:right="0" w:hanging="286"/>
        <w:jc w:val="left"/>
        <w:rPr>
          <w:sz w:val="20"/>
        </w:rPr>
      </w:pPr>
      <w:r>
        <w:rPr>
          <w:sz w:val="20"/>
        </w:rPr>
        <w:t>Adjust levels of Signal Generators 1, 2, and 3 according to the first row of Table</w:t>
      </w:r>
      <w:r>
        <w:rPr>
          <w:spacing w:val="-15"/>
          <w:sz w:val="20"/>
        </w:rPr>
        <w:t> </w:t>
      </w:r>
      <w:r>
        <w:rPr>
          <w:sz w:val="20"/>
        </w:rPr>
        <w:t>41.</w:t>
      </w:r>
    </w:p>
    <w:p>
      <w:pPr>
        <w:pStyle w:val="BodyText"/>
        <w:spacing w:before="8"/>
      </w:pPr>
    </w:p>
    <w:p>
      <w:pPr>
        <w:pStyle w:val="Heading7"/>
      </w:pPr>
      <w:r>
        <w:rPr/>
        <w:t>Table 41: Interference source position setting</w:t>
      </w:r>
    </w:p>
    <w:p>
      <w:pPr>
        <w:pStyle w:val="BodyText"/>
        <w:spacing w:before="2"/>
        <w:rPr>
          <w:b/>
          <w:sz w:val="16"/>
        </w:rPr>
      </w:pPr>
    </w:p>
    <w:tbl>
      <w:tblPr>
        <w:tblW w:w="0" w:type="auto"/>
        <w:jc w:val="left"/>
        <w:tblInd w:w="1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2976"/>
        <w:gridCol w:w="3507"/>
      </w:tblGrid>
      <w:tr>
        <w:trPr>
          <w:trHeight w:val="290" w:hRule="exact"/>
        </w:trPr>
        <w:tc>
          <w:tcPr>
            <w:tcW w:w="8606" w:type="dxa"/>
            <w:gridSpan w:val="3"/>
            <w:shd w:val="clear" w:color="auto" w:fill="D9D9D9"/>
          </w:tcPr>
          <w:p>
            <w:pPr>
              <w:pStyle w:val="TableParagraph"/>
              <w:spacing w:line="201" w:lineRule="exact"/>
              <w:rPr>
                <w:b/>
                <w:sz w:val="18"/>
              </w:rPr>
            </w:pPr>
            <w:r>
              <w:rPr>
                <w:b/>
                <w:sz w:val="18"/>
              </w:rPr>
              <w:t>Interference source position settings</w:t>
            </w:r>
          </w:p>
        </w:tc>
      </w:tr>
      <w:tr>
        <w:trPr>
          <w:trHeight w:val="218" w:hRule="exact"/>
        </w:trPr>
        <w:tc>
          <w:tcPr>
            <w:tcW w:w="2122" w:type="dxa"/>
            <w:shd w:val="clear" w:color="auto" w:fill="D9D9D9"/>
          </w:tcPr>
          <w:p>
            <w:pPr>
              <w:pStyle w:val="TableParagraph"/>
              <w:spacing w:line="201" w:lineRule="exact"/>
              <w:rPr>
                <w:b/>
                <w:sz w:val="18"/>
              </w:rPr>
            </w:pPr>
            <w:r>
              <w:rPr>
                <w:b/>
                <w:sz w:val="18"/>
              </w:rPr>
              <w:t>Interference source</w:t>
            </w:r>
          </w:p>
        </w:tc>
        <w:tc>
          <w:tcPr>
            <w:tcW w:w="2976" w:type="dxa"/>
            <w:shd w:val="clear" w:color="auto" w:fill="D9D9D9"/>
          </w:tcPr>
          <w:p>
            <w:pPr>
              <w:pStyle w:val="TableParagraph"/>
              <w:spacing w:line="201" w:lineRule="exact"/>
              <w:rPr>
                <w:b/>
                <w:sz w:val="18"/>
              </w:rPr>
            </w:pPr>
            <w:r>
              <w:rPr>
                <w:b/>
                <w:sz w:val="18"/>
              </w:rPr>
              <w:t>Signal Generator 1 &amp; 2</w:t>
            </w:r>
          </w:p>
        </w:tc>
        <w:tc>
          <w:tcPr>
            <w:tcW w:w="3507" w:type="dxa"/>
            <w:shd w:val="clear" w:color="auto" w:fill="D9D9D9"/>
          </w:tcPr>
          <w:p>
            <w:pPr>
              <w:pStyle w:val="TableParagraph"/>
              <w:spacing w:line="201" w:lineRule="exact"/>
              <w:rPr>
                <w:b/>
                <w:sz w:val="18"/>
              </w:rPr>
            </w:pPr>
            <w:r>
              <w:rPr>
                <w:b/>
                <w:sz w:val="18"/>
              </w:rPr>
              <w:t>Signal Generator 3</w:t>
            </w:r>
          </w:p>
        </w:tc>
      </w:tr>
      <w:tr>
        <w:trPr>
          <w:trHeight w:val="1387" w:hRule="exact"/>
        </w:trPr>
        <w:tc>
          <w:tcPr>
            <w:tcW w:w="2122" w:type="dxa"/>
          </w:tcPr>
          <w:p>
            <w:pPr>
              <w:pStyle w:val="TableParagraph"/>
              <w:tabs>
                <w:tab w:pos="1820" w:val="left" w:leader="none"/>
              </w:tabs>
              <w:spacing w:line="240" w:lineRule="auto" w:before="133"/>
              <w:ind w:right="99"/>
              <w:jc w:val="both"/>
              <w:rPr>
                <w:sz w:val="18"/>
              </w:rPr>
            </w:pPr>
            <w:r>
              <w:rPr>
                <w:sz w:val="18"/>
              </w:rPr>
              <w:t>Interference source is close to Rx device (Device 2. Tx device (Device 1) is minimally impacted</w:t>
              <w:tab/>
              <w:t>by</w:t>
            </w:r>
          </w:p>
          <w:p>
            <w:pPr>
              <w:pStyle w:val="TableParagraph"/>
              <w:spacing w:line="240" w:lineRule="auto" w:before="1"/>
              <w:jc w:val="both"/>
              <w:rPr>
                <w:sz w:val="18"/>
              </w:rPr>
            </w:pPr>
            <w:r>
              <w:rPr>
                <w:sz w:val="18"/>
              </w:rPr>
              <w:t>interference source.</w:t>
            </w:r>
          </w:p>
        </w:tc>
        <w:tc>
          <w:tcPr>
            <w:tcW w:w="2976" w:type="dxa"/>
          </w:tcPr>
          <w:p>
            <w:pPr>
              <w:pStyle w:val="TableParagraph"/>
              <w:spacing w:line="240" w:lineRule="auto"/>
              <w:ind w:right="102"/>
              <w:jc w:val="both"/>
              <w:rPr>
                <w:sz w:val="18"/>
              </w:rPr>
            </w:pPr>
            <w:r>
              <w:rPr>
                <w:sz w:val="18"/>
              </w:rPr>
              <w:t>Setting to achieve that</w:t>
            </w:r>
            <w:r>
              <w:rPr>
                <w:spacing w:val="-36"/>
                <w:sz w:val="18"/>
              </w:rPr>
              <w:t> </w:t>
            </w:r>
            <w:r>
              <w:rPr>
                <w:sz w:val="18"/>
              </w:rPr>
              <w:t>interference power at DUT input is 10dB above Device 1 power at DUT</w:t>
            </w:r>
            <w:r>
              <w:rPr>
                <w:spacing w:val="-8"/>
                <w:sz w:val="18"/>
              </w:rPr>
              <w:t> </w:t>
            </w:r>
            <w:r>
              <w:rPr>
                <w:sz w:val="18"/>
              </w:rPr>
              <w:t>input.</w:t>
            </w:r>
          </w:p>
          <w:p>
            <w:pPr>
              <w:pStyle w:val="TableParagraph"/>
              <w:spacing w:line="240" w:lineRule="auto" w:before="2"/>
              <w:ind w:right="102"/>
              <w:jc w:val="both"/>
              <w:rPr>
                <w:sz w:val="18"/>
              </w:rPr>
            </w:pPr>
            <w:r>
              <w:rPr>
                <w:sz w:val="18"/>
              </w:rPr>
              <w:t>I.e. receive signal power (of SigGen) measured at DUT input  is -40</w:t>
            </w:r>
            <w:r>
              <w:rPr>
                <w:spacing w:val="-4"/>
                <w:sz w:val="18"/>
              </w:rPr>
              <w:t> </w:t>
            </w:r>
            <w:r>
              <w:rPr>
                <w:sz w:val="18"/>
              </w:rPr>
              <w:t>dBm.</w:t>
            </w:r>
          </w:p>
        </w:tc>
        <w:tc>
          <w:tcPr>
            <w:tcW w:w="3507" w:type="dxa"/>
          </w:tcPr>
          <w:p>
            <w:pPr>
              <w:pStyle w:val="TableParagraph"/>
              <w:rPr>
                <w:sz w:val="18"/>
              </w:rPr>
            </w:pPr>
            <w:r>
              <w:rPr>
                <w:sz w:val="18"/>
              </w:rPr>
              <w:t>Off</w:t>
            </w:r>
          </w:p>
        </w:tc>
      </w:tr>
      <w:tr>
        <w:trPr>
          <w:trHeight w:val="1253" w:hRule="exact"/>
        </w:trPr>
        <w:tc>
          <w:tcPr>
            <w:tcW w:w="2122" w:type="dxa"/>
          </w:tcPr>
          <w:p>
            <w:pPr>
              <w:pStyle w:val="TableParagraph"/>
              <w:spacing w:line="240" w:lineRule="auto"/>
              <w:ind w:left="0"/>
              <w:rPr>
                <w:b/>
                <w:sz w:val="20"/>
              </w:rPr>
            </w:pPr>
          </w:p>
          <w:p>
            <w:pPr>
              <w:pStyle w:val="TableParagraph"/>
              <w:spacing w:line="240" w:lineRule="auto"/>
              <w:ind w:left="0"/>
              <w:rPr>
                <w:b/>
                <w:sz w:val="20"/>
              </w:rPr>
            </w:pPr>
          </w:p>
          <w:p>
            <w:pPr>
              <w:pStyle w:val="TableParagraph"/>
              <w:spacing w:line="240" w:lineRule="auto" w:before="161"/>
              <w:ind w:right="101"/>
              <w:jc w:val="both"/>
              <w:rPr>
                <w:sz w:val="18"/>
              </w:rPr>
            </w:pPr>
            <w:r>
              <w:rPr>
                <w:sz w:val="18"/>
              </w:rPr>
              <w:t>Both devices are affected by interference source.</w:t>
            </w:r>
          </w:p>
        </w:tc>
        <w:tc>
          <w:tcPr>
            <w:tcW w:w="2976" w:type="dxa"/>
          </w:tcPr>
          <w:p>
            <w:pPr>
              <w:pStyle w:val="TableParagraph"/>
              <w:spacing w:line="240" w:lineRule="auto"/>
              <w:ind w:right="102"/>
              <w:jc w:val="both"/>
              <w:rPr>
                <w:sz w:val="18"/>
              </w:rPr>
            </w:pPr>
            <w:r>
              <w:rPr>
                <w:sz w:val="18"/>
              </w:rPr>
              <w:t>Setting to achieve that</w:t>
            </w:r>
            <w:r>
              <w:rPr>
                <w:spacing w:val="-36"/>
                <w:sz w:val="18"/>
              </w:rPr>
              <w:t> </w:t>
            </w:r>
            <w:r>
              <w:rPr>
                <w:sz w:val="18"/>
              </w:rPr>
              <w:t>interference power</w:t>
            </w:r>
            <w:r>
              <w:rPr>
                <w:spacing w:val="-7"/>
                <w:sz w:val="18"/>
              </w:rPr>
              <w:t> </w:t>
            </w:r>
            <w:r>
              <w:rPr>
                <w:sz w:val="18"/>
              </w:rPr>
              <w:t>at</w:t>
            </w:r>
            <w:r>
              <w:rPr>
                <w:spacing w:val="-7"/>
                <w:sz w:val="18"/>
              </w:rPr>
              <w:t> </w:t>
            </w:r>
            <w:r>
              <w:rPr>
                <w:sz w:val="18"/>
              </w:rPr>
              <w:t>DUT</w:t>
            </w:r>
            <w:r>
              <w:rPr>
                <w:spacing w:val="-9"/>
                <w:sz w:val="18"/>
              </w:rPr>
              <w:t> </w:t>
            </w:r>
            <w:r>
              <w:rPr>
                <w:sz w:val="18"/>
              </w:rPr>
              <w:t>input</w:t>
            </w:r>
            <w:r>
              <w:rPr>
                <w:spacing w:val="-7"/>
                <w:sz w:val="18"/>
              </w:rPr>
              <w:t> </w:t>
            </w:r>
            <w:r>
              <w:rPr>
                <w:sz w:val="18"/>
              </w:rPr>
              <w:t>is</w:t>
            </w:r>
            <w:r>
              <w:rPr>
                <w:spacing w:val="-8"/>
                <w:sz w:val="18"/>
              </w:rPr>
              <w:t> </w:t>
            </w:r>
            <w:r>
              <w:rPr>
                <w:sz w:val="18"/>
              </w:rPr>
              <w:t>10</w:t>
            </w:r>
            <w:r>
              <w:rPr>
                <w:spacing w:val="-6"/>
                <w:sz w:val="18"/>
              </w:rPr>
              <w:t> </w:t>
            </w:r>
            <w:r>
              <w:rPr>
                <w:sz w:val="18"/>
              </w:rPr>
              <w:t>dB</w:t>
            </w:r>
            <w:r>
              <w:rPr>
                <w:spacing w:val="-9"/>
                <w:sz w:val="18"/>
              </w:rPr>
              <w:t> </w:t>
            </w:r>
            <w:r>
              <w:rPr>
                <w:sz w:val="18"/>
              </w:rPr>
              <w:t>above Device 1 power at DUT</w:t>
            </w:r>
            <w:r>
              <w:rPr>
                <w:spacing w:val="-8"/>
                <w:sz w:val="18"/>
              </w:rPr>
              <w:t> </w:t>
            </w:r>
            <w:r>
              <w:rPr>
                <w:sz w:val="18"/>
              </w:rPr>
              <w:t>input.</w:t>
            </w:r>
          </w:p>
          <w:p>
            <w:pPr>
              <w:pStyle w:val="TableParagraph"/>
              <w:spacing w:line="240" w:lineRule="auto"/>
              <w:ind w:right="102"/>
              <w:jc w:val="both"/>
              <w:rPr>
                <w:sz w:val="18"/>
              </w:rPr>
            </w:pPr>
            <w:r>
              <w:rPr>
                <w:sz w:val="18"/>
              </w:rPr>
              <w:t>I.e. receive signal power (of SigGen) measured at DUT input  is -40</w:t>
            </w:r>
            <w:r>
              <w:rPr>
                <w:spacing w:val="-4"/>
                <w:sz w:val="18"/>
              </w:rPr>
              <w:t> </w:t>
            </w:r>
            <w:r>
              <w:rPr>
                <w:sz w:val="18"/>
              </w:rPr>
              <w:t>dBm.</w:t>
            </w:r>
          </w:p>
        </w:tc>
        <w:tc>
          <w:tcPr>
            <w:tcW w:w="3507" w:type="dxa"/>
          </w:tcPr>
          <w:p>
            <w:pPr>
              <w:pStyle w:val="TableParagraph"/>
              <w:spacing w:line="240" w:lineRule="auto"/>
              <w:ind w:right="107"/>
              <w:jc w:val="both"/>
              <w:rPr>
                <w:sz w:val="18"/>
              </w:rPr>
            </w:pPr>
            <w:r>
              <w:rPr>
                <w:sz w:val="18"/>
              </w:rPr>
              <w:t>Setting</w:t>
            </w:r>
            <w:r>
              <w:rPr>
                <w:spacing w:val="-12"/>
                <w:sz w:val="18"/>
              </w:rPr>
              <w:t> </w:t>
            </w:r>
            <w:r>
              <w:rPr>
                <w:sz w:val="18"/>
              </w:rPr>
              <w:t>to</w:t>
            </w:r>
            <w:r>
              <w:rPr>
                <w:spacing w:val="-9"/>
                <w:sz w:val="18"/>
              </w:rPr>
              <w:t> </w:t>
            </w:r>
            <w:r>
              <w:rPr>
                <w:sz w:val="18"/>
              </w:rPr>
              <w:t>achieve</w:t>
            </w:r>
            <w:r>
              <w:rPr>
                <w:spacing w:val="-10"/>
                <w:sz w:val="18"/>
              </w:rPr>
              <w:t> </w:t>
            </w:r>
            <w:r>
              <w:rPr>
                <w:sz w:val="18"/>
              </w:rPr>
              <w:t>that</w:t>
            </w:r>
            <w:r>
              <w:rPr>
                <w:spacing w:val="-10"/>
                <w:sz w:val="18"/>
              </w:rPr>
              <w:t> </w:t>
            </w:r>
            <w:r>
              <w:rPr>
                <w:sz w:val="18"/>
              </w:rPr>
              <w:t>interference</w:t>
            </w:r>
            <w:r>
              <w:rPr>
                <w:spacing w:val="-12"/>
                <w:sz w:val="18"/>
              </w:rPr>
              <w:t> </w:t>
            </w:r>
            <w:r>
              <w:rPr>
                <w:sz w:val="18"/>
              </w:rPr>
              <w:t>power at Device 1 input is same as interference power at DUT</w:t>
            </w:r>
            <w:r>
              <w:rPr>
                <w:spacing w:val="-6"/>
                <w:sz w:val="18"/>
              </w:rPr>
              <w:t> </w:t>
            </w:r>
            <w:r>
              <w:rPr>
                <w:sz w:val="18"/>
              </w:rPr>
              <w:t>input,</w:t>
            </w:r>
          </w:p>
          <w:p>
            <w:pPr>
              <w:pStyle w:val="TableParagraph"/>
              <w:spacing w:line="240" w:lineRule="auto"/>
              <w:ind w:right="106"/>
              <w:jc w:val="both"/>
              <w:rPr>
                <w:sz w:val="18"/>
              </w:rPr>
            </w:pPr>
            <w:r>
              <w:rPr>
                <w:sz w:val="18"/>
              </w:rPr>
              <w:t>i.e., receive signal power (of SigGen) measured at Device 1 input is -40 dBm.</w:t>
            </w:r>
          </w:p>
        </w:tc>
      </w:tr>
    </w:tbl>
    <w:p>
      <w:pPr>
        <w:pStyle w:val="BodyText"/>
        <w:rPr>
          <w:b/>
          <w:sz w:val="22"/>
        </w:rPr>
      </w:pPr>
    </w:p>
    <w:p>
      <w:pPr>
        <w:pStyle w:val="ListParagraph"/>
        <w:numPr>
          <w:ilvl w:val="0"/>
          <w:numId w:val="60"/>
        </w:numPr>
        <w:tabs>
          <w:tab w:pos="1702" w:val="left" w:leader="none"/>
        </w:tabs>
        <w:spacing w:line="240" w:lineRule="auto" w:before="155" w:after="0"/>
        <w:ind w:left="1702" w:right="0" w:hanging="286"/>
        <w:jc w:val="left"/>
        <w:rPr>
          <w:sz w:val="20"/>
        </w:rPr>
      </w:pPr>
      <w:r>
        <w:rPr>
          <w:sz w:val="20"/>
        </w:rPr>
        <w:t>Adjust the attenuators to fulfill requirements stated in Table</w:t>
      </w:r>
      <w:r>
        <w:rPr>
          <w:spacing w:val="-17"/>
          <w:sz w:val="20"/>
        </w:rPr>
        <w:t> </w:t>
      </w:r>
      <w:r>
        <w:rPr>
          <w:sz w:val="20"/>
        </w:rPr>
        <w:t>41.</w:t>
      </w:r>
    </w:p>
    <w:p>
      <w:pPr>
        <w:spacing w:after="0" w:line="240" w:lineRule="auto"/>
        <w:jc w:val="left"/>
        <w:rPr>
          <w:sz w:val="20"/>
        </w:rPr>
        <w:sectPr>
          <w:headerReference w:type="default" r:id="rId464"/>
          <w:pgSz w:w="11910" w:h="16850"/>
          <w:pgMar w:header="852" w:footer="876" w:top="1040" w:bottom="1140" w:left="0" w:right="0"/>
        </w:sectPr>
      </w:pPr>
    </w:p>
    <w:p>
      <w:pPr>
        <w:pStyle w:val="BodyText"/>
        <w:spacing w:before="2"/>
        <w:rPr>
          <w:sz w:val="23"/>
        </w:rPr>
      </w:pPr>
    </w:p>
    <w:p>
      <w:pPr>
        <w:pStyle w:val="ListParagraph"/>
        <w:numPr>
          <w:ilvl w:val="0"/>
          <w:numId w:val="60"/>
        </w:numPr>
        <w:tabs>
          <w:tab w:pos="1702" w:val="left" w:leader="none"/>
        </w:tabs>
        <w:spacing w:line="240" w:lineRule="auto" w:before="93" w:after="0"/>
        <w:ind w:left="1702" w:right="1130" w:hanging="286"/>
        <w:jc w:val="both"/>
        <w:rPr>
          <w:sz w:val="20"/>
        </w:rPr>
      </w:pPr>
      <w:r>
        <w:rPr>
          <w:sz w:val="20"/>
        </w:rPr>
        <w:t>Configure the Transmit Device (Device 1) with the data stream of interest: Application layer message (e.g. BSM) to be sent periodically every 100ms. Packet length shall be such that there is a one-to-one correspondence between packet and message; the packet size should remain constant throughout the test.</w:t>
      </w:r>
    </w:p>
    <w:p>
      <w:pPr>
        <w:pStyle w:val="ListParagraph"/>
        <w:numPr>
          <w:ilvl w:val="0"/>
          <w:numId w:val="60"/>
        </w:numPr>
        <w:tabs>
          <w:tab w:pos="1702" w:val="left" w:leader="none"/>
        </w:tabs>
        <w:spacing w:line="240" w:lineRule="auto" w:before="180" w:after="0"/>
        <w:ind w:left="1702" w:right="0" w:hanging="286"/>
        <w:jc w:val="left"/>
        <w:rPr>
          <w:sz w:val="20"/>
        </w:rPr>
      </w:pPr>
      <w:r>
        <w:rPr>
          <w:sz w:val="20"/>
        </w:rPr>
        <w:t>For each test run, record a log file with the following</w:t>
      </w:r>
      <w:r>
        <w:rPr>
          <w:spacing w:val="-20"/>
          <w:sz w:val="20"/>
        </w:rPr>
        <w:t> </w:t>
      </w:r>
      <w:r>
        <w:rPr>
          <w:sz w:val="20"/>
        </w:rPr>
        <w:t>statistics:</w:t>
      </w:r>
    </w:p>
    <w:p>
      <w:pPr>
        <w:pStyle w:val="ListParagraph"/>
        <w:numPr>
          <w:ilvl w:val="1"/>
          <w:numId w:val="60"/>
        </w:numPr>
        <w:tabs>
          <w:tab w:pos="1985" w:val="left" w:leader="none"/>
          <w:tab w:pos="1986" w:val="left" w:leader="none"/>
        </w:tabs>
        <w:spacing w:line="240" w:lineRule="auto" w:before="180" w:after="0"/>
        <w:ind w:left="1985" w:right="0" w:hanging="286"/>
        <w:jc w:val="left"/>
        <w:rPr>
          <w:sz w:val="20"/>
        </w:rPr>
      </w:pPr>
      <w:r>
        <w:rPr>
          <w:sz w:val="20"/>
        </w:rPr>
        <w:t>For Device 1: OS timestamp for each Tx packet, sequence number of each Tx</w:t>
      </w:r>
      <w:r>
        <w:rPr>
          <w:spacing w:val="-15"/>
          <w:sz w:val="20"/>
        </w:rPr>
        <w:t> </w:t>
      </w:r>
      <w:r>
        <w:rPr>
          <w:sz w:val="20"/>
        </w:rPr>
        <w:t>packet.</w:t>
      </w:r>
    </w:p>
    <w:p>
      <w:pPr>
        <w:pStyle w:val="ListParagraph"/>
        <w:numPr>
          <w:ilvl w:val="1"/>
          <w:numId w:val="60"/>
        </w:numPr>
        <w:tabs>
          <w:tab w:pos="1985" w:val="left" w:leader="none"/>
          <w:tab w:pos="1986" w:val="left" w:leader="none"/>
        </w:tabs>
        <w:spacing w:line="240" w:lineRule="auto" w:before="180" w:after="0"/>
        <w:ind w:left="1985" w:right="1129" w:hanging="286"/>
        <w:jc w:val="left"/>
        <w:rPr>
          <w:sz w:val="20"/>
        </w:rPr>
      </w:pPr>
      <w:r>
        <w:rPr>
          <w:sz w:val="20"/>
        </w:rPr>
        <w:t>For DUT: OS timestamp for each Rx packet, sequence number of each Rx packet, receive signal power for each Rx</w:t>
      </w:r>
      <w:r>
        <w:rPr>
          <w:spacing w:val="-6"/>
          <w:sz w:val="20"/>
        </w:rPr>
        <w:t> </w:t>
      </w:r>
      <w:r>
        <w:rPr>
          <w:sz w:val="20"/>
        </w:rPr>
        <w:t>packet.</w:t>
      </w:r>
    </w:p>
    <w:p>
      <w:pPr>
        <w:pStyle w:val="ListParagraph"/>
        <w:numPr>
          <w:ilvl w:val="0"/>
          <w:numId w:val="60"/>
        </w:numPr>
        <w:tabs>
          <w:tab w:pos="1703" w:val="left" w:leader="none"/>
        </w:tabs>
        <w:spacing w:line="240" w:lineRule="auto" w:before="180" w:after="0"/>
        <w:ind w:left="1702" w:right="0" w:hanging="286"/>
        <w:jc w:val="left"/>
        <w:rPr>
          <w:sz w:val="20"/>
        </w:rPr>
      </w:pPr>
      <w:r>
        <w:rPr>
          <w:sz w:val="20"/>
        </w:rPr>
        <w:t>Repeat step 5 for a total of “n” iterations, according to column “Number of Iterations” in Table</w:t>
      </w:r>
      <w:r>
        <w:rPr>
          <w:spacing w:val="-21"/>
          <w:sz w:val="20"/>
        </w:rPr>
        <w:t> </w:t>
      </w:r>
      <w:r>
        <w:rPr>
          <w:sz w:val="20"/>
        </w:rPr>
        <w:t>40.</w:t>
      </w:r>
    </w:p>
    <w:p>
      <w:pPr>
        <w:pStyle w:val="ListParagraph"/>
        <w:numPr>
          <w:ilvl w:val="0"/>
          <w:numId w:val="60"/>
        </w:numPr>
        <w:tabs>
          <w:tab w:pos="1702" w:val="left" w:leader="none"/>
        </w:tabs>
        <w:spacing w:line="240" w:lineRule="auto" w:before="177" w:after="0"/>
        <w:ind w:left="1702" w:right="1132" w:hanging="286"/>
        <w:jc w:val="left"/>
        <w:rPr>
          <w:sz w:val="20"/>
        </w:rPr>
      </w:pPr>
      <w:r>
        <w:rPr>
          <w:sz w:val="20"/>
        </w:rPr>
        <w:t>Repeat steps 5 through 6 for all bandwidth sizes from Table 40, (i.e., in step 6 use Interference Bandwidth from column “Interference Bandwidth” from the next row of Table</w:t>
      </w:r>
      <w:r>
        <w:rPr>
          <w:spacing w:val="-22"/>
          <w:sz w:val="20"/>
        </w:rPr>
        <w:t> </w:t>
      </w:r>
      <w:r>
        <w:rPr>
          <w:sz w:val="20"/>
        </w:rPr>
        <w:t>40)</w:t>
      </w:r>
    </w:p>
    <w:p>
      <w:pPr>
        <w:pStyle w:val="ListParagraph"/>
        <w:numPr>
          <w:ilvl w:val="0"/>
          <w:numId w:val="60"/>
        </w:numPr>
        <w:tabs>
          <w:tab w:pos="1702" w:val="left" w:leader="none"/>
        </w:tabs>
        <w:spacing w:line="240" w:lineRule="auto" w:before="180" w:after="0"/>
        <w:ind w:left="1702" w:right="1132" w:hanging="286"/>
        <w:jc w:val="left"/>
        <w:rPr>
          <w:sz w:val="20"/>
        </w:rPr>
      </w:pPr>
      <w:r>
        <w:rPr>
          <w:sz w:val="20"/>
        </w:rPr>
        <w:t>Repeat steps 5 through 7 for the second set of interference source position settings, (i.e., in step 7 set the attenuation values on Attenuator 1 and Attenuator 2 according to the second row of Table</w:t>
      </w:r>
      <w:r>
        <w:rPr>
          <w:spacing w:val="-21"/>
          <w:sz w:val="20"/>
        </w:rPr>
        <w:t> </w:t>
      </w:r>
      <w:r>
        <w:rPr>
          <w:sz w:val="20"/>
        </w:rPr>
        <w:t>41).</w:t>
      </w:r>
    </w:p>
    <w:p>
      <w:pPr>
        <w:pStyle w:val="BodyText"/>
        <w:spacing w:before="11"/>
        <w:rPr>
          <w:sz w:val="25"/>
        </w:rPr>
      </w:pPr>
    </w:p>
    <w:p>
      <w:pPr>
        <w:pStyle w:val="ListParagraph"/>
        <w:numPr>
          <w:ilvl w:val="3"/>
          <w:numId w:val="59"/>
        </w:numPr>
        <w:tabs>
          <w:tab w:pos="2551" w:val="left" w:leader="none"/>
          <w:tab w:pos="2552" w:val="left" w:leader="none"/>
        </w:tabs>
        <w:spacing w:line="240" w:lineRule="auto" w:before="0" w:after="0"/>
        <w:ind w:left="2551" w:right="0" w:hanging="1418"/>
        <w:jc w:val="left"/>
        <w:rPr>
          <w:sz w:val="24"/>
        </w:rPr>
      </w:pPr>
      <w:r>
        <w:rPr>
          <w:sz w:val="24"/>
        </w:rPr>
        <w:t>Unique Tests to be</w:t>
      </w:r>
      <w:r>
        <w:rPr>
          <w:spacing w:val="-10"/>
          <w:sz w:val="24"/>
        </w:rPr>
        <w:t> </w:t>
      </w:r>
      <w:r>
        <w:rPr>
          <w:sz w:val="24"/>
        </w:rPr>
        <w:t>Conducted</w:t>
      </w:r>
    </w:p>
    <w:p>
      <w:pPr>
        <w:pStyle w:val="BodyText"/>
        <w:spacing w:before="181"/>
        <w:ind w:left="1133"/>
      </w:pPr>
      <w:r>
        <w:rPr/>
        <w:t>Run this test using:</w:t>
      </w:r>
    </w:p>
    <w:p>
      <w:pPr>
        <w:pStyle w:val="BodyText"/>
        <w:spacing w:before="180"/>
        <w:ind w:left="1416"/>
      </w:pPr>
      <w:r>
        <w:rPr/>
        <w:t>Two (2) C-V2X devices for the test</w:t>
      </w:r>
    </w:p>
    <w:p>
      <w:pPr>
        <w:pStyle w:val="BodyText"/>
        <w:spacing w:before="9"/>
        <w:rPr>
          <w:sz w:val="25"/>
        </w:rPr>
      </w:pPr>
    </w:p>
    <w:p>
      <w:pPr>
        <w:pStyle w:val="Heading5"/>
        <w:numPr>
          <w:ilvl w:val="3"/>
          <w:numId w:val="59"/>
        </w:numPr>
        <w:tabs>
          <w:tab w:pos="2551" w:val="left" w:leader="none"/>
          <w:tab w:pos="2552" w:val="left" w:leader="none"/>
        </w:tabs>
        <w:spacing w:line="240" w:lineRule="auto" w:before="0" w:after="0"/>
        <w:ind w:left="2551" w:right="0" w:hanging="1418"/>
        <w:jc w:val="left"/>
        <w:rPr>
          <w:rFonts w:ascii="Arial"/>
        </w:rPr>
      </w:pPr>
      <w:r>
        <w:rPr>
          <w:rFonts w:ascii="Arial"/>
        </w:rPr>
        <w:t>Required</w:t>
      </w:r>
      <w:r>
        <w:rPr>
          <w:rFonts w:ascii="Arial"/>
          <w:spacing w:val="-11"/>
        </w:rPr>
        <w:t> </w:t>
      </w:r>
      <w:r>
        <w:rPr>
          <w:rFonts w:ascii="Arial"/>
        </w:rPr>
        <w:t>Documentation</w:t>
      </w:r>
    </w:p>
    <w:p>
      <w:pPr>
        <w:pStyle w:val="BodyText"/>
        <w:spacing w:before="181"/>
        <w:ind w:left="1133"/>
      </w:pPr>
      <w:r>
        <w:rPr/>
        <w:t>Using the data collected from log files, or observed from any OBU user interface, fill in the Table 42.</w:t>
      </w:r>
    </w:p>
    <w:p>
      <w:pPr>
        <w:pStyle w:val="BodyText"/>
        <w:spacing w:before="7"/>
      </w:pPr>
    </w:p>
    <w:p>
      <w:pPr>
        <w:pStyle w:val="Heading7"/>
      </w:pPr>
      <w:r>
        <w:rPr/>
        <w:t>Table 42: C-V2X Results</w:t>
      </w:r>
    </w:p>
    <w:p>
      <w:pPr>
        <w:pStyle w:val="BodyText"/>
        <w:spacing w:before="1"/>
        <w:rPr>
          <w:b/>
          <w:sz w:val="16"/>
        </w:rPr>
      </w:pPr>
    </w:p>
    <w:tbl>
      <w:tblPr>
        <w:tblW w:w="0" w:type="auto"/>
        <w:jc w:val="left"/>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1"/>
        <w:gridCol w:w="1297"/>
        <w:gridCol w:w="984"/>
        <w:gridCol w:w="1277"/>
        <w:gridCol w:w="1121"/>
        <w:gridCol w:w="1129"/>
        <w:gridCol w:w="1126"/>
        <w:gridCol w:w="1128"/>
      </w:tblGrid>
      <w:tr>
        <w:trPr>
          <w:trHeight w:val="1459" w:hRule="exact"/>
        </w:trPr>
        <w:tc>
          <w:tcPr>
            <w:tcW w:w="1291" w:type="dxa"/>
            <w:vMerge w:val="restart"/>
            <w:shd w:val="clear" w:color="auto" w:fill="D9D9D9"/>
          </w:tcPr>
          <w:p>
            <w:pPr>
              <w:pStyle w:val="TableParagraph"/>
              <w:tabs>
                <w:tab w:pos="1079" w:val="left" w:leader="none"/>
              </w:tabs>
              <w:spacing w:line="240" w:lineRule="auto"/>
              <w:ind w:right="99"/>
              <w:rPr>
                <w:b/>
                <w:sz w:val="18"/>
              </w:rPr>
            </w:pPr>
            <w:r>
              <w:rPr>
                <w:b/>
                <w:sz w:val="18"/>
              </w:rPr>
              <w:t>Signal Generator Setting</w:t>
              <w:tab/>
              <w:t>– Interference Bandwidth (MHz)</w:t>
            </w:r>
          </w:p>
        </w:tc>
        <w:tc>
          <w:tcPr>
            <w:tcW w:w="1297" w:type="dxa"/>
            <w:vMerge w:val="restart"/>
            <w:shd w:val="clear" w:color="auto" w:fill="D9D9D9"/>
          </w:tcPr>
          <w:p>
            <w:pPr>
              <w:pStyle w:val="TableParagraph"/>
              <w:spacing w:line="240" w:lineRule="auto"/>
              <w:ind w:left="0"/>
              <w:rPr>
                <w:b/>
                <w:sz w:val="20"/>
              </w:rPr>
            </w:pPr>
          </w:p>
          <w:p>
            <w:pPr>
              <w:pStyle w:val="TableParagraph"/>
              <w:spacing w:line="240" w:lineRule="auto"/>
              <w:ind w:left="0"/>
              <w:rPr>
                <w:b/>
                <w:sz w:val="20"/>
              </w:rPr>
            </w:pPr>
          </w:p>
          <w:p>
            <w:pPr>
              <w:pStyle w:val="TableParagraph"/>
              <w:tabs>
                <w:tab w:pos="1082" w:val="left" w:leader="none"/>
              </w:tabs>
              <w:spacing w:line="240" w:lineRule="auto" w:before="156"/>
              <w:ind w:right="101"/>
              <w:rPr>
                <w:b/>
                <w:sz w:val="18"/>
              </w:rPr>
            </w:pPr>
            <w:r>
              <w:rPr>
                <w:b/>
                <w:sz w:val="18"/>
              </w:rPr>
              <w:t>Signal Generator Setting</w:t>
              <w:tab/>
              <w:t>– Interference Center Frequency (MHz)</w:t>
            </w:r>
          </w:p>
        </w:tc>
        <w:tc>
          <w:tcPr>
            <w:tcW w:w="984" w:type="dxa"/>
            <w:vMerge w:val="restart"/>
            <w:shd w:val="clear" w:color="auto" w:fill="D9D9D9"/>
          </w:tcPr>
          <w:p>
            <w:pPr>
              <w:pStyle w:val="TableParagraph"/>
              <w:spacing w:line="240" w:lineRule="auto"/>
              <w:ind w:left="100" w:right="101"/>
              <w:rPr>
                <w:b/>
                <w:sz w:val="18"/>
              </w:rPr>
            </w:pPr>
            <w:r>
              <w:rPr>
                <w:b/>
                <w:sz w:val="18"/>
              </w:rPr>
              <w:t>SigGen Location (“Rx”   =</w:t>
            </w:r>
          </w:p>
          <w:p>
            <w:pPr>
              <w:pStyle w:val="TableParagraph"/>
              <w:tabs>
                <w:tab w:pos="551" w:val="left" w:leader="none"/>
              </w:tabs>
              <w:spacing w:line="240" w:lineRule="auto" w:before="5"/>
              <w:ind w:left="100" w:right="101"/>
              <w:rPr>
                <w:b/>
                <w:sz w:val="18"/>
              </w:rPr>
            </w:pPr>
            <w:r>
              <w:rPr>
                <w:b/>
                <w:sz w:val="18"/>
              </w:rPr>
              <w:t>close to Rx device; “Mid” = halfway between Tx</w:t>
              <w:tab/>
              <w:t>and Rx Devices)</w:t>
            </w:r>
          </w:p>
        </w:tc>
        <w:tc>
          <w:tcPr>
            <w:tcW w:w="1277" w:type="dxa"/>
            <w:shd w:val="clear" w:color="auto" w:fill="D9D9D9"/>
          </w:tcPr>
          <w:p>
            <w:pPr>
              <w:pStyle w:val="TableParagraph"/>
              <w:tabs>
                <w:tab w:pos="995" w:val="left" w:leader="none"/>
              </w:tabs>
              <w:spacing w:line="201" w:lineRule="exact"/>
              <w:rPr>
                <w:b/>
                <w:sz w:val="18"/>
              </w:rPr>
            </w:pPr>
            <w:r>
              <w:rPr>
                <w:b/>
                <w:sz w:val="18"/>
              </w:rPr>
              <w:t>No.</w:t>
              <w:tab/>
              <w:t>of</w:t>
            </w:r>
          </w:p>
          <w:p>
            <w:pPr>
              <w:pStyle w:val="TableParagraph"/>
              <w:tabs>
                <w:tab w:pos="963" w:val="left" w:leader="none"/>
              </w:tabs>
              <w:spacing w:line="240" w:lineRule="auto"/>
              <w:ind w:right="100"/>
              <w:rPr>
                <w:b/>
                <w:sz w:val="18"/>
              </w:rPr>
            </w:pPr>
            <w:r>
              <w:rPr>
                <w:b/>
                <w:sz w:val="18"/>
              </w:rPr>
              <w:t>Transmitted pkts (summed across</w:t>
              <w:tab/>
              <w:t>all 60-second iterations)</w:t>
            </w:r>
          </w:p>
        </w:tc>
        <w:tc>
          <w:tcPr>
            <w:tcW w:w="1121" w:type="dxa"/>
            <w:shd w:val="clear" w:color="auto" w:fill="D9D9D9"/>
          </w:tcPr>
          <w:p>
            <w:pPr>
              <w:pStyle w:val="TableParagraph"/>
              <w:tabs>
                <w:tab w:pos="839" w:val="left" w:leader="none"/>
              </w:tabs>
              <w:spacing w:line="240" w:lineRule="auto"/>
              <w:ind w:right="99"/>
              <w:rPr>
                <w:b/>
                <w:sz w:val="18"/>
              </w:rPr>
            </w:pPr>
            <w:r>
              <w:rPr>
                <w:b/>
                <w:sz w:val="18"/>
              </w:rPr>
              <w:t>No.</w:t>
              <w:tab/>
              <w:t>of Received pkts (summed across all 60-second iterations)</w:t>
            </w:r>
          </w:p>
        </w:tc>
        <w:tc>
          <w:tcPr>
            <w:tcW w:w="1129" w:type="dxa"/>
            <w:shd w:val="clear" w:color="auto" w:fill="D9D9D9"/>
          </w:tcPr>
          <w:p>
            <w:pPr>
              <w:pStyle w:val="TableParagraph"/>
              <w:spacing w:line="240" w:lineRule="auto"/>
              <w:ind w:left="0"/>
              <w:rPr>
                <w:b/>
                <w:sz w:val="20"/>
              </w:rPr>
            </w:pPr>
          </w:p>
          <w:p>
            <w:pPr>
              <w:pStyle w:val="TableParagraph"/>
              <w:spacing w:line="240" w:lineRule="auto"/>
              <w:ind w:left="0"/>
              <w:rPr>
                <w:b/>
                <w:sz w:val="20"/>
              </w:rPr>
            </w:pPr>
          </w:p>
          <w:p>
            <w:pPr>
              <w:pStyle w:val="TableParagraph"/>
              <w:spacing w:line="240" w:lineRule="auto" w:before="156"/>
              <w:rPr>
                <w:b/>
                <w:sz w:val="18"/>
              </w:rPr>
            </w:pPr>
            <w:r>
              <w:rPr>
                <w:b/>
                <w:sz w:val="18"/>
              </w:rPr>
              <w:t>PER %</w:t>
            </w:r>
          </w:p>
        </w:tc>
        <w:tc>
          <w:tcPr>
            <w:tcW w:w="1126" w:type="dxa"/>
            <w:shd w:val="clear" w:color="auto" w:fill="D9D9D9"/>
          </w:tcPr>
          <w:p>
            <w:pPr>
              <w:pStyle w:val="TableParagraph"/>
              <w:spacing w:line="240" w:lineRule="auto"/>
              <w:ind w:left="0"/>
              <w:rPr>
                <w:b/>
                <w:sz w:val="20"/>
              </w:rPr>
            </w:pPr>
          </w:p>
          <w:p>
            <w:pPr>
              <w:pStyle w:val="TableParagraph"/>
              <w:spacing w:line="240" w:lineRule="auto" w:before="176"/>
              <w:ind w:left="100" w:right="135"/>
              <w:rPr>
                <w:b/>
                <w:sz w:val="18"/>
              </w:rPr>
            </w:pPr>
            <w:r>
              <w:rPr>
                <w:b/>
                <w:position w:val="-5"/>
                <w:sz w:val="18"/>
              </w:rPr>
              <w:t>95</w:t>
            </w:r>
            <w:r>
              <w:rPr>
                <w:b/>
                <w:sz w:val="12"/>
              </w:rPr>
              <w:t>th </w:t>
            </w:r>
            <w:r>
              <w:rPr>
                <w:b/>
                <w:sz w:val="18"/>
              </w:rPr>
              <w:t>Percentile IPG (ms)</w:t>
            </w:r>
          </w:p>
        </w:tc>
        <w:tc>
          <w:tcPr>
            <w:tcW w:w="1128" w:type="dxa"/>
            <w:shd w:val="clear" w:color="auto" w:fill="D9D9D9"/>
          </w:tcPr>
          <w:p>
            <w:pPr>
              <w:pStyle w:val="TableParagraph"/>
              <w:spacing w:line="240" w:lineRule="auto" w:before="3"/>
              <w:ind w:left="0"/>
              <w:rPr>
                <w:b/>
                <w:sz w:val="26"/>
              </w:rPr>
            </w:pPr>
          </w:p>
          <w:p>
            <w:pPr>
              <w:pStyle w:val="TableParagraph"/>
              <w:spacing w:line="240" w:lineRule="auto"/>
              <w:ind w:right="135"/>
              <w:rPr>
                <w:b/>
                <w:sz w:val="18"/>
              </w:rPr>
            </w:pPr>
            <w:r>
              <w:rPr>
                <w:b/>
                <w:position w:val="-5"/>
                <w:sz w:val="18"/>
              </w:rPr>
              <w:t>95</w:t>
            </w:r>
            <w:r>
              <w:rPr>
                <w:b/>
                <w:sz w:val="12"/>
              </w:rPr>
              <w:t>th </w:t>
            </w:r>
            <w:r>
              <w:rPr>
                <w:b/>
                <w:sz w:val="18"/>
              </w:rPr>
              <w:t>Percentile Latency (ms)</w:t>
            </w:r>
          </w:p>
        </w:tc>
      </w:tr>
      <w:tr>
        <w:trPr>
          <w:trHeight w:val="1241" w:hRule="exact"/>
        </w:trPr>
        <w:tc>
          <w:tcPr>
            <w:tcW w:w="1291" w:type="dxa"/>
            <w:vMerge/>
            <w:shd w:val="clear" w:color="auto" w:fill="D9D9D9"/>
          </w:tcPr>
          <w:p>
            <w:pPr/>
          </w:p>
        </w:tc>
        <w:tc>
          <w:tcPr>
            <w:tcW w:w="1297" w:type="dxa"/>
            <w:vMerge/>
            <w:shd w:val="clear" w:color="auto" w:fill="D9D9D9"/>
          </w:tcPr>
          <w:p>
            <w:pPr/>
          </w:p>
        </w:tc>
        <w:tc>
          <w:tcPr>
            <w:tcW w:w="984" w:type="dxa"/>
            <w:vMerge/>
            <w:shd w:val="clear" w:color="auto" w:fill="D9D9D9"/>
          </w:tcPr>
          <w:p>
            <w:pPr/>
          </w:p>
        </w:tc>
        <w:tc>
          <w:tcPr>
            <w:tcW w:w="1277" w:type="dxa"/>
            <w:shd w:val="clear" w:color="auto" w:fill="D9D9D9"/>
          </w:tcPr>
          <w:p>
            <w:pPr>
              <w:pStyle w:val="TableParagraph"/>
              <w:spacing w:line="240" w:lineRule="auto"/>
              <w:ind w:left="0"/>
              <w:rPr>
                <w:b/>
                <w:sz w:val="20"/>
              </w:rPr>
            </w:pPr>
          </w:p>
          <w:p>
            <w:pPr>
              <w:pStyle w:val="TableParagraph"/>
              <w:spacing w:line="240" w:lineRule="auto" w:before="172"/>
              <w:ind w:right="94"/>
              <w:rPr>
                <w:b/>
                <w:sz w:val="18"/>
              </w:rPr>
            </w:pPr>
            <w:r>
              <w:rPr>
                <w:b/>
                <w:sz w:val="18"/>
              </w:rPr>
              <w:t>Measured at Tx Device</w:t>
            </w:r>
          </w:p>
        </w:tc>
        <w:tc>
          <w:tcPr>
            <w:tcW w:w="1121" w:type="dxa"/>
            <w:shd w:val="clear" w:color="auto" w:fill="D9D9D9"/>
          </w:tcPr>
          <w:p>
            <w:pPr>
              <w:pStyle w:val="TableParagraph"/>
              <w:spacing w:line="240" w:lineRule="auto"/>
              <w:ind w:left="0"/>
              <w:rPr>
                <w:b/>
                <w:sz w:val="26"/>
              </w:rPr>
            </w:pPr>
          </w:p>
          <w:p>
            <w:pPr>
              <w:pStyle w:val="TableParagraph"/>
              <w:tabs>
                <w:tab w:pos="779" w:val="left" w:leader="none"/>
              </w:tabs>
              <w:spacing w:line="240" w:lineRule="auto"/>
              <w:ind w:right="99"/>
              <w:rPr>
                <w:b/>
                <w:sz w:val="18"/>
              </w:rPr>
            </w:pPr>
            <w:r>
              <w:rPr>
                <w:b/>
                <w:sz w:val="18"/>
              </w:rPr>
              <w:t>Measured at</w:t>
              <w:tab/>
              <w:t>Rx</w:t>
            </w:r>
          </w:p>
          <w:p>
            <w:pPr>
              <w:pStyle w:val="TableParagraph"/>
              <w:rPr>
                <w:b/>
                <w:sz w:val="18"/>
              </w:rPr>
            </w:pPr>
            <w:r>
              <w:rPr>
                <w:b/>
                <w:sz w:val="18"/>
              </w:rPr>
              <w:t>Device</w:t>
            </w:r>
          </w:p>
        </w:tc>
        <w:tc>
          <w:tcPr>
            <w:tcW w:w="1129" w:type="dxa"/>
            <w:shd w:val="clear" w:color="auto" w:fill="D9D9D9"/>
          </w:tcPr>
          <w:p>
            <w:pPr>
              <w:pStyle w:val="TableParagraph"/>
              <w:spacing w:line="240" w:lineRule="auto"/>
              <w:ind w:left="0"/>
              <w:rPr>
                <w:b/>
                <w:sz w:val="26"/>
              </w:rPr>
            </w:pPr>
          </w:p>
          <w:p>
            <w:pPr>
              <w:pStyle w:val="TableParagraph"/>
              <w:tabs>
                <w:tab w:pos="785" w:val="left" w:leader="none"/>
              </w:tabs>
              <w:spacing w:line="240" w:lineRule="auto"/>
              <w:ind w:right="102"/>
              <w:rPr>
                <w:b/>
                <w:sz w:val="18"/>
              </w:rPr>
            </w:pPr>
            <w:r>
              <w:rPr>
                <w:b/>
                <w:sz w:val="18"/>
              </w:rPr>
              <w:t>Calculated at</w:t>
              <w:tab/>
              <w:t>Rx</w:t>
            </w:r>
          </w:p>
          <w:p>
            <w:pPr>
              <w:pStyle w:val="TableParagraph"/>
              <w:rPr>
                <w:b/>
                <w:sz w:val="18"/>
              </w:rPr>
            </w:pPr>
            <w:r>
              <w:rPr>
                <w:b/>
                <w:sz w:val="18"/>
              </w:rPr>
              <w:t>Device</w:t>
            </w:r>
          </w:p>
        </w:tc>
        <w:tc>
          <w:tcPr>
            <w:tcW w:w="1126" w:type="dxa"/>
            <w:shd w:val="clear" w:color="auto" w:fill="D9D9D9"/>
          </w:tcPr>
          <w:p>
            <w:pPr>
              <w:pStyle w:val="TableParagraph"/>
              <w:spacing w:line="240" w:lineRule="auto"/>
              <w:ind w:left="0"/>
              <w:rPr>
                <w:b/>
                <w:sz w:val="26"/>
              </w:rPr>
            </w:pPr>
          </w:p>
          <w:p>
            <w:pPr>
              <w:pStyle w:val="TableParagraph"/>
              <w:tabs>
                <w:tab w:pos="782" w:val="left" w:leader="none"/>
              </w:tabs>
              <w:spacing w:line="240" w:lineRule="auto"/>
              <w:ind w:left="100" w:right="102"/>
              <w:rPr>
                <w:b/>
                <w:sz w:val="18"/>
              </w:rPr>
            </w:pPr>
            <w:r>
              <w:rPr>
                <w:b/>
                <w:sz w:val="18"/>
              </w:rPr>
              <w:t>Calculated at</w:t>
              <w:tab/>
              <w:t>Rx</w:t>
            </w:r>
          </w:p>
          <w:p>
            <w:pPr>
              <w:pStyle w:val="TableParagraph"/>
              <w:ind w:left="100"/>
              <w:rPr>
                <w:b/>
                <w:sz w:val="18"/>
              </w:rPr>
            </w:pPr>
            <w:r>
              <w:rPr>
                <w:b/>
                <w:sz w:val="18"/>
              </w:rPr>
              <w:t>Device</w:t>
            </w:r>
          </w:p>
        </w:tc>
        <w:tc>
          <w:tcPr>
            <w:tcW w:w="1128" w:type="dxa"/>
            <w:shd w:val="clear" w:color="auto" w:fill="D9D9D9"/>
          </w:tcPr>
          <w:p>
            <w:pPr>
              <w:pStyle w:val="TableParagraph"/>
              <w:spacing w:line="240" w:lineRule="auto"/>
              <w:ind w:left="0"/>
              <w:rPr>
                <w:b/>
                <w:sz w:val="26"/>
              </w:rPr>
            </w:pPr>
          </w:p>
          <w:p>
            <w:pPr>
              <w:pStyle w:val="TableParagraph"/>
              <w:tabs>
                <w:tab w:pos="785" w:val="left" w:leader="none"/>
              </w:tabs>
              <w:spacing w:line="240" w:lineRule="auto"/>
              <w:ind w:right="102"/>
              <w:rPr>
                <w:b/>
                <w:sz w:val="18"/>
              </w:rPr>
            </w:pPr>
            <w:r>
              <w:rPr>
                <w:b/>
                <w:sz w:val="18"/>
              </w:rPr>
              <w:t>Calculated at</w:t>
              <w:tab/>
              <w:t>Rx</w:t>
            </w:r>
          </w:p>
          <w:p>
            <w:pPr>
              <w:pStyle w:val="TableParagraph"/>
              <w:rPr>
                <w:b/>
                <w:sz w:val="18"/>
              </w:rPr>
            </w:pPr>
            <w:r>
              <w:rPr>
                <w:b/>
                <w:sz w:val="18"/>
              </w:rPr>
              <w:t>Device</w:t>
            </w:r>
          </w:p>
        </w:tc>
      </w:tr>
      <w:tr>
        <w:trPr>
          <w:trHeight w:val="504" w:hRule="exact"/>
        </w:trPr>
        <w:tc>
          <w:tcPr>
            <w:tcW w:w="1291" w:type="dxa"/>
          </w:tcPr>
          <w:p>
            <w:pPr>
              <w:pStyle w:val="TableParagraph"/>
              <w:spacing w:line="240" w:lineRule="auto" w:before="117"/>
              <w:rPr>
                <w:sz w:val="22"/>
              </w:rPr>
            </w:pPr>
            <w:r>
              <w:rPr>
                <w:sz w:val="22"/>
              </w:rPr>
              <w:t>0.05</w:t>
            </w:r>
          </w:p>
        </w:tc>
        <w:tc>
          <w:tcPr>
            <w:tcW w:w="1297" w:type="dxa"/>
          </w:tcPr>
          <w:p>
            <w:pPr>
              <w:pStyle w:val="TableParagraph"/>
              <w:spacing w:line="240" w:lineRule="auto" w:before="117"/>
              <w:rPr>
                <w:sz w:val="22"/>
              </w:rPr>
            </w:pPr>
            <w:r>
              <w:rPr>
                <w:sz w:val="22"/>
              </w:rPr>
              <w:t>5.855025</w:t>
            </w:r>
          </w:p>
        </w:tc>
        <w:tc>
          <w:tcPr>
            <w:tcW w:w="984" w:type="dxa"/>
          </w:tcPr>
          <w:p>
            <w:pPr>
              <w:pStyle w:val="TableParagraph"/>
              <w:spacing w:line="240" w:lineRule="auto" w:before="117"/>
              <w:ind w:left="100"/>
              <w:rPr>
                <w:sz w:val="22"/>
              </w:rPr>
            </w:pPr>
            <w:r>
              <w:rPr>
                <w:sz w:val="22"/>
              </w:rPr>
              <w:t>Rx</w:t>
            </w:r>
          </w:p>
        </w:tc>
        <w:tc>
          <w:tcPr>
            <w:tcW w:w="1277" w:type="dxa"/>
          </w:tcPr>
          <w:p>
            <w:pPr>
              <w:pStyle w:val="TableParagraph"/>
              <w:spacing w:line="240" w:lineRule="auto" w:before="117"/>
              <w:rPr>
                <w:sz w:val="22"/>
              </w:rPr>
            </w:pPr>
            <w:r>
              <w:rPr>
                <w:sz w:val="22"/>
              </w:rPr>
              <w:t>1000</w:t>
            </w:r>
          </w:p>
        </w:tc>
        <w:tc>
          <w:tcPr>
            <w:tcW w:w="1121" w:type="dxa"/>
          </w:tcPr>
          <w:p>
            <w:pPr>
              <w:pStyle w:val="TableParagraph"/>
              <w:spacing w:line="240" w:lineRule="auto" w:before="117"/>
              <w:rPr>
                <w:sz w:val="22"/>
              </w:rPr>
            </w:pPr>
            <w:r>
              <w:rPr>
                <w:sz w:val="22"/>
              </w:rPr>
              <w:t>1000</w:t>
            </w:r>
          </w:p>
        </w:tc>
        <w:tc>
          <w:tcPr>
            <w:tcW w:w="1129" w:type="dxa"/>
          </w:tcPr>
          <w:p>
            <w:pPr>
              <w:pStyle w:val="TableParagraph"/>
              <w:spacing w:line="240" w:lineRule="auto" w:before="117"/>
              <w:rPr>
                <w:sz w:val="22"/>
              </w:rPr>
            </w:pPr>
            <w:r>
              <w:rPr>
                <w:w w:val="100"/>
                <w:sz w:val="22"/>
              </w:rPr>
              <w:t>0</w:t>
            </w:r>
          </w:p>
        </w:tc>
        <w:tc>
          <w:tcPr>
            <w:tcW w:w="1126" w:type="dxa"/>
          </w:tcPr>
          <w:p>
            <w:pPr>
              <w:pStyle w:val="TableParagraph"/>
              <w:spacing w:line="240" w:lineRule="auto" w:before="117"/>
              <w:ind w:left="100"/>
              <w:rPr>
                <w:sz w:val="22"/>
              </w:rPr>
            </w:pPr>
            <w:r>
              <w:rPr>
                <w:sz w:val="22"/>
              </w:rPr>
              <w:t>107.5</w:t>
            </w:r>
          </w:p>
        </w:tc>
        <w:tc>
          <w:tcPr>
            <w:tcW w:w="1128" w:type="dxa"/>
          </w:tcPr>
          <w:p>
            <w:pPr>
              <w:pStyle w:val="TableParagraph"/>
              <w:spacing w:line="240" w:lineRule="auto" w:before="117"/>
              <w:rPr>
                <w:sz w:val="22"/>
              </w:rPr>
            </w:pPr>
            <w:r>
              <w:rPr>
                <w:sz w:val="22"/>
              </w:rPr>
              <w:t>21</w:t>
            </w:r>
          </w:p>
        </w:tc>
      </w:tr>
      <w:tr>
        <w:trPr>
          <w:trHeight w:val="502" w:hRule="exact"/>
        </w:trPr>
        <w:tc>
          <w:tcPr>
            <w:tcW w:w="1291" w:type="dxa"/>
          </w:tcPr>
          <w:p>
            <w:pPr>
              <w:pStyle w:val="TableParagraph"/>
              <w:spacing w:line="240" w:lineRule="auto" w:before="118"/>
              <w:rPr>
                <w:sz w:val="22"/>
              </w:rPr>
            </w:pPr>
            <w:r>
              <w:rPr>
                <w:sz w:val="22"/>
              </w:rPr>
              <w:t>0.1</w:t>
            </w:r>
          </w:p>
        </w:tc>
        <w:tc>
          <w:tcPr>
            <w:tcW w:w="1297" w:type="dxa"/>
          </w:tcPr>
          <w:p>
            <w:pPr>
              <w:pStyle w:val="TableParagraph"/>
              <w:spacing w:line="240" w:lineRule="auto" w:before="118"/>
              <w:rPr>
                <w:sz w:val="22"/>
              </w:rPr>
            </w:pPr>
            <w:r>
              <w:rPr>
                <w:sz w:val="22"/>
              </w:rPr>
              <w:t>5.85505</w:t>
            </w:r>
          </w:p>
        </w:tc>
        <w:tc>
          <w:tcPr>
            <w:tcW w:w="984" w:type="dxa"/>
          </w:tcPr>
          <w:p>
            <w:pPr>
              <w:pStyle w:val="TableParagraph"/>
              <w:spacing w:line="240" w:lineRule="auto" w:before="118"/>
              <w:ind w:left="100"/>
              <w:rPr>
                <w:sz w:val="22"/>
              </w:rPr>
            </w:pPr>
            <w:r>
              <w:rPr>
                <w:sz w:val="22"/>
              </w:rPr>
              <w:t>Rx</w:t>
            </w:r>
          </w:p>
        </w:tc>
        <w:tc>
          <w:tcPr>
            <w:tcW w:w="1277" w:type="dxa"/>
          </w:tcPr>
          <w:p>
            <w:pPr>
              <w:pStyle w:val="TableParagraph"/>
              <w:spacing w:line="240" w:lineRule="auto" w:before="118"/>
              <w:rPr>
                <w:sz w:val="22"/>
              </w:rPr>
            </w:pPr>
            <w:r>
              <w:rPr>
                <w:sz w:val="22"/>
              </w:rPr>
              <w:t>1000</w:t>
            </w:r>
          </w:p>
        </w:tc>
        <w:tc>
          <w:tcPr>
            <w:tcW w:w="1121" w:type="dxa"/>
          </w:tcPr>
          <w:p>
            <w:pPr>
              <w:pStyle w:val="TableParagraph"/>
              <w:spacing w:line="240" w:lineRule="auto" w:before="118"/>
              <w:rPr>
                <w:sz w:val="22"/>
              </w:rPr>
            </w:pPr>
            <w:r>
              <w:rPr>
                <w:sz w:val="22"/>
              </w:rPr>
              <w:t>1000</w:t>
            </w:r>
          </w:p>
        </w:tc>
        <w:tc>
          <w:tcPr>
            <w:tcW w:w="1129" w:type="dxa"/>
          </w:tcPr>
          <w:p>
            <w:pPr>
              <w:pStyle w:val="TableParagraph"/>
              <w:spacing w:line="240" w:lineRule="auto" w:before="118"/>
              <w:rPr>
                <w:sz w:val="22"/>
              </w:rPr>
            </w:pPr>
            <w:r>
              <w:rPr>
                <w:w w:val="100"/>
                <w:sz w:val="22"/>
              </w:rPr>
              <w:t>0</w:t>
            </w:r>
          </w:p>
        </w:tc>
        <w:tc>
          <w:tcPr>
            <w:tcW w:w="1126" w:type="dxa"/>
          </w:tcPr>
          <w:p>
            <w:pPr>
              <w:pStyle w:val="TableParagraph"/>
              <w:spacing w:line="240" w:lineRule="auto" w:before="118"/>
              <w:ind w:left="100"/>
              <w:rPr>
                <w:sz w:val="22"/>
              </w:rPr>
            </w:pPr>
            <w:r>
              <w:rPr>
                <w:sz w:val="22"/>
              </w:rPr>
              <w:t>108</w:t>
            </w:r>
          </w:p>
        </w:tc>
        <w:tc>
          <w:tcPr>
            <w:tcW w:w="1128" w:type="dxa"/>
          </w:tcPr>
          <w:p>
            <w:pPr>
              <w:pStyle w:val="TableParagraph"/>
              <w:spacing w:line="240" w:lineRule="auto" w:before="118"/>
              <w:rPr>
                <w:sz w:val="22"/>
              </w:rPr>
            </w:pPr>
            <w:r>
              <w:rPr>
                <w:sz w:val="22"/>
              </w:rPr>
              <w:t>23</w:t>
            </w:r>
          </w:p>
        </w:tc>
      </w:tr>
      <w:tr>
        <w:trPr>
          <w:trHeight w:val="504" w:hRule="exact"/>
        </w:trPr>
        <w:tc>
          <w:tcPr>
            <w:tcW w:w="1291" w:type="dxa"/>
          </w:tcPr>
          <w:p>
            <w:pPr>
              <w:pStyle w:val="TableParagraph"/>
              <w:spacing w:line="240" w:lineRule="auto" w:before="120"/>
              <w:rPr>
                <w:sz w:val="22"/>
              </w:rPr>
            </w:pPr>
            <w:r>
              <w:rPr>
                <w:sz w:val="22"/>
              </w:rPr>
              <w:t>0.2</w:t>
            </w:r>
          </w:p>
        </w:tc>
        <w:tc>
          <w:tcPr>
            <w:tcW w:w="1297" w:type="dxa"/>
          </w:tcPr>
          <w:p>
            <w:pPr>
              <w:pStyle w:val="TableParagraph"/>
              <w:spacing w:line="240" w:lineRule="auto" w:before="120"/>
              <w:rPr>
                <w:sz w:val="22"/>
              </w:rPr>
            </w:pPr>
            <w:r>
              <w:rPr>
                <w:sz w:val="22"/>
              </w:rPr>
              <w:t>5.8551</w:t>
            </w:r>
          </w:p>
        </w:tc>
        <w:tc>
          <w:tcPr>
            <w:tcW w:w="984" w:type="dxa"/>
          </w:tcPr>
          <w:p>
            <w:pPr>
              <w:pStyle w:val="TableParagraph"/>
              <w:spacing w:line="240" w:lineRule="auto" w:before="120"/>
              <w:ind w:left="100"/>
              <w:rPr>
                <w:sz w:val="22"/>
              </w:rPr>
            </w:pPr>
            <w:r>
              <w:rPr>
                <w:sz w:val="22"/>
              </w:rPr>
              <w:t>Rx</w:t>
            </w:r>
          </w:p>
        </w:tc>
        <w:tc>
          <w:tcPr>
            <w:tcW w:w="1277" w:type="dxa"/>
          </w:tcPr>
          <w:p>
            <w:pPr>
              <w:pStyle w:val="TableParagraph"/>
              <w:spacing w:line="240" w:lineRule="auto" w:before="120"/>
              <w:rPr>
                <w:sz w:val="22"/>
              </w:rPr>
            </w:pPr>
            <w:r>
              <w:rPr>
                <w:sz w:val="22"/>
              </w:rPr>
              <w:t>1000</w:t>
            </w:r>
          </w:p>
        </w:tc>
        <w:tc>
          <w:tcPr>
            <w:tcW w:w="1121" w:type="dxa"/>
          </w:tcPr>
          <w:p>
            <w:pPr>
              <w:pStyle w:val="TableParagraph"/>
              <w:spacing w:line="240" w:lineRule="auto" w:before="120"/>
              <w:rPr>
                <w:sz w:val="22"/>
              </w:rPr>
            </w:pPr>
            <w:r>
              <w:rPr>
                <w:sz w:val="22"/>
              </w:rPr>
              <w:t>1000</w:t>
            </w:r>
          </w:p>
        </w:tc>
        <w:tc>
          <w:tcPr>
            <w:tcW w:w="1129" w:type="dxa"/>
          </w:tcPr>
          <w:p>
            <w:pPr>
              <w:pStyle w:val="TableParagraph"/>
              <w:spacing w:line="240" w:lineRule="auto" w:before="120"/>
              <w:rPr>
                <w:sz w:val="22"/>
              </w:rPr>
            </w:pPr>
            <w:r>
              <w:rPr>
                <w:w w:val="100"/>
                <w:sz w:val="22"/>
              </w:rPr>
              <w:t>0</w:t>
            </w:r>
          </w:p>
        </w:tc>
        <w:tc>
          <w:tcPr>
            <w:tcW w:w="1126" w:type="dxa"/>
          </w:tcPr>
          <w:p>
            <w:pPr>
              <w:pStyle w:val="TableParagraph"/>
              <w:spacing w:line="240" w:lineRule="auto" w:before="120"/>
              <w:ind w:left="100"/>
              <w:rPr>
                <w:sz w:val="22"/>
              </w:rPr>
            </w:pPr>
            <w:r>
              <w:rPr>
                <w:sz w:val="22"/>
              </w:rPr>
              <w:t>107</w:t>
            </w:r>
          </w:p>
        </w:tc>
        <w:tc>
          <w:tcPr>
            <w:tcW w:w="1128" w:type="dxa"/>
          </w:tcPr>
          <w:p>
            <w:pPr>
              <w:pStyle w:val="TableParagraph"/>
              <w:spacing w:line="240" w:lineRule="auto" w:before="120"/>
              <w:rPr>
                <w:sz w:val="22"/>
              </w:rPr>
            </w:pPr>
            <w:r>
              <w:rPr>
                <w:sz w:val="22"/>
              </w:rPr>
              <w:t>29</w:t>
            </w:r>
          </w:p>
        </w:tc>
      </w:tr>
      <w:tr>
        <w:trPr>
          <w:trHeight w:val="504" w:hRule="exact"/>
        </w:trPr>
        <w:tc>
          <w:tcPr>
            <w:tcW w:w="1291" w:type="dxa"/>
          </w:tcPr>
          <w:p>
            <w:pPr>
              <w:pStyle w:val="TableParagraph"/>
              <w:spacing w:line="240" w:lineRule="auto" w:before="117"/>
              <w:rPr>
                <w:sz w:val="22"/>
              </w:rPr>
            </w:pPr>
            <w:r>
              <w:rPr>
                <w:sz w:val="22"/>
              </w:rPr>
              <w:t>0.3</w:t>
            </w:r>
          </w:p>
        </w:tc>
        <w:tc>
          <w:tcPr>
            <w:tcW w:w="1297" w:type="dxa"/>
          </w:tcPr>
          <w:p>
            <w:pPr>
              <w:pStyle w:val="TableParagraph"/>
              <w:spacing w:line="240" w:lineRule="auto" w:before="117"/>
              <w:rPr>
                <w:sz w:val="22"/>
              </w:rPr>
            </w:pPr>
            <w:r>
              <w:rPr>
                <w:sz w:val="22"/>
              </w:rPr>
              <w:t>5.85515</w:t>
            </w:r>
          </w:p>
        </w:tc>
        <w:tc>
          <w:tcPr>
            <w:tcW w:w="984" w:type="dxa"/>
          </w:tcPr>
          <w:p>
            <w:pPr>
              <w:pStyle w:val="TableParagraph"/>
              <w:spacing w:line="240" w:lineRule="auto" w:before="117"/>
              <w:ind w:left="100"/>
              <w:rPr>
                <w:sz w:val="22"/>
              </w:rPr>
            </w:pPr>
            <w:r>
              <w:rPr>
                <w:sz w:val="22"/>
              </w:rPr>
              <w:t>Rx</w:t>
            </w:r>
          </w:p>
        </w:tc>
        <w:tc>
          <w:tcPr>
            <w:tcW w:w="1277" w:type="dxa"/>
          </w:tcPr>
          <w:p>
            <w:pPr>
              <w:pStyle w:val="TableParagraph"/>
              <w:spacing w:line="240" w:lineRule="auto" w:before="117"/>
              <w:rPr>
                <w:sz w:val="22"/>
              </w:rPr>
            </w:pPr>
            <w:r>
              <w:rPr>
                <w:sz w:val="22"/>
              </w:rPr>
              <w:t>1000</w:t>
            </w:r>
          </w:p>
        </w:tc>
        <w:tc>
          <w:tcPr>
            <w:tcW w:w="1121" w:type="dxa"/>
          </w:tcPr>
          <w:p>
            <w:pPr>
              <w:pStyle w:val="TableParagraph"/>
              <w:spacing w:line="240" w:lineRule="auto" w:before="117"/>
              <w:rPr>
                <w:sz w:val="22"/>
              </w:rPr>
            </w:pPr>
            <w:r>
              <w:rPr>
                <w:sz w:val="22"/>
              </w:rPr>
              <w:t>1000</w:t>
            </w:r>
          </w:p>
        </w:tc>
        <w:tc>
          <w:tcPr>
            <w:tcW w:w="1129" w:type="dxa"/>
          </w:tcPr>
          <w:p>
            <w:pPr>
              <w:pStyle w:val="TableParagraph"/>
              <w:spacing w:line="240" w:lineRule="auto" w:before="117"/>
              <w:rPr>
                <w:sz w:val="22"/>
              </w:rPr>
            </w:pPr>
            <w:r>
              <w:rPr>
                <w:w w:val="100"/>
                <w:sz w:val="22"/>
              </w:rPr>
              <w:t>0</w:t>
            </w:r>
          </w:p>
        </w:tc>
        <w:tc>
          <w:tcPr>
            <w:tcW w:w="1126" w:type="dxa"/>
          </w:tcPr>
          <w:p>
            <w:pPr>
              <w:pStyle w:val="TableParagraph"/>
              <w:spacing w:line="240" w:lineRule="auto" w:before="117"/>
              <w:ind w:left="100"/>
              <w:rPr>
                <w:sz w:val="22"/>
              </w:rPr>
            </w:pPr>
            <w:r>
              <w:rPr>
                <w:sz w:val="22"/>
              </w:rPr>
              <w:t>107</w:t>
            </w:r>
          </w:p>
        </w:tc>
        <w:tc>
          <w:tcPr>
            <w:tcW w:w="1128" w:type="dxa"/>
          </w:tcPr>
          <w:p>
            <w:pPr>
              <w:pStyle w:val="TableParagraph"/>
              <w:spacing w:line="240" w:lineRule="auto" w:before="117"/>
              <w:rPr>
                <w:sz w:val="22"/>
              </w:rPr>
            </w:pPr>
            <w:r>
              <w:rPr>
                <w:sz w:val="22"/>
              </w:rPr>
              <w:t>22</w:t>
            </w:r>
          </w:p>
        </w:tc>
      </w:tr>
      <w:tr>
        <w:trPr>
          <w:trHeight w:val="502" w:hRule="exact"/>
        </w:trPr>
        <w:tc>
          <w:tcPr>
            <w:tcW w:w="1291" w:type="dxa"/>
          </w:tcPr>
          <w:p>
            <w:pPr>
              <w:pStyle w:val="TableParagraph"/>
              <w:spacing w:line="240" w:lineRule="auto" w:before="117"/>
              <w:rPr>
                <w:sz w:val="22"/>
              </w:rPr>
            </w:pPr>
            <w:r>
              <w:rPr>
                <w:sz w:val="22"/>
              </w:rPr>
              <w:t>0.4</w:t>
            </w:r>
          </w:p>
        </w:tc>
        <w:tc>
          <w:tcPr>
            <w:tcW w:w="1297" w:type="dxa"/>
          </w:tcPr>
          <w:p>
            <w:pPr>
              <w:pStyle w:val="TableParagraph"/>
              <w:spacing w:line="240" w:lineRule="auto" w:before="117"/>
              <w:rPr>
                <w:sz w:val="22"/>
              </w:rPr>
            </w:pPr>
            <w:r>
              <w:rPr>
                <w:sz w:val="22"/>
              </w:rPr>
              <w:t>5.8552</w:t>
            </w:r>
          </w:p>
        </w:tc>
        <w:tc>
          <w:tcPr>
            <w:tcW w:w="984" w:type="dxa"/>
          </w:tcPr>
          <w:p>
            <w:pPr>
              <w:pStyle w:val="TableParagraph"/>
              <w:spacing w:line="240" w:lineRule="auto" w:before="117"/>
              <w:ind w:left="100"/>
              <w:rPr>
                <w:sz w:val="22"/>
              </w:rPr>
            </w:pPr>
            <w:r>
              <w:rPr>
                <w:sz w:val="22"/>
              </w:rPr>
              <w:t>Rx</w:t>
            </w:r>
          </w:p>
        </w:tc>
        <w:tc>
          <w:tcPr>
            <w:tcW w:w="1277" w:type="dxa"/>
          </w:tcPr>
          <w:p>
            <w:pPr>
              <w:pStyle w:val="TableParagraph"/>
              <w:spacing w:line="240" w:lineRule="auto" w:before="117"/>
              <w:rPr>
                <w:sz w:val="22"/>
              </w:rPr>
            </w:pPr>
            <w:r>
              <w:rPr>
                <w:sz w:val="22"/>
              </w:rPr>
              <w:t>1000</w:t>
            </w:r>
          </w:p>
        </w:tc>
        <w:tc>
          <w:tcPr>
            <w:tcW w:w="1121" w:type="dxa"/>
          </w:tcPr>
          <w:p>
            <w:pPr>
              <w:pStyle w:val="TableParagraph"/>
              <w:spacing w:line="240" w:lineRule="auto" w:before="117"/>
              <w:rPr>
                <w:sz w:val="22"/>
              </w:rPr>
            </w:pPr>
            <w:r>
              <w:rPr>
                <w:sz w:val="22"/>
              </w:rPr>
              <w:t>1000</w:t>
            </w:r>
          </w:p>
        </w:tc>
        <w:tc>
          <w:tcPr>
            <w:tcW w:w="1129" w:type="dxa"/>
          </w:tcPr>
          <w:p>
            <w:pPr>
              <w:pStyle w:val="TableParagraph"/>
              <w:spacing w:line="240" w:lineRule="auto" w:before="117"/>
              <w:rPr>
                <w:sz w:val="22"/>
              </w:rPr>
            </w:pPr>
            <w:r>
              <w:rPr>
                <w:w w:val="100"/>
                <w:sz w:val="22"/>
              </w:rPr>
              <w:t>0</w:t>
            </w:r>
          </w:p>
        </w:tc>
        <w:tc>
          <w:tcPr>
            <w:tcW w:w="1126" w:type="dxa"/>
          </w:tcPr>
          <w:p>
            <w:pPr>
              <w:pStyle w:val="TableParagraph"/>
              <w:spacing w:line="240" w:lineRule="auto" w:before="117"/>
              <w:ind w:left="100"/>
              <w:rPr>
                <w:sz w:val="22"/>
              </w:rPr>
            </w:pPr>
            <w:r>
              <w:rPr>
                <w:sz w:val="22"/>
              </w:rPr>
              <w:t>109</w:t>
            </w:r>
          </w:p>
        </w:tc>
        <w:tc>
          <w:tcPr>
            <w:tcW w:w="1128" w:type="dxa"/>
          </w:tcPr>
          <w:p>
            <w:pPr>
              <w:pStyle w:val="TableParagraph"/>
              <w:spacing w:line="240" w:lineRule="auto" w:before="117"/>
              <w:rPr>
                <w:sz w:val="22"/>
              </w:rPr>
            </w:pPr>
            <w:r>
              <w:rPr>
                <w:sz w:val="22"/>
              </w:rPr>
              <w:t>25</w:t>
            </w:r>
          </w:p>
        </w:tc>
      </w:tr>
    </w:tbl>
    <w:p>
      <w:pPr>
        <w:spacing w:after="0" w:line="240" w:lineRule="auto"/>
        <w:rPr>
          <w:sz w:val="22"/>
        </w:rPr>
        <w:sectPr>
          <w:headerReference w:type="default" r:id="rId465"/>
          <w:pgSz w:w="11910" w:h="16850"/>
          <w:pgMar w:header="852" w:footer="876" w:top="1040" w:bottom="1160" w:left="0" w:right="0"/>
        </w:sectPr>
      </w:pPr>
    </w:p>
    <w:p>
      <w:pPr>
        <w:pStyle w:val="BodyText"/>
        <w:rPr>
          <w:b/>
        </w:rPr>
      </w:pPr>
    </w:p>
    <w:p>
      <w:pPr>
        <w:pStyle w:val="BodyText"/>
        <w:spacing w:before="6"/>
        <w:rPr>
          <w:b/>
          <w:sz w:val="11"/>
        </w:rPr>
      </w:pPr>
    </w:p>
    <w:tbl>
      <w:tblPr>
        <w:tblW w:w="0" w:type="auto"/>
        <w:jc w:val="left"/>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1"/>
        <w:gridCol w:w="1297"/>
        <w:gridCol w:w="984"/>
        <w:gridCol w:w="1277"/>
        <w:gridCol w:w="1121"/>
        <w:gridCol w:w="1129"/>
        <w:gridCol w:w="1126"/>
        <w:gridCol w:w="1128"/>
      </w:tblGrid>
      <w:tr>
        <w:trPr>
          <w:trHeight w:val="1460" w:hRule="exact"/>
        </w:trPr>
        <w:tc>
          <w:tcPr>
            <w:tcW w:w="1291" w:type="dxa"/>
            <w:vMerge w:val="restart"/>
            <w:shd w:val="clear" w:color="auto" w:fill="D9D9D9"/>
          </w:tcPr>
          <w:p>
            <w:pPr>
              <w:pStyle w:val="TableParagraph"/>
              <w:tabs>
                <w:tab w:pos="1079" w:val="left" w:leader="none"/>
              </w:tabs>
              <w:spacing w:line="240" w:lineRule="auto"/>
              <w:ind w:right="99"/>
              <w:rPr>
                <w:b/>
                <w:sz w:val="18"/>
              </w:rPr>
            </w:pPr>
            <w:r>
              <w:rPr>
                <w:b/>
                <w:sz w:val="18"/>
              </w:rPr>
              <w:t>Signal Generator Setting</w:t>
              <w:tab/>
              <w:t>– Interference Bandwidth (MHz)</w:t>
            </w:r>
          </w:p>
        </w:tc>
        <w:tc>
          <w:tcPr>
            <w:tcW w:w="1297" w:type="dxa"/>
            <w:vMerge w:val="restart"/>
            <w:shd w:val="clear" w:color="auto" w:fill="D9D9D9"/>
          </w:tcPr>
          <w:p>
            <w:pPr>
              <w:pStyle w:val="TableParagraph"/>
              <w:spacing w:line="240" w:lineRule="auto"/>
              <w:ind w:left="0"/>
              <w:rPr>
                <w:b/>
                <w:sz w:val="20"/>
              </w:rPr>
            </w:pPr>
          </w:p>
          <w:p>
            <w:pPr>
              <w:pStyle w:val="TableParagraph"/>
              <w:spacing w:line="240" w:lineRule="auto"/>
              <w:ind w:left="0"/>
              <w:rPr>
                <w:b/>
                <w:sz w:val="20"/>
              </w:rPr>
            </w:pPr>
          </w:p>
          <w:p>
            <w:pPr>
              <w:pStyle w:val="TableParagraph"/>
              <w:tabs>
                <w:tab w:pos="1082" w:val="left" w:leader="none"/>
              </w:tabs>
              <w:spacing w:line="240" w:lineRule="auto" w:before="156"/>
              <w:ind w:right="101"/>
              <w:rPr>
                <w:b/>
                <w:sz w:val="18"/>
              </w:rPr>
            </w:pPr>
            <w:r>
              <w:rPr>
                <w:b/>
                <w:sz w:val="18"/>
              </w:rPr>
              <w:t>Signal Generator Setting</w:t>
              <w:tab/>
              <w:t>– Interference Center Frequency (MHz)</w:t>
            </w:r>
          </w:p>
        </w:tc>
        <w:tc>
          <w:tcPr>
            <w:tcW w:w="984" w:type="dxa"/>
            <w:vMerge w:val="restart"/>
            <w:shd w:val="clear" w:color="auto" w:fill="D9D9D9"/>
          </w:tcPr>
          <w:p>
            <w:pPr>
              <w:pStyle w:val="TableParagraph"/>
              <w:spacing w:line="240" w:lineRule="auto"/>
              <w:ind w:left="100" w:right="101"/>
              <w:rPr>
                <w:b/>
                <w:sz w:val="18"/>
              </w:rPr>
            </w:pPr>
            <w:r>
              <w:rPr>
                <w:b/>
                <w:sz w:val="18"/>
              </w:rPr>
              <w:t>SigGen Location (“Rx”   =</w:t>
            </w:r>
          </w:p>
          <w:p>
            <w:pPr>
              <w:pStyle w:val="TableParagraph"/>
              <w:tabs>
                <w:tab w:pos="551" w:val="left" w:leader="none"/>
              </w:tabs>
              <w:spacing w:line="240" w:lineRule="auto" w:before="5"/>
              <w:ind w:left="100" w:right="101"/>
              <w:rPr>
                <w:b/>
                <w:sz w:val="18"/>
              </w:rPr>
            </w:pPr>
            <w:r>
              <w:rPr>
                <w:b/>
                <w:sz w:val="18"/>
              </w:rPr>
              <w:t>close to Rx device; “Mid” = halfway between Tx</w:t>
              <w:tab/>
              <w:t>and Rx Devices)</w:t>
            </w:r>
          </w:p>
        </w:tc>
        <w:tc>
          <w:tcPr>
            <w:tcW w:w="1277" w:type="dxa"/>
            <w:shd w:val="clear" w:color="auto" w:fill="D9D9D9"/>
          </w:tcPr>
          <w:p>
            <w:pPr>
              <w:pStyle w:val="TableParagraph"/>
              <w:tabs>
                <w:tab w:pos="995" w:val="left" w:leader="none"/>
              </w:tabs>
              <w:spacing w:line="201" w:lineRule="exact"/>
              <w:rPr>
                <w:b/>
                <w:sz w:val="18"/>
              </w:rPr>
            </w:pPr>
            <w:r>
              <w:rPr>
                <w:b/>
                <w:sz w:val="18"/>
              </w:rPr>
              <w:t>No.</w:t>
              <w:tab/>
              <w:t>of</w:t>
            </w:r>
          </w:p>
          <w:p>
            <w:pPr>
              <w:pStyle w:val="TableParagraph"/>
              <w:tabs>
                <w:tab w:pos="963" w:val="left" w:leader="none"/>
              </w:tabs>
              <w:spacing w:line="240" w:lineRule="auto"/>
              <w:ind w:right="100"/>
              <w:rPr>
                <w:b/>
                <w:sz w:val="18"/>
              </w:rPr>
            </w:pPr>
            <w:r>
              <w:rPr>
                <w:b/>
                <w:sz w:val="18"/>
              </w:rPr>
              <w:t>Transmitted pkts (summed across</w:t>
              <w:tab/>
              <w:t>all 60-second iterations)</w:t>
            </w:r>
          </w:p>
        </w:tc>
        <w:tc>
          <w:tcPr>
            <w:tcW w:w="1121" w:type="dxa"/>
            <w:shd w:val="clear" w:color="auto" w:fill="D9D9D9"/>
          </w:tcPr>
          <w:p>
            <w:pPr>
              <w:pStyle w:val="TableParagraph"/>
              <w:tabs>
                <w:tab w:pos="839" w:val="left" w:leader="none"/>
              </w:tabs>
              <w:spacing w:line="240" w:lineRule="auto"/>
              <w:ind w:right="99"/>
              <w:rPr>
                <w:b/>
                <w:sz w:val="18"/>
              </w:rPr>
            </w:pPr>
            <w:r>
              <w:rPr>
                <w:b/>
                <w:sz w:val="18"/>
              </w:rPr>
              <w:t>No.</w:t>
              <w:tab/>
              <w:t>of Received pkts (summed across all 60-second iterations)</w:t>
            </w:r>
          </w:p>
        </w:tc>
        <w:tc>
          <w:tcPr>
            <w:tcW w:w="1129" w:type="dxa"/>
            <w:shd w:val="clear" w:color="auto" w:fill="D9D9D9"/>
          </w:tcPr>
          <w:p>
            <w:pPr>
              <w:pStyle w:val="TableParagraph"/>
              <w:spacing w:line="240" w:lineRule="auto"/>
              <w:ind w:left="0"/>
              <w:rPr>
                <w:b/>
                <w:sz w:val="20"/>
              </w:rPr>
            </w:pPr>
          </w:p>
          <w:p>
            <w:pPr>
              <w:pStyle w:val="TableParagraph"/>
              <w:spacing w:line="240" w:lineRule="auto"/>
              <w:ind w:left="0"/>
              <w:rPr>
                <w:b/>
                <w:sz w:val="20"/>
              </w:rPr>
            </w:pPr>
          </w:p>
          <w:p>
            <w:pPr>
              <w:pStyle w:val="TableParagraph"/>
              <w:spacing w:line="240" w:lineRule="auto" w:before="156"/>
              <w:rPr>
                <w:b/>
                <w:sz w:val="18"/>
              </w:rPr>
            </w:pPr>
            <w:r>
              <w:rPr>
                <w:b/>
                <w:sz w:val="18"/>
              </w:rPr>
              <w:t>PER %</w:t>
            </w:r>
          </w:p>
        </w:tc>
        <w:tc>
          <w:tcPr>
            <w:tcW w:w="1126" w:type="dxa"/>
            <w:shd w:val="clear" w:color="auto" w:fill="D9D9D9"/>
          </w:tcPr>
          <w:p>
            <w:pPr>
              <w:pStyle w:val="TableParagraph"/>
              <w:spacing w:line="240" w:lineRule="auto"/>
              <w:ind w:left="0"/>
              <w:rPr>
                <w:b/>
                <w:sz w:val="20"/>
              </w:rPr>
            </w:pPr>
          </w:p>
          <w:p>
            <w:pPr>
              <w:pStyle w:val="TableParagraph"/>
              <w:spacing w:line="240" w:lineRule="auto" w:before="176"/>
              <w:ind w:left="100" w:right="135"/>
              <w:rPr>
                <w:b/>
                <w:sz w:val="18"/>
              </w:rPr>
            </w:pPr>
            <w:r>
              <w:rPr>
                <w:b/>
                <w:position w:val="-5"/>
                <w:sz w:val="18"/>
              </w:rPr>
              <w:t>95</w:t>
            </w:r>
            <w:r>
              <w:rPr>
                <w:b/>
                <w:sz w:val="12"/>
              </w:rPr>
              <w:t>th </w:t>
            </w:r>
            <w:r>
              <w:rPr>
                <w:b/>
                <w:sz w:val="18"/>
              </w:rPr>
              <w:t>Percentile IPG (ms)</w:t>
            </w:r>
          </w:p>
        </w:tc>
        <w:tc>
          <w:tcPr>
            <w:tcW w:w="1128" w:type="dxa"/>
            <w:shd w:val="clear" w:color="auto" w:fill="D9D9D9"/>
          </w:tcPr>
          <w:p>
            <w:pPr>
              <w:pStyle w:val="TableParagraph"/>
              <w:spacing w:line="240" w:lineRule="auto" w:before="4"/>
              <w:ind w:left="0"/>
              <w:rPr>
                <w:b/>
                <w:sz w:val="26"/>
              </w:rPr>
            </w:pPr>
          </w:p>
          <w:p>
            <w:pPr>
              <w:pStyle w:val="TableParagraph"/>
              <w:spacing w:line="240" w:lineRule="auto"/>
              <w:ind w:right="135"/>
              <w:rPr>
                <w:b/>
                <w:sz w:val="18"/>
              </w:rPr>
            </w:pPr>
            <w:r>
              <w:rPr>
                <w:b/>
                <w:position w:val="-5"/>
                <w:sz w:val="18"/>
              </w:rPr>
              <w:t>95</w:t>
            </w:r>
            <w:r>
              <w:rPr>
                <w:b/>
                <w:sz w:val="12"/>
              </w:rPr>
              <w:t>th </w:t>
            </w:r>
            <w:r>
              <w:rPr>
                <w:b/>
                <w:sz w:val="18"/>
              </w:rPr>
              <w:t>Percentile Latency (ms)</w:t>
            </w:r>
          </w:p>
        </w:tc>
      </w:tr>
      <w:tr>
        <w:trPr>
          <w:trHeight w:val="1241" w:hRule="exact"/>
        </w:trPr>
        <w:tc>
          <w:tcPr>
            <w:tcW w:w="1291" w:type="dxa"/>
            <w:vMerge/>
            <w:shd w:val="clear" w:color="auto" w:fill="D9D9D9"/>
          </w:tcPr>
          <w:p>
            <w:pPr/>
          </w:p>
        </w:tc>
        <w:tc>
          <w:tcPr>
            <w:tcW w:w="1297" w:type="dxa"/>
            <w:vMerge/>
            <w:shd w:val="clear" w:color="auto" w:fill="D9D9D9"/>
          </w:tcPr>
          <w:p>
            <w:pPr/>
          </w:p>
        </w:tc>
        <w:tc>
          <w:tcPr>
            <w:tcW w:w="984" w:type="dxa"/>
            <w:vMerge/>
            <w:shd w:val="clear" w:color="auto" w:fill="D9D9D9"/>
          </w:tcPr>
          <w:p>
            <w:pPr/>
          </w:p>
        </w:tc>
        <w:tc>
          <w:tcPr>
            <w:tcW w:w="1277" w:type="dxa"/>
            <w:shd w:val="clear" w:color="auto" w:fill="D9D9D9"/>
          </w:tcPr>
          <w:p>
            <w:pPr>
              <w:pStyle w:val="TableParagraph"/>
              <w:spacing w:line="240" w:lineRule="auto"/>
              <w:ind w:left="0"/>
              <w:rPr>
                <w:b/>
                <w:sz w:val="20"/>
              </w:rPr>
            </w:pPr>
          </w:p>
          <w:p>
            <w:pPr>
              <w:pStyle w:val="TableParagraph"/>
              <w:spacing w:line="240" w:lineRule="auto" w:before="172"/>
              <w:ind w:right="94"/>
              <w:rPr>
                <w:b/>
                <w:sz w:val="18"/>
              </w:rPr>
            </w:pPr>
            <w:r>
              <w:rPr>
                <w:b/>
                <w:sz w:val="18"/>
              </w:rPr>
              <w:t>Measured at Tx Device</w:t>
            </w:r>
          </w:p>
        </w:tc>
        <w:tc>
          <w:tcPr>
            <w:tcW w:w="1121" w:type="dxa"/>
            <w:shd w:val="clear" w:color="auto" w:fill="D9D9D9"/>
          </w:tcPr>
          <w:p>
            <w:pPr>
              <w:pStyle w:val="TableParagraph"/>
              <w:spacing w:line="240" w:lineRule="auto"/>
              <w:ind w:left="0"/>
              <w:rPr>
                <w:b/>
                <w:sz w:val="26"/>
              </w:rPr>
            </w:pPr>
          </w:p>
          <w:p>
            <w:pPr>
              <w:pStyle w:val="TableParagraph"/>
              <w:tabs>
                <w:tab w:pos="779" w:val="left" w:leader="none"/>
              </w:tabs>
              <w:spacing w:line="240" w:lineRule="auto"/>
              <w:ind w:right="99"/>
              <w:rPr>
                <w:b/>
                <w:sz w:val="18"/>
              </w:rPr>
            </w:pPr>
            <w:r>
              <w:rPr>
                <w:b/>
                <w:sz w:val="18"/>
              </w:rPr>
              <w:t>Measured at</w:t>
              <w:tab/>
              <w:t>Rx</w:t>
            </w:r>
          </w:p>
          <w:p>
            <w:pPr>
              <w:pStyle w:val="TableParagraph"/>
              <w:rPr>
                <w:b/>
                <w:sz w:val="18"/>
              </w:rPr>
            </w:pPr>
            <w:r>
              <w:rPr>
                <w:b/>
                <w:sz w:val="18"/>
              </w:rPr>
              <w:t>Device</w:t>
            </w:r>
          </w:p>
        </w:tc>
        <w:tc>
          <w:tcPr>
            <w:tcW w:w="1129" w:type="dxa"/>
            <w:shd w:val="clear" w:color="auto" w:fill="D9D9D9"/>
          </w:tcPr>
          <w:p>
            <w:pPr>
              <w:pStyle w:val="TableParagraph"/>
              <w:spacing w:line="240" w:lineRule="auto"/>
              <w:ind w:left="0"/>
              <w:rPr>
                <w:b/>
                <w:sz w:val="26"/>
              </w:rPr>
            </w:pPr>
          </w:p>
          <w:p>
            <w:pPr>
              <w:pStyle w:val="TableParagraph"/>
              <w:tabs>
                <w:tab w:pos="785" w:val="left" w:leader="none"/>
              </w:tabs>
              <w:spacing w:line="240" w:lineRule="auto"/>
              <w:ind w:right="102"/>
              <w:rPr>
                <w:b/>
                <w:sz w:val="18"/>
              </w:rPr>
            </w:pPr>
            <w:r>
              <w:rPr>
                <w:b/>
                <w:sz w:val="18"/>
              </w:rPr>
              <w:t>Calculated at</w:t>
              <w:tab/>
              <w:t>Rx</w:t>
            </w:r>
          </w:p>
          <w:p>
            <w:pPr>
              <w:pStyle w:val="TableParagraph"/>
              <w:rPr>
                <w:b/>
                <w:sz w:val="18"/>
              </w:rPr>
            </w:pPr>
            <w:r>
              <w:rPr>
                <w:b/>
                <w:sz w:val="18"/>
              </w:rPr>
              <w:t>Device</w:t>
            </w:r>
          </w:p>
        </w:tc>
        <w:tc>
          <w:tcPr>
            <w:tcW w:w="1126" w:type="dxa"/>
            <w:shd w:val="clear" w:color="auto" w:fill="D9D9D9"/>
          </w:tcPr>
          <w:p>
            <w:pPr>
              <w:pStyle w:val="TableParagraph"/>
              <w:spacing w:line="240" w:lineRule="auto"/>
              <w:ind w:left="0"/>
              <w:rPr>
                <w:b/>
                <w:sz w:val="26"/>
              </w:rPr>
            </w:pPr>
          </w:p>
          <w:p>
            <w:pPr>
              <w:pStyle w:val="TableParagraph"/>
              <w:tabs>
                <w:tab w:pos="782" w:val="left" w:leader="none"/>
              </w:tabs>
              <w:spacing w:line="240" w:lineRule="auto"/>
              <w:ind w:left="100" w:right="102"/>
              <w:rPr>
                <w:b/>
                <w:sz w:val="18"/>
              </w:rPr>
            </w:pPr>
            <w:r>
              <w:rPr>
                <w:b/>
                <w:sz w:val="18"/>
              </w:rPr>
              <w:t>Calculated at</w:t>
              <w:tab/>
              <w:t>Rx</w:t>
            </w:r>
          </w:p>
          <w:p>
            <w:pPr>
              <w:pStyle w:val="TableParagraph"/>
              <w:ind w:left="100"/>
              <w:rPr>
                <w:b/>
                <w:sz w:val="18"/>
              </w:rPr>
            </w:pPr>
            <w:r>
              <w:rPr>
                <w:b/>
                <w:sz w:val="18"/>
              </w:rPr>
              <w:t>Device</w:t>
            </w:r>
          </w:p>
        </w:tc>
        <w:tc>
          <w:tcPr>
            <w:tcW w:w="1128" w:type="dxa"/>
            <w:shd w:val="clear" w:color="auto" w:fill="D9D9D9"/>
          </w:tcPr>
          <w:p>
            <w:pPr>
              <w:pStyle w:val="TableParagraph"/>
              <w:spacing w:line="240" w:lineRule="auto"/>
              <w:ind w:left="0"/>
              <w:rPr>
                <w:b/>
                <w:sz w:val="26"/>
              </w:rPr>
            </w:pPr>
          </w:p>
          <w:p>
            <w:pPr>
              <w:pStyle w:val="TableParagraph"/>
              <w:tabs>
                <w:tab w:pos="785" w:val="left" w:leader="none"/>
              </w:tabs>
              <w:spacing w:line="240" w:lineRule="auto"/>
              <w:ind w:right="102"/>
              <w:rPr>
                <w:b/>
                <w:sz w:val="18"/>
              </w:rPr>
            </w:pPr>
            <w:r>
              <w:rPr>
                <w:b/>
                <w:sz w:val="18"/>
              </w:rPr>
              <w:t>Calculated at</w:t>
              <w:tab/>
              <w:t>Rx</w:t>
            </w:r>
          </w:p>
          <w:p>
            <w:pPr>
              <w:pStyle w:val="TableParagraph"/>
              <w:rPr>
                <w:b/>
                <w:sz w:val="18"/>
              </w:rPr>
            </w:pPr>
            <w:r>
              <w:rPr>
                <w:b/>
                <w:sz w:val="18"/>
              </w:rPr>
              <w:t>Device</w:t>
            </w:r>
          </w:p>
        </w:tc>
      </w:tr>
      <w:tr>
        <w:trPr>
          <w:trHeight w:val="324" w:hRule="exact"/>
        </w:trPr>
        <w:tc>
          <w:tcPr>
            <w:tcW w:w="1291" w:type="dxa"/>
          </w:tcPr>
          <w:p>
            <w:pPr>
              <w:pStyle w:val="TableParagraph"/>
              <w:rPr>
                <w:sz w:val="18"/>
              </w:rPr>
            </w:pPr>
            <w:r>
              <w:rPr>
                <w:sz w:val="18"/>
              </w:rPr>
              <w:t>0.5</w:t>
            </w:r>
          </w:p>
        </w:tc>
        <w:tc>
          <w:tcPr>
            <w:tcW w:w="1297" w:type="dxa"/>
          </w:tcPr>
          <w:p>
            <w:pPr>
              <w:pStyle w:val="TableParagraph"/>
              <w:rPr>
                <w:sz w:val="18"/>
              </w:rPr>
            </w:pPr>
            <w:r>
              <w:rPr>
                <w:sz w:val="18"/>
              </w:rPr>
              <w:t>5.85525</w:t>
            </w:r>
          </w:p>
        </w:tc>
        <w:tc>
          <w:tcPr>
            <w:tcW w:w="984" w:type="dxa"/>
          </w:tcPr>
          <w:p>
            <w:pPr>
              <w:pStyle w:val="TableParagraph"/>
              <w:ind w:left="100"/>
              <w:rPr>
                <w:sz w:val="18"/>
              </w:rPr>
            </w:pPr>
            <w:r>
              <w:rPr>
                <w:sz w:val="18"/>
              </w:rPr>
              <w:t>Rx</w:t>
            </w:r>
          </w:p>
        </w:tc>
        <w:tc>
          <w:tcPr>
            <w:tcW w:w="1277" w:type="dxa"/>
          </w:tcPr>
          <w:p>
            <w:pPr>
              <w:pStyle w:val="TableParagraph"/>
              <w:rPr>
                <w:sz w:val="18"/>
              </w:rPr>
            </w:pPr>
            <w:r>
              <w:rPr>
                <w:sz w:val="18"/>
              </w:rPr>
              <w:t>1000</w:t>
            </w:r>
          </w:p>
        </w:tc>
        <w:tc>
          <w:tcPr>
            <w:tcW w:w="1121" w:type="dxa"/>
          </w:tcPr>
          <w:p>
            <w:pPr>
              <w:pStyle w:val="TableParagraph"/>
              <w:rPr>
                <w:sz w:val="18"/>
              </w:rPr>
            </w:pPr>
            <w:r>
              <w:rPr>
                <w:sz w:val="18"/>
              </w:rPr>
              <w:t>1000</w:t>
            </w:r>
          </w:p>
        </w:tc>
        <w:tc>
          <w:tcPr>
            <w:tcW w:w="1129" w:type="dxa"/>
          </w:tcPr>
          <w:p>
            <w:pPr>
              <w:pStyle w:val="TableParagraph"/>
              <w:rPr>
                <w:sz w:val="18"/>
              </w:rPr>
            </w:pPr>
            <w:r>
              <w:rPr>
                <w:w w:val="99"/>
                <w:sz w:val="18"/>
              </w:rPr>
              <w:t>0</w:t>
            </w:r>
          </w:p>
        </w:tc>
        <w:tc>
          <w:tcPr>
            <w:tcW w:w="1126" w:type="dxa"/>
          </w:tcPr>
          <w:p>
            <w:pPr>
              <w:pStyle w:val="TableParagraph"/>
              <w:ind w:left="100"/>
              <w:rPr>
                <w:sz w:val="18"/>
              </w:rPr>
            </w:pPr>
            <w:r>
              <w:rPr>
                <w:sz w:val="18"/>
              </w:rPr>
              <w:t>107</w:t>
            </w:r>
          </w:p>
        </w:tc>
        <w:tc>
          <w:tcPr>
            <w:tcW w:w="1128" w:type="dxa"/>
          </w:tcPr>
          <w:p>
            <w:pPr>
              <w:pStyle w:val="TableParagraph"/>
              <w:rPr>
                <w:sz w:val="18"/>
              </w:rPr>
            </w:pPr>
            <w:r>
              <w:rPr>
                <w:sz w:val="18"/>
              </w:rPr>
              <w:t>23</w:t>
            </w:r>
          </w:p>
        </w:tc>
      </w:tr>
      <w:tr>
        <w:trPr>
          <w:trHeight w:val="324" w:hRule="exact"/>
        </w:trPr>
        <w:tc>
          <w:tcPr>
            <w:tcW w:w="1291" w:type="dxa"/>
          </w:tcPr>
          <w:p>
            <w:pPr>
              <w:pStyle w:val="TableParagraph"/>
              <w:rPr>
                <w:sz w:val="18"/>
              </w:rPr>
            </w:pPr>
            <w:r>
              <w:rPr>
                <w:sz w:val="18"/>
              </w:rPr>
              <w:t>0.6</w:t>
            </w:r>
          </w:p>
        </w:tc>
        <w:tc>
          <w:tcPr>
            <w:tcW w:w="1297" w:type="dxa"/>
          </w:tcPr>
          <w:p>
            <w:pPr>
              <w:pStyle w:val="TableParagraph"/>
              <w:rPr>
                <w:sz w:val="18"/>
              </w:rPr>
            </w:pPr>
            <w:r>
              <w:rPr>
                <w:sz w:val="18"/>
              </w:rPr>
              <w:t>5.8553</w:t>
            </w:r>
          </w:p>
        </w:tc>
        <w:tc>
          <w:tcPr>
            <w:tcW w:w="984" w:type="dxa"/>
          </w:tcPr>
          <w:p>
            <w:pPr>
              <w:pStyle w:val="TableParagraph"/>
              <w:ind w:left="100"/>
              <w:rPr>
                <w:sz w:val="18"/>
              </w:rPr>
            </w:pPr>
            <w:r>
              <w:rPr>
                <w:sz w:val="18"/>
              </w:rPr>
              <w:t>Rx</w:t>
            </w:r>
          </w:p>
        </w:tc>
        <w:tc>
          <w:tcPr>
            <w:tcW w:w="1277" w:type="dxa"/>
          </w:tcPr>
          <w:p>
            <w:pPr>
              <w:pStyle w:val="TableParagraph"/>
              <w:rPr>
                <w:sz w:val="18"/>
              </w:rPr>
            </w:pPr>
            <w:r>
              <w:rPr>
                <w:sz w:val="18"/>
              </w:rPr>
              <w:t>1000</w:t>
            </w:r>
          </w:p>
        </w:tc>
        <w:tc>
          <w:tcPr>
            <w:tcW w:w="1121" w:type="dxa"/>
          </w:tcPr>
          <w:p>
            <w:pPr>
              <w:pStyle w:val="TableParagraph"/>
              <w:rPr>
                <w:sz w:val="18"/>
              </w:rPr>
            </w:pPr>
            <w:r>
              <w:rPr>
                <w:sz w:val="18"/>
              </w:rPr>
              <w:t>111</w:t>
            </w:r>
          </w:p>
        </w:tc>
        <w:tc>
          <w:tcPr>
            <w:tcW w:w="1129" w:type="dxa"/>
          </w:tcPr>
          <w:p>
            <w:pPr>
              <w:pStyle w:val="TableParagraph"/>
              <w:rPr>
                <w:sz w:val="18"/>
              </w:rPr>
            </w:pPr>
            <w:r>
              <w:rPr>
                <w:sz w:val="18"/>
              </w:rPr>
              <w:t>88.9</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5" w:hRule="exact"/>
        </w:trPr>
        <w:tc>
          <w:tcPr>
            <w:tcW w:w="1291" w:type="dxa"/>
          </w:tcPr>
          <w:p>
            <w:pPr>
              <w:pStyle w:val="TableParagraph"/>
              <w:rPr>
                <w:sz w:val="18"/>
              </w:rPr>
            </w:pPr>
            <w:r>
              <w:rPr>
                <w:sz w:val="18"/>
              </w:rPr>
              <w:t>0.7</w:t>
            </w:r>
          </w:p>
        </w:tc>
        <w:tc>
          <w:tcPr>
            <w:tcW w:w="1297" w:type="dxa"/>
          </w:tcPr>
          <w:p>
            <w:pPr>
              <w:pStyle w:val="TableParagraph"/>
              <w:rPr>
                <w:sz w:val="18"/>
              </w:rPr>
            </w:pPr>
            <w:r>
              <w:rPr>
                <w:sz w:val="18"/>
              </w:rPr>
              <w:t>5.85535</w:t>
            </w:r>
          </w:p>
        </w:tc>
        <w:tc>
          <w:tcPr>
            <w:tcW w:w="984" w:type="dxa"/>
          </w:tcPr>
          <w:p>
            <w:pPr>
              <w:pStyle w:val="TableParagraph"/>
              <w:ind w:left="100"/>
              <w:rPr>
                <w:sz w:val="18"/>
              </w:rPr>
            </w:pPr>
            <w:r>
              <w:rPr>
                <w:sz w:val="18"/>
              </w:rPr>
              <w:t>Rx</w:t>
            </w:r>
          </w:p>
        </w:tc>
        <w:tc>
          <w:tcPr>
            <w:tcW w:w="1277" w:type="dxa"/>
          </w:tcPr>
          <w:p>
            <w:pPr>
              <w:pStyle w:val="TableParagraph"/>
              <w:rPr>
                <w:sz w:val="18"/>
              </w:rPr>
            </w:pPr>
            <w:r>
              <w:rPr>
                <w:sz w:val="18"/>
              </w:rPr>
              <w:t>1000</w:t>
            </w:r>
          </w:p>
        </w:tc>
        <w:tc>
          <w:tcPr>
            <w:tcW w:w="1121" w:type="dxa"/>
          </w:tcPr>
          <w:p>
            <w:pPr>
              <w:pStyle w:val="TableParagraph"/>
              <w:rPr>
                <w:sz w:val="18"/>
              </w:rPr>
            </w:pPr>
            <w:r>
              <w:rPr>
                <w:sz w:val="18"/>
              </w:rPr>
              <w:t>159</w:t>
            </w:r>
          </w:p>
        </w:tc>
        <w:tc>
          <w:tcPr>
            <w:tcW w:w="1129" w:type="dxa"/>
          </w:tcPr>
          <w:p>
            <w:pPr>
              <w:pStyle w:val="TableParagraph"/>
              <w:rPr>
                <w:sz w:val="18"/>
              </w:rPr>
            </w:pPr>
            <w:r>
              <w:rPr>
                <w:sz w:val="18"/>
              </w:rPr>
              <w:t>84.1</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4" w:hRule="exact"/>
        </w:trPr>
        <w:tc>
          <w:tcPr>
            <w:tcW w:w="1291" w:type="dxa"/>
          </w:tcPr>
          <w:p>
            <w:pPr>
              <w:pStyle w:val="TableParagraph"/>
              <w:rPr>
                <w:sz w:val="18"/>
              </w:rPr>
            </w:pPr>
            <w:r>
              <w:rPr>
                <w:sz w:val="18"/>
              </w:rPr>
              <w:t>0.8</w:t>
            </w:r>
          </w:p>
        </w:tc>
        <w:tc>
          <w:tcPr>
            <w:tcW w:w="1297" w:type="dxa"/>
          </w:tcPr>
          <w:p>
            <w:pPr>
              <w:pStyle w:val="TableParagraph"/>
              <w:rPr>
                <w:sz w:val="18"/>
              </w:rPr>
            </w:pPr>
            <w:r>
              <w:rPr>
                <w:sz w:val="18"/>
              </w:rPr>
              <w:t>5.8554</w:t>
            </w:r>
          </w:p>
        </w:tc>
        <w:tc>
          <w:tcPr>
            <w:tcW w:w="984" w:type="dxa"/>
          </w:tcPr>
          <w:p>
            <w:pPr>
              <w:pStyle w:val="TableParagraph"/>
              <w:ind w:left="100"/>
              <w:rPr>
                <w:sz w:val="18"/>
              </w:rPr>
            </w:pPr>
            <w:r>
              <w:rPr>
                <w:sz w:val="18"/>
              </w:rPr>
              <w:t>Rx</w:t>
            </w:r>
          </w:p>
        </w:tc>
        <w:tc>
          <w:tcPr>
            <w:tcW w:w="1277" w:type="dxa"/>
          </w:tcPr>
          <w:p>
            <w:pPr>
              <w:pStyle w:val="TableParagraph"/>
              <w:rPr>
                <w:sz w:val="18"/>
              </w:rPr>
            </w:pPr>
            <w:r>
              <w:rPr>
                <w:sz w:val="18"/>
              </w:rPr>
              <w:t>1000</w:t>
            </w:r>
          </w:p>
        </w:tc>
        <w:tc>
          <w:tcPr>
            <w:tcW w:w="1121" w:type="dxa"/>
          </w:tcPr>
          <w:p>
            <w:pPr>
              <w:pStyle w:val="TableParagraph"/>
              <w:rPr>
                <w:sz w:val="18"/>
              </w:rPr>
            </w:pPr>
            <w:r>
              <w:rPr>
                <w:sz w:val="18"/>
              </w:rPr>
              <w:t>284</w:t>
            </w:r>
          </w:p>
        </w:tc>
        <w:tc>
          <w:tcPr>
            <w:tcW w:w="1129" w:type="dxa"/>
          </w:tcPr>
          <w:p>
            <w:pPr>
              <w:pStyle w:val="TableParagraph"/>
              <w:rPr>
                <w:sz w:val="18"/>
              </w:rPr>
            </w:pPr>
            <w:r>
              <w:rPr>
                <w:sz w:val="18"/>
              </w:rPr>
              <w:t>71.6</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4" w:hRule="exact"/>
        </w:trPr>
        <w:tc>
          <w:tcPr>
            <w:tcW w:w="1291" w:type="dxa"/>
          </w:tcPr>
          <w:p>
            <w:pPr>
              <w:pStyle w:val="TableParagraph"/>
              <w:rPr>
                <w:sz w:val="18"/>
              </w:rPr>
            </w:pPr>
            <w:r>
              <w:rPr>
                <w:sz w:val="18"/>
              </w:rPr>
              <w:t>0.9</w:t>
            </w:r>
          </w:p>
        </w:tc>
        <w:tc>
          <w:tcPr>
            <w:tcW w:w="1297" w:type="dxa"/>
          </w:tcPr>
          <w:p>
            <w:pPr>
              <w:pStyle w:val="TableParagraph"/>
              <w:rPr>
                <w:sz w:val="18"/>
              </w:rPr>
            </w:pPr>
            <w:r>
              <w:rPr>
                <w:sz w:val="18"/>
              </w:rPr>
              <w:t>5.85545</w:t>
            </w:r>
          </w:p>
        </w:tc>
        <w:tc>
          <w:tcPr>
            <w:tcW w:w="984" w:type="dxa"/>
          </w:tcPr>
          <w:p>
            <w:pPr>
              <w:pStyle w:val="TableParagraph"/>
              <w:ind w:left="100"/>
              <w:rPr>
                <w:sz w:val="18"/>
              </w:rPr>
            </w:pPr>
            <w:r>
              <w:rPr>
                <w:sz w:val="18"/>
              </w:rPr>
              <w:t>Rx</w:t>
            </w:r>
          </w:p>
        </w:tc>
        <w:tc>
          <w:tcPr>
            <w:tcW w:w="1277" w:type="dxa"/>
          </w:tcPr>
          <w:p>
            <w:pPr>
              <w:pStyle w:val="TableParagraph"/>
              <w:rPr>
                <w:sz w:val="18"/>
              </w:rPr>
            </w:pPr>
            <w:r>
              <w:rPr>
                <w:sz w:val="18"/>
              </w:rPr>
              <w:t>1000</w:t>
            </w:r>
          </w:p>
        </w:tc>
        <w:tc>
          <w:tcPr>
            <w:tcW w:w="1121" w:type="dxa"/>
          </w:tcPr>
          <w:p>
            <w:pPr>
              <w:pStyle w:val="TableParagraph"/>
              <w:rPr>
                <w:sz w:val="18"/>
              </w:rPr>
            </w:pPr>
            <w:r>
              <w:rPr>
                <w:sz w:val="18"/>
              </w:rPr>
              <w:t>174</w:t>
            </w:r>
          </w:p>
        </w:tc>
        <w:tc>
          <w:tcPr>
            <w:tcW w:w="1129" w:type="dxa"/>
          </w:tcPr>
          <w:p>
            <w:pPr>
              <w:pStyle w:val="TableParagraph"/>
              <w:rPr>
                <w:sz w:val="18"/>
              </w:rPr>
            </w:pPr>
            <w:r>
              <w:rPr>
                <w:sz w:val="18"/>
              </w:rPr>
              <w:t>85.3</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4" w:hRule="exact"/>
        </w:trPr>
        <w:tc>
          <w:tcPr>
            <w:tcW w:w="1291" w:type="dxa"/>
          </w:tcPr>
          <w:p>
            <w:pPr>
              <w:pStyle w:val="TableParagraph"/>
              <w:rPr>
                <w:sz w:val="18"/>
              </w:rPr>
            </w:pPr>
            <w:r>
              <w:rPr>
                <w:w w:val="99"/>
                <w:sz w:val="18"/>
              </w:rPr>
              <w:t>1</w:t>
            </w:r>
          </w:p>
        </w:tc>
        <w:tc>
          <w:tcPr>
            <w:tcW w:w="1297" w:type="dxa"/>
          </w:tcPr>
          <w:p>
            <w:pPr>
              <w:pStyle w:val="TableParagraph"/>
              <w:rPr>
                <w:sz w:val="18"/>
              </w:rPr>
            </w:pPr>
            <w:r>
              <w:rPr>
                <w:sz w:val="18"/>
              </w:rPr>
              <w:t>5.8555</w:t>
            </w:r>
          </w:p>
        </w:tc>
        <w:tc>
          <w:tcPr>
            <w:tcW w:w="984" w:type="dxa"/>
          </w:tcPr>
          <w:p>
            <w:pPr>
              <w:pStyle w:val="TableParagraph"/>
              <w:ind w:left="100"/>
              <w:rPr>
                <w:sz w:val="18"/>
              </w:rPr>
            </w:pPr>
            <w:r>
              <w:rPr>
                <w:sz w:val="18"/>
              </w:rPr>
              <w:t>Rx</w:t>
            </w:r>
          </w:p>
        </w:tc>
        <w:tc>
          <w:tcPr>
            <w:tcW w:w="1277" w:type="dxa"/>
          </w:tcPr>
          <w:p>
            <w:pPr>
              <w:pStyle w:val="TableParagraph"/>
              <w:rPr>
                <w:sz w:val="18"/>
              </w:rPr>
            </w:pPr>
            <w:r>
              <w:rPr>
                <w:sz w:val="18"/>
              </w:rPr>
              <w:t>1000</w:t>
            </w:r>
          </w:p>
        </w:tc>
        <w:tc>
          <w:tcPr>
            <w:tcW w:w="1121" w:type="dxa"/>
          </w:tcPr>
          <w:p>
            <w:pPr>
              <w:pStyle w:val="TableParagraph"/>
              <w:rPr>
                <w:sz w:val="18"/>
              </w:rPr>
            </w:pPr>
            <w:r>
              <w:rPr>
                <w:sz w:val="18"/>
              </w:rPr>
              <w:t>122</w:t>
            </w:r>
          </w:p>
        </w:tc>
        <w:tc>
          <w:tcPr>
            <w:tcW w:w="1129" w:type="dxa"/>
          </w:tcPr>
          <w:p>
            <w:pPr>
              <w:pStyle w:val="TableParagraph"/>
              <w:rPr>
                <w:sz w:val="18"/>
              </w:rPr>
            </w:pPr>
            <w:r>
              <w:rPr>
                <w:sz w:val="18"/>
              </w:rPr>
              <w:t>87.8</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4" w:hRule="exact"/>
        </w:trPr>
        <w:tc>
          <w:tcPr>
            <w:tcW w:w="1291" w:type="dxa"/>
          </w:tcPr>
          <w:p>
            <w:pPr>
              <w:pStyle w:val="TableParagraph"/>
              <w:rPr>
                <w:sz w:val="18"/>
              </w:rPr>
            </w:pPr>
            <w:r>
              <w:rPr>
                <w:sz w:val="18"/>
              </w:rPr>
              <w:t>0.05</w:t>
            </w:r>
          </w:p>
        </w:tc>
        <w:tc>
          <w:tcPr>
            <w:tcW w:w="1297" w:type="dxa"/>
          </w:tcPr>
          <w:p>
            <w:pPr>
              <w:pStyle w:val="TableParagraph"/>
              <w:rPr>
                <w:sz w:val="18"/>
              </w:rPr>
            </w:pPr>
            <w:r>
              <w:rPr>
                <w:sz w:val="18"/>
              </w:rPr>
              <w:t>5.855025</w:t>
            </w:r>
          </w:p>
        </w:tc>
        <w:tc>
          <w:tcPr>
            <w:tcW w:w="984" w:type="dxa"/>
          </w:tcPr>
          <w:p>
            <w:pPr>
              <w:pStyle w:val="TableParagraph"/>
              <w:ind w:left="100"/>
              <w:rPr>
                <w:sz w:val="18"/>
              </w:rPr>
            </w:pPr>
            <w:r>
              <w:rPr>
                <w:sz w:val="18"/>
              </w:rPr>
              <w:t>Mid</w:t>
            </w:r>
          </w:p>
        </w:tc>
        <w:tc>
          <w:tcPr>
            <w:tcW w:w="1277" w:type="dxa"/>
          </w:tcPr>
          <w:p>
            <w:pPr>
              <w:pStyle w:val="TableParagraph"/>
              <w:rPr>
                <w:sz w:val="18"/>
              </w:rPr>
            </w:pPr>
            <w:r>
              <w:rPr>
                <w:sz w:val="18"/>
              </w:rPr>
              <w:t>1000</w:t>
            </w:r>
          </w:p>
        </w:tc>
        <w:tc>
          <w:tcPr>
            <w:tcW w:w="1121" w:type="dxa"/>
          </w:tcPr>
          <w:p>
            <w:pPr>
              <w:pStyle w:val="TableParagraph"/>
              <w:rPr>
                <w:sz w:val="18"/>
              </w:rPr>
            </w:pPr>
            <w:r>
              <w:rPr>
                <w:sz w:val="18"/>
              </w:rPr>
              <w:t>943</w:t>
            </w:r>
          </w:p>
        </w:tc>
        <w:tc>
          <w:tcPr>
            <w:tcW w:w="1129" w:type="dxa"/>
          </w:tcPr>
          <w:p>
            <w:pPr>
              <w:pStyle w:val="TableParagraph"/>
              <w:rPr>
                <w:sz w:val="18"/>
              </w:rPr>
            </w:pPr>
            <w:r>
              <w:rPr>
                <w:sz w:val="18"/>
              </w:rPr>
              <w:t>5.7</w:t>
            </w:r>
          </w:p>
        </w:tc>
        <w:tc>
          <w:tcPr>
            <w:tcW w:w="1126" w:type="dxa"/>
          </w:tcPr>
          <w:p>
            <w:pPr>
              <w:pStyle w:val="TableParagraph"/>
              <w:ind w:left="100"/>
              <w:rPr>
                <w:sz w:val="18"/>
              </w:rPr>
            </w:pPr>
            <w:r>
              <w:rPr>
                <w:sz w:val="18"/>
              </w:rPr>
              <w:t>108</w:t>
            </w:r>
          </w:p>
        </w:tc>
        <w:tc>
          <w:tcPr>
            <w:tcW w:w="1128" w:type="dxa"/>
          </w:tcPr>
          <w:p>
            <w:pPr>
              <w:pStyle w:val="TableParagraph"/>
              <w:rPr>
                <w:sz w:val="18"/>
              </w:rPr>
            </w:pPr>
            <w:r>
              <w:rPr>
                <w:sz w:val="18"/>
              </w:rPr>
              <w:t>24</w:t>
            </w:r>
          </w:p>
        </w:tc>
      </w:tr>
      <w:tr>
        <w:trPr>
          <w:trHeight w:val="324" w:hRule="exact"/>
        </w:trPr>
        <w:tc>
          <w:tcPr>
            <w:tcW w:w="1291" w:type="dxa"/>
          </w:tcPr>
          <w:p>
            <w:pPr>
              <w:pStyle w:val="TableParagraph"/>
              <w:rPr>
                <w:sz w:val="18"/>
              </w:rPr>
            </w:pPr>
            <w:r>
              <w:rPr>
                <w:sz w:val="18"/>
              </w:rPr>
              <w:t>0.1</w:t>
            </w:r>
          </w:p>
        </w:tc>
        <w:tc>
          <w:tcPr>
            <w:tcW w:w="1297" w:type="dxa"/>
          </w:tcPr>
          <w:p>
            <w:pPr>
              <w:pStyle w:val="TableParagraph"/>
              <w:rPr>
                <w:sz w:val="18"/>
              </w:rPr>
            </w:pPr>
            <w:r>
              <w:rPr>
                <w:sz w:val="18"/>
              </w:rPr>
              <w:t>5.85505</w:t>
            </w:r>
          </w:p>
        </w:tc>
        <w:tc>
          <w:tcPr>
            <w:tcW w:w="984" w:type="dxa"/>
          </w:tcPr>
          <w:p>
            <w:pPr>
              <w:pStyle w:val="TableParagraph"/>
              <w:ind w:left="100"/>
              <w:rPr>
                <w:sz w:val="18"/>
              </w:rPr>
            </w:pPr>
            <w:r>
              <w:rPr>
                <w:sz w:val="18"/>
              </w:rPr>
              <w:t>Mid</w:t>
            </w:r>
          </w:p>
        </w:tc>
        <w:tc>
          <w:tcPr>
            <w:tcW w:w="1277" w:type="dxa"/>
          </w:tcPr>
          <w:p>
            <w:pPr>
              <w:pStyle w:val="TableParagraph"/>
              <w:rPr>
                <w:sz w:val="18"/>
              </w:rPr>
            </w:pPr>
            <w:r>
              <w:rPr>
                <w:sz w:val="18"/>
              </w:rPr>
              <w:t>1000</w:t>
            </w:r>
          </w:p>
        </w:tc>
        <w:tc>
          <w:tcPr>
            <w:tcW w:w="1121" w:type="dxa"/>
          </w:tcPr>
          <w:p>
            <w:pPr>
              <w:pStyle w:val="TableParagraph"/>
              <w:rPr>
                <w:sz w:val="18"/>
              </w:rPr>
            </w:pPr>
            <w:r>
              <w:rPr>
                <w:sz w:val="18"/>
              </w:rPr>
              <w:t>970</w:t>
            </w:r>
          </w:p>
        </w:tc>
        <w:tc>
          <w:tcPr>
            <w:tcW w:w="1129" w:type="dxa"/>
          </w:tcPr>
          <w:p>
            <w:pPr>
              <w:pStyle w:val="TableParagraph"/>
              <w:rPr>
                <w:sz w:val="18"/>
              </w:rPr>
            </w:pPr>
            <w:r>
              <w:rPr>
                <w:w w:val="99"/>
                <w:sz w:val="18"/>
              </w:rPr>
              <w:t>3</w:t>
            </w:r>
          </w:p>
        </w:tc>
        <w:tc>
          <w:tcPr>
            <w:tcW w:w="1126" w:type="dxa"/>
          </w:tcPr>
          <w:p>
            <w:pPr>
              <w:pStyle w:val="TableParagraph"/>
              <w:ind w:left="100"/>
              <w:rPr>
                <w:sz w:val="18"/>
              </w:rPr>
            </w:pPr>
            <w:r>
              <w:rPr>
                <w:sz w:val="18"/>
              </w:rPr>
              <w:t>106</w:t>
            </w:r>
          </w:p>
        </w:tc>
        <w:tc>
          <w:tcPr>
            <w:tcW w:w="1128" w:type="dxa"/>
          </w:tcPr>
          <w:p>
            <w:pPr>
              <w:pStyle w:val="TableParagraph"/>
              <w:rPr>
                <w:sz w:val="18"/>
              </w:rPr>
            </w:pPr>
            <w:r>
              <w:rPr>
                <w:sz w:val="18"/>
              </w:rPr>
              <w:t>24</w:t>
            </w:r>
          </w:p>
        </w:tc>
      </w:tr>
      <w:tr>
        <w:trPr>
          <w:trHeight w:val="324" w:hRule="exact"/>
        </w:trPr>
        <w:tc>
          <w:tcPr>
            <w:tcW w:w="1291" w:type="dxa"/>
          </w:tcPr>
          <w:p>
            <w:pPr>
              <w:pStyle w:val="TableParagraph"/>
              <w:rPr>
                <w:sz w:val="18"/>
              </w:rPr>
            </w:pPr>
            <w:r>
              <w:rPr>
                <w:sz w:val="18"/>
              </w:rPr>
              <w:t>0.2</w:t>
            </w:r>
          </w:p>
        </w:tc>
        <w:tc>
          <w:tcPr>
            <w:tcW w:w="1297" w:type="dxa"/>
          </w:tcPr>
          <w:p>
            <w:pPr>
              <w:pStyle w:val="TableParagraph"/>
              <w:rPr>
                <w:sz w:val="18"/>
              </w:rPr>
            </w:pPr>
            <w:r>
              <w:rPr>
                <w:sz w:val="18"/>
              </w:rPr>
              <w:t>5.8551</w:t>
            </w:r>
          </w:p>
        </w:tc>
        <w:tc>
          <w:tcPr>
            <w:tcW w:w="984" w:type="dxa"/>
          </w:tcPr>
          <w:p>
            <w:pPr>
              <w:pStyle w:val="TableParagraph"/>
              <w:ind w:left="100"/>
              <w:rPr>
                <w:sz w:val="18"/>
              </w:rPr>
            </w:pPr>
            <w:r>
              <w:rPr>
                <w:sz w:val="18"/>
              </w:rPr>
              <w:t>Mid</w:t>
            </w:r>
          </w:p>
        </w:tc>
        <w:tc>
          <w:tcPr>
            <w:tcW w:w="1277" w:type="dxa"/>
          </w:tcPr>
          <w:p>
            <w:pPr>
              <w:pStyle w:val="TableParagraph"/>
              <w:rPr>
                <w:sz w:val="18"/>
              </w:rPr>
            </w:pPr>
            <w:r>
              <w:rPr>
                <w:sz w:val="18"/>
              </w:rPr>
              <w:t>1000</w:t>
            </w:r>
          </w:p>
        </w:tc>
        <w:tc>
          <w:tcPr>
            <w:tcW w:w="1121" w:type="dxa"/>
          </w:tcPr>
          <w:p>
            <w:pPr>
              <w:pStyle w:val="TableParagraph"/>
              <w:rPr>
                <w:sz w:val="18"/>
              </w:rPr>
            </w:pPr>
            <w:r>
              <w:rPr>
                <w:sz w:val="18"/>
              </w:rPr>
              <w:t>980</w:t>
            </w:r>
          </w:p>
        </w:tc>
        <w:tc>
          <w:tcPr>
            <w:tcW w:w="1129" w:type="dxa"/>
          </w:tcPr>
          <w:p>
            <w:pPr>
              <w:pStyle w:val="TableParagraph"/>
              <w:rPr>
                <w:sz w:val="18"/>
              </w:rPr>
            </w:pPr>
            <w:r>
              <w:rPr>
                <w:w w:val="99"/>
                <w:sz w:val="18"/>
              </w:rPr>
              <w:t>2</w:t>
            </w:r>
          </w:p>
        </w:tc>
        <w:tc>
          <w:tcPr>
            <w:tcW w:w="1126" w:type="dxa"/>
          </w:tcPr>
          <w:p>
            <w:pPr>
              <w:pStyle w:val="TableParagraph"/>
              <w:ind w:left="100"/>
              <w:rPr>
                <w:sz w:val="18"/>
              </w:rPr>
            </w:pPr>
            <w:r>
              <w:rPr>
                <w:sz w:val="18"/>
              </w:rPr>
              <w:t>107</w:t>
            </w:r>
          </w:p>
        </w:tc>
        <w:tc>
          <w:tcPr>
            <w:tcW w:w="1128" w:type="dxa"/>
          </w:tcPr>
          <w:p>
            <w:pPr>
              <w:pStyle w:val="TableParagraph"/>
              <w:rPr>
                <w:sz w:val="18"/>
              </w:rPr>
            </w:pPr>
            <w:r>
              <w:rPr>
                <w:sz w:val="18"/>
              </w:rPr>
              <w:t>23</w:t>
            </w:r>
          </w:p>
        </w:tc>
      </w:tr>
      <w:tr>
        <w:trPr>
          <w:trHeight w:val="324" w:hRule="exact"/>
        </w:trPr>
        <w:tc>
          <w:tcPr>
            <w:tcW w:w="1291" w:type="dxa"/>
          </w:tcPr>
          <w:p>
            <w:pPr>
              <w:pStyle w:val="TableParagraph"/>
              <w:rPr>
                <w:sz w:val="18"/>
              </w:rPr>
            </w:pPr>
            <w:r>
              <w:rPr>
                <w:sz w:val="18"/>
              </w:rPr>
              <w:t>0.3</w:t>
            </w:r>
          </w:p>
        </w:tc>
        <w:tc>
          <w:tcPr>
            <w:tcW w:w="1297" w:type="dxa"/>
          </w:tcPr>
          <w:p>
            <w:pPr>
              <w:pStyle w:val="TableParagraph"/>
              <w:rPr>
                <w:sz w:val="18"/>
              </w:rPr>
            </w:pPr>
            <w:r>
              <w:rPr>
                <w:sz w:val="18"/>
              </w:rPr>
              <w:t>5.85515</w:t>
            </w:r>
          </w:p>
        </w:tc>
        <w:tc>
          <w:tcPr>
            <w:tcW w:w="984" w:type="dxa"/>
          </w:tcPr>
          <w:p>
            <w:pPr>
              <w:pStyle w:val="TableParagraph"/>
              <w:ind w:left="100"/>
              <w:rPr>
                <w:sz w:val="18"/>
              </w:rPr>
            </w:pPr>
            <w:r>
              <w:rPr>
                <w:sz w:val="18"/>
              </w:rPr>
              <w:t>Mid</w:t>
            </w:r>
          </w:p>
        </w:tc>
        <w:tc>
          <w:tcPr>
            <w:tcW w:w="1277" w:type="dxa"/>
          </w:tcPr>
          <w:p>
            <w:pPr>
              <w:pStyle w:val="TableParagraph"/>
              <w:rPr>
                <w:sz w:val="18"/>
              </w:rPr>
            </w:pPr>
            <w:r>
              <w:rPr>
                <w:sz w:val="18"/>
              </w:rPr>
              <w:t>1000</w:t>
            </w:r>
          </w:p>
        </w:tc>
        <w:tc>
          <w:tcPr>
            <w:tcW w:w="1121" w:type="dxa"/>
          </w:tcPr>
          <w:p>
            <w:pPr>
              <w:pStyle w:val="TableParagraph"/>
              <w:rPr>
                <w:sz w:val="18"/>
              </w:rPr>
            </w:pPr>
            <w:r>
              <w:rPr>
                <w:sz w:val="18"/>
              </w:rPr>
              <w:t>1000</w:t>
            </w:r>
          </w:p>
        </w:tc>
        <w:tc>
          <w:tcPr>
            <w:tcW w:w="1129" w:type="dxa"/>
          </w:tcPr>
          <w:p>
            <w:pPr>
              <w:pStyle w:val="TableParagraph"/>
              <w:rPr>
                <w:sz w:val="18"/>
              </w:rPr>
            </w:pPr>
            <w:r>
              <w:rPr>
                <w:w w:val="99"/>
                <w:sz w:val="18"/>
              </w:rPr>
              <w:t>0</w:t>
            </w:r>
          </w:p>
        </w:tc>
        <w:tc>
          <w:tcPr>
            <w:tcW w:w="1126" w:type="dxa"/>
          </w:tcPr>
          <w:p>
            <w:pPr>
              <w:pStyle w:val="TableParagraph"/>
              <w:ind w:left="100"/>
              <w:rPr>
                <w:sz w:val="18"/>
              </w:rPr>
            </w:pPr>
            <w:r>
              <w:rPr>
                <w:sz w:val="18"/>
              </w:rPr>
              <w:t>106</w:t>
            </w:r>
          </w:p>
        </w:tc>
        <w:tc>
          <w:tcPr>
            <w:tcW w:w="1128" w:type="dxa"/>
          </w:tcPr>
          <w:p>
            <w:pPr>
              <w:pStyle w:val="TableParagraph"/>
              <w:rPr>
                <w:sz w:val="18"/>
              </w:rPr>
            </w:pPr>
            <w:r>
              <w:rPr>
                <w:sz w:val="18"/>
              </w:rPr>
              <w:t>25</w:t>
            </w:r>
          </w:p>
        </w:tc>
      </w:tr>
      <w:tr>
        <w:trPr>
          <w:trHeight w:val="324" w:hRule="exact"/>
        </w:trPr>
        <w:tc>
          <w:tcPr>
            <w:tcW w:w="1291" w:type="dxa"/>
          </w:tcPr>
          <w:p>
            <w:pPr>
              <w:pStyle w:val="TableParagraph"/>
              <w:rPr>
                <w:sz w:val="18"/>
              </w:rPr>
            </w:pPr>
            <w:r>
              <w:rPr>
                <w:sz w:val="18"/>
              </w:rPr>
              <w:t>0.4</w:t>
            </w:r>
          </w:p>
        </w:tc>
        <w:tc>
          <w:tcPr>
            <w:tcW w:w="1297" w:type="dxa"/>
          </w:tcPr>
          <w:p>
            <w:pPr>
              <w:pStyle w:val="TableParagraph"/>
              <w:rPr>
                <w:sz w:val="18"/>
              </w:rPr>
            </w:pPr>
            <w:r>
              <w:rPr>
                <w:sz w:val="18"/>
              </w:rPr>
              <w:t>5.8552</w:t>
            </w:r>
          </w:p>
        </w:tc>
        <w:tc>
          <w:tcPr>
            <w:tcW w:w="984" w:type="dxa"/>
          </w:tcPr>
          <w:p>
            <w:pPr>
              <w:pStyle w:val="TableParagraph"/>
              <w:ind w:left="100"/>
              <w:rPr>
                <w:sz w:val="18"/>
              </w:rPr>
            </w:pPr>
            <w:r>
              <w:rPr>
                <w:sz w:val="18"/>
              </w:rPr>
              <w:t>Mid</w:t>
            </w:r>
          </w:p>
        </w:tc>
        <w:tc>
          <w:tcPr>
            <w:tcW w:w="1277" w:type="dxa"/>
          </w:tcPr>
          <w:p>
            <w:pPr>
              <w:pStyle w:val="TableParagraph"/>
              <w:rPr>
                <w:sz w:val="18"/>
              </w:rPr>
            </w:pPr>
            <w:r>
              <w:rPr>
                <w:sz w:val="18"/>
              </w:rPr>
              <w:t>1000</w:t>
            </w:r>
          </w:p>
        </w:tc>
        <w:tc>
          <w:tcPr>
            <w:tcW w:w="1121" w:type="dxa"/>
          </w:tcPr>
          <w:p>
            <w:pPr>
              <w:pStyle w:val="TableParagraph"/>
              <w:rPr>
                <w:sz w:val="18"/>
              </w:rPr>
            </w:pPr>
            <w:r>
              <w:rPr>
                <w:sz w:val="18"/>
              </w:rPr>
              <w:t>1000</w:t>
            </w:r>
          </w:p>
        </w:tc>
        <w:tc>
          <w:tcPr>
            <w:tcW w:w="1129" w:type="dxa"/>
          </w:tcPr>
          <w:p>
            <w:pPr>
              <w:pStyle w:val="TableParagraph"/>
              <w:rPr>
                <w:sz w:val="18"/>
              </w:rPr>
            </w:pPr>
            <w:r>
              <w:rPr>
                <w:w w:val="99"/>
                <w:sz w:val="18"/>
              </w:rPr>
              <w:t>0</w:t>
            </w:r>
          </w:p>
        </w:tc>
        <w:tc>
          <w:tcPr>
            <w:tcW w:w="1126" w:type="dxa"/>
          </w:tcPr>
          <w:p>
            <w:pPr>
              <w:pStyle w:val="TableParagraph"/>
              <w:ind w:left="100"/>
              <w:rPr>
                <w:sz w:val="18"/>
              </w:rPr>
            </w:pPr>
            <w:r>
              <w:rPr>
                <w:sz w:val="18"/>
              </w:rPr>
              <w:t>107</w:t>
            </w:r>
          </w:p>
        </w:tc>
        <w:tc>
          <w:tcPr>
            <w:tcW w:w="1128" w:type="dxa"/>
          </w:tcPr>
          <w:p>
            <w:pPr>
              <w:pStyle w:val="TableParagraph"/>
              <w:rPr>
                <w:sz w:val="18"/>
              </w:rPr>
            </w:pPr>
            <w:r>
              <w:rPr>
                <w:sz w:val="18"/>
              </w:rPr>
              <w:t>22</w:t>
            </w:r>
          </w:p>
        </w:tc>
      </w:tr>
      <w:tr>
        <w:trPr>
          <w:trHeight w:val="324" w:hRule="exact"/>
        </w:trPr>
        <w:tc>
          <w:tcPr>
            <w:tcW w:w="1291" w:type="dxa"/>
          </w:tcPr>
          <w:p>
            <w:pPr>
              <w:pStyle w:val="TableParagraph"/>
              <w:rPr>
                <w:sz w:val="18"/>
              </w:rPr>
            </w:pPr>
            <w:r>
              <w:rPr>
                <w:sz w:val="18"/>
              </w:rPr>
              <w:t>0.5</w:t>
            </w:r>
          </w:p>
        </w:tc>
        <w:tc>
          <w:tcPr>
            <w:tcW w:w="1297" w:type="dxa"/>
          </w:tcPr>
          <w:p>
            <w:pPr>
              <w:pStyle w:val="TableParagraph"/>
              <w:rPr>
                <w:sz w:val="18"/>
              </w:rPr>
            </w:pPr>
            <w:r>
              <w:rPr>
                <w:sz w:val="18"/>
              </w:rPr>
              <w:t>5.85525</w:t>
            </w:r>
          </w:p>
        </w:tc>
        <w:tc>
          <w:tcPr>
            <w:tcW w:w="984" w:type="dxa"/>
          </w:tcPr>
          <w:p>
            <w:pPr>
              <w:pStyle w:val="TableParagraph"/>
              <w:ind w:left="100"/>
              <w:rPr>
                <w:sz w:val="18"/>
              </w:rPr>
            </w:pPr>
            <w:r>
              <w:rPr>
                <w:sz w:val="18"/>
              </w:rPr>
              <w:t>Mid</w:t>
            </w:r>
          </w:p>
        </w:tc>
        <w:tc>
          <w:tcPr>
            <w:tcW w:w="1277" w:type="dxa"/>
          </w:tcPr>
          <w:p>
            <w:pPr>
              <w:pStyle w:val="TableParagraph"/>
              <w:rPr>
                <w:sz w:val="18"/>
              </w:rPr>
            </w:pPr>
            <w:r>
              <w:rPr>
                <w:sz w:val="18"/>
              </w:rPr>
              <w:t>1000</w:t>
            </w:r>
          </w:p>
        </w:tc>
        <w:tc>
          <w:tcPr>
            <w:tcW w:w="1121" w:type="dxa"/>
          </w:tcPr>
          <w:p>
            <w:pPr>
              <w:pStyle w:val="TableParagraph"/>
              <w:rPr>
                <w:sz w:val="18"/>
              </w:rPr>
            </w:pPr>
            <w:r>
              <w:rPr>
                <w:sz w:val="18"/>
              </w:rPr>
              <w:t>1000</w:t>
            </w:r>
          </w:p>
        </w:tc>
        <w:tc>
          <w:tcPr>
            <w:tcW w:w="1129" w:type="dxa"/>
          </w:tcPr>
          <w:p>
            <w:pPr>
              <w:pStyle w:val="TableParagraph"/>
              <w:rPr>
                <w:sz w:val="18"/>
              </w:rPr>
            </w:pPr>
            <w:r>
              <w:rPr>
                <w:w w:val="99"/>
                <w:sz w:val="18"/>
              </w:rPr>
              <w:t>0</w:t>
            </w:r>
          </w:p>
        </w:tc>
        <w:tc>
          <w:tcPr>
            <w:tcW w:w="1126" w:type="dxa"/>
          </w:tcPr>
          <w:p>
            <w:pPr>
              <w:pStyle w:val="TableParagraph"/>
              <w:ind w:left="100"/>
              <w:rPr>
                <w:sz w:val="18"/>
              </w:rPr>
            </w:pPr>
            <w:r>
              <w:rPr>
                <w:sz w:val="18"/>
              </w:rPr>
              <w:t>106</w:t>
            </w:r>
          </w:p>
        </w:tc>
        <w:tc>
          <w:tcPr>
            <w:tcW w:w="1128" w:type="dxa"/>
          </w:tcPr>
          <w:p>
            <w:pPr>
              <w:pStyle w:val="TableParagraph"/>
              <w:rPr>
                <w:sz w:val="18"/>
              </w:rPr>
            </w:pPr>
            <w:r>
              <w:rPr>
                <w:sz w:val="18"/>
              </w:rPr>
              <w:t>24</w:t>
            </w:r>
          </w:p>
        </w:tc>
      </w:tr>
      <w:tr>
        <w:trPr>
          <w:trHeight w:val="324" w:hRule="exact"/>
        </w:trPr>
        <w:tc>
          <w:tcPr>
            <w:tcW w:w="1291" w:type="dxa"/>
          </w:tcPr>
          <w:p>
            <w:pPr>
              <w:pStyle w:val="TableParagraph"/>
              <w:rPr>
                <w:sz w:val="18"/>
              </w:rPr>
            </w:pPr>
            <w:r>
              <w:rPr>
                <w:sz w:val="18"/>
              </w:rPr>
              <w:t>0.6</w:t>
            </w:r>
          </w:p>
        </w:tc>
        <w:tc>
          <w:tcPr>
            <w:tcW w:w="1297" w:type="dxa"/>
          </w:tcPr>
          <w:p>
            <w:pPr>
              <w:pStyle w:val="TableParagraph"/>
              <w:rPr>
                <w:sz w:val="18"/>
              </w:rPr>
            </w:pPr>
            <w:r>
              <w:rPr>
                <w:sz w:val="18"/>
              </w:rPr>
              <w:t>5.8553</w:t>
            </w:r>
          </w:p>
        </w:tc>
        <w:tc>
          <w:tcPr>
            <w:tcW w:w="984" w:type="dxa"/>
          </w:tcPr>
          <w:p>
            <w:pPr>
              <w:pStyle w:val="TableParagraph"/>
              <w:ind w:left="100"/>
              <w:rPr>
                <w:sz w:val="18"/>
              </w:rPr>
            </w:pPr>
            <w:r>
              <w:rPr>
                <w:sz w:val="18"/>
              </w:rPr>
              <w:t>Mid</w:t>
            </w:r>
          </w:p>
        </w:tc>
        <w:tc>
          <w:tcPr>
            <w:tcW w:w="1277" w:type="dxa"/>
          </w:tcPr>
          <w:p>
            <w:pPr>
              <w:pStyle w:val="TableParagraph"/>
              <w:rPr>
                <w:sz w:val="18"/>
              </w:rPr>
            </w:pPr>
            <w:r>
              <w:rPr>
                <w:sz w:val="18"/>
              </w:rPr>
              <w:t>1000</w:t>
            </w:r>
          </w:p>
        </w:tc>
        <w:tc>
          <w:tcPr>
            <w:tcW w:w="1121" w:type="dxa"/>
          </w:tcPr>
          <w:p>
            <w:pPr>
              <w:pStyle w:val="TableParagraph"/>
              <w:rPr>
                <w:sz w:val="18"/>
              </w:rPr>
            </w:pPr>
            <w:r>
              <w:rPr>
                <w:sz w:val="18"/>
              </w:rPr>
              <w:t>971</w:t>
            </w:r>
          </w:p>
        </w:tc>
        <w:tc>
          <w:tcPr>
            <w:tcW w:w="1129" w:type="dxa"/>
          </w:tcPr>
          <w:p>
            <w:pPr>
              <w:pStyle w:val="TableParagraph"/>
              <w:rPr>
                <w:sz w:val="18"/>
              </w:rPr>
            </w:pPr>
            <w:r>
              <w:rPr>
                <w:sz w:val="18"/>
              </w:rPr>
              <w:t>2.9</w:t>
            </w:r>
          </w:p>
        </w:tc>
        <w:tc>
          <w:tcPr>
            <w:tcW w:w="1126" w:type="dxa"/>
          </w:tcPr>
          <w:p>
            <w:pPr>
              <w:pStyle w:val="TableParagraph"/>
              <w:ind w:left="100"/>
              <w:rPr>
                <w:sz w:val="18"/>
              </w:rPr>
            </w:pPr>
            <w:r>
              <w:rPr>
                <w:sz w:val="18"/>
              </w:rPr>
              <w:t>107</w:t>
            </w:r>
          </w:p>
        </w:tc>
        <w:tc>
          <w:tcPr>
            <w:tcW w:w="1128" w:type="dxa"/>
          </w:tcPr>
          <w:p>
            <w:pPr>
              <w:pStyle w:val="TableParagraph"/>
              <w:rPr>
                <w:sz w:val="18"/>
              </w:rPr>
            </w:pPr>
            <w:r>
              <w:rPr>
                <w:sz w:val="18"/>
              </w:rPr>
              <w:t>23</w:t>
            </w:r>
          </w:p>
        </w:tc>
      </w:tr>
      <w:tr>
        <w:trPr>
          <w:trHeight w:val="324" w:hRule="exact"/>
        </w:trPr>
        <w:tc>
          <w:tcPr>
            <w:tcW w:w="1291" w:type="dxa"/>
          </w:tcPr>
          <w:p>
            <w:pPr>
              <w:pStyle w:val="TableParagraph"/>
              <w:spacing w:line="207" w:lineRule="exact"/>
              <w:rPr>
                <w:sz w:val="18"/>
              </w:rPr>
            </w:pPr>
            <w:r>
              <w:rPr>
                <w:sz w:val="18"/>
              </w:rPr>
              <w:t>0.7</w:t>
            </w:r>
          </w:p>
        </w:tc>
        <w:tc>
          <w:tcPr>
            <w:tcW w:w="1297" w:type="dxa"/>
          </w:tcPr>
          <w:p>
            <w:pPr>
              <w:pStyle w:val="TableParagraph"/>
              <w:spacing w:line="207" w:lineRule="exact"/>
              <w:rPr>
                <w:sz w:val="18"/>
              </w:rPr>
            </w:pPr>
            <w:r>
              <w:rPr>
                <w:sz w:val="18"/>
              </w:rPr>
              <w:t>5.85535</w:t>
            </w:r>
          </w:p>
        </w:tc>
        <w:tc>
          <w:tcPr>
            <w:tcW w:w="984" w:type="dxa"/>
          </w:tcPr>
          <w:p>
            <w:pPr>
              <w:pStyle w:val="TableParagraph"/>
              <w:spacing w:line="207" w:lineRule="exact"/>
              <w:ind w:left="100"/>
              <w:rPr>
                <w:sz w:val="18"/>
              </w:rPr>
            </w:pPr>
            <w:r>
              <w:rPr>
                <w:sz w:val="18"/>
              </w:rPr>
              <w:t>Mid</w:t>
            </w:r>
          </w:p>
        </w:tc>
        <w:tc>
          <w:tcPr>
            <w:tcW w:w="1277" w:type="dxa"/>
          </w:tcPr>
          <w:p>
            <w:pPr>
              <w:pStyle w:val="TableParagraph"/>
              <w:spacing w:line="207" w:lineRule="exact"/>
              <w:rPr>
                <w:sz w:val="18"/>
              </w:rPr>
            </w:pPr>
            <w:r>
              <w:rPr>
                <w:sz w:val="18"/>
              </w:rPr>
              <w:t>1000</w:t>
            </w:r>
          </w:p>
        </w:tc>
        <w:tc>
          <w:tcPr>
            <w:tcW w:w="1121" w:type="dxa"/>
          </w:tcPr>
          <w:p>
            <w:pPr>
              <w:pStyle w:val="TableParagraph"/>
              <w:spacing w:line="207" w:lineRule="exact"/>
              <w:rPr>
                <w:sz w:val="18"/>
              </w:rPr>
            </w:pPr>
            <w:r>
              <w:rPr>
                <w:sz w:val="18"/>
              </w:rPr>
              <w:t>1000</w:t>
            </w:r>
          </w:p>
        </w:tc>
        <w:tc>
          <w:tcPr>
            <w:tcW w:w="1129" w:type="dxa"/>
          </w:tcPr>
          <w:p>
            <w:pPr>
              <w:pStyle w:val="TableParagraph"/>
              <w:spacing w:line="207" w:lineRule="exact"/>
              <w:rPr>
                <w:sz w:val="18"/>
              </w:rPr>
            </w:pPr>
            <w:r>
              <w:rPr>
                <w:w w:val="99"/>
                <w:sz w:val="18"/>
              </w:rPr>
              <w:t>0</w:t>
            </w:r>
          </w:p>
        </w:tc>
        <w:tc>
          <w:tcPr>
            <w:tcW w:w="1126" w:type="dxa"/>
          </w:tcPr>
          <w:p>
            <w:pPr>
              <w:pStyle w:val="TableParagraph"/>
              <w:spacing w:line="207" w:lineRule="exact"/>
              <w:ind w:left="100"/>
              <w:rPr>
                <w:sz w:val="18"/>
              </w:rPr>
            </w:pPr>
            <w:r>
              <w:rPr>
                <w:sz w:val="18"/>
              </w:rPr>
              <w:t>106.5</w:t>
            </w:r>
          </w:p>
        </w:tc>
        <w:tc>
          <w:tcPr>
            <w:tcW w:w="1128" w:type="dxa"/>
          </w:tcPr>
          <w:p>
            <w:pPr>
              <w:pStyle w:val="TableParagraph"/>
              <w:spacing w:line="207" w:lineRule="exact"/>
              <w:rPr>
                <w:sz w:val="18"/>
              </w:rPr>
            </w:pPr>
            <w:r>
              <w:rPr>
                <w:sz w:val="18"/>
              </w:rPr>
              <w:t>41</w:t>
            </w:r>
          </w:p>
        </w:tc>
      </w:tr>
      <w:tr>
        <w:trPr>
          <w:trHeight w:val="324" w:hRule="exact"/>
        </w:trPr>
        <w:tc>
          <w:tcPr>
            <w:tcW w:w="1291" w:type="dxa"/>
          </w:tcPr>
          <w:p>
            <w:pPr>
              <w:pStyle w:val="TableParagraph"/>
              <w:rPr>
                <w:sz w:val="18"/>
              </w:rPr>
            </w:pPr>
            <w:r>
              <w:rPr>
                <w:sz w:val="18"/>
              </w:rPr>
              <w:t>0.8</w:t>
            </w:r>
          </w:p>
        </w:tc>
        <w:tc>
          <w:tcPr>
            <w:tcW w:w="1297" w:type="dxa"/>
          </w:tcPr>
          <w:p>
            <w:pPr>
              <w:pStyle w:val="TableParagraph"/>
              <w:rPr>
                <w:sz w:val="18"/>
              </w:rPr>
            </w:pPr>
            <w:r>
              <w:rPr>
                <w:sz w:val="18"/>
              </w:rPr>
              <w:t>5.8554</w:t>
            </w:r>
          </w:p>
        </w:tc>
        <w:tc>
          <w:tcPr>
            <w:tcW w:w="984" w:type="dxa"/>
          </w:tcPr>
          <w:p>
            <w:pPr>
              <w:pStyle w:val="TableParagraph"/>
              <w:ind w:left="100"/>
              <w:rPr>
                <w:sz w:val="18"/>
              </w:rPr>
            </w:pPr>
            <w:r>
              <w:rPr>
                <w:sz w:val="18"/>
              </w:rPr>
              <w:t>Mid</w:t>
            </w:r>
          </w:p>
        </w:tc>
        <w:tc>
          <w:tcPr>
            <w:tcW w:w="1277" w:type="dxa"/>
          </w:tcPr>
          <w:p>
            <w:pPr>
              <w:pStyle w:val="TableParagraph"/>
              <w:rPr>
                <w:sz w:val="18"/>
              </w:rPr>
            </w:pPr>
            <w:r>
              <w:rPr>
                <w:sz w:val="18"/>
              </w:rPr>
              <w:t>1000</w:t>
            </w:r>
          </w:p>
        </w:tc>
        <w:tc>
          <w:tcPr>
            <w:tcW w:w="1121" w:type="dxa"/>
          </w:tcPr>
          <w:p>
            <w:pPr>
              <w:pStyle w:val="TableParagraph"/>
              <w:rPr>
                <w:sz w:val="18"/>
              </w:rPr>
            </w:pPr>
            <w:r>
              <w:rPr>
                <w:sz w:val="18"/>
              </w:rPr>
              <w:t>1000</w:t>
            </w:r>
          </w:p>
        </w:tc>
        <w:tc>
          <w:tcPr>
            <w:tcW w:w="1129" w:type="dxa"/>
          </w:tcPr>
          <w:p>
            <w:pPr>
              <w:pStyle w:val="TableParagraph"/>
              <w:rPr>
                <w:sz w:val="18"/>
              </w:rPr>
            </w:pPr>
            <w:r>
              <w:rPr>
                <w:w w:val="99"/>
                <w:sz w:val="18"/>
              </w:rPr>
              <w:t>0</w:t>
            </w:r>
          </w:p>
        </w:tc>
        <w:tc>
          <w:tcPr>
            <w:tcW w:w="1126" w:type="dxa"/>
          </w:tcPr>
          <w:p>
            <w:pPr>
              <w:pStyle w:val="TableParagraph"/>
              <w:ind w:left="100"/>
              <w:rPr>
                <w:sz w:val="18"/>
              </w:rPr>
            </w:pPr>
            <w:r>
              <w:rPr>
                <w:sz w:val="18"/>
              </w:rPr>
              <w:t>107</w:t>
            </w:r>
          </w:p>
        </w:tc>
        <w:tc>
          <w:tcPr>
            <w:tcW w:w="1128" w:type="dxa"/>
          </w:tcPr>
          <w:p>
            <w:pPr>
              <w:pStyle w:val="TableParagraph"/>
              <w:rPr>
                <w:sz w:val="18"/>
              </w:rPr>
            </w:pPr>
            <w:r>
              <w:rPr>
                <w:sz w:val="18"/>
              </w:rPr>
              <w:t>22</w:t>
            </w:r>
          </w:p>
        </w:tc>
      </w:tr>
      <w:tr>
        <w:trPr>
          <w:trHeight w:val="324" w:hRule="exact"/>
        </w:trPr>
        <w:tc>
          <w:tcPr>
            <w:tcW w:w="1291" w:type="dxa"/>
          </w:tcPr>
          <w:p>
            <w:pPr>
              <w:pStyle w:val="TableParagraph"/>
              <w:rPr>
                <w:sz w:val="18"/>
              </w:rPr>
            </w:pPr>
            <w:r>
              <w:rPr>
                <w:sz w:val="18"/>
              </w:rPr>
              <w:t>0.9</w:t>
            </w:r>
          </w:p>
        </w:tc>
        <w:tc>
          <w:tcPr>
            <w:tcW w:w="1297" w:type="dxa"/>
          </w:tcPr>
          <w:p>
            <w:pPr>
              <w:pStyle w:val="TableParagraph"/>
              <w:rPr>
                <w:sz w:val="18"/>
              </w:rPr>
            </w:pPr>
            <w:r>
              <w:rPr>
                <w:sz w:val="18"/>
              </w:rPr>
              <w:t>5.85545</w:t>
            </w:r>
          </w:p>
        </w:tc>
        <w:tc>
          <w:tcPr>
            <w:tcW w:w="984" w:type="dxa"/>
          </w:tcPr>
          <w:p>
            <w:pPr>
              <w:pStyle w:val="TableParagraph"/>
              <w:ind w:left="100"/>
              <w:rPr>
                <w:sz w:val="18"/>
              </w:rPr>
            </w:pPr>
            <w:r>
              <w:rPr>
                <w:sz w:val="18"/>
              </w:rPr>
              <w:t>Mid</w:t>
            </w:r>
          </w:p>
        </w:tc>
        <w:tc>
          <w:tcPr>
            <w:tcW w:w="1277" w:type="dxa"/>
          </w:tcPr>
          <w:p>
            <w:pPr>
              <w:pStyle w:val="TableParagraph"/>
              <w:rPr>
                <w:sz w:val="18"/>
              </w:rPr>
            </w:pPr>
            <w:r>
              <w:rPr>
                <w:sz w:val="18"/>
              </w:rPr>
              <w:t>1000</w:t>
            </w:r>
          </w:p>
        </w:tc>
        <w:tc>
          <w:tcPr>
            <w:tcW w:w="1121" w:type="dxa"/>
          </w:tcPr>
          <w:p>
            <w:pPr>
              <w:pStyle w:val="TableParagraph"/>
              <w:rPr>
                <w:sz w:val="18"/>
              </w:rPr>
            </w:pPr>
            <w:r>
              <w:rPr>
                <w:sz w:val="18"/>
              </w:rPr>
              <w:t>1000</w:t>
            </w:r>
          </w:p>
        </w:tc>
        <w:tc>
          <w:tcPr>
            <w:tcW w:w="1129" w:type="dxa"/>
          </w:tcPr>
          <w:p>
            <w:pPr>
              <w:pStyle w:val="TableParagraph"/>
              <w:rPr>
                <w:sz w:val="18"/>
              </w:rPr>
            </w:pPr>
            <w:r>
              <w:rPr>
                <w:w w:val="99"/>
                <w:sz w:val="18"/>
              </w:rPr>
              <w:t>0</w:t>
            </w:r>
          </w:p>
        </w:tc>
        <w:tc>
          <w:tcPr>
            <w:tcW w:w="1126" w:type="dxa"/>
          </w:tcPr>
          <w:p>
            <w:pPr>
              <w:pStyle w:val="TableParagraph"/>
              <w:ind w:left="100"/>
              <w:rPr>
                <w:sz w:val="18"/>
              </w:rPr>
            </w:pPr>
            <w:r>
              <w:rPr>
                <w:sz w:val="18"/>
              </w:rPr>
              <w:t>108</w:t>
            </w:r>
          </w:p>
        </w:tc>
        <w:tc>
          <w:tcPr>
            <w:tcW w:w="1128" w:type="dxa"/>
          </w:tcPr>
          <w:p>
            <w:pPr>
              <w:pStyle w:val="TableParagraph"/>
              <w:rPr>
                <w:sz w:val="18"/>
              </w:rPr>
            </w:pPr>
            <w:r>
              <w:rPr>
                <w:sz w:val="18"/>
              </w:rPr>
              <w:t>27</w:t>
            </w:r>
          </w:p>
        </w:tc>
      </w:tr>
      <w:tr>
        <w:trPr>
          <w:trHeight w:val="324" w:hRule="exact"/>
        </w:trPr>
        <w:tc>
          <w:tcPr>
            <w:tcW w:w="1291" w:type="dxa"/>
          </w:tcPr>
          <w:p>
            <w:pPr>
              <w:pStyle w:val="TableParagraph"/>
              <w:rPr>
                <w:sz w:val="18"/>
              </w:rPr>
            </w:pPr>
            <w:r>
              <w:rPr>
                <w:w w:val="99"/>
                <w:sz w:val="18"/>
              </w:rPr>
              <w:t>1</w:t>
            </w:r>
          </w:p>
        </w:tc>
        <w:tc>
          <w:tcPr>
            <w:tcW w:w="1297" w:type="dxa"/>
          </w:tcPr>
          <w:p>
            <w:pPr>
              <w:pStyle w:val="TableParagraph"/>
              <w:rPr>
                <w:sz w:val="18"/>
              </w:rPr>
            </w:pPr>
            <w:r>
              <w:rPr>
                <w:sz w:val="18"/>
              </w:rPr>
              <w:t>5.8555</w:t>
            </w:r>
          </w:p>
        </w:tc>
        <w:tc>
          <w:tcPr>
            <w:tcW w:w="984" w:type="dxa"/>
          </w:tcPr>
          <w:p>
            <w:pPr>
              <w:pStyle w:val="TableParagraph"/>
              <w:ind w:left="100"/>
              <w:rPr>
                <w:sz w:val="18"/>
              </w:rPr>
            </w:pPr>
            <w:r>
              <w:rPr>
                <w:sz w:val="18"/>
              </w:rPr>
              <w:t>Mid</w:t>
            </w:r>
          </w:p>
        </w:tc>
        <w:tc>
          <w:tcPr>
            <w:tcW w:w="1277" w:type="dxa"/>
          </w:tcPr>
          <w:p>
            <w:pPr>
              <w:pStyle w:val="TableParagraph"/>
              <w:rPr>
                <w:sz w:val="18"/>
              </w:rPr>
            </w:pPr>
            <w:r>
              <w:rPr>
                <w:sz w:val="18"/>
              </w:rPr>
              <w:t>1000</w:t>
            </w:r>
          </w:p>
        </w:tc>
        <w:tc>
          <w:tcPr>
            <w:tcW w:w="1121" w:type="dxa"/>
          </w:tcPr>
          <w:p>
            <w:pPr>
              <w:pStyle w:val="TableParagraph"/>
              <w:rPr>
                <w:sz w:val="18"/>
              </w:rPr>
            </w:pPr>
            <w:r>
              <w:rPr>
                <w:sz w:val="18"/>
              </w:rPr>
              <w:t>1000</w:t>
            </w:r>
          </w:p>
        </w:tc>
        <w:tc>
          <w:tcPr>
            <w:tcW w:w="1129" w:type="dxa"/>
          </w:tcPr>
          <w:p>
            <w:pPr>
              <w:pStyle w:val="TableParagraph"/>
              <w:rPr>
                <w:sz w:val="18"/>
              </w:rPr>
            </w:pPr>
            <w:r>
              <w:rPr>
                <w:w w:val="99"/>
                <w:sz w:val="18"/>
              </w:rPr>
              <w:t>0</w:t>
            </w:r>
          </w:p>
        </w:tc>
        <w:tc>
          <w:tcPr>
            <w:tcW w:w="1126" w:type="dxa"/>
          </w:tcPr>
          <w:p>
            <w:pPr>
              <w:pStyle w:val="TableParagraph"/>
              <w:ind w:left="100"/>
              <w:rPr>
                <w:sz w:val="18"/>
              </w:rPr>
            </w:pPr>
            <w:r>
              <w:rPr>
                <w:sz w:val="18"/>
              </w:rPr>
              <w:t>107</w:t>
            </w:r>
          </w:p>
        </w:tc>
        <w:tc>
          <w:tcPr>
            <w:tcW w:w="1128" w:type="dxa"/>
          </w:tcPr>
          <w:p>
            <w:pPr>
              <w:pStyle w:val="TableParagraph"/>
              <w:rPr>
                <w:sz w:val="18"/>
              </w:rPr>
            </w:pPr>
            <w:r>
              <w:rPr>
                <w:sz w:val="18"/>
              </w:rPr>
              <w:t>24</w:t>
            </w:r>
          </w:p>
        </w:tc>
      </w:tr>
    </w:tbl>
    <w:p>
      <w:pPr>
        <w:pStyle w:val="BodyText"/>
        <w:spacing w:before="4"/>
        <w:rPr>
          <w:b/>
          <w:sz w:val="27"/>
        </w:rPr>
      </w:pPr>
    </w:p>
    <w:p>
      <w:pPr>
        <w:pStyle w:val="BodyText"/>
        <w:spacing w:before="93"/>
        <w:ind w:left="1416"/>
      </w:pPr>
      <w:r>
        <w:rPr/>
        <w:t>n\a* - Latency and IPG are shown only in scenarios where PER is &lt; 10%</w:t>
      </w:r>
    </w:p>
    <w:p>
      <w:pPr>
        <w:spacing w:after="0"/>
        <w:sectPr>
          <w:headerReference w:type="default" r:id="rId466"/>
          <w:pgSz w:w="11910" w:h="16850"/>
          <w:pgMar w:header="852" w:footer="876" w:top="1040" w:bottom="1160" w:left="0" w:right="0"/>
        </w:sectPr>
      </w:pPr>
    </w:p>
    <w:p>
      <w:pPr>
        <w:pStyle w:val="BodyText"/>
        <w:rPr>
          <w:sz w:val="23"/>
        </w:rPr>
      </w:pPr>
    </w:p>
    <w:p>
      <w:pPr>
        <w:pStyle w:val="Heading7"/>
        <w:spacing w:before="93"/>
        <w:jc w:val="both"/>
      </w:pPr>
      <w:r>
        <w:rPr/>
        <w:t>Table 43: DSRC Results</w:t>
      </w:r>
    </w:p>
    <w:p>
      <w:pPr>
        <w:pStyle w:val="BodyText"/>
        <w:spacing w:before="2"/>
        <w:rPr>
          <w:b/>
          <w:sz w:val="16"/>
        </w:rPr>
      </w:pPr>
    </w:p>
    <w:tbl>
      <w:tblPr>
        <w:tblW w:w="0" w:type="auto"/>
        <w:jc w:val="left"/>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1"/>
        <w:gridCol w:w="1297"/>
        <w:gridCol w:w="984"/>
        <w:gridCol w:w="1277"/>
        <w:gridCol w:w="1121"/>
        <w:gridCol w:w="1129"/>
        <w:gridCol w:w="1126"/>
        <w:gridCol w:w="1128"/>
      </w:tblGrid>
      <w:tr>
        <w:trPr>
          <w:trHeight w:val="1459" w:hRule="exact"/>
        </w:trPr>
        <w:tc>
          <w:tcPr>
            <w:tcW w:w="1291" w:type="dxa"/>
            <w:vMerge w:val="restart"/>
            <w:shd w:val="clear" w:color="auto" w:fill="D9D9D9"/>
          </w:tcPr>
          <w:p>
            <w:pPr>
              <w:pStyle w:val="TableParagraph"/>
              <w:tabs>
                <w:tab w:pos="1079" w:val="left" w:leader="none"/>
              </w:tabs>
              <w:spacing w:line="240" w:lineRule="auto"/>
              <w:ind w:right="99"/>
              <w:rPr>
                <w:b/>
                <w:sz w:val="18"/>
              </w:rPr>
            </w:pPr>
            <w:r>
              <w:rPr>
                <w:b/>
                <w:sz w:val="18"/>
              </w:rPr>
              <w:t>Signal Generator Setting</w:t>
              <w:tab/>
              <w:t>– Interference Bandwidth (MHz)</w:t>
            </w:r>
          </w:p>
        </w:tc>
        <w:tc>
          <w:tcPr>
            <w:tcW w:w="1297" w:type="dxa"/>
            <w:vMerge w:val="restart"/>
            <w:shd w:val="clear" w:color="auto" w:fill="D9D9D9"/>
          </w:tcPr>
          <w:p>
            <w:pPr>
              <w:pStyle w:val="TableParagraph"/>
              <w:spacing w:line="240" w:lineRule="auto"/>
              <w:ind w:left="0"/>
              <w:rPr>
                <w:b/>
                <w:sz w:val="20"/>
              </w:rPr>
            </w:pPr>
          </w:p>
          <w:p>
            <w:pPr>
              <w:pStyle w:val="TableParagraph"/>
              <w:spacing w:line="240" w:lineRule="auto"/>
              <w:ind w:left="0"/>
              <w:rPr>
                <w:b/>
                <w:sz w:val="20"/>
              </w:rPr>
            </w:pPr>
          </w:p>
          <w:p>
            <w:pPr>
              <w:pStyle w:val="TableParagraph"/>
              <w:tabs>
                <w:tab w:pos="1082" w:val="left" w:leader="none"/>
              </w:tabs>
              <w:spacing w:line="240" w:lineRule="auto" w:before="156"/>
              <w:ind w:right="101"/>
              <w:rPr>
                <w:b/>
                <w:sz w:val="18"/>
              </w:rPr>
            </w:pPr>
            <w:r>
              <w:rPr>
                <w:b/>
                <w:sz w:val="18"/>
              </w:rPr>
              <w:t>Signal Generator Setting</w:t>
              <w:tab/>
              <w:t>– Interference Center Frequency (MHz)</w:t>
            </w:r>
          </w:p>
        </w:tc>
        <w:tc>
          <w:tcPr>
            <w:tcW w:w="984" w:type="dxa"/>
            <w:vMerge w:val="restart"/>
            <w:shd w:val="clear" w:color="auto" w:fill="D9D9D9"/>
          </w:tcPr>
          <w:p>
            <w:pPr>
              <w:pStyle w:val="TableParagraph"/>
              <w:spacing w:line="240" w:lineRule="auto"/>
              <w:ind w:left="100" w:right="101"/>
              <w:rPr>
                <w:b/>
                <w:sz w:val="18"/>
              </w:rPr>
            </w:pPr>
            <w:r>
              <w:rPr>
                <w:b/>
                <w:sz w:val="18"/>
              </w:rPr>
              <w:t>SigGen Location (“Rx”   =</w:t>
            </w:r>
          </w:p>
          <w:p>
            <w:pPr>
              <w:pStyle w:val="TableParagraph"/>
              <w:tabs>
                <w:tab w:pos="551" w:val="left" w:leader="none"/>
              </w:tabs>
              <w:spacing w:line="240" w:lineRule="auto" w:before="7"/>
              <w:ind w:left="100" w:right="101"/>
              <w:rPr>
                <w:b/>
                <w:sz w:val="18"/>
              </w:rPr>
            </w:pPr>
            <w:r>
              <w:rPr>
                <w:b/>
                <w:sz w:val="18"/>
              </w:rPr>
              <w:t>close to Rx device; “Mid” = halfway between Tx</w:t>
              <w:tab/>
              <w:t>and Rx Devices)</w:t>
            </w:r>
          </w:p>
        </w:tc>
        <w:tc>
          <w:tcPr>
            <w:tcW w:w="1277" w:type="dxa"/>
            <w:shd w:val="clear" w:color="auto" w:fill="D9D9D9"/>
          </w:tcPr>
          <w:p>
            <w:pPr>
              <w:pStyle w:val="TableParagraph"/>
              <w:tabs>
                <w:tab w:pos="995" w:val="left" w:leader="none"/>
              </w:tabs>
              <w:spacing w:line="201" w:lineRule="exact"/>
              <w:rPr>
                <w:b/>
                <w:sz w:val="18"/>
              </w:rPr>
            </w:pPr>
            <w:r>
              <w:rPr>
                <w:b/>
                <w:sz w:val="18"/>
              </w:rPr>
              <w:t>No.</w:t>
              <w:tab/>
              <w:t>of</w:t>
            </w:r>
          </w:p>
          <w:p>
            <w:pPr>
              <w:pStyle w:val="TableParagraph"/>
              <w:tabs>
                <w:tab w:pos="963" w:val="left" w:leader="none"/>
              </w:tabs>
              <w:spacing w:line="240" w:lineRule="auto"/>
              <w:ind w:right="100"/>
              <w:rPr>
                <w:b/>
                <w:sz w:val="18"/>
              </w:rPr>
            </w:pPr>
            <w:r>
              <w:rPr>
                <w:b/>
                <w:sz w:val="18"/>
              </w:rPr>
              <w:t>Transmitted pkts (summed across</w:t>
              <w:tab/>
              <w:t>all 60-second iterations)</w:t>
            </w:r>
          </w:p>
        </w:tc>
        <w:tc>
          <w:tcPr>
            <w:tcW w:w="1121" w:type="dxa"/>
            <w:shd w:val="clear" w:color="auto" w:fill="D9D9D9"/>
          </w:tcPr>
          <w:p>
            <w:pPr>
              <w:pStyle w:val="TableParagraph"/>
              <w:tabs>
                <w:tab w:pos="839" w:val="left" w:leader="none"/>
              </w:tabs>
              <w:spacing w:line="240" w:lineRule="auto"/>
              <w:ind w:right="99"/>
              <w:rPr>
                <w:b/>
                <w:sz w:val="18"/>
              </w:rPr>
            </w:pPr>
            <w:r>
              <w:rPr>
                <w:b/>
                <w:sz w:val="18"/>
              </w:rPr>
              <w:t>No.</w:t>
              <w:tab/>
              <w:t>of Received pkts (summed across all 60-second iterations)</w:t>
            </w:r>
          </w:p>
        </w:tc>
        <w:tc>
          <w:tcPr>
            <w:tcW w:w="1129" w:type="dxa"/>
            <w:shd w:val="clear" w:color="auto" w:fill="D9D9D9"/>
          </w:tcPr>
          <w:p>
            <w:pPr>
              <w:pStyle w:val="TableParagraph"/>
              <w:spacing w:line="240" w:lineRule="auto"/>
              <w:ind w:left="0"/>
              <w:rPr>
                <w:b/>
                <w:sz w:val="20"/>
              </w:rPr>
            </w:pPr>
          </w:p>
          <w:p>
            <w:pPr>
              <w:pStyle w:val="TableParagraph"/>
              <w:spacing w:line="240" w:lineRule="auto"/>
              <w:ind w:left="0"/>
              <w:rPr>
                <w:b/>
                <w:sz w:val="20"/>
              </w:rPr>
            </w:pPr>
          </w:p>
          <w:p>
            <w:pPr>
              <w:pStyle w:val="TableParagraph"/>
              <w:spacing w:line="240" w:lineRule="auto" w:before="156"/>
              <w:rPr>
                <w:b/>
                <w:sz w:val="18"/>
              </w:rPr>
            </w:pPr>
            <w:r>
              <w:rPr>
                <w:b/>
                <w:sz w:val="18"/>
              </w:rPr>
              <w:t>PER %</w:t>
            </w:r>
          </w:p>
        </w:tc>
        <w:tc>
          <w:tcPr>
            <w:tcW w:w="1126" w:type="dxa"/>
            <w:shd w:val="clear" w:color="auto" w:fill="D9D9D9"/>
          </w:tcPr>
          <w:p>
            <w:pPr>
              <w:pStyle w:val="TableParagraph"/>
              <w:spacing w:line="240" w:lineRule="auto"/>
              <w:ind w:left="0"/>
              <w:rPr>
                <w:b/>
                <w:sz w:val="20"/>
              </w:rPr>
            </w:pPr>
          </w:p>
          <w:p>
            <w:pPr>
              <w:pStyle w:val="TableParagraph"/>
              <w:spacing w:line="240" w:lineRule="auto" w:before="173"/>
              <w:ind w:left="100" w:right="135"/>
              <w:rPr>
                <w:b/>
                <w:sz w:val="18"/>
              </w:rPr>
            </w:pPr>
            <w:r>
              <w:rPr>
                <w:b/>
                <w:position w:val="-5"/>
                <w:sz w:val="18"/>
              </w:rPr>
              <w:t>95</w:t>
            </w:r>
            <w:r>
              <w:rPr>
                <w:b/>
                <w:sz w:val="12"/>
              </w:rPr>
              <w:t>th </w:t>
            </w:r>
            <w:r>
              <w:rPr>
                <w:b/>
                <w:sz w:val="18"/>
              </w:rPr>
              <w:t>Percentile IPG (ms)</w:t>
            </w:r>
          </w:p>
        </w:tc>
        <w:tc>
          <w:tcPr>
            <w:tcW w:w="1128" w:type="dxa"/>
            <w:shd w:val="clear" w:color="auto" w:fill="D9D9D9"/>
          </w:tcPr>
          <w:p>
            <w:pPr>
              <w:pStyle w:val="TableParagraph"/>
              <w:spacing w:line="240" w:lineRule="auto" w:before="1"/>
              <w:ind w:left="0"/>
              <w:rPr>
                <w:b/>
                <w:sz w:val="26"/>
              </w:rPr>
            </w:pPr>
          </w:p>
          <w:p>
            <w:pPr>
              <w:pStyle w:val="TableParagraph"/>
              <w:spacing w:line="240" w:lineRule="auto"/>
              <w:ind w:right="135"/>
              <w:rPr>
                <w:b/>
                <w:sz w:val="18"/>
              </w:rPr>
            </w:pPr>
            <w:r>
              <w:rPr>
                <w:b/>
                <w:position w:val="-5"/>
                <w:sz w:val="18"/>
              </w:rPr>
              <w:t>95</w:t>
            </w:r>
            <w:r>
              <w:rPr>
                <w:b/>
                <w:sz w:val="12"/>
              </w:rPr>
              <w:t>th </w:t>
            </w:r>
            <w:r>
              <w:rPr>
                <w:b/>
                <w:sz w:val="18"/>
              </w:rPr>
              <w:t>Percentile Latency (ms)</w:t>
            </w:r>
          </w:p>
        </w:tc>
      </w:tr>
      <w:tr>
        <w:trPr>
          <w:trHeight w:val="1241" w:hRule="exact"/>
        </w:trPr>
        <w:tc>
          <w:tcPr>
            <w:tcW w:w="1291" w:type="dxa"/>
            <w:vMerge/>
            <w:shd w:val="clear" w:color="auto" w:fill="D9D9D9"/>
          </w:tcPr>
          <w:p>
            <w:pPr/>
          </w:p>
        </w:tc>
        <w:tc>
          <w:tcPr>
            <w:tcW w:w="1297" w:type="dxa"/>
            <w:vMerge/>
            <w:shd w:val="clear" w:color="auto" w:fill="D9D9D9"/>
          </w:tcPr>
          <w:p>
            <w:pPr/>
          </w:p>
        </w:tc>
        <w:tc>
          <w:tcPr>
            <w:tcW w:w="984" w:type="dxa"/>
            <w:vMerge/>
            <w:shd w:val="clear" w:color="auto" w:fill="D9D9D9"/>
          </w:tcPr>
          <w:p>
            <w:pPr/>
          </w:p>
        </w:tc>
        <w:tc>
          <w:tcPr>
            <w:tcW w:w="1277" w:type="dxa"/>
            <w:shd w:val="clear" w:color="auto" w:fill="D9D9D9"/>
          </w:tcPr>
          <w:p>
            <w:pPr>
              <w:pStyle w:val="TableParagraph"/>
              <w:spacing w:line="240" w:lineRule="auto"/>
              <w:ind w:left="0"/>
              <w:rPr>
                <w:b/>
                <w:sz w:val="20"/>
              </w:rPr>
            </w:pPr>
          </w:p>
          <w:p>
            <w:pPr>
              <w:pStyle w:val="TableParagraph"/>
              <w:spacing w:line="240" w:lineRule="auto" w:before="172"/>
              <w:ind w:right="94"/>
              <w:rPr>
                <w:b/>
                <w:sz w:val="18"/>
              </w:rPr>
            </w:pPr>
            <w:r>
              <w:rPr>
                <w:b/>
                <w:sz w:val="18"/>
              </w:rPr>
              <w:t>Measured at Tx Device</w:t>
            </w:r>
          </w:p>
        </w:tc>
        <w:tc>
          <w:tcPr>
            <w:tcW w:w="1121" w:type="dxa"/>
            <w:shd w:val="clear" w:color="auto" w:fill="D9D9D9"/>
          </w:tcPr>
          <w:p>
            <w:pPr>
              <w:pStyle w:val="TableParagraph"/>
              <w:spacing w:line="240" w:lineRule="auto"/>
              <w:ind w:left="0"/>
              <w:rPr>
                <w:b/>
                <w:sz w:val="26"/>
              </w:rPr>
            </w:pPr>
          </w:p>
          <w:p>
            <w:pPr>
              <w:pStyle w:val="TableParagraph"/>
              <w:tabs>
                <w:tab w:pos="779" w:val="left" w:leader="none"/>
              </w:tabs>
              <w:spacing w:line="240" w:lineRule="auto"/>
              <w:ind w:right="99"/>
              <w:rPr>
                <w:b/>
                <w:sz w:val="18"/>
              </w:rPr>
            </w:pPr>
            <w:r>
              <w:rPr>
                <w:b/>
                <w:sz w:val="18"/>
              </w:rPr>
              <w:t>Measured at</w:t>
              <w:tab/>
              <w:t>Rx</w:t>
            </w:r>
          </w:p>
          <w:p>
            <w:pPr>
              <w:pStyle w:val="TableParagraph"/>
              <w:spacing w:line="240" w:lineRule="auto" w:before="1"/>
              <w:rPr>
                <w:b/>
                <w:sz w:val="18"/>
              </w:rPr>
            </w:pPr>
            <w:r>
              <w:rPr>
                <w:b/>
                <w:sz w:val="18"/>
              </w:rPr>
              <w:t>Device</w:t>
            </w:r>
          </w:p>
        </w:tc>
        <w:tc>
          <w:tcPr>
            <w:tcW w:w="1129" w:type="dxa"/>
            <w:shd w:val="clear" w:color="auto" w:fill="D9D9D9"/>
          </w:tcPr>
          <w:p>
            <w:pPr>
              <w:pStyle w:val="TableParagraph"/>
              <w:spacing w:line="240" w:lineRule="auto"/>
              <w:ind w:left="0"/>
              <w:rPr>
                <w:b/>
                <w:sz w:val="26"/>
              </w:rPr>
            </w:pPr>
          </w:p>
          <w:p>
            <w:pPr>
              <w:pStyle w:val="TableParagraph"/>
              <w:tabs>
                <w:tab w:pos="785" w:val="left" w:leader="none"/>
              </w:tabs>
              <w:spacing w:line="240" w:lineRule="auto"/>
              <w:ind w:right="102"/>
              <w:rPr>
                <w:b/>
                <w:sz w:val="18"/>
              </w:rPr>
            </w:pPr>
            <w:r>
              <w:rPr>
                <w:b/>
                <w:sz w:val="18"/>
              </w:rPr>
              <w:t>Calculated at</w:t>
              <w:tab/>
              <w:t>Rx</w:t>
            </w:r>
          </w:p>
          <w:p>
            <w:pPr>
              <w:pStyle w:val="TableParagraph"/>
              <w:spacing w:line="240" w:lineRule="auto" w:before="1"/>
              <w:rPr>
                <w:b/>
                <w:sz w:val="18"/>
              </w:rPr>
            </w:pPr>
            <w:r>
              <w:rPr>
                <w:b/>
                <w:sz w:val="18"/>
              </w:rPr>
              <w:t>Device</w:t>
            </w:r>
          </w:p>
        </w:tc>
        <w:tc>
          <w:tcPr>
            <w:tcW w:w="1126" w:type="dxa"/>
            <w:shd w:val="clear" w:color="auto" w:fill="D9D9D9"/>
          </w:tcPr>
          <w:p>
            <w:pPr>
              <w:pStyle w:val="TableParagraph"/>
              <w:spacing w:line="240" w:lineRule="auto"/>
              <w:ind w:left="0"/>
              <w:rPr>
                <w:b/>
                <w:sz w:val="26"/>
              </w:rPr>
            </w:pPr>
          </w:p>
          <w:p>
            <w:pPr>
              <w:pStyle w:val="TableParagraph"/>
              <w:tabs>
                <w:tab w:pos="782" w:val="left" w:leader="none"/>
              </w:tabs>
              <w:spacing w:line="240" w:lineRule="auto"/>
              <w:ind w:left="100" w:right="102"/>
              <w:rPr>
                <w:b/>
                <w:sz w:val="18"/>
              </w:rPr>
            </w:pPr>
            <w:r>
              <w:rPr>
                <w:b/>
                <w:sz w:val="18"/>
              </w:rPr>
              <w:t>Calculated at</w:t>
              <w:tab/>
              <w:t>Rx</w:t>
            </w:r>
          </w:p>
          <w:p>
            <w:pPr>
              <w:pStyle w:val="TableParagraph"/>
              <w:spacing w:line="240" w:lineRule="auto" w:before="1"/>
              <w:ind w:left="100"/>
              <w:rPr>
                <w:b/>
                <w:sz w:val="18"/>
              </w:rPr>
            </w:pPr>
            <w:r>
              <w:rPr>
                <w:b/>
                <w:sz w:val="18"/>
              </w:rPr>
              <w:t>Device</w:t>
            </w:r>
          </w:p>
        </w:tc>
        <w:tc>
          <w:tcPr>
            <w:tcW w:w="1128" w:type="dxa"/>
            <w:shd w:val="clear" w:color="auto" w:fill="D9D9D9"/>
          </w:tcPr>
          <w:p>
            <w:pPr>
              <w:pStyle w:val="TableParagraph"/>
              <w:spacing w:line="240" w:lineRule="auto"/>
              <w:ind w:left="0"/>
              <w:rPr>
                <w:b/>
                <w:sz w:val="26"/>
              </w:rPr>
            </w:pPr>
          </w:p>
          <w:p>
            <w:pPr>
              <w:pStyle w:val="TableParagraph"/>
              <w:tabs>
                <w:tab w:pos="785" w:val="left" w:leader="none"/>
              </w:tabs>
              <w:spacing w:line="240" w:lineRule="auto"/>
              <w:ind w:right="102"/>
              <w:rPr>
                <w:b/>
                <w:sz w:val="18"/>
              </w:rPr>
            </w:pPr>
            <w:r>
              <w:rPr>
                <w:b/>
                <w:sz w:val="18"/>
              </w:rPr>
              <w:t>Calculated at</w:t>
              <w:tab/>
              <w:t>Rx</w:t>
            </w:r>
          </w:p>
          <w:p>
            <w:pPr>
              <w:pStyle w:val="TableParagraph"/>
              <w:spacing w:line="240" w:lineRule="auto" w:before="1"/>
              <w:rPr>
                <w:b/>
                <w:sz w:val="18"/>
              </w:rPr>
            </w:pPr>
            <w:r>
              <w:rPr>
                <w:b/>
                <w:sz w:val="18"/>
              </w:rPr>
              <w:t>Device</w:t>
            </w:r>
          </w:p>
        </w:tc>
      </w:tr>
      <w:tr>
        <w:trPr>
          <w:trHeight w:val="300" w:hRule="exact"/>
        </w:trPr>
        <w:tc>
          <w:tcPr>
            <w:tcW w:w="1291" w:type="dxa"/>
          </w:tcPr>
          <w:p>
            <w:pPr>
              <w:pStyle w:val="TableParagraph"/>
              <w:rPr>
                <w:sz w:val="18"/>
              </w:rPr>
            </w:pPr>
            <w:r>
              <w:rPr>
                <w:sz w:val="18"/>
              </w:rPr>
              <w:t>0.05</w:t>
            </w:r>
          </w:p>
        </w:tc>
        <w:tc>
          <w:tcPr>
            <w:tcW w:w="1297" w:type="dxa"/>
          </w:tcPr>
          <w:p>
            <w:pPr>
              <w:pStyle w:val="TableParagraph"/>
              <w:rPr>
                <w:sz w:val="18"/>
              </w:rPr>
            </w:pPr>
            <w:r>
              <w:rPr>
                <w:sz w:val="18"/>
              </w:rPr>
              <w:t>5855.025</w:t>
            </w:r>
          </w:p>
        </w:tc>
        <w:tc>
          <w:tcPr>
            <w:tcW w:w="984" w:type="dxa"/>
          </w:tcPr>
          <w:p>
            <w:pPr>
              <w:pStyle w:val="TableParagraph"/>
              <w:ind w:left="100"/>
              <w:rPr>
                <w:sz w:val="18"/>
              </w:rPr>
            </w:pPr>
            <w:r>
              <w:rPr>
                <w:sz w:val="18"/>
              </w:rPr>
              <w:t>Rx</w:t>
            </w:r>
          </w:p>
        </w:tc>
        <w:tc>
          <w:tcPr>
            <w:tcW w:w="1277" w:type="dxa"/>
          </w:tcPr>
          <w:p>
            <w:pPr>
              <w:pStyle w:val="TableParagraph"/>
              <w:rPr>
                <w:sz w:val="18"/>
              </w:rPr>
            </w:pPr>
            <w:r>
              <w:rPr>
                <w:sz w:val="18"/>
              </w:rPr>
              <w:t>1000</w:t>
            </w:r>
          </w:p>
        </w:tc>
        <w:tc>
          <w:tcPr>
            <w:tcW w:w="1121" w:type="dxa"/>
          </w:tcPr>
          <w:p>
            <w:pPr>
              <w:pStyle w:val="TableParagraph"/>
              <w:rPr>
                <w:sz w:val="18"/>
              </w:rPr>
            </w:pPr>
            <w:r>
              <w:rPr>
                <w:sz w:val="18"/>
              </w:rPr>
              <w:t>183</w:t>
            </w:r>
          </w:p>
        </w:tc>
        <w:tc>
          <w:tcPr>
            <w:tcW w:w="1129" w:type="dxa"/>
          </w:tcPr>
          <w:p>
            <w:pPr>
              <w:pStyle w:val="TableParagraph"/>
              <w:rPr>
                <w:sz w:val="18"/>
              </w:rPr>
            </w:pPr>
            <w:r>
              <w:rPr>
                <w:sz w:val="18"/>
              </w:rPr>
              <w:t>81.7</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5" w:hRule="exact"/>
        </w:trPr>
        <w:tc>
          <w:tcPr>
            <w:tcW w:w="1291" w:type="dxa"/>
          </w:tcPr>
          <w:p>
            <w:pPr>
              <w:pStyle w:val="TableParagraph"/>
              <w:rPr>
                <w:sz w:val="18"/>
              </w:rPr>
            </w:pPr>
            <w:r>
              <w:rPr>
                <w:sz w:val="18"/>
              </w:rPr>
              <w:t>0.1</w:t>
            </w:r>
          </w:p>
        </w:tc>
        <w:tc>
          <w:tcPr>
            <w:tcW w:w="1297" w:type="dxa"/>
          </w:tcPr>
          <w:p>
            <w:pPr>
              <w:pStyle w:val="TableParagraph"/>
              <w:rPr>
                <w:sz w:val="18"/>
              </w:rPr>
            </w:pPr>
            <w:r>
              <w:rPr>
                <w:sz w:val="18"/>
              </w:rPr>
              <w:t>5855.05</w:t>
            </w:r>
          </w:p>
        </w:tc>
        <w:tc>
          <w:tcPr>
            <w:tcW w:w="984" w:type="dxa"/>
          </w:tcPr>
          <w:p>
            <w:pPr>
              <w:pStyle w:val="TableParagraph"/>
              <w:ind w:left="100"/>
              <w:rPr>
                <w:sz w:val="18"/>
              </w:rPr>
            </w:pPr>
            <w:r>
              <w:rPr>
                <w:sz w:val="18"/>
              </w:rPr>
              <w:t>Rx</w:t>
            </w:r>
          </w:p>
        </w:tc>
        <w:tc>
          <w:tcPr>
            <w:tcW w:w="1277" w:type="dxa"/>
          </w:tcPr>
          <w:p>
            <w:pPr>
              <w:pStyle w:val="TableParagraph"/>
              <w:rPr>
                <w:sz w:val="18"/>
              </w:rPr>
            </w:pPr>
            <w:r>
              <w:rPr>
                <w:sz w:val="18"/>
              </w:rPr>
              <w:t>1000</w:t>
            </w:r>
          </w:p>
        </w:tc>
        <w:tc>
          <w:tcPr>
            <w:tcW w:w="1121" w:type="dxa"/>
          </w:tcPr>
          <w:p>
            <w:pPr>
              <w:pStyle w:val="TableParagraph"/>
              <w:rPr>
                <w:sz w:val="18"/>
              </w:rPr>
            </w:pPr>
            <w:r>
              <w:rPr>
                <w:sz w:val="18"/>
              </w:rPr>
              <w:t>269</w:t>
            </w:r>
          </w:p>
        </w:tc>
        <w:tc>
          <w:tcPr>
            <w:tcW w:w="1129" w:type="dxa"/>
          </w:tcPr>
          <w:p>
            <w:pPr>
              <w:pStyle w:val="TableParagraph"/>
              <w:rPr>
                <w:sz w:val="18"/>
              </w:rPr>
            </w:pPr>
            <w:r>
              <w:rPr>
                <w:sz w:val="18"/>
              </w:rPr>
              <w:t>73.1</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4" w:hRule="exact"/>
        </w:trPr>
        <w:tc>
          <w:tcPr>
            <w:tcW w:w="1291" w:type="dxa"/>
          </w:tcPr>
          <w:p>
            <w:pPr>
              <w:pStyle w:val="TableParagraph"/>
              <w:rPr>
                <w:sz w:val="18"/>
              </w:rPr>
            </w:pPr>
            <w:r>
              <w:rPr>
                <w:sz w:val="18"/>
              </w:rPr>
              <w:t>0.2</w:t>
            </w:r>
          </w:p>
        </w:tc>
        <w:tc>
          <w:tcPr>
            <w:tcW w:w="1297" w:type="dxa"/>
          </w:tcPr>
          <w:p>
            <w:pPr>
              <w:pStyle w:val="TableParagraph"/>
              <w:rPr>
                <w:sz w:val="18"/>
              </w:rPr>
            </w:pPr>
            <w:r>
              <w:rPr>
                <w:sz w:val="18"/>
              </w:rPr>
              <w:t>5855.1</w:t>
            </w:r>
          </w:p>
        </w:tc>
        <w:tc>
          <w:tcPr>
            <w:tcW w:w="984" w:type="dxa"/>
          </w:tcPr>
          <w:p>
            <w:pPr>
              <w:pStyle w:val="TableParagraph"/>
              <w:ind w:left="100"/>
              <w:rPr>
                <w:sz w:val="18"/>
              </w:rPr>
            </w:pPr>
            <w:r>
              <w:rPr>
                <w:sz w:val="18"/>
              </w:rPr>
              <w:t>Rx</w:t>
            </w:r>
          </w:p>
        </w:tc>
        <w:tc>
          <w:tcPr>
            <w:tcW w:w="1277" w:type="dxa"/>
          </w:tcPr>
          <w:p>
            <w:pPr>
              <w:pStyle w:val="TableParagraph"/>
              <w:rPr>
                <w:sz w:val="18"/>
              </w:rPr>
            </w:pPr>
            <w:r>
              <w:rPr>
                <w:sz w:val="18"/>
              </w:rPr>
              <w:t>1000</w:t>
            </w:r>
          </w:p>
        </w:tc>
        <w:tc>
          <w:tcPr>
            <w:tcW w:w="1121" w:type="dxa"/>
          </w:tcPr>
          <w:p>
            <w:pPr>
              <w:pStyle w:val="TableParagraph"/>
              <w:rPr>
                <w:sz w:val="18"/>
              </w:rPr>
            </w:pPr>
            <w:r>
              <w:rPr>
                <w:sz w:val="18"/>
              </w:rPr>
              <w:t>437</w:t>
            </w:r>
          </w:p>
        </w:tc>
        <w:tc>
          <w:tcPr>
            <w:tcW w:w="1129" w:type="dxa"/>
          </w:tcPr>
          <w:p>
            <w:pPr>
              <w:pStyle w:val="TableParagraph"/>
              <w:rPr>
                <w:sz w:val="18"/>
              </w:rPr>
            </w:pPr>
            <w:r>
              <w:rPr>
                <w:sz w:val="18"/>
              </w:rPr>
              <w:t>56.3</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4" w:hRule="exact"/>
        </w:trPr>
        <w:tc>
          <w:tcPr>
            <w:tcW w:w="1291" w:type="dxa"/>
          </w:tcPr>
          <w:p>
            <w:pPr>
              <w:pStyle w:val="TableParagraph"/>
              <w:rPr>
                <w:sz w:val="18"/>
              </w:rPr>
            </w:pPr>
            <w:r>
              <w:rPr>
                <w:sz w:val="18"/>
              </w:rPr>
              <w:t>0.3</w:t>
            </w:r>
          </w:p>
        </w:tc>
        <w:tc>
          <w:tcPr>
            <w:tcW w:w="1297" w:type="dxa"/>
          </w:tcPr>
          <w:p>
            <w:pPr>
              <w:pStyle w:val="TableParagraph"/>
              <w:rPr>
                <w:sz w:val="18"/>
              </w:rPr>
            </w:pPr>
            <w:r>
              <w:rPr>
                <w:sz w:val="18"/>
              </w:rPr>
              <w:t>5855.15</w:t>
            </w:r>
          </w:p>
        </w:tc>
        <w:tc>
          <w:tcPr>
            <w:tcW w:w="984" w:type="dxa"/>
          </w:tcPr>
          <w:p>
            <w:pPr>
              <w:pStyle w:val="TableParagraph"/>
              <w:ind w:left="100"/>
              <w:rPr>
                <w:sz w:val="18"/>
              </w:rPr>
            </w:pPr>
            <w:r>
              <w:rPr>
                <w:sz w:val="18"/>
              </w:rPr>
              <w:t>Rx</w:t>
            </w:r>
          </w:p>
        </w:tc>
        <w:tc>
          <w:tcPr>
            <w:tcW w:w="1277" w:type="dxa"/>
          </w:tcPr>
          <w:p>
            <w:pPr>
              <w:pStyle w:val="TableParagraph"/>
              <w:rPr>
                <w:sz w:val="18"/>
              </w:rPr>
            </w:pPr>
            <w:r>
              <w:rPr>
                <w:sz w:val="18"/>
              </w:rPr>
              <w:t>1000</w:t>
            </w:r>
          </w:p>
        </w:tc>
        <w:tc>
          <w:tcPr>
            <w:tcW w:w="1121" w:type="dxa"/>
          </w:tcPr>
          <w:p>
            <w:pPr>
              <w:pStyle w:val="TableParagraph"/>
              <w:rPr>
                <w:sz w:val="18"/>
              </w:rPr>
            </w:pPr>
            <w:r>
              <w:rPr>
                <w:sz w:val="18"/>
              </w:rPr>
              <w:t>397</w:t>
            </w:r>
          </w:p>
        </w:tc>
        <w:tc>
          <w:tcPr>
            <w:tcW w:w="1129" w:type="dxa"/>
          </w:tcPr>
          <w:p>
            <w:pPr>
              <w:pStyle w:val="TableParagraph"/>
              <w:rPr>
                <w:sz w:val="18"/>
              </w:rPr>
            </w:pPr>
            <w:r>
              <w:rPr>
                <w:sz w:val="18"/>
              </w:rPr>
              <w:t>60.3</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4" w:hRule="exact"/>
        </w:trPr>
        <w:tc>
          <w:tcPr>
            <w:tcW w:w="1291" w:type="dxa"/>
          </w:tcPr>
          <w:p>
            <w:pPr>
              <w:pStyle w:val="TableParagraph"/>
              <w:rPr>
                <w:sz w:val="18"/>
              </w:rPr>
            </w:pPr>
            <w:r>
              <w:rPr>
                <w:sz w:val="18"/>
              </w:rPr>
              <w:t>0.4</w:t>
            </w:r>
          </w:p>
        </w:tc>
        <w:tc>
          <w:tcPr>
            <w:tcW w:w="1297" w:type="dxa"/>
          </w:tcPr>
          <w:p>
            <w:pPr>
              <w:pStyle w:val="TableParagraph"/>
              <w:rPr>
                <w:sz w:val="18"/>
              </w:rPr>
            </w:pPr>
            <w:r>
              <w:rPr>
                <w:sz w:val="18"/>
              </w:rPr>
              <w:t>5855.2</w:t>
            </w:r>
          </w:p>
        </w:tc>
        <w:tc>
          <w:tcPr>
            <w:tcW w:w="984" w:type="dxa"/>
          </w:tcPr>
          <w:p>
            <w:pPr>
              <w:pStyle w:val="TableParagraph"/>
              <w:ind w:left="100"/>
              <w:rPr>
                <w:sz w:val="18"/>
              </w:rPr>
            </w:pPr>
            <w:r>
              <w:rPr>
                <w:sz w:val="18"/>
              </w:rPr>
              <w:t>Rx</w:t>
            </w:r>
          </w:p>
        </w:tc>
        <w:tc>
          <w:tcPr>
            <w:tcW w:w="1277" w:type="dxa"/>
          </w:tcPr>
          <w:p>
            <w:pPr>
              <w:pStyle w:val="TableParagraph"/>
              <w:rPr>
                <w:sz w:val="18"/>
              </w:rPr>
            </w:pPr>
            <w:r>
              <w:rPr>
                <w:sz w:val="18"/>
              </w:rPr>
              <w:t>1000</w:t>
            </w:r>
          </w:p>
        </w:tc>
        <w:tc>
          <w:tcPr>
            <w:tcW w:w="1121" w:type="dxa"/>
          </w:tcPr>
          <w:p>
            <w:pPr>
              <w:pStyle w:val="TableParagraph"/>
              <w:rPr>
                <w:sz w:val="18"/>
              </w:rPr>
            </w:pPr>
            <w:r>
              <w:rPr>
                <w:sz w:val="18"/>
              </w:rPr>
              <w:t>370</w:t>
            </w:r>
          </w:p>
        </w:tc>
        <w:tc>
          <w:tcPr>
            <w:tcW w:w="1129" w:type="dxa"/>
          </w:tcPr>
          <w:p>
            <w:pPr>
              <w:pStyle w:val="TableParagraph"/>
              <w:rPr>
                <w:sz w:val="18"/>
              </w:rPr>
            </w:pPr>
            <w:r>
              <w:rPr>
                <w:sz w:val="18"/>
              </w:rPr>
              <w:t>63</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4" w:hRule="exact"/>
        </w:trPr>
        <w:tc>
          <w:tcPr>
            <w:tcW w:w="1291" w:type="dxa"/>
          </w:tcPr>
          <w:p>
            <w:pPr>
              <w:pStyle w:val="TableParagraph"/>
              <w:rPr>
                <w:sz w:val="18"/>
              </w:rPr>
            </w:pPr>
            <w:r>
              <w:rPr>
                <w:sz w:val="18"/>
              </w:rPr>
              <w:t>0.5</w:t>
            </w:r>
          </w:p>
        </w:tc>
        <w:tc>
          <w:tcPr>
            <w:tcW w:w="1297" w:type="dxa"/>
          </w:tcPr>
          <w:p>
            <w:pPr>
              <w:pStyle w:val="TableParagraph"/>
              <w:rPr>
                <w:sz w:val="18"/>
              </w:rPr>
            </w:pPr>
            <w:r>
              <w:rPr>
                <w:sz w:val="18"/>
              </w:rPr>
              <w:t>5855.25</w:t>
            </w:r>
          </w:p>
        </w:tc>
        <w:tc>
          <w:tcPr>
            <w:tcW w:w="984" w:type="dxa"/>
          </w:tcPr>
          <w:p>
            <w:pPr>
              <w:pStyle w:val="TableParagraph"/>
              <w:ind w:left="100"/>
              <w:rPr>
                <w:sz w:val="18"/>
              </w:rPr>
            </w:pPr>
            <w:r>
              <w:rPr>
                <w:sz w:val="18"/>
              </w:rPr>
              <w:t>Rx</w:t>
            </w:r>
          </w:p>
        </w:tc>
        <w:tc>
          <w:tcPr>
            <w:tcW w:w="1277" w:type="dxa"/>
          </w:tcPr>
          <w:p>
            <w:pPr>
              <w:pStyle w:val="TableParagraph"/>
              <w:rPr>
                <w:sz w:val="18"/>
              </w:rPr>
            </w:pPr>
            <w:r>
              <w:rPr>
                <w:sz w:val="18"/>
              </w:rPr>
              <w:t>1000</w:t>
            </w:r>
          </w:p>
        </w:tc>
        <w:tc>
          <w:tcPr>
            <w:tcW w:w="1121" w:type="dxa"/>
          </w:tcPr>
          <w:p>
            <w:pPr>
              <w:pStyle w:val="TableParagraph"/>
              <w:rPr>
                <w:sz w:val="18"/>
              </w:rPr>
            </w:pPr>
            <w:r>
              <w:rPr>
                <w:sz w:val="18"/>
              </w:rPr>
              <w:t>362</w:t>
            </w:r>
          </w:p>
        </w:tc>
        <w:tc>
          <w:tcPr>
            <w:tcW w:w="1129" w:type="dxa"/>
          </w:tcPr>
          <w:p>
            <w:pPr>
              <w:pStyle w:val="TableParagraph"/>
              <w:rPr>
                <w:sz w:val="18"/>
              </w:rPr>
            </w:pPr>
            <w:r>
              <w:rPr>
                <w:sz w:val="18"/>
              </w:rPr>
              <w:t>63.8</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4" w:hRule="exact"/>
        </w:trPr>
        <w:tc>
          <w:tcPr>
            <w:tcW w:w="1291" w:type="dxa"/>
          </w:tcPr>
          <w:p>
            <w:pPr>
              <w:pStyle w:val="TableParagraph"/>
              <w:rPr>
                <w:sz w:val="18"/>
              </w:rPr>
            </w:pPr>
            <w:r>
              <w:rPr>
                <w:sz w:val="18"/>
              </w:rPr>
              <w:t>0.6</w:t>
            </w:r>
          </w:p>
        </w:tc>
        <w:tc>
          <w:tcPr>
            <w:tcW w:w="1297" w:type="dxa"/>
          </w:tcPr>
          <w:p>
            <w:pPr>
              <w:pStyle w:val="TableParagraph"/>
              <w:rPr>
                <w:sz w:val="18"/>
              </w:rPr>
            </w:pPr>
            <w:r>
              <w:rPr>
                <w:sz w:val="18"/>
              </w:rPr>
              <w:t>5855.3</w:t>
            </w:r>
          </w:p>
        </w:tc>
        <w:tc>
          <w:tcPr>
            <w:tcW w:w="984" w:type="dxa"/>
          </w:tcPr>
          <w:p>
            <w:pPr>
              <w:pStyle w:val="TableParagraph"/>
              <w:ind w:left="100"/>
              <w:rPr>
                <w:sz w:val="18"/>
              </w:rPr>
            </w:pPr>
            <w:r>
              <w:rPr>
                <w:sz w:val="18"/>
              </w:rPr>
              <w:t>Rx</w:t>
            </w:r>
          </w:p>
        </w:tc>
        <w:tc>
          <w:tcPr>
            <w:tcW w:w="1277" w:type="dxa"/>
          </w:tcPr>
          <w:p>
            <w:pPr>
              <w:pStyle w:val="TableParagraph"/>
              <w:rPr>
                <w:sz w:val="18"/>
              </w:rPr>
            </w:pPr>
            <w:r>
              <w:rPr>
                <w:sz w:val="18"/>
              </w:rPr>
              <w:t>1000</w:t>
            </w:r>
          </w:p>
        </w:tc>
        <w:tc>
          <w:tcPr>
            <w:tcW w:w="1121" w:type="dxa"/>
          </w:tcPr>
          <w:p>
            <w:pPr>
              <w:pStyle w:val="TableParagraph"/>
              <w:rPr>
                <w:sz w:val="18"/>
              </w:rPr>
            </w:pPr>
            <w:r>
              <w:rPr>
                <w:sz w:val="18"/>
              </w:rPr>
              <w:t>376</w:t>
            </w:r>
          </w:p>
        </w:tc>
        <w:tc>
          <w:tcPr>
            <w:tcW w:w="1129" w:type="dxa"/>
          </w:tcPr>
          <w:p>
            <w:pPr>
              <w:pStyle w:val="TableParagraph"/>
              <w:rPr>
                <w:sz w:val="18"/>
              </w:rPr>
            </w:pPr>
            <w:r>
              <w:rPr>
                <w:sz w:val="18"/>
              </w:rPr>
              <w:t>62.4</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4" w:hRule="exact"/>
        </w:trPr>
        <w:tc>
          <w:tcPr>
            <w:tcW w:w="1291" w:type="dxa"/>
          </w:tcPr>
          <w:p>
            <w:pPr>
              <w:pStyle w:val="TableParagraph"/>
              <w:rPr>
                <w:sz w:val="18"/>
              </w:rPr>
            </w:pPr>
            <w:r>
              <w:rPr>
                <w:sz w:val="18"/>
              </w:rPr>
              <w:t>0.7</w:t>
            </w:r>
          </w:p>
        </w:tc>
        <w:tc>
          <w:tcPr>
            <w:tcW w:w="1297" w:type="dxa"/>
          </w:tcPr>
          <w:p>
            <w:pPr>
              <w:pStyle w:val="TableParagraph"/>
              <w:rPr>
                <w:sz w:val="18"/>
              </w:rPr>
            </w:pPr>
            <w:r>
              <w:rPr>
                <w:sz w:val="18"/>
              </w:rPr>
              <w:t>5855.35</w:t>
            </w:r>
          </w:p>
        </w:tc>
        <w:tc>
          <w:tcPr>
            <w:tcW w:w="984" w:type="dxa"/>
          </w:tcPr>
          <w:p>
            <w:pPr>
              <w:pStyle w:val="TableParagraph"/>
              <w:ind w:left="100"/>
              <w:rPr>
                <w:sz w:val="18"/>
              </w:rPr>
            </w:pPr>
            <w:r>
              <w:rPr>
                <w:sz w:val="18"/>
              </w:rPr>
              <w:t>Rx</w:t>
            </w:r>
          </w:p>
        </w:tc>
        <w:tc>
          <w:tcPr>
            <w:tcW w:w="1277" w:type="dxa"/>
          </w:tcPr>
          <w:p>
            <w:pPr>
              <w:pStyle w:val="TableParagraph"/>
              <w:rPr>
                <w:sz w:val="18"/>
              </w:rPr>
            </w:pPr>
            <w:r>
              <w:rPr>
                <w:sz w:val="18"/>
              </w:rPr>
              <w:t>1000</w:t>
            </w:r>
          </w:p>
        </w:tc>
        <w:tc>
          <w:tcPr>
            <w:tcW w:w="1121" w:type="dxa"/>
          </w:tcPr>
          <w:p>
            <w:pPr>
              <w:pStyle w:val="TableParagraph"/>
              <w:rPr>
                <w:sz w:val="18"/>
              </w:rPr>
            </w:pPr>
            <w:r>
              <w:rPr>
                <w:sz w:val="18"/>
              </w:rPr>
              <w:t>372</w:t>
            </w:r>
          </w:p>
        </w:tc>
        <w:tc>
          <w:tcPr>
            <w:tcW w:w="1129" w:type="dxa"/>
          </w:tcPr>
          <w:p>
            <w:pPr>
              <w:pStyle w:val="TableParagraph"/>
              <w:rPr>
                <w:sz w:val="18"/>
              </w:rPr>
            </w:pPr>
            <w:r>
              <w:rPr>
                <w:sz w:val="18"/>
              </w:rPr>
              <w:t>62.8</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4" w:hRule="exact"/>
        </w:trPr>
        <w:tc>
          <w:tcPr>
            <w:tcW w:w="1291" w:type="dxa"/>
          </w:tcPr>
          <w:p>
            <w:pPr>
              <w:pStyle w:val="TableParagraph"/>
              <w:rPr>
                <w:sz w:val="18"/>
              </w:rPr>
            </w:pPr>
            <w:r>
              <w:rPr>
                <w:sz w:val="18"/>
              </w:rPr>
              <w:t>0.8</w:t>
            </w:r>
          </w:p>
        </w:tc>
        <w:tc>
          <w:tcPr>
            <w:tcW w:w="1297" w:type="dxa"/>
          </w:tcPr>
          <w:p>
            <w:pPr>
              <w:pStyle w:val="TableParagraph"/>
              <w:rPr>
                <w:sz w:val="18"/>
              </w:rPr>
            </w:pPr>
            <w:r>
              <w:rPr>
                <w:sz w:val="18"/>
              </w:rPr>
              <w:t>5855.4</w:t>
            </w:r>
          </w:p>
        </w:tc>
        <w:tc>
          <w:tcPr>
            <w:tcW w:w="984" w:type="dxa"/>
          </w:tcPr>
          <w:p>
            <w:pPr>
              <w:pStyle w:val="TableParagraph"/>
              <w:ind w:left="100"/>
              <w:rPr>
                <w:sz w:val="18"/>
              </w:rPr>
            </w:pPr>
            <w:r>
              <w:rPr>
                <w:sz w:val="18"/>
              </w:rPr>
              <w:t>Rx</w:t>
            </w:r>
          </w:p>
        </w:tc>
        <w:tc>
          <w:tcPr>
            <w:tcW w:w="1277" w:type="dxa"/>
          </w:tcPr>
          <w:p>
            <w:pPr>
              <w:pStyle w:val="TableParagraph"/>
              <w:rPr>
                <w:sz w:val="18"/>
              </w:rPr>
            </w:pPr>
            <w:r>
              <w:rPr>
                <w:sz w:val="18"/>
              </w:rPr>
              <w:t>1000</w:t>
            </w:r>
          </w:p>
        </w:tc>
        <w:tc>
          <w:tcPr>
            <w:tcW w:w="1121" w:type="dxa"/>
          </w:tcPr>
          <w:p>
            <w:pPr>
              <w:pStyle w:val="TableParagraph"/>
              <w:rPr>
                <w:sz w:val="18"/>
              </w:rPr>
            </w:pPr>
            <w:r>
              <w:rPr>
                <w:sz w:val="18"/>
              </w:rPr>
              <w:t>336</w:t>
            </w:r>
          </w:p>
        </w:tc>
        <w:tc>
          <w:tcPr>
            <w:tcW w:w="1129" w:type="dxa"/>
          </w:tcPr>
          <w:p>
            <w:pPr>
              <w:pStyle w:val="TableParagraph"/>
              <w:rPr>
                <w:sz w:val="18"/>
              </w:rPr>
            </w:pPr>
            <w:r>
              <w:rPr>
                <w:sz w:val="18"/>
              </w:rPr>
              <w:t>66.4</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4" w:hRule="exact"/>
        </w:trPr>
        <w:tc>
          <w:tcPr>
            <w:tcW w:w="1291" w:type="dxa"/>
          </w:tcPr>
          <w:p>
            <w:pPr>
              <w:pStyle w:val="TableParagraph"/>
              <w:rPr>
                <w:sz w:val="18"/>
              </w:rPr>
            </w:pPr>
            <w:r>
              <w:rPr>
                <w:sz w:val="18"/>
              </w:rPr>
              <w:t>0.9</w:t>
            </w:r>
          </w:p>
        </w:tc>
        <w:tc>
          <w:tcPr>
            <w:tcW w:w="1297" w:type="dxa"/>
          </w:tcPr>
          <w:p>
            <w:pPr>
              <w:pStyle w:val="TableParagraph"/>
              <w:rPr>
                <w:sz w:val="18"/>
              </w:rPr>
            </w:pPr>
            <w:r>
              <w:rPr>
                <w:sz w:val="18"/>
              </w:rPr>
              <w:t>5855.45</w:t>
            </w:r>
          </w:p>
        </w:tc>
        <w:tc>
          <w:tcPr>
            <w:tcW w:w="984" w:type="dxa"/>
          </w:tcPr>
          <w:p>
            <w:pPr>
              <w:pStyle w:val="TableParagraph"/>
              <w:ind w:left="100"/>
              <w:rPr>
                <w:sz w:val="18"/>
              </w:rPr>
            </w:pPr>
            <w:r>
              <w:rPr>
                <w:sz w:val="18"/>
              </w:rPr>
              <w:t>Rx</w:t>
            </w:r>
          </w:p>
        </w:tc>
        <w:tc>
          <w:tcPr>
            <w:tcW w:w="1277" w:type="dxa"/>
          </w:tcPr>
          <w:p>
            <w:pPr>
              <w:pStyle w:val="TableParagraph"/>
              <w:rPr>
                <w:sz w:val="18"/>
              </w:rPr>
            </w:pPr>
            <w:r>
              <w:rPr>
                <w:sz w:val="18"/>
              </w:rPr>
              <w:t>1000</w:t>
            </w:r>
          </w:p>
        </w:tc>
        <w:tc>
          <w:tcPr>
            <w:tcW w:w="1121" w:type="dxa"/>
          </w:tcPr>
          <w:p>
            <w:pPr>
              <w:pStyle w:val="TableParagraph"/>
              <w:rPr>
                <w:sz w:val="18"/>
              </w:rPr>
            </w:pPr>
            <w:r>
              <w:rPr>
                <w:sz w:val="18"/>
              </w:rPr>
              <w:t>204</w:t>
            </w:r>
          </w:p>
        </w:tc>
        <w:tc>
          <w:tcPr>
            <w:tcW w:w="1129" w:type="dxa"/>
          </w:tcPr>
          <w:p>
            <w:pPr>
              <w:pStyle w:val="TableParagraph"/>
              <w:rPr>
                <w:sz w:val="18"/>
              </w:rPr>
            </w:pPr>
            <w:r>
              <w:rPr>
                <w:sz w:val="18"/>
              </w:rPr>
              <w:t>79.6</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4" w:hRule="exact"/>
        </w:trPr>
        <w:tc>
          <w:tcPr>
            <w:tcW w:w="1291" w:type="dxa"/>
          </w:tcPr>
          <w:p>
            <w:pPr>
              <w:pStyle w:val="TableParagraph"/>
              <w:rPr>
                <w:sz w:val="18"/>
              </w:rPr>
            </w:pPr>
            <w:r>
              <w:rPr>
                <w:w w:val="99"/>
                <w:sz w:val="18"/>
              </w:rPr>
              <w:t>1</w:t>
            </w:r>
          </w:p>
        </w:tc>
        <w:tc>
          <w:tcPr>
            <w:tcW w:w="1297" w:type="dxa"/>
          </w:tcPr>
          <w:p>
            <w:pPr>
              <w:pStyle w:val="TableParagraph"/>
              <w:rPr>
                <w:sz w:val="18"/>
              </w:rPr>
            </w:pPr>
            <w:r>
              <w:rPr>
                <w:sz w:val="18"/>
              </w:rPr>
              <w:t>5855.5</w:t>
            </w:r>
          </w:p>
        </w:tc>
        <w:tc>
          <w:tcPr>
            <w:tcW w:w="984" w:type="dxa"/>
          </w:tcPr>
          <w:p>
            <w:pPr>
              <w:pStyle w:val="TableParagraph"/>
              <w:ind w:left="100"/>
              <w:rPr>
                <w:sz w:val="18"/>
              </w:rPr>
            </w:pPr>
            <w:r>
              <w:rPr>
                <w:sz w:val="18"/>
              </w:rPr>
              <w:t>Rx</w:t>
            </w:r>
          </w:p>
        </w:tc>
        <w:tc>
          <w:tcPr>
            <w:tcW w:w="1277" w:type="dxa"/>
          </w:tcPr>
          <w:p>
            <w:pPr>
              <w:pStyle w:val="TableParagraph"/>
              <w:rPr>
                <w:sz w:val="18"/>
              </w:rPr>
            </w:pPr>
            <w:r>
              <w:rPr>
                <w:sz w:val="18"/>
              </w:rPr>
              <w:t>1000</w:t>
            </w:r>
          </w:p>
        </w:tc>
        <w:tc>
          <w:tcPr>
            <w:tcW w:w="1121" w:type="dxa"/>
          </w:tcPr>
          <w:p>
            <w:pPr>
              <w:pStyle w:val="TableParagraph"/>
              <w:rPr>
                <w:sz w:val="18"/>
              </w:rPr>
            </w:pPr>
            <w:r>
              <w:rPr>
                <w:w w:val="99"/>
                <w:sz w:val="18"/>
              </w:rPr>
              <w:t>9</w:t>
            </w:r>
          </w:p>
        </w:tc>
        <w:tc>
          <w:tcPr>
            <w:tcW w:w="1129" w:type="dxa"/>
          </w:tcPr>
          <w:p>
            <w:pPr>
              <w:pStyle w:val="TableParagraph"/>
              <w:rPr>
                <w:sz w:val="18"/>
              </w:rPr>
            </w:pPr>
            <w:r>
              <w:rPr>
                <w:sz w:val="18"/>
              </w:rPr>
              <w:t>99.1</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4" w:hRule="exact"/>
        </w:trPr>
        <w:tc>
          <w:tcPr>
            <w:tcW w:w="1291" w:type="dxa"/>
          </w:tcPr>
          <w:p>
            <w:pPr>
              <w:pStyle w:val="TableParagraph"/>
              <w:rPr>
                <w:sz w:val="18"/>
              </w:rPr>
            </w:pPr>
            <w:r>
              <w:rPr>
                <w:sz w:val="18"/>
              </w:rPr>
              <w:t>0.05</w:t>
            </w:r>
          </w:p>
        </w:tc>
        <w:tc>
          <w:tcPr>
            <w:tcW w:w="1297" w:type="dxa"/>
          </w:tcPr>
          <w:p>
            <w:pPr>
              <w:pStyle w:val="TableParagraph"/>
              <w:rPr>
                <w:sz w:val="18"/>
              </w:rPr>
            </w:pPr>
            <w:r>
              <w:rPr>
                <w:sz w:val="18"/>
              </w:rPr>
              <w:t>5855.025</w:t>
            </w:r>
          </w:p>
        </w:tc>
        <w:tc>
          <w:tcPr>
            <w:tcW w:w="984" w:type="dxa"/>
          </w:tcPr>
          <w:p>
            <w:pPr>
              <w:pStyle w:val="TableParagraph"/>
              <w:ind w:left="100"/>
              <w:rPr>
                <w:sz w:val="18"/>
              </w:rPr>
            </w:pPr>
            <w:r>
              <w:rPr>
                <w:sz w:val="18"/>
              </w:rPr>
              <w:t>Mid</w:t>
            </w:r>
          </w:p>
        </w:tc>
        <w:tc>
          <w:tcPr>
            <w:tcW w:w="1277" w:type="dxa"/>
          </w:tcPr>
          <w:p>
            <w:pPr>
              <w:pStyle w:val="TableParagraph"/>
              <w:rPr>
                <w:sz w:val="18"/>
              </w:rPr>
            </w:pPr>
            <w:r>
              <w:rPr>
                <w:sz w:val="18"/>
              </w:rPr>
              <w:t>1000</w:t>
            </w:r>
          </w:p>
        </w:tc>
        <w:tc>
          <w:tcPr>
            <w:tcW w:w="1121" w:type="dxa"/>
          </w:tcPr>
          <w:p>
            <w:pPr>
              <w:pStyle w:val="TableParagraph"/>
              <w:rPr>
                <w:sz w:val="18"/>
              </w:rPr>
            </w:pPr>
            <w:r>
              <w:rPr>
                <w:w w:val="99"/>
                <w:sz w:val="18"/>
              </w:rPr>
              <w:t>0</w:t>
            </w:r>
          </w:p>
        </w:tc>
        <w:tc>
          <w:tcPr>
            <w:tcW w:w="1129" w:type="dxa"/>
          </w:tcPr>
          <w:p>
            <w:pPr>
              <w:pStyle w:val="TableParagraph"/>
              <w:rPr>
                <w:sz w:val="18"/>
              </w:rPr>
            </w:pPr>
            <w:r>
              <w:rPr>
                <w:sz w:val="18"/>
              </w:rPr>
              <w:t>100</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4" w:hRule="exact"/>
        </w:trPr>
        <w:tc>
          <w:tcPr>
            <w:tcW w:w="1291" w:type="dxa"/>
          </w:tcPr>
          <w:p>
            <w:pPr>
              <w:pStyle w:val="TableParagraph"/>
              <w:spacing w:line="207" w:lineRule="exact"/>
              <w:rPr>
                <w:sz w:val="18"/>
              </w:rPr>
            </w:pPr>
            <w:r>
              <w:rPr>
                <w:sz w:val="18"/>
              </w:rPr>
              <w:t>0.1</w:t>
            </w:r>
          </w:p>
        </w:tc>
        <w:tc>
          <w:tcPr>
            <w:tcW w:w="1297" w:type="dxa"/>
          </w:tcPr>
          <w:p>
            <w:pPr>
              <w:pStyle w:val="TableParagraph"/>
              <w:spacing w:line="207" w:lineRule="exact"/>
              <w:rPr>
                <w:sz w:val="18"/>
              </w:rPr>
            </w:pPr>
            <w:r>
              <w:rPr>
                <w:sz w:val="18"/>
              </w:rPr>
              <w:t>5855.05</w:t>
            </w:r>
          </w:p>
        </w:tc>
        <w:tc>
          <w:tcPr>
            <w:tcW w:w="984" w:type="dxa"/>
          </w:tcPr>
          <w:p>
            <w:pPr>
              <w:pStyle w:val="TableParagraph"/>
              <w:spacing w:line="207" w:lineRule="exact"/>
              <w:ind w:left="100"/>
              <w:rPr>
                <w:sz w:val="18"/>
              </w:rPr>
            </w:pPr>
            <w:r>
              <w:rPr>
                <w:sz w:val="18"/>
              </w:rPr>
              <w:t>Mid</w:t>
            </w:r>
          </w:p>
        </w:tc>
        <w:tc>
          <w:tcPr>
            <w:tcW w:w="1277" w:type="dxa"/>
          </w:tcPr>
          <w:p>
            <w:pPr>
              <w:pStyle w:val="TableParagraph"/>
              <w:spacing w:line="207" w:lineRule="exact"/>
              <w:rPr>
                <w:sz w:val="18"/>
              </w:rPr>
            </w:pPr>
            <w:r>
              <w:rPr>
                <w:sz w:val="18"/>
              </w:rPr>
              <w:t>1000</w:t>
            </w:r>
          </w:p>
        </w:tc>
        <w:tc>
          <w:tcPr>
            <w:tcW w:w="1121" w:type="dxa"/>
          </w:tcPr>
          <w:p>
            <w:pPr>
              <w:pStyle w:val="TableParagraph"/>
              <w:spacing w:line="207" w:lineRule="exact"/>
              <w:rPr>
                <w:sz w:val="18"/>
              </w:rPr>
            </w:pPr>
            <w:r>
              <w:rPr>
                <w:w w:val="99"/>
                <w:sz w:val="18"/>
              </w:rPr>
              <w:t>0</w:t>
            </w:r>
          </w:p>
        </w:tc>
        <w:tc>
          <w:tcPr>
            <w:tcW w:w="1129" w:type="dxa"/>
          </w:tcPr>
          <w:p>
            <w:pPr>
              <w:pStyle w:val="TableParagraph"/>
              <w:spacing w:line="207" w:lineRule="exact"/>
              <w:rPr>
                <w:sz w:val="18"/>
              </w:rPr>
            </w:pPr>
            <w:r>
              <w:rPr>
                <w:sz w:val="18"/>
              </w:rPr>
              <w:t>100</w:t>
            </w:r>
          </w:p>
        </w:tc>
        <w:tc>
          <w:tcPr>
            <w:tcW w:w="1126" w:type="dxa"/>
          </w:tcPr>
          <w:p>
            <w:pPr>
              <w:pStyle w:val="TableParagraph"/>
              <w:spacing w:line="207" w:lineRule="exact"/>
              <w:ind w:left="100"/>
              <w:rPr>
                <w:sz w:val="18"/>
              </w:rPr>
            </w:pPr>
            <w:r>
              <w:rPr>
                <w:sz w:val="18"/>
              </w:rPr>
              <w:t>n\a</w:t>
            </w:r>
          </w:p>
        </w:tc>
        <w:tc>
          <w:tcPr>
            <w:tcW w:w="1128" w:type="dxa"/>
          </w:tcPr>
          <w:p>
            <w:pPr>
              <w:pStyle w:val="TableParagraph"/>
              <w:spacing w:line="207" w:lineRule="exact"/>
              <w:rPr>
                <w:sz w:val="18"/>
              </w:rPr>
            </w:pPr>
            <w:r>
              <w:rPr>
                <w:sz w:val="18"/>
              </w:rPr>
              <w:t>n\a</w:t>
            </w:r>
          </w:p>
        </w:tc>
      </w:tr>
      <w:tr>
        <w:trPr>
          <w:trHeight w:val="324" w:hRule="exact"/>
        </w:trPr>
        <w:tc>
          <w:tcPr>
            <w:tcW w:w="1291" w:type="dxa"/>
          </w:tcPr>
          <w:p>
            <w:pPr>
              <w:pStyle w:val="TableParagraph"/>
              <w:rPr>
                <w:sz w:val="18"/>
              </w:rPr>
            </w:pPr>
            <w:r>
              <w:rPr>
                <w:sz w:val="18"/>
              </w:rPr>
              <w:t>0.2</w:t>
            </w:r>
          </w:p>
        </w:tc>
        <w:tc>
          <w:tcPr>
            <w:tcW w:w="1297" w:type="dxa"/>
          </w:tcPr>
          <w:p>
            <w:pPr>
              <w:pStyle w:val="TableParagraph"/>
              <w:rPr>
                <w:sz w:val="18"/>
              </w:rPr>
            </w:pPr>
            <w:r>
              <w:rPr>
                <w:sz w:val="18"/>
              </w:rPr>
              <w:t>5855.1</w:t>
            </w:r>
          </w:p>
        </w:tc>
        <w:tc>
          <w:tcPr>
            <w:tcW w:w="984" w:type="dxa"/>
          </w:tcPr>
          <w:p>
            <w:pPr>
              <w:pStyle w:val="TableParagraph"/>
              <w:ind w:left="100"/>
              <w:rPr>
                <w:sz w:val="18"/>
              </w:rPr>
            </w:pPr>
            <w:r>
              <w:rPr>
                <w:sz w:val="18"/>
              </w:rPr>
              <w:t>Mid</w:t>
            </w:r>
          </w:p>
        </w:tc>
        <w:tc>
          <w:tcPr>
            <w:tcW w:w="1277" w:type="dxa"/>
          </w:tcPr>
          <w:p>
            <w:pPr>
              <w:pStyle w:val="TableParagraph"/>
              <w:rPr>
                <w:sz w:val="18"/>
              </w:rPr>
            </w:pPr>
            <w:r>
              <w:rPr>
                <w:sz w:val="18"/>
              </w:rPr>
              <w:t>1000</w:t>
            </w:r>
          </w:p>
        </w:tc>
        <w:tc>
          <w:tcPr>
            <w:tcW w:w="1121" w:type="dxa"/>
          </w:tcPr>
          <w:p>
            <w:pPr>
              <w:pStyle w:val="TableParagraph"/>
              <w:rPr>
                <w:sz w:val="18"/>
              </w:rPr>
            </w:pPr>
            <w:r>
              <w:rPr>
                <w:w w:val="99"/>
                <w:sz w:val="18"/>
              </w:rPr>
              <w:t>0</w:t>
            </w:r>
          </w:p>
        </w:tc>
        <w:tc>
          <w:tcPr>
            <w:tcW w:w="1129" w:type="dxa"/>
          </w:tcPr>
          <w:p>
            <w:pPr>
              <w:pStyle w:val="TableParagraph"/>
              <w:rPr>
                <w:sz w:val="18"/>
              </w:rPr>
            </w:pPr>
            <w:r>
              <w:rPr>
                <w:sz w:val="18"/>
              </w:rPr>
              <w:t>100</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4" w:hRule="exact"/>
        </w:trPr>
        <w:tc>
          <w:tcPr>
            <w:tcW w:w="1291" w:type="dxa"/>
          </w:tcPr>
          <w:p>
            <w:pPr>
              <w:pStyle w:val="TableParagraph"/>
              <w:rPr>
                <w:sz w:val="18"/>
              </w:rPr>
            </w:pPr>
            <w:r>
              <w:rPr>
                <w:sz w:val="18"/>
              </w:rPr>
              <w:t>0.3</w:t>
            </w:r>
          </w:p>
        </w:tc>
        <w:tc>
          <w:tcPr>
            <w:tcW w:w="1297" w:type="dxa"/>
          </w:tcPr>
          <w:p>
            <w:pPr>
              <w:pStyle w:val="TableParagraph"/>
              <w:rPr>
                <w:sz w:val="18"/>
              </w:rPr>
            </w:pPr>
            <w:r>
              <w:rPr>
                <w:sz w:val="18"/>
              </w:rPr>
              <w:t>5855.15</w:t>
            </w:r>
          </w:p>
        </w:tc>
        <w:tc>
          <w:tcPr>
            <w:tcW w:w="984" w:type="dxa"/>
          </w:tcPr>
          <w:p>
            <w:pPr>
              <w:pStyle w:val="TableParagraph"/>
              <w:ind w:left="100"/>
              <w:rPr>
                <w:sz w:val="18"/>
              </w:rPr>
            </w:pPr>
            <w:r>
              <w:rPr>
                <w:sz w:val="18"/>
              </w:rPr>
              <w:t>Mid</w:t>
            </w:r>
          </w:p>
        </w:tc>
        <w:tc>
          <w:tcPr>
            <w:tcW w:w="1277" w:type="dxa"/>
          </w:tcPr>
          <w:p>
            <w:pPr>
              <w:pStyle w:val="TableParagraph"/>
              <w:rPr>
                <w:sz w:val="18"/>
              </w:rPr>
            </w:pPr>
            <w:r>
              <w:rPr>
                <w:sz w:val="18"/>
              </w:rPr>
              <w:t>1000</w:t>
            </w:r>
          </w:p>
        </w:tc>
        <w:tc>
          <w:tcPr>
            <w:tcW w:w="1121" w:type="dxa"/>
          </w:tcPr>
          <w:p>
            <w:pPr>
              <w:pStyle w:val="TableParagraph"/>
              <w:rPr>
                <w:sz w:val="18"/>
              </w:rPr>
            </w:pPr>
            <w:r>
              <w:rPr>
                <w:w w:val="99"/>
                <w:sz w:val="18"/>
              </w:rPr>
              <w:t>0</w:t>
            </w:r>
          </w:p>
        </w:tc>
        <w:tc>
          <w:tcPr>
            <w:tcW w:w="1129" w:type="dxa"/>
          </w:tcPr>
          <w:p>
            <w:pPr>
              <w:pStyle w:val="TableParagraph"/>
              <w:rPr>
                <w:sz w:val="18"/>
              </w:rPr>
            </w:pPr>
            <w:r>
              <w:rPr>
                <w:sz w:val="18"/>
              </w:rPr>
              <w:t>100</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4" w:hRule="exact"/>
        </w:trPr>
        <w:tc>
          <w:tcPr>
            <w:tcW w:w="1291" w:type="dxa"/>
          </w:tcPr>
          <w:p>
            <w:pPr>
              <w:pStyle w:val="TableParagraph"/>
              <w:rPr>
                <w:sz w:val="18"/>
              </w:rPr>
            </w:pPr>
            <w:r>
              <w:rPr>
                <w:sz w:val="18"/>
              </w:rPr>
              <w:t>0.4</w:t>
            </w:r>
          </w:p>
        </w:tc>
        <w:tc>
          <w:tcPr>
            <w:tcW w:w="1297" w:type="dxa"/>
          </w:tcPr>
          <w:p>
            <w:pPr>
              <w:pStyle w:val="TableParagraph"/>
              <w:rPr>
                <w:sz w:val="18"/>
              </w:rPr>
            </w:pPr>
            <w:r>
              <w:rPr>
                <w:sz w:val="18"/>
              </w:rPr>
              <w:t>5855.2</w:t>
            </w:r>
          </w:p>
        </w:tc>
        <w:tc>
          <w:tcPr>
            <w:tcW w:w="984" w:type="dxa"/>
          </w:tcPr>
          <w:p>
            <w:pPr>
              <w:pStyle w:val="TableParagraph"/>
              <w:ind w:left="100"/>
              <w:rPr>
                <w:sz w:val="18"/>
              </w:rPr>
            </w:pPr>
            <w:r>
              <w:rPr>
                <w:sz w:val="18"/>
              </w:rPr>
              <w:t>Mid</w:t>
            </w:r>
          </w:p>
        </w:tc>
        <w:tc>
          <w:tcPr>
            <w:tcW w:w="1277" w:type="dxa"/>
          </w:tcPr>
          <w:p>
            <w:pPr>
              <w:pStyle w:val="TableParagraph"/>
              <w:rPr>
                <w:sz w:val="18"/>
              </w:rPr>
            </w:pPr>
            <w:r>
              <w:rPr>
                <w:sz w:val="18"/>
              </w:rPr>
              <w:t>1000</w:t>
            </w:r>
          </w:p>
        </w:tc>
        <w:tc>
          <w:tcPr>
            <w:tcW w:w="1121" w:type="dxa"/>
          </w:tcPr>
          <w:p>
            <w:pPr>
              <w:pStyle w:val="TableParagraph"/>
              <w:rPr>
                <w:sz w:val="18"/>
              </w:rPr>
            </w:pPr>
            <w:r>
              <w:rPr>
                <w:w w:val="99"/>
                <w:sz w:val="18"/>
              </w:rPr>
              <w:t>0</w:t>
            </w:r>
          </w:p>
        </w:tc>
        <w:tc>
          <w:tcPr>
            <w:tcW w:w="1129" w:type="dxa"/>
          </w:tcPr>
          <w:p>
            <w:pPr>
              <w:pStyle w:val="TableParagraph"/>
              <w:rPr>
                <w:sz w:val="18"/>
              </w:rPr>
            </w:pPr>
            <w:r>
              <w:rPr>
                <w:sz w:val="18"/>
              </w:rPr>
              <w:t>100</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4" w:hRule="exact"/>
        </w:trPr>
        <w:tc>
          <w:tcPr>
            <w:tcW w:w="1291" w:type="dxa"/>
          </w:tcPr>
          <w:p>
            <w:pPr>
              <w:pStyle w:val="TableParagraph"/>
              <w:rPr>
                <w:sz w:val="18"/>
              </w:rPr>
            </w:pPr>
            <w:r>
              <w:rPr>
                <w:sz w:val="18"/>
              </w:rPr>
              <w:t>0.5</w:t>
            </w:r>
          </w:p>
        </w:tc>
        <w:tc>
          <w:tcPr>
            <w:tcW w:w="1297" w:type="dxa"/>
          </w:tcPr>
          <w:p>
            <w:pPr>
              <w:pStyle w:val="TableParagraph"/>
              <w:rPr>
                <w:sz w:val="18"/>
              </w:rPr>
            </w:pPr>
            <w:r>
              <w:rPr>
                <w:sz w:val="18"/>
              </w:rPr>
              <w:t>5855.25</w:t>
            </w:r>
          </w:p>
        </w:tc>
        <w:tc>
          <w:tcPr>
            <w:tcW w:w="984" w:type="dxa"/>
          </w:tcPr>
          <w:p>
            <w:pPr>
              <w:pStyle w:val="TableParagraph"/>
              <w:ind w:left="100"/>
              <w:rPr>
                <w:sz w:val="18"/>
              </w:rPr>
            </w:pPr>
            <w:r>
              <w:rPr>
                <w:sz w:val="18"/>
              </w:rPr>
              <w:t>Mid</w:t>
            </w:r>
          </w:p>
        </w:tc>
        <w:tc>
          <w:tcPr>
            <w:tcW w:w="1277" w:type="dxa"/>
          </w:tcPr>
          <w:p>
            <w:pPr>
              <w:pStyle w:val="TableParagraph"/>
              <w:rPr>
                <w:sz w:val="18"/>
              </w:rPr>
            </w:pPr>
            <w:r>
              <w:rPr>
                <w:sz w:val="18"/>
              </w:rPr>
              <w:t>1000</w:t>
            </w:r>
          </w:p>
        </w:tc>
        <w:tc>
          <w:tcPr>
            <w:tcW w:w="1121" w:type="dxa"/>
          </w:tcPr>
          <w:p>
            <w:pPr>
              <w:pStyle w:val="TableParagraph"/>
              <w:rPr>
                <w:sz w:val="18"/>
              </w:rPr>
            </w:pPr>
            <w:r>
              <w:rPr>
                <w:w w:val="99"/>
                <w:sz w:val="18"/>
              </w:rPr>
              <w:t>0</w:t>
            </w:r>
          </w:p>
        </w:tc>
        <w:tc>
          <w:tcPr>
            <w:tcW w:w="1129" w:type="dxa"/>
          </w:tcPr>
          <w:p>
            <w:pPr>
              <w:pStyle w:val="TableParagraph"/>
              <w:rPr>
                <w:sz w:val="18"/>
              </w:rPr>
            </w:pPr>
            <w:r>
              <w:rPr>
                <w:sz w:val="18"/>
              </w:rPr>
              <w:t>100</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4" w:hRule="exact"/>
        </w:trPr>
        <w:tc>
          <w:tcPr>
            <w:tcW w:w="1291" w:type="dxa"/>
          </w:tcPr>
          <w:p>
            <w:pPr>
              <w:pStyle w:val="TableParagraph"/>
              <w:rPr>
                <w:sz w:val="18"/>
              </w:rPr>
            </w:pPr>
            <w:r>
              <w:rPr>
                <w:sz w:val="18"/>
              </w:rPr>
              <w:t>0.6</w:t>
            </w:r>
          </w:p>
        </w:tc>
        <w:tc>
          <w:tcPr>
            <w:tcW w:w="1297" w:type="dxa"/>
          </w:tcPr>
          <w:p>
            <w:pPr>
              <w:pStyle w:val="TableParagraph"/>
              <w:rPr>
                <w:sz w:val="18"/>
              </w:rPr>
            </w:pPr>
            <w:r>
              <w:rPr>
                <w:sz w:val="18"/>
              </w:rPr>
              <w:t>5855.3</w:t>
            </w:r>
          </w:p>
        </w:tc>
        <w:tc>
          <w:tcPr>
            <w:tcW w:w="984" w:type="dxa"/>
          </w:tcPr>
          <w:p>
            <w:pPr>
              <w:pStyle w:val="TableParagraph"/>
              <w:ind w:left="100"/>
              <w:rPr>
                <w:sz w:val="18"/>
              </w:rPr>
            </w:pPr>
            <w:r>
              <w:rPr>
                <w:sz w:val="18"/>
              </w:rPr>
              <w:t>Mid</w:t>
            </w:r>
          </w:p>
        </w:tc>
        <w:tc>
          <w:tcPr>
            <w:tcW w:w="1277" w:type="dxa"/>
          </w:tcPr>
          <w:p>
            <w:pPr>
              <w:pStyle w:val="TableParagraph"/>
              <w:rPr>
                <w:sz w:val="18"/>
              </w:rPr>
            </w:pPr>
            <w:r>
              <w:rPr>
                <w:sz w:val="18"/>
              </w:rPr>
              <w:t>1000</w:t>
            </w:r>
          </w:p>
        </w:tc>
        <w:tc>
          <w:tcPr>
            <w:tcW w:w="1121" w:type="dxa"/>
          </w:tcPr>
          <w:p>
            <w:pPr>
              <w:pStyle w:val="TableParagraph"/>
              <w:rPr>
                <w:sz w:val="18"/>
              </w:rPr>
            </w:pPr>
            <w:r>
              <w:rPr>
                <w:w w:val="99"/>
                <w:sz w:val="18"/>
              </w:rPr>
              <w:t>0</w:t>
            </w:r>
          </w:p>
        </w:tc>
        <w:tc>
          <w:tcPr>
            <w:tcW w:w="1129" w:type="dxa"/>
          </w:tcPr>
          <w:p>
            <w:pPr>
              <w:pStyle w:val="TableParagraph"/>
              <w:rPr>
                <w:sz w:val="18"/>
              </w:rPr>
            </w:pPr>
            <w:r>
              <w:rPr>
                <w:sz w:val="18"/>
              </w:rPr>
              <w:t>100</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4" w:hRule="exact"/>
        </w:trPr>
        <w:tc>
          <w:tcPr>
            <w:tcW w:w="1291" w:type="dxa"/>
          </w:tcPr>
          <w:p>
            <w:pPr>
              <w:pStyle w:val="TableParagraph"/>
              <w:rPr>
                <w:sz w:val="18"/>
              </w:rPr>
            </w:pPr>
            <w:r>
              <w:rPr>
                <w:sz w:val="18"/>
              </w:rPr>
              <w:t>0.7</w:t>
            </w:r>
          </w:p>
        </w:tc>
        <w:tc>
          <w:tcPr>
            <w:tcW w:w="1297" w:type="dxa"/>
          </w:tcPr>
          <w:p>
            <w:pPr>
              <w:pStyle w:val="TableParagraph"/>
              <w:rPr>
                <w:sz w:val="18"/>
              </w:rPr>
            </w:pPr>
            <w:r>
              <w:rPr>
                <w:sz w:val="18"/>
              </w:rPr>
              <w:t>5855.35</w:t>
            </w:r>
          </w:p>
        </w:tc>
        <w:tc>
          <w:tcPr>
            <w:tcW w:w="984" w:type="dxa"/>
          </w:tcPr>
          <w:p>
            <w:pPr>
              <w:pStyle w:val="TableParagraph"/>
              <w:ind w:left="100"/>
              <w:rPr>
                <w:sz w:val="18"/>
              </w:rPr>
            </w:pPr>
            <w:r>
              <w:rPr>
                <w:sz w:val="18"/>
              </w:rPr>
              <w:t>Mid</w:t>
            </w:r>
          </w:p>
        </w:tc>
        <w:tc>
          <w:tcPr>
            <w:tcW w:w="1277" w:type="dxa"/>
          </w:tcPr>
          <w:p>
            <w:pPr>
              <w:pStyle w:val="TableParagraph"/>
              <w:rPr>
                <w:sz w:val="18"/>
              </w:rPr>
            </w:pPr>
            <w:r>
              <w:rPr>
                <w:sz w:val="18"/>
              </w:rPr>
              <w:t>1000</w:t>
            </w:r>
          </w:p>
        </w:tc>
        <w:tc>
          <w:tcPr>
            <w:tcW w:w="1121" w:type="dxa"/>
          </w:tcPr>
          <w:p>
            <w:pPr>
              <w:pStyle w:val="TableParagraph"/>
              <w:rPr>
                <w:sz w:val="18"/>
              </w:rPr>
            </w:pPr>
            <w:r>
              <w:rPr>
                <w:w w:val="99"/>
                <w:sz w:val="18"/>
              </w:rPr>
              <w:t>0</w:t>
            </w:r>
          </w:p>
        </w:tc>
        <w:tc>
          <w:tcPr>
            <w:tcW w:w="1129" w:type="dxa"/>
          </w:tcPr>
          <w:p>
            <w:pPr>
              <w:pStyle w:val="TableParagraph"/>
              <w:rPr>
                <w:sz w:val="18"/>
              </w:rPr>
            </w:pPr>
            <w:r>
              <w:rPr>
                <w:sz w:val="18"/>
              </w:rPr>
              <w:t>100</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4" w:hRule="exact"/>
        </w:trPr>
        <w:tc>
          <w:tcPr>
            <w:tcW w:w="1291" w:type="dxa"/>
          </w:tcPr>
          <w:p>
            <w:pPr>
              <w:pStyle w:val="TableParagraph"/>
              <w:rPr>
                <w:sz w:val="18"/>
              </w:rPr>
            </w:pPr>
            <w:r>
              <w:rPr>
                <w:sz w:val="18"/>
              </w:rPr>
              <w:t>0.8</w:t>
            </w:r>
          </w:p>
        </w:tc>
        <w:tc>
          <w:tcPr>
            <w:tcW w:w="1297" w:type="dxa"/>
          </w:tcPr>
          <w:p>
            <w:pPr>
              <w:pStyle w:val="TableParagraph"/>
              <w:rPr>
                <w:sz w:val="18"/>
              </w:rPr>
            </w:pPr>
            <w:r>
              <w:rPr>
                <w:sz w:val="18"/>
              </w:rPr>
              <w:t>5855.4</w:t>
            </w:r>
          </w:p>
        </w:tc>
        <w:tc>
          <w:tcPr>
            <w:tcW w:w="984" w:type="dxa"/>
          </w:tcPr>
          <w:p>
            <w:pPr>
              <w:pStyle w:val="TableParagraph"/>
              <w:ind w:left="100"/>
              <w:rPr>
                <w:sz w:val="18"/>
              </w:rPr>
            </w:pPr>
            <w:r>
              <w:rPr>
                <w:sz w:val="18"/>
              </w:rPr>
              <w:t>Mid</w:t>
            </w:r>
          </w:p>
        </w:tc>
        <w:tc>
          <w:tcPr>
            <w:tcW w:w="1277" w:type="dxa"/>
          </w:tcPr>
          <w:p>
            <w:pPr>
              <w:pStyle w:val="TableParagraph"/>
              <w:rPr>
                <w:sz w:val="18"/>
              </w:rPr>
            </w:pPr>
            <w:r>
              <w:rPr>
                <w:sz w:val="18"/>
              </w:rPr>
              <w:t>1000</w:t>
            </w:r>
          </w:p>
        </w:tc>
        <w:tc>
          <w:tcPr>
            <w:tcW w:w="1121" w:type="dxa"/>
          </w:tcPr>
          <w:p>
            <w:pPr>
              <w:pStyle w:val="TableParagraph"/>
              <w:rPr>
                <w:sz w:val="18"/>
              </w:rPr>
            </w:pPr>
            <w:r>
              <w:rPr>
                <w:w w:val="99"/>
                <w:sz w:val="18"/>
              </w:rPr>
              <w:t>0</w:t>
            </w:r>
          </w:p>
        </w:tc>
        <w:tc>
          <w:tcPr>
            <w:tcW w:w="1129" w:type="dxa"/>
          </w:tcPr>
          <w:p>
            <w:pPr>
              <w:pStyle w:val="TableParagraph"/>
              <w:rPr>
                <w:sz w:val="18"/>
              </w:rPr>
            </w:pPr>
            <w:r>
              <w:rPr>
                <w:sz w:val="18"/>
              </w:rPr>
              <w:t>100</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4" w:hRule="exact"/>
        </w:trPr>
        <w:tc>
          <w:tcPr>
            <w:tcW w:w="1291" w:type="dxa"/>
          </w:tcPr>
          <w:p>
            <w:pPr>
              <w:pStyle w:val="TableParagraph"/>
              <w:rPr>
                <w:sz w:val="18"/>
              </w:rPr>
            </w:pPr>
            <w:r>
              <w:rPr>
                <w:sz w:val="18"/>
              </w:rPr>
              <w:t>0.9</w:t>
            </w:r>
          </w:p>
        </w:tc>
        <w:tc>
          <w:tcPr>
            <w:tcW w:w="1297" w:type="dxa"/>
          </w:tcPr>
          <w:p>
            <w:pPr>
              <w:pStyle w:val="TableParagraph"/>
              <w:rPr>
                <w:sz w:val="18"/>
              </w:rPr>
            </w:pPr>
            <w:r>
              <w:rPr>
                <w:sz w:val="18"/>
              </w:rPr>
              <w:t>5855.45</w:t>
            </w:r>
          </w:p>
        </w:tc>
        <w:tc>
          <w:tcPr>
            <w:tcW w:w="984" w:type="dxa"/>
          </w:tcPr>
          <w:p>
            <w:pPr>
              <w:pStyle w:val="TableParagraph"/>
              <w:ind w:left="100"/>
              <w:rPr>
                <w:sz w:val="18"/>
              </w:rPr>
            </w:pPr>
            <w:r>
              <w:rPr>
                <w:sz w:val="18"/>
              </w:rPr>
              <w:t>Mid</w:t>
            </w:r>
          </w:p>
        </w:tc>
        <w:tc>
          <w:tcPr>
            <w:tcW w:w="1277" w:type="dxa"/>
          </w:tcPr>
          <w:p>
            <w:pPr>
              <w:pStyle w:val="TableParagraph"/>
              <w:rPr>
                <w:sz w:val="18"/>
              </w:rPr>
            </w:pPr>
            <w:r>
              <w:rPr>
                <w:sz w:val="18"/>
              </w:rPr>
              <w:t>1000</w:t>
            </w:r>
          </w:p>
        </w:tc>
        <w:tc>
          <w:tcPr>
            <w:tcW w:w="1121" w:type="dxa"/>
          </w:tcPr>
          <w:p>
            <w:pPr>
              <w:pStyle w:val="TableParagraph"/>
              <w:rPr>
                <w:sz w:val="18"/>
              </w:rPr>
            </w:pPr>
            <w:r>
              <w:rPr>
                <w:w w:val="99"/>
                <w:sz w:val="18"/>
              </w:rPr>
              <w:t>0</w:t>
            </w:r>
          </w:p>
        </w:tc>
        <w:tc>
          <w:tcPr>
            <w:tcW w:w="1129" w:type="dxa"/>
          </w:tcPr>
          <w:p>
            <w:pPr>
              <w:pStyle w:val="TableParagraph"/>
              <w:rPr>
                <w:sz w:val="18"/>
              </w:rPr>
            </w:pPr>
            <w:r>
              <w:rPr>
                <w:sz w:val="18"/>
              </w:rPr>
              <w:t>100</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r>
        <w:trPr>
          <w:trHeight w:val="324" w:hRule="exact"/>
        </w:trPr>
        <w:tc>
          <w:tcPr>
            <w:tcW w:w="1291" w:type="dxa"/>
          </w:tcPr>
          <w:p>
            <w:pPr>
              <w:pStyle w:val="TableParagraph"/>
              <w:rPr>
                <w:sz w:val="18"/>
              </w:rPr>
            </w:pPr>
            <w:r>
              <w:rPr>
                <w:w w:val="99"/>
                <w:sz w:val="18"/>
              </w:rPr>
              <w:t>1</w:t>
            </w:r>
          </w:p>
        </w:tc>
        <w:tc>
          <w:tcPr>
            <w:tcW w:w="1297" w:type="dxa"/>
          </w:tcPr>
          <w:p>
            <w:pPr>
              <w:pStyle w:val="TableParagraph"/>
              <w:rPr>
                <w:sz w:val="18"/>
              </w:rPr>
            </w:pPr>
            <w:r>
              <w:rPr>
                <w:sz w:val="18"/>
              </w:rPr>
              <w:t>5855.5</w:t>
            </w:r>
          </w:p>
        </w:tc>
        <w:tc>
          <w:tcPr>
            <w:tcW w:w="984" w:type="dxa"/>
          </w:tcPr>
          <w:p>
            <w:pPr>
              <w:pStyle w:val="TableParagraph"/>
              <w:ind w:left="100"/>
              <w:rPr>
                <w:sz w:val="18"/>
              </w:rPr>
            </w:pPr>
            <w:r>
              <w:rPr>
                <w:sz w:val="18"/>
              </w:rPr>
              <w:t>Mid</w:t>
            </w:r>
          </w:p>
        </w:tc>
        <w:tc>
          <w:tcPr>
            <w:tcW w:w="1277" w:type="dxa"/>
          </w:tcPr>
          <w:p>
            <w:pPr>
              <w:pStyle w:val="TableParagraph"/>
              <w:rPr>
                <w:sz w:val="18"/>
              </w:rPr>
            </w:pPr>
            <w:r>
              <w:rPr>
                <w:sz w:val="18"/>
              </w:rPr>
              <w:t>1000</w:t>
            </w:r>
          </w:p>
        </w:tc>
        <w:tc>
          <w:tcPr>
            <w:tcW w:w="1121" w:type="dxa"/>
          </w:tcPr>
          <w:p>
            <w:pPr>
              <w:pStyle w:val="TableParagraph"/>
              <w:rPr>
                <w:sz w:val="18"/>
              </w:rPr>
            </w:pPr>
            <w:r>
              <w:rPr>
                <w:w w:val="99"/>
                <w:sz w:val="18"/>
              </w:rPr>
              <w:t>0</w:t>
            </w:r>
          </w:p>
        </w:tc>
        <w:tc>
          <w:tcPr>
            <w:tcW w:w="1129" w:type="dxa"/>
          </w:tcPr>
          <w:p>
            <w:pPr>
              <w:pStyle w:val="TableParagraph"/>
              <w:rPr>
                <w:sz w:val="18"/>
              </w:rPr>
            </w:pPr>
            <w:r>
              <w:rPr>
                <w:sz w:val="18"/>
              </w:rPr>
              <w:t>100</w:t>
            </w:r>
          </w:p>
        </w:tc>
        <w:tc>
          <w:tcPr>
            <w:tcW w:w="1126" w:type="dxa"/>
          </w:tcPr>
          <w:p>
            <w:pPr>
              <w:pStyle w:val="TableParagraph"/>
              <w:ind w:left="100"/>
              <w:rPr>
                <w:sz w:val="18"/>
              </w:rPr>
            </w:pPr>
            <w:r>
              <w:rPr>
                <w:sz w:val="18"/>
              </w:rPr>
              <w:t>n\a</w:t>
            </w:r>
          </w:p>
        </w:tc>
        <w:tc>
          <w:tcPr>
            <w:tcW w:w="1128" w:type="dxa"/>
          </w:tcPr>
          <w:p>
            <w:pPr>
              <w:pStyle w:val="TableParagraph"/>
              <w:rPr>
                <w:sz w:val="18"/>
              </w:rPr>
            </w:pPr>
            <w:r>
              <w:rPr>
                <w:sz w:val="18"/>
              </w:rPr>
              <w:t>n\a</w:t>
            </w:r>
          </w:p>
        </w:tc>
      </w:tr>
    </w:tbl>
    <w:p>
      <w:pPr>
        <w:pStyle w:val="BodyText"/>
        <w:rPr>
          <w:b/>
          <w:sz w:val="22"/>
        </w:rPr>
      </w:pPr>
    </w:p>
    <w:p>
      <w:pPr>
        <w:pStyle w:val="BodyText"/>
        <w:spacing w:before="155"/>
        <w:ind w:left="1133" w:right="1132"/>
        <w:jc w:val="both"/>
      </w:pPr>
      <w:r>
        <w:rPr/>
        <w:t>The</w:t>
      </w:r>
      <w:r>
        <w:rPr>
          <w:spacing w:val="-13"/>
        </w:rPr>
        <w:t> </w:t>
      </w:r>
      <w:r>
        <w:rPr/>
        <w:t>DSRC</w:t>
      </w:r>
      <w:r>
        <w:rPr>
          <w:spacing w:val="-12"/>
        </w:rPr>
        <w:t> </w:t>
      </w:r>
      <w:r>
        <w:rPr/>
        <w:t>system</w:t>
      </w:r>
      <w:r>
        <w:rPr>
          <w:spacing w:val="-8"/>
        </w:rPr>
        <w:t> </w:t>
      </w:r>
      <w:r>
        <w:rPr/>
        <w:t>did</w:t>
      </w:r>
      <w:r>
        <w:rPr>
          <w:spacing w:val="-13"/>
        </w:rPr>
        <w:t> </w:t>
      </w:r>
      <w:r>
        <w:rPr/>
        <w:t>not</w:t>
      </w:r>
      <w:r>
        <w:rPr>
          <w:spacing w:val="-10"/>
        </w:rPr>
        <w:t> </w:t>
      </w:r>
      <w:r>
        <w:rPr/>
        <w:t>receive</w:t>
      </w:r>
      <w:r>
        <w:rPr>
          <w:spacing w:val="-13"/>
        </w:rPr>
        <w:t> </w:t>
      </w:r>
      <w:r>
        <w:rPr/>
        <w:t>any</w:t>
      </w:r>
      <w:r>
        <w:rPr>
          <w:spacing w:val="-14"/>
        </w:rPr>
        <w:t> </w:t>
      </w:r>
      <w:r>
        <w:rPr/>
        <w:t>data</w:t>
      </w:r>
      <w:r>
        <w:rPr>
          <w:spacing w:val="-13"/>
        </w:rPr>
        <w:t> </w:t>
      </w:r>
      <w:r>
        <w:rPr/>
        <w:t>packages</w:t>
      </w:r>
      <w:r>
        <w:rPr>
          <w:spacing w:val="-12"/>
        </w:rPr>
        <w:t> </w:t>
      </w:r>
      <w:r>
        <w:rPr/>
        <w:t>while</w:t>
      </w:r>
      <w:r>
        <w:rPr>
          <w:spacing w:val="-13"/>
        </w:rPr>
        <w:t> </w:t>
      </w:r>
      <w:r>
        <w:rPr/>
        <w:t>the</w:t>
      </w:r>
      <w:r>
        <w:rPr>
          <w:spacing w:val="-11"/>
        </w:rPr>
        <w:t> </w:t>
      </w:r>
      <w:r>
        <w:rPr/>
        <w:t>interfering</w:t>
      </w:r>
      <w:r>
        <w:rPr>
          <w:spacing w:val="-13"/>
        </w:rPr>
        <w:t> </w:t>
      </w:r>
      <w:r>
        <w:rPr/>
        <w:t>signal</w:t>
      </w:r>
      <w:r>
        <w:rPr>
          <w:spacing w:val="-11"/>
        </w:rPr>
        <w:t> </w:t>
      </w:r>
      <w:r>
        <w:rPr/>
        <w:t>was</w:t>
      </w:r>
      <w:r>
        <w:rPr>
          <w:spacing w:val="-12"/>
        </w:rPr>
        <w:t> </w:t>
      </w:r>
      <w:r>
        <w:rPr/>
        <w:t>present</w:t>
      </w:r>
      <w:r>
        <w:rPr>
          <w:spacing w:val="-10"/>
        </w:rPr>
        <w:t> </w:t>
      </w:r>
      <w:r>
        <w:rPr/>
        <w:t>halfway</w:t>
      </w:r>
      <w:r>
        <w:rPr>
          <w:spacing w:val="-14"/>
        </w:rPr>
        <w:t> </w:t>
      </w:r>
      <w:r>
        <w:rPr/>
        <w:t>between Tx</w:t>
      </w:r>
      <w:r>
        <w:rPr>
          <w:spacing w:val="-4"/>
        </w:rPr>
        <w:t> </w:t>
      </w:r>
      <w:r>
        <w:rPr/>
        <w:t>and</w:t>
      </w:r>
      <w:r>
        <w:rPr>
          <w:spacing w:val="-6"/>
        </w:rPr>
        <w:t> </w:t>
      </w:r>
      <w:r>
        <w:rPr/>
        <w:t>Rx</w:t>
      </w:r>
      <w:r>
        <w:rPr>
          <w:spacing w:val="-4"/>
        </w:rPr>
        <w:t> </w:t>
      </w:r>
      <w:r>
        <w:rPr/>
        <w:t>(case</w:t>
      </w:r>
      <w:r>
        <w:rPr>
          <w:spacing w:val="-6"/>
        </w:rPr>
        <w:t> </w:t>
      </w:r>
      <w:r>
        <w:rPr/>
        <w:t>“Mid”).</w:t>
      </w:r>
      <w:r>
        <w:rPr>
          <w:spacing w:val="-5"/>
        </w:rPr>
        <w:t> </w:t>
      </w:r>
      <w:r>
        <w:rPr/>
        <w:t>For</w:t>
      </w:r>
      <w:r>
        <w:rPr>
          <w:spacing w:val="-2"/>
        </w:rPr>
        <w:t> </w:t>
      </w:r>
      <w:r>
        <w:rPr/>
        <w:t>that</w:t>
      </w:r>
      <w:r>
        <w:rPr>
          <w:spacing w:val="-3"/>
        </w:rPr>
        <w:t> </w:t>
      </w:r>
      <w:r>
        <w:rPr/>
        <w:t>reason,</w:t>
      </w:r>
      <w:r>
        <w:rPr>
          <w:spacing w:val="-3"/>
        </w:rPr>
        <w:t> </w:t>
      </w:r>
      <w:r>
        <w:rPr/>
        <w:t>latency</w:t>
      </w:r>
      <w:r>
        <w:rPr>
          <w:spacing w:val="-9"/>
        </w:rPr>
        <w:t> </w:t>
      </w:r>
      <w:r>
        <w:rPr/>
        <w:t>and</w:t>
      </w:r>
      <w:r>
        <w:rPr>
          <w:spacing w:val="-3"/>
        </w:rPr>
        <w:t> </w:t>
      </w:r>
      <w:r>
        <w:rPr/>
        <w:t>IPG</w:t>
      </w:r>
      <w:r>
        <w:rPr>
          <w:spacing w:val="-4"/>
        </w:rPr>
        <w:t> </w:t>
      </w:r>
      <w:r>
        <w:rPr/>
        <w:t>time</w:t>
      </w:r>
      <w:r>
        <w:rPr>
          <w:spacing w:val="-6"/>
        </w:rPr>
        <w:t> </w:t>
      </w:r>
      <w:r>
        <w:rPr/>
        <w:t>calculation</w:t>
      </w:r>
      <w:r>
        <w:rPr>
          <w:spacing w:val="-6"/>
        </w:rPr>
        <w:t> </w:t>
      </w:r>
      <w:r>
        <w:rPr/>
        <w:t>is</w:t>
      </w:r>
      <w:r>
        <w:rPr>
          <w:spacing w:val="-2"/>
        </w:rPr>
        <w:t> </w:t>
      </w:r>
      <w:r>
        <w:rPr/>
        <w:t>not</w:t>
      </w:r>
      <w:r>
        <w:rPr>
          <w:spacing w:val="-3"/>
        </w:rPr>
        <w:t> </w:t>
      </w:r>
      <w:r>
        <w:rPr/>
        <w:t>possible</w:t>
      </w:r>
      <w:r>
        <w:rPr>
          <w:spacing w:val="5"/>
        </w:rPr>
        <w:t> </w:t>
      </w:r>
      <w:r>
        <w:rPr/>
        <w:t>at</w:t>
      </w:r>
      <w:r>
        <w:rPr>
          <w:spacing w:val="-6"/>
        </w:rPr>
        <w:t> </w:t>
      </w:r>
      <w:r>
        <w:rPr/>
        <w:t>the</w:t>
      </w:r>
      <w:r>
        <w:rPr>
          <w:spacing w:val="-6"/>
        </w:rPr>
        <w:t> </w:t>
      </w:r>
      <w:r>
        <w:rPr/>
        <w:t>receiving</w:t>
      </w:r>
      <w:r>
        <w:rPr>
          <w:spacing w:val="-6"/>
        </w:rPr>
        <w:t> </w:t>
      </w:r>
      <w:r>
        <w:rPr/>
        <w:t>side. This</w:t>
      </w:r>
      <w:r>
        <w:rPr>
          <w:spacing w:val="-13"/>
        </w:rPr>
        <w:t> </w:t>
      </w:r>
      <w:r>
        <w:rPr/>
        <w:t>is</w:t>
      </w:r>
      <w:r>
        <w:rPr>
          <w:spacing w:val="-13"/>
        </w:rPr>
        <w:t> </w:t>
      </w:r>
      <w:r>
        <w:rPr/>
        <w:t>marked</w:t>
      </w:r>
      <w:r>
        <w:rPr>
          <w:spacing w:val="-15"/>
        </w:rPr>
        <w:t> </w:t>
      </w:r>
      <w:r>
        <w:rPr/>
        <w:t>in</w:t>
      </w:r>
      <w:r>
        <w:rPr>
          <w:spacing w:val="-12"/>
        </w:rPr>
        <w:t> </w:t>
      </w:r>
      <w:r>
        <w:rPr/>
        <w:t>Table</w:t>
      </w:r>
      <w:r>
        <w:rPr>
          <w:spacing w:val="-11"/>
        </w:rPr>
        <w:t> </w:t>
      </w:r>
      <w:r>
        <w:rPr/>
        <w:t>43</w:t>
      </w:r>
      <w:r>
        <w:rPr>
          <w:spacing w:val="-11"/>
        </w:rPr>
        <w:t> </w:t>
      </w:r>
      <w:r>
        <w:rPr/>
        <w:t>with</w:t>
      </w:r>
      <w:r>
        <w:rPr>
          <w:spacing w:val="-12"/>
        </w:rPr>
        <w:t> </w:t>
      </w:r>
      <w:r>
        <w:rPr/>
        <w:t>“n\a”.</w:t>
      </w:r>
      <w:r>
        <w:rPr>
          <w:spacing w:val="-11"/>
        </w:rPr>
        <w:t> </w:t>
      </w:r>
      <w:r>
        <w:rPr/>
        <w:t>Latency</w:t>
      </w:r>
      <w:r>
        <w:rPr>
          <w:spacing w:val="-15"/>
        </w:rPr>
        <w:t> </w:t>
      </w:r>
      <w:r>
        <w:rPr/>
        <w:t>and</w:t>
      </w:r>
      <w:r>
        <w:rPr>
          <w:spacing w:val="-12"/>
        </w:rPr>
        <w:t> </w:t>
      </w:r>
      <w:r>
        <w:rPr/>
        <w:t>IPG</w:t>
      </w:r>
      <w:r>
        <w:rPr>
          <w:spacing w:val="-11"/>
        </w:rPr>
        <w:t> </w:t>
      </w:r>
      <w:r>
        <w:rPr/>
        <w:t>are</w:t>
      </w:r>
      <w:r>
        <w:rPr>
          <w:spacing w:val="-14"/>
        </w:rPr>
        <w:t> </w:t>
      </w:r>
      <w:r>
        <w:rPr/>
        <w:t>also</w:t>
      </w:r>
      <w:r>
        <w:rPr>
          <w:spacing w:val="-12"/>
        </w:rPr>
        <w:t> </w:t>
      </w:r>
      <w:r>
        <w:rPr/>
        <w:t>marked</w:t>
      </w:r>
      <w:r>
        <w:rPr>
          <w:spacing w:val="-15"/>
        </w:rPr>
        <w:t> </w:t>
      </w:r>
      <w:r>
        <w:rPr/>
        <w:t>“n/a”</w:t>
      </w:r>
      <w:r>
        <w:rPr>
          <w:spacing w:val="-13"/>
        </w:rPr>
        <w:t> </w:t>
      </w:r>
      <w:r>
        <w:rPr/>
        <w:t>in</w:t>
      </w:r>
      <w:r>
        <w:rPr>
          <w:spacing w:val="-14"/>
        </w:rPr>
        <w:t> </w:t>
      </w:r>
      <w:r>
        <w:rPr/>
        <w:t>scenarios</w:t>
      </w:r>
      <w:r>
        <w:rPr>
          <w:spacing w:val="-8"/>
        </w:rPr>
        <w:t> </w:t>
      </w:r>
      <w:r>
        <w:rPr/>
        <w:t>where</w:t>
      </w:r>
      <w:r>
        <w:rPr>
          <w:spacing w:val="-12"/>
        </w:rPr>
        <w:t> </w:t>
      </w:r>
      <w:r>
        <w:rPr/>
        <w:t>PER</w:t>
      </w:r>
      <w:r>
        <w:rPr>
          <w:spacing w:val="-11"/>
        </w:rPr>
        <w:t> </w:t>
      </w:r>
      <w:r>
        <w:rPr/>
        <w:t>is</w:t>
      </w:r>
      <w:r>
        <w:rPr>
          <w:spacing w:val="-13"/>
        </w:rPr>
        <w:t> </w:t>
      </w:r>
      <w:r>
        <w:rPr/>
        <w:t>greater than</w:t>
      </w:r>
      <w:r>
        <w:rPr>
          <w:spacing w:val="-5"/>
        </w:rPr>
        <w:t> </w:t>
      </w:r>
      <w:r>
        <w:rPr/>
        <w:t>10%.</w:t>
      </w:r>
    </w:p>
    <w:p>
      <w:pPr>
        <w:pStyle w:val="BodyText"/>
        <w:spacing w:before="180"/>
        <w:ind w:left="1133" w:right="1135"/>
        <w:jc w:val="both"/>
      </w:pPr>
      <w:r>
        <w:rPr/>
        <w:t>When the disturbing signal is inserted closer to the Rx device (case “Rx”), poor SNR ratio is the main root cause for failing. If inserted halfway between Tx and Rx and therefore also noticeably disturbing Tx (case “Mid”), Clear Channel Assessment (CCA) of Wi-fi technology can also make the transmitter hold off sending data packages or send them with a delay (after interferer is gone).</w:t>
      </w:r>
    </w:p>
    <w:p>
      <w:pPr>
        <w:spacing w:after="0"/>
        <w:jc w:val="both"/>
        <w:sectPr>
          <w:headerReference w:type="default" r:id="rId467"/>
          <w:pgSz w:w="11910" w:h="16850"/>
          <w:pgMar w:header="852" w:footer="876" w:top="1040" w:bottom="1160" w:left="0" w:right="0"/>
        </w:sectPr>
      </w:pPr>
    </w:p>
    <w:p>
      <w:pPr>
        <w:pStyle w:val="BodyText"/>
        <w:spacing w:before="2"/>
        <w:rPr>
          <w:sz w:val="23"/>
        </w:rPr>
      </w:pPr>
    </w:p>
    <w:p>
      <w:pPr>
        <w:pStyle w:val="BodyText"/>
        <w:spacing w:before="93"/>
        <w:ind w:left="1332"/>
      </w:pPr>
      <w:r>
        <w:rPr/>
        <w:t>C-V2X vs DSRC Comparison Data</w:t>
      </w:r>
    </w:p>
    <w:p>
      <w:pPr>
        <w:pStyle w:val="BodyText"/>
        <w:rPr>
          <w:sz w:val="22"/>
        </w:rPr>
      </w:pPr>
    </w:p>
    <w:p>
      <w:pPr>
        <w:spacing w:before="158"/>
        <w:ind w:left="1702" w:right="0" w:firstLine="0"/>
        <w:jc w:val="left"/>
        <w:rPr>
          <w:sz w:val="22"/>
        </w:rPr>
      </w:pPr>
      <w:r>
        <w:rPr>
          <w:color w:val="C00000"/>
          <w:sz w:val="22"/>
        </w:rPr>
        <w:t>Interferer</w:t>
      </w:r>
    </w:p>
    <w:p>
      <w:pPr>
        <w:pStyle w:val="BodyText"/>
        <w:ind w:left="1133"/>
      </w:pPr>
      <w:r>
        <w:rPr/>
        <w:pict>
          <v:group style="width:335.2pt;height:138.3pt;mso-position-horizontal-relative:char;mso-position-vertical-relative:line" coordorigin="0,0" coordsize="6704,2766">
            <v:rect style="position:absolute;left:923;top:944;width:5073;height:1334" filled="true" fillcolor="#d9d9d9" stroked="false">
              <v:fill type="solid"/>
            </v:rect>
            <v:shape style="position:absolute;left:0;top:2204;width:6704;height:120" coordorigin="0,2204" coordsize="6704,120" path="m6694,2259l6604,2259,6604,2269,6584,2269,6584,2324,6704,2264,6694,2259xm6584,2259l0,2272,0,2282,6584,2269,6584,2259xm6604,2259l6584,2259,6584,2269,6604,2269,6604,2259xm6584,2204l6584,2259,6694,2259,6584,2204xe" filled="true" fillcolor="#000000" stroked="false">
              <v:path arrowok="t"/>
              <v:fill type="solid"/>
            </v:shape>
            <v:shape style="position:absolute;left:312;top:2283;width:1296;height:475" type="#_x0000_t75" stroked="false">
              <v:imagedata r:id="rId469" o:title=""/>
            </v:shape>
            <v:shape style="position:absolute;left:5366;top:2276;width:1296;height:475" type="#_x0000_t75" stroked="false">
              <v:imagedata r:id="rId469" o:title=""/>
            </v:shape>
            <v:rect style="position:absolute;left:923;top:10;width:310;height:2254" filled="true" fillcolor="#f8caac" stroked="false">
              <v:fill type="solid"/>
            </v:rect>
            <v:rect style="position:absolute;left:923;top:10;width:310;height:2254" filled="false" stroked="true" strokeweight="1pt" strokecolor="#ffcc99">
              <v:stroke dashstyle="solid"/>
            </v:rect>
            <v:shape style="position:absolute;left:759;top:2321;width:424;height:445" type="#_x0000_t202" filled="false" stroked="false">
              <v:textbox inset="0,0,0,0">
                <w:txbxContent>
                  <w:p>
                    <w:pPr>
                      <w:spacing w:line="203" w:lineRule="exact" w:before="0"/>
                      <w:ind w:left="0" w:right="0" w:firstLine="0"/>
                      <w:jc w:val="left"/>
                      <w:rPr>
                        <w:rFonts w:ascii="Calibri"/>
                        <w:sz w:val="20"/>
                      </w:rPr>
                    </w:pPr>
                    <w:r>
                      <w:rPr>
                        <w:rFonts w:ascii="Calibri"/>
                        <w:sz w:val="20"/>
                      </w:rPr>
                      <w:t>5855</w:t>
                    </w:r>
                  </w:p>
                  <w:p>
                    <w:pPr>
                      <w:spacing w:line="240" w:lineRule="exact" w:before="1"/>
                      <w:ind w:left="14" w:right="0" w:firstLine="0"/>
                      <w:jc w:val="left"/>
                      <w:rPr>
                        <w:rFonts w:ascii="Calibri"/>
                        <w:sz w:val="20"/>
                      </w:rPr>
                    </w:pPr>
                    <w:r>
                      <w:rPr>
                        <w:rFonts w:ascii="Calibri"/>
                        <w:sz w:val="20"/>
                      </w:rPr>
                      <w:t>MHz</w:t>
                    </w:r>
                  </w:p>
                </w:txbxContent>
              </v:textbox>
              <w10:wrap type="none"/>
            </v:shape>
            <v:shape style="position:absolute;left:1704;top:2439;width:3618;height:200" type="#_x0000_t202" filled="false" stroked="false">
              <v:textbox inset="0,0,0,0">
                <w:txbxContent>
                  <w:p>
                    <w:pPr>
                      <w:spacing w:line="199" w:lineRule="exact" w:before="0"/>
                      <w:ind w:left="0" w:right="0" w:firstLine="0"/>
                      <w:jc w:val="left"/>
                      <w:rPr>
                        <w:rFonts w:ascii="Calibri"/>
                        <w:sz w:val="20"/>
                      </w:rPr>
                    </w:pPr>
                    <w:r>
                      <w:rPr>
                        <w:rFonts w:ascii="Calibri"/>
                        <w:color w:val="C00000"/>
                        <w:sz w:val="20"/>
                      </w:rPr>
                      <w:t>C-V2X 10MHz band (PSD not drawn to scale)</w:t>
                    </w:r>
                  </w:p>
                </w:txbxContent>
              </v:textbox>
              <w10:wrap type="none"/>
            </v:shape>
            <v:shape style="position:absolute;left:5814;top:2316;width:424;height:443" type="#_x0000_t202" filled="false" stroked="false">
              <v:textbox inset="0,0,0,0">
                <w:txbxContent>
                  <w:p>
                    <w:pPr>
                      <w:spacing w:line="203" w:lineRule="exact" w:before="0"/>
                      <w:ind w:left="0" w:right="0" w:firstLine="0"/>
                      <w:jc w:val="left"/>
                      <w:rPr>
                        <w:rFonts w:ascii="Calibri"/>
                        <w:sz w:val="20"/>
                      </w:rPr>
                    </w:pPr>
                    <w:r>
                      <w:rPr>
                        <w:rFonts w:ascii="Calibri"/>
                        <w:sz w:val="20"/>
                      </w:rPr>
                      <w:t>5865</w:t>
                    </w:r>
                  </w:p>
                  <w:p>
                    <w:pPr>
                      <w:spacing w:line="240" w:lineRule="exact" w:before="0"/>
                      <w:ind w:left="14" w:right="0" w:firstLine="0"/>
                      <w:jc w:val="left"/>
                      <w:rPr>
                        <w:rFonts w:ascii="Calibri"/>
                        <w:sz w:val="20"/>
                      </w:rPr>
                    </w:pPr>
                    <w:r>
                      <w:rPr>
                        <w:rFonts w:ascii="Calibri"/>
                        <w:sz w:val="20"/>
                      </w:rPr>
                      <w:t>MHz</w:t>
                    </w:r>
                  </w:p>
                </w:txbxContent>
              </v:textbox>
              <w10:wrap type="none"/>
            </v:shape>
          </v:group>
        </w:pict>
      </w:r>
      <w:r>
        <w:rPr/>
      </w:r>
    </w:p>
    <w:p>
      <w:pPr>
        <w:pStyle w:val="BodyText"/>
        <w:spacing w:before="3"/>
        <w:rPr>
          <w:sz w:val="28"/>
        </w:rPr>
      </w:pPr>
    </w:p>
    <w:p>
      <w:pPr>
        <w:spacing w:before="0"/>
        <w:ind w:left="1133" w:right="0" w:firstLine="0"/>
        <w:jc w:val="left"/>
        <w:rPr>
          <w:b/>
          <w:sz w:val="24"/>
        </w:rPr>
      </w:pPr>
      <w:r>
        <w:rPr/>
        <w:pict>
          <v:group style="position:absolute;margin-left:56.275002pt;margin-top:63.630863pt;width:468.75pt;height:328.5pt;mso-position-horizontal-relative:page;mso-position-vertical-relative:paragraph;z-index:10480" coordorigin="1126,1273" coordsize="9375,6570">
            <v:shape style="position:absolute;left:2128;top:2883;width:8100;height:4064" type="#_x0000_t75" stroked="false">
              <v:imagedata r:id="rId470" o:title=""/>
            </v:shape>
            <v:shape style="position:absolute;left:0;top:7518;width:8100;height:3900" coordorigin="0,7518" coordsize="8100,3900" path="m2128,6865l10227,6865m2128,6786l10227,6786m2128,6704l10227,6704m2128,6623l10227,6623m2128,6459l10227,6459m2128,6378l10227,6378m2128,6296l10227,6296m2128,6215l10227,6215m2128,6054l10227,6054m2128,5972l10227,5972m2128,5891l10227,5891m2128,5809l10227,5809m2128,5646l10227,5646m2128,5567l10227,5567m2128,5485l10227,5485m2128,5403l10227,5403m2128,5240l10227,5240m2128,5159l10227,5159m2128,5077l10227,5077m2128,4995l10227,4995m2128,4835l10227,4835m2128,4753l10227,4753m3828,4671l10227,4671m2128,4671l3670,4671m2128,4590l10227,4590m7877,4427l10227,4427m7066,4427l7719,4427m5446,4427l6907,4427m2128,4427l5287,4427m7877,4347l10227,4347m6257,4347l7719,4347m5446,4347l6099,4347m2128,4347l5287,4347m8686,4266l10227,4266m2128,4266l8527,4266m2128,4184l10227,4184m3017,4021l10227,4021m2128,4021l2859,4021m3017,3939l10227,3939m2128,3939l2859,3939m2128,3858l10227,3858m2128,3779l10227,3779m2611,3615l10227,3615m2128,3615l2453,3615m2128,3534l10227,3534m2128,3452l10227,3452m2128,3371l10227,3371m2128,3207l10227,3207m2128,3128l10227,3128m2128,3047l10227,3047m2128,2965l10147,2965e" filled="false" stroked="true" strokeweight=".75pt" strokecolor="#f1f1f1">
              <v:path arrowok="t"/>
              <v:stroke dashstyle="solid"/>
            </v:shape>
            <v:shape style="position:absolute;left:0;top:7760;width:8100;height:3658" coordorigin="0,7760" coordsize="8100,3658" path="m2128,6541l10227,6541m2128,6135l10227,6135m2128,5727l10227,5727m2128,5322l10227,5322m2128,4916l10227,4916m4637,4508l10227,4508m2128,4508l4479,4508m2128,4103l10227,4103m9497,3697l10227,3697m2128,3697l9339,3697m2128,3289l10227,3289m2128,2883l10147,2883e" filled="false" stroked="true" strokeweight=".75pt" strokecolor="#d9d9d9">
              <v:path arrowok="t"/>
              <v:stroke dashstyle="solid"/>
            </v:shape>
            <v:shape style="position:absolute;left:0;top:11418;width:7290;height:4064" coordorigin="0,11418" coordsize="7290,4064" path="m2938,2883l2938,3896m2938,4055l2938,6947m3749,2883l3749,4580m3749,4739l3749,6947m4558,2883l4558,4417m4558,4575l4558,6947m5366,2883l5366,4307m5366,4465l5366,6947m6178,2883l6178,4275m6178,4434l6178,6947m6986,2883l6986,4333m6986,4491l6986,6947m7798,2883l7798,4316m7798,4475l7798,6947m8606,2883l8606,4170m8606,4328l8606,6947m9418,2883l9418,3632m9418,3791l9418,6947m10227,2999l10227,6947e" filled="false" stroked="true" strokeweight=".75pt" strokecolor="#d9d9d9">
              <v:path arrowok="t"/>
              <v:stroke dashstyle="solid"/>
            </v:shape>
            <v:shape style="position:absolute;left:0;top:7354;width:8100;height:4064" coordorigin="0,7354" coordsize="8100,4064" path="m2128,6947l2128,2883m2128,6947l10227,6947e" filled="false" stroked="true" strokeweight=".75pt" strokecolor="#d9d9d9">
              <v:path arrowok="t"/>
              <v:stroke dashstyle="solid"/>
            </v:shape>
            <v:shape style="position:absolute;left:2533;top:3334;width:7695;height:3613" coordorigin="2533,3334" coordsize="7695,3613" path="m2533,6947l2533,6947,6178,6947,6986,3334,7798,3529,8606,4038,9418,3481,10227,3380e" filled="false" stroked="true" strokeweight="1.75pt" strokecolor="#006fc0">
              <v:path arrowok="t"/>
              <v:stroke dashstyle="solid"/>
            </v:shape>
            <v:shape style="position:absolute;left:-158;top:11259;width:159;height:159" coordorigin="-158,11259" coordsize="159,159" path="m2611,7026l2453,6867m2532,6867l2532,7026m2453,7026l2611,6867e" filled="false" stroked="true" strokeweight=".72pt" strokecolor="#4f81bc">
              <v:path arrowok="t"/>
              <v:stroke dashstyle="solid"/>
            </v:shape>
            <v:shape style="position:absolute;left:-158;top:11259;width:159;height:159" coordorigin="-158,11259" coordsize="159,159" path="m3017,7026l2859,6867m2938,6867l2938,7026m2859,7026l3017,6867e" filled="false" stroked="true" strokeweight=".72pt" strokecolor="#4f81bc">
              <v:path arrowok="t"/>
              <v:stroke dashstyle="solid"/>
            </v:shape>
            <v:shape style="position:absolute;left:-158;top:11259;width:159;height:159" coordorigin="-158,11259" coordsize="159,159" path="m3828,7026l3670,6867m3749,6867l3749,7026m3670,7026l3828,6867e" filled="false" stroked="true" strokeweight=".72pt" strokecolor="#4f81bc">
              <v:path arrowok="t"/>
              <v:stroke dashstyle="solid"/>
            </v:shape>
            <v:shape style="position:absolute;left:-158;top:11259;width:159;height:159" coordorigin="-158,11259" coordsize="159,159" path="m4637,7026l4479,6867m4558,6867l4558,7026m4479,7026l4637,6867e" filled="false" stroked="true" strokeweight=".72pt" strokecolor="#4f81bc">
              <v:path arrowok="t"/>
              <v:stroke dashstyle="solid"/>
            </v:shape>
            <v:shape style="position:absolute;left:-158;top:11259;width:159;height:159" coordorigin="-158,11259" coordsize="159,159" path="m5446,7026l5287,6867m5367,6867l5367,7026m5287,7026l5446,6867e" filled="false" stroked="true" strokeweight=".72pt" strokecolor="#4f81bc">
              <v:path arrowok="t"/>
              <v:stroke dashstyle="solid"/>
            </v:shape>
            <v:shape style="position:absolute;left:-158;top:11259;width:159;height:159" coordorigin="-158,11259" coordsize="159,159" path="m6257,7026l6099,6867m6178,6867l6178,7026m6099,7026l6257,6867e" filled="false" stroked="true" strokeweight=".72pt" strokecolor="#4f81bc">
              <v:path arrowok="t"/>
              <v:stroke dashstyle="solid"/>
            </v:shape>
            <v:shape style="position:absolute;left:-158;top:11259;width:159;height:159" coordorigin="-158,11259" coordsize="159,159" path="m7066,3414l6907,3255m6987,3255l6987,3414m6907,3414l7066,3255e" filled="false" stroked="true" strokeweight=".72pt" strokecolor="#4f81bc">
              <v:path arrowok="t"/>
              <v:stroke dashstyle="solid"/>
            </v:shape>
            <v:shape style="position:absolute;left:-158;top:11259;width:159;height:159" coordorigin="-158,11259" coordsize="159,159" path="m7877,3608l7719,3450m7798,3450l7798,3608m7719,3608l7877,3450e" filled="false" stroked="true" strokeweight=".72pt" strokecolor="#4f81bc">
              <v:path arrowok="t"/>
              <v:stroke dashstyle="solid"/>
            </v:shape>
            <v:shape style="position:absolute;left:-158;top:11259;width:159;height:159" coordorigin="-158,11259" coordsize="159,159" path="m8686,4117l8527,3959m8607,3959l8607,4117m8527,4117l8686,3959e" filled="false" stroked="true" strokeweight=".72pt" strokecolor="#4f81bc">
              <v:path arrowok="t"/>
              <v:stroke dashstyle="solid"/>
            </v:shape>
            <v:shape style="position:absolute;left:-158;top:11259;width:159;height:159" coordorigin="-158,11259" coordsize="159,159" path="m9497,3560l9339,3402m9418,3402l9418,3560m9339,3560l9497,3402e" filled="false" stroked="true" strokeweight=".72pt" strokecolor="#4f81bc">
              <v:path arrowok="t"/>
              <v:stroke dashstyle="solid"/>
            </v:shape>
            <v:shape style="position:absolute;left:-158;top:11259;width:159;height:159" coordorigin="-158,11259" coordsize="159,159" path="m10306,3459l10147,3301m10227,3301l10227,3459m10147,3459l10306,3301e" filled="false" stroked="true" strokeweight=".72pt" strokecolor="#4f81bc">
              <v:path arrowok="t"/>
              <v:stroke dashstyle="solid"/>
            </v:shape>
            <v:shape style="position:absolute;left:2533;top:6716;width:7695;height:232" coordorigin="2533,6716" coordsize="7695,232" path="m2533,6716l2938,6824,3749,6865,4558,6947,5366,6947,6178,6947,6986,6829,7798,6947,8606,6947,9418,6947,10227,6947e" filled="false" stroked="true" strokeweight="1.75pt" strokecolor="#00af50">
              <v:path arrowok="t"/>
              <v:stroke dashstyle="solid"/>
            </v:shape>
            <v:shape style="position:absolute;left:2446;top:6630;width:173;height:173" type="#_x0000_t75" stroked="false">
              <v:imagedata r:id="rId471" o:title=""/>
            </v:shape>
            <v:shape style="position:absolute;left:2851;top:6738;width:173;height:173" type="#_x0000_t75" stroked="false">
              <v:imagedata r:id="rId471" o:title=""/>
            </v:shape>
            <v:shape style="position:absolute;left:3663;top:6779;width:173;height:173" type="#_x0000_t75" stroked="false">
              <v:imagedata r:id="rId471" o:title=""/>
            </v:shape>
            <v:shape style="position:absolute;left:4471;top:6860;width:173;height:173" type="#_x0000_t75" stroked="false">
              <v:imagedata r:id="rId471" o:title=""/>
            </v:shape>
            <v:shape style="position:absolute;left:5280;top:6860;width:173;height:173" type="#_x0000_t75" stroked="false">
              <v:imagedata r:id="rId471" o:title=""/>
            </v:shape>
            <v:shape style="position:absolute;left:6091;top:6860;width:173;height:173" type="#_x0000_t75" stroked="false">
              <v:imagedata r:id="rId471" o:title=""/>
            </v:shape>
            <v:shape style="position:absolute;left:6900;top:6743;width:173;height:173" type="#_x0000_t75" stroked="false">
              <v:imagedata r:id="rId471" o:title=""/>
            </v:shape>
            <v:shape style="position:absolute;left:7711;top:6860;width:173;height:173" type="#_x0000_t75" stroked="false">
              <v:imagedata r:id="rId471" o:title=""/>
            </v:shape>
            <v:shape style="position:absolute;left:8520;top:6860;width:173;height:173" type="#_x0000_t75" stroked="false">
              <v:imagedata r:id="rId471" o:title=""/>
            </v:shape>
            <v:shape style="position:absolute;left:9331;top:6860;width:173;height:173" type="#_x0000_t75" stroked="false">
              <v:imagedata r:id="rId471" o:title=""/>
            </v:shape>
            <v:shape style="position:absolute;left:10140;top:6860;width:173;height:173" type="#_x0000_t75" stroked="false">
              <v:imagedata r:id="rId471" o:title=""/>
            </v:shape>
            <v:shape style="position:absolute;left:2533;top:2920;width:7695;height:1740" coordorigin="2533,2920" coordsize="7695,1740" path="m2533,3627l2938,3975,3749,4659,4558,4496,5366,4386,6178,4355,6986,4412,7798,4395,8606,4249,9418,3711,10227,2920e" filled="false" stroked="true" strokeweight="1.75pt" strokecolor="#ffc000">
              <v:path arrowok="t"/>
              <v:stroke dashstyle="solid"/>
            </v:shape>
            <v:rect style="position:absolute;left:2453;top:3548;width:158;height:158" filled="true" fillcolor="#ffc000" stroked="false">
              <v:fill type="solid"/>
            </v:rect>
            <v:rect style="position:absolute;left:2453;top:3548;width:158;height:158" filled="false" stroked="true" strokeweight=".24pt" strokecolor="#ffc000">
              <v:stroke dashstyle="solid"/>
            </v:rect>
            <v:rect style="position:absolute;left:2859;top:3896;width:158;height:158" filled="true" fillcolor="#ffc000" stroked="false">
              <v:fill type="solid"/>
            </v:rect>
            <v:rect style="position:absolute;left:2859;top:3896;width:158;height:158" filled="false" stroked="true" strokeweight=".24pt" strokecolor="#ffc000">
              <v:stroke dashstyle="solid"/>
            </v:rect>
            <v:rect style="position:absolute;left:3670;top:4580;width:158;height:158" filled="true" fillcolor="#ffc000" stroked="false">
              <v:fill type="solid"/>
            </v:rect>
            <v:rect style="position:absolute;left:3670;top:4580;width:158;height:158" filled="false" stroked="true" strokeweight=".24pt" strokecolor="#ffc000">
              <v:stroke dashstyle="solid"/>
            </v:rect>
            <v:rect style="position:absolute;left:4479;top:4417;width:158;height:158" filled="true" fillcolor="#ffc000" stroked="false">
              <v:fill type="solid"/>
            </v:rect>
            <v:rect style="position:absolute;left:4479;top:4417;width:158;height:158" filled="false" stroked="true" strokeweight=".24pt" strokecolor="#ffc000">
              <v:stroke dashstyle="solid"/>
            </v:rect>
            <v:rect style="position:absolute;left:5287;top:4307;width:158;height:158" filled="true" fillcolor="#ffc000" stroked="false">
              <v:fill type="solid"/>
            </v:rect>
            <v:rect style="position:absolute;left:5287;top:4307;width:158;height:158" filled="false" stroked="true" strokeweight=".24pt" strokecolor="#ffc000">
              <v:stroke dashstyle="solid"/>
            </v:rect>
            <v:rect style="position:absolute;left:6099;top:4275;width:158;height:158" filled="true" fillcolor="#ffc000" stroked="false">
              <v:fill type="solid"/>
            </v:rect>
            <v:rect style="position:absolute;left:6099;top:4275;width:158;height:158" filled="false" stroked="true" strokeweight=".24pt" strokecolor="#ffc000">
              <v:stroke dashstyle="solid"/>
            </v:rect>
            <v:rect style="position:absolute;left:6907;top:4333;width:158;height:158" filled="true" fillcolor="#ffc000" stroked="false">
              <v:fill type="solid"/>
            </v:rect>
            <v:rect style="position:absolute;left:6907;top:4333;width:158;height:158" filled="false" stroked="true" strokeweight=".24pt" strokecolor="#ffc000">
              <v:stroke dashstyle="solid"/>
            </v:rect>
            <v:rect style="position:absolute;left:7719;top:4316;width:158;height:158" filled="true" fillcolor="#ffc000" stroked="false">
              <v:fill type="solid"/>
            </v:rect>
            <v:rect style="position:absolute;left:7719;top:4316;width:158;height:158" filled="false" stroked="true" strokeweight=".24pt" strokecolor="#ffc000">
              <v:stroke dashstyle="solid"/>
            </v:rect>
            <v:rect style="position:absolute;left:8527;top:4170;width:158;height:158" filled="true" fillcolor="#ffc000" stroked="false">
              <v:fill type="solid"/>
            </v:rect>
            <v:rect style="position:absolute;left:8527;top:4170;width:158;height:158" filled="false" stroked="true" strokeweight=".24pt" strokecolor="#ffc000">
              <v:stroke dashstyle="solid"/>
            </v:rect>
            <v:rect style="position:absolute;left:9339;top:3632;width:158;height:158" filled="true" fillcolor="#ffc000" stroked="false">
              <v:fill type="solid"/>
            </v:rect>
            <v:rect style="position:absolute;left:9339;top:3632;width:158;height:158" filled="false" stroked="true" strokeweight=".24pt" strokecolor="#ffc000">
              <v:stroke dashstyle="solid"/>
            </v:rect>
            <v:rect style="position:absolute;left:10147;top:2840;width:158;height:158" filled="true" fillcolor="#ffc000" stroked="false">
              <v:fill type="solid"/>
            </v:rect>
            <v:rect style="position:absolute;left:10147;top:2840;width:158;height:158" filled="false" stroked="true" strokeweight=".24pt" strokecolor="#ffc000">
              <v:stroke dashstyle="solid"/>
            </v:rect>
            <v:shape style="position:absolute;left:2453;top:3548;width:159;height:159" coordorigin="2453,3548" coordsize="159,159" path="m2532,3627l2453,3707,2611,3707,2532,3627xm2611,3548l2453,3548,2532,3627,2611,3548xe" filled="true" fillcolor="#ffc000" stroked="false">
              <v:path arrowok="t"/>
              <v:fill type="solid"/>
            </v:shape>
            <v:shape style="position:absolute;left:-158;top:11259;width:159;height:159" coordorigin="-158,11259" coordsize="159,159" path="m2611,3707l2453,3548m2453,3707l2611,3548e" filled="false" stroked="true" strokeweight=".72pt" strokecolor="#ffc000">
              <v:path arrowok="t"/>
              <v:stroke dashstyle="solid"/>
            </v:shape>
            <v:shape style="position:absolute;left:2859;top:3896;width:159;height:159" coordorigin="2859,3896" coordsize="159,159" path="m2938,3975l2859,4055,3017,4055,2938,3975xm3017,3896l2859,3896,2938,3975,3017,3896xe" filled="true" fillcolor="#ffc000" stroked="false">
              <v:path arrowok="t"/>
              <v:fill type="solid"/>
            </v:shape>
            <v:shape style="position:absolute;left:-158;top:11259;width:159;height:159" coordorigin="-158,11259" coordsize="159,159" path="m3017,4055l2859,3896m2859,4055l3017,3896e" filled="false" stroked="true" strokeweight=".72pt" strokecolor="#ffc000">
              <v:path arrowok="t"/>
              <v:stroke dashstyle="solid"/>
            </v:shape>
            <v:shape style="position:absolute;left:3670;top:4580;width:159;height:159" coordorigin="3670,4580" coordsize="159,159" path="m3749,4659l3670,4739,3828,4739,3749,4659xm3828,4580l3670,4580,3749,4659,3828,4580xe" filled="true" fillcolor="#ffc000" stroked="false">
              <v:path arrowok="t"/>
              <v:fill type="solid"/>
            </v:shape>
            <v:shape style="position:absolute;left:-158;top:11259;width:159;height:159" coordorigin="-158,11259" coordsize="159,159" path="m3828,4739l3670,4580m3670,4739l3828,4580e" filled="false" stroked="true" strokeweight=".72pt" strokecolor="#ffc000">
              <v:path arrowok="t"/>
              <v:stroke dashstyle="solid"/>
            </v:shape>
            <v:shape style="position:absolute;left:4479;top:4417;width:159;height:159" coordorigin="4479,4417" coordsize="159,159" path="m4558,4496l4479,4575,4637,4575,4558,4496xm4637,4417l4479,4417,4558,4496,4637,4417xe" filled="true" fillcolor="#ffc000" stroked="false">
              <v:path arrowok="t"/>
              <v:fill type="solid"/>
            </v:shape>
            <v:shape style="position:absolute;left:-158;top:11259;width:159;height:159" coordorigin="-158,11259" coordsize="159,159" path="m4637,4575l4479,4417m4479,4575l4637,4417e" filled="false" stroked="true" strokeweight=".72pt" strokecolor="#ffc000">
              <v:path arrowok="t"/>
              <v:stroke dashstyle="solid"/>
            </v:shape>
            <v:shape style="position:absolute;left:5287;top:4307;width:159;height:159" coordorigin="5287,4307" coordsize="159,159" path="m5367,4386l5287,4465,5446,4465,5367,4386xm5446,4307l5287,4307,5367,4386,5446,4307xe" filled="true" fillcolor="#ffc000" stroked="false">
              <v:path arrowok="t"/>
              <v:fill type="solid"/>
            </v:shape>
            <v:shape style="position:absolute;left:-158;top:11259;width:159;height:159" coordorigin="-158,11259" coordsize="159,159" path="m5446,4465l5287,4307m5287,4465l5446,4307e" filled="false" stroked="true" strokeweight=".72pt" strokecolor="#ffc000">
              <v:path arrowok="t"/>
              <v:stroke dashstyle="solid"/>
            </v:shape>
            <v:shape style="position:absolute;left:6099;top:4275;width:159;height:159" coordorigin="6099,4275" coordsize="159,159" path="m6178,4355l6099,4434,6257,4434,6178,4355xm6257,4275l6099,4275,6178,4355,6257,4275xe" filled="true" fillcolor="#ffc000" stroked="false">
              <v:path arrowok="t"/>
              <v:fill type="solid"/>
            </v:shape>
            <v:shape style="position:absolute;left:-158;top:11259;width:159;height:159" coordorigin="-158,11259" coordsize="159,159" path="m6257,4434l6099,4275m6099,4434l6257,4275e" filled="false" stroked="true" strokeweight=".72pt" strokecolor="#ffc000">
              <v:path arrowok="t"/>
              <v:stroke dashstyle="solid"/>
            </v:shape>
            <v:shape style="position:absolute;left:6907;top:4333;width:159;height:159" coordorigin="6907,4333" coordsize="159,159" path="m6987,4412l6907,4491,7066,4491,6987,4412xm7066,4333l6907,4333,6987,4412,7066,4333xe" filled="true" fillcolor="#ffc000" stroked="false">
              <v:path arrowok="t"/>
              <v:fill type="solid"/>
            </v:shape>
            <v:shape style="position:absolute;left:-158;top:11259;width:159;height:159" coordorigin="-158,11259" coordsize="159,159" path="m7066,4491l6907,4333m6907,4491l7066,4333e" filled="false" stroked="true" strokeweight=".72pt" strokecolor="#ffc000">
              <v:path arrowok="t"/>
              <v:stroke dashstyle="solid"/>
            </v:shape>
            <v:shape style="position:absolute;left:7719;top:4316;width:159;height:159" coordorigin="7719,4316" coordsize="159,159" path="m7798,4395l7719,4475,7877,4475,7798,4395xm7877,4316l7719,4316,7798,4395,7877,4316xe" filled="true" fillcolor="#ffc000" stroked="false">
              <v:path arrowok="t"/>
              <v:fill type="solid"/>
            </v:shape>
            <v:shape style="position:absolute;left:-158;top:11259;width:159;height:159" coordorigin="-158,11259" coordsize="159,159" path="m7877,4475l7719,4316m7719,4475l7877,4316e" filled="false" stroked="true" strokeweight=".72pt" strokecolor="#ffc000">
              <v:path arrowok="t"/>
              <v:stroke dashstyle="solid"/>
            </v:shape>
            <v:shape style="position:absolute;left:8527;top:4170;width:159;height:159" coordorigin="8527,4170" coordsize="159,159" path="m8607,4249l8527,4328,8686,4328,8607,4249xm8686,4170l8527,4170,8607,4249,8686,4170xe" filled="true" fillcolor="#ffc000" stroked="false">
              <v:path arrowok="t"/>
              <v:fill type="solid"/>
            </v:shape>
            <v:shape style="position:absolute;left:-158;top:11259;width:159;height:159" coordorigin="-158,11259" coordsize="159,159" path="m8686,4328l8527,4170m8527,4328l8686,4170e" filled="false" stroked="true" strokeweight=".72pt" strokecolor="#ffc000">
              <v:path arrowok="t"/>
              <v:stroke dashstyle="solid"/>
            </v:shape>
            <v:shape style="position:absolute;left:9339;top:3632;width:159;height:159" coordorigin="9339,3632" coordsize="159,159" path="m9418,3711l9339,3791,9497,3791,9418,3711xm9497,3632l9339,3632,9418,3711,9497,3632xe" filled="true" fillcolor="#ffc000" stroked="false">
              <v:path arrowok="t"/>
              <v:fill type="solid"/>
            </v:shape>
            <v:shape style="position:absolute;left:-158;top:11259;width:159;height:159" coordorigin="-158,11259" coordsize="159,159" path="m9497,3791l9339,3632m9339,3791l9497,3632e" filled="false" stroked="true" strokeweight=".72pt" strokecolor="#ffc000">
              <v:path arrowok="t"/>
              <v:stroke dashstyle="solid"/>
            </v:shape>
            <v:shape style="position:absolute;left:10147;top:2840;width:159;height:159" coordorigin="10147,2840" coordsize="159,159" path="m10227,2919l10147,2999,10306,2999,10227,2919xm10306,2840l10147,2840,10227,2919,10306,2840xe" filled="true" fillcolor="#ffc000" stroked="false">
              <v:path arrowok="t"/>
              <v:fill type="solid"/>
            </v:shape>
            <v:shape style="position:absolute;left:-158;top:11259;width:159;height:159" coordorigin="-158,11259" coordsize="159,159" path="m10306,2999l10147,2840m10147,2999l10306,2840e" filled="false" stroked="true" strokeweight=".72pt" strokecolor="#ffc000">
              <v:path arrowok="t"/>
              <v:stroke dashstyle="solid"/>
            </v:shape>
            <v:shape style="position:absolute;left:2533;top:2883;width:7695;height:2" coordorigin="2533,2883" coordsize="7695,0" path="m2533,2883l2533,2883,9418,2883,10227,2883e" filled="false" stroked="true" strokeweight="1.75pt" strokecolor="#c00000">
              <v:path arrowok="t"/>
              <v:stroke dashstyle="solid"/>
            </v:shape>
            <v:shape style="position:absolute;left:2455;top:2807;width:154;height:154" type="#_x0000_t75" stroked="false">
              <v:imagedata r:id="rId472" o:title=""/>
            </v:shape>
            <v:shape style="position:absolute;left:2861;top:2807;width:154;height:154" type="#_x0000_t75" stroked="false">
              <v:imagedata r:id="rId472" o:title=""/>
            </v:shape>
            <v:shape style="position:absolute;left:3672;top:2807;width:154;height:154" type="#_x0000_t75" stroked="false">
              <v:imagedata r:id="rId473" o:title=""/>
            </v:shape>
            <v:shape style="position:absolute;left:4481;top:2807;width:154;height:154" type="#_x0000_t75" stroked="false">
              <v:imagedata r:id="rId472" o:title=""/>
            </v:shape>
            <v:shape style="position:absolute;left:5290;top:2807;width:154;height:154" type="#_x0000_t75" stroked="false">
              <v:imagedata r:id="rId472" o:title=""/>
            </v:shape>
            <v:shape style="position:absolute;left:6101;top:2807;width:154;height:154" type="#_x0000_t75" stroked="false">
              <v:imagedata r:id="rId472" o:title=""/>
            </v:shape>
            <v:shape style="position:absolute;left:6910;top:2807;width:154;height:154" type="#_x0000_t75" stroked="false">
              <v:imagedata r:id="rId472" o:title=""/>
            </v:shape>
            <v:shape style="position:absolute;left:7721;top:2807;width:154;height:154" type="#_x0000_t75" stroked="false">
              <v:imagedata r:id="rId472" o:title=""/>
            </v:shape>
            <v:shape style="position:absolute;left:8530;top:2807;width:154;height:154" type="#_x0000_t75" stroked="false">
              <v:imagedata r:id="rId472" o:title=""/>
            </v:shape>
            <v:shape style="position:absolute;left:9341;top:2807;width:154;height:154" type="#_x0000_t75" stroked="false">
              <v:imagedata r:id="rId472" o:title=""/>
            </v:shape>
            <v:shape style="position:absolute;left:10150;top:2807;width:154;height:154" type="#_x0000_t75" stroked="false">
              <v:imagedata r:id="rId472" o:title=""/>
            </v:shape>
            <v:line style="position:absolute" from="1830,2078" to="2214,2078" stroked="true" strokeweight="1.75pt" strokecolor="#006fc0">
              <v:stroke dashstyle="solid"/>
            </v:line>
            <v:shape style="position:absolute;left:-139;top:11279;width:140;height:140" coordorigin="-139,11279" coordsize="140,140" path="m2090,2147l1951,2007m2021,2007l2021,2147m1951,2147l2090,2007e" filled="false" stroked="true" strokeweight=".75pt" strokecolor="#4f81bc">
              <v:path arrowok="t"/>
              <v:stroke dashstyle="solid"/>
            </v:shape>
            <v:shape style="position:absolute;left:5858;top:2000;width:419;height:154" type="#_x0000_t75" stroked="false">
              <v:imagedata r:id="rId474" o:title=""/>
            </v:shape>
            <v:shape style="position:absolute;left:1813;top:2410;width:419;height:154" type="#_x0000_t75" stroked="false">
              <v:imagedata r:id="rId475" o:title=""/>
            </v:shape>
            <v:line style="position:absolute" from="1830,2488" to="1951,2488" stroked="true" strokeweight="1.75pt" strokecolor="#ffc000">
              <v:stroke dashstyle="solid"/>
            </v:line>
            <v:shape style="position:absolute;left:5858;top:2411;width:419;height:154" type="#_x0000_t75" stroked="false">
              <v:imagedata r:id="rId476" o:title=""/>
            </v:shape>
            <v:rect style="position:absolute;left:1133;top:1280;width:9360;height:6555" filled="false" stroked="true" strokeweight=".75pt" strokecolor="#d9d9d9">
              <v:stroke dashstyle="solid"/>
            </v:rect>
            <v:shape style="position:absolute;left:4055;top:1479;width:3507;height:240" type="#_x0000_t202" filled="false" stroked="false">
              <v:textbox inset="0,0,0,0">
                <w:txbxContent>
                  <w:p>
                    <w:pPr>
                      <w:spacing w:line="240" w:lineRule="exact" w:before="0"/>
                      <w:ind w:left="0" w:right="0" w:firstLine="0"/>
                      <w:jc w:val="left"/>
                      <w:rPr>
                        <w:rFonts w:ascii="Calibri"/>
                        <w:b/>
                        <w:sz w:val="24"/>
                      </w:rPr>
                    </w:pPr>
                    <w:r>
                      <w:rPr>
                        <w:rFonts w:ascii="Calibri"/>
                        <w:b/>
                        <w:color w:val="585858"/>
                        <w:spacing w:val="21"/>
                        <w:sz w:val="24"/>
                      </w:rPr>
                      <w:t>INTERFERER </w:t>
                    </w:r>
                    <w:r>
                      <w:rPr>
                        <w:rFonts w:ascii="Calibri"/>
                        <w:b/>
                        <w:color w:val="585858"/>
                        <w:spacing w:val="2"/>
                        <w:sz w:val="24"/>
                      </w:rPr>
                      <w:t>AT  </w:t>
                    </w:r>
                    <w:r>
                      <w:rPr>
                        <w:rFonts w:ascii="Calibri"/>
                        <w:b/>
                        <w:color w:val="585858"/>
                        <w:spacing w:val="17"/>
                        <w:sz w:val="24"/>
                      </w:rPr>
                      <w:t>GUARD</w:t>
                    </w:r>
                    <w:r>
                      <w:rPr>
                        <w:rFonts w:ascii="Calibri"/>
                        <w:b/>
                        <w:color w:val="585858"/>
                        <w:spacing w:val="67"/>
                        <w:sz w:val="24"/>
                      </w:rPr>
                      <w:t> </w:t>
                    </w:r>
                    <w:r>
                      <w:rPr>
                        <w:rFonts w:ascii="Calibri"/>
                        <w:b/>
                        <w:color w:val="585858"/>
                        <w:spacing w:val="17"/>
                        <w:sz w:val="24"/>
                      </w:rPr>
                      <w:t>BAND</w:t>
                    </w:r>
                  </w:p>
                </w:txbxContent>
              </v:textbox>
              <w10:wrap type="none"/>
            </v:shape>
            <v:shape style="position:absolute;left:2256;top:1968;width:2942;height:651" type="#_x0000_t202" filled="false" stroked="false">
              <v:textbox inset="0,0,0,0">
                <w:txbxContent>
                  <w:p>
                    <w:pPr>
                      <w:spacing w:line="244" w:lineRule="exact" w:before="0"/>
                      <w:ind w:left="0" w:right="0" w:firstLine="0"/>
                      <w:jc w:val="left"/>
                      <w:rPr>
                        <w:rFonts w:ascii="Calibri"/>
                        <w:sz w:val="24"/>
                      </w:rPr>
                    </w:pPr>
                    <w:r>
                      <w:rPr>
                        <w:rFonts w:ascii="Calibri"/>
                        <w:color w:val="585858"/>
                        <w:sz w:val="24"/>
                      </w:rPr>
                      <w:t>C-V2X PER % (Interferer at Rx)</w:t>
                    </w:r>
                  </w:p>
                  <w:p>
                    <w:pPr>
                      <w:spacing w:line="289" w:lineRule="exact" w:before="117"/>
                      <w:ind w:left="0" w:right="0" w:firstLine="0"/>
                      <w:jc w:val="left"/>
                      <w:rPr>
                        <w:rFonts w:ascii="Calibri"/>
                        <w:sz w:val="24"/>
                      </w:rPr>
                    </w:pPr>
                    <w:r>
                      <w:rPr>
                        <w:rFonts w:ascii="Calibri"/>
                        <w:color w:val="585858"/>
                        <w:sz w:val="24"/>
                      </w:rPr>
                      <w:t>DSRC PER % (Interferer at Rx)</w:t>
                    </w:r>
                  </w:p>
                </w:txbxContent>
              </v:textbox>
              <w10:wrap type="none"/>
            </v:shape>
            <v:shape style="position:absolute;left:6302;top:1968;width:3582;height:651" type="#_x0000_t202" filled="false" stroked="false">
              <v:textbox inset="0,0,0,0">
                <w:txbxContent>
                  <w:p>
                    <w:pPr>
                      <w:spacing w:line="244" w:lineRule="exact" w:before="0"/>
                      <w:ind w:left="0" w:right="0" w:firstLine="0"/>
                      <w:jc w:val="left"/>
                      <w:rPr>
                        <w:rFonts w:ascii="Calibri"/>
                        <w:sz w:val="24"/>
                      </w:rPr>
                    </w:pPr>
                    <w:r>
                      <w:rPr>
                        <w:rFonts w:ascii="Calibri"/>
                        <w:color w:val="585858"/>
                        <w:sz w:val="24"/>
                      </w:rPr>
                      <w:t>C-V2X PER %(Interferer at Tx and Rx)</w:t>
                    </w:r>
                  </w:p>
                  <w:p>
                    <w:pPr>
                      <w:spacing w:line="289" w:lineRule="exact" w:before="117"/>
                      <w:ind w:left="0" w:right="0" w:firstLine="0"/>
                      <w:jc w:val="left"/>
                      <w:rPr>
                        <w:rFonts w:ascii="Calibri"/>
                        <w:sz w:val="24"/>
                      </w:rPr>
                    </w:pPr>
                    <w:r>
                      <w:rPr>
                        <w:rFonts w:ascii="Calibri"/>
                        <w:color w:val="585858"/>
                        <w:sz w:val="24"/>
                      </w:rPr>
                      <w:t>DSRC PER %(Interferer at Tx and Rx)</w:t>
                    </w:r>
                  </w:p>
                </w:txbxContent>
              </v:textbox>
              <w10:wrap type="none"/>
            </v:shape>
            <v:shape style="position:absolute;left:1688;top:2800;width:294;height:4245" type="#_x0000_t202" filled="false" stroked="false">
              <v:textbox inset="0,0,0,0">
                <w:txbxContent>
                  <w:p>
                    <w:pPr>
                      <w:spacing w:line="183" w:lineRule="exact" w:before="0"/>
                      <w:ind w:left="0" w:right="18" w:firstLine="0"/>
                      <w:jc w:val="center"/>
                      <w:rPr>
                        <w:rFonts w:ascii="Calibri"/>
                        <w:sz w:val="18"/>
                      </w:rPr>
                    </w:pPr>
                    <w:r>
                      <w:rPr>
                        <w:rFonts w:ascii="Calibri"/>
                        <w:color w:val="585858"/>
                        <w:sz w:val="18"/>
                      </w:rPr>
                      <w:t>100</w:t>
                    </w:r>
                  </w:p>
                  <w:p>
                    <w:pPr>
                      <w:spacing w:line="240" w:lineRule="auto" w:before="2"/>
                      <w:rPr>
                        <w:sz w:val="16"/>
                      </w:rPr>
                    </w:pPr>
                  </w:p>
                  <w:p>
                    <w:pPr>
                      <w:spacing w:before="1"/>
                      <w:ind w:left="91" w:right="0" w:firstLine="0"/>
                      <w:jc w:val="left"/>
                      <w:rPr>
                        <w:rFonts w:ascii="Calibri"/>
                        <w:sz w:val="18"/>
                      </w:rPr>
                    </w:pPr>
                    <w:r>
                      <w:rPr>
                        <w:rFonts w:ascii="Calibri"/>
                        <w:color w:val="585858"/>
                        <w:sz w:val="18"/>
                      </w:rPr>
                      <w:t>90</w:t>
                    </w:r>
                  </w:p>
                  <w:p>
                    <w:pPr>
                      <w:spacing w:line="240" w:lineRule="auto" w:before="2"/>
                      <w:rPr>
                        <w:sz w:val="16"/>
                      </w:rPr>
                    </w:pPr>
                  </w:p>
                  <w:p>
                    <w:pPr>
                      <w:spacing w:before="0"/>
                      <w:ind w:left="91" w:right="0" w:firstLine="0"/>
                      <w:jc w:val="left"/>
                      <w:rPr>
                        <w:rFonts w:ascii="Calibri"/>
                        <w:sz w:val="18"/>
                      </w:rPr>
                    </w:pPr>
                    <w:r>
                      <w:rPr>
                        <w:rFonts w:ascii="Calibri"/>
                        <w:color w:val="585858"/>
                        <w:sz w:val="18"/>
                      </w:rPr>
                      <w:t>80</w:t>
                    </w:r>
                  </w:p>
                  <w:p>
                    <w:pPr>
                      <w:spacing w:line="240" w:lineRule="auto" w:before="2"/>
                      <w:rPr>
                        <w:sz w:val="16"/>
                      </w:rPr>
                    </w:pPr>
                  </w:p>
                  <w:p>
                    <w:pPr>
                      <w:spacing w:before="0"/>
                      <w:ind w:left="91" w:right="0" w:firstLine="0"/>
                      <w:jc w:val="left"/>
                      <w:rPr>
                        <w:rFonts w:ascii="Calibri"/>
                        <w:sz w:val="18"/>
                      </w:rPr>
                    </w:pPr>
                    <w:r>
                      <w:rPr>
                        <w:rFonts w:ascii="Calibri"/>
                        <w:color w:val="585858"/>
                        <w:sz w:val="18"/>
                      </w:rPr>
                      <w:t>70</w:t>
                    </w:r>
                  </w:p>
                  <w:p>
                    <w:pPr>
                      <w:spacing w:line="240" w:lineRule="auto" w:before="2"/>
                      <w:rPr>
                        <w:sz w:val="16"/>
                      </w:rPr>
                    </w:pPr>
                  </w:p>
                  <w:p>
                    <w:pPr>
                      <w:spacing w:before="0"/>
                      <w:ind w:left="91" w:right="0" w:firstLine="0"/>
                      <w:jc w:val="left"/>
                      <w:rPr>
                        <w:rFonts w:ascii="Calibri"/>
                        <w:sz w:val="18"/>
                      </w:rPr>
                    </w:pPr>
                    <w:r>
                      <w:rPr>
                        <w:rFonts w:ascii="Calibri"/>
                        <w:color w:val="585858"/>
                        <w:sz w:val="18"/>
                      </w:rPr>
                      <w:t>60</w:t>
                    </w:r>
                  </w:p>
                  <w:p>
                    <w:pPr>
                      <w:spacing w:line="240" w:lineRule="auto" w:before="2"/>
                      <w:rPr>
                        <w:sz w:val="16"/>
                      </w:rPr>
                    </w:pPr>
                  </w:p>
                  <w:p>
                    <w:pPr>
                      <w:spacing w:before="0"/>
                      <w:ind w:left="91" w:right="0" w:firstLine="0"/>
                      <w:jc w:val="left"/>
                      <w:rPr>
                        <w:rFonts w:ascii="Calibri"/>
                        <w:sz w:val="18"/>
                      </w:rPr>
                    </w:pPr>
                    <w:r>
                      <w:rPr>
                        <w:rFonts w:ascii="Calibri"/>
                        <w:color w:val="585858"/>
                        <w:sz w:val="18"/>
                      </w:rPr>
                      <w:t>50</w:t>
                    </w:r>
                  </w:p>
                  <w:p>
                    <w:pPr>
                      <w:spacing w:line="240" w:lineRule="auto" w:before="1"/>
                      <w:rPr>
                        <w:sz w:val="16"/>
                      </w:rPr>
                    </w:pPr>
                  </w:p>
                  <w:p>
                    <w:pPr>
                      <w:spacing w:before="1"/>
                      <w:ind w:left="91" w:right="0" w:firstLine="0"/>
                      <w:jc w:val="left"/>
                      <w:rPr>
                        <w:rFonts w:ascii="Calibri"/>
                        <w:sz w:val="18"/>
                      </w:rPr>
                    </w:pPr>
                    <w:r>
                      <w:rPr>
                        <w:rFonts w:ascii="Calibri"/>
                        <w:color w:val="585858"/>
                        <w:sz w:val="18"/>
                      </w:rPr>
                      <w:t>40</w:t>
                    </w:r>
                  </w:p>
                  <w:p>
                    <w:pPr>
                      <w:spacing w:line="240" w:lineRule="auto" w:before="3"/>
                      <w:rPr>
                        <w:sz w:val="16"/>
                      </w:rPr>
                    </w:pPr>
                  </w:p>
                  <w:p>
                    <w:pPr>
                      <w:spacing w:before="0"/>
                      <w:ind w:left="91" w:right="0" w:firstLine="0"/>
                      <w:jc w:val="left"/>
                      <w:rPr>
                        <w:rFonts w:ascii="Calibri"/>
                        <w:sz w:val="18"/>
                      </w:rPr>
                    </w:pPr>
                    <w:r>
                      <w:rPr>
                        <w:rFonts w:ascii="Calibri"/>
                        <w:color w:val="585858"/>
                        <w:sz w:val="18"/>
                      </w:rPr>
                      <w:t>30</w:t>
                    </w:r>
                  </w:p>
                  <w:p>
                    <w:pPr>
                      <w:spacing w:line="240" w:lineRule="auto" w:before="2"/>
                      <w:rPr>
                        <w:sz w:val="16"/>
                      </w:rPr>
                    </w:pPr>
                  </w:p>
                  <w:p>
                    <w:pPr>
                      <w:spacing w:before="1"/>
                      <w:ind w:left="91" w:right="0" w:firstLine="0"/>
                      <w:jc w:val="left"/>
                      <w:rPr>
                        <w:rFonts w:ascii="Calibri"/>
                        <w:sz w:val="18"/>
                      </w:rPr>
                    </w:pPr>
                    <w:r>
                      <w:rPr>
                        <w:rFonts w:ascii="Calibri"/>
                        <w:color w:val="585858"/>
                        <w:sz w:val="18"/>
                      </w:rPr>
                      <w:t>20</w:t>
                    </w:r>
                  </w:p>
                  <w:p>
                    <w:pPr>
                      <w:spacing w:line="240" w:lineRule="auto" w:before="3"/>
                      <w:rPr>
                        <w:sz w:val="16"/>
                      </w:rPr>
                    </w:pPr>
                  </w:p>
                  <w:p>
                    <w:pPr>
                      <w:spacing w:before="0"/>
                      <w:ind w:left="91" w:right="0" w:firstLine="0"/>
                      <w:jc w:val="left"/>
                      <w:rPr>
                        <w:rFonts w:ascii="Calibri"/>
                        <w:sz w:val="18"/>
                      </w:rPr>
                    </w:pPr>
                    <w:r>
                      <w:rPr>
                        <w:rFonts w:ascii="Calibri"/>
                        <w:color w:val="585858"/>
                        <w:sz w:val="18"/>
                      </w:rPr>
                      <w:t>10</w:t>
                    </w:r>
                  </w:p>
                  <w:p>
                    <w:pPr>
                      <w:spacing w:line="240" w:lineRule="auto" w:before="2"/>
                      <w:rPr>
                        <w:sz w:val="16"/>
                      </w:rPr>
                    </w:pPr>
                  </w:p>
                  <w:p>
                    <w:pPr>
                      <w:spacing w:line="216" w:lineRule="exact" w:before="0"/>
                      <w:ind w:left="162" w:right="0" w:firstLine="0"/>
                      <w:jc w:val="center"/>
                      <w:rPr>
                        <w:rFonts w:ascii="Calibri"/>
                        <w:sz w:val="18"/>
                      </w:rPr>
                    </w:pPr>
                    <w:r>
                      <w:rPr>
                        <w:rFonts w:ascii="Calibri"/>
                        <w:color w:val="585858"/>
                        <w:sz w:val="18"/>
                      </w:rPr>
                      <w:t>0</w:t>
                    </w:r>
                  </w:p>
                </w:txbxContent>
              </v:textbox>
              <w10:wrap type="none"/>
            </v:shape>
            <v:shape style="position:absolute;left:2071;top:7099;width:11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w:t>
                    </w:r>
                  </w:p>
                </w:txbxContent>
              </v:textbox>
              <w10:wrap type="none"/>
            </v:shape>
            <v:shape style="position:absolute;left:2787;top:7099;width:296;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w:t>
                    </w:r>
                    <w:r>
                      <w:rPr>
                        <w:rFonts w:ascii="Calibri"/>
                        <w:color w:val="585858"/>
                        <w:spacing w:val="-17"/>
                        <w:sz w:val="18"/>
                      </w:rPr>
                      <w:t> </w:t>
                    </w:r>
                    <w:r>
                      <w:rPr>
                        <w:rFonts w:ascii="Calibri"/>
                        <w:color w:val="585858"/>
                        <w:sz w:val="18"/>
                      </w:rPr>
                      <w:t>,</w:t>
                    </w:r>
                    <w:r>
                      <w:rPr>
                        <w:rFonts w:ascii="Calibri"/>
                        <w:color w:val="585858"/>
                        <w:spacing w:val="-17"/>
                        <w:sz w:val="18"/>
                      </w:rPr>
                      <w:t> </w:t>
                    </w:r>
                    <w:r>
                      <w:rPr>
                        <w:rFonts w:ascii="Calibri"/>
                        <w:color w:val="585858"/>
                        <w:sz w:val="18"/>
                      </w:rPr>
                      <w:t>1</w:t>
                    </w:r>
                  </w:p>
                </w:txbxContent>
              </v:textbox>
              <w10:wrap type="none"/>
            </v:shape>
            <v:shape style="position:absolute;left:3597;top:7099;width:296;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w:t>
                    </w:r>
                    <w:r>
                      <w:rPr>
                        <w:rFonts w:ascii="Calibri"/>
                        <w:color w:val="585858"/>
                        <w:spacing w:val="-17"/>
                        <w:sz w:val="18"/>
                      </w:rPr>
                      <w:t> </w:t>
                    </w:r>
                    <w:r>
                      <w:rPr>
                        <w:rFonts w:ascii="Calibri"/>
                        <w:color w:val="585858"/>
                        <w:sz w:val="18"/>
                      </w:rPr>
                      <w:t>,</w:t>
                    </w:r>
                    <w:r>
                      <w:rPr>
                        <w:rFonts w:ascii="Calibri"/>
                        <w:color w:val="585858"/>
                        <w:spacing w:val="-17"/>
                        <w:sz w:val="18"/>
                      </w:rPr>
                      <w:t> </w:t>
                    </w:r>
                    <w:r>
                      <w:rPr>
                        <w:rFonts w:ascii="Calibri"/>
                        <w:color w:val="585858"/>
                        <w:sz w:val="18"/>
                      </w:rPr>
                      <w:t>2</w:t>
                    </w:r>
                  </w:p>
                </w:txbxContent>
              </v:textbox>
              <w10:wrap type="none"/>
            </v:shape>
            <v:shape style="position:absolute;left:4407;top:7099;width:296;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w:t>
                    </w:r>
                    <w:r>
                      <w:rPr>
                        <w:rFonts w:ascii="Calibri"/>
                        <w:color w:val="585858"/>
                        <w:spacing w:val="-17"/>
                        <w:sz w:val="18"/>
                      </w:rPr>
                      <w:t> </w:t>
                    </w:r>
                    <w:r>
                      <w:rPr>
                        <w:rFonts w:ascii="Calibri"/>
                        <w:color w:val="585858"/>
                        <w:sz w:val="18"/>
                      </w:rPr>
                      <w:t>,</w:t>
                    </w:r>
                    <w:r>
                      <w:rPr>
                        <w:rFonts w:ascii="Calibri"/>
                        <w:color w:val="585858"/>
                        <w:spacing w:val="-17"/>
                        <w:sz w:val="18"/>
                      </w:rPr>
                      <w:t> </w:t>
                    </w:r>
                    <w:r>
                      <w:rPr>
                        <w:rFonts w:ascii="Calibri"/>
                        <w:color w:val="585858"/>
                        <w:sz w:val="18"/>
                      </w:rPr>
                      <w:t>3</w:t>
                    </w:r>
                  </w:p>
                </w:txbxContent>
              </v:textbox>
              <w10:wrap type="none"/>
            </v:shape>
            <v:shape style="position:absolute;left:5218;top:7099;width:296;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w:t>
                    </w:r>
                    <w:r>
                      <w:rPr>
                        <w:rFonts w:ascii="Calibri"/>
                        <w:color w:val="585858"/>
                        <w:spacing w:val="-17"/>
                        <w:sz w:val="18"/>
                      </w:rPr>
                      <w:t> </w:t>
                    </w:r>
                    <w:r>
                      <w:rPr>
                        <w:rFonts w:ascii="Calibri"/>
                        <w:color w:val="585858"/>
                        <w:sz w:val="18"/>
                      </w:rPr>
                      <w:t>,</w:t>
                    </w:r>
                    <w:r>
                      <w:rPr>
                        <w:rFonts w:ascii="Calibri"/>
                        <w:color w:val="585858"/>
                        <w:spacing w:val="-17"/>
                        <w:sz w:val="18"/>
                      </w:rPr>
                      <w:t> </w:t>
                    </w:r>
                    <w:r>
                      <w:rPr>
                        <w:rFonts w:ascii="Calibri"/>
                        <w:color w:val="585858"/>
                        <w:sz w:val="18"/>
                      </w:rPr>
                      <w:t>4</w:t>
                    </w:r>
                  </w:p>
                </w:txbxContent>
              </v:textbox>
              <w10:wrap type="none"/>
            </v:shape>
            <v:shape style="position:absolute;left:6028;top:7099;width:296;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w:t>
                    </w:r>
                    <w:r>
                      <w:rPr>
                        <w:rFonts w:ascii="Calibri"/>
                        <w:color w:val="585858"/>
                        <w:spacing w:val="-17"/>
                        <w:sz w:val="18"/>
                      </w:rPr>
                      <w:t> </w:t>
                    </w:r>
                    <w:r>
                      <w:rPr>
                        <w:rFonts w:ascii="Calibri"/>
                        <w:color w:val="585858"/>
                        <w:sz w:val="18"/>
                      </w:rPr>
                      <w:t>,</w:t>
                    </w:r>
                    <w:r>
                      <w:rPr>
                        <w:rFonts w:ascii="Calibri"/>
                        <w:color w:val="585858"/>
                        <w:spacing w:val="-17"/>
                        <w:sz w:val="18"/>
                      </w:rPr>
                      <w:t> </w:t>
                    </w:r>
                    <w:r>
                      <w:rPr>
                        <w:rFonts w:ascii="Calibri"/>
                        <w:color w:val="585858"/>
                        <w:sz w:val="18"/>
                      </w:rPr>
                      <w:t>5</w:t>
                    </w:r>
                  </w:p>
                </w:txbxContent>
              </v:textbox>
              <w10:wrap type="none"/>
            </v:shape>
            <v:shape style="position:absolute;left:6838;top:7099;width:296;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w:t>
                    </w:r>
                    <w:r>
                      <w:rPr>
                        <w:rFonts w:ascii="Calibri"/>
                        <w:color w:val="585858"/>
                        <w:spacing w:val="-17"/>
                        <w:sz w:val="18"/>
                      </w:rPr>
                      <w:t> </w:t>
                    </w:r>
                    <w:r>
                      <w:rPr>
                        <w:rFonts w:ascii="Calibri"/>
                        <w:color w:val="585858"/>
                        <w:sz w:val="18"/>
                      </w:rPr>
                      <w:t>,</w:t>
                    </w:r>
                    <w:r>
                      <w:rPr>
                        <w:rFonts w:ascii="Calibri"/>
                        <w:color w:val="585858"/>
                        <w:spacing w:val="-17"/>
                        <w:sz w:val="18"/>
                      </w:rPr>
                      <w:t> </w:t>
                    </w:r>
                    <w:r>
                      <w:rPr>
                        <w:rFonts w:ascii="Calibri"/>
                        <w:color w:val="585858"/>
                        <w:sz w:val="18"/>
                      </w:rPr>
                      <w:t>6</w:t>
                    </w:r>
                  </w:p>
                </w:txbxContent>
              </v:textbox>
              <w10:wrap type="none"/>
            </v:shape>
            <v:shape style="position:absolute;left:7648;top:7099;width:296;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w:t>
                    </w:r>
                    <w:r>
                      <w:rPr>
                        <w:rFonts w:ascii="Calibri"/>
                        <w:color w:val="585858"/>
                        <w:spacing w:val="-17"/>
                        <w:sz w:val="18"/>
                      </w:rPr>
                      <w:t> </w:t>
                    </w:r>
                    <w:r>
                      <w:rPr>
                        <w:rFonts w:ascii="Calibri"/>
                        <w:color w:val="585858"/>
                        <w:sz w:val="18"/>
                      </w:rPr>
                      <w:t>,</w:t>
                    </w:r>
                    <w:r>
                      <w:rPr>
                        <w:rFonts w:ascii="Calibri"/>
                        <w:color w:val="585858"/>
                        <w:spacing w:val="-17"/>
                        <w:sz w:val="18"/>
                      </w:rPr>
                      <w:t> </w:t>
                    </w:r>
                    <w:r>
                      <w:rPr>
                        <w:rFonts w:ascii="Calibri"/>
                        <w:color w:val="585858"/>
                        <w:sz w:val="18"/>
                      </w:rPr>
                      <w:t>7</w:t>
                    </w:r>
                  </w:p>
                </w:txbxContent>
              </v:textbox>
              <w10:wrap type="none"/>
            </v:shape>
            <v:shape style="position:absolute;left:8458;top:7099;width:296;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w:t>
                    </w:r>
                    <w:r>
                      <w:rPr>
                        <w:rFonts w:ascii="Calibri"/>
                        <w:color w:val="585858"/>
                        <w:spacing w:val="-17"/>
                        <w:sz w:val="18"/>
                      </w:rPr>
                      <w:t> </w:t>
                    </w:r>
                    <w:r>
                      <w:rPr>
                        <w:rFonts w:ascii="Calibri"/>
                        <w:color w:val="585858"/>
                        <w:sz w:val="18"/>
                      </w:rPr>
                      <w:t>,</w:t>
                    </w:r>
                    <w:r>
                      <w:rPr>
                        <w:rFonts w:ascii="Calibri"/>
                        <w:color w:val="585858"/>
                        <w:spacing w:val="-17"/>
                        <w:sz w:val="18"/>
                      </w:rPr>
                      <w:t> </w:t>
                    </w:r>
                    <w:r>
                      <w:rPr>
                        <w:rFonts w:ascii="Calibri"/>
                        <w:color w:val="585858"/>
                        <w:sz w:val="18"/>
                      </w:rPr>
                      <w:t>8</w:t>
                    </w:r>
                  </w:p>
                </w:txbxContent>
              </v:textbox>
              <w10:wrap type="none"/>
            </v:shape>
            <v:shape style="position:absolute;left:9268;top:7099;width:296;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w:t>
                    </w:r>
                    <w:r>
                      <w:rPr>
                        <w:rFonts w:ascii="Calibri"/>
                        <w:color w:val="585858"/>
                        <w:spacing w:val="-17"/>
                        <w:sz w:val="18"/>
                      </w:rPr>
                      <w:t> </w:t>
                    </w:r>
                    <w:r>
                      <w:rPr>
                        <w:rFonts w:ascii="Calibri"/>
                        <w:color w:val="585858"/>
                        <w:sz w:val="18"/>
                      </w:rPr>
                      <w:t>,</w:t>
                    </w:r>
                    <w:r>
                      <w:rPr>
                        <w:rFonts w:ascii="Calibri"/>
                        <w:color w:val="585858"/>
                        <w:spacing w:val="-17"/>
                        <w:sz w:val="18"/>
                      </w:rPr>
                      <w:t> </w:t>
                    </w:r>
                    <w:r>
                      <w:rPr>
                        <w:rFonts w:ascii="Calibri"/>
                        <w:color w:val="585858"/>
                        <w:sz w:val="18"/>
                      </w:rPr>
                      <w:t>9</w:t>
                    </w:r>
                  </w:p>
                </w:txbxContent>
              </v:textbox>
              <w10:wrap type="none"/>
            </v:shape>
            <v:shape style="position:absolute;left:10172;top:7099;width:11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w:t>
                    </w:r>
                  </w:p>
                </w:txbxContent>
              </v:textbox>
              <w10:wrap type="none"/>
            </v:shape>
            <v:shape style="position:absolute;left:5120;top:7383;width:2133;height:200" type="#_x0000_t202" filled="false" stroked="false">
              <v:textbox inset="0,0,0,0">
                <w:txbxContent>
                  <w:p>
                    <w:pPr>
                      <w:spacing w:line="199" w:lineRule="exact" w:before="0"/>
                      <w:ind w:left="0" w:right="0" w:firstLine="0"/>
                      <w:jc w:val="left"/>
                      <w:rPr>
                        <w:rFonts w:ascii="Calibri"/>
                        <w:sz w:val="20"/>
                      </w:rPr>
                    </w:pPr>
                    <w:r>
                      <w:rPr>
                        <w:rFonts w:ascii="Calibri"/>
                        <w:color w:val="585858"/>
                        <w:sz w:val="20"/>
                      </w:rPr>
                      <w:t>Jammer Bandwidth (MHz)</w:t>
                    </w:r>
                  </w:p>
                </w:txbxContent>
              </v:textbox>
              <w10:wrap type="none"/>
            </v:shape>
            <w10:wrap type="none"/>
          </v:group>
        </w:pict>
      </w:r>
      <w:r>
        <w:rPr>
          <w:b/>
          <w:sz w:val="24"/>
        </w:rPr>
        <w:t>Figure 87: When Interferer is at Guard Band</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7"/>
        <w:rPr>
          <w:b/>
          <w:sz w:val="34"/>
        </w:rPr>
      </w:pPr>
    </w:p>
    <w:p>
      <w:pPr>
        <w:pStyle w:val="Heading4"/>
      </w:pPr>
      <w:r>
        <w:rPr/>
        <w:pict>
          <v:shape style="position:absolute;margin-left:70.178001pt;margin-top:-178.032486pt;width:12pt;height:32.85pt;mso-position-horizontal-relative:page;mso-position-vertical-relative:paragraph;z-index:10504" type="#_x0000_t202" filled="false" stroked="false">
            <v:textbox inset="0,0,0,0" style="layout-flow:vertical;mso-layout-flow-alt:bottom-to-top">
              <w:txbxContent>
                <w:p>
                  <w:pPr>
                    <w:pStyle w:val="BodyText"/>
                    <w:spacing w:line="223" w:lineRule="exact"/>
                    <w:ind w:left="20" w:right="-110"/>
                    <w:rPr>
                      <w:rFonts w:ascii="Calibri"/>
                    </w:rPr>
                  </w:pPr>
                  <w:r>
                    <w:rPr>
                      <w:rFonts w:ascii="Calibri"/>
                      <w:color w:val="585858"/>
                      <w:w w:val="99"/>
                    </w:rPr>
                    <w:t>P</w:t>
                  </w:r>
                  <w:r>
                    <w:rPr>
                      <w:rFonts w:ascii="Calibri"/>
                      <w:color w:val="585858"/>
                      <w:spacing w:val="1"/>
                      <w:w w:val="99"/>
                    </w:rPr>
                    <w:t>E</w:t>
                  </w:r>
                  <w:r>
                    <w:rPr>
                      <w:rFonts w:ascii="Calibri"/>
                      <w:color w:val="585858"/>
                      <w:w w:val="99"/>
                    </w:rPr>
                    <w:t>R</w:t>
                  </w:r>
                  <w:r>
                    <w:rPr>
                      <w:rFonts w:ascii="Calibri"/>
                      <w:color w:val="585858"/>
                      <w:spacing w:val="-1"/>
                    </w:rPr>
                    <w:t> </w:t>
                  </w:r>
                  <w:r>
                    <w:rPr>
                      <w:rFonts w:ascii="Calibri"/>
                      <w:color w:val="585858"/>
                      <w:spacing w:val="-1"/>
                      <w:w w:val="99"/>
                    </w:rPr>
                    <w:t>(%</w:t>
                  </w:r>
                  <w:r>
                    <w:rPr>
                      <w:rFonts w:ascii="Calibri"/>
                      <w:color w:val="585858"/>
                      <w:w w:val="99"/>
                    </w:rPr>
                    <w:t>)</w:t>
                  </w:r>
                </w:p>
              </w:txbxContent>
            </v:textbox>
            <w10:wrap type="none"/>
          </v:shape>
        </w:pict>
      </w:r>
      <w:r>
        <w:rPr/>
        <w:t>Figure 88: C-V2X vs DSRC Comparison Data when Interferer is at Guard Band</w:t>
      </w:r>
    </w:p>
    <w:p>
      <w:pPr>
        <w:pStyle w:val="BodyText"/>
        <w:rPr>
          <w:b/>
          <w:sz w:val="26"/>
        </w:rPr>
      </w:pPr>
    </w:p>
    <w:p>
      <w:pPr>
        <w:pStyle w:val="BodyText"/>
        <w:rPr>
          <w:b/>
          <w:sz w:val="26"/>
        </w:rPr>
      </w:pPr>
    </w:p>
    <w:p>
      <w:pPr>
        <w:pStyle w:val="BodyText"/>
        <w:spacing w:before="3"/>
        <w:rPr>
          <w:b/>
          <w:sz w:val="25"/>
        </w:rPr>
      </w:pPr>
    </w:p>
    <w:p>
      <w:pPr>
        <w:pStyle w:val="BodyText"/>
        <w:tabs>
          <w:tab w:pos="2268" w:val="left" w:leader="none"/>
        </w:tabs>
        <w:ind w:left="2268" w:right="1134" w:hanging="852"/>
      </w:pPr>
      <w:r>
        <w:rPr/>
        <w:t>NOTE:</w:t>
        <w:tab/>
        <w:t>In the case of C-V2X, where Interferer only at Rx, the PER increases when Interferer  </w:t>
      </w:r>
      <w:r>
        <w:rPr>
          <w:spacing w:val="4"/>
        </w:rPr>
        <w:t> </w:t>
      </w:r>
      <w:r>
        <w:rPr/>
        <w:t>BW</w:t>
      </w:r>
      <w:r>
        <w:rPr>
          <w:spacing w:val="15"/>
        </w:rPr>
        <w:t> </w:t>
      </w:r>
      <w:r>
        <w:rPr/>
        <w:t>goes</w:t>
      </w:r>
      <w:r>
        <w:rPr>
          <w:w w:val="99"/>
        </w:rPr>
        <w:t> </w:t>
      </w:r>
      <w:r>
        <w:rPr/>
        <w:t>beyond the guard band (500 KHz) as Interferer starts to corrupt the control channel of</w:t>
      </w:r>
      <w:r>
        <w:rPr>
          <w:spacing w:val="-23"/>
        </w:rPr>
        <w:t> </w:t>
      </w:r>
      <w:r>
        <w:rPr/>
        <w:t>C-V2X.</w:t>
      </w:r>
    </w:p>
    <w:p>
      <w:pPr>
        <w:spacing w:after="0"/>
        <w:sectPr>
          <w:headerReference w:type="default" r:id="rId468"/>
          <w:pgSz w:w="11910" w:h="16850"/>
          <w:pgMar w:header="852" w:footer="876" w:top="1040" w:bottom="1160" w:left="0" w:right="0"/>
        </w:sectPr>
      </w:pPr>
    </w:p>
    <w:p>
      <w:pPr>
        <w:pStyle w:val="BodyText"/>
        <w:spacing w:before="1"/>
        <w:rPr>
          <w:sz w:val="23"/>
        </w:rPr>
      </w:pPr>
    </w:p>
    <w:p>
      <w:pPr>
        <w:pStyle w:val="Heading5"/>
        <w:numPr>
          <w:ilvl w:val="3"/>
          <w:numId w:val="59"/>
        </w:numPr>
        <w:tabs>
          <w:tab w:pos="2552" w:val="left" w:leader="none"/>
        </w:tabs>
        <w:spacing w:line="240" w:lineRule="auto" w:before="93" w:after="0"/>
        <w:ind w:left="2551" w:right="0" w:hanging="1418"/>
        <w:jc w:val="both"/>
        <w:rPr>
          <w:rFonts w:ascii="Arial"/>
        </w:rPr>
      </w:pPr>
      <w:r>
        <w:rPr>
          <w:rFonts w:ascii="Arial"/>
        </w:rPr>
        <w:t>Evaluation</w:t>
      </w:r>
      <w:r>
        <w:rPr>
          <w:rFonts w:ascii="Arial"/>
          <w:spacing w:val="-6"/>
        </w:rPr>
        <w:t> </w:t>
      </w:r>
      <w:r>
        <w:rPr>
          <w:rFonts w:ascii="Arial"/>
        </w:rPr>
        <w:t>Criteria</w:t>
      </w:r>
    </w:p>
    <w:p>
      <w:pPr>
        <w:pStyle w:val="BodyText"/>
        <w:spacing w:before="182"/>
        <w:ind w:left="1133" w:right="1131"/>
        <w:jc w:val="both"/>
      </w:pPr>
      <w:r>
        <w:rPr/>
        <w:t>Evaluation criteria assess and compare Tx and Rx activity of the Tx and Rx devices, respectively, across the various interference scenarios. In addition, the purpose is to measure reported PER values for the Rx device with the added interference stream.</w:t>
      </w:r>
    </w:p>
    <w:p>
      <w:pPr>
        <w:pStyle w:val="BodyText"/>
        <w:spacing w:before="8"/>
        <w:rPr>
          <w:sz w:val="25"/>
        </w:rPr>
      </w:pPr>
    </w:p>
    <w:p>
      <w:pPr>
        <w:pStyle w:val="Heading5"/>
        <w:numPr>
          <w:ilvl w:val="3"/>
          <w:numId w:val="59"/>
        </w:numPr>
        <w:tabs>
          <w:tab w:pos="2552" w:val="left" w:leader="none"/>
        </w:tabs>
        <w:spacing w:line="240" w:lineRule="auto" w:before="1" w:after="0"/>
        <w:ind w:left="2551" w:right="0" w:hanging="1418"/>
        <w:jc w:val="both"/>
        <w:rPr>
          <w:rFonts w:ascii="Arial"/>
        </w:rPr>
      </w:pPr>
      <w:r>
        <w:rPr>
          <w:rFonts w:ascii="Arial"/>
        </w:rPr>
        <w:t>Key</w:t>
      </w:r>
      <w:r>
        <w:rPr>
          <w:rFonts w:ascii="Arial"/>
          <w:spacing w:val="-8"/>
        </w:rPr>
        <w:t> </w:t>
      </w:r>
      <w:r>
        <w:rPr>
          <w:rFonts w:ascii="Arial"/>
        </w:rPr>
        <w:t>Takeaway</w:t>
      </w:r>
    </w:p>
    <w:p>
      <w:pPr>
        <w:pStyle w:val="BodyText"/>
        <w:spacing w:before="181"/>
        <w:ind w:left="1133" w:right="1127"/>
        <w:jc w:val="both"/>
      </w:pPr>
      <w:r>
        <w:rPr/>
        <w:t>This</w:t>
      </w:r>
      <w:r>
        <w:rPr>
          <w:spacing w:val="-4"/>
        </w:rPr>
        <w:t> </w:t>
      </w:r>
      <w:r>
        <w:rPr/>
        <w:t>test</w:t>
      </w:r>
      <w:r>
        <w:rPr>
          <w:spacing w:val="-5"/>
        </w:rPr>
        <w:t> </w:t>
      </w:r>
      <w:r>
        <w:rPr/>
        <w:t>examines</w:t>
      </w:r>
      <w:r>
        <w:rPr>
          <w:spacing w:val="-4"/>
        </w:rPr>
        <w:t> </w:t>
      </w:r>
      <w:r>
        <w:rPr/>
        <w:t>and</w:t>
      </w:r>
      <w:r>
        <w:rPr>
          <w:spacing w:val="-3"/>
        </w:rPr>
        <w:t> </w:t>
      </w:r>
      <w:r>
        <w:rPr/>
        <w:t>compares</w:t>
      </w:r>
      <w:r>
        <w:rPr>
          <w:spacing w:val="-5"/>
        </w:rPr>
        <w:t> </w:t>
      </w:r>
      <w:r>
        <w:rPr/>
        <w:t>the</w:t>
      </w:r>
      <w:r>
        <w:rPr>
          <w:spacing w:val="-6"/>
        </w:rPr>
        <w:t> </w:t>
      </w:r>
      <w:r>
        <w:rPr/>
        <w:t>robustness</w:t>
      </w:r>
      <w:r>
        <w:rPr>
          <w:spacing w:val="-4"/>
        </w:rPr>
        <w:t> </w:t>
      </w:r>
      <w:r>
        <w:rPr/>
        <w:t>of</w:t>
      </w:r>
      <w:r>
        <w:rPr>
          <w:spacing w:val="-4"/>
        </w:rPr>
        <w:t> </w:t>
      </w:r>
      <w:r>
        <w:rPr/>
        <w:t>V2X</w:t>
      </w:r>
      <w:r>
        <w:rPr>
          <w:spacing w:val="-4"/>
        </w:rPr>
        <w:t> </w:t>
      </w:r>
      <w:r>
        <w:rPr/>
        <w:t>technologies</w:t>
      </w:r>
      <w:r>
        <w:rPr>
          <w:spacing w:val="-5"/>
        </w:rPr>
        <w:t> </w:t>
      </w:r>
      <w:r>
        <w:rPr/>
        <w:t>against</w:t>
      </w:r>
      <w:r>
        <w:rPr>
          <w:spacing w:val="-3"/>
        </w:rPr>
        <w:t> </w:t>
      </w:r>
      <w:r>
        <w:rPr/>
        <w:t>Interferers</w:t>
      </w:r>
      <w:r>
        <w:rPr>
          <w:spacing w:val="-4"/>
        </w:rPr>
        <w:t> </w:t>
      </w:r>
      <w:r>
        <w:rPr/>
        <w:t>located</w:t>
      </w:r>
      <w:r>
        <w:rPr>
          <w:spacing w:val="-3"/>
        </w:rPr>
        <w:t> </w:t>
      </w:r>
      <w:r>
        <w:rPr/>
        <w:t>in</w:t>
      </w:r>
      <w:r>
        <w:rPr>
          <w:spacing w:val="-3"/>
        </w:rPr>
        <w:t> </w:t>
      </w:r>
      <w:r>
        <w:rPr/>
        <w:t>the</w:t>
      </w:r>
      <w:r>
        <w:rPr>
          <w:spacing w:val="-4"/>
        </w:rPr>
        <w:t> </w:t>
      </w:r>
      <w:r>
        <w:rPr/>
        <w:t>guard band of the channel. This is an extension of Section 10.1.1 with the Interferer moved from within the channel to the guard</w:t>
      </w:r>
      <w:r>
        <w:rPr>
          <w:spacing w:val="-8"/>
        </w:rPr>
        <w:t> </w:t>
      </w:r>
      <w:r>
        <w:rPr/>
        <w:t>band.</w:t>
      </w:r>
    </w:p>
    <w:p>
      <w:pPr>
        <w:pStyle w:val="BodyText"/>
        <w:spacing w:before="180"/>
        <w:ind w:left="1133" w:right="1128"/>
        <w:jc w:val="both"/>
      </w:pPr>
      <w:r>
        <w:rPr/>
        <w:t>Like Section A.1.1, we observe that C-V2X is much more robust than DSRC. DSRC link reliability is severely impacted across the board. For C-V2X, if the Interferer can be heard by the transmitter, the communication is uncompromised. Even when the Interferer is not recognized by the transmitter, the link remains reliable until the Interferer bandwidth exceeds 500 kHz.</w:t>
      </w:r>
    </w:p>
    <w:p>
      <w:pPr>
        <w:pStyle w:val="BodyText"/>
        <w:spacing w:before="1"/>
        <w:rPr>
          <w:sz w:val="31"/>
        </w:rPr>
      </w:pPr>
    </w:p>
    <w:p>
      <w:pPr>
        <w:pStyle w:val="Heading2"/>
        <w:tabs>
          <w:tab w:pos="10472" w:val="left" w:leader="none"/>
        </w:tabs>
        <w:spacing w:before="1"/>
        <w:ind w:left="1133" w:firstLine="0"/>
      </w:pPr>
      <w:bookmarkStart w:name="_bookmark159" w:id="248"/>
      <w:bookmarkEnd w:id="248"/>
      <w:r>
        <w:rPr/>
      </w:r>
      <w:r>
        <w:rPr/>
        <w:t>Annex</w:t>
        <w:tab/>
        <w:t>B:</w:t>
      </w:r>
    </w:p>
    <w:p>
      <w:pPr>
        <w:spacing w:before="1"/>
        <w:ind w:left="2266" w:right="0" w:firstLine="0"/>
        <w:jc w:val="left"/>
        <w:rPr>
          <w:sz w:val="32"/>
        </w:rPr>
      </w:pPr>
      <w:r>
        <w:rPr>
          <w:sz w:val="32"/>
        </w:rPr>
        <w:t>Supplemental Non-Line-of-Sight Field Test</w:t>
      </w:r>
      <w:bookmarkStart w:name="_bookmark160" w:id="249"/>
      <w:bookmarkEnd w:id="249"/>
      <w:r>
        <w:rPr>
          <w:sz w:val="32"/>
        </w:rPr>
        <w:t>s</w:t>
      </w:r>
    </w:p>
    <w:p>
      <w:pPr>
        <w:pStyle w:val="Heading3"/>
        <w:spacing w:before="300"/>
        <w:ind w:left="1133" w:firstLine="0"/>
      </w:pPr>
      <w:r>
        <w:rPr/>
        <w:t>B.1 CAMP Shadowing Test</w:t>
      </w:r>
    </w:p>
    <w:p>
      <w:pPr>
        <w:pStyle w:val="BodyText"/>
        <w:spacing w:before="180"/>
        <w:ind w:left="1133" w:right="1129"/>
        <w:jc w:val="both"/>
      </w:pPr>
      <w:r>
        <w:rPr/>
        <w:t>CAMP shadowing tests are described in (USDOT NHTSA, CAMP, September 2011). The test is illustrated in Figure 89. The test is significantly different from the </w:t>
      </w:r>
      <w:r>
        <w:rPr>
          <w:spacing w:val="2"/>
        </w:rPr>
        <w:t>NLOS </w:t>
      </w:r>
      <w:r>
        <w:rPr/>
        <w:t>shadowing test described in Section 4.1.5 that it was</w:t>
      </w:r>
      <w:r>
        <w:rPr>
          <w:spacing w:val="-12"/>
        </w:rPr>
        <w:t> </w:t>
      </w:r>
      <w:r>
        <w:rPr/>
        <w:t>important</w:t>
      </w:r>
      <w:r>
        <w:rPr>
          <w:spacing w:val="-13"/>
        </w:rPr>
        <w:t> </w:t>
      </w:r>
      <w:r>
        <w:rPr/>
        <w:t>to</w:t>
      </w:r>
      <w:r>
        <w:rPr>
          <w:spacing w:val="-13"/>
        </w:rPr>
        <w:t> </w:t>
      </w:r>
      <w:r>
        <w:rPr/>
        <w:t>perform</w:t>
      </w:r>
      <w:r>
        <w:rPr>
          <w:spacing w:val="-8"/>
        </w:rPr>
        <w:t> </w:t>
      </w:r>
      <w:r>
        <w:rPr/>
        <w:t>the</w:t>
      </w:r>
      <w:r>
        <w:rPr>
          <w:spacing w:val="-13"/>
        </w:rPr>
        <w:t> </w:t>
      </w:r>
      <w:r>
        <w:rPr/>
        <w:t>test</w:t>
      </w:r>
      <w:r>
        <w:rPr>
          <w:spacing w:val="-13"/>
        </w:rPr>
        <w:t> </w:t>
      </w:r>
      <w:r>
        <w:rPr/>
        <w:t>for</w:t>
      </w:r>
      <w:r>
        <w:rPr>
          <w:spacing w:val="-12"/>
        </w:rPr>
        <w:t> </w:t>
      </w:r>
      <w:r>
        <w:rPr/>
        <w:t>both</w:t>
      </w:r>
      <w:r>
        <w:rPr>
          <w:spacing w:val="-13"/>
        </w:rPr>
        <w:t> </w:t>
      </w:r>
      <w:r>
        <w:rPr/>
        <w:t>V2X</w:t>
      </w:r>
      <w:r>
        <w:rPr>
          <w:spacing w:val="-11"/>
        </w:rPr>
        <w:t> </w:t>
      </w:r>
      <w:r>
        <w:rPr/>
        <w:t>technologies.</w:t>
      </w:r>
      <w:r>
        <w:rPr>
          <w:spacing w:val="-13"/>
        </w:rPr>
        <w:t> </w:t>
      </w:r>
      <w:r>
        <w:rPr/>
        <w:t>The</w:t>
      </w:r>
      <w:r>
        <w:rPr>
          <w:spacing w:val="-13"/>
        </w:rPr>
        <w:t> </w:t>
      </w:r>
      <w:r>
        <w:rPr/>
        <w:t>purpose</w:t>
      </w:r>
      <w:r>
        <w:rPr>
          <w:spacing w:val="-10"/>
        </w:rPr>
        <w:t> </w:t>
      </w:r>
      <w:r>
        <w:rPr/>
        <w:t>of</w:t>
      </w:r>
      <w:r>
        <w:rPr>
          <w:spacing w:val="-11"/>
        </w:rPr>
        <w:t> </w:t>
      </w:r>
      <w:r>
        <w:rPr/>
        <w:t>the</w:t>
      </w:r>
      <w:r>
        <w:rPr>
          <w:spacing w:val="-13"/>
        </w:rPr>
        <w:t> </w:t>
      </w:r>
      <w:r>
        <w:rPr/>
        <w:t>test</w:t>
      </w:r>
      <w:r>
        <w:rPr>
          <w:spacing w:val="-13"/>
        </w:rPr>
        <w:t> </w:t>
      </w:r>
      <w:r>
        <w:rPr/>
        <w:t>is</w:t>
      </w:r>
      <w:r>
        <w:rPr>
          <w:spacing w:val="-11"/>
        </w:rPr>
        <w:t> </w:t>
      </w:r>
      <w:r>
        <w:rPr/>
        <w:t>to</w:t>
      </w:r>
      <w:r>
        <w:rPr>
          <w:spacing w:val="-13"/>
        </w:rPr>
        <w:t> </w:t>
      </w:r>
      <w:r>
        <w:rPr/>
        <w:t>assess</w:t>
      </w:r>
      <w:r>
        <w:rPr>
          <w:spacing w:val="-11"/>
        </w:rPr>
        <w:t> </w:t>
      </w:r>
      <w:r>
        <w:rPr/>
        <w:t>V2V</w:t>
      </w:r>
      <w:r>
        <w:rPr>
          <w:spacing w:val="-14"/>
        </w:rPr>
        <w:t> </w:t>
      </w:r>
      <w:r>
        <w:rPr/>
        <w:t>message exchange capability through obstruction in a highway queue-forming scenario. The same blocker used in the NLOS</w:t>
      </w:r>
      <w:r>
        <w:rPr>
          <w:spacing w:val="-8"/>
        </w:rPr>
        <w:t> </w:t>
      </w:r>
      <w:r>
        <w:rPr/>
        <w:t>shadowing</w:t>
      </w:r>
      <w:r>
        <w:rPr>
          <w:spacing w:val="-8"/>
        </w:rPr>
        <w:t> </w:t>
      </w:r>
      <w:r>
        <w:rPr/>
        <w:t>test</w:t>
      </w:r>
      <w:r>
        <w:rPr>
          <w:spacing w:val="-5"/>
        </w:rPr>
        <w:t> </w:t>
      </w:r>
      <w:r>
        <w:rPr/>
        <w:t>is</w:t>
      </w:r>
      <w:r>
        <w:rPr>
          <w:spacing w:val="-7"/>
        </w:rPr>
        <w:t> </w:t>
      </w:r>
      <w:r>
        <w:rPr/>
        <w:t>positioned</w:t>
      </w:r>
      <w:r>
        <w:rPr>
          <w:spacing w:val="-6"/>
        </w:rPr>
        <w:t> </w:t>
      </w:r>
      <w:r>
        <w:rPr/>
        <w:t>in</w:t>
      </w:r>
      <w:r>
        <w:rPr>
          <w:spacing w:val="-6"/>
        </w:rPr>
        <w:t> </w:t>
      </w:r>
      <w:r>
        <w:rPr/>
        <w:t>the</w:t>
      </w:r>
      <w:r>
        <w:rPr>
          <w:spacing w:val="-8"/>
        </w:rPr>
        <w:t> </w:t>
      </w:r>
      <w:r>
        <w:rPr/>
        <w:t>middle</w:t>
      </w:r>
      <w:r>
        <w:rPr>
          <w:spacing w:val="-8"/>
        </w:rPr>
        <w:t> </w:t>
      </w:r>
      <w:r>
        <w:rPr/>
        <w:t>of</w:t>
      </w:r>
      <w:r>
        <w:rPr>
          <w:spacing w:val="-6"/>
        </w:rPr>
        <w:t> </w:t>
      </w:r>
      <w:r>
        <w:rPr/>
        <w:t>the</w:t>
      </w:r>
      <w:r>
        <w:rPr>
          <w:spacing w:val="-6"/>
        </w:rPr>
        <w:t> </w:t>
      </w:r>
      <w:r>
        <w:rPr/>
        <w:t>test</w:t>
      </w:r>
      <w:r>
        <w:rPr>
          <w:spacing w:val="-8"/>
        </w:rPr>
        <w:t> </w:t>
      </w:r>
      <w:r>
        <w:rPr/>
        <w:t>track</w:t>
      </w:r>
      <w:r>
        <w:rPr>
          <w:spacing w:val="-4"/>
        </w:rPr>
        <w:t> </w:t>
      </w:r>
      <w:r>
        <w:rPr/>
        <w:t>while</w:t>
      </w:r>
      <w:r>
        <w:rPr>
          <w:spacing w:val="-8"/>
        </w:rPr>
        <w:t> </w:t>
      </w:r>
      <w:r>
        <w:rPr/>
        <w:t>the</w:t>
      </w:r>
      <w:r>
        <w:rPr>
          <w:spacing w:val="-6"/>
        </w:rPr>
        <w:t> </w:t>
      </w:r>
      <w:r>
        <w:rPr/>
        <w:t>MV</w:t>
      </w:r>
      <w:r>
        <w:rPr>
          <w:spacing w:val="-6"/>
        </w:rPr>
        <w:t> </w:t>
      </w:r>
      <w:r>
        <w:rPr/>
        <w:t>initial</w:t>
      </w:r>
      <w:r>
        <w:rPr>
          <w:spacing w:val="-9"/>
        </w:rPr>
        <w:t> </w:t>
      </w:r>
      <w:r>
        <w:rPr/>
        <w:t>position</w:t>
      </w:r>
      <w:r>
        <w:rPr>
          <w:spacing w:val="-6"/>
        </w:rPr>
        <w:t> </w:t>
      </w:r>
      <w:r>
        <w:rPr/>
        <w:t>is</w:t>
      </w:r>
      <w:r>
        <w:rPr>
          <w:spacing w:val="-7"/>
        </w:rPr>
        <w:t> </w:t>
      </w:r>
      <w:r>
        <w:rPr/>
        <w:t>at</w:t>
      </w:r>
      <w:r>
        <w:rPr>
          <w:spacing w:val="-8"/>
        </w:rPr>
        <w:t> </w:t>
      </w:r>
      <w:r>
        <w:rPr/>
        <w:t>the</w:t>
      </w:r>
      <w:r>
        <w:rPr>
          <w:spacing w:val="-6"/>
        </w:rPr>
        <w:t> </w:t>
      </w:r>
      <w:r>
        <w:rPr/>
        <w:t>opposite end</w:t>
      </w:r>
      <w:r>
        <w:rPr>
          <w:spacing w:val="-8"/>
        </w:rPr>
        <w:t> </w:t>
      </w:r>
      <w:r>
        <w:rPr/>
        <w:t>of</w:t>
      </w:r>
      <w:r>
        <w:rPr>
          <w:spacing w:val="-6"/>
        </w:rPr>
        <w:t> </w:t>
      </w:r>
      <w:r>
        <w:rPr/>
        <w:t>the</w:t>
      </w:r>
      <w:r>
        <w:rPr>
          <w:spacing w:val="-8"/>
        </w:rPr>
        <w:t> </w:t>
      </w:r>
      <w:r>
        <w:rPr/>
        <w:t>track</w:t>
      </w:r>
      <w:r>
        <w:rPr>
          <w:spacing w:val="-7"/>
        </w:rPr>
        <w:t> </w:t>
      </w:r>
      <w:r>
        <w:rPr/>
        <w:t>from</w:t>
      </w:r>
      <w:r>
        <w:rPr>
          <w:spacing w:val="-3"/>
        </w:rPr>
        <w:t> </w:t>
      </w:r>
      <w:r>
        <w:rPr/>
        <w:t>the</w:t>
      </w:r>
      <w:r>
        <w:rPr>
          <w:spacing w:val="-8"/>
        </w:rPr>
        <w:t> </w:t>
      </w:r>
      <w:r>
        <w:rPr/>
        <w:t>SV.</w:t>
      </w:r>
      <w:r>
        <w:rPr>
          <w:spacing w:val="-8"/>
        </w:rPr>
        <w:t> </w:t>
      </w:r>
      <w:r>
        <w:rPr/>
        <w:t>The</w:t>
      </w:r>
      <w:r>
        <w:rPr>
          <w:spacing w:val="-8"/>
        </w:rPr>
        <w:t> </w:t>
      </w:r>
      <w:r>
        <w:rPr/>
        <w:t>MV</w:t>
      </w:r>
      <w:r>
        <w:rPr>
          <w:spacing w:val="-9"/>
        </w:rPr>
        <w:t> </w:t>
      </w:r>
      <w:r>
        <w:rPr/>
        <w:t>and</w:t>
      </w:r>
      <w:r>
        <w:rPr>
          <w:spacing w:val="-8"/>
        </w:rPr>
        <w:t> </w:t>
      </w:r>
      <w:r>
        <w:rPr/>
        <w:t>the</w:t>
      </w:r>
      <w:r>
        <w:rPr>
          <w:spacing w:val="-8"/>
        </w:rPr>
        <w:t> </w:t>
      </w:r>
      <w:r>
        <w:rPr/>
        <w:t>truck</w:t>
      </w:r>
      <w:r>
        <w:rPr>
          <w:spacing w:val="-7"/>
        </w:rPr>
        <w:t> </w:t>
      </w:r>
      <w:r>
        <w:rPr/>
        <w:t>move</w:t>
      </w:r>
      <w:r>
        <w:rPr>
          <w:spacing w:val="-8"/>
        </w:rPr>
        <w:t> </w:t>
      </w:r>
      <w:r>
        <w:rPr/>
        <w:t>towards</w:t>
      </w:r>
      <w:r>
        <w:rPr>
          <w:spacing w:val="-6"/>
        </w:rPr>
        <w:t> </w:t>
      </w:r>
      <w:r>
        <w:rPr/>
        <w:t>the</w:t>
      </w:r>
      <w:r>
        <w:rPr>
          <w:spacing w:val="-8"/>
        </w:rPr>
        <w:t> </w:t>
      </w:r>
      <w:r>
        <w:rPr/>
        <w:t>SV</w:t>
      </w:r>
      <w:r>
        <w:rPr>
          <w:spacing w:val="-8"/>
        </w:rPr>
        <w:t> </w:t>
      </w:r>
      <w:r>
        <w:rPr/>
        <w:t>at</w:t>
      </w:r>
      <w:r>
        <w:rPr>
          <w:spacing w:val="-8"/>
        </w:rPr>
        <w:t> </w:t>
      </w:r>
      <w:r>
        <w:rPr/>
        <w:t>the</w:t>
      </w:r>
      <w:r>
        <w:rPr>
          <w:spacing w:val="-8"/>
        </w:rPr>
        <w:t> </w:t>
      </w:r>
      <w:r>
        <w:rPr/>
        <w:t>constant</w:t>
      </w:r>
      <w:r>
        <w:rPr>
          <w:spacing w:val="-8"/>
        </w:rPr>
        <w:t> </w:t>
      </w:r>
      <w:r>
        <w:rPr/>
        <w:t>speed</w:t>
      </w:r>
      <w:r>
        <w:rPr>
          <w:spacing w:val="-8"/>
        </w:rPr>
        <w:t> </w:t>
      </w:r>
      <w:r>
        <w:rPr/>
        <w:t>of</w:t>
      </w:r>
      <w:r>
        <w:rPr>
          <w:spacing w:val="-6"/>
        </w:rPr>
        <w:t> </w:t>
      </w:r>
      <w:r>
        <w:rPr/>
        <w:t>20</w:t>
      </w:r>
      <w:r>
        <w:rPr>
          <w:spacing w:val="-11"/>
        </w:rPr>
        <w:t> </w:t>
      </w:r>
      <w:r>
        <w:rPr/>
        <w:t>mph</w:t>
      </w:r>
      <w:r>
        <w:rPr>
          <w:spacing w:val="-8"/>
        </w:rPr>
        <w:t> </w:t>
      </w:r>
      <w:r>
        <w:rPr/>
        <w:t>and 10 mph, respectively, ensuring that the truck is half the distance between SV and MV at all</w:t>
      </w:r>
      <w:r>
        <w:rPr>
          <w:spacing w:val="-24"/>
        </w:rPr>
        <w:t> </w:t>
      </w:r>
      <w:r>
        <w:rPr/>
        <w:t>times.</w:t>
      </w:r>
    </w:p>
    <w:p>
      <w:pPr>
        <w:pStyle w:val="BodyText"/>
        <w:spacing w:before="180"/>
        <w:ind w:left="1188"/>
        <w:jc w:val="both"/>
      </w:pPr>
      <w:r>
        <w:rPr/>
        <w:t>The objectives of the test are the same as in NLOS tests:</w:t>
      </w:r>
    </w:p>
    <w:p>
      <w:pPr>
        <w:pStyle w:val="ListParagraph"/>
        <w:numPr>
          <w:ilvl w:val="0"/>
          <w:numId w:val="61"/>
        </w:numPr>
        <w:tabs>
          <w:tab w:pos="1702" w:val="left" w:leader="none"/>
        </w:tabs>
        <w:spacing w:line="240" w:lineRule="auto" w:before="180" w:after="0"/>
        <w:ind w:left="1702" w:right="1130" w:hanging="286"/>
        <w:jc w:val="left"/>
        <w:rPr>
          <w:sz w:val="20"/>
        </w:rPr>
      </w:pPr>
      <w:r>
        <w:rPr>
          <w:sz w:val="20"/>
        </w:rPr>
        <w:t>Compare</w:t>
      </w:r>
      <w:r>
        <w:rPr>
          <w:spacing w:val="-8"/>
          <w:sz w:val="20"/>
        </w:rPr>
        <w:t> </w:t>
      </w:r>
      <w:r>
        <w:rPr>
          <w:sz w:val="20"/>
        </w:rPr>
        <w:t>communication</w:t>
      </w:r>
      <w:r>
        <w:rPr>
          <w:spacing w:val="-8"/>
          <w:sz w:val="20"/>
        </w:rPr>
        <w:t> </w:t>
      </w:r>
      <w:r>
        <w:rPr>
          <w:sz w:val="20"/>
        </w:rPr>
        <w:t>range</w:t>
      </w:r>
      <w:r>
        <w:rPr>
          <w:spacing w:val="-6"/>
          <w:sz w:val="20"/>
        </w:rPr>
        <w:t> </w:t>
      </w:r>
      <w:r>
        <w:rPr>
          <w:sz w:val="20"/>
        </w:rPr>
        <w:t>and</w:t>
      </w:r>
      <w:r>
        <w:rPr>
          <w:spacing w:val="-8"/>
          <w:sz w:val="20"/>
        </w:rPr>
        <w:t> </w:t>
      </w:r>
      <w:r>
        <w:rPr>
          <w:sz w:val="20"/>
        </w:rPr>
        <w:t>reliability</w:t>
      </w:r>
      <w:r>
        <w:rPr>
          <w:spacing w:val="-9"/>
          <w:sz w:val="20"/>
        </w:rPr>
        <w:t> </w:t>
      </w:r>
      <w:r>
        <w:rPr>
          <w:sz w:val="20"/>
        </w:rPr>
        <w:t>of</w:t>
      </w:r>
      <w:r>
        <w:rPr>
          <w:spacing w:val="-6"/>
          <w:sz w:val="20"/>
        </w:rPr>
        <w:t> </w:t>
      </w:r>
      <w:r>
        <w:rPr>
          <w:sz w:val="20"/>
        </w:rPr>
        <w:t>safety</w:t>
      </w:r>
      <w:r>
        <w:rPr>
          <w:spacing w:val="-9"/>
          <w:sz w:val="20"/>
        </w:rPr>
        <w:t> </w:t>
      </w:r>
      <w:r>
        <w:rPr>
          <w:sz w:val="20"/>
        </w:rPr>
        <w:t>message</w:t>
      </w:r>
      <w:r>
        <w:rPr>
          <w:spacing w:val="-8"/>
          <w:sz w:val="20"/>
        </w:rPr>
        <w:t> </w:t>
      </w:r>
      <w:r>
        <w:rPr>
          <w:sz w:val="20"/>
        </w:rPr>
        <w:t>exchange</w:t>
      </w:r>
      <w:r>
        <w:rPr>
          <w:spacing w:val="-8"/>
          <w:sz w:val="20"/>
        </w:rPr>
        <w:t> </w:t>
      </w:r>
      <w:r>
        <w:rPr>
          <w:sz w:val="20"/>
        </w:rPr>
        <w:t>for</w:t>
      </w:r>
      <w:r>
        <w:rPr>
          <w:spacing w:val="1"/>
          <w:sz w:val="20"/>
        </w:rPr>
        <w:t> </w:t>
      </w:r>
      <w:r>
        <w:rPr>
          <w:sz w:val="20"/>
        </w:rPr>
        <w:t>C-V2X</w:t>
      </w:r>
      <w:r>
        <w:rPr>
          <w:spacing w:val="-6"/>
          <w:sz w:val="20"/>
        </w:rPr>
        <w:t> </w:t>
      </w:r>
      <w:r>
        <w:rPr>
          <w:sz w:val="20"/>
        </w:rPr>
        <w:t>and</w:t>
      </w:r>
      <w:r>
        <w:rPr>
          <w:spacing w:val="-6"/>
          <w:sz w:val="20"/>
        </w:rPr>
        <w:t> </w:t>
      </w:r>
      <w:r>
        <w:rPr>
          <w:sz w:val="20"/>
        </w:rPr>
        <w:t>DSRC</w:t>
      </w:r>
      <w:r>
        <w:rPr>
          <w:spacing w:val="-5"/>
          <w:sz w:val="20"/>
        </w:rPr>
        <w:t> </w:t>
      </w:r>
      <w:r>
        <w:rPr>
          <w:sz w:val="20"/>
        </w:rPr>
        <w:t>under NLOS conditions with the blocker</w:t>
      </w:r>
      <w:r>
        <w:rPr>
          <w:spacing w:val="-15"/>
          <w:sz w:val="20"/>
        </w:rPr>
        <w:t> </w:t>
      </w:r>
      <w:r>
        <w:rPr>
          <w:sz w:val="20"/>
        </w:rPr>
        <w:t>moving.</w:t>
      </w:r>
    </w:p>
    <w:p>
      <w:pPr>
        <w:pStyle w:val="ListParagraph"/>
        <w:numPr>
          <w:ilvl w:val="0"/>
          <w:numId w:val="61"/>
        </w:numPr>
        <w:tabs>
          <w:tab w:pos="1702" w:val="left" w:leader="none"/>
        </w:tabs>
        <w:spacing w:line="240" w:lineRule="auto" w:before="180" w:after="0"/>
        <w:ind w:left="1702" w:right="0" w:hanging="286"/>
        <w:jc w:val="left"/>
        <w:rPr>
          <w:sz w:val="20"/>
        </w:rPr>
      </w:pPr>
      <w:r>
        <w:rPr>
          <w:sz w:val="20"/>
        </w:rPr>
        <w:t>Compare Inter-Packet Gap (IPG) for both</w:t>
      </w:r>
      <w:r>
        <w:rPr>
          <w:spacing w:val="-18"/>
          <w:sz w:val="20"/>
        </w:rPr>
        <w:t> </w:t>
      </w:r>
      <w:r>
        <w:rPr>
          <w:sz w:val="20"/>
        </w:rPr>
        <w:t>technologies.</w:t>
      </w:r>
    </w:p>
    <w:p>
      <w:pPr>
        <w:pStyle w:val="BodyText"/>
        <w:spacing w:before="180"/>
        <w:ind w:left="1133" w:right="1130"/>
        <w:jc w:val="both"/>
      </w:pPr>
      <w:r>
        <w:rPr/>
        <w:t>The test and system parameters used in these tests are the same as in the Section 8.5.1. The 26-ft U-Haul trucks were used as blockers in all NLOS tests. The test was performed on the same test track as the LOS test, namely Road A at the Fowlerville Proving Grounds (FPG), Fowlerville, Michigan.</w:t>
      </w:r>
    </w:p>
    <w:p>
      <w:pPr>
        <w:pStyle w:val="BodyText"/>
        <w:spacing w:before="180"/>
        <w:ind w:left="1133" w:right="1138"/>
        <w:jc w:val="both"/>
      </w:pPr>
      <w:r>
        <w:rPr/>
        <w:t>Since the blocker is at a large distance from both vehicles its blocking impact is reduced compared to the NLOS shadowing test in Section 8.5.2. We expect that this will be less demanding and will result in a higher range than the NLOS shadowing test with the blocker stationary and in close proximity to the SV.</w:t>
      </w:r>
    </w:p>
    <w:p>
      <w:pPr>
        <w:pStyle w:val="BodyText"/>
        <w:spacing w:before="9"/>
        <w:rPr>
          <w:sz w:val="22"/>
        </w:rPr>
      </w:pPr>
      <w:r>
        <w:rPr/>
        <w:drawing>
          <wp:anchor distT="0" distB="0" distL="0" distR="0" allowOverlap="1" layoutInCell="1" locked="0" behindDoc="0" simplePos="0" relativeHeight="10528">
            <wp:simplePos x="0" y="0"/>
            <wp:positionH relativeFrom="page">
              <wp:posOffset>719455</wp:posOffset>
            </wp:positionH>
            <wp:positionV relativeFrom="paragraph">
              <wp:posOffset>191586</wp:posOffset>
            </wp:positionV>
            <wp:extent cx="5840321" cy="2014251"/>
            <wp:effectExtent l="0" t="0" r="0" b="0"/>
            <wp:wrapTopAndBottom/>
            <wp:docPr id="181" name="image233.png" descr=""/>
            <wp:cNvGraphicFramePr>
              <a:graphicFrameLocks noChangeAspect="1"/>
            </wp:cNvGraphicFramePr>
            <a:graphic>
              <a:graphicData uri="http://schemas.openxmlformats.org/drawingml/2006/picture">
                <pic:pic>
                  <pic:nvPicPr>
                    <pic:cNvPr id="182" name="image233.png"/>
                    <pic:cNvPicPr/>
                  </pic:nvPicPr>
                  <pic:blipFill>
                    <a:blip r:embed="rId478" cstate="print"/>
                    <a:stretch>
                      <a:fillRect/>
                    </a:stretch>
                  </pic:blipFill>
                  <pic:spPr>
                    <a:xfrm>
                      <a:off x="0" y="0"/>
                      <a:ext cx="5840321" cy="2014251"/>
                    </a:xfrm>
                    <a:prstGeom prst="rect">
                      <a:avLst/>
                    </a:prstGeom>
                  </pic:spPr>
                </pic:pic>
              </a:graphicData>
            </a:graphic>
          </wp:anchor>
        </w:drawing>
      </w:r>
    </w:p>
    <w:p>
      <w:pPr>
        <w:pStyle w:val="Heading4"/>
        <w:jc w:val="both"/>
      </w:pPr>
      <w:r>
        <w:rPr/>
        <w:t>Figure 89: CAMP shadowing test setup</w:t>
      </w:r>
    </w:p>
    <w:p>
      <w:pPr>
        <w:spacing w:after="0"/>
        <w:jc w:val="both"/>
        <w:sectPr>
          <w:headerReference w:type="default" r:id="rId477"/>
          <w:pgSz w:w="11910" w:h="16850"/>
          <w:pgMar w:header="852" w:footer="876" w:top="1040" w:bottom="1160" w:left="0" w:right="0"/>
        </w:sectPr>
      </w:pPr>
    </w:p>
    <w:p>
      <w:pPr>
        <w:pStyle w:val="BodyText"/>
        <w:spacing w:before="2"/>
        <w:rPr>
          <w:b/>
          <w:sz w:val="23"/>
        </w:rPr>
      </w:pPr>
    </w:p>
    <w:p>
      <w:pPr>
        <w:pStyle w:val="BodyText"/>
        <w:spacing w:before="93"/>
        <w:ind w:left="1133" w:right="1132"/>
        <w:jc w:val="both"/>
      </w:pPr>
      <w:r>
        <w:rPr/>
        <w:t>In Figure 90 and Figure 91, we show average Packet Reception Ratio at the stationary vehicle (SV) while the moving</w:t>
      </w:r>
      <w:r>
        <w:rPr>
          <w:spacing w:val="-8"/>
        </w:rPr>
        <w:t> </w:t>
      </w:r>
      <w:r>
        <w:rPr/>
        <w:t>vehicle</w:t>
      </w:r>
      <w:r>
        <w:rPr>
          <w:spacing w:val="-10"/>
        </w:rPr>
        <w:t> </w:t>
      </w:r>
      <w:r>
        <w:rPr/>
        <w:t>(MV)</w:t>
      </w:r>
      <w:r>
        <w:rPr>
          <w:spacing w:val="-7"/>
        </w:rPr>
        <w:t> </w:t>
      </w:r>
      <w:r>
        <w:rPr/>
        <w:t>is</w:t>
      </w:r>
      <w:r>
        <w:rPr>
          <w:spacing w:val="-9"/>
        </w:rPr>
        <w:t> </w:t>
      </w:r>
      <w:r>
        <w:rPr/>
        <w:t>approaching</w:t>
      </w:r>
      <w:r>
        <w:rPr>
          <w:spacing w:val="-11"/>
        </w:rPr>
        <w:t> </w:t>
      </w:r>
      <w:r>
        <w:rPr/>
        <w:t>as</w:t>
      </w:r>
      <w:r>
        <w:rPr>
          <w:spacing w:val="-7"/>
        </w:rPr>
        <w:t> </w:t>
      </w:r>
      <w:r>
        <w:rPr/>
        <w:t>a</w:t>
      </w:r>
      <w:r>
        <w:rPr>
          <w:spacing w:val="-10"/>
        </w:rPr>
        <w:t> </w:t>
      </w:r>
      <w:r>
        <w:rPr/>
        <w:t>function</w:t>
      </w:r>
      <w:r>
        <w:rPr>
          <w:spacing w:val="-10"/>
        </w:rPr>
        <w:t> </w:t>
      </w:r>
      <w:r>
        <w:rPr/>
        <w:t>of</w:t>
      </w:r>
      <w:r>
        <w:rPr>
          <w:spacing w:val="-8"/>
        </w:rPr>
        <w:t> </w:t>
      </w:r>
      <w:r>
        <w:rPr/>
        <w:t>distance</w:t>
      </w:r>
      <w:r>
        <w:rPr>
          <w:spacing w:val="-10"/>
        </w:rPr>
        <w:t> </w:t>
      </w:r>
      <w:r>
        <w:rPr/>
        <w:t>between</w:t>
      </w:r>
      <w:r>
        <w:rPr>
          <w:spacing w:val="-11"/>
        </w:rPr>
        <w:t> </w:t>
      </w:r>
      <w:r>
        <w:rPr/>
        <w:t>the</w:t>
      </w:r>
      <w:r>
        <w:rPr>
          <w:spacing w:val="-8"/>
        </w:rPr>
        <w:t> </w:t>
      </w:r>
      <w:r>
        <w:rPr/>
        <w:t>vehicles</w:t>
      </w:r>
      <w:r>
        <w:rPr>
          <w:spacing w:val="-7"/>
        </w:rPr>
        <w:t> </w:t>
      </w:r>
      <w:r>
        <w:rPr/>
        <w:t>averaged</w:t>
      </w:r>
      <w:r>
        <w:rPr>
          <w:spacing w:val="-10"/>
        </w:rPr>
        <w:t> </w:t>
      </w:r>
      <w:r>
        <w:rPr/>
        <w:t>over</w:t>
      </w:r>
      <w:r>
        <w:rPr>
          <w:spacing w:val="-9"/>
        </w:rPr>
        <w:t> </w:t>
      </w:r>
      <w:r>
        <w:rPr/>
        <w:t>all</w:t>
      </w:r>
      <w:r>
        <w:rPr>
          <w:spacing w:val="-9"/>
        </w:rPr>
        <w:t> </w:t>
      </w:r>
      <w:r>
        <w:rPr/>
        <w:t>the</w:t>
      </w:r>
      <w:r>
        <w:rPr>
          <w:spacing w:val="-10"/>
        </w:rPr>
        <w:t> </w:t>
      </w:r>
      <w:r>
        <w:rPr/>
        <w:t>loops for</w:t>
      </w:r>
      <w:r>
        <w:rPr>
          <w:spacing w:val="-5"/>
        </w:rPr>
        <w:t> </w:t>
      </w:r>
      <w:r>
        <w:rPr/>
        <w:t>the</w:t>
      </w:r>
      <w:r>
        <w:rPr>
          <w:spacing w:val="-6"/>
        </w:rPr>
        <w:t> </w:t>
      </w:r>
      <w:r>
        <w:rPr/>
        <w:t>effective</w:t>
      </w:r>
      <w:r>
        <w:rPr>
          <w:spacing w:val="-6"/>
        </w:rPr>
        <w:t> </w:t>
      </w:r>
      <w:r>
        <w:rPr/>
        <w:t>transmit</w:t>
      </w:r>
      <w:r>
        <w:rPr>
          <w:spacing w:val="-5"/>
        </w:rPr>
        <w:t> </w:t>
      </w:r>
      <w:r>
        <w:rPr/>
        <w:t>power</w:t>
      </w:r>
      <w:r>
        <w:rPr>
          <w:spacing w:val="-5"/>
        </w:rPr>
        <w:t> </w:t>
      </w:r>
      <w:r>
        <w:rPr/>
        <w:t>of</w:t>
      </w:r>
      <w:r>
        <w:rPr>
          <w:spacing w:val="-4"/>
        </w:rPr>
        <w:t> </w:t>
      </w:r>
      <w:r>
        <w:rPr/>
        <w:t>11</w:t>
      </w:r>
      <w:r>
        <w:rPr>
          <w:spacing w:val="-6"/>
        </w:rPr>
        <w:t> </w:t>
      </w:r>
      <w:r>
        <w:rPr/>
        <w:t>dBm</w:t>
      </w:r>
      <w:r>
        <w:rPr>
          <w:spacing w:val="-1"/>
        </w:rPr>
        <w:t> </w:t>
      </w:r>
      <w:r>
        <w:rPr/>
        <w:t>and</w:t>
      </w:r>
      <w:r>
        <w:rPr>
          <w:spacing w:val="-6"/>
        </w:rPr>
        <w:t> </w:t>
      </w:r>
      <w:r>
        <w:rPr/>
        <w:t>21</w:t>
      </w:r>
      <w:r>
        <w:rPr>
          <w:spacing w:val="-3"/>
        </w:rPr>
        <w:t> </w:t>
      </w:r>
      <w:r>
        <w:rPr/>
        <w:t>dBm,</w:t>
      </w:r>
      <w:r>
        <w:rPr>
          <w:spacing w:val="-5"/>
        </w:rPr>
        <w:t> </w:t>
      </w:r>
      <w:r>
        <w:rPr/>
        <w:t>respectively.</w:t>
      </w:r>
      <w:r>
        <w:rPr>
          <w:spacing w:val="-3"/>
        </w:rPr>
        <w:t> </w:t>
      </w:r>
      <w:r>
        <w:rPr/>
        <w:t>Using</w:t>
      </w:r>
      <w:r>
        <w:rPr>
          <w:spacing w:val="-6"/>
        </w:rPr>
        <w:t> </w:t>
      </w:r>
      <w:r>
        <w:rPr>
          <w:spacing w:val="3"/>
        </w:rPr>
        <w:t>90%</w:t>
      </w:r>
      <w:r>
        <w:rPr>
          <w:spacing w:val="-5"/>
        </w:rPr>
        <w:t> </w:t>
      </w:r>
      <w:r>
        <w:rPr/>
        <w:t>PRR</w:t>
      </w:r>
      <w:r>
        <w:rPr>
          <w:spacing w:val="-5"/>
        </w:rPr>
        <w:t> </w:t>
      </w:r>
      <w:r>
        <w:rPr/>
        <w:t>threshold,</w:t>
      </w:r>
      <w:r>
        <w:rPr>
          <w:spacing w:val="-5"/>
        </w:rPr>
        <w:t> </w:t>
      </w:r>
      <w:r>
        <w:rPr/>
        <w:t>DSRC</w:t>
      </w:r>
      <w:r>
        <w:rPr>
          <w:spacing w:val="-5"/>
        </w:rPr>
        <w:t> </w:t>
      </w:r>
      <w:r>
        <w:rPr/>
        <w:t>range is 200 m and &gt; 1350 m, for 11 dBm and 21 dBm, respectively. For C-V2X, the range is 625 m and &gt; 1350 m for 11 dBm and 21 dBm, respectively. DSRC PRR is briefly below 90% at the distance of 525 m. This is due to a combined characteristic of the test track and the occlusion because both technologies experience the same dip in PRR (C-V2X at 11 dBm and DSRC at 21 dBm) and can be observed in Figure</w:t>
      </w:r>
      <w:r>
        <w:rPr>
          <w:spacing w:val="-18"/>
        </w:rPr>
        <w:t> </w:t>
      </w:r>
      <w:r>
        <w:rPr/>
        <w:t>92.</w:t>
      </w:r>
    </w:p>
    <w:p>
      <w:pPr>
        <w:pStyle w:val="BodyText"/>
        <w:spacing w:before="7"/>
        <w:rPr>
          <w:sz w:val="17"/>
        </w:rPr>
      </w:pPr>
      <w:r>
        <w:rPr/>
        <w:drawing>
          <wp:anchor distT="0" distB="0" distL="0" distR="0" allowOverlap="1" layoutInCell="1" locked="0" behindDoc="0" simplePos="0" relativeHeight="10552">
            <wp:simplePos x="0" y="0"/>
            <wp:positionH relativeFrom="page">
              <wp:posOffset>719455</wp:posOffset>
            </wp:positionH>
            <wp:positionV relativeFrom="paragraph">
              <wp:posOffset>153566</wp:posOffset>
            </wp:positionV>
            <wp:extent cx="5730350" cy="3292983"/>
            <wp:effectExtent l="0" t="0" r="0" b="0"/>
            <wp:wrapTopAndBottom/>
            <wp:docPr id="183" name="image234.png" descr=""/>
            <wp:cNvGraphicFramePr>
              <a:graphicFrameLocks noChangeAspect="1"/>
            </wp:cNvGraphicFramePr>
            <a:graphic>
              <a:graphicData uri="http://schemas.openxmlformats.org/drawingml/2006/picture">
                <pic:pic>
                  <pic:nvPicPr>
                    <pic:cNvPr id="184" name="image234.png"/>
                    <pic:cNvPicPr/>
                  </pic:nvPicPr>
                  <pic:blipFill>
                    <a:blip r:embed="rId480" cstate="print"/>
                    <a:stretch>
                      <a:fillRect/>
                    </a:stretch>
                  </pic:blipFill>
                  <pic:spPr>
                    <a:xfrm>
                      <a:off x="0" y="0"/>
                      <a:ext cx="5730350" cy="3292983"/>
                    </a:xfrm>
                    <a:prstGeom prst="rect">
                      <a:avLst/>
                    </a:prstGeom>
                  </pic:spPr>
                </pic:pic>
              </a:graphicData>
            </a:graphic>
          </wp:anchor>
        </w:drawing>
      </w:r>
    </w:p>
    <w:p>
      <w:pPr>
        <w:pStyle w:val="BodyText"/>
        <w:spacing w:before="8"/>
        <w:rPr>
          <w:sz w:val="21"/>
        </w:rPr>
      </w:pPr>
    </w:p>
    <w:p>
      <w:pPr>
        <w:pStyle w:val="Heading4"/>
        <w:tabs>
          <w:tab w:pos="4190" w:val="left" w:leader="none"/>
          <w:tab w:pos="7181" w:val="left" w:leader="none"/>
          <w:tab w:pos="10159" w:val="left" w:leader="none"/>
        </w:tabs>
        <w:spacing w:after="3"/>
        <w:ind w:right="1126" w:firstLine="67"/>
        <w:jc w:val="both"/>
      </w:pPr>
      <w:r>
        <w:rPr/>
        <w:t>Figure</w:t>
      </w:r>
      <w:r>
        <w:rPr>
          <w:spacing w:val="-11"/>
        </w:rPr>
        <w:t> </w:t>
      </w:r>
      <w:r>
        <w:rPr/>
        <w:t>90:</w:t>
      </w:r>
      <w:r>
        <w:rPr>
          <w:spacing w:val="-8"/>
        </w:rPr>
        <w:t> </w:t>
      </w:r>
      <w:r>
        <w:rPr/>
        <w:t>CAMP</w:t>
      </w:r>
      <w:r>
        <w:rPr>
          <w:spacing w:val="-9"/>
        </w:rPr>
        <w:t> </w:t>
      </w:r>
      <w:r>
        <w:rPr/>
        <w:t>shadowing</w:t>
      </w:r>
      <w:r>
        <w:rPr>
          <w:spacing w:val="-12"/>
        </w:rPr>
        <w:t> </w:t>
      </w:r>
      <w:r>
        <w:rPr/>
        <w:t>test</w:t>
      </w:r>
      <w:r>
        <w:rPr>
          <w:spacing w:val="-12"/>
        </w:rPr>
        <w:t> </w:t>
      </w:r>
      <w:r>
        <w:rPr/>
        <w:t>PRR</w:t>
      </w:r>
      <w:r>
        <w:rPr>
          <w:spacing w:val="-10"/>
        </w:rPr>
        <w:t> </w:t>
      </w:r>
      <w:r>
        <w:rPr/>
        <w:t>at</w:t>
      </w:r>
      <w:r>
        <w:rPr>
          <w:spacing w:val="-10"/>
        </w:rPr>
        <w:t> </w:t>
      </w:r>
      <w:r>
        <w:rPr/>
        <w:t>the</w:t>
      </w:r>
      <w:r>
        <w:rPr>
          <w:spacing w:val="-8"/>
        </w:rPr>
        <w:t> </w:t>
      </w:r>
      <w:r>
        <w:rPr/>
        <w:t>SV</w:t>
      </w:r>
      <w:r>
        <w:rPr>
          <w:spacing w:val="-9"/>
        </w:rPr>
        <w:t> </w:t>
      </w:r>
      <w:r>
        <w:rPr/>
        <w:t>as</w:t>
      </w:r>
      <w:r>
        <w:rPr>
          <w:spacing w:val="-11"/>
        </w:rPr>
        <w:t> </w:t>
      </w:r>
      <w:r>
        <w:rPr/>
        <w:t>a</w:t>
      </w:r>
      <w:r>
        <w:rPr>
          <w:spacing w:val="-8"/>
        </w:rPr>
        <w:t> </w:t>
      </w:r>
      <w:r>
        <w:rPr/>
        <w:t>function</w:t>
      </w:r>
      <w:r>
        <w:rPr>
          <w:spacing w:val="-12"/>
        </w:rPr>
        <w:t> </w:t>
      </w:r>
      <w:r>
        <w:rPr/>
        <w:t>of</w:t>
      </w:r>
      <w:r>
        <w:rPr>
          <w:spacing w:val="-13"/>
        </w:rPr>
        <w:t> </w:t>
      </w:r>
      <w:r>
        <w:rPr/>
        <w:t>distance</w:t>
      </w:r>
      <w:r>
        <w:rPr>
          <w:spacing w:val="-11"/>
        </w:rPr>
        <w:t> </w:t>
      </w:r>
      <w:r>
        <w:rPr/>
        <w:t>between</w:t>
      </w:r>
      <w:r>
        <w:rPr>
          <w:spacing w:val="-10"/>
        </w:rPr>
        <w:t> </w:t>
      </w:r>
      <w:r>
        <w:rPr/>
        <w:t>SV and</w:t>
        <w:tab/>
        <w:t>MV</w:t>
        <w:tab/>
        <w:t>(11</w:t>
        <w:tab/>
        <w:t>dBm)</w:t>
      </w:r>
    </w:p>
    <w:p>
      <w:pPr>
        <w:pStyle w:val="BodyText"/>
        <w:ind w:left="1133"/>
      </w:pPr>
      <w:r>
        <w:rPr/>
        <w:drawing>
          <wp:inline distT="0" distB="0" distL="0" distR="0">
            <wp:extent cx="5341885" cy="3150108"/>
            <wp:effectExtent l="0" t="0" r="0" b="0"/>
            <wp:docPr id="185" name="image235.png" descr=""/>
            <wp:cNvGraphicFramePr>
              <a:graphicFrameLocks noChangeAspect="1"/>
            </wp:cNvGraphicFramePr>
            <a:graphic>
              <a:graphicData uri="http://schemas.openxmlformats.org/drawingml/2006/picture">
                <pic:pic>
                  <pic:nvPicPr>
                    <pic:cNvPr id="186" name="image235.png"/>
                    <pic:cNvPicPr/>
                  </pic:nvPicPr>
                  <pic:blipFill>
                    <a:blip r:embed="rId481" cstate="print"/>
                    <a:stretch>
                      <a:fillRect/>
                    </a:stretch>
                  </pic:blipFill>
                  <pic:spPr>
                    <a:xfrm>
                      <a:off x="0" y="0"/>
                      <a:ext cx="5341885" cy="3150108"/>
                    </a:xfrm>
                    <a:prstGeom prst="rect">
                      <a:avLst/>
                    </a:prstGeom>
                  </pic:spPr>
                </pic:pic>
              </a:graphicData>
            </a:graphic>
          </wp:inline>
        </w:drawing>
      </w:r>
      <w:r>
        <w:rPr/>
      </w:r>
    </w:p>
    <w:p>
      <w:pPr>
        <w:pStyle w:val="BodyText"/>
        <w:rPr>
          <w:b/>
          <w:sz w:val="26"/>
        </w:rPr>
      </w:pPr>
    </w:p>
    <w:p>
      <w:pPr>
        <w:pStyle w:val="BodyText"/>
        <w:spacing w:before="1"/>
        <w:rPr>
          <w:b/>
          <w:sz w:val="25"/>
        </w:rPr>
      </w:pPr>
    </w:p>
    <w:p>
      <w:pPr>
        <w:spacing w:before="0"/>
        <w:ind w:left="1133" w:right="1128" w:firstLine="67"/>
        <w:jc w:val="both"/>
        <w:rPr>
          <w:b/>
          <w:sz w:val="24"/>
        </w:rPr>
      </w:pPr>
      <w:r>
        <w:rPr>
          <w:b/>
          <w:sz w:val="24"/>
        </w:rPr>
        <w:t>Figure</w:t>
      </w:r>
      <w:r>
        <w:rPr>
          <w:b/>
          <w:spacing w:val="-11"/>
          <w:sz w:val="24"/>
        </w:rPr>
        <w:t> </w:t>
      </w:r>
      <w:r>
        <w:rPr>
          <w:b/>
          <w:sz w:val="24"/>
        </w:rPr>
        <w:t>91:</w:t>
      </w:r>
      <w:r>
        <w:rPr>
          <w:b/>
          <w:spacing w:val="-8"/>
          <w:sz w:val="24"/>
        </w:rPr>
        <w:t> </w:t>
      </w:r>
      <w:r>
        <w:rPr>
          <w:b/>
          <w:sz w:val="24"/>
        </w:rPr>
        <w:t>CAMP</w:t>
      </w:r>
      <w:r>
        <w:rPr>
          <w:b/>
          <w:spacing w:val="-9"/>
          <w:sz w:val="24"/>
        </w:rPr>
        <w:t> </w:t>
      </w:r>
      <w:r>
        <w:rPr>
          <w:b/>
          <w:sz w:val="24"/>
        </w:rPr>
        <w:t>shadowing</w:t>
      </w:r>
      <w:r>
        <w:rPr>
          <w:b/>
          <w:spacing w:val="-12"/>
          <w:sz w:val="24"/>
        </w:rPr>
        <w:t> </w:t>
      </w:r>
      <w:r>
        <w:rPr>
          <w:b/>
          <w:sz w:val="24"/>
        </w:rPr>
        <w:t>test</w:t>
      </w:r>
      <w:r>
        <w:rPr>
          <w:b/>
          <w:spacing w:val="-12"/>
          <w:sz w:val="24"/>
        </w:rPr>
        <w:t> </w:t>
      </w:r>
      <w:r>
        <w:rPr>
          <w:b/>
          <w:sz w:val="24"/>
        </w:rPr>
        <w:t>PRR</w:t>
      </w:r>
      <w:r>
        <w:rPr>
          <w:b/>
          <w:spacing w:val="-10"/>
          <w:sz w:val="24"/>
        </w:rPr>
        <w:t> </w:t>
      </w:r>
      <w:r>
        <w:rPr>
          <w:b/>
          <w:sz w:val="24"/>
        </w:rPr>
        <w:t>at</w:t>
      </w:r>
      <w:r>
        <w:rPr>
          <w:b/>
          <w:spacing w:val="-10"/>
          <w:sz w:val="24"/>
        </w:rPr>
        <w:t> </w:t>
      </w:r>
      <w:r>
        <w:rPr>
          <w:b/>
          <w:sz w:val="24"/>
        </w:rPr>
        <w:t>the</w:t>
      </w:r>
      <w:r>
        <w:rPr>
          <w:b/>
          <w:spacing w:val="-8"/>
          <w:sz w:val="24"/>
        </w:rPr>
        <w:t> </w:t>
      </w:r>
      <w:r>
        <w:rPr>
          <w:b/>
          <w:sz w:val="24"/>
        </w:rPr>
        <w:t>SV</w:t>
      </w:r>
      <w:r>
        <w:rPr>
          <w:b/>
          <w:spacing w:val="-9"/>
          <w:sz w:val="24"/>
        </w:rPr>
        <w:t> </w:t>
      </w:r>
      <w:r>
        <w:rPr>
          <w:b/>
          <w:sz w:val="24"/>
        </w:rPr>
        <w:t>as</w:t>
      </w:r>
      <w:r>
        <w:rPr>
          <w:b/>
          <w:spacing w:val="-11"/>
          <w:sz w:val="24"/>
        </w:rPr>
        <w:t> </w:t>
      </w:r>
      <w:r>
        <w:rPr>
          <w:b/>
          <w:sz w:val="24"/>
        </w:rPr>
        <w:t>a</w:t>
      </w:r>
      <w:r>
        <w:rPr>
          <w:b/>
          <w:spacing w:val="-8"/>
          <w:sz w:val="24"/>
        </w:rPr>
        <w:t> </w:t>
      </w:r>
      <w:r>
        <w:rPr>
          <w:b/>
          <w:sz w:val="24"/>
        </w:rPr>
        <w:t>function</w:t>
      </w:r>
      <w:r>
        <w:rPr>
          <w:b/>
          <w:spacing w:val="-12"/>
          <w:sz w:val="24"/>
        </w:rPr>
        <w:t> </w:t>
      </w:r>
      <w:r>
        <w:rPr>
          <w:b/>
          <w:sz w:val="24"/>
        </w:rPr>
        <w:t>of</w:t>
      </w:r>
      <w:r>
        <w:rPr>
          <w:b/>
          <w:spacing w:val="-13"/>
          <w:sz w:val="24"/>
        </w:rPr>
        <w:t> </w:t>
      </w:r>
      <w:r>
        <w:rPr>
          <w:b/>
          <w:sz w:val="24"/>
        </w:rPr>
        <w:t>distance</w:t>
      </w:r>
      <w:r>
        <w:rPr>
          <w:b/>
          <w:spacing w:val="-11"/>
          <w:sz w:val="24"/>
        </w:rPr>
        <w:t> </w:t>
      </w:r>
      <w:r>
        <w:rPr>
          <w:b/>
          <w:sz w:val="24"/>
        </w:rPr>
        <w:t>between</w:t>
      </w:r>
      <w:r>
        <w:rPr>
          <w:b/>
          <w:spacing w:val="-12"/>
          <w:sz w:val="24"/>
        </w:rPr>
        <w:t> </w:t>
      </w:r>
      <w:r>
        <w:rPr>
          <w:b/>
          <w:sz w:val="24"/>
        </w:rPr>
        <w:t>SV and MV (21</w:t>
      </w:r>
      <w:r>
        <w:rPr>
          <w:b/>
          <w:spacing w:val="-2"/>
          <w:sz w:val="24"/>
        </w:rPr>
        <w:t> </w:t>
      </w:r>
      <w:r>
        <w:rPr>
          <w:b/>
          <w:sz w:val="24"/>
        </w:rPr>
        <w:t>dBm)</w:t>
      </w:r>
    </w:p>
    <w:p>
      <w:pPr>
        <w:spacing w:after="0"/>
        <w:jc w:val="both"/>
        <w:rPr>
          <w:sz w:val="24"/>
        </w:rPr>
        <w:sectPr>
          <w:headerReference w:type="default" r:id="rId479"/>
          <w:pgSz w:w="11910" w:h="16850"/>
          <w:pgMar w:header="852" w:footer="876" w:top="1040" w:bottom="1160" w:left="0" w:right="0"/>
        </w:sectPr>
      </w:pPr>
    </w:p>
    <w:p>
      <w:pPr>
        <w:pStyle w:val="BodyText"/>
        <w:rPr>
          <w:b/>
        </w:rPr>
      </w:pPr>
    </w:p>
    <w:p>
      <w:pPr>
        <w:pStyle w:val="BodyText"/>
        <w:spacing w:before="6"/>
        <w:rPr>
          <w:b/>
          <w:sz w:val="11"/>
        </w:rPr>
      </w:pPr>
    </w:p>
    <w:p>
      <w:pPr>
        <w:pStyle w:val="BodyText"/>
        <w:ind w:left="1188"/>
      </w:pPr>
      <w:r>
        <w:rPr/>
        <w:drawing>
          <wp:inline distT="0" distB="0" distL="0" distR="0">
            <wp:extent cx="5387971" cy="3537204"/>
            <wp:effectExtent l="0" t="0" r="0" b="0"/>
            <wp:docPr id="189" name="image236.png" descr="image002"/>
            <wp:cNvGraphicFramePr>
              <a:graphicFrameLocks noChangeAspect="1"/>
            </wp:cNvGraphicFramePr>
            <a:graphic>
              <a:graphicData uri="http://schemas.openxmlformats.org/drawingml/2006/picture">
                <pic:pic>
                  <pic:nvPicPr>
                    <pic:cNvPr id="190" name="image236.png"/>
                    <pic:cNvPicPr/>
                  </pic:nvPicPr>
                  <pic:blipFill>
                    <a:blip r:embed="rId484" cstate="print"/>
                    <a:stretch>
                      <a:fillRect/>
                    </a:stretch>
                  </pic:blipFill>
                  <pic:spPr>
                    <a:xfrm>
                      <a:off x="0" y="0"/>
                      <a:ext cx="5387971" cy="3537204"/>
                    </a:xfrm>
                    <a:prstGeom prst="rect">
                      <a:avLst/>
                    </a:prstGeom>
                  </pic:spPr>
                </pic:pic>
              </a:graphicData>
            </a:graphic>
          </wp:inline>
        </w:drawing>
      </w:r>
      <w:r>
        <w:rPr/>
      </w:r>
    </w:p>
    <w:p>
      <w:pPr>
        <w:pStyle w:val="BodyText"/>
        <w:rPr>
          <w:b/>
          <w:sz w:val="16"/>
        </w:rPr>
      </w:pPr>
    </w:p>
    <w:p>
      <w:pPr>
        <w:pStyle w:val="Heading4"/>
        <w:spacing w:line="274" w:lineRule="exact" w:before="99"/>
        <w:ind w:right="1136"/>
      </w:pPr>
      <w:r>
        <w:rPr/>
        <w:t>Figure 92: CAMP shadowing test DSRC RSSI as a function of distance (21 dBm effective transmit power)</w:t>
      </w:r>
    </w:p>
    <w:p>
      <w:pPr>
        <w:pStyle w:val="BodyText"/>
        <w:rPr>
          <w:b/>
        </w:rPr>
      </w:pPr>
    </w:p>
    <w:p>
      <w:pPr>
        <w:pStyle w:val="BodyText"/>
        <w:rPr>
          <w:b/>
        </w:rPr>
      </w:pPr>
    </w:p>
    <w:p>
      <w:pPr>
        <w:pStyle w:val="BodyText"/>
        <w:spacing w:before="3"/>
        <w:rPr>
          <w:b/>
          <w:sz w:val="19"/>
        </w:rPr>
      </w:pPr>
      <w:r>
        <w:rPr/>
        <w:pict>
          <v:line style="position:absolute;mso-position-horizontal-relative:page;mso-position-vertical-relative:paragraph;z-index:10576;mso-wrap-distance-left:0;mso-wrap-distance-right:0" from="55.223999pt,13.771172pt" to="540.243999pt,13.771172pt" stroked="true" strokeweight="1.44pt" strokecolor="#000000">
            <v:stroke dashstyle="solid"/>
            <w10:wrap type="topAndBottom"/>
          </v:line>
        </w:pict>
      </w:r>
    </w:p>
    <w:p>
      <w:pPr>
        <w:tabs>
          <w:tab w:pos="10415" w:val="left" w:leader="none"/>
        </w:tabs>
        <w:spacing w:before="27"/>
        <w:ind w:left="1133" w:right="0" w:firstLine="0"/>
        <w:jc w:val="left"/>
        <w:rPr>
          <w:sz w:val="36"/>
        </w:rPr>
      </w:pPr>
      <w:bookmarkStart w:name="_bookmark161" w:id="250"/>
      <w:bookmarkEnd w:id="250"/>
      <w:r>
        <w:rPr/>
      </w:r>
      <w:r>
        <w:rPr>
          <w:sz w:val="36"/>
        </w:rPr>
        <w:t>Annex</w:t>
        <w:tab/>
        <w:t>C:</w:t>
      </w:r>
    </w:p>
    <w:p>
      <w:pPr>
        <w:spacing w:before="1"/>
        <w:ind w:left="0" w:right="1870" w:firstLine="0"/>
        <w:jc w:val="center"/>
        <w:rPr>
          <w:sz w:val="36"/>
        </w:rPr>
      </w:pPr>
      <w:r>
        <w:rPr>
          <w:sz w:val="36"/>
        </w:rPr>
        <w:t>Latency and IPG Summary Tables</w:t>
      </w:r>
    </w:p>
    <w:p>
      <w:pPr>
        <w:pStyle w:val="Heading6"/>
        <w:spacing w:before="302"/>
        <w:ind w:left="1133" w:firstLine="0"/>
        <w:jc w:val="left"/>
      </w:pPr>
      <w:r>
        <w:rPr/>
        <w:t>The summaries of the latency and IPG results from Chapter 7 are included below.</w:t>
      </w:r>
    </w:p>
    <w:p>
      <w:pPr>
        <w:pStyle w:val="BodyText"/>
        <w:spacing w:before="10"/>
        <w:rPr>
          <w:sz w:val="34"/>
        </w:rPr>
      </w:pPr>
    </w:p>
    <w:p>
      <w:pPr>
        <w:pStyle w:val="Heading7"/>
      </w:pPr>
      <w:r>
        <w:rPr/>
        <w:t>Table 44: Summary of 95</w:t>
      </w:r>
      <w:r>
        <w:rPr>
          <w:position w:val="7"/>
          <w:sz w:val="13"/>
        </w:rPr>
        <w:t>th </w:t>
      </w:r>
      <w:r>
        <w:rPr/>
        <w:t>percentile latency results</w:t>
      </w:r>
    </w:p>
    <w:p>
      <w:pPr>
        <w:pStyle w:val="BodyText"/>
        <w:rPr>
          <w:b/>
        </w:rPr>
      </w:pPr>
    </w:p>
    <w:p>
      <w:pPr>
        <w:pStyle w:val="BodyText"/>
        <w:spacing w:before="1"/>
        <w:rPr>
          <w:b/>
          <w:sz w:val="16"/>
        </w:rPr>
      </w:pPr>
    </w:p>
    <w:tbl>
      <w:tblPr>
        <w:tblW w:w="0" w:type="auto"/>
        <w:jc w:val="left"/>
        <w:tblInd w:w="1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36"/>
        <w:gridCol w:w="2521"/>
        <w:gridCol w:w="1949"/>
      </w:tblGrid>
      <w:tr>
        <w:trPr>
          <w:trHeight w:val="216" w:hRule="exact"/>
        </w:trPr>
        <w:tc>
          <w:tcPr>
            <w:tcW w:w="4136" w:type="dxa"/>
            <w:vMerge w:val="restart"/>
            <w:shd w:val="clear" w:color="auto" w:fill="D9D9D9"/>
          </w:tcPr>
          <w:p>
            <w:pPr>
              <w:pStyle w:val="TableParagraph"/>
              <w:spacing w:line="240" w:lineRule="auto" w:before="102"/>
              <w:rPr>
                <w:b/>
                <w:sz w:val="18"/>
              </w:rPr>
            </w:pPr>
            <w:r>
              <w:rPr>
                <w:b/>
                <w:sz w:val="18"/>
              </w:rPr>
              <w:t>Test</w:t>
            </w:r>
          </w:p>
        </w:tc>
        <w:tc>
          <w:tcPr>
            <w:tcW w:w="4470" w:type="dxa"/>
            <w:gridSpan w:val="2"/>
            <w:shd w:val="clear" w:color="auto" w:fill="D9D9D9"/>
          </w:tcPr>
          <w:p>
            <w:pPr>
              <w:pStyle w:val="TableParagraph"/>
              <w:spacing w:line="201" w:lineRule="exact"/>
              <w:rPr>
                <w:b/>
                <w:sz w:val="18"/>
              </w:rPr>
            </w:pPr>
            <w:r>
              <w:rPr>
                <w:b/>
                <w:sz w:val="18"/>
              </w:rPr>
              <w:t>95</w:t>
            </w:r>
            <w:r>
              <w:rPr>
                <w:b/>
                <w:position w:val="6"/>
                <w:sz w:val="12"/>
              </w:rPr>
              <w:t>th </w:t>
            </w:r>
            <w:r>
              <w:rPr>
                <w:b/>
                <w:sz w:val="18"/>
              </w:rPr>
              <w:t>Percentile Latency (ms)</w:t>
            </w:r>
          </w:p>
        </w:tc>
      </w:tr>
      <w:tr>
        <w:trPr>
          <w:trHeight w:val="218" w:hRule="exact"/>
        </w:trPr>
        <w:tc>
          <w:tcPr>
            <w:tcW w:w="4136" w:type="dxa"/>
            <w:vMerge/>
            <w:shd w:val="clear" w:color="auto" w:fill="D9D9D9"/>
          </w:tcPr>
          <w:p>
            <w:pPr/>
          </w:p>
        </w:tc>
        <w:tc>
          <w:tcPr>
            <w:tcW w:w="2521" w:type="dxa"/>
            <w:shd w:val="clear" w:color="auto" w:fill="D9D9D9"/>
          </w:tcPr>
          <w:p>
            <w:pPr>
              <w:pStyle w:val="TableParagraph"/>
              <w:spacing w:line="201" w:lineRule="exact"/>
              <w:rPr>
                <w:b/>
                <w:sz w:val="18"/>
              </w:rPr>
            </w:pPr>
            <w:r>
              <w:rPr>
                <w:b/>
                <w:sz w:val="18"/>
              </w:rPr>
              <w:t>C-V2X</w:t>
            </w:r>
          </w:p>
        </w:tc>
        <w:tc>
          <w:tcPr>
            <w:tcW w:w="1949" w:type="dxa"/>
            <w:shd w:val="clear" w:color="auto" w:fill="D9D9D9"/>
          </w:tcPr>
          <w:p>
            <w:pPr>
              <w:pStyle w:val="TableParagraph"/>
              <w:spacing w:line="201" w:lineRule="exact"/>
              <w:rPr>
                <w:b/>
                <w:sz w:val="18"/>
              </w:rPr>
            </w:pPr>
            <w:r>
              <w:rPr>
                <w:b/>
                <w:sz w:val="18"/>
              </w:rPr>
              <w:t>DSRC</w:t>
            </w:r>
          </w:p>
        </w:tc>
      </w:tr>
      <w:tr>
        <w:trPr>
          <w:trHeight w:val="555" w:hRule="exact"/>
        </w:trPr>
        <w:tc>
          <w:tcPr>
            <w:tcW w:w="4136" w:type="dxa"/>
          </w:tcPr>
          <w:p>
            <w:pPr>
              <w:pStyle w:val="TableParagraph"/>
              <w:spacing w:line="240" w:lineRule="auto"/>
              <w:rPr>
                <w:sz w:val="18"/>
              </w:rPr>
            </w:pPr>
            <w:r>
              <w:rPr>
                <w:sz w:val="18"/>
              </w:rPr>
              <w:t>7.2.1 Cabled transmission and reception test with varying payload sizes</w:t>
            </w:r>
          </w:p>
        </w:tc>
        <w:tc>
          <w:tcPr>
            <w:tcW w:w="2521" w:type="dxa"/>
          </w:tcPr>
          <w:p>
            <w:pPr>
              <w:pStyle w:val="TableParagraph"/>
              <w:rPr>
                <w:sz w:val="18"/>
              </w:rPr>
            </w:pPr>
            <w:r>
              <w:rPr>
                <w:sz w:val="18"/>
              </w:rPr>
              <w:t>23</w:t>
            </w:r>
          </w:p>
        </w:tc>
        <w:tc>
          <w:tcPr>
            <w:tcW w:w="1949" w:type="dxa"/>
          </w:tcPr>
          <w:p>
            <w:pPr>
              <w:pStyle w:val="TableParagraph"/>
              <w:rPr>
                <w:sz w:val="18"/>
              </w:rPr>
            </w:pPr>
            <w:r>
              <w:rPr>
                <w:sz w:val="18"/>
              </w:rPr>
              <w:t>20</w:t>
            </w:r>
          </w:p>
        </w:tc>
      </w:tr>
      <w:tr>
        <w:trPr>
          <w:trHeight w:val="425" w:hRule="exact"/>
        </w:trPr>
        <w:tc>
          <w:tcPr>
            <w:tcW w:w="4136" w:type="dxa"/>
          </w:tcPr>
          <w:p>
            <w:pPr>
              <w:pStyle w:val="TableParagraph"/>
              <w:spacing w:line="240" w:lineRule="auto"/>
              <w:rPr>
                <w:sz w:val="18"/>
              </w:rPr>
            </w:pPr>
            <w:r>
              <w:rPr>
                <w:sz w:val="18"/>
              </w:rPr>
              <w:t>7.2.2 Clean channel cabled transmission and reception test across power levels</w:t>
            </w:r>
          </w:p>
        </w:tc>
        <w:tc>
          <w:tcPr>
            <w:tcW w:w="2521" w:type="dxa"/>
          </w:tcPr>
          <w:p>
            <w:pPr>
              <w:pStyle w:val="TableParagraph"/>
              <w:rPr>
                <w:sz w:val="18"/>
              </w:rPr>
            </w:pPr>
            <w:r>
              <w:rPr>
                <w:sz w:val="18"/>
              </w:rPr>
              <w:t>23</w:t>
            </w:r>
          </w:p>
        </w:tc>
        <w:tc>
          <w:tcPr>
            <w:tcW w:w="1949" w:type="dxa"/>
          </w:tcPr>
          <w:p>
            <w:pPr>
              <w:pStyle w:val="TableParagraph"/>
              <w:rPr>
                <w:sz w:val="18"/>
              </w:rPr>
            </w:pPr>
            <w:r>
              <w:rPr>
                <w:sz w:val="18"/>
              </w:rPr>
              <w:t>20</w:t>
            </w:r>
          </w:p>
        </w:tc>
      </w:tr>
      <w:tr>
        <w:trPr>
          <w:trHeight w:val="422" w:hRule="exact"/>
        </w:trPr>
        <w:tc>
          <w:tcPr>
            <w:tcW w:w="4136" w:type="dxa"/>
          </w:tcPr>
          <w:p>
            <w:pPr>
              <w:pStyle w:val="TableParagraph"/>
              <w:spacing w:line="240" w:lineRule="auto"/>
              <w:rPr>
                <w:sz w:val="18"/>
              </w:rPr>
            </w:pPr>
            <w:r>
              <w:rPr>
                <w:sz w:val="18"/>
              </w:rPr>
              <w:t>7.2.3 Cabled Transmission and Reception Test with added Channel Impairment</w:t>
            </w:r>
          </w:p>
        </w:tc>
        <w:tc>
          <w:tcPr>
            <w:tcW w:w="2521" w:type="dxa"/>
          </w:tcPr>
          <w:p>
            <w:pPr>
              <w:pStyle w:val="TableParagraph"/>
              <w:tabs>
                <w:tab w:pos="1778" w:val="left" w:leader="none"/>
              </w:tabs>
              <w:spacing w:line="240" w:lineRule="auto"/>
              <w:ind w:right="102"/>
              <w:rPr>
                <w:sz w:val="18"/>
              </w:rPr>
            </w:pPr>
            <w:r>
              <w:rPr>
                <w:sz w:val="18"/>
              </w:rPr>
              <w:t>27(with</w:t>
              <w:tab/>
            </w:r>
            <w:r>
              <w:rPr>
                <w:spacing w:val="-1"/>
                <w:sz w:val="18"/>
              </w:rPr>
              <w:t>HARQ), </w:t>
            </w:r>
            <w:r>
              <w:rPr>
                <w:sz w:val="18"/>
              </w:rPr>
              <w:t>28(without</w:t>
            </w:r>
            <w:r>
              <w:rPr>
                <w:spacing w:val="-6"/>
                <w:sz w:val="18"/>
              </w:rPr>
              <w:t> </w:t>
            </w:r>
            <w:r>
              <w:rPr>
                <w:sz w:val="18"/>
              </w:rPr>
              <w:t>HARQ)</w:t>
            </w:r>
          </w:p>
        </w:tc>
        <w:tc>
          <w:tcPr>
            <w:tcW w:w="1949" w:type="dxa"/>
          </w:tcPr>
          <w:p>
            <w:pPr>
              <w:pStyle w:val="TableParagraph"/>
              <w:rPr>
                <w:sz w:val="18"/>
              </w:rPr>
            </w:pPr>
            <w:r>
              <w:rPr>
                <w:sz w:val="18"/>
              </w:rPr>
              <w:t>19</w:t>
            </w:r>
          </w:p>
        </w:tc>
      </w:tr>
    </w:tbl>
    <w:p>
      <w:pPr>
        <w:pStyle w:val="BodyText"/>
        <w:spacing w:before="8"/>
        <w:rPr>
          <w:b/>
          <w:sz w:val="16"/>
        </w:rPr>
      </w:pPr>
    </w:p>
    <w:p>
      <w:pPr>
        <w:spacing w:before="93"/>
        <w:ind w:left="1133" w:right="0" w:firstLine="0"/>
        <w:jc w:val="left"/>
        <w:rPr>
          <w:b/>
          <w:sz w:val="20"/>
        </w:rPr>
      </w:pPr>
      <w:r>
        <w:rPr>
          <w:b/>
          <w:sz w:val="20"/>
        </w:rPr>
        <w:t>Table 45: Summary of average latency results</w:t>
      </w:r>
    </w:p>
    <w:p>
      <w:pPr>
        <w:spacing w:after="0"/>
        <w:jc w:val="left"/>
        <w:rPr>
          <w:sz w:val="20"/>
        </w:rPr>
        <w:sectPr>
          <w:headerReference w:type="default" r:id="rId482"/>
          <w:footerReference w:type="default" r:id="rId483"/>
          <w:pgSz w:w="11910" w:h="16850"/>
          <w:pgMar w:header="852" w:footer="979" w:top="1040" w:bottom="1160" w:left="0" w:right="0"/>
        </w:sectPr>
      </w:pPr>
    </w:p>
    <w:p>
      <w:pPr>
        <w:pStyle w:val="BodyText"/>
        <w:rPr>
          <w:b/>
        </w:rPr>
      </w:pPr>
    </w:p>
    <w:p>
      <w:pPr>
        <w:pStyle w:val="BodyText"/>
        <w:spacing w:before="6"/>
        <w:rPr>
          <w:b/>
          <w:sz w:val="11"/>
        </w:rPr>
      </w:pPr>
    </w:p>
    <w:tbl>
      <w:tblPr>
        <w:tblW w:w="0" w:type="auto"/>
        <w:jc w:val="left"/>
        <w:tblInd w:w="1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36"/>
        <w:gridCol w:w="2521"/>
        <w:gridCol w:w="1949"/>
      </w:tblGrid>
      <w:tr>
        <w:trPr>
          <w:trHeight w:val="217" w:hRule="exact"/>
        </w:trPr>
        <w:tc>
          <w:tcPr>
            <w:tcW w:w="4136" w:type="dxa"/>
            <w:vMerge w:val="restart"/>
            <w:shd w:val="clear" w:color="auto" w:fill="D9D9D9"/>
          </w:tcPr>
          <w:p>
            <w:pPr>
              <w:pStyle w:val="TableParagraph"/>
              <w:spacing w:line="240" w:lineRule="auto" w:before="102"/>
              <w:rPr>
                <w:b/>
                <w:sz w:val="18"/>
              </w:rPr>
            </w:pPr>
            <w:r>
              <w:rPr>
                <w:b/>
                <w:sz w:val="18"/>
              </w:rPr>
              <w:t>Test</w:t>
            </w:r>
          </w:p>
        </w:tc>
        <w:tc>
          <w:tcPr>
            <w:tcW w:w="4470" w:type="dxa"/>
            <w:gridSpan w:val="2"/>
            <w:shd w:val="clear" w:color="auto" w:fill="D9D9D9"/>
          </w:tcPr>
          <w:p>
            <w:pPr>
              <w:pStyle w:val="TableParagraph"/>
              <w:spacing w:line="201" w:lineRule="exact"/>
              <w:rPr>
                <w:b/>
                <w:sz w:val="18"/>
              </w:rPr>
            </w:pPr>
            <w:r>
              <w:rPr>
                <w:b/>
                <w:sz w:val="18"/>
              </w:rPr>
              <w:t>Average Latency (ms)</w:t>
            </w:r>
          </w:p>
        </w:tc>
      </w:tr>
      <w:tr>
        <w:trPr>
          <w:trHeight w:val="218" w:hRule="exact"/>
        </w:trPr>
        <w:tc>
          <w:tcPr>
            <w:tcW w:w="4136" w:type="dxa"/>
            <w:vMerge/>
            <w:shd w:val="clear" w:color="auto" w:fill="D9D9D9"/>
          </w:tcPr>
          <w:p>
            <w:pPr/>
          </w:p>
        </w:tc>
        <w:tc>
          <w:tcPr>
            <w:tcW w:w="2521" w:type="dxa"/>
            <w:shd w:val="clear" w:color="auto" w:fill="D9D9D9"/>
          </w:tcPr>
          <w:p>
            <w:pPr>
              <w:pStyle w:val="TableParagraph"/>
              <w:spacing w:line="203" w:lineRule="exact"/>
              <w:rPr>
                <w:b/>
                <w:sz w:val="18"/>
              </w:rPr>
            </w:pPr>
            <w:r>
              <w:rPr>
                <w:b/>
                <w:sz w:val="18"/>
              </w:rPr>
              <w:t>C-V2X</w:t>
            </w:r>
          </w:p>
        </w:tc>
        <w:tc>
          <w:tcPr>
            <w:tcW w:w="1949" w:type="dxa"/>
            <w:shd w:val="clear" w:color="auto" w:fill="D9D9D9"/>
          </w:tcPr>
          <w:p>
            <w:pPr>
              <w:pStyle w:val="TableParagraph"/>
              <w:spacing w:line="203" w:lineRule="exact"/>
              <w:rPr>
                <w:b/>
                <w:sz w:val="18"/>
              </w:rPr>
            </w:pPr>
            <w:r>
              <w:rPr>
                <w:b/>
                <w:sz w:val="18"/>
              </w:rPr>
              <w:t>DSRC</w:t>
            </w:r>
          </w:p>
        </w:tc>
      </w:tr>
      <w:tr>
        <w:trPr>
          <w:trHeight w:val="554" w:hRule="exact"/>
        </w:trPr>
        <w:tc>
          <w:tcPr>
            <w:tcW w:w="4136" w:type="dxa"/>
          </w:tcPr>
          <w:p>
            <w:pPr>
              <w:pStyle w:val="TableParagraph"/>
              <w:spacing w:line="240" w:lineRule="auto"/>
              <w:rPr>
                <w:sz w:val="18"/>
              </w:rPr>
            </w:pPr>
            <w:r>
              <w:rPr>
                <w:sz w:val="18"/>
              </w:rPr>
              <w:t>7.2.1 Cabled transmission and reception test with varying payload sizes</w:t>
            </w:r>
          </w:p>
        </w:tc>
        <w:tc>
          <w:tcPr>
            <w:tcW w:w="2521" w:type="dxa"/>
          </w:tcPr>
          <w:p>
            <w:pPr>
              <w:pStyle w:val="TableParagraph"/>
              <w:rPr>
                <w:sz w:val="18"/>
              </w:rPr>
            </w:pPr>
            <w:r>
              <w:rPr>
                <w:sz w:val="18"/>
              </w:rPr>
              <w:t>14</w:t>
            </w:r>
          </w:p>
        </w:tc>
        <w:tc>
          <w:tcPr>
            <w:tcW w:w="1949" w:type="dxa"/>
          </w:tcPr>
          <w:p>
            <w:pPr>
              <w:pStyle w:val="TableParagraph"/>
              <w:rPr>
                <w:sz w:val="18"/>
              </w:rPr>
            </w:pPr>
            <w:r>
              <w:rPr>
                <w:sz w:val="18"/>
              </w:rPr>
              <w:t>16.2</w:t>
            </w:r>
          </w:p>
        </w:tc>
      </w:tr>
      <w:tr>
        <w:trPr>
          <w:trHeight w:val="425" w:hRule="exact"/>
        </w:trPr>
        <w:tc>
          <w:tcPr>
            <w:tcW w:w="4136" w:type="dxa"/>
          </w:tcPr>
          <w:p>
            <w:pPr>
              <w:pStyle w:val="TableParagraph"/>
              <w:spacing w:line="240" w:lineRule="auto"/>
              <w:rPr>
                <w:sz w:val="18"/>
              </w:rPr>
            </w:pPr>
            <w:r>
              <w:rPr>
                <w:sz w:val="18"/>
              </w:rPr>
              <w:t>7.2.2 Clean channel cabled transmission and reception test across power levels</w:t>
            </w:r>
          </w:p>
        </w:tc>
        <w:tc>
          <w:tcPr>
            <w:tcW w:w="2521" w:type="dxa"/>
          </w:tcPr>
          <w:p>
            <w:pPr>
              <w:pStyle w:val="TableParagraph"/>
              <w:rPr>
                <w:sz w:val="18"/>
              </w:rPr>
            </w:pPr>
            <w:r>
              <w:rPr>
                <w:sz w:val="18"/>
              </w:rPr>
              <w:t>13.8</w:t>
            </w:r>
          </w:p>
        </w:tc>
        <w:tc>
          <w:tcPr>
            <w:tcW w:w="1949" w:type="dxa"/>
          </w:tcPr>
          <w:p>
            <w:pPr>
              <w:pStyle w:val="TableParagraph"/>
              <w:rPr>
                <w:sz w:val="18"/>
              </w:rPr>
            </w:pPr>
            <w:r>
              <w:rPr>
                <w:sz w:val="18"/>
              </w:rPr>
              <w:t>16.5</w:t>
            </w:r>
          </w:p>
        </w:tc>
      </w:tr>
      <w:tr>
        <w:trPr>
          <w:trHeight w:val="425" w:hRule="exact"/>
        </w:trPr>
        <w:tc>
          <w:tcPr>
            <w:tcW w:w="4136" w:type="dxa"/>
          </w:tcPr>
          <w:p>
            <w:pPr>
              <w:pStyle w:val="TableParagraph"/>
              <w:spacing w:line="240" w:lineRule="auto"/>
              <w:rPr>
                <w:sz w:val="18"/>
              </w:rPr>
            </w:pPr>
            <w:r>
              <w:rPr>
                <w:sz w:val="18"/>
              </w:rPr>
              <w:t>7.2.3 Cabled Transmission and Reception Test with added Channel Impairment</w:t>
            </w:r>
          </w:p>
        </w:tc>
        <w:tc>
          <w:tcPr>
            <w:tcW w:w="2521" w:type="dxa"/>
          </w:tcPr>
          <w:p>
            <w:pPr>
              <w:pStyle w:val="TableParagraph"/>
              <w:tabs>
                <w:tab w:pos="928" w:val="left" w:leader="none"/>
                <w:tab w:pos="1779" w:val="left" w:leader="none"/>
              </w:tabs>
              <w:spacing w:line="240" w:lineRule="auto"/>
              <w:ind w:right="100"/>
              <w:rPr>
                <w:sz w:val="18"/>
              </w:rPr>
            </w:pPr>
            <w:r>
              <w:rPr>
                <w:sz w:val="18"/>
              </w:rPr>
              <w:t>17.3</w:t>
              <w:tab/>
              <w:t>(with</w:t>
              <w:tab/>
              <w:t>HARQ), 16 (without</w:t>
            </w:r>
            <w:r>
              <w:rPr>
                <w:spacing w:val="-6"/>
                <w:sz w:val="18"/>
              </w:rPr>
              <w:t> </w:t>
            </w:r>
            <w:r>
              <w:rPr>
                <w:sz w:val="18"/>
              </w:rPr>
              <w:t>HARQ)</w:t>
            </w:r>
          </w:p>
        </w:tc>
        <w:tc>
          <w:tcPr>
            <w:tcW w:w="1949" w:type="dxa"/>
          </w:tcPr>
          <w:p>
            <w:pPr>
              <w:pStyle w:val="TableParagraph"/>
              <w:rPr>
                <w:sz w:val="18"/>
              </w:rPr>
            </w:pPr>
            <w:r>
              <w:rPr>
                <w:sz w:val="18"/>
              </w:rPr>
              <w:t>16.2</w:t>
            </w:r>
          </w:p>
        </w:tc>
      </w:tr>
    </w:tbl>
    <w:p>
      <w:pPr>
        <w:pStyle w:val="BodyText"/>
        <w:rPr>
          <w:b/>
        </w:rPr>
      </w:pPr>
    </w:p>
    <w:p>
      <w:pPr>
        <w:pStyle w:val="BodyText"/>
        <w:spacing w:before="11"/>
        <w:rPr>
          <w:b/>
          <w:sz w:val="15"/>
        </w:rPr>
      </w:pPr>
    </w:p>
    <w:p>
      <w:pPr>
        <w:pStyle w:val="Heading7"/>
        <w:spacing w:before="95"/>
      </w:pPr>
      <w:r>
        <w:rPr/>
        <w:t>Table 46: Summary of 95</w:t>
      </w:r>
      <w:r>
        <w:rPr>
          <w:position w:val="7"/>
          <w:sz w:val="13"/>
        </w:rPr>
        <w:t>th </w:t>
      </w:r>
      <w:r>
        <w:rPr/>
        <w:t>percentile IPG results</w:t>
      </w:r>
    </w:p>
    <w:p>
      <w:pPr>
        <w:pStyle w:val="BodyText"/>
        <w:rPr>
          <w:b/>
        </w:rPr>
      </w:pPr>
    </w:p>
    <w:p>
      <w:pPr>
        <w:pStyle w:val="BodyText"/>
        <w:rPr>
          <w:b/>
        </w:rPr>
      </w:pPr>
    </w:p>
    <w:p>
      <w:pPr>
        <w:pStyle w:val="BodyText"/>
        <w:rPr>
          <w:b/>
          <w:sz w:val="17"/>
        </w:rPr>
      </w:pPr>
    </w:p>
    <w:tbl>
      <w:tblPr>
        <w:tblW w:w="0" w:type="auto"/>
        <w:jc w:val="left"/>
        <w:tblInd w:w="1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36"/>
        <w:gridCol w:w="2521"/>
        <w:gridCol w:w="1949"/>
      </w:tblGrid>
      <w:tr>
        <w:trPr>
          <w:trHeight w:val="216" w:hRule="exact"/>
        </w:trPr>
        <w:tc>
          <w:tcPr>
            <w:tcW w:w="4136" w:type="dxa"/>
            <w:vMerge w:val="restart"/>
            <w:shd w:val="clear" w:color="auto" w:fill="D9D9D9"/>
          </w:tcPr>
          <w:p>
            <w:pPr>
              <w:pStyle w:val="TableParagraph"/>
              <w:spacing w:line="240" w:lineRule="auto" w:before="102"/>
              <w:rPr>
                <w:b/>
                <w:sz w:val="18"/>
              </w:rPr>
            </w:pPr>
            <w:r>
              <w:rPr>
                <w:b/>
                <w:sz w:val="18"/>
              </w:rPr>
              <w:t>Test</w:t>
            </w:r>
          </w:p>
        </w:tc>
        <w:tc>
          <w:tcPr>
            <w:tcW w:w="4470" w:type="dxa"/>
            <w:gridSpan w:val="2"/>
            <w:shd w:val="clear" w:color="auto" w:fill="D9D9D9"/>
          </w:tcPr>
          <w:p>
            <w:pPr>
              <w:pStyle w:val="TableParagraph"/>
              <w:spacing w:line="201" w:lineRule="exact"/>
              <w:rPr>
                <w:b/>
                <w:sz w:val="18"/>
              </w:rPr>
            </w:pPr>
            <w:r>
              <w:rPr>
                <w:b/>
                <w:sz w:val="18"/>
              </w:rPr>
              <w:t>95</w:t>
            </w:r>
            <w:r>
              <w:rPr>
                <w:b/>
                <w:position w:val="6"/>
                <w:sz w:val="12"/>
              </w:rPr>
              <w:t>th </w:t>
            </w:r>
            <w:r>
              <w:rPr>
                <w:b/>
                <w:sz w:val="18"/>
              </w:rPr>
              <w:t>Percentile IPG (ms)</w:t>
            </w:r>
          </w:p>
        </w:tc>
      </w:tr>
      <w:tr>
        <w:trPr>
          <w:trHeight w:val="219" w:hRule="exact"/>
        </w:trPr>
        <w:tc>
          <w:tcPr>
            <w:tcW w:w="4136" w:type="dxa"/>
            <w:vMerge/>
            <w:shd w:val="clear" w:color="auto" w:fill="D9D9D9"/>
          </w:tcPr>
          <w:p>
            <w:pPr/>
          </w:p>
        </w:tc>
        <w:tc>
          <w:tcPr>
            <w:tcW w:w="2521" w:type="dxa"/>
            <w:shd w:val="clear" w:color="auto" w:fill="D9D9D9"/>
          </w:tcPr>
          <w:p>
            <w:pPr>
              <w:pStyle w:val="TableParagraph"/>
              <w:spacing w:line="202" w:lineRule="exact"/>
              <w:rPr>
                <w:b/>
                <w:sz w:val="18"/>
              </w:rPr>
            </w:pPr>
            <w:r>
              <w:rPr>
                <w:b/>
                <w:sz w:val="18"/>
              </w:rPr>
              <w:t>C-V2X</w:t>
            </w:r>
          </w:p>
        </w:tc>
        <w:tc>
          <w:tcPr>
            <w:tcW w:w="1949" w:type="dxa"/>
            <w:shd w:val="clear" w:color="auto" w:fill="D9D9D9"/>
          </w:tcPr>
          <w:p>
            <w:pPr>
              <w:pStyle w:val="TableParagraph"/>
              <w:spacing w:line="202" w:lineRule="exact"/>
              <w:rPr>
                <w:b/>
                <w:sz w:val="18"/>
              </w:rPr>
            </w:pPr>
            <w:r>
              <w:rPr>
                <w:b/>
                <w:sz w:val="18"/>
              </w:rPr>
              <w:t>DSRC</w:t>
            </w:r>
          </w:p>
        </w:tc>
      </w:tr>
      <w:tr>
        <w:trPr>
          <w:trHeight w:val="554" w:hRule="exact"/>
        </w:trPr>
        <w:tc>
          <w:tcPr>
            <w:tcW w:w="4136" w:type="dxa"/>
          </w:tcPr>
          <w:p>
            <w:pPr>
              <w:pStyle w:val="TableParagraph"/>
              <w:spacing w:line="240" w:lineRule="auto"/>
              <w:rPr>
                <w:sz w:val="18"/>
              </w:rPr>
            </w:pPr>
            <w:r>
              <w:rPr>
                <w:sz w:val="18"/>
              </w:rPr>
              <w:t>7.2.1 Cabled transmission and reception test with varying payload sizes</w:t>
            </w:r>
          </w:p>
        </w:tc>
        <w:tc>
          <w:tcPr>
            <w:tcW w:w="2521" w:type="dxa"/>
          </w:tcPr>
          <w:p>
            <w:pPr>
              <w:pStyle w:val="TableParagraph"/>
              <w:rPr>
                <w:sz w:val="18"/>
              </w:rPr>
            </w:pPr>
            <w:r>
              <w:rPr>
                <w:sz w:val="18"/>
              </w:rPr>
              <w:t>107</w:t>
            </w:r>
          </w:p>
        </w:tc>
        <w:tc>
          <w:tcPr>
            <w:tcW w:w="1949" w:type="dxa"/>
          </w:tcPr>
          <w:p>
            <w:pPr>
              <w:pStyle w:val="TableParagraph"/>
              <w:rPr>
                <w:sz w:val="18"/>
              </w:rPr>
            </w:pPr>
            <w:r>
              <w:rPr>
                <w:sz w:val="18"/>
              </w:rPr>
              <w:t>111</w:t>
            </w:r>
          </w:p>
        </w:tc>
      </w:tr>
      <w:tr>
        <w:trPr>
          <w:trHeight w:val="425" w:hRule="exact"/>
        </w:trPr>
        <w:tc>
          <w:tcPr>
            <w:tcW w:w="4136" w:type="dxa"/>
          </w:tcPr>
          <w:p>
            <w:pPr>
              <w:pStyle w:val="TableParagraph"/>
              <w:spacing w:line="240" w:lineRule="auto"/>
              <w:rPr>
                <w:sz w:val="18"/>
              </w:rPr>
            </w:pPr>
            <w:r>
              <w:rPr>
                <w:sz w:val="18"/>
              </w:rPr>
              <w:t>7.2.2 Clean channel cabled transmission and reception test across power levels</w:t>
            </w:r>
          </w:p>
        </w:tc>
        <w:tc>
          <w:tcPr>
            <w:tcW w:w="2521" w:type="dxa"/>
          </w:tcPr>
          <w:p>
            <w:pPr>
              <w:pStyle w:val="TableParagraph"/>
              <w:rPr>
                <w:sz w:val="18"/>
              </w:rPr>
            </w:pPr>
            <w:r>
              <w:rPr>
                <w:sz w:val="18"/>
              </w:rPr>
              <w:t>113</w:t>
            </w:r>
          </w:p>
        </w:tc>
        <w:tc>
          <w:tcPr>
            <w:tcW w:w="1949" w:type="dxa"/>
          </w:tcPr>
          <w:p>
            <w:pPr>
              <w:pStyle w:val="TableParagraph"/>
              <w:rPr>
                <w:sz w:val="18"/>
              </w:rPr>
            </w:pPr>
            <w:r>
              <w:rPr>
                <w:sz w:val="18"/>
              </w:rPr>
              <w:t>109</w:t>
            </w:r>
          </w:p>
        </w:tc>
      </w:tr>
      <w:tr>
        <w:trPr>
          <w:trHeight w:val="422" w:hRule="exact"/>
        </w:trPr>
        <w:tc>
          <w:tcPr>
            <w:tcW w:w="4136" w:type="dxa"/>
          </w:tcPr>
          <w:p>
            <w:pPr>
              <w:pStyle w:val="TableParagraph"/>
              <w:spacing w:line="240" w:lineRule="auto"/>
              <w:rPr>
                <w:sz w:val="18"/>
              </w:rPr>
            </w:pPr>
            <w:r>
              <w:rPr>
                <w:sz w:val="18"/>
              </w:rPr>
              <w:t>7.2.3 Cabled Transmission and Reception Test with added Channel Impairment</w:t>
            </w:r>
          </w:p>
        </w:tc>
        <w:tc>
          <w:tcPr>
            <w:tcW w:w="2521" w:type="dxa"/>
          </w:tcPr>
          <w:p>
            <w:pPr>
              <w:pStyle w:val="TableParagraph"/>
              <w:rPr>
                <w:sz w:val="18"/>
              </w:rPr>
            </w:pPr>
            <w:r>
              <w:rPr>
                <w:sz w:val="18"/>
              </w:rPr>
              <w:t>113 (with HARQ),</w:t>
            </w:r>
          </w:p>
          <w:p>
            <w:pPr>
              <w:pStyle w:val="TableParagraph"/>
              <w:spacing w:line="207" w:lineRule="exact"/>
              <w:rPr>
                <w:sz w:val="18"/>
              </w:rPr>
            </w:pPr>
            <w:r>
              <w:rPr>
                <w:sz w:val="18"/>
              </w:rPr>
              <w:t>117 (without HARQ)</w:t>
            </w:r>
          </w:p>
        </w:tc>
        <w:tc>
          <w:tcPr>
            <w:tcW w:w="1949" w:type="dxa"/>
          </w:tcPr>
          <w:p>
            <w:pPr>
              <w:pStyle w:val="TableParagraph"/>
              <w:rPr>
                <w:sz w:val="18"/>
              </w:rPr>
            </w:pPr>
            <w:r>
              <w:rPr>
                <w:sz w:val="18"/>
              </w:rPr>
              <w:t>109</w:t>
            </w:r>
          </w:p>
        </w:tc>
      </w:tr>
    </w:tbl>
    <w:p>
      <w:pPr>
        <w:pStyle w:val="BodyText"/>
        <w:spacing w:before="8"/>
        <w:rPr>
          <w:b/>
          <w:sz w:val="16"/>
        </w:rPr>
      </w:pPr>
    </w:p>
    <w:p>
      <w:pPr>
        <w:spacing w:before="93"/>
        <w:ind w:left="1133" w:right="0" w:firstLine="0"/>
        <w:jc w:val="left"/>
        <w:rPr>
          <w:b/>
          <w:sz w:val="20"/>
        </w:rPr>
      </w:pPr>
      <w:r>
        <w:rPr>
          <w:b/>
          <w:sz w:val="20"/>
        </w:rPr>
        <w:t>Table 47: Summary of average IPG results</w:t>
      </w:r>
    </w:p>
    <w:p>
      <w:pPr>
        <w:pStyle w:val="BodyText"/>
        <w:spacing w:before="1"/>
        <w:rPr>
          <w:b/>
          <w:sz w:val="16"/>
        </w:rPr>
      </w:pPr>
    </w:p>
    <w:tbl>
      <w:tblPr>
        <w:tblW w:w="0" w:type="auto"/>
        <w:jc w:val="left"/>
        <w:tblInd w:w="1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36"/>
        <w:gridCol w:w="2521"/>
        <w:gridCol w:w="1949"/>
      </w:tblGrid>
      <w:tr>
        <w:trPr>
          <w:trHeight w:val="217" w:hRule="exact"/>
        </w:trPr>
        <w:tc>
          <w:tcPr>
            <w:tcW w:w="4136" w:type="dxa"/>
            <w:vMerge w:val="restart"/>
            <w:shd w:val="clear" w:color="auto" w:fill="D9D9D9"/>
          </w:tcPr>
          <w:p>
            <w:pPr>
              <w:pStyle w:val="TableParagraph"/>
              <w:spacing w:line="240" w:lineRule="auto" w:before="102"/>
              <w:rPr>
                <w:b/>
                <w:sz w:val="18"/>
              </w:rPr>
            </w:pPr>
            <w:r>
              <w:rPr>
                <w:b/>
                <w:sz w:val="18"/>
              </w:rPr>
              <w:t>Test</w:t>
            </w:r>
          </w:p>
        </w:tc>
        <w:tc>
          <w:tcPr>
            <w:tcW w:w="4470" w:type="dxa"/>
            <w:gridSpan w:val="2"/>
            <w:shd w:val="clear" w:color="auto" w:fill="D9D9D9"/>
          </w:tcPr>
          <w:p>
            <w:pPr>
              <w:pStyle w:val="TableParagraph"/>
              <w:spacing w:line="201" w:lineRule="exact"/>
              <w:rPr>
                <w:b/>
                <w:sz w:val="18"/>
              </w:rPr>
            </w:pPr>
            <w:r>
              <w:rPr>
                <w:b/>
                <w:sz w:val="18"/>
              </w:rPr>
              <w:t>Average IPG (ms)</w:t>
            </w:r>
          </w:p>
        </w:tc>
      </w:tr>
      <w:tr>
        <w:trPr>
          <w:trHeight w:val="217" w:hRule="exact"/>
        </w:trPr>
        <w:tc>
          <w:tcPr>
            <w:tcW w:w="4136" w:type="dxa"/>
            <w:vMerge/>
            <w:shd w:val="clear" w:color="auto" w:fill="D9D9D9"/>
          </w:tcPr>
          <w:p>
            <w:pPr/>
          </w:p>
        </w:tc>
        <w:tc>
          <w:tcPr>
            <w:tcW w:w="2521" w:type="dxa"/>
            <w:shd w:val="clear" w:color="auto" w:fill="D9D9D9"/>
          </w:tcPr>
          <w:p>
            <w:pPr>
              <w:pStyle w:val="TableParagraph"/>
              <w:spacing w:line="203" w:lineRule="exact"/>
              <w:rPr>
                <w:b/>
                <w:sz w:val="18"/>
              </w:rPr>
            </w:pPr>
            <w:r>
              <w:rPr>
                <w:b/>
                <w:sz w:val="18"/>
              </w:rPr>
              <w:t>C-V2X</w:t>
            </w:r>
          </w:p>
        </w:tc>
        <w:tc>
          <w:tcPr>
            <w:tcW w:w="1949" w:type="dxa"/>
            <w:shd w:val="clear" w:color="auto" w:fill="D9D9D9"/>
          </w:tcPr>
          <w:p>
            <w:pPr>
              <w:pStyle w:val="TableParagraph"/>
              <w:spacing w:line="203" w:lineRule="exact"/>
              <w:rPr>
                <w:b/>
                <w:sz w:val="18"/>
              </w:rPr>
            </w:pPr>
            <w:r>
              <w:rPr>
                <w:b/>
                <w:sz w:val="18"/>
              </w:rPr>
              <w:t>DSRC</w:t>
            </w:r>
          </w:p>
        </w:tc>
      </w:tr>
      <w:tr>
        <w:trPr>
          <w:trHeight w:val="554" w:hRule="exact"/>
        </w:trPr>
        <w:tc>
          <w:tcPr>
            <w:tcW w:w="4136" w:type="dxa"/>
          </w:tcPr>
          <w:p>
            <w:pPr>
              <w:pStyle w:val="TableParagraph"/>
              <w:spacing w:line="240" w:lineRule="auto"/>
              <w:rPr>
                <w:sz w:val="18"/>
              </w:rPr>
            </w:pPr>
            <w:r>
              <w:rPr>
                <w:sz w:val="18"/>
              </w:rPr>
              <w:t>7.2.1 Cabled transmission and reception test with varying payload sizes</w:t>
            </w:r>
          </w:p>
        </w:tc>
        <w:tc>
          <w:tcPr>
            <w:tcW w:w="2521" w:type="dxa"/>
          </w:tcPr>
          <w:p>
            <w:pPr>
              <w:pStyle w:val="TableParagraph"/>
              <w:rPr>
                <w:sz w:val="18"/>
              </w:rPr>
            </w:pPr>
            <w:r>
              <w:rPr>
                <w:sz w:val="18"/>
              </w:rPr>
              <w:t>100</w:t>
            </w:r>
          </w:p>
        </w:tc>
        <w:tc>
          <w:tcPr>
            <w:tcW w:w="1949" w:type="dxa"/>
          </w:tcPr>
          <w:p>
            <w:pPr>
              <w:pStyle w:val="TableParagraph"/>
              <w:rPr>
                <w:sz w:val="18"/>
              </w:rPr>
            </w:pPr>
            <w:r>
              <w:rPr>
                <w:sz w:val="18"/>
              </w:rPr>
              <w:t>100</w:t>
            </w:r>
          </w:p>
        </w:tc>
      </w:tr>
      <w:tr>
        <w:trPr>
          <w:trHeight w:val="425" w:hRule="exact"/>
        </w:trPr>
        <w:tc>
          <w:tcPr>
            <w:tcW w:w="4136" w:type="dxa"/>
          </w:tcPr>
          <w:p>
            <w:pPr>
              <w:pStyle w:val="TableParagraph"/>
              <w:spacing w:line="242" w:lineRule="auto"/>
              <w:rPr>
                <w:sz w:val="18"/>
              </w:rPr>
            </w:pPr>
            <w:r>
              <w:rPr>
                <w:sz w:val="18"/>
              </w:rPr>
              <w:t>7.2.2 Clean channel cabled transmission and reception test across power levels</w:t>
            </w:r>
          </w:p>
        </w:tc>
        <w:tc>
          <w:tcPr>
            <w:tcW w:w="2521" w:type="dxa"/>
          </w:tcPr>
          <w:p>
            <w:pPr>
              <w:pStyle w:val="TableParagraph"/>
              <w:rPr>
                <w:sz w:val="18"/>
              </w:rPr>
            </w:pPr>
            <w:r>
              <w:rPr>
                <w:sz w:val="18"/>
              </w:rPr>
              <w:t>101.4</w:t>
            </w:r>
          </w:p>
        </w:tc>
        <w:tc>
          <w:tcPr>
            <w:tcW w:w="1949" w:type="dxa"/>
          </w:tcPr>
          <w:p>
            <w:pPr>
              <w:pStyle w:val="TableParagraph"/>
              <w:rPr>
                <w:sz w:val="18"/>
              </w:rPr>
            </w:pPr>
            <w:r>
              <w:rPr>
                <w:sz w:val="18"/>
              </w:rPr>
              <w:t>101.2</w:t>
            </w:r>
          </w:p>
        </w:tc>
      </w:tr>
      <w:tr>
        <w:trPr>
          <w:trHeight w:val="425" w:hRule="exact"/>
        </w:trPr>
        <w:tc>
          <w:tcPr>
            <w:tcW w:w="4136" w:type="dxa"/>
          </w:tcPr>
          <w:p>
            <w:pPr>
              <w:pStyle w:val="TableParagraph"/>
              <w:spacing w:line="240" w:lineRule="auto"/>
              <w:rPr>
                <w:sz w:val="18"/>
              </w:rPr>
            </w:pPr>
            <w:r>
              <w:rPr>
                <w:sz w:val="18"/>
              </w:rPr>
              <w:t>7.2.3 Cabled Transmission and Reception Test with added Channel Impairment</w:t>
            </w:r>
          </w:p>
        </w:tc>
        <w:tc>
          <w:tcPr>
            <w:tcW w:w="2521" w:type="dxa"/>
          </w:tcPr>
          <w:p>
            <w:pPr>
              <w:pStyle w:val="TableParagraph"/>
              <w:spacing w:line="240" w:lineRule="auto"/>
              <w:ind w:right="777"/>
              <w:rPr>
                <w:sz w:val="18"/>
              </w:rPr>
            </w:pPr>
            <w:r>
              <w:rPr>
                <w:sz w:val="18"/>
              </w:rPr>
              <w:t>101.7 (with HARQ), 101 (without HARQ)</w:t>
            </w:r>
          </w:p>
        </w:tc>
        <w:tc>
          <w:tcPr>
            <w:tcW w:w="1949" w:type="dxa"/>
          </w:tcPr>
          <w:p>
            <w:pPr>
              <w:pStyle w:val="TableParagraph"/>
              <w:rPr>
                <w:sz w:val="18"/>
              </w:rPr>
            </w:pPr>
            <w:r>
              <w:rPr>
                <w:sz w:val="18"/>
              </w:rPr>
              <w:t>101</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sz w:val="21"/>
        </w:rPr>
      </w:pPr>
      <w:r>
        <w:rPr/>
        <w:pict>
          <v:line style="position:absolute;mso-position-horizontal-relative:page;mso-position-vertical-relative:paragraph;z-index:10600;mso-wrap-distance-left:0;mso-wrap-distance-right:0" from="55.223999pt,14.864882pt" to="540.243999pt,14.864882pt" stroked="true" strokeweight="1.44pt" strokecolor="#000000">
            <v:stroke dashstyle="solid"/>
            <w10:wrap type="topAndBottom"/>
          </v:line>
        </w:pict>
      </w:r>
    </w:p>
    <w:p>
      <w:pPr>
        <w:tabs>
          <w:tab w:pos="10415" w:val="left" w:leader="none"/>
        </w:tabs>
        <w:spacing w:before="27"/>
        <w:ind w:left="1133" w:right="0" w:firstLine="0"/>
        <w:jc w:val="left"/>
        <w:rPr>
          <w:sz w:val="36"/>
        </w:rPr>
      </w:pPr>
      <w:bookmarkStart w:name="_bookmark162" w:id="251"/>
      <w:bookmarkEnd w:id="251"/>
      <w:r>
        <w:rPr/>
      </w:r>
      <w:r>
        <w:rPr>
          <w:sz w:val="36"/>
        </w:rPr>
        <w:t>Annex</w:t>
        <w:tab/>
        <w:t>D:</w:t>
      </w:r>
    </w:p>
    <w:p>
      <w:pPr>
        <w:spacing w:before="1"/>
        <w:ind w:left="2266" w:right="0" w:firstLine="0"/>
        <w:jc w:val="left"/>
        <w:rPr>
          <w:sz w:val="36"/>
        </w:rPr>
      </w:pPr>
      <w:r>
        <w:rPr>
          <w:sz w:val="36"/>
        </w:rPr>
        <w:t>5GAA V2X Test Procedures</w:t>
      </w:r>
    </w:p>
    <w:p>
      <w:pPr>
        <w:pStyle w:val="BodyText"/>
        <w:spacing w:before="4"/>
        <w:rPr>
          <w:sz w:val="51"/>
        </w:rPr>
      </w:pPr>
    </w:p>
    <w:p>
      <w:pPr>
        <w:spacing w:line="410" w:lineRule="auto" w:before="0"/>
        <w:ind w:left="1133" w:right="4724" w:firstLine="0"/>
        <w:jc w:val="left"/>
        <w:rPr>
          <w:sz w:val="22"/>
        </w:rPr>
      </w:pPr>
      <w:r>
        <w:rPr>
          <w:sz w:val="22"/>
        </w:rPr>
        <w:t>The detailed test procedures are documented in TR P-180092 Double-Click icon to open the document.</w:t>
      </w:r>
    </w:p>
    <w:p>
      <w:pPr>
        <w:pStyle w:val="BodyText"/>
      </w:pPr>
    </w:p>
    <w:p>
      <w:pPr>
        <w:pStyle w:val="BodyText"/>
        <w:spacing w:before="9"/>
        <w:rPr>
          <w:sz w:val="14"/>
        </w:rPr>
      </w:pPr>
      <w:r>
        <w:rPr/>
        <w:drawing>
          <wp:anchor distT="0" distB="0" distL="0" distR="0" allowOverlap="1" layoutInCell="1" locked="0" behindDoc="0" simplePos="0" relativeHeight="10624">
            <wp:simplePos x="0" y="0"/>
            <wp:positionH relativeFrom="page">
              <wp:posOffset>719455</wp:posOffset>
            </wp:positionH>
            <wp:positionV relativeFrom="paragraph">
              <wp:posOffset>132715</wp:posOffset>
            </wp:positionV>
            <wp:extent cx="598938" cy="782288"/>
            <wp:effectExtent l="0" t="0" r="0" b="0"/>
            <wp:wrapTopAndBottom/>
            <wp:docPr id="193" name="image237.png" descr=""/>
            <wp:cNvGraphicFramePr>
              <a:graphicFrameLocks noChangeAspect="1"/>
            </wp:cNvGraphicFramePr>
            <a:graphic>
              <a:graphicData uri="http://schemas.openxmlformats.org/drawingml/2006/picture">
                <pic:pic>
                  <pic:nvPicPr>
                    <pic:cNvPr id="194" name="image237.png"/>
                    <pic:cNvPicPr/>
                  </pic:nvPicPr>
                  <pic:blipFill>
                    <a:blip r:embed="rId487" cstate="print"/>
                    <a:stretch>
                      <a:fillRect/>
                    </a:stretch>
                  </pic:blipFill>
                  <pic:spPr>
                    <a:xfrm>
                      <a:off x="0" y="0"/>
                      <a:ext cx="598938" cy="782288"/>
                    </a:xfrm>
                    <a:prstGeom prst="rect">
                      <a:avLst/>
                    </a:prstGeom>
                  </pic:spPr>
                </pic:pic>
              </a:graphicData>
            </a:graphic>
          </wp:anchor>
        </w:drawing>
      </w:r>
    </w:p>
    <w:p>
      <w:pPr>
        <w:spacing w:after="0"/>
        <w:rPr>
          <w:sz w:val="14"/>
        </w:rPr>
        <w:sectPr>
          <w:headerReference w:type="default" r:id="rId485"/>
          <w:footerReference w:type="default" r:id="rId486"/>
          <w:pgSz w:w="11910" w:h="16850"/>
          <w:pgMar w:header="852" w:footer="979" w:top="1040" w:bottom="1160" w:left="0" w:right="0"/>
          <w:pgNumType w:start="121"/>
        </w:sectPr>
      </w:pPr>
    </w:p>
    <w:p>
      <w:pPr>
        <w:pStyle w:val="BodyText"/>
      </w:pPr>
    </w:p>
    <w:p>
      <w:pPr>
        <w:pStyle w:val="BodyText"/>
        <w:spacing w:before="6"/>
        <w:rPr>
          <w:sz w:val="11"/>
        </w:rPr>
      </w:pPr>
    </w:p>
    <w:p>
      <w:pPr>
        <w:pStyle w:val="BodyText"/>
        <w:spacing w:line="29" w:lineRule="exact"/>
        <w:ind w:left="1089"/>
        <w:rPr>
          <w:sz w:val="2"/>
        </w:rPr>
      </w:pPr>
      <w:r>
        <w:rPr>
          <w:position w:val="0"/>
          <w:sz w:val="2"/>
        </w:rPr>
        <w:pict>
          <v:group style="width:486.5pt;height:1.45pt;mso-position-horizontal-relative:char;mso-position-vertical-relative:line" coordorigin="0,0" coordsize="9730,29">
            <v:line style="position:absolute" from="15,15" to="9715,15" stroked="true" strokeweight="1.44pt" strokecolor="#000000">
              <v:stroke dashstyle="solid"/>
            </v:line>
          </v:group>
        </w:pict>
      </w:r>
      <w:r>
        <w:rPr>
          <w:position w:val="0"/>
          <w:sz w:val="2"/>
        </w:rPr>
      </w:r>
    </w:p>
    <w:p>
      <w:pPr>
        <w:pStyle w:val="Heading1"/>
        <w:tabs>
          <w:tab w:pos="10434" w:val="left" w:leader="none"/>
        </w:tabs>
        <w:ind w:left="1133"/>
      </w:pPr>
      <w:bookmarkStart w:name="_bookmark163" w:id="252"/>
      <w:bookmarkEnd w:id="252"/>
      <w:r>
        <w:rPr/>
      </w:r>
      <w:r>
        <w:rPr/>
        <w:t>Annex</w:t>
        <w:tab/>
        <w:t>E:</w:t>
      </w:r>
    </w:p>
    <w:p>
      <w:pPr>
        <w:spacing w:before="1"/>
        <w:ind w:left="2266" w:right="0" w:firstLine="0"/>
        <w:jc w:val="left"/>
        <w:rPr>
          <w:sz w:val="36"/>
        </w:rPr>
      </w:pPr>
      <w:r>
        <w:rPr>
          <w:sz w:val="36"/>
        </w:rPr>
        <w:t>Change history</w:t>
      </w:r>
    </w:p>
    <w:p>
      <w:pPr>
        <w:pStyle w:val="BodyText"/>
      </w:pPr>
    </w:p>
    <w:p>
      <w:pPr>
        <w:pStyle w:val="BodyText"/>
      </w:pPr>
    </w:p>
    <w:p>
      <w:pPr>
        <w:pStyle w:val="BodyText"/>
        <w:spacing w:before="8"/>
        <w:rPr>
          <w:sz w:val="11"/>
        </w:rPr>
      </w:pPr>
    </w:p>
    <w:tbl>
      <w:tblPr>
        <w:tblW w:w="0" w:type="auto"/>
        <w:jc w:val="left"/>
        <w:tblInd w:w="11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00"/>
        <w:gridCol w:w="1095"/>
        <w:gridCol w:w="2602"/>
        <w:gridCol w:w="2461"/>
      </w:tblGrid>
      <w:tr>
        <w:trPr>
          <w:trHeight w:val="198" w:hRule="exact"/>
        </w:trPr>
        <w:tc>
          <w:tcPr>
            <w:tcW w:w="1500" w:type="dxa"/>
            <w:shd w:val="clear" w:color="auto" w:fill="E4E4E4"/>
          </w:tcPr>
          <w:p>
            <w:pPr>
              <w:pStyle w:val="TableParagraph"/>
              <w:spacing w:line="179" w:lineRule="exact"/>
              <w:ind w:left="33"/>
              <w:rPr>
                <w:b/>
                <w:sz w:val="16"/>
              </w:rPr>
            </w:pPr>
            <w:r>
              <w:rPr>
                <w:b/>
                <w:sz w:val="16"/>
              </w:rPr>
              <w:t>Date</w:t>
            </w:r>
          </w:p>
        </w:tc>
        <w:tc>
          <w:tcPr>
            <w:tcW w:w="1095" w:type="dxa"/>
            <w:shd w:val="clear" w:color="auto" w:fill="E4E4E4"/>
          </w:tcPr>
          <w:p>
            <w:pPr>
              <w:pStyle w:val="TableParagraph"/>
              <w:spacing w:line="179" w:lineRule="exact"/>
              <w:ind w:left="33"/>
              <w:rPr>
                <w:b/>
                <w:sz w:val="16"/>
              </w:rPr>
            </w:pPr>
            <w:r>
              <w:rPr>
                <w:b/>
                <w:sz w:val="16"/>
              </w:rPr>
              <w:t>Meeting</w:t>
            </w:r>
          </w:p>
        </w:tc>
        <w:tc>
          <w:tcPr>
            <w:tcW w:w="2602" w:type="dxa"/>
            <w:shd w:val="clear" w:color="auto" w:fill="E4E4E4"/>
          </w:tcPr>
          <w:p>
            <w:pPr>
              <w:pStyle w:val="TableParagraph"/>
              <w:spacing w:line="179" w:lineRule="exact"/>
              <w:ind w:left="33"/>
              <w:rPr>
                <w:b/>
                <w:sz w:val="16"/>
              </w:rPr>
            </w:pPr>
            <w:r>
              <w:rPr>
                <w:b/>
                <w:sz w:val="16"/>
              </w:rPr>
              <w:t>TDoc</w:t>
            </w:r>
          </w:p>
        </w:tc>
        <w:tc>
          <w:tcPr>
            <w:tcW w:w="2461" w:type="dxa"/>
            <w:shd w:val="clear" w:color="auto" w:fill="E4E4E4"/>
          </w:tcPr>
          <w:p>
            <w:pPr>
              <w:pStyle w:val="TableParagraph"/>
              <w:spacing w:line="179" w:lineRule="exact"/>
              <w:ind w:left="33"/>
              <w:rPr>
                <w:b/>
                <w:sz w:val="16"/>
              </w:rPr>
            </w:pPr>
            <w:r>
              <w:rPr>
                <w:b/>
                <w:sz w:val="16"/>
              </w:rPr>
              <w:t>Subject/Comment</w:t>
            </w:r>
          </w:p>
        </w:tc>
      </w:tr>
      <w:tr>
        <w:trPr>
          <w:trHeight w:val="199" w:hRule="exact"/>
        </w:trPr>
        <w:tc>
          <w:tcPr>
            <w:tcW w:w="1500" w:type="dxa"/>
          </w:tcPr>
          <w:p>
            <w:pPr>
              <w:pStyle w:val="TableParagraph"/>
              <w:spacing w:line="180" w:lineRule="exact"/>
              <w:ind w:left="33"/>
              <w:rPr>
                <w:sz w:val="16"/>
              </w:rPr>
            </w:pPr>
            <w:r>
              <w:rPr>
                <w:sz w:val="16"/>
              </w:rPr>
              <w:t>24 October 2018</w:t>
            </w:r>
          </w:p>
        </w:tc>
        <w:tc>
          <w:tcPr>
            <w:tcW w:w="1095" w:type="dxa"/>
          </w:tcPr>
          <w:p>
            <w:pPr>
              <w:pStyle w:val="TableParagraph"/>
              <w:spacing w:line="180" w:lineRule="exact"/>
              <w:ind w:left="33"/>
              <w:rPr>
                <w:sz w:val="16"/>
              </w:rPr>
            </w:pPr>
            <w:r>
              <w:rPr>
                <w:sz w:val="16"/>
              </w:rPr>
              <w:t>F2F</w:t>
            </w:r>
          </w:p>
        </w:tc>
        <w:tc>
          <w:tcPr>
            <w:tcW w:w="2602" w:type="dxa"/>
          </w:tcPr>
          <w:p>
            <w:pPr>
              <w:pStyle w:val="TableParagraph"/>
              <w:spacing w:line="180" w:lineRule="exact"/>
              <w:ind w:left="33"/>
              <w:rPr>
                <w:sz w:val="16"/>
              </w:rPr>
            </w:pPr>
            <w:r>
              <w:rPr>
                <w:sz w:val="16"/>
              </w:rPr>
              <w:t>P-180106</w:t>
            </w:r>
          </w:p>
        </w:tc>
        <w:tc>
          <w:tcPr>
            <w:tcW w:w="2461" w:type="dxa"/>
          </w:tcPr>
          <w:p>
            <w:pPr>
              <w:pStyle w:val="TableParagraph"/>
              <w:spacing w:line="180" w:lineRule="exact"/>
              <w:ind w:left="33"/>
              <w:rPr>
                <w:sz w:val="16"/>
              </w:rPr>
            </w:pPr>
            <w:r>
              <w:rPr>
                <w:sz w:val="16"/>
              </w:rPr>
              <w:t>Approved by WG</w:t>
            </w:r>
          </w:p>
        </w:tc>
      </w:tr>
      <w:tr>
        <w:trPr>
          <w:trHeight w:val="199" w:hRule="exact"/>
        </w:trPr>
        <w:tc>
          <w:tcPr>
            <w:tcW w:w="1500" w:type="dxa"/>
          </w:tcPr>
          <w:p>
            <w:pPr>
              <w:pStyle w:val="TableParagraph"/>
              <w:spacing w:line="180" w:lineRule="exact"/>
              <w:ind w:left="33"/>
              <w:rPr>
                <w:sz w:val="16"/>
              </w:rPr>
            </w:pPr>
            <w:r>
              <w:rPr>
                <w:sz w:val="16"/>
              </w:rPr>
              <w:t>26 October 2018</w:t>
            </w:r>
          </w:p>
        </w:tc>
        <w:tc>
          <w:tcPr>
            <w:tcW w:w="1095" w:type="dxa"/>
          </w:tcPr>
          <w:p>
            <w:pPr>
              <w:pStyle w:val="TableParagraph"/>
              <w:spacing w:line="180" w:lineRule="exact"/>
              <w:ind w:left="33"/>
              <w:rPr>
                <w:sz w:val="16"/>
              </w:rPr>
            </w:pPr>
            <w:r>
              <w:rPr>
                <w:sz w:val="16"/>
              </w:rPr>
              <w:t>F2F</w:t>
            </w:r>
          </w:p>
        </w:tc>
        <w:tc>
          <w:tcPr>
            <w:tcW w:w="2602" w:type="dxa"/>
          </w:tcPr>
          <w:p>
            <w:pPr>
              <w:pStyle w:val="TableParagraph"/>
              <w:spacing w:line="180" w:lineRule="exact"/>
              <w:ind w:left="33"/>
              <w:rPr>
                <w:sz w:val="16"/>
              </w:rPr>
            </w:pPr>
            <w:r>
              <w:rPr>
                <w:sz w:val="16"/>
              </w:rPr>
              <w:t>P-180106</w:t>
            </w:r>
          </w:p>
        </w:tc>
        <w:tc>
          <w:tcPr>
            <w:tcW w:w="2461" w:type="dxa"/>
          </w:tcPr>
          <w:p>
            <w:pPr>
              <w:pStyle w:val="TableParagraph"/>
              <w:spacing w:line="180" w:lineRule="exact"/>
              <w:ind w:left="33"/>
              <w:rPr>
                <w:sz w:val="16"/>
              </w:rPr>
            </w:pPr>
            <w:r>
              <w:rPr>
                <w:sz w:val="16"/>
              </w:rPr>
              <w:t>Approved by Board</w:t>
            </w:r>
          </w:p>
        </w:tc>
      </w:tr>
    </w:tbl>
    <w:p>
      <w:pPr>
        <w:spacing w:after="0" w:line="180" w:lineRule="exact"/>
        <w:rPr>
          <w:sz w:val="16"/>
        </w:rPr>
        <w:sectPr>
          <w:headerReference w:type="default" r:id="rId488"/>
          <w:pgSz w:w="11910" w:h="16850"/>
          <w:pgMar w:header="852" w:footer="979" w:top="1040" w:bottom="1160" w:left="0" w:right="0"/>
        </w:sectPr>
      </w:pPr>
    </w:p>
    <w:p>
      <w:pPr>
        <w:spacing w:before="76"/>
        <w:ind w:left="2908" w:right="0" w:firstLine="0"/>
        <w:jc w:val="left"/>
        <w:rPr>
          <w:rFonts w:ascii="Times New Roman"/>
          <w:b/>
          <w:sz w:val="24"/>
        </w:rPr>
      </w:pPr>
      <w:bookmarkStart w:name="Appendix C - C-V2X Test and Trials" w:id="253"/>
      <w:bookmarkEnd w:id="253"/>
      <w:r>
        <w:rPr/>
      </w:r>
      <w:bookmarkStart w:name="_bookmark164" w:id="254"/>
      <w:bookmarkEnd w:id="254"/>
      <w:r>
        <w:rPr/>
      </w:r>
      <w:r>
        <w:rPr>
          <w:rFonts w:ascii="Times New Roman"/>
          <w:b/>
          <w:sz w:val="24"/>
        </w:rPr>
        <w:t>Appendix C - C-V2X Test and Trials</w:t>
      </w:r>
    </w:p>
    <w:p>
      <w:pPr>
        <w:pStyle w:val="BodyText"/>
        <w:spacing w:before="8"/>
        <w:rPr>
          <w:rFonts w:ascii="Times New Roman"/>
          <w:b/>
          <w:sz w:val="15"/>
        </w:rPr>
      </w:pPr>
    </w:p>
    <w:p>
      <w:pPr>
        <w:spacing w:before="90"/>
        <w:ind w:left="120" w:right="0" w:firstLine="0"/>
        <w:jc w:val="left"/>
        <w:rPr>
          <w:rFonts w:ascii="Times New Roman"/>
          <w:sz w:val="24"/>
        </w:rPr>
      </w:pPr>
      <w:r>
        <w:rPr>
          <w:rFonts w:ascii="Times New Roman"/>
          <w:sz w:val="24"/>
        </w:rPr>
        <w:t>A</w:t>
      </w:r>
      <w:r>
        <w:rPr>
          <w:rFonts w:ascii="Times New Roman"/>
          <w:spacing w:val="-18"/>
          <w:sz w:val="24"/>
        </w:rPr>
        <w:t> </w:t>
      </w:r>
      <w:r>
        <w:rPr>
          <w:rFonts w:ascii="Times New Roman"/>
          <w:spacing w:val="-10"/>
          <w:sz w:val="24"/>
        </w:rPr>
        <w:t>growing</w:t>
      </w:r>
      <w:r>
        <w:rPr>
          <w:rFonts w:ascii="Times New Roman"/>
          <w:spacing w:val="-20"/>
          <w:sz w:val="24"/>
        </w:rPr>
        <w:t> </w:t>
      </w:r>
      <w:r>
        <w:rPr>
          <w:rFonts w:ascii="Times New Roman"/>
          <w:spacing w:val="-9"/>
          <w:sz w:val="24"/>
        </w:rPr>
        <w:t>number</w:t>
      </w:r>
      <w:r>
        <w:rPr>
          <w:rFonts w:ascii="Times New Roman"/>
          <w:spacing w:val="-18"/>
          <w:sz w:val="24"/>
        </w:rPr>
        <w:t> </w:t>
      </w:r>
      <w:r>
        <w:rPr>
          <w:rFonts w:ascii="Times New Roman"/>
          <w:spacing w:val="-5"/>
          <w:sz w:val="24"/>
        </w:rPr>
        <w:t>of</w:t>
      </w:r>
      <w:r>
        <w:rPr>
          <w:rFonts w:ascii="Times New Roman"/>
          <w:spacing w:val="-18"/>
          <w:sz w:val="24"/>
        </w:rPr>
        <w:t> </w:t>
      </w:r>
      <w:r>
        <w:rPr>
          <w:rFonts w:ascii="Times New Roman"/>
          <w:spacing w:val="-8"/>
          <w:sz w:val="24"/>
        </w:rPr>
        <w:t>road</w:t>
      </w:r>
      <w:r>
        <w:rPr>
          <w:rFonts w:ascii="Times New Roman"/>
          <w:spacing w:val="-18"/>
          <w:sz w:val="24"/>
        </w:rPr>
        <w:t> </w:t>
      </w:r>
      <w:r>
        <w:rPr>
          <w:rFonts w:ascii="Times New Roman"/>
          <w:spacing w:val="-9"/>
          <w:sz w:val="24"/>
        </w:rPr>
        <w:t>tests</w:t>
      </w:r>
      <w:r>
        <w:rPr>
          <w:rFonts w:ascii="Times New Roman"/>
          <w:spacing w:val="-17"/>
          <w:sz w:val="24"/>
        </w:rPr>
        <w:t> </w:t>
      </w:r>
      <w:r>
        <w:rPr>
          <w:rFonts w:ascii="Times New Roman"/>
          <w:spacing w:val="-9"/>
          <w:sz w:val="24"/>
        </w:rPr>
        <w:t>across</w:t>
      </w:r>
      <w:r>
        <w:rPr>
          <w:rFonts w:ascii="Times New Roman"/>
          <w:spacing w:val="-17"/>
          <w:sz w:val="24"/>
        </w:rPr>
        <w:t> </w:t>
      </w:r>
      <w:r>
        <w:rPr>
          <w:rFonts w:ascii="Times New Roman"/>
          <w:spacing w:val="-8"/>
          <w:sz w:val="24"/>
        </w:rPr>
        <w:t>the</w:t>
      </w:r>
      <w:r>
        <w:rPr>
          <w:rFonts w:ascii="Times New Roman"/>
          <w:spacing w:val="-19"/>
          <w:sz w:val="24"/>
        </w:rPr>
        <w:t> </w:t>
      </w:r>
      <w:r>
        <w:rPr>
          <w:rFonts w:ascii="Times New Roman"/>
          <w:spacing w:val="-9"/>
          <w:sz w:val="24"/>
        </w:rPr>
        <w:t>globe</w:t>
      </w:r>
      <w:r>
        <w:rPr>
          <w:rFonts w:ascii="Times New Roman"/>
          <w:spacing w:val="-19"/>
          <w:sz w:val="24"/>
        </w:rPr>
        <w:t> </w:t>
      </w:r>
      <w:r>
        <w:rPr>
          <w:rFonts w:ascii="Times New Roman"/>
          <w:spacing w:val="-8"/>
          <w:sz w:val="24"/>
        </w:rPr>
        <w:t>are</w:t>
      </w:r>
      <w:r>
        <w:rPr>
          <w:rFonts w:ascii="Times New Roman"/>
          <w:spacing w:val="-19"/>
          <w:sz w:val="24"/>
        </w:rPr>
        <w:t> </w:t>
      </w:r>
      <w:r>
        <w:rPr>
          <w:rFonts w:ascii="Times New Roman"/>
          <w:spacing w:val="-10"/>
          <w:sz w:val="24"/>
        </w:rPr>
        <w:t>demonstrating</w:t>
      </w:r>
      <w:r>
        <w:rPr>
          <w:rFonts w:ascii="Times New Roman"/>
          <w:spacing w:val="-20"/>
          <w:sz w:val="24"/>
        </w:rPr>
        <w:t> </w:t>
      </w:r>
      <w:r>
        <w:rPr>
          <w:rFonts w:ascii="Times New Roman"/>
          <w:spacing w:val="-9"/>
          <w:sz w:val="24"/>
        </w:rPr>
        <w:t>C-V2X</w:t>
      </w:r>
      <w:r>
        <w:rPr>
          <w:rFonts w:ascii="Times New Roman"/>
          <w:spacing w:val="-18"/>
          <w:sz w:val="24"/>
        </w:rPr>
        <w:t> </w:t>
      </w:r>
      <w:r>
        <w:rPr>
          <w:rFonts w:ascii="Times New Roman"/>
          <w:spacing w:val="-7"/>
          <w:sz w:val="24"/>
        </w:rPr>
        <w:t>for</w:t>
      </w:r>
      <w:r>
        <w:rPr>
          <w:rFonts w:ascii="Times New Roman"/>
          <w:spacing w:val="-18"/>
          <w:sz w:val="24"/>
        </w:rPr>
        <w:t> </w:t>
      </w:r>
      <w:r>
        <w:rPr>
          <w:rFonts w:ascii="Times New Roman"/>
          <w:spacing w:val="-8"/>
          <w:sz w:val="24"/>
        </w:rPr>
        <w:t>V2V</w:t>
      </w:r>
      <w:r>
        <w:rPr>
          <w:rFonts w:ascii="Times New Roman"/>
          <w:spacing w:val="-18"/>
          <w:sz w:val="24"/>
        </w:rPr>
        <w:t> </w:t>
      </w:r>
      <w:r>
        <w:rPr>
          <w:rFonts w:ascii="Times New Roman"/>
          <w:spacing w:val="-9"/>
          <w:sz w:val="24"/>
        </w:rPr>
        <w:t>safety</w:t>
      </w:r>
      <w:r>
        <w:rPr>
          <w:rFonts w:ascii="Times New Roman"/>
          <w:spacing w:val="-22"/>
          <w:sz w:val="24"/>
        </w:rPr>
        <w:t> </w:t>
      </w:r>
      <w:r>
        <w:rPr>
          <w:rFonts w:ascii="Times New Roman"/>
          <w:spacing w:val="-10"/>
          <w:sz w:val="24"/>
        </w:rPr>
        <w:t>applications. </w:t>
      </w:r>
      <w:r>
        <w:rPr>
          <w:rFonts w:ascii="Times New Roman"/>
          <w:spacing w:val="-9"/>
          <w:sz w:val="24"/>
        </w:rPr>
        <w:t>Below</w:t>
      </w:r>
      <w:r>
        <w:rPr>
          <w:rFonts w:ascii="Times New Roman"/>
          <w:spacing w:val="-18"/>
          <w:sz w:val="24"/>
        </w:rPr>
        <w:t> </w:t>
      </w:r>
      <w:r>
        <w:rPr>
          <w:rFonts w:ascii="Times New Roman"/>
          <w:spacing w:val="-5"/>
          <w:sz w:val="24"/>
        </w:rPr>
        <w:t>is</w:t>
      </w:r>
      <w:r>
        <w:rPr>
          <w:rFonts w:ascii="Times New Roman"/>
          <w:spacing w:val="-17"/>
          <w:sz w:val="24"/>
        </w:rPr>
        <w:t> </w:t>
      </w:r>
      <w:r>
        <w:rPr>
          <w:rFonts w:ascii="Times New Roman"/>
          <w:sz w:val="24"/>
        </w:rPr>
        <w:t>a</w:t>
      </w:r>
      <w:r>
        <w:rPr>
          <w:rFonts w:ascii="Times New Roman"/>
          <w:spacing w:val="-20"/>
          <w:sz w:val="24"/>
        </w:rPr>
        <w:t> </w:t>
      </w:r>
      <w:r>
        <w:rPr>
          <w:rFonts w:ascii="Times New Roman"/>
          <w:spacing w:val="-10"/>
          <w:sz w:val="24"/>
        </w:rPr>
        <w:t>description</w:t>
      </w:r>
      <w:r>
        <w:rPr>
          <w:rFonts w:ascii="Times New Roman"/>
          <w:spacing w:val="-18"/>
          <w:sz w:val="24"/>
        </w:rPr>
        <w:t> </w:t>
      </w:r>
      <w:r>
        <w:rPr>
          <w:rFonts w:ascii="Times New Roman"/>
          <w:spacing w:val="-5"/>
          <w:sz w:val="24"/>
        </w:rPr>
        <w:t>of</w:t>
      </w:r>
      <w:r>
        <w:rPr>
          <w:rFonts w:ascii="Times New Roman"/>
          <w:spacing w:val="-22"/>
          <w:sz w:val="24"/>
        </w:rPr>
        <w:t> </w:t>
      </w:r>
      <w:r>
        <w:rPr>
          <w:rFonts w:ascii="Times New Roman"/>
          <w:spacing w:val="-9"/>
          <w:sz w:val="24"/>
        </w:rPr>
        <w:t>those</w:t>
      </w:r>
      <w:r>
        <w:rPr>
          <w:rFonts w:ascii="Times New Roman"/>
          <w:spacing w:val="-20"/>
          <w:sz w:val="24"/>
        </w:rPr>
        <w:t> </w:t>
      </w:r>
      <w:r>
        <w:rPr>
          <w:rFonts w:ascii="Times New Roman"/>
          <w:spacing w:val="-9"/>
          <w:sz w:val="24"/>
        </w:rPr>
        <w:t>tests</w:t>
      </w:r>
      <w:r>
        <w:rPr>
          <w:rFonts w:ascii="Times New Roman"/>
          <w:spacing w:val="-21"/>
          <w:sz w:val="24"/>
        </w:rPr>
        <w:t> </w:t>
      </w:r>
      <w:r>
        <w:rPr>
          <w:rFonts w:ascii="Times New Roman"/>
          <w:spacing w:val="-5"/>
          <w:sz w:val="24"/>
        </w:rPr>
        <w:t>in</w:t>
      </w:r>
      <w:r>
        <w:rPr>
          <w:rFonts w:ascii="Times New Roman"/>
          <w:spacing w:val="-18"/>
          <w:sz w:val="24"/>
        </w:rPr>
        <w:t> </w:t>
      </w:r>
      <w:r>
        <w:rPr>
          <w:rFonts w:ascii="Times New Roman"/>
          <w:spacing w:val="-9"/>
          <w:sz w:val="24"/>
        </w:rPr>
        <w:t>which</w:t>
      </w:r>
      <w:r>
        <w:rPr>
          <w:rFonts w:ascii="Times New Roman"/>
          <w:spacing w:val="-18"/>
          <w:sz w:val="24"/>
        </w:rPr>
        <w:t> </w:t>
      </w:r>
      <w:r>
        <w:rPr>
          <w:rFonts w:ascii="Times New Roman"/>
          <w:spacing w:val="-8"/>
          <w:sz w:val="24"/>
        </w:rPr>
        <w:t>5GAA</w:t>
      </w:r>
      <w:r>
        <w:rPr>
          <w:rFonts w:ascii="Times New Roman"/>
          <w:spacing w:val="-18"/>
          <w:sz w:val="24"/>
        </w:rPr>
        <w:t> </w:t>
      </w:r>
      <w:r>
        <w:rPr>
          <w:rFonts w:ascii="Times New Roman"/>
          <w:spacing w:val="-10"/>
          <w:sz w:val="24"/>
        </w:rPr>
        <w:t>members</w:t>
      </w:r>
      <w:r>
        <w:rPr>
          <w:rFonts w:ascii="Times New Roman"/>
          <w:spacing w:val="-17"/>
          <w:sz w:val="24"/>
        </w:rPr>
        <w:t> </w:t>
      </w:r>
      <w:r>
        <w:rPr>
          <w:rFonts w:ascii="Times New Roman"/>
          <w:spacing w:val="-8"/>
          <w:sz w:val="24"/>
        </w:rPr>
        <w:t>are</w:t>
      </w:r>
      <w:r>
        <w:rPr>
          <w:rFonts w:ascii="Times New Roman"/>
          <w:spacing w:val="-20"/>
          <w:sz w:val="24"/>
        </w:rPr>
        <w:t> </w:t>
      </w:r>
      <w:r>
        <w:rPr>
          <w:rFonts w:ascii="Times New Roman"/>
          <w:spacing w:val="-10"/>
          <w:sz w:val="24"/>
        </w:rPr>
        <w:t>participating.</w:t>
      </w:r>
    </w:p>
    <w:p>
      <w:pPr>
        <w:pStyle w:val="BodyText"/>
        <w:spacing w:before="8"/>
        <w:rPr>
          <w:rFonts w:ascii="Times New Roman"/>
          <w:sz w:val="24"/>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99"/>
        <w:gridCol w:w="5851"/>
      </w:tblGrid>
      <w:tr>
        <w:trPr>
          <w:trHeight w:val="370" w:hRule="exact"/>
        </w:trPr>
        <w:tc>
          <w:tcPr>
            <w:tcW w:w="3499" w:type="dxa"/>
          </w:tcPr>
          <w:p>
            <w:pPr>
              <w:pStyle w:val="TableParagraph"/>
              <w:spacing w:line="240" w:lineRule="auto" w:before="35"/>
              <w:ind w:left="230"/>
              <w:rPr>
                <w:rFonts w:ascii="Times New Roman"/>
                <w:sz w:val="24"/>
              </w:rPr>
            </w:pPr>
            <w:r>
              <w:rPr>
                <w:rFonts w:ascii="Times New Roman"/>
                <w:sz w:val="24"/>
              </w:rPr>
              <w:t>Fowlerville, Michigan</w:t>
            </w:r>
          </w:p>
        </w:tc>
        <w:tc>
          <w:tcPr>
            <w:tcW w:w="5851" w:type="dxa"/>
          </w:tcPr>
          <w:p>
            <w:pPr>
              <w:pStyle w:val="TableParagraph"/>
              <w:spacing w:line="240" w:lineRule="auto" w:before="35"/>
              <w:ind w:left="266"/>
              <w:rPr>
                <w:rFonts w:ascii="Times New Roman"/>
                <w:sz w:val="24"/>
              </w:rPr>
            </w:pPr>
            <w:r>
              <w:rPr>
                <w:rFonts w:ascii="Times New Roman"/>
                <w:sz w:val="24"/>
              </w:rPr>
              <w:t>Qualcomm, Ford</w:t>
            </w:r>
          </w:p>
        </w:tc>
      </w:tr>
      <w:tr>
        <w:trPr>
          <w:trHeight w:val="370" w:hRule="exact"/>
        </w:trPr>
        <w:tc>
          <w:tcPr>
            <w:tcW w:w="3499" w:type="dxa"/>
          </w:tcPr>
          <w:p>
            <w:pPr>
              <w:pStyle w:val="TableParagraph"/>
              <w:spacing w:line="240" w:lineRule="auto" w:before="35"/>
              <w:ind w:left="230"/>
              <w:rPr>
                <w:rFonts w:ascii="Times New Roman"/>
                <w:sz w:val="24"/>
              </w:rPr>
            </w:pPr>
            <w:r>
              <w:rPr>
                <w:rFonts w:ascii="Times New Roman"/>
                <w:sz w:val="24"/>
              </w:rPr>
              <w:t>Denver, Colorado</w:t>
            </w:r>
          </w:p>
        </w:tc>
        <w:tc>
          <w:tcPr>
            <w:tcW w:w="5851" w:type="dxa"/>
          </w:tcPr>
          <w:p>
            <w:pPr>
              <w:pStyle w:val="TableParagraph"/>
              <w:spacing w:line="240" w:lineRule="auto" w:before="35"/>
              <w:ind w:left="266"/>
              <w:rPr>
                <w:rFonts w:ascii="Times New Roman"/>
                <w:sz w:val="24"/>
              </w:rPr>
            </w:pPr>
            <w:r>
              <w:rPr>
                <w:rFonts w:ascii="Times New Roman"/>
                <w:sz w:val="24"/>
              </w:rPr>
              <w:t>Panasonic, Ford, Qualcomm, CO DoT</w:t>
            </w:r>
          </w:p>
        </w:tc>
      </w:tr>
      <w:tr>
        <w:trPr>
          <w:trHeight w:val="562" w:hRule="exact"/>
        </w:trPr>
        <w:tc>
          <w:tcPr>
            <w:tcW w:w="3499" w:type="dxa"/>
          </w:tcPr>
          <w:p>
            <w:pPr>
              <w:pStyle w:val="TableParagraph"/>
              <w:spacing w:line="240" w:lineRule="auto" w:before="131"/>
              <w:ind w:left="230"/>
              <w:rPr>
                <w:rFonts w:ascii="Times New Roman"/>
                <w:sz w:val="24"/>
              </w:rPr>
            </w:pPr>
            <w:r>
              <w:rPr>
                <w:rFonts w:ascii="Times New Roman"/>
                <w:sz w:val="24"/>
              </w:rPr>
              <w:t>Paris, France</w:t>
            </w:r>
          </w:p>
        </w:tc>
        <w:tc>
          <w:tcPr>
            <w:tcW w:w="5851" w:type="dxa"/>
          </w:tcPr>
          <w:p>
            <w:pPr>
              <w:pStyle w:val="TableParagraph"/>
              <w:spacing w:line="240" w:lineRule="auto"/>
              <w:ind w:left="266" w:right="1202"/>
              <w:rPr>
                <w:rFonts w:ascii="Times New Roman"/>
                <w:sz w:val="24"/>
              </w:rPr>
            </w:pPr>
            <w:r>
              <w:rPr>
                <w:rFonts w:ascii="Times New Roman"/>
                <w:sz w:val="24"/>
              </w:rPr>
              <w:t>5GAA, BMW Group, Ford and Groupe PSA, Qualcomm, Savari</w:t>
            </w:r>
          </w:p>
        </w:tc>
      </w:tr>
      <w:tr>
        <w:trPr>
          <w:trHeight w:val="372" w:hRule="exact"/>
        </w:trPr>
        <w:tc>
          <w:tcPr>
            <w:tcW w:w="3499" w:type="dxa"/>
          </w:tcPr>
          <w:p>
            <w:pPr>
              <w:pStyle w:val="TableParagraph"/>
              <w:spacing w:line="240" w:lineRule="auto" w:before="35"/>
              <w:ind w:left="230"/>
              <w:rPr>
                <w:rFonts w:ascii="Times New Roman"/>
                <w:sz w:val="24"/>
              </w:rPr>
            </w:pPr>
            <w:r>
              <w:rPr>
                <w:rFonts w:ascii="Times New Roman"/>
                <w:sz w:val="24"/>
              </w:rPr>
              <w:t>Ingolstadt, Germany</w:t>
            </w:r>
          </w:p>
        </w:tc>
        <w:tc>
          <w:tcPr>
            <w:tcW w:w="5851" w:type="dxa"/>
          </w:tcPr>
          <w:p>
            <w:pPr>
              <w:pStyle w:val="TableParagraph"/>
              <w:spacing w:line="240" w:lineRule="auto" w:before="35"/>
              <w:ind w:left="266"/>
              <w:rPr>
                <w:rFonts w:ascii="Times New Roman"/>
                <w:sz w:val="24"/>
              </w:rPr>
            </w:pPr>
            <w:r>
              <w:rPr>
                <w:rFonts w:ascii="Times New Roman"/>
                <w:sz w:val="24"/>
              </w:rPr>
              <w:t>Audi, Ducati, Qualcomm</w:t>
            </w:r>
          </w:p>
        </w:tc>
      </w:tr>
      <w:tr>
        <w:trPr>
          <w:trHeight w:val="370" w:hRule="exact"/>
        </w:trPr>
        <w:tc>
          <w:tcPr>
            <w:tcW w:w="3499" w:type="dxa"/>
          </w:tcPr>
          <w:p>
            <w:pPr>
              <w:pStyle w:val="TableParagraph"/>
              <w:spacing w:line="240" w:lineRule="auto" w:before="32"/>
              <w:ind w:left="230"/>
              <w:rPr>
                <w:rFonts w:ascii="Times New Roman"/>
                <w:sz w:val="24"/>
              </w:rPr>
            </w:pPr>
            <w:r>
              <w:rPr>
                <w:rFonts w:ascii="Times New Roman"/>
                <w:sz w:val="24"/>
              </w:rPr>
              <w:t>Shanghai, China</w:t>
            </w:r>
          </w:p>
        </w:tc>
        <w:tc>
          <w:tcPr>
            <w:tcW w:w="5851" w:type="dxa"/>
          </w:tcPr>
          <w:p>
            <w:pPr>
              <w:pStyle w:val="TableParagraph"/>
              <w:spacing w:line="240" w:lineRule="auto" w:before="32"/>
              <w:ind w:left="266"/>
              <w:rPr>
                <w:rFonts w:ascii="Times New Roman"/>
                <w:sz w:val="24"/>
              </w:rPr>
            </w:pPr>
            <w:r>
              <w:rPr>
                <w:rFonts w:ascii="Times New Roman"/>
                <w:sz w:val="24"/>
              </w:rPr>
              <w:t>Ford and Datang</w:t>
            </w:r>
          </w:p>
        </w:tc>
      </w:tr>
      <w:tr>
        <w:trPr>
          <w:trHeight w:val="562" w:hRule="exact"/>
        </w:trPr>
        <w:tc>
          <w:tcPr>
            <w:tcW w:w="3499" w:type="dxa"/>
          </w:tcPr>
          <w:p>
            <w:pPr>
              <w:pStyle w:val="TableParagraph"/>
              <w:spacing w:line="240" w:lineRule="auto" w:before="128"/>
              <w:ind w:left="230"/>
              <w:rPr>
                <w:rFonts w:ascii="Times New Roman"/>
                <w:sz w:val="24"/>
              </w:rPr>
            </w:pPr>
            <w:r>
              <w:rPr>
                <w:rFonts w:ascii="Times New Roman"/>
                <w:sz w:val="24"/>
              </w:rPr>
              <w:t>Japan</w:t>
            </w:r>
          </w:p>
        </w:tc>
        <w:tc>
          <w:tcPr>
            <w:tcW w:w="5851" w:type="dxa"/>
          </w:tcPr>
          <w:p>
            <w:pPr>
              <w:pStyle w:val="TableParagraph"/>
              <w:spacing w:line="240" w:lineRule="auto"/>
              <w:ind w:left="266" w:right="456"/>
              <w:rPr>
                <w:rFonts w:ascii="Times New Roman"/>
                <w:sz w:val="24"/>
              </w:rPr>
            </w:pPr>
            <w:r>
              <w:rPr>
                <w:rFonts w:ascii="Times New Roman"/>
                <w:sz w:val="24"/>
              </w:rPr>
              <w:t>Continental, Ericsson, Nissan, NTT DOCOMO, OKI and Qualcomm</w:t>
            </w:r>
          </w:p>
        </w:tc>
      </w:tr>
      <w:tr>
        <w:trPr>
          <w:trHeight w:val="370" w:hRule="exact"/>
        </w:trPr>
        <w:tc>
          <w:tcPr>
            <w:tcW w:w="3499" w:type="dxa"/>
          </w:tcPr>
          <w:p>
            <w:pPr>
              <w:pStyle w:val="TableParagraph"/>
              <w:spacing w:line="240" w:lineRule="auto" w:before="35"/>
              <w:ind w:left="230"/>
              <w:rPr>
                <w:rFonts w:ascii="Times New Roman"/>
                <w:sz w:val="24"/>
              </w:rPr>
            </w:pPr>
            <w:r>
              <w:rPr>
                <w:rFonts w:ascii="Times New Roman"/>
                <w:sz w:val="24"/>
              </w:rPr>
              <w:t>Shanghai, China</w:t>
            </w:r>
          </w:p>
        </w:tc>
        <w:tc>
          <w:tcPr>
            <w:tcW w:w="5851" w:type="dxa"/>
          </w:tcPr>
          <w:p>
            <w:pPr>
              <w:pStyle w:val="TableParagraph"/>
              <w:spacing w:line="240" w:lineRule="auto" w:before="35"/>
              <w:ind w:left="266"/>
              <w:rPr>
                <w:rFonts w:ascii="Times New Roman"/>
                <w:sz w:val="24"/>
              </w:rPr>
            </w:pPr>
            <w:r>
              <w:rPr>
                <w:rFonts w:ascii="Times New Roman"/>
                <w:sz w:val="24"/>
              </w:rPr>
              <w:t>Continental and Huawei</w:t>
            </w:r>
          </w:p>
        </w:tc>
      </w:tr>
      <w:tr>
        <w:trPr>
          <w:trHeight w:val="370" w:hRule="exact"/>
        </w:trPr>
        <w:tc>
          <w:tcPr>
            <w:tcW w:w="3499" w:type="dxa"/>
          </w:tcPr>
          <w:p>
            <w:pPr>
              <w:pStyle w:val="TableParagraph"/>
              <w:spacing w:line="240" w:lineRule="auto" w:before="35"/>
              <w:ind w:left="230"/>
              <w:rPr>
                <w:rFonts w:ascii="Times New Roman"/>
                <w:sz w:val="24"/>
              </w:rPr>
            </w:pPr>
            <w:r>
              <w:rPr>
                <w:rFonts w:ascii="Times New Roman"/>
                <w:sz w:val="24"/>
              </w:rPr>
              <w:t>San Diego, California</w:t>
            </w:r>
          </w:p>
        </w:tc>
        <w:tc>
          <w:tcPr>
            <w:tcW w:w="5851" w:type="dxa"/>
          </w:tcPr>
          <w:p>
            <w:pPr>
              <w:pStyle w:val="TableParagraph"/>
              <w:spacing w:line="240" w:lineRule="auto" w:before="35"/>
              <w:ind w:left="266"/>
              <w:rPr>
                <w:rFonts w:ascii="Times New Roman"/>
                <w:sz w:val="24"/>
              </w:rPr>
            </w:pPr>
            <w:r>
              <w:rPr>
                <w:rFonts w:ascii="Times New Roman"/>
                <w:sz w:val="24"/>
              </w:rPr>
              <w:t>AT&amp;T, McCain, Ford, Nokia, Qualcomm</w:t>
            </w:r>
          </w:p>
        </w:tc>
      </w:tr>
      <w:tr>
        <w:trPr>
          <w:trHeight w:val="370" w:hRule="exact"/>
        </w:trPr>
        <w:tc>
          <w:tcPr>
            <w:tcW w:w="3499" w:type="dxa"/>
          </w:tcPr>
          <w:p>
            <w:pPr>
              <w:pStyle w:val="TableParagraph"/>
              <w:spacing w:line="240" w:lineRule="auto" w:before="35"/>
              <w:ind w:left="230"/>
              <w:rPr>
                <w:rFonts w:ascii="Times New Roman"/>
                <w:sz w:val="24"/>
              </w:rPr>
            </w:pPr>
            <w:r>
              <w:rPr>
                <w:rFonts w:ascii="Times New Roman"/>
                <w:sz w:val="24"/>
              </w:rPr>
              <w:t>Columbia, Maryland</w:t>
            </w:r>
          </w:p>
        </w:tc>
        <w:tc>
          <w:tcPr>
            <w:tcW w:w="5851" w:type="dxa"/>
          </w:tcPr>
          <w:p>
            <w:pPr>
              <w:pStyle w:val="TableParagraph"/>
              <w:spacing w:line="240" w:lineRule="auto" w:before="35"/>
              <w:ind w:left="266"/>
              <w:rPr>
                <w:rFonts w:ascii="Times New Roman"/>
                <w:sz w:val="24"/>
              </w:rPr>
            </w:pPr>
            <w:r>
              <w:rPr>
                <w:rFonts w:ascii="Times New Roman"/>
                <w:sz w:val="24"/>
              </w:rPr>
              <w:t>Rohde &amp; Schwarz, Qualcomm</w:t>
            </w:r>
          </w:p>
        </w:tc>
      </w:tr>
      <w:tr>
        <w:trPr>
          <w:trHeight w:val="372" w:hRule="exact"/>
        </w:trPr>
        <w:tc>
          <w:tcPr>
            <w:tcW w:w="3499" w:type="dxa"/>
          </w:tcPr>
          <w:p>
            <w:pPr>
              <w:pStyle w:val="TableParagraph"/>
              <w:spacing w:line="240" w:lineRule="auto" w:before="35"/>
              <w:ind w:left="230"/>
              <w:rPr>
                <w:rFonts w:ascii="Times New Roman"/>
                <w:sz w:val="24"/>
              </w:rPr>
            </w:pPr>
            <w:r>
              <w:rPr>
                <w:rFonts w:ascii="Times New Roman"/>
                <w:sz w:val="24"/>
              </w:rPr>
              <w:t>Towards 5G, France</w:t>
            </w:r>
          </w:p>
        </w:tc>
        <w:tc>
          <w:tcPr>
            <w:tcW w:w="5851" w:type="dxa"/>
          </w:tcPr>
          <w:p>
            <w:pPr>
              <w:pStyle w:val="TableParagraph"/>
              <w:spacing w:line="240" w:lineRule="auto" w:before="35"/>
              <w:ind w:left="266"/>
              <w:rPr>
                <w:rFonts w:ascii="Times New Roman"/>
                <w:sz w:val="24"/>
              </w:rPr>
            </w:pPr>
            <w:r>
              <w:rPr>
                <w:rFonts w:ascii="Times New Roman"/>
                <w:sz w:val="24"/>
              </w:rPr>
              <w:t>Ericsson, Orange, Qualcomm, PSA Group</w:t>
            </w:r>
          </w:p>
        </w:tc>
      </w:tr>
      <w:tr>
        <w:trPr>
          <w:trHeight w:val="370" w:hRule="exact"/>
        </w:trPr>
        <w:tc>
          <w:tcPr>
            <w:tcW w:w="3499" w:type="dxa"/>
          </w:tcPr>
          <w:p>
            <w:pPr>
              <w:pStyle w:val="TableParagraph"/>
              <w:spacing w:line="240" w:lineRule="auto" w:before="32"/>
              <w:ind w:left="230"/>
              <w:rPr>
                <w:rFonts w:ascii="Times New Roman"/>
                <w:sz w:val="24"/>
              </w:rPr>
            </w:pPr>
            <w:r>
              <w:rPr>
                <w:rFonts w:ascii="Times New Roman"/>
                <w:sz w:val="24"/>
              </w:rPr>
              <w:t>Mobilifunk (A9), Germany</w:t>
            </w:r>
          </w:p>
        </w:tc>
        <w:tc>
          <w:tcPr>
            <w:tcW w:w="5851" w:type="dxa"/>
          </w:tcPr>
          <w:p>
            <w:pPr>
              <w:pStyle w:val="TableParagraph"/>
              <w:spacing w:line="240" w:lineRule="auto" w:before="32"/>
              <w:ind w:left="266"/>
              <w:rPr>
                <w:rFonts w:ascii="Times New Roman"/>
                <w:sz w:val="24"/>
              </w:rPr>
            </w:pPr>
            <w:r>
              <w:rPr>
                <w:rFonts w:ascii="Times New Roman"/>
                <w:sz w:val="24"/>
              </w:rPr>
              <w:t>Vodafone, Bosch and Huawei</w:t>
            </w:r>
          </w:p>
        </w:tc>
      </w:tr>
      <w:tr>
        <w:trPr>
          <w:trHeight w:val="370" w:hRule="exact"/>
        </w:trPr>
        <w:tc>
          <w:tcPr>
            <w:tcW w:w="3499" w:type="dxa"/>
          </w:tcPr>
          <w:p>
            <w:pPr>
              <w:pStyle w:val="TableParagraph"/>
              <w:spacing w:line="240" w:lineRule="auto" w:before="32"/>
              <w:ind w:left="230"/>
              <w:rPr>
                <w:rFonts w:ascii="Times New Roman"/>
                <w:sz w:val="24"/>
              </w:rPr>
            </w:pPr>
            <w:r>
              <w:rPr>
                <w:rFonts w:ascii="Times New Roman"/>
                <w:sz w:val="24"/>
              </w:rPr>
              <w:t>RACC track, MWC 2017</w:t>
            </w:r>
          </w:p>
        </w:tc>
        <w:tc>
          <w:tcPr>
            <w:tcW w:w="5851" w:type="dxa"/>
          </w:tcPr>
          <w:p>
            <w:pPr>
              <w:pStyle w:val="TableParagraph"/>
              <w:spacing w:line="240" w:lineRule="auto" w:before="32"/>
              <w:ind w:left="266"/>
              <w:rPr>
                <w:rFonts w:ascii="Times New Roman"/>
                <w:sz w:val="24"/>
              </w:rPr>
            </w:pPr>
            <w:r>
              <w:rPr>
                <w:rFonts w:ascii="Times New Roman"/>
                <w:sz w:val="24"/>
              </w:rPr>
              <w:t>Audi, Vodafone, Huawei @ MWC</w:t>
            </w:r>
          </w:p>
        </w:tc>
      </w:tr>
      <w:tr>
        <w:trPr>
          <w:trHeight w:val="562" w:hRule="exact"/>
        </w:trPr>
        <w:tc>
          <w:tcPr>
            <w:tcW w:w="3499" w:type="dxa"/>
          </w:tcPr>
          <w:p>
            <w:pPr>
              <w:pStyle w:val="TableParagraph"/>
              <w:spacing w:line="240" w:lineRule="auto" w:before="131"/>
              <w:ind w:left="230"/>
              <w:rPr>
                <w:rFonts w:ascii="Times New Roman"/>
                <w:sz w:val="24"/>
              </w:rPr>
            </w:pPr>
            <w:r>
              <w:rPr>
                <w:rFonts w:ascii="Times New Roman"/>
                <w:sz w:val="24"/>
              </w:rPr>
              <w:t>ConVeX (A9), Germany</w:t>
            </w:r>
          </w:p>
        </w:tc>
        <w:tc>
          <w:tcPr>
            <w:tcW w:w="5851" w:type="dxa"/>
          </w:tcPr>
          <w:p>
            <w:pPr>
              <w:pStyle w:val="TableParagraph"/>
              <w:spacing w:line="240" w:lineRule="auto"/>
              <w:ind w:left="266" w:right="596"/>
              <w:rPr>
                <w:rFonts w:ascii="Times New Roman"/>
                <w:sz w:val="24"/>
              </w:rPr>
            </w:pPr>
            <w:r>
              <w:rPr>
                <w:rFonts w:ascii="Times New Roman"/>
                <w:sz w:val="24"/>
              </w:rPr>
              <w:t>Audi, Ericsson, Qualcomm, Swarco, Kaiserslautern Univ.</w:t>
            </w:r>
          </w:p>
        </w:tc>
      </w:tr>
      <w:tr>
        <w:trPr>
          <w:trHeight w:val="370" w:hRule="exact"/>
        </w:trPr>
        <w:tc>
          <w:tcPr>
            <w:tcW w:w="3499" w:type="dxa"/>
          </w:tcPr>
          <w:p>
            <w:pPr>
              <w:pStyle w:val="TableParagraph"/>
              <w:spacing w:line="240" w:lineRule="auto" w:before="35"/>
              <w:ind w:left="230"/>
              <w:rPr>
                <w:rFonts w:ascii="Times New Roman"/>
                <w:sz w:val="24"/>
              </w:rPr>
            </w:pPr>
            <w:r>
              <w:rPr>
                <w:rFonts w:ascii="Times New Roman"/>
                <w:sz w:val="24"/>
              </w:rPr>
              <w:t>Car2X in Wuzhen, China</w:t>
            </w:r>
          </w:p>
        </w:tc>
        <w:tc>
          <w:tcPr>
            <w:tcW w:w="5851" w:type="dxa"/>
          </w:tcPr>
          <w:p>
            <w:pPr>
              <w:pStyle w:val="TableParagraph"/>
              <w:spacing w:line="240" w:lineRule="auto" w:before="35"/>
              <w:ind w:left="266"/>
              <w:rPr>
                <w:rFonts w:ascii="Times New Roman"/>
                <w:sz w:val="24"/>
              </w:rPr>
            </w:pPr>
            <w:r>
              <w:rPr>
                <w:rFonts w:ascii="Times New Roman"/>
                <w:sz w:val="24"/>
              </w:rPr>
              <w:t>CMCC, Continental, Nokia, Fraunhofer</w:t>
            </w:r>
          </w:p>
        </w:tc>
      </w:tr>
      <w:tr>
        <w:trPr>
          <w:trHeight w:val="370" w:hRule="exact"/>
        </w:trPr>
        <w:tc>
          <w:tcPr>
            <w:tcW w:w="3499" w:type="dxa"/>
          </w:tcPr>
          <w:p>
            <w:pPr>
              <w:pStyle w:val="TableParagraph"/>
              <w:spacing w:line="240" w:lineRule="auto" w:before="35"/>
              <w:ind w:left="230"/>
              <w:rPr>
                <w:rFonts w:ascii="Times New Roman"/>
                <w:sz w:val="24"/>
              </w:rPr>
            </w:pPr>
            <w:r>
              <w:rPr>
                <w:rFonts w:ascii="Times New Roman"/>
                <w:sz w:val="24"/>
              </w:rPr>
              <w:t>DT (A9), Germany</w:t>
            </w:r>
          </w:p>
        </w:tc>
        <w:tc>
          <w:tcPr>
            <w:tcW w:w="5851" w:type="dxa"/>
          </w:tcPr>
          <w:p>
            <w:pPr>
              <w:pStyle w:val="TableParagraph"/>
              <w:spacing w:line="240" w:lineRule="auto" w:before="35"/>
              <w:ind w:left="266"/>
              <w:rPr>
                <w:rFonts w:ascii="Times New Roman"/>
                <w:sz w:val="24"/>
              </w:rPr>
            </w:pPr>
            <w:r>
              <w:rPr>
                <w:rFonts w:ascii="Times New Roman"/>
                <w:sz w:val="24"/>
              </w:rPr>
              <w:t>Audi, Deutsche Telekom, Huawei, Toyota</w:t>
            </w:r>
          </w:p>
        </w:tc>
      </w:tr>
      <w:tr>
        <w:trPr>
          <w:trHeight w:val="288" w:hRule="exact"/>
        </w:trPr>
        <w:tc>
          <w:tcPr>
            <w:tcW w:w="3499" w:type="dxa"/>
          </w:tcPr>
          <w:p>
            <w:pPr>
              <w:pStyle w:val="TableParagraph"/>
              <w:spacing w:line="270" w:lineRule="exact"/>
              <w:ind w:left="230"/>
              <w:rPr>
                <w:rFonts w:ascii="Times New Roman"/>
                <w:sz w:val="24"/>
              </w:rPr>
            </w:pPr>
            <w:r>
              <w:rPr>
                <w:rFonts w:ascii="Times New Roman"/>
                <w:sz w:val="24"/>
              </w:rPr>
              <w:t>UK</w:t>
            </w:r>
          </w:p>
        </w:tc>
        <w:tc>
          <w:tcPr>
            <w:tcW w:w="5851" w:type="dxa"/>
          </w:tcPr>
          <w:p>
            <w:pPr>
              <w:pStyle w:val="TableParagraph"/>
              <w:spacing w:line="270" w:lineRule="exact"/>
              <w:ind w:left="266"/>
              <w:rPr>
                <w:rFonts w:ascii="Times New Roman"/>
                <w:sz w:val="24"/>
              </w:rPr>
            </w:pPr>
            <w:r>
              <w:rPr>
                <w:rFonts w:ascii="Times New Roman"/>
                <w:sz w:val="24"/>
              </w:rPr>
              <w:t>Jaguar Land Rover, Vodafone, et al</w:t>
            </w:r>
          </w:p>
        </w:tc>
      </w:tr>
      <w:tr>
        <w:trPr>
          <w:trHeight w:val="370" w:hRule="exact"/>
        </w:trPr>
        <w:tc>
          <w:tcPr>
            <w:tcW w:w="3499" w:type="dxa"/>
          </w:tcPr>
          <w:p>
            <w:pPr>
              <w:pStyle w:val="TableParagraph"/>
              <w:spacing w:line="240" w:lineRule="auto" w:before="32"/>
              <w:ind w:left="230"/>
              <w:rPr>
                <w:rFonts w:ascii="Times New Roman"/>
                <w:sz w:val="24"/>
              </w:rPr>
            </w:pPr>
            <w:r>
              <w:rPr>
                <w:rFonts w:ascii="Times New Roman"/>
                <w:sz w:val="24"/>
              </w:rPr>
              <w:t>MEC pilot project, Germany</w:t>
            </w:r>
          </w:p>
        </w:tc>
        <w:tc>
          <w:tcPr>
            <w:tcW w:w="5851" w:type="dxa"/>
          </w:tcPr>
          <w:p>
            <w:pPr>
              <w:pStyle w:val="TableParagraph"/>
              <w:spacing w:line="240" w:lineRule="auto" w:before="32"/>
              <w:ind w:left="266"/>
              <w:rPr>
                <w:rFonts w:ascii="Times New Roman"/>
                <w:sz w:val="24"/>
              </w:rPr>
            </w:pPr>
            <w:r>
              <w:rPr>
                <w:rFonts w:ascii="Times New Roman"/>
                <w:sz w:val="24"/>
              </w:rPr>
              <w:t>Bosch, DT/T-Systems, Nokia</w:t>
            </w:r>
          </w:p>
        </w:tc>
      </w:tr>
      <w:tr>
        <w:trPr>
          <w:trHeight w:val="370" w:hRule="exact"/>
        </w:trPr>
        <w:tc>
          <w:tcPr>
            <w:tcW w:w="3499" w:type="dxa"/>
          </w:tcPr>
          <w:p>
            <w:pPr>
              <w:pStyle w:val="TableParagraph"/>
              <w:spacing w:line="240" w:lineRule="auto" w:before="32"/>
              <w:ind w:left="230"/>
              <w:rPr>
                <w:rFonts w:ascii="Times New Roman"/>
                <w:sz w:val="24"/>
              </w:rPr>
            </w:pPr>
            <w:r>
              <w:rPr>
                <w:rFonts w:ascii="Times New Roman"/>
                <w:sz w:val="24"/>
              </w:rPr>
              <w:t>Car2X at A9, Germany</w:t>
            </w:r>
          </w:p>
        </w:tc>
        <w:tc>
          <w:tcPr>
            <w:tcW w:w="5851" w:type="dxa"/>
          </w:tcPr>
          <w:p>
            <w:pPr>
              <w:pStyle w:val="TableParagraph"/>
              <w:spacing w:line="240" w:lineRule="auto" w:before="32"/>
              <w:ind w:left="266"/>
              <w:rPr>
                <w:rFonts w:ascii="Times New Roman"/>
                <w:sz w:val="24"/>
              </w:rPr>
            </w:pPr>
            <w:r>
              <w:rPr>
                <w:rFonts w:ascii="Times New Roman"/>
                <w:sz w:val="24"/>
              </w:rPr>
              <w:t>Continental, DT/T-Systems, Nokia, Fraunhofer</w:t>
            </w:r>
          </w:p>
        </w:tc>
      </w:tr>
    </w:tbl>
    <w:p>
      <w:pPr>
        <w:pStyle w:val="BodyText"/>
        <w:spacing w:before="6"/>
        <w:rPr>
          <w:rFonts w:ascii="Times New Roman"/>
          <w:sz w:val="23"/>
        </w:rPr>
      </w:pPr>
    </w:p>
    <w:p>
      <w:pPr>
        <w:spacing w:line="276" w:lineRule="exact" w:before="0"/>
        <w:ind w:left="119" w:right="0" w:firstLine="0"/>
        <w:jc w:val="left"/>
        <w:rPr>
          <w:rFonts w:ascii="Times New Roman"/>
          <w:sz w:val="16"/>
        </w:rPr>
      </w:pPr>
      <w:r>
        <w:rPr>
          <w:rFonts w:ascii="Times New Roman"/>
          <w:b/>
          <w:sz w:val="24"/>
        </w:rPr>
        <w:t>Ford, Qualcomm (Fowlerville, Michigan)</w:t>
      </w:r>
      <w:r>
        <w:rPr>
          <w:rFonts w:ascii="Times New Roman"/>
          <w:sz w:val="24"/>
        </w:rPr>
        <w:t>: Qualcomm and Ford have partnered up to test C- V2X radio capabilities such as the Line-of-Sight range / reliability.</w:t>
      </w:r>
      <w:hyperlink w:history="true" w:anchor="_bookmark165">
        <w:r>
          <w:rPr>
            <w:rFonts w:ascii="Times New Roman"/>
            <w:position w:val="11"/>
            <w:sz w:val="16"/>
          </w:rPr>
          <w:t>76</w:t>
        </w:r>
      </w:hyperlink>
    </w:p>
    <w:p>
      <w:pPr>
        <w:pStyle w:val="BodyText"/>
        <w:spacing w:before="7"/>
        <w:rPr>
          <w:rFonts w:ascii="Times New Roman"/>
          <w:sz w:val="24"/>
        </w:rPr>
      </w:pPr>
    </w:p>
    <w:p>
      <w:pPr>
        <w:spacing w:line="232" w:lineRule="auto" w:before="0"/>
        <w:ind w:left="119" w:right="217" w:firstLine="0"/>
        <w:jc w:val="left"/>
        <w:rPr>
          <w:rFonts w:ascii="Times New Roman" w:hAnsi="Times New Roman"/>
          <w:sz w:val="24"/>
        </w:rPr>
      </w:pPr>
      <w:r>
        <w:rPr>
          <w:rFonts w:ascii="Times New Roman" w:hAnsi="Times New Roman"/>
          <w:b/>
          <w:sz w:val="24"/>
        </w:rPr>
        <w:t>Panasonic, Ford, Qualcomm, and the Colorado Department of Transportation (August 2018, Denver, Colorado)</w:t>
      </w:r>
      <w:r>
        <w:rPr>
          <w:rFonts w:ascii="Times New Roman" w:hAnsi="Times New Roman"/>
          <w:sz w:val="24"/>
        </w:rPr>
        <w:t>: Panasonic, Ford, Qualcomm, and the Colorado Department of Transportation demonstrated the “first real-world application of C-V2X technology connecting the vehicle, the roadways and a regional traffic management center” and showcased the technology’s ability to detect oncoming traffic, data from Road Side Units, and aggregate traffic data to allow real-time monitoring of roadways connected with C-V2X.</w:t>
      </w:r>
      <w:hyperlink w:history="true" w:anchor="_bookmark166">
        <w:r>
          <w:rPr>
            <w:rFonts w:ascii="Times New Roman" w:hAnsi="Times New Roman"/>
            <w:position w:val="11"/>
            <w:sz w:val="16"/>
          </w:rPr>
          <w:t>77</w:t>
        </w:r>
      </w:hyperlink>
      <w:r>
        <w:rPr>
          <w:rFonts w:ascii="Times New Roman" w:hAnsi="Times New Roman"/>
          <w:position w:val="11"/>
          <w:sz w:val="16"/>
        </w:rPr>
        <w:t>  </w:t>
      </w:r>
      <w:r>
        <w:rPr>
          <w:rFonts w:ascii="Times New Roman" w:hAnsi="Times New Roman"/>
          <w:sz w:val="24"/>
        </w:rPr>
        <w:t>Testing on C-V2X</w:t>
      </w:r>
    </w:p>
    <w:p>
      <w:pPr>
        <w:pStyle w:val="BodyText"/>
        <w:spacing w:before="8"/>
        <w:rPr>
          <w:rFonts w:ascii="Times New Roman"/>
          <w:sz w:val="10"/>
        </w:rPr>
      </w:pPr>
      <w:r>
        <w:rPr/>
        <w:pict>
          <v:line style="position:absolute;mso-position-horizontal-relative:page;mso-position-vertical-relative:paragraph;z-index:10672;mso-wrap-distance-left:0;mso-wrap-distance-right:0" from="72pt,8.43413pt" to="216pt,8.43413pt" stroked="true" strokeweight=".6pt" strokecolor="#000000">
            <v:stroke dashstyle="solid"/>
            <w10:wrap type="topAndBottom"/>
          </v:line>
        </w:pict>
      </w:r>
    </w:p>
    <w:p>
      <w:pPr>
        <w:pStyle w:val="BodyText"/>
        <w:spacing w:before="50"/>
        <w:ind w:left="120" w:right="342"/>
        <w:jc w:val="both"/>
        <w:rPr>
          <w:rFonts w:ascii="Times New Roman"/>
        </w:rPr>
      </w:pPr>
      <w:bookmarkStart w:name="_bookmark165" w:id="255"/>
      <w:bookmarkEnd w:id="255"/>
      <w:r>
        <w:rPr/>
      </w:r>
      <w:r>
        <w:rPr>
          <w:rFonts w:ascii="Times New Roman"/>
          <w:position w:val="9"/>
          <w:sz w:val="13"/>
        </w:rPr>
        <w:t>76 </w:t>
      </w:r>
      <w:r>
        <w:rPr>
          <w:rFonts w:ascii="Times New Roman"/>
        </w:rPr>
        <w:t>Jovan Zagajac, </w:t>
      </w:r>
      <w:r>
        <w:rPr>
          <w:rFonts w:ascii="Times New Roman"/>
          <w:i/>
        </w:rPr>
        <w:t>The C-V2X Proposition</w:t>
      </w:r>
      <w:r>
        <w:rPr>
          <w:rFonts w:ascii="Times New Roman"/>
        </w:rPr>
        <w:t>, 5GAA (Apr. 26, 2018), </w:t>
      </w:r>
      <w:hyperlink r:id="rId491">
        <w:r>
          <w:rPr>
            <w:rFonts w:ascii="Times New Roman"/>
            <w:color w:val="0000FF"/>
            <w:u w:val="single" w:color="0000FF"/>
          </w:rPr>
          <w:t>http://5gaa.org/wp-content/uploads/2018/05/3.-</w:t>
        </w:r>
      </w:hyperlink>
      <w:r>
        <w:rPr>
          <w:rFonts w:ascii="Times New Roman"/>
          <w:color w:val="0000FF"/>
          <w:u w:val="single" w:color="0000FF"/>
        </w:rPr>
        <w:t> </w:t>
      </w:r>
      <w:hyperlink r:id="rId491">
        <w:r>
          <w:rPr>
            <w:rFonts w:ascii="Times New Roman"/>
            <w:color w:val="0000FF"/>
            <w:u w:val="single" w:color="0000FF"/>
          </w:rPr>
          <w:t>The-C-V2X-Proposition-Ford.pdf</w:t>
        </w:r>
        <w:r>
          <w:rPr>
            <w:rFonts w:ascii="Times New Roman"/>
          </w:rPr>
          <w:t>.</w:t>
        </w:r>
      </w:hyperlink>
    </w:p>
    <w:p>
      <w:pPr>
        <w:spacing w:before="95"/>
        <w:ind w:left="119" w:right="335" w:firstLine="0"/>
        <w:jc w:val="both"/>
        <w:rPr>
          <w:rFonts w:ascii="Times New Roman"/>
          <w:sz w:val="20"/>
        </w:rPr>
      </w:pPr>
      <w:bookmarkStart w:name="_bookmark166" w:id="256"/>
      <w:bookmarkEnd w:id="256"/>
      <w:r>
        <w:rPr/>
      </w:r>
      <w:r>
        <w:rPr>
          <w:rFonts w:ascii="Times New Roman"/>
          <w:position w:val="9"/>
          <w:sz w:val="13"/>
        </w:rPr>
        <w:t>77 </w:t>
      </w:r>
      <w:r>
        <w:rPr>
          <w:rFonts w:ascii="Times New Roman"/>
          <w:sz w:val="20"/>
        </w:rPr>
        <w:t>Press Release, Panasonic, </w:t>
      </w:r>
      <w:r>
        <w:rPr>
          <w:rFonts w:ascii="Times New Roman"/>
          <w:i/>
          <w:sz w:val="20"/>
        </w:rPr>
        <w:t>Panasonic, Qualcomm and Ford Demo the First Real-World Application of C-V2X in </w:t>
      </w:r>
      <w:r>
        <w:rPr>
          <w:rFonts w:ascii="Times New Roman"/>
          <w:i/>
          <w:sz w:val="20"/>
        </w:rPr>
        <w:t>Colorado </w:t>
      </w:r>
      <w:r>
        <w:rPr>
          <w:rFonts w:ascii="Times New Roman"/>
          <w:sz w:val="20"/>
        </w:rPr>
        <w:t>(Aug. 15, 2018), </w:t>
      </w:r>
      <w:hyperlink r:id="rId492">
        <w:r>
          <w:rPr>
            <w:rFonts w:ascii="Times New Roman"/>
            <w:color w:val="0000FF"/>
            <w:sz w:val="20"/>
            <w:u w:val="single" w:color="0000FF"/>
          </w:rPr>
          <w:t>https://www.prnewswire.com/news-releases/panasonic-qualcomm-and-ford-demo-the-</w:t>
        </w:r>
      </w:hyperlink>
      <w:r>
        <w:rPr>
          <w:rFonts w:ascii="Times New Roman"/>
          <w:color w:val="0000FF"/>
          <w:sz w:val="20"/>
          <w:u w:val="single" w:color="0000FF"/>
        </w:rPr>
        <w:t> </w:t>
      </w:r>
      <w:hyperlink r:id="rId492">
        <w:r>
          <w:rPr>
            <w:rFonts w:ascii="Times New Roman"/>
            <w:color w:val="0000FF"/>
            <w:sz w:val="20"/>
            <w:u w:val="single" w:color="0000FF"/>
          </w:rPr>
          <w:t>first-real-world-application-of-c-v2x-in-colorado-300697513.html</w:t>
        </w:r>
        <w:r>
          <w:rPr>
            <w:rFonts w:ascii="Times New Roman"/>
            <w:sz w:val="20"/>
          </w:rPr>
          <w:t>.</w:t>
        </w:r>
      </w:hyperlink>
    </w:p>
    <w:p>
      <w:pPr>
        <w:spacing w:after="0"/>
        <w:jc w:val="both"/>
        <w:rPr>
          <w:rFonts w:ascii="Times New Roman"/>
          <w:sz w:val="20"/>
        </w:rPr>
        <w:sectPr>
          <w:headerReference w:type="default" r:id="rId489"/>
          <w:footerReference w:type="default" r:id="rId490"/>
          <w:pgSz w:w="12240" w:h="15840"/>
          <w:pgMar w:header="0" w:footer="1070" w:top="1360" w:bottom="1260" w:left="1320" w:right="1320"/>
          <w:pgNumType w:start="1"/>
        </w:sectPr>
      </w:pPr>
    </w:p>
    <w:p>
      <w:pPr>
        <w:spacing w:line="276" w:lineRule="exact" w:before="75"/>
        <w:ind w:left="120" w:right="241" w:firstLine="0"/>
        <w:jc w:val="both"/>
        <w:rPr>
          <w:rFonts w:ascii="Times New Roman" w:hAnsi="Times New Roman"/>
          <w:sz w:val="16"/>
        </w:rPr>
      </w:pPr>
      <w:r>
        <w:rPr>
          <w:rFonts w:ascii="Times New Roman" w:hAnsi="Times New Roman"/>
          <w:sz w:val="24"/>
        </w:rPr>
        <w:t>capabilities will continue on select roadways throughout Panasonic’s CityNOW headquarters in Denver and will be followed by deployment in select areas along the I-70 Mountain Corridor in the back half of 2018.</w:t>
      </w:r>
      <w:hyperlink w:history="true" w:anchor="_bookmark167">
        <w:r>
          <w:rPr>
            <w:rFonts w:ascii="Times New Roman" w:hAnsi="Times New Roman"/>
            <w:position w:val="11"/>
            <w:sz w:val="16"/>
          </w:rPr>
          <w:t>78</w:t>
        </w:r>
      </w:hyperlink>
    </w:p>
    <w:p>
      <w:pPr>
        <w:pStyle w:val="BodyText"/>
        <w:spacing w:before="8"/>
        <w:rPr>
          <w:rFonts w:ascii="Times New Roman"/>
          <w:sz w:val="24"/>
        </w:rPr>
      </w:pPr>
    </w:p>
    <w:p>
      <w:pPr>
        <w:spacing w:line="232" w:lineRule="auto" w:before="0"/>
        <w:ind w:left="119" w:right="230" w:firstLine="0"/>
        <w:jc w:val="left"/>
        <w:rPr>
          <w:rFonts w:ascii="Times New Roman"/>
          <w:sz w:val="24"/>
        </w:rPr>
      </w:pPr>
      <w:r>
        <w:rPr>
          <w:rFonts w:ascii="Times New Roman"/>
          <w:b/>
          <w:sz w:val="24"/>
        </w:rPr>
        <w:t>5GAA, BMW Group, Ford and Groupe PSA, Qualcomm, Savari (July 2018, Paris, France)</w:t>
      </w:r>
      <w:r>
        <w:rPr>
          <w:rFonts w:ascii="Times New Roman"/>
          <w:sz w:val="24"/>
        </w:rPr>
        <w:t>: Conducted first live demonstration of C-V2X direct communication technology operating across vehicles from multiple auto manufacturers. The demonstration also featured a live showcase of C-V2X direct communication technology operating between passenger cars, motorcycles, and roadside infrastructure.</w:t>
      </w:r>
      <w:hyperlink w:history="true" w:anchor="_bookmark168">
        <w:r>
          <w:rPr>
            <w:rFonts w:ascii="Times New Roman"/>
            <w:position w:val="11"/>
            <w:sz w:val="16"/>
          </w:rPr>
          <w:t>79</w:t>
        </w:r>
      </w:hyperlink>
      <w:r>
        <w:rPr>
          <w:rFonts w:ascii="Times New Roman"/>
          <w:position w:val="11"/>
          <w:sz w:val="16"/>
        </w:rPr>
        <w:t> </w:t>
      </w:r>
      <w:r>
        <w:rPr>
          <w:rFonts w:ascii="Times New Roman"/>
          <w:sz w:val="24"/>
        </w:rPr>
        <w:t>Six demonstrations were shown including: Emergency Electronic Brake Light, Intersection Collision Warning, Across Traffic Turn</w:t>
      </w:r>
    </w:p>
    <w:p>
      <w:pPr>
        <w:spacing w:line="276" w:lineRule="exact" w:before="4"/>
        <w:ind w:left="119" w:right="309" w:firstLine="0"/>
        <w:jc w:val="left"/>
        <w:rPr>
          <w:rFonts w:ascii="Times New Roman" w:hAnsi="Times New Roman"/>
          <w:sz w:val="16"/>
        </w:rPr>
      </w:pPr>
      <w:r>
        <w:rPr>
          <w:rFonts w:ascii="Times New Roman" w:hAnsi="Times New Roman"/>
          <w:sz w:val="24"/>
        </w:rPr>
        <w:t>Collision Risk Warning, Slow Vehicle Warning and Stationary Vehicle Warning, Signal Phase and Timing / Signal Violation Warning and Vulnerable Road User (pedestrian) Warning. The vehicles involved included two-wheel e-scooters provided by BMW Group, and automotive passenger vehicles provided by Ford, Groupe PSA, and BMW Group, all of which were equipped with C-V2X direct communication technology using the Qualcomm</w:t>
      </w:r>
      <w:r>
        <w:rPr>
          <w:rFonts w:ascii="Times New Roman" w:hAnsi="Times New Roman"/>
          <w:position w:val="11"/>
          <w:sz w:val="16"/>
        </w:rPr>
        <w:t>® </w:t>
      </w:r>
      <w:r>
        <w:rPr>
          <w:rFonts w:ascii="Times New Roman" w:hAnsi="Times New Roman"/>
          <w:sz w:val="24"/>
        </w:rPr>
        <w:t>9150 C-V2X chipset solution. V2X software stack and application software, along with roadside infrastructure, were provided by industry leader, Savari.</w:t>
      </w:r>
      <w:hyperlink w:history="true" w:anchor="_bookmark169">
        <w:r>
          <w:rPr>
            <w:rFonts w:ascii="Times New Roman" w:hAnsi="Times New Roman"/>
            <w:position w:val="11"/>
            <w:sz w:val="16"/>
          </w:rPr>
          <w:t>80</w:t>
        </w:r>
      </w:hyperlink>
    </w:p>
    <w:p>
      <w:pPr>
        <w:pStyle w:val="BodyText"/>
        <w:spacing w:before="10"/>
        <w:rPr>
          <w:rFonts w:ascii="Times New Roman"/>
          <w:sz w:val="23"/>
        </w:rPr>
      </w:pPr>
    </w:p>
    <w:p>
      <w:pPr>
        <w:spacing w:line="276" w:lineRule="exact" w:before="0"/>
        <w:ind w:left="120" w:right="95" w:firstLine="0"/>
        <w:jc w:val="left"/>
        <w:rPr>
          <w:rFonts w:ascii="Times New Roman"/>
          <w:sz w:val="16"/>
        </w:rPr>
      </w:pPr>
      <w:r>
        <w:rPr>
          <w:rFonts w:ascii="Times New Roman"/>
          <w:b/>
          <w:sz w:val="24"/>
        </w:rPr>
        <w:t>Audi, Ducati, Qualcomm (July, 2018, Ingolstadt, Germany)</w:t>
      </w:r>
      <w:r>
        <w:rPr>
          <w:rFonts w:ascii="Times New Roman"/>
          <w:sz w:val="24"/>
        </w:rPr>
        <w:t>: ConVex (Connected Vehicle to Everything of Tomorrow) trial in Ingolstadt, Germany, featured Audi Q7 and A4 cars and a Ducati Multistrada 1200 Enduro motorbike fitted with the Qualcomm 9150 C-V2X chipset solution, and showed how C-V2X can aid road safety in common scenarios involving motorcycles and cars.</w:t>
      </w:r>
      <w:hyperlink w:history="true" w:anchor="_bookmark170">
        <w:r>
          <w:rPr>
            <w:rFonts w:ascii="Times New Roman"/>
            <w:position w:val="11"/>
            <w:sz w:val="16"/>
          </w:rPr>
          <w:t>81</w:t>
        </w:r>
      </w:hyperlink>
    </w:p>
    <w:p>
      <w:pPr>
        <w:pStyle w:val="BodyText"/>
        <w:spacing w:before="7"/>
        <w:rPr>
          <w:rFonts w:ascii="Times New Roman"/>
          <w:sz w:val="23"/>
        </w:rPr>
      </w:pPr>
    </w:p>
    <w:p>
      <w:pPr>
        <w:spacing w:before="0"/>
        <w:ind w:left="119" w:right="0" w:firstLine="0"/>
        <w:jc w:val="left"/>
        <w:rPr>
          <w:rFonts w:ascii="Times New Roman"/>
          <w:sz w:val="24"/>
        </w:rPr>
      </w:pPr>
      <w:r>
        <w:rPr>
          <w:rFonts w:ascii="Times New Roman"/>
          <w:b/>
          <w:sz w:val="24"/>
        </w:rPr>
        <w:t>Ford and Datang (March, 2018, Shanghai, China)</w:t>
      </w:r>
      <w:r>
        <w:rPr>
          <w:rFonts w:ascii="Times New Roman"/>
          <w:sz w:val="24"/>
        </w:rPr>
        <w:t>:  Ford and Datang have partnered to trial</w:t>
      </w:r>
    </w:p>
    <w:p>
      <w:pPr>
        <w:pStyle w:val="Heading5"/>
        <w:numPr>
          <w:ilvl w:val="0"/>
          <w:numId w:val="62"/>
        </w:numPr>
        <w:tabs>
          <w:tab w:pos="362" w:val="left" w:leader="none"/>
        </w:tabs>
        <w:spacing w:line="276" w:lineRule="exact" w:before="2" w:after="0"/>
        <w:ind w:left="120" w:right="106" w:firstLine="0"/>
        <w:jc w:val="left"/>
        <w:rPr>
          <w:sz w:val="16"/>
        </w:rPr>
      </w:pPr>
      <w:r>
        <w:rPr/>
        <w:t>V2X “at the National Intelligent Vehicle Pilot Zone in Shanghai, the first intelligent connected car demonstration area in China. The tests built on Datang’s extensive work in creating LTE- V2X technology, which is the first phase of C-V2X technology and Ford’s key role in the area of intelligent connected vehicles (ICV) in China. The evaluations were carried out according to industry harmonized test procedures from 5G Automobile</w:t>
      </w:r>
      <w:r>
        <w:rPr>
          <w:spacing w:val="-2"/>
        </w:rPr>
        <w:t> </w:t>
      </w:r>
      <w:r>
        <w:rPr/>
        <w:t>Association.”</w:t>
      </w:r>
      <w:hyperlink w:history="true" w:anchor="_bookmark171">
        <w:r>
          <w:rPr>
            <w:position w:val="11"/>
            <w:sz w:val="16"/>
          </w:rPr>
          <w:t>82</w:t>
        </w:r>
      </w:hyperlink>
    </w:p>
    <w:p>
      <w:pPr>
        <w:pStyle w:val="BodyText"/>
        <w:rPr>
          <w:rFonts w:ascii="Times New Roman"/>
        </w:rPr>
      </w:pPr>
    </w:p>
    <w:p>
      <w:pPr>
        <w:pStyle w:val="BodyText"/>
        <w:spacing w:before="2"/>
        <w:rPr>
          <w:rFonts w:ascii="Times New Roman"/>
          <w:sz w:val="21"/>
        </w:rPr>
      </w:pPr>
      <w:r>
        <w:rPr/>
        <w:pict>
          <v:line style="position:absolute;mso-position-horizontal-relative:page;mso-position-vertical-relative:paragraph;z-index:10696;mso-wrap-distance-left:0;mso-wrap-distance-right:0" from="72pt,14.442104pt" to="216pt,14.442104pt" stroked="true" strokeweight=".599pt" strokecolor="#000000">
            <v:stroke dashstyle="solid"/>
            <w10:wrap type="topAndBottom"/>
          </v:line>
        </w:pict>
      </w:r>
    </w:p>
    <w:p>
      <w:pPr>
        <w:spacing w:before="50"/>
        <w:ind w:left="119" w:right="474" w:firstLine="0"/>
        <w:jc w:val="left"/>
        <w:rPr>
          <w:rFonts w:ascii="Times New Roman"/>
          <w:sz w:val="20"/>
        </w:rPr>
      </w:pPr>
      <w:bookmarkStart w:name="_bookmark167" w:id="257"/>
      <w:bookmarkEnd w:id="257"/>
      <w:r>
        <w:rPr/>
      </w:r>
      <w:r>
        <w:rPr>
          <w:rFonts w:ascii="Times New Roman"/>
          <w:position w:val="9"/>
          <w:sz w:val="13"/>
        </w:rPr>
        <w:t>78 </w:t>
      </w:r>
      <w:r>
        <w:rPr>
          <w:rFonts w:ascii="Times New Roman"/>
          <w:sz w:val="20"/>
        </w:rPr>
        <w:t>Press Release, Qualcomm, </w:t>
      </w:r>
      <w:r>
        <w:rPr>
          <w:rFonts w:ascii="Times New Roman"/>
          <w:i/>
          <w:sz w:val="20"/>
        </w:rPr>
        <w:t>Panasonic, Qualcomm and Ford Join Forces on First U.S. Deployment for C-V2X </w:t>
      </w:r>
      <w:r>
        <w:rPr>
          <w:rFonts w:ascii="Times New Roman"/>
          <w:i/>
          <w:sz w:val="20"/>
        </w:rPr>
        <w:t>Vehicle Communications in Colorado </w:t>
      </w:r>
      <w:r>
        <w:rPr>
          <w:rFonts w:ascii="Times New Roman"/>
          <w:sz w:val="20"/>
        </w:rPr>
        <w:t>(June 1, 2018), </w:t>
      </w:r>
      <w:hyperlink r:id="rId495">
        <w:r>
          <w:rPr>
            <w:rFonts w:ascii="Times New Roman"/>
            <w:color w:val="0000FF"/>
            <w:sz w:val="20"/>
            <w:u w:val="single" w:color="0000FF"/>
          </w:rPr>
          <w:t>https://www.qualcomm.com/news/releases/2018/06/01/-</w:t>
        </w:r>
      </w:hyperlink>
      <w:r>
        <w:rPr>
          <w:rFonts w:ascii="Times New Roman"/>
          <w:color w:val="0000FF"/>
          <w:sz w:val="20"/>
          <w:u w:val="single" w:color="0000FF"/>
        </w:rPr>
        <w:t> </w:t>
      </w:r>
      <w:hyperlink r:id="rId495">
        <w:r>
          <w:rPr>
            <w:rFonts w:ascii="Times New Roman"/>
            <w:color w:val="0000FF"/>
            <w:sz w:val="20"/>
            <w:u w:val="single" w:color="0000FF"/>
          </w:rPr>
          <w:t>panasonic-qualcomm-and-ford-join-forces-first-us-deployment-c-v2x-vehicle</w:t>
        </w:r>
        <w:r>
          <w:rPr>
            <w:rFonts w:ascii="Times New Roman"/>
            <w:sz w:val="20"/>
          </w:rPr>
          <w:t>.</w:t>
        </w:r>
      </w:hyperlink>
    </w:p>
    <w:p>
      <w:pPr>
        <w:spacing w:before="95"/>
        <w:ind w:left="119" w:right="539" w:firstLine="0"/>
        <w:jc w:val="left"/>
        <w:rPr>
          <w:rFonts w:ascii="Times New Roman"/>
          <w:sz w:val="20"/>
        </w:rPr>
      </w:pPr>
      <w:bookmarkStart w:name="_bookmark168" w:id="258"/>
      <w:bookmarkEnd w:id="258"/>
      <w:r>
        <w:rPr/>
      </w:r>
      <w:r>
        <w:rPr>
          <w:rFonts w:ascii="Times New Roman"/>
          <w:position w:val="9"/>
          <w:sz w:val="13"/>
        </w:rPr>
        <w:t>79 </w:t>
      </w:r>
      <w:r>
        <w:rPr>
          <w:rFonts w:ascii="Times New Roman"/>
          <w:sz w:val="20"/>
        </w:rPr>
        <w:t>Press Release, Ford, </w:t>
      </w:r>
      <w:r>
        <w:rPr>
          <w:rFonts w:ascii="Times New Roman"/>
          <w:i/>
          <w:sz w:val="20"/>
        </w:rPr>
        <w:t>5GAA, BMW Group, Ford And Groupe PSA Exhibit First European C-V2x Direct </w:t>
      </w:r>
      <w:r>
        <w:rPr>
          <w:rFonts w:ascii="Times New Roman"/>
          <w:i/>
          <w:sz w:val="20"/>
        </w:rPr>
        <w:t>Communication Interoperability Between Multiple Automakers </w:t>
      </w:r>
      <w:r>
        <w:rPr>
          <w:rFonts w:ascii="Times New Roman"/>
          <w:sz w:val="20"/>
        </w:rPr>
        <w:t>(July 11, 2018), </w:t>
      </w:r>
      <w:hyperlink r:id="rId496">
        <w:r>
          <w:rPr>
            <w:rFonts w:ascii="Times New Roman"/>
            <w:color w:val="0000FF"/>
            <w:sz w:val="20"/>
            <w:u w:val="single" w:color="0000FF"/>
          </w:rPr>
          <w:t>https://media.ford.com/-</w:t>
        </w:r>
      </w:hyperlink>
      <w:r>
        <w:rPr>
          <w:rFonts w:ascii="Times New Roman"/>
          <w:color w:val="0000FF"/>
          <w:sz w:val="20"/>
          <w:u w:val="single" w:color="0000FF"/>
        </w:rPr>
        <w:t> </w:t>
      </w:r>
      <w:hyperlink r:id="rId496">
        <w:r>
          <w:rPr>
            <w:rFonts w:ascii="Times New Roman"/>
            <w:color w:val="0000FF"/>
            <w:w w:val="95"/>
            <w:sz w:val="20"/>
            <w:u w:val="single" w:color="0000FF"/>
          </w:rPr>
          <w:t>content/fordmedia/feu/en/news/2018/07/11/-5gaa--bmw-group--ford-and-groupe-psa--exhibit-first-european-c-</w:t>
        </w:r>
      </w:hyperlink>
    </w:p>
    <w:p>
      <w:pPr>
        <w:pStyle w:val="BodyText"/>
        <w:ind w:left="120"/>
        <w:rPr>
          <w:rFonts w:ascii="Times New Roman"/>
        </w:rPr>
      </w:pPr>
      <w:hyperlink r:id="rId496">
        <w:r>
          <w:rPr>
            <w:rFonts w:ascii="Times New Roman"/>
            <w:color w:val="0000FF"/>
            <w:u w:val="single" w:color="0000FF"/>
          </w:rPr>
          <w:t>.html</w:t>
        </w:r>
        <w:r>
          <w:rPr>
            <w:rFonts w:ascii="Times New Roman"/>
          </w:rPr>
          <w:t>.</w:t>
        </w:r>
      </w:hyperlink>
    </w:p>
    <w:p>
      <w:pPr>
        <w:spacing w:before="93"/>
        <w:ind w:left="120" w:right="0" w:firstLine="0"/>
        <w:jc w:val="left"/>
        <w:rPr>
          <w:rFonts w:ascii="Times New Roman"/>
          <w:i/>
          <w:sz w:val="20"/>
        </w:rPr>
      </w:pPr>
      <w:bookmarkStart w:name="_bookmark169" w:id="259"/>
      <w:bookmarkEnd w:id="259"/>
      <w:r>
        <w:rPr/>
      </w:r>
      <w:r>
        <w:rPr>
          <w:rFonts w:ascii="Times New Roman"/>
          <w:position w:val="9"/>
          <w:sz w:val="13"/>
        </w:rPr>
        <w:t>80 </w:t>
      </w:r>
      <w:r>
        <w:rPr>
          <w:rFonts w:ascii="Times New Roman"/>
          <w:i/>
          <w:sz w:val="20"/>
        </w:rPr>
        <w:t>Id.</w:t>
      </w:r>
    </w:p>
    <w:p>
      <w:pPr>
        <w:spacing w:before="95"/>
        <w:ind w:left="120" w:right="429" w:firstLine="0"/>
        <w:jc w:val="left"/>
        <w:rPr>
          <w:rFonts w:ascii="Times New Roman"/>
          <w:sz w:val="20"/>
        </w:rPr>
      </w:pPr>
      <w:bookmarkStart w:name="_bookmark170" w:id="260"/>
      <w:bookmarkEnd w:id="260"/>
      <w:r>
        <w:rPr/>
      </w:r>
      <w:r>
        <w:rPr>
          <w:rFonts w:ascii="Times New Roman"/>
          <w:position w:val="9"/>
          <w:sz w:val="13"/>
        </w:rPr>
        <w:t>81 </w:t>
      </w:r>
      <w:r>
        <w:rPr>
          <w:rFonts w:ascii="Times New Roman"/>
          <w:sz w:val="20"/>
        </w:rPr>
        <w:t>Farah Alkhalisi, </w:t>
      </w:r>
      <w:r>
        <w:rPr>
          <w:rFonts w:ascii="Times New Roman"/>
          <w:i/>
          <w:sz w:val="20"/>
        </w:rPr>
        <w:t>C-V2X demos incorporate motorcycles, vehicles and infrastructure, communications between </w:t>
      </w:r>
      <w:r>
        <w:rPr>
          <w:rFonts w:ascii="Times New Roman"/>
          <w:i/>
          <w:sz w:val="20"/>
        </w:rPr>
        <w:t>carmakers</w:t>
      </w:r>
      <w:r>
        <w:rPr>
          <w:rFonts w:ascii="Times New Roman"/>
          <w:sz w:val="20"/>
        </w:rPr>
        <w:t>, automotiveIT International (July 11, 2018), </w:t>
      </w:r>
      <w:hyperlink r:id="rId497">
        <w:r>
          <w:rPr>
            <w:rFonts w:ascii="Times New Roman"/>
            <w:color w:val="0000FF"/>
            <w:sz w:val="20"/>
            <w:u w:val="single" w:color="0000FF"/>
          </w:rPr>
          <w:t>http://www.automotiveit.com/news/c-v2x-demos-</w:t>
        </w:r>
      </w:hyperlink>
      <w:r>
        <w:rPr>
          <w:rFonts w:ascii="Times New Roman"/>
          <w:color w:val="0000FF"/>
          <w:sz w:val="20"/>
          <w:u w:val="single" w:color="0000FF"/>
        </w:rPr>
        <w:t> </w:t>
      </w:r>
      <w:hyperlink r:id="rId497">
        <w:r>
          <w:rPr>
            <w:rFonts w:ascii="Times New Roman"/>
            <w:color w:val="0000FF"/>
            <w:sz w:val="20"/>
            <w:u w:val="single" w:color="0000FF"/>
          </w:rPr>
          <w:t>incorporate-motorcycles-vehicles-and-infrastructure-communications-between-carmakers</w:t>
        </w:r>
        <w:r>
          <w:rPr>
            <w:rFonts w:ascii="Times New Roman"/>
            <w:sz w:val="20"/>
          </w:rPr>
          <w:t>.</w:t>
        </w:r>
      </w:hyperlink>
    </w:p>
    <w:p>
      <w:pPr>
        <w:spacing w:before="95"/>
        <w:ind w:left="119" w:right="95" w:firstLine="0"/>
        <w:jc w:val="left"/>
        <w:rPr>
          <w:rFonts w:ascii="Times New Roman"/>
          <w:sz w:val="20"/>
        </w:rPr>
      </w:pPr>
      <w:bookmarkStart w:name="_bookmark171" w:id="261"/>
      <w:bookmarkEnd w:id="261"/>
      <w:r>
        <w:rPr/>
      </w:r>
      <w:r>
        <w:rPr>
          <w:rFonts w:ascii="Times New Roman"/>
          <w:position w:val="9"/>
          <w:sz w:val="13"/>
        </w:rPr>
        <w:t>82 </w:t>
      </w:r>
      <w:r>
        <w:rPr>
          <w:rFonts w:ascii="Times New Roman"/>
          <w:sz w:val="20"/>
        </w:rPr>
        <w:t>Press Release, Ford, </w:t>
      </w:r>
      <w:r>
        <w:rPr>
          <w:rFonts w:ascii="Times New Roman"/>
          <w:i/>
          <w:sz w:val="20"/>
        </w:rPr>
        <w:t>Ford And Datang Trial C-V2X Connected Car Technology In Shanghai To Support Global </w:t>
      </w:r>
      <w:r>
        <w:rPr>
          <w:rFonts w:ascii="Times New Roman"/>
          <w:i/>
          <w:sz w:val="20"/>
        </w:rPr>
        <w:t>Connectivity Initiative </w:t>
      </w:r>
      <w:r>
        <w:rPr>
          <w:rFonts w:ascii="Times New Roman"/>
          <w:sz w:val="20"/>
        </w:rPr>
        <w:t>(Mar. 29, 2018), </w:t>
      </w:r>
      <w:hyperlink r:id="rId498">
        <w:r>
          <w:rPr>
            <w:rFonts w:ascii="Times New Roman"/>
            <w:color w:val="0000FF"/>
            <w:sz w:val="20"/>
            <w:u w:val="single" w:color="0000FF"/>
          </w:rPr>
          <w:t>https://media.ford.com/content/fordmedia/fap/cn/en/news/2018/03/29-</w:t>
        </w:r>
      </w:hyperlink>
    </w:p>
    <w:p>
      <w:pPr>
        <w:pStyle w:val="BodyText"/>
        <w:ind w:left="120" w:right="95"/>
        <w:rPr>
          <w:rFonts w:ascii="Times New Roman"/>
        </w:rPr>
      </w:pPr>
      <w:hyperlink r:id="rId498">
        <w:r>
          <w:rPr>
            <w:rFonts w:ascii="Times New Roman"/>
            <w:color w:val="0000FF"/>
            <w:w w:val="95"/>
            <w:u w:val="single" w:color="0000FF"/>
          </w:rPr>
          <w:t>/Ford_and_Datang_Trial_C-V2X_Connected_Car_Technology_in_Shanghai_to_Support_Global_Connectivity_-</w:t>
        </w:r>
      </w:hyperlink>
      <w:r>
        <w:rPr>
          <w:rFonts w:ascii="Times New Roman"/>
          <w:color w:val="0000FF"/>
          <w:w w:val="95"/>
          <w:u w:val="single" w:color="0000FF"/>
        </w:rPr>
        <w:t> </w:t>
      </w:r>
      <w:hyperlink r:id="rId498">
        <w:r>
          <w:rPr>
            <w:rFonts w:ascii="Times New Roman"/>
            <w:color w:val="0000FF"/>
            <w:u w:val="single" w:color="0000FF"/>
          </w:rPr>
          <w:t>Initiative.html</w:t>
        </w:r>
        <w:r>
          <w:rPr>
            <w:rFonts w:ascii="Times New Roman"/>
          </w:rPr>
          <w:t>.</w:t>
        </w:r>
      </w:hyperlink>
    </w:p>
    <w:p>
      <w:pPr>
        <w:spacing w:after="0"/>
        <w:rPr>
          <w:rFonts w:ascii="Times New Roman"/>
        </w:rPr>
        <w:sectPr>
          <w:headerReference w:type="default" r:id="rId493"/>
          <w:footerReference w:type="default" r:id="rId494"/>
          <w:pgSz w:w="12240" w:h="15840"/>
          <w:pgMar w:header="0" w:footer="1070" w:top="1360" w:bottom="1260" w:left="1320" w:right="1360"/>
          <w:pgNumType w:start="2"/>
        </w:sectPr>
      </w:pPr>
    </w:p>
    <w:p>
      <w:pPr>
        <w:spacing w:line="240" w:lineRule="auto" w:before="76"/>
        <w:ind w:left="119" w:right="129" w:firstLine="0"/>
        <w:jc w:val="left"/>
        <w:rPr>
          <w:rFonts w:ascii="Times New Roman" w:hAnsi="Times New Roman"/>
          <w:sz w:val="24"/>
        </w:rPr>
      </w:pPr>
      <w:r>
        <w:rPr>
          <w:rFonts w:ascii="Times New Roman" w:hAnsi="Times New Roman"/>
          <w:b/>
          <w:sz w:val="24"/>
        </w:rPr>
        <w:t>Continental, Ericsson, Nissan, NTT DOCOMO, OKI and Qualcomm (January, 2018, Japan)</w:t>
      </w:r>
      <w:r>
        <w:rPr>
          <w:rFonts w:ascii="Times New Roman" w:hAnsi="Times New Roman"/>
          <w:sz w:val="24"/>
        </w:rPr>
        <w:t>: Continental, Ericsson, Nissan, NTT DOCOMO, OKI and Qualcomm have partnered to trial C-V2X capabilities where “Continental will utilize the Qualcomm C-V2X Reference Design, which features the Qualcomm 9150 C-V2X chipset with integrated Global Navigation Satellite System (GNSS) capability to build connected car systems and integrate the systems into Nissan vehicles. Nissan will perform V2X use case selection and develop test scenarios with key performance indicators (KPIs) for C-V2X technology validation. OKI, one of the leading companies in ITS, will bring their expertise in roadside unit (RSU) infrastructure and applications to demonstrate V2I as a viable technology for advanced traffic applications by integrating the Qualcomm® 9150 C-V2X chipset into their RSU. Ericsson, as one of the leading companies in the technology and service for telecommunications, will join to the V2N use case discussion, considering a combination of direct communication and LTE-A network technologies. NTT DOCOMO will provide an LTE-A network and V2N applications to demonstrate the benefits of complementary use of network-based communications for a</w:t>
      </w:r>
      <w:r>
        <w:rPr>
          <w:rFonts w:ascii="Times New Roman" w:hAnsi="Times New Roman"/>
          <w:spacing w:val="-15"/>
          <w:sz w:val="24"/>
        </w:rPr>
        <w:t> </w:t>
      </w:r>
      <w:r>
        <w:rPr>
          <w:rFonts w:ascii="Times New Roman" w:hAnsi="Times New Roman"/>
          <w:sz w:val="24"/>
        </w:rPr>
        <w:t>variety</w:t>
      </w:r>
    </w:p>
    <w:p>
      <w:pPr>
        <w:spacing w:line="276" w:lineRule="exact" w:before="0"/>
        <w:ind w:left="119" w:right="0" w:firstLine="0"/>
        <w:jc w:val="left"/>
        <w:rPr>
          <w:rFonts w:ascii="Times New Roman" w:hAnsi="Times New Roman"/>
          <w:sz w:val="16"/>
        </w:rPr>
      </w:pPr>
      <w:r>
        <w:rPr>
          <w:rFonts w:ascii="Times New Roman" w:hAnsi="Times New Roman"/>
          <w:sz w:val="24"/>
        </w:rPr>
        <w:t>of advanced automotive informational safety use cases.”</w:t>
      </w:r>
      <w:hyperlink w:history="true" w:anchor="_bookmark172">
        <w:r>
          <w:rPr>
            <w:rFonts w:ascii="Times New Roman" w:hAnsi="Times New Roman"/>
            <w:position w:val="11"/>
            <w:sz w:val="16"/>
          </w:rPr>
          <w:t>83</w:t>
        </w:r>
      </w:hyperlink>
    </w:p>
    <w:p>
      <w:pPr>
        <w:pStyle w:val="BodyText"/>
        <w:spacing w:before="4"/>
        <w:rPr>
          <w:rFonts w:ascii="Times New Roman"/>
          <w:sz w:val="24"/>
        </w:rPr>
      </w:pPr>
    </w:p>
    <w:p>
      <w:pPr>
        <w:spacing w:line="276" w:lineRule="exact" w:before="0"/>
        <w:ind w:left="120" w:right="141" w:firstLine="0"/>
        <w:jc w:val="left"/>
        <w:rPr>
          <w:rFonts w:ascii="Times New Roman" w:hAnsi="Times New Roman"/>
          <w:sz w:val="16"/>
        </w:rPr>
      </w:pPr>
      <w:r>
        <w:rPr>
          <w:rFonts w:ascii="Times New Roman" w:hAnsi="Times New Roman"/>
          <w:b/>
          <w:sz w:val="24"/>
        </w:rPr>
        <w:t>Continental and Huawei (December 2017, Shanghai, China)</w:t>
      </w:r>
      <w:r>
        <w:rPr>
          <w:rFonts w:ascii="Times New Roman" w:hAnsi="Times New Roman"/>
          <w:sz w:val="24"/>
        </w:rPr>
        <w:t>: Continental and Huawei have conducted field trials on C-V2X performance, including reliability and latency. “To test in realistic conditions, Continental conducted its driving tests in China’s National Intelligent Connected Vehicle Pilot Zone in Shanghai named ‘A Nice City’. The joint tests leveraged Huawei’s prototype C-V2X module and infrastructure for use cases such as Emergency Brake Light and Stationary Vehicle Warning. While the average latency was 11 ms, single event message latencies as low as 8 ms were achieved, and throughout the tests the packet reception rate was nearly 100 percent.”</w:t>
      </w:r>
      <w:hyperlink w:history="true" w:anchor="_bookmark173">
        <w:r>
          <w:rPr>
            <w:rFonts w:ascii="Times New Roman" w:hAnsi="Times New Roman"/>
            <w:position w:val="11"/>
            <w:sz w:val="16"/>
          </w:rPr>
          <w:t>84</w:t>
        </w:r>
      </w:hyperlink>
    </w:p>
    <w:p>
      <w:pPr>
        <w:pStyle w:val="BodyText"/>
        <w:spacing w:before="11"/>
        <w:rPr>
          <w:rFonts w:ascii="Times New Roman"/>
          <w:sz w:val="23"/>
        </w:rPr>
      </w:pPr>
    </w:p>
    <w:p>
      <w:pPr>
        <w:spacing w:line="276" w:lineRule="exact" w:before="0"/>
        <w:ind w:left="119" w:right="141" w:firstLine="0"/>
        <w:jc w:val="left"/>
        <w:rPr>
          <w:rFonts w:ascii="Times New Roman" w:hAnsi="Times New Roman"/>
          <w:sz w:val="16"/>
        </w:rPr>
      </w:pPr>
      <w:r>
        <w:rPr>
          <w:rFonts w:ascii="Times New Roman" w:hAnsi="Times New Roman"/>
          <w:b/>
          <w:sz w:val="24"/>
        </w:rPr>
        <w:t>AT&amp;T, McCain, Ford, Nokia, and Qualcomm (October, 2017, San Diego, California)</w:t>
      </w:r>
      <w:r>
        <w:rPr>
          <w:rFonts w:ascii="Times New Roman" w:hAnsi="Times New Roman"/>
          <w:sz w:val="24"/>
        </w:rPr>
        <w:t>: AT&amp;T, McCain, Ford, Nokia, and Qualcomm, are cooperating with local government bodies to conduct C-V2X trials at the San Diego Regional Proving Ground. Ford vehicles will be using C- V2X technology and the Qualcomm 9150 C-V2X solution to facilitate direct communications, and will be complemented by AT&amp;T’s 4G LTE network communications and </w:t>
      </w:r>
      <w:r>
        <w:rPr>
          <w:rFonts w:ascii="Times New Roman" w:hAnsi="Times New Roman"/>
          <w:spacing w:val="-3"/>
          <w:sz w:val="24"/>
        </w:rPr>
        <w:t>ITS </w:t>
      </w:r>
      <w:r>
        <w:rPr>
          <w:rFonts w:ascii="Times New Roman" w:hAnsi="Times New Roman"/>
          <w:sz w:val="24"/>
        </w:rPr>
        <w:t>platform that takes advantage of wireless base stations and multi-access edge computing technology from Nokia. McCain will help facilitate the effective integration with existing and emerging traffic signal control infrastructure.  Testing will support direct C-V2X communications operating in the 5.9 GHz </w:t>
      </w:r>
      <w:r>
        <w:rPr>
          <w:rFonts w:ascii="Times New Roman" w:hAnsi="Times New Roman"/>
          <w:spacing w:val="-3"/>
          <w:sz w:val="24"/>
        </w:rPr>
        <w:t>ITS </w:t>
      </w:r>
      <w:r>
        <w:rPr>
          <w:rFonts w:ascii="Times New Roman" w:hAnsi="Times New Roman"/>
          <w:sz w:val="24"/>
        </w:rPr>
        <w:t>spectrum to explore the safety enhancements of V2V use cases, including do not pass warning, intersection movement assist, and left turn assist, among others. The trials will also support advanced vehicle communication capabilities for improved traffic efficiencies, such as real-time mapping updates and event notifications relayed using AT&amp;T’s cellular network and Nokia Cloud</w:t>
      </w:r>
      <w:r>
        <w:rPr>
          <w:rFonts w:ascii="Times New Roman" w:hAnsi="Times New Roman"/>
          <w:spacing w:val="4"/>
          <w:sz w:val="24"/>
        </w:rPr>
        <w:t> </w:t>
      </w:r>
      <w:r>
        <w:rPr>
          <w:rFonts w:ascii="Times New Roman" w:hAnsi="Times New Roman"/>
          <w:sz w:val="24"/>
        </w:rPr>
        <w:t>Infrastructure.</w:t>
      </w:r>
      <w:hyperlink w:history="true" w:anchor="_bookmark174">
        <w:r>
          <w:rPr>
            <w:rFonts w:ascii="Times New Roman" w:hAnsi="Times New Roman"/>
            <w:position w:val="11"/>
            <w:sz w:val="16"/>
          </w:rPr>
          <w:t>85</w:t>
        </w:r>
      </w:hyperlink>
    </w:p>
    <w:p>
      <w:pPr>
        <w:pStyle w:val="BodyText"/>
        <w:rPr>
          <w:rFonts w:ascii="Times New Roman"/>
        </w:rPr>
      </w:pPr>
    </w:p>
    <w:p>
      <w:pPr>
        <w:pStyle w:val="BodyText"/>
        <w:spacing w:before="4"/>
        <w:rPr>
          <w:rFonts w:ascii="Times New Roman"/>
        </w:rPr>
      </w:pPr>
      <w:r>
        <w:rPr/>
        <w:pict>
          <v:line style="position:absolute;mso-position-horizontal-relative:page;mso-position-vertical-relative:paragraph;z-index:10720;mso-wrap-distance-left:0;mso-wrap-distance-right:0" from="72pt,13.977212pt" to="216pt,13.977212pt" stroked="true" strokeweight=".6pt" strokecolor="#000000">
            <v:stroke dashstyle="solid"/>
            <w10:wrap type="topAndBottom"/>
          </v:line>
        </w:pict>
      </w:r>
    </w:p>
    <w:p>
      <w:pPr>
        <w:spacing w:before="50"/>
        <w:ind w:left="120" w:right="401" w:firstLine="0"/>
        <w:jc w:val="both"/>
        <w:rPr>
          <w:rFonts w:ascii="Times New Roman"/>
          <w:sz w:val="20"/>
        </w:rPr>
      </w:pPr>
      <w:bookmarkStart w:name="_bookmark172" w:id="262"/>
      <w:bookmarkEnd w:id="262"/>
      <w:r>
        <w:rPr/>
      </w:r>
      <w:r>
        <w:rPr>
          <w:rFonts w:ascii="Times New Roman"/>
          <w:position w:val="9"/>
          <w:sz w:val="13"/>
        </w:rPr>
        <w:t>83 </w:t>
      </w:r>
      <w:r>
        <w:rPr>
          <w:rFonts w:ascii="Times New Roman"/>
          <w:sz w:val="20"/>
        </w:rPr>
        <w:t>Press Release, Qualcomm, </w:t>
      </w:r>
      <w:r>
        <w:rPr>
          <w:rFonts w:ascii="Times New Roman"/>
          <w:i/>
          <w:sz w:val="20"/>
        </w:rPr>
        <w:t>Leading Automotive, Telecom and ITS Companies Unveil First Announced Cellular </w:t>
      </w:r>
      <w:r>
        <w:rPr>
          <w:rFonts w:ascii="Times New Roman"/>
          <w:i/>
          <w:sz w:val="20"/>
        </w:rPr>
        <w:t>V2X Trials in Japan </w:t>
      </w:r>
      <w:r>
        <w:rPr>
          <w:rFonts w:ascii="Times New Roman"/>
          <w:sz w:val="20"/>
        </w:rPr>
        <w:t>(Jan. 11, 2018), </w:t>
      </w:r>
      <w:hyperlink r:id="rId501">
        <w:r>
          <w:rPr>
            <w:rFonts w:ascii="Times New Roman"/>
            <w:color w:val="0000FF"/>
            <w:sz w:val="20"/>
            <w:u w:val="single" w:color="0000FF"/>
          </w:rPr>
          <w:t>https://www.qualcomm.com/news/releases/2018/01/11/leading-automotive-</w:t>
        </w:r>
      </w:hyperlink>
      <w:r>
        <w:rPr>
          <w:rFonts w:ascii="Times New Roman"/>
          <w:color w:val="0000FF"/>
          <w:sz w:val="20"/>
          <w:u w:val="single" w:color="0000FF"/>
        </w:rPr>
        <w:t> </w:t>
      </w:r>
      <w:hyperlink r:id="rId501">
        <w:r>
          <w:rPr>
            <w:rFonts w:ascii="Times New Roman"/>
            <w:color w:val="0000FF"/>
            <w:sz w:val="20"/>
            <w:u w:val="single" w:color="0000FF"/>
          </w:rPr>
          <w:t>telecom-and-its-companies-unveil-first-announced</w:t>
        </w:r>
        <w:r>
          <w:rPr>
            <w:rFonts w:ascii="Times New Roman"/>
            <w:sz w:val="20"/>
          </w:rPr>
          <w:t>.</w:t>
        </w:r>
      </w:hyperlink>
    </w:p>
    <w:p>
      <w:pPr>
        <w:spacing w:before="95"/>
        <w:ind w:left="120" w:right="141" w:hanging="1"/>
        <w:jc w:val="left"/>
        <w:rPr>
          <w:rFonts w:ascii="Times New Roman"/>
          <w:sz w:val="20"/>
        </w:rPr>
      </w:pPr>
      <w:bookmarkStart w:name="_bookmark173" w:id="263"/>
      <w:bookmarkEnd w:id="263"/>
      <w:r>
        <w:rPr/>
      </w:r>
      <w:r>
        <w:rPr>
          <w:rFonts w:ascii="Times New Roman"/>
          <w:position w:val="9"/>
          <w:sz w:val="13"/>
        </w:rPr>
        <w:t>84 </w:t>
      </w:r>
      <w:r>
        <w:rPr>
          <w:rFonts w:ascii="Times New Roman"/>
          <w:sz w:val="20"/>
        </w:rPr>
        <w:t>Press Release, Continental, </w:t>
      </w:r>
      <w:r>
        <w:rPr>
          <w:rFonts w:ascii="Times New Roman"/>
          <w:i/>
          <w:sz w:val="20"/>
        </w:rPr>
        <w:t>Cellular V2X: Continental Successfully Conducts Field Trials in China </w:t>
      </w:r>
      <w:r>
        <w:rPr>
          <w:rFonts w:ascii="Times New Roman"/>
          <w:sz w:val="20"/>
        </w:rPr>
        <w:t>(Dec. 18, </w:t>
      </w:r>
      <w:r>
        <w:rPr>
          <w:rFonts w:ascii="Times New Roman"/>
          <w:w w:val="95"/>
          <w:sz w:val="20"/>
        </w:rPr>
        <w:t>2017),        </w:t>
      </w:r>
      <w:hyperlink r:id="rId502">
        <w:r>
          <w:rPr>
            <w:rFonts w:ascii="Times New Roman"/>
            <w:color w:val="0000FF"/>
            <w:w w:val="95"/>
            <w:sz w:val="20"/>
            <w:u w:val="single" w:color="0000FF"/>
          </w:rPr>
          <w:t>https://www.continental-corporation.com/en/press/press-releases/2017-12-18-cellular-v2x-116994</w:t>
        </w:r>
        <w:r>
          <w:rPr>
            <w:rFonts w:ascii="Times New Roman"/>
            <w:w w:val="95"/>
            <w:sz w:val="20"/>
          </w:rPr>
          <w:t>.</w:t>
        </w:r>
      </w:hyperlink>
    </w:p>
    <w:p>
      <w:pPr>
        <w:spacing w:before="92"/>
        <w:ind w:left="119" w:right="0" w:firstLine="0"/>
        <w:jc w:val="left"/>
        <w:rPr>
          <w:rFonts w:ascii="Times New Roman"/>
          <w:sz w:val="20"/>
        </w:rPr>
      </w:pPr>
      <w:bookmarkStart w:name="_bookmark174" w:id="264"/>
      <w:bookmarkEnd w:id="264"/>
      <w:r>
        <w:rPr/>
      </w:r>
      <w:r>
        <w:rPr>
          <w:rFonts w:ascii="Times New Roman"/>
          <w:position w:val="9"/>
          <w:sz w:val="13"/>
        </w:rPr>
        <w:t>85 </w:t>
      </w:r>
      <w:r>
        <w:rPr>
          <w:rFonts w:ascii="Times New Roman"/>
          <w:sz w:val="20"/>
        </w:rPr>
        <w:t>Press Release, Qualcomm, </w:t>
      </w:r>
      <w:r>
        <w:rPr>
          <w:rFonts w:ascii="Times New Roman"/>
          <w:i/>
          <w:sz w:val="20"/>
        </w:rPr>
        <w:t>AT&amp;T, Ford, Nokia and Qualcomm Launch Cellular-V2X Connected Car Technology </w:t>
      </w:r>
      <w:r>
        <w:rPr>
          <w:rFonts w:ascii="Times New Roman"/>
          <w:i/>
          <w:sz w:val="20"/>
        </w:rPr>
        <w:t>Trials Planned for the San Diego Regional Proving Ground with Support From McCain </w:t>
      </w:r>
      <w:r>
        <w:rPr>
          <w:rFonts w:ascii="Times New Roman"/>
          <w:sz w:val="20"/>
        </w:rPr>
        <w:t>(Oct. 31, 2017), </w:t>
      </w:r>
      <w:hyperlink r:id="rId503">
        <w:r>
          <w:rPr>
            <w:rFonts w:ascii="Times New Roman"/>
            <w:color w:val="0000FF"/>
            <w:sz w:val="20"/>
            <w:u w:val="single" w:color="0000FF"/>
          </w:rPr>
          <w:t>https://-</w:t>
        </w:r>
      </w:hyperlink>
    </w:p>
    <w:p>
      <w:pPr>
        <w:spacing w:after="0"/>
        <w:jc w:val="left"/>
        <w:rPr>
          <w:rFonts w:ascii="Times New Roman"/>
          <w:sz w:val="20"/>
        </w:rPr>
        <w:sectPr>
          <w:headerReference w:type="default" r:id="rId499"/>
          <w:footerReference w:type="default" r:id="rId500"/>
          <w:pgSz w:w="12240" w:h="15840"/>
          <w:pgMar w:header="0" w:footer="1070" w:top="1360" w:bottom="1260" w:left="1320" w:right="1320"/>
          <w:pgNumType w:start="3"/>
        </w:sectPr>
      </w:pPr>
    </w:p>
    <w:p>
      <w:pPr>
        <w:pStyle w:val="BodyText"/>
        <w:spacing w:before="3"/>
        <w:rPr>
          <w:rFonts w:ascii="Times New Roman"/>
          <w:sz w:val="10"/>
        </w:rPr>
      </w:pPr>
    </w:p>
    <w:p>
      <w:pPr>
        <w:spacing w:line="276" w:lineRule="exact" w:before="93"/>
        <w:ind w:left="120" w:right="895" w:firstLine="0"/>
        <w:jc w:val="left"/>
        <w:rPr>
          <w:rFonts w:ascii="Times New Roman" w:hAnsi="Times New Roman"/>
          <w:sz w:val="16"/>
        </w:rPr>
      </w:pPr>
      <w:r>
        <w:rPr>
          <w:rFonts w:ascii="Times New Roman" w:hAnsi="Times New Roman"/>
          <w:b/>
          <w:sz w:val="24"/>
        </w:rPr>
        <w:t>Rohde &amp; Schwarz and Qualcomm (October 2017, Columbia, Maryland)</w:t>
      </w:r>
      <w:r>
        <w:rPr>
          <w:rFonts w:ascii="Times New Roman" w:hAnsi="Times New Roman"/>
          <w:sz w:val="24"/>
        </w:rPr>
        <w:t>: The R&amp;S CMW500 Wideband Radio Communication Tester Was Used to Successfully Test a Pre- Commercial Qualcomm® 9150 C-V2X Chipset.</w:t>
      </w:r>
      <w:hyperlink w:history="true" w:anchor="_bookmark175">
        <w:r>
          <w:rPr>
            <w:rFonts w:ascii="Times New Roman" w:hAnsi="Times New Roman"/>
            <w:position w:val="11"/>
            <w:sz w:val="16"/>
          </w:rPr>
          <w:t>86</w:t>
        </w:r>
      </w:hyperlink>
    </w:p>
    <w:p>
      <w:pPr>
        <w:pStyle w:val="BodyText"/>
        <w:spacing w:before="8"/>
        <w:rPr>
          <w:rFonts w:ascii="Times New Roman"/>
          <w:sz w:val="23"/>
        </w:rPr>
      </w:pPr>
    </w:p>
    <w:p>
      <w:pPr>
        <w:pStyle w:val="Heading5"/>
        <w:ind w:left="120" w:right="137"/>
      </w:pPr>
      <w:r>
        <w:rPr>
          <w:b/>
        </w:rPr>
        <w:t>Ericsson, Orange, Qualcomm, PSA Group (February, 2017, Towards 5G, France)</w:t>
      </w:r>
      <w:r>
        <w:rPr/>
        <w:t>: The initial phase of testing demonstrated Cellular V2X capabilities on the evolution towards 5G in a real environment over two use cases dedicated to connected vehicles: “see through” between two connected vehicles on a road, and “emergency vehicle approaching,” aimed at notifying drivers when an emergency vehicle is nearby in real-time. These two use cases have taken advantage of improved latency, and high throughput performance, using the network-based capabilities of Cellular V2X to deliver a high-resolution video stream between two vehicles, and demonstrating reactivity to show real time event notification.</w:t>
      </w:r>
    </w:p>
    <w:p>
      <w:pPr>
        <w:pStyle w:val="BodyText"/>
        <w:spacing w:before="11"/>
        <w:rPr>
          <w:rFonts w:ascii="Times New Roman"/>
          <w:sz w:val="23"/>
        </w:rPr>
      </w:pPr>
    </w:p>
    <w:p>
      <w:pPr>
        <w:spacing w:before="0"/>
        <w:ind w:left="120" w:right="141" w:firstLine="0"/>
        <w:jc w:val="left"/>
        <w:rPr>
          <w:rFonts w:ascii="Times New Roman"/>
          <w:sz w:val="24"/>
        </w:rPr>
      </w:pPr>
      <w:r>
        <w:rPr>
          <w:rFonts w:ascii="Times New Roman"/>
          <w:b/>
          <w:sz w:val="24"/>
        </w:rPr>
        <w:t>Vodafone, Bosch and Huawei (February, 2017, Mobilifunk (A9), Germany)</w:t>
      </w:r>
      <w:r>
        <w:rPr>
          <w:rFonts w:ascii="Times New Roman"/>
          <w:sz w:val="24"/>
        </w:rPr>
        <w:t>: Trial underway in the stretch of the A9 between Nuremberg and Munich in Germany. During the trial, the consortium demonstrated the viability of direct V2V communications and the ability to exhibit very low latency. In addition, the tests were intended to investigate how Cellular V2X differs from the IEEE 802.11p technology.</w:t>
      </w:r>
    </w:p>
    <w:p>
      <w:pPr>
        <w:pStyle w:val="BodyText"/>
        <w:spacing w:before="11"/>
        <w:rPr>
          <w:rFonts w:ascii="Times New Roman"/>
          <w:sz w:val="23"/>
        </w:rPr>
      </w:pPr>
    </w:p>
    <w:p>
      <w:pPr>
        <w:spacing w:before="0"/>
        <w:ind w:left="120" w:right="156" w:firstLine="0"/>
        <w:jc w:val="left"/>
        <w:rPr>
          <w:rFonts w:ascii="Times New Roman" w:hAnsi="Times New Roman"/>
          <w:sz w:val="24"/>
        </w:rPr>
      </w:pPr>
      <w:r>
        <w:rPr>
          <w:rFonts w:ascii="Times New Roman" w:hAnsi="Times New Roman"/>
          <w:b/>
          <w:sz w:val="24"/>
        </w:rPr>
        <w:t>Audi, Vodafone and Huawei (February 2017, Barcelona)</w:t>
      </w:r>
      <w:r>
        <w:rPr>
          <w:rFonts w:ascii="Times New Roman" w:hAnsi="Times New Roman"/>
          <w:sz w:val="24"/>
        </w:rPr>
        <w:t>: On the Circuit de Barcelona- Catalunya race track at the Mobile World Congress 2017, Audi, Huawei and Vodafone demonstrated the use of 4G cellular to enhance safety by enabling rapid exchange of information between vehicles (V2V), other road users and infrastructure (V2I). They demonstrated “see through” (connected cars can see a video feed from a vehicle in front of them in situations where it will help them to have visibility of other traffic, upcoming entry roads or other issues to negotiate); a traffic light warning (traffic light is about to change alerting the driver to slow down), pedestrian in the roadway warning; and emergency braking warning (other connected vehicles suddenly braking or changing lanes).</w:t>
      </w:r>
    </w:p>
    <w:p>
      <w:pPr>
        <w:pStyle w:val="BodyText"/>
        <w:spacing w:before="4"/>
        <w:rPr>
          <w:rFonts w:ascii="Times New Roman"/>
          <w:sz w:val="24"/>
        </w:rPr>
      </w:pPr>
    </w:p>
    <w:p>
      <w:pPr>
        <w:spacing w:line="240" w:lineRule="auto" w:before="0"/>
        <w:ind w:left="120" w:right="167" w:firstLine="0"/>
        <w:jc w:val="left"/>
        <w:rPr>
          <w:rFonts w:ascii="Times New Roman"/>
          <w:sz w:val="24"/>
        </w:rPr>
      </w:pPr>
      <w:r>
        <w:rPr>
          <w:rFonts w:ascii="Times New Roman"/>
          <w:b/>
          <w:sz w:val="24"/>
        </w:rPr>
        <w:t>Audi, Ericsson, Qualcomm, Swarco, Kaiserslautern Univ (January, 2017, ConVeX (A9), Germany)</w:t>
      </w:r>
      <w:r>
        <w:rPr>
          <w:rFonts w:ascii="Times New Roman"/>
          <w:sz w:val="24"/>
        </w:rPr>
        <w:t>: The goal of the trial was to demonstrate the benefits of a Cellular V2X connectivity platform, as defined by 3GPP Release 14, to showcase range, reliability and latency advantage for real-time V2V communications. Additionally, the trial aimed to highlight new use cases that help support traffic flow optimization and improve safety. The goals of ConVeX were to use the results of the trial to inform regulators, provide important inputs to ongoing global standardization work and shape a path for further development and future evolution of Cellular V2X technology.</w: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8"/>
        <w:rPr>
          <w:rFonts w:ascii="Times New Roman"/>
        </w:rPr>
      </w:pPr>
      <w:r>
        <w:rPr/>
        <w:pict>
          <v:line style="position:absolute;mso-position-horizontal-relative:page;mso-position-vertical-relative:paragraph;z-index:10744;mso-wrap-distance-left:0;mso-wrap-distance-right:0" from="72pt,14.167402pt" to="540pt,14.167402pt" stroked="true" strokeweight=".6pt" strokecolor="#000000">
            <v:stroke dashstyle="solid"/>
            <w10:wrap type="topAndBottom"/>
          </v:line>
        </w:pict>
      </w:r>
    </w:p>
    <w:p>
      <w:pPr>
        <w:pStyle w:val="BodyText"/>
        <w:spacing w:before="74"/>
        <w:ind w:left="120"/>
        <w:rPr>
          <w:rFonts w:ascii="Times New Roman"/>
        </w:rPr>
      </w:pPr>
      <w:hyperlink r:id="rId503">
        <w:r>
          <w:rPr>
            <w:rFonts w:ascii="Times New Roman"/>
            <w:color w:val="0000FF"/>
            <w:w w:val="95"/>
            <w:u w:val="single" w:color="0000FF"/>
          </w:rPr>
          <w:t>www.qualcomm.com/news/releases/2017/10/31/att-ford-nokia-and-qualcomm-launch-cellular-v2x-connected-car-</w:t>
        </w:r>
      </w:hyperlink>
      <w:r>
        <w:rPr>
          <w:rFonts w:ascii="Times New Roman"/>
          <w:color w:val="0000FF"/>
          <w:w w:val="95"/>
          <w:u w:val="single" w:color="0000FF"/>
        </w:rPr>
        <w:t> </w:t>
      </w:r>
      <w:hyperlink r:id="rId503">
        <w:r>
          <w:rPr>
            <w:rFonts w:ascii="Times New Roman"/>
            <w:color w:val="0000FF"/>
            <w:u w:val="single" w:color="0000FF"/>
          </w:rPr>
          <w:t>technology</w:t>
        </w:r>
        <w:r>
          <w:rPr>
            <w:rFonts w:ascii="Times New Roman"/>
          </w:rPr>
          <w:t>.</w:t>
        </w:r>
      </w:hyperlink>
    </w:p>
    <w:p>
      <w:pPr>
        <w:spacing w:before="95"/>
        <w:ind w:left="119" w:right="214" w:firstLine="0"/>
        <w:jc w:val="left"/>
        <w:rPr>
          <w:rFonts w:ascii="Times New Roman"/>
          <w:sz w:val="20"/>
        </w:rPr>
      </w:pPr>
      <w:bookmarkStart w:name="_bookmark175" w:id="265"/>
      <w:bookmarkEnd w:id="265"/>
      <w:r>
        <w:rPr/>
      </w:r>
      <w:r>
        <w:rPr>
          <w:rFonts w:ascii="Times New Roman"/>
          <w:position w:val="9"/>
          <w:sz w:val="13"/>
        </w:rPr>
        <w:t>86 </w:t>
      </w:r>
      <w:r>
        <w:rPr>
          <w:rFonts w:ascii="Times New Roman"/>
          <w:sz w:val="20"/>
        </w:rPr>
        <w:t>Press Release, </w:t>
      </w:r>
      <w:r>
        <w:rPr>
          <w:rFonts w:ascii="Times New Roman"/>
          <w:color w:val="303030"/>
          <w:sz w:val="20"/>
        </w:rPr>
        <w:t>Rohde &amp; Schwarz, </w:t>
      </w:r>
      <w:r>
        <w:rPr>
          <w:rFonts w:ascii="Times New Roman"/>
          <w:i/>
          <w:sz w:val="20"/>
        </w:rPr>
        <w:t>Rohde &amp; Schwarz Supports 3GPP Cellular V2X Device Testing for Vehicle-to- </w:t>
      </w:r>
      <w:r>
        <w:rPr>
          <w:rFonts w:ascii="Times New Roman"/>
          <w:i/>
          <w:sz w:val="20"/>
        </w:rPr>
        <w:t>Vehicle Connectivity</w:t>
      </w:r>
      <w:r>
        <w:rPr>
          <w:rFonts w:ascii="Times New Roman"/>
          <w:sz w:val="20"/>
        </w:rPr>
        <w:t>, ACCESSWIRE (Oct. 19, 2017), </w:t>
      </w:r>
      <w:hyperlink r:id="rId506">
        <w:r>
          <w:rPr>
            <w:rFonts w:ascii="Times New Roman"/>
            <w:color w:val="0000FF"/>
            <w:sz w:val="20"/>
            <w:u w:val="single" w:color="0000FF"/>
          </w:rPr>
          <w:t>https://www.accesswire.com/478295/Rohde--Schwarz-</w:t>
        </w:r>
      </w:hyperlink>
      <w:r>
        <w:rPr>
          <w:rFonts w:ascii="Times New Roman"/>
          <w:color w:val="0000FF"/>
          <w:sz w:val="20"/>
          <w:u w:val="single" w:color="0000FF"/>
        </w:rPr>
        <w:t> </w:t>
      </w:r>
      <w:hyperlink r:id="rId506">
        <w:r>
          <w:rPr>
            <w:rFonts w:ascii="Times New Roman"/>
            <w:color w:val="0000FF"/>
            <w:sz w:val="20"/>
            <w:u w:val="single" w:color="0000FF"/>
          </w:rPr>
          <w:t>Supports-3GPP-Cellular-V2X-Device-Testing-for-Vehicle-to-Vehicle-Connectivity</w:t>
        </w:r>
        <w:r>
          <w:rPr>
            <w:rFonts w:ascii="Times New Roman"/>
            <w:sz w:val="20"/>
          </w:rPr>
          <w:t>.</w:t>
        </w:r>
      </w:hyperlink>
    </w:p>
    <w:p>
      <w:pPr>
        <w:spacing w:after="0"/>
        <w:jc w:val="left"/>
        <w:rPr>
          <w:rFonts w:ascii="Times New Roman"/>
          <w:sz w:val="20"/>
        </w:rPr>
        <w:sectPr>
          <w:headerReference w:type="default" r:id="rId504"/>
          <w:footerReference w:type="default" r:id="rId505"/>
          <w:pgSz w:w="12240" w:h="15840"/>
          <w:pgMar w:header="0" w:footer="1070" w:top="1500" w:bottom="1260" w:left="1320" w:right="1320"/>
          <w:pgNumType w:start="4"/>
        </w:sectPr>
      </w:pPr>
    </w:p>
    <w:p>
      <w:pPr>
        <w:spacing w:before="72"/>
        <w:ind w:left="120" w:right="95" w:firstLine="0"/>
        <w:jc w:val="left"/>
        <w:rPr>
          <w:rFonts w:ascii="Times New Roman"/>
          <w:sz w:val="24"/>
        </w:rPr>
      </w:pPr>
      <w:r>
        <w:rPr>
          <w:rFonts w:ascii="Times New Roman"/>
          <w:b/>
          <w:sz w:val="24"/>
        </w:rPr>
        <w:t>CMCC, Continental, Nokia, Fraunhofer (November 2016, Car2X in Wuzhen, China)</w:t>
      </w:r>
      <w:r>
        <w:rPr>
          <w:rFonts w:ascii="Times New Roman"/>
          <w:sz w:val="24"/>
        </w:rPr>
        <w:t>: At the 2016 World Internet Conference in Wuzhen, China, the partners demonstrated Cellular V2V applications such as Emergency Brake Light that lets you know when traffic in front of you slows down and Cooperative Passing Assistant, that determines whether it is safe to change lanes, advising oncoming traffic to slow down and warning vehicles in front not to change lanes.</w:t>
      </w:r>
    </w:p>
    <w:p>
      <w:pPr>
        <w:pStyle w:val="BodyText"/>
        <w:rPr>
          <w:rFonts w:ascii="Times New Roman"/>
          <w:sz w:val="24"/>
        </w:rPr>
      </w:pPr>
    </w:p>
    <w:p>
      <w:pPr>
        <w:spacing w:before="0"/>
        <w:ind w:left="120" w:right="116" w:firstLine="0"/>
        <w:jc w:val="left"/>
        <w:rPr>
          <w:rFonts w:ascii="Times New Roman" w:hAnsi="Times New Roman"/>
          <w:sz w:val="24"/>
        </w:rPr>
      </w:pPr>
      <w:r>
        <w:rPr>
          <w:rFonts w:ascii="Times New Roman" w:hAnsi="Times New Roman"/>
          <w:b/>
          <w:sz w:val="24"/>
        </w:rPr>
        <w:t>Audi, Deutsche Telekom, Huawei, Toyota (July, 2016, DT (A9), Germany)</w:t>
      </w:r>
      <w:r>
        <w:rPr>
          <w:rFonts w:ascii="Times New Roman" w:hAnsi="Times New Roman"/>
          <w:sz w:val="24"/>
        </w:rPr>
        <w:t>: The companies conducted trials of Cellular V2V technology on a section of the “digital A9 motorway test bed” near Ingolstadt, Germany. Audi AG and Toyota Motor Europe research cars, and Deutsche Telekom infrastructure were specially equipped with V2V hardware from Huawei to support the trial scenarios.</w:t>
      </w:r>
    </w:p>
    <w:p>
      <w:pPr>
        <w:pStyle w:val="BodyText"/>
        <w:spacing w:before="11"/>
        <w:rPr>
          <w:rFonts w:ascii="Times New Roman"/>
          <w:sz w:val="23"/>
        </w:rPr>
      </w:pPr>
    </w:p>
    <w:p>
      <w:pPr>
        <w:spacing w:before="0"/>
        <w:ind w:left="119" w:right="116" w:firstLine="0"/>
        <w:jc w:val="left"/>
        <w:rPr>
          <w:rFonts w:ascii="Times New Roman"/>
          <w:sz w:val="24"/>
        </w:rPr>
      </w:pPr>
      <w:r>
        <w:rPr>
          <w:rFonts w:ascii="Times New Roman"/>
          <w:b/>
          <w:sz w:val="24"/>
        </w:rPr>
        <w:t>Jaguar Land Rover, Vodafone et al (June, 2016, UK)</w:t>
      </w:r>
      <w:r>
        <w:rPr>
          <w:rFonts w:ascii="Times New Roman"/>
          <w:sz w:val="24"/>
        </w:rPr>
        <w:t>: Connected Intelligent Transport Environment (UKCITE) is a project to create the most advanced environment for testing connected and autonomous vehicles. It involved equipping over 40 miles of urban roads, dual- carriageways and motorways with various V2V technologies including Cellular V2X. The project established how this technology can improve journeys; reduce traffic congestion; and provide entertainment and safety services through better connectivity.</w:t>
      </w:r>
    </w:p>
    <w:p>
      <w:pPr>
        <w:pStyle w:val="BodyText"/>
        <w:spacing w:before="11"/>
        <w:rPr>
          <w:rFonts w:ascii="Times New Roman"/>
          <w:sz w:val="23"/>
        </w:rPr>
      </w:pPr>
    </w:p>
    <w:p>
      <w:pPr>
        <w:spacing w:before="0"/>
        <w:ind w:left="120" w:right="214" w:firstLine="0"/>
        <w:jc w:val="left"/>
        <w:rPr>
          <w:rFonts w:ascii="Times New Roman"/>
          <w:sz w:val="24"/>
        </w:rPr>
      </w:pPr>
      <w:r>
        <w:rPr>
          <w:rFonts w:ascii="Times New Roman"/>
          <w:b/>
          <w:sz w:val="24"/>
        </w:rPr>
        <w:t>Bosch, DT/T-Systems, Nokia (June 2016, MEC pilot project, Germany)</w:t>
      </w:r>
      <w:r>
        <w:rPr>
          <w:rFonts w:ascii="Times New Roman"/>
          <w:sz w:val="24"/>
        </w:rPr>
        <w:t>: The development partnership demonstrated the application of Cellular V2X utilizing local clouds for fast vehicle- to-vehicle communication for hazard warnings and for cooperative and coordinated driving maneuvers. The work included implementing driver assistance functions such as intersection assistance and electronic brake lights.</w:t>
      </w:r>
    </w:p>
    <w:p>
      <w:pPr>
        <w:pStyle w:val="BodyText"/>
        <w:spacing w:before="11"/>
        <w:rPr>
          <w:rFonts w:ascii="Times New Roman"/>
          <w:sz w:val="23"/>
        </w:rPr>
      </w:pPr>
    </w:p>
    <w:p>
      <w:pPr>
        <w:spacing w:before="0"/>
        <w:ind w:left="120" w:right="89" w:firstLine="0"/>
        <w:jc w:val="left"/>
        <w:rPr>
          <w:rFonts w:ascii="Times New Roman"/>
          <w:sz w:val="24"/>
        </w:rPr>
      </w:pPr>
      <w:r>
        <w:rPr>
          <w:rFonts w:ascii="Times New Roman"/>
          <w:b/>
          <w:sz w:val="24"/>
        </w:rPr>
        <w:t>Continental, DT/T-Systems, Nokia, Fraunhofer (November 2015, Car2X at A9, Germany)</w:t>
      </w:r>
      <w:r>
        <w:rPr>
          <w:rFonts w:ascii="Times New Roman"/>
          <w:sz w:val="24"/>
        </w:rPr>
        <w:t>: The trial demonstrated how vehicles on the motorway can share hazard information using the LTE network of Deutsche Telekom. As extremely short transmission times are vital for this purpose, a section of the Deutsche Telekom network was equipped with innovative Mobile Edge Computing technology from Nokia Networks, and upgraded with position-locating technology developed by Fraunhofer ESK. This combination permitted signal transport times between two vehicles of less than 20 milliseconds.</w:t>
      </w:r>
    </w:p>
    <w:p>
      <w:pPr>
        <w:spacing w:after="0"/>
        <w:jc w:val="left"/>
        <w:rPr>
          <w:rFonts w:ascii="Times New Roman"/>
          <w:sz w:val="24"/>
        </w:rPr>
        <w:sectPr>
          <w:headerReference w:type="default" r:id="rId507"/>
          <w:footerReference w:type="default" r:id="rId508"/>
          <w:pgSz w:w="12240" w:h="15840"/>
          <w:pgMar w:header="0" w:footer="1070" w:top="1360" w:bottom="1260" w:left="1320" w:right="1400"/>
          <w:pgNumType w:start="5"/>
        </w:sectPr>
      </w:pPr>
    </w:p>
    <w:p>
      <w:pPr>
        <w:spacing w:before="76"/>
        <w:ind w:left="448" w:right="0" w:firstLine="0"/>
        <w:jc w:val="left"/>
        <w:rPr>
          <w:rFonts w:ascii="Times New Roman"/>
          <w:b/>
          <w:sz w:val="24"/>
        </w:rPr>
      </w:pPr>
      <w:bookmarkStart w:name="Appendix D -  Proposed Conditions Applic" w:id="266"/>
      <w:bookmarkEnd w:id="266"/>
      <w:r>
        <w:rPr/>
      </w:r>
      <w:r>
        <w:rPr>
          <w:rFonts w:ascii="Times New Roman"/>
          <w:b/>
          <w:sz w:val="24"/>
        </w:rPr>
        <w:t>Appendix D -</w:t>
      </w:r>
    </w:p>
    <w:p>
      <w:pPr>
        <w:spacing w:before="76"/>
        <w:ind w:left="84" w:right="0" w:firstLine="0"/>
        <w:jc w:val="left"/>
        <w:rPr>
          <w:rFonts w:ascii="Times New Roman"/>
          <w:b/>
          <w:sz w:val="24"/>
        </w:rPr>
      </w:pPr>
      <w:r>
        <w:rPr/>
        <w:br w:type="column"/>
      </w:r>
      <w:bookmarkStart w:name="_bookmark176" w:id="267"/>
      <w:bookmarkEnd w:id="267"/>
      <w:r>
        <w:rPr/>
      </w:r>
      <w:r>
        <w:rPr>
          <w:rFonts w:ascii="Times New Roman"/>
          <w:b/>
          <w:sz w:val="24"/>
        </w:rPr>
        <w:t>Proposed Conditions Applicable to C-V2X Operations Pursuant to the</w:t>
      </w:r>
    </w:p>
    <w:p>
      <w:pPr>
        <w:spacing w:before="0"/>
        <w:ind w:left="2292" w:right="0" w:firstLine="0"/>
        <w:jc w:val="left"/>
        <w:rPr>
          <w:rFonts w:ascii="Times New Roman"/>
          <w:b/>
          <w:sz w:val="24"/>
        </w:rPr>
      </w:pPr>
      <w:r>
        <w:rPr>
          <w:rFonts w:ascii="Times New Roman"/>
          <w:b/>
          <w:sz w:val="24"/>
        </w:rPr>
        <w:t>Waiver Request</w:t>
      </w:r>
    </w:p>
    <w:p>
      <w:pPr>
        <w:spacing w:after="0"/>
        <w:jc w:val="left"/>
        <w:rPr>
          <w:rFonts w:ascii="Times New Roman"/>
          <w:sz w:val="24"/>
        </w:rPr>
        <w:sectPr>
          <w:headerReference w:type="default" r:id="rId509"/>
          <w:footerReference w:type="default" r:id="rId510"/>
          <w:pgSz w:w="12240" w:h="15840"/>
          <w:pgMar w:header="0" w:footer="1070" w:top="1360" w:bottom="1260" w:left="1320" w:right="1340"/>
          <w:pgNumType w:start="1"/>
          <w:cols w:num="2" w:equalWidth="0">
            <w:col w:w="1825" w:space="40"/>
            <w:col w:w="7715"/>
          </w:cols>
        </w:sectPr>
      </w:pPr>
    </w:p>
    <w:p>
      <w:pPr>
        <w:pStyle w:val="BodyText"/>
        <w:rPr>
          <w:rFonts w:ascii="Times New Roman"/>
          <w:b/>
        </w:rPr>
      </w:pPr>
    </w:p>
    <w:p>
      <w:pPr>
        <w:pStyle w:val="BodyText"/>
        <w:spacing w:before="9"/>
        <w:rPr>
          <w:rFonts w:ascii="Times New Roman"/>
          <w:b/>
          <w:sz w:val="19"/>
        </w:rPr>
      </w:pPr>
    </w:p>
    <w:p>
      <w:pPr>
        <w:spacing w:before="90"/>
        <w:ind w:left="839" w:right="0" w:firstLine="0"/>
        <w:jc w:val="left"/>
        <w:rPr>
          <w:rFonts w:ascii="Times New Roman"/>
          <w:sz w:val="24"/>
        </w:rPr>
      </w:pPr>
      <w:r>
        <w:rPr>
          <w:rFonts w:ascii="Times New Roman"/>
          <w:sz w:val="24"/>
        </w:rPr>
        <w:t>The following conditions are proposed for all operations under the requested waiver.</w:t>
      </w:r>
    </w:p>
    <w:p>
      <w:pPr>
        <w:pStyle w:val="BodyText"/>
        <w:spacing w:before="11"/>
        <w:rPr>
          <w:rFonts w:ascii="Times New Roman"/>
          <w:sz w:val="23"/>
        </w:rPr>
      </w:pPr>
    </w:p>
    <w:p>
      <w:pPr>
        <w:spacing w:line="480" w:lineRule="auto" w:before="0"/>
        <w:ind w:left="119" w:right="209" w:firstLine="0"/>
        <w:jc w:val="left"/>
        <w:rPr>
          <w:rFonts w:ascii="Times New Roman"/>
          <w:sz w:val="24"/>
        </w:rPr>
      </w:pPr>
      <w:r>
        <w:rPr>
          <w:rFonts w:ascii="Times New Roman"/>
          <w:sz w:val="24"/>
        </w:rPr>
        <w:t>These conditions are largely consistent with the technical rules for DSRC, to ensure that C-V2X will not have any larger potential for interference than DSRC operations currently permitted under the FCC Rules.</w:t>
      </w:r>
    </w:p>
    <w:p>
      <w:pPr>
        <w:spacing w:before="15"/>
        <w:ind w:left="120" w:right="0" w:firstLine="0"/>
        <w:jc w:val="left"/>
        <w:rPr>
          <w:rFonts w:ascii="Times New Roman"/>
          <w:b/>
          <w:sz w:val="24"/>
        </w:rPr>
      </w:pPr>
      <w:r>
        <w:rPr>
          <w:rFonts w:ascii="Times New Roman"/>
          <w:b/>
          <w:sz w:val="24"/>
          <w:u w:val="thick"/>
        </w:rPr>
        <w:t>Conditions Applicable to All C-V2X Equipment:</w:t>
      </w:r>
    </w:p>
    <w:p>
      <w:pPr>
        <w:pStyle w:val="BodyText"/>
        <w:spacing w:before="7"/>
        <w:rPr>
          <w:rFonts w:ascii="Times New Roman"/>
          <w:b/>
          <w:sz w:val="25"/>
        </w:rPr>
      </w:pPr>
    </w:p>
    <w:p>
      <w:pPr>
        <w:pStyle w:val="ListParagraph"/>
        <w:numPr>
          <w:ilvl w:val="1"/>
          <w:numId w:val="62"/>
        </w:numPr>
        <w:tabs>
          <w:tab w:pos="839" w:val="left" w:leader="none"/>
          <w:tab w:pos="840" w:val="left" w:leader="none"/>
        </w:tabs>
        <w:spacing w:line="274" w:lineRule="exact" w:before="1" w:after="0"/>
        <w:ind w:left="840" w:right="142" w:hanging="360"/>
        <w:jc w:val="left"/>
        <w:rPr>
          <w:rFonts w:ascii="Times New Roman"/>
          <w:sz w:val="24"/>
        </w:rPr>
      </w:pPr>
      <w:r>
        <w:rPr>
          <w:rFonts w:ascii="Times New Roman"/>
          <w:sz w:val="24"/>
        </w:rPr>
        <w:t>C-V2X operations will be limited to the 5905-5925 MHz band. DSRC operations will be prohibited from operating in these</w:t>
      </w:r>
      <w:r>
        <w:rPr>
          <w:rFonts w:ascii="Times New Roman"/>
          <w:spacing w:val="-13"/>
          <w:sz w:val="24"/>
        </w:rPr>
        <w:t> </w:t>
      </w:r>
      <w:r>
        <w:rPr>
          <w:rFonts w:ascii="Times New Roman"/>
          <w:sz w:val="24"/>
        </w:rPr>
        <w:t>frequencies.</w:t>
      </w:r>
    </w:p>
    <w:p>
      <w:pPr>
        <w:pStyle w:val="ListParagraph"/>
        <w:numPr>
          <w:ilvl w:val="1"/>
          <w:numId w:val="62"/>
        </w:numPr>
        <w:tabs>
          <w:tab w:pos="839" w:val="left" w:leader="none"/>
          <w:tab w:pos="840" w:val="left" w:leader="none"/>
        </w:tabs>
        <w:spacing w:line="240" w:lineRule="auto" w:before="0" w:after="0"/>
        <w:ind w:left="840" w:right="459" w:hanging="360"/>
        <w:jc w:val="left"/>
        <w:rPr>
          <w:rFonts w:ascii="Times New Roman" w:hAnsi="Times New Roman"/>
          <w:sz w:val="24"/>
        </w:rPr>
      </w:pPr>
      <w:r>
        <w:rPr>
          <w:rFonts w:ascii="Times New Roman" w:hAnsi="Times New Roman"/>
          <w:sz w:val="24"/>
        </w:rPr>
        <w:t>The transmit power limits for all C-V2X devices permitted under the waiver (i.e., Vehicular, Portable, and Roadside units) will be 20 dBm antenna input power as specified in § 8.10.1 of ASTM E2213 - 03. The EIRP for an OBU (vehicular and portable) will be limited to 23 dBm.  The EIRP for an RSU will be limited to 33</w:t>
      </w:r>
      <w:r>
        <w:rPr>
          <w:rFonts w:ascii="Times New Roman" w:hAnsi="Times New Roman"/>
          <w:spacing w:val="-23"/>
          <w:sz w:val="24"/>
        </w:rPr>
        <w:t> </w:t>
      </w:r>
      <w:r>
        <w:rPr>
          <w:rFonts w:ascii="Times New Roman" w:hAnsi="Times New Roman"/>
          <w:sz w:val="24"/>
        </w:rPr>
        <w:t>dBm.</w:t>
      </w:r>
    </w:p>
    <w:p>
      <w:pPr>
        <w:pStyle w:val="ListParagraph"/>
        <w:numPr>
          <w:ilvl w:val="1"/>
          <w:numId w:val="62"/>
        </w:numPr>
        <w:tabs>
          <w:tab w:pos="839" w:val="left" w:leader="none"/>
          <w:tab w:pos="840" w:val="left" w:leader="none"/>
        </w:tabs>
        <w:spacing w:line="240" w:lineRule="auto" w:before="2" w:after="0"/>
        <w:ind w:left="840" w:right="104" w:hanging="360"/>
        <w:jc w:val="left"/>
        <w:rPr>
          <w:rFonts w:ascii="Times New Roman"/>
          <w:sz w:val="24"/>
        </w:rPr>
      </w:pPr>
      <w:r>
        <w:rPr>
          <w:rFonts w:ascii="Times New Roman"/>
          <w:sz w:val="24"/>
        </w:rPr>
        <w:t>All C-V2X devices must attenuate out-of-band emissions consistent with the limits shown below, which may be measured at the antenna input. These are consistent with the existing FCC rules, but allow for the variable transmit power nature of C-V2X, and the planned 20 MHz</w:t>
      </w:r>
      <w:r>
        <w:rPr>
          <w:rFonts w:ascii="Times New Roman"/>
          <w:spacing w:val="-3"/>
          <w:sz w:val="24"/>
        </w:rPr>
        <w:t> </w:t>
      </w:r>
      <w:r>
        <w:rPr>
          <w:rFonts w:ascii="Times New Roman"/>
          <w:sz w:val="24"/>
        </w:rPr>
        <w:t>bandwidth.</w:t>
      </w:r>
    </w:p>
    <w:p>
      <w:pPr>
        <w:pStyle w:val="BodyText"/>
        <w:spacing w:before="7"/>
        <w:rPr>
          <w:rFonts w:ascii="Times New Roman"/>
          <w:sz w:val="24"/>
        </w:rPr>
      </w:pPr>
    </w:p>
    <w:tbl>
      <w:tblPr>
        <w:tblW w:w="0" w:type="auto"/>
        <w:jc w:val="left"/>
        <w:tblInd w:w="1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49"/>
        <w:gridCol w:w="3062"/>
      </w:tblGrid>
      <w:tr>
        <w:trPr>
          <w:trHeight w:val="286" w:hRule="exact"/>
        </w:trPr>
        <w:tc>
          <w:tcPr>
            <w:tcW w:w="3149" w:type="dxa"/>
          </w:tcPr>
          <w:p>
            <w:pPr>
              <w:pStyle w:val="TableParagraph"/>
              <w:spacing w:line="268" w:lineRule="exact"/>
              <w:ind w:left="424" w:right="428"/>
              <w:jc w:val="center"/>
              <w:rPr>
                <w:rFonts w:ascii="Times New Roman"/>
                <w:sz w:val="24"/>
              </w:rPr>
            </w:pPr>
            <w:r>
              <w:rPr>
                <w:rFonts w:ascii="Times New Roman"/>
                <w:sz w:val="24"/>
              </w:rPr>
              <w:t>Offset from Band Edge</w:t>
            </w:r>
          </w:p>
        </w:tc>
        <w:tc>
          <w:tcPr>
            <w:tcW w:w="3062" w:type="dxa"/>
          </w:tcPr>
          <w:p>
            <w:pPr>
              <w:pStyle w:val="TableParagraph"/>
              <w:spacing w:line="268" w:lineRule="exact"/>
              <w:ind w:left="119" w:right="119"/>
              <w:jc w:val="center"/>
              <w:rPr>
                <w:rFonts w:ascii="Times New Roman"/>
                <w:sz w:val="24"/>
              </w:rPr>
            </w:pPr>
            <w:r>
              <w:rPr>
                <w:rFonts w:ascii="Times New Roman"/>
                <w:sz w:val="24"/>
              </w:rPr>
              <w:t>Out-of-Band Emission Limit</w:t>
            </w:r>
          </w:p>
        </w:tc>
      </w:tr>
      <w:tr>
        <w:trPr>
          <w:trHeight w:val="288" w:hRule="exact"/>
        </w:trPr>
        <w:tc>
          <w:tcPr>
            <w:tcW w:w="3149" w:type="dxa"/>
          </w:tcPr>
          <w:p>
            <w:pPr>
              <w:pStyle w:val="TableParagraph"/>
              <w:spacing w:line="270" w:lineRule="exact"/>
              <w:ind w:left="424" w:right="426"/>
              <w:jc w:val="center"/>
              <w:rPr>
                <w:rFonts w:ascii="Times New Roman" w:hAnsi="Times New Roman"/>
                <w:sz w:val="24"/>
              </w:rPr>
            </w:pPr>
            <w:r>
              <w:rPr>
                <w:rFonts w:ascii="Times New Roman" w:hAnsi="Times New Roman"/>
                <w:sz w:val="24"/>
              </w:rPr>
              <w:t>± 0 MHz</w:t>
            </w:r>
          </w:p>
        </w:tc>
        <w:tc>
          <w:tcPr>
            <w:tcW w:w="3062" w:type="dxa"/>
          </w:tcPr>
          <w:p>
            <w:pPr>
              <w:pStyle w:val="TableParagraph"/>
              <w:spacing w:line="270" w:lineRule="exact"/>
              <w:ind w:left="118" w:right="119"/>
              <w:jc w:val="center"/>
              <w:rPr>
                <w:rFonts w:ascii="Times New Roman"/>
                <w:sz w:val="24"/>
              </w:rPr>
            </w:pPr>
            <w:r>
              <w:rPr>
                <w:rFonts w:ascii="Times New Roman"/>
                <w:sz w:val="24"/>
              </w:rPr>
              <w:t>-29 dBm/100 kHz</w:t>
            </w:r>
          </w:p>
        </w:tc>
      </w:tr>
      <w:tr>
        <w:trPr>
          <w:trHeight w:val="286" w:hRule="exact"/>
        </w:trPr>
        <w:tc>
          <w:tcPr>
            <w:tcW w:w="3149" w:type="dxa"/>
          </w:tcPr>
          <w:p>
            <w:pPr>
              <w:pStyle w:val="TableParagraph"/>
              <w:spacing w:line="268" w:lineRule="exact"/>
              <w:ind w:left="424" w:right="425"/>
              <w:jc w:val="center"/>
              <w:rPr>
                <w:rFonts w:ascii="Times New Roman" w:hAnsi="Times New Roman"/>
                <w:sz w:val="24"/>
              </w:rPr>
            </w:pPr>
            <w:r>
              <w:rPr>
                <w:rFonts w:ascii="Times New Roman" w:hAnsi="Times New Roman"/>
                <w:sz w:val="24"/>
              </w:rPr>
              <w:t>± 1.0 MHz</w:t>
            </w:r>
          </w:p>
        </w:tc>
        <w:tc>
          <w:tcPr>
            <w:tcW w:w="3062" w:type="dxa"/>
          </w:tcPr>
          <w:p>
            <w:pPr>
              <w:pStyle w:val="TableParagraph"/>
              <w:spacing w:line="268" w:lineRule="exact"/>
              <w:ind w:left="118" w:right="119"/>
              <w:jc w:val="center"/>
              <w:rPr>
                <w:rFonts w:ascii="Times New Roman"/>
                <w:sz w:val="24"/>
              </w:rPr>
            </w:pPr>
            <w:r>
              <w:rPr>
                <w:rFonts w:ascii="Times New Roman"/>
                <w:sz w:val="24"/>
              </w:rPr>
              <w:t>-35 dBm/100 kHz</w:t>
            </w:r>
          </w:p>
        </w:tc>
      </w:tr>
      <w:tr>
        <w:trPr>
          <w:trHeight w:val="286" w:hRule="exact"/>
        </w:trPr>
        <w:tc>
          <w:tcPr>
            <w:tcW w:w="3149" w:type="dxa"/>
          </w:tcPr>
          <w:p>
            <w:pPr>
              <w:pStyle w:val="TableParagraph"/>
              <w:spacing w:line="268" w:lineRule="exact"/>
              <w:ind w:left="424" w:right="425"/>
              <w:jc w:val="center"/>
              <w:rPr>
                <w:rFonts w:ascii="Times New Roman" w:hAnsi="Times New Roman"/>
                <w:sz w:val="24"/>
              </w:rPr>
            </w:pPr>
            <w:r>
              <w:rPr>
                <w:rFonts w:ascii="Times New Roman" w:hAnsi="Times New Roman"/>
                <w:sz w:val="24"/>
              </w:rPr>
              <w:t>±10 MHz</w:t>
            </w:r>
          </w:p>
        </w:tc>
        <w:tc>
          <w:tcPr>
            <w:tcW w:w="3062" w:type="dxa"/>
          </w:tcPr>
          <w:p>
            <w:pPr>
              <w:pStyle w:val="TableParagraph"/>
              <w:spacing w:line="268" w:lineRule="exact"/>
              <w:ind w:left="118" w:right="119"/>
              <w:jc w:val="center"/>
              <w:rPr>
                <w:rFonts w:ascii="Times New Roman"/>
                <w:sz w:val="24"/>
              </w:rPr>
            </w:pPr>
            <w:r>
              <w:rPr>
                <w:rFonts w:ascii="Times New Roman"/>
                <w:sz w:val="24"/>
              </w:rPr>
              <w:t>-43 dBm/100 kHz</w:t>
            </w:r>
          </w:p>
        </w:tc>
      </w:tr>
      <w:tr>
        <w:trPr>
          <w:trHeight w:val="286" w:hRule="exact"/>
        </w:trPr>
        <w:tc>
          <w:tcPr>
            <w:tcW w:w="3149" w:type="dxa"/>
          </w:tcPr>
          <w:p>
            <w:pPr>
              <w:pStyle w:val="TableParagraph"/>
              <w:spacing w:line="268" w:lineRule="exact"/>
              <w:ind w:left="424" w:right="425"/>
              <w:jc w:val="center"/>
              <w:rPr>
                <w:rFonts w:ascii="Times New Roman" w:hAnsi="Times New Roman"/>
                <w:sz w:val="24"/>
              </w:rPr>
            </w:pPr>
            <w:r>
              <w:rPr>
                <w:rFonts w:ascii="Times New Roman" w:hAnsi="Times New Roman"/>
                <w:sz w:val="24"/>
              </w:rPr>
              <w:t>±20 MHz</w:t>
            </w:r>
          </w:p>
        </w:tc>
        <w:tc>
          <w:tcPr>
            <w:tcW w:w="3062" w:type="dxa"/>
          </w:tcPr>
          <w:p>
            <w:pPr>
              <w:pStyle w:val="TableParagraph"/>
              <w:spacing w:line="268" w:lineRule="exact"/>
              <w:ind w:left="118" w:right="119"/>
              <w:jc w:val="center"/>
              <w:rPr>
                <w:rFonts w:ascii="Times New Roman"/>
                <w:sz w:val="24"/>
              </w:rPr>
            </w:pPr>
            <w:r>
              <w:rPr>
                <w:rFonts w:ascii="Times New Roman"/>
                <w:sz w:val="24"/>
              </w:rPr>
              <w:t>-53 dBm/100 kHz</w:t>
            </w:r>
          </w:p>
        </w:tc>
      </w:tr>
    </w:tbl>
    <w:p>
      <w:pPr>
        <w:pStyle w:val="BodyText"/>
        <w:spacing w:before="5"/>
        <w:rPr>
          <w:rFonts w:ascii="Times New Roman"/>
          <w:sz w:val="23"/>
        </w:rPr>
      </w:pPr>
    </w:p>
    <w:p>
      <w:pPr>
        <w:pStyle w:val="ListParagraph"/>
        <w:numPr>
          <w:ilvl w:val="1"/>
          <w:numId w:val="62"/>
        </w:numPr>
        <w:tabs>
          <w:tab w:pos="839" w:val="left" w:leader="none"/>
          <w:tab w:pos="840" w:val="left" w:leader="none"/>
        </w:tabs>
        <w:spacing w:line="240" w:lineRule="auto" w:before="0" w:after="0"/>
        <w:ind w:left="840" w:right="191" w:hanging="360"/>
        <w:jc w:val="left"/>
        <w:rPr>
          <w:rFonts w:ascii="Times New Roman" w:hAnsi="Times New Roman"/>
          <w:sz w:val="24"/>
        </w:rPr>
      </w:pPr>
      <w:r>
        <w:rPr>
          <w:rFonts w:ascii="Times New Roman" w:hAnsi="Times New Roman"/>
          <w:sz w:val="24"/>
        </w:rPr>
        <w:t>All C-V2X OBUs and RSUs also will limit emissions to -25 dBm/100 kHz EIRP or less outside the channel edges of 5905 MHz and 5925 MHz and below the band edge of 5855 MHz. The -25 dBm/100 kHz EIRP limit comes from § 8.10.2.2 of ASTM E2213 – 03.</w:t>
      </w:r>
    </w:p>
    <w:p>
      <w:pPr>
        <w:pStyle w:val="ListParagraph"/>
        <w:numPr>
          <w:ilvl w:val="1"/>
          <w:numId w:val="62"/>
        </w:numPr>
        <w:tabs>
          <w:tab w:pos="839" w:val="left" w:leader="none"/>
          <w:tab w:pos="840" w:val="left" w:leader="none"/>
        </w:tabs>
        <w:spacing w:line="240" w:lineRule="auto" w:before="1" w:after="0"/>
        <w:ind w:left="840" w:right="195" w:hanging="360"/>
        <w:jc w:val="left"/>
        <w:rPr>
          <w:rFonts w:ascii="Times New Roman" w:hAnsi="Times New Roman"/>
          <w:sz w:val="24"/>
        </w:rPr>
      </w:pPr>
      <w:r>
        <w:rPr>
          <w:rFonts w:ascii="Times New Roman" w:hAnsi="Times New Roman"/>
          <w:sz w:val="24"/>
        </w:rPr>
        <w:t>C-V2X devices will be evaluated for RF Exposure consistent with the current FCC</w:t>
      </w:r>
      <w:r>
        <w:rPr>
          <w:rFonts w:ascii="Times New Roman" w:hAnsi="Times New Roman"/>
          <w:spacing w:val="-20"/>
          <w:sz w:val="24"/>
        </w:rPr>
        <w:t> </w:t>
      </w:r>
      <w:r>
        <w:rPr>
          <w:rFonts w:ascii="Times New Roman" w:hAnsi="Times New Roman"/>
          <w:sz w:val="24"/>
        </w:rPr>
        <w:t>rules. Devices that would operate in mobile or portable configurations will be evaluated consistent with the procedures in § 2.1091 and § 2.1093 of the FCC Rules respectively. RSUs will be required to indicate compliance with the Maximum Permissible Exposure (MPE) limits in § 1.1310 of the FCC</w:t>
      </w:r>
      <w:r>
        <w:rPr>
          <w:rFonts w:ascii="Times New Roman" w:hAnsi="Times New Roman"/>
          <w:spacing w:val="-12"/>
          <w:sz w:val="24"/>
        </w:rPr>
        <w:t> </w:t>
      </w:r>
      <w:r>
        <w:rPr>
          <w:rFonts w:ascii="Times New Roman" w:hAnsi="Times New Roman"/>
          <w:sz w:val="24"/>
        </w:rPr>
        <w:t>Rules.</w:t>
      </w:r>
    </w:p>
    <w:p>
      <w:pPr>
        <w:pStyle w:val="ListParagraph"/>
        <w:numPr>
          <w:ilvl w:val="1"/>
          <w:numId w:val="62"/>
        </w:numPr>
        <w:tabs>
          <w:tab w:pos="839" w:val="left" w:leader="none"/>
          <w:tab w:pos="840" w:val="left" w:leader="none"/>
        </w:tabs>
        <w:spacing w:line="240" w:lineRule="auto" w:before="0" w:after="0"/>
        <w:ind w:left="840" w:right="538" w:hanging="360"/>
        <w:jc w:val="left"/>
        <w:rPr>
          <w:rFonts w:ascii="Times New Roman" w:hAnsi="Times New Roman"/>
          <w:sz w:val="24"/>
        </w:rPr>
      </w:pPr>
      <w:r>
        <w:rPr>
          <w:rFonts w:ascii="Times New Roman" w:hAnsi="Times New Roman"/>
          <w:sz w:val="24"/>
        </w:rPr>
        <w:t>All equipment subject to the waiver must be certified in accordance with Subpart J of Part 2 of the Commission’s</w:t>
      </w:r>
      <w:r>
        <w:rPr>
          <w:rFonts w:ascii="Times New Roman" w:hAnsi="Times New Roman"/>
          <w:spacing w:val="-11"/>
          <w:sz w:val="24"/>
        </w:rPr>
        <w:t> </w:t>
      </w:r>
      <w:r>
        <w:rPr>
          <w:rFonts w:ascii="Times New Roman" w:hAnsi="Times New Roman"/>
          <w:sz w:val="24"/>
        </w:rPr>
        <w:t>rules.</w:t>
      </w:r>
    </w:p>
    <w:p>
      <w:pPr>
        <w:spacing w:after="0" w:line="240" w:lineRule="auto"/>
        <w:jc w:val="left"/>
        <w:rPr>
          <w:rFonts w:ascii="Times New Roman" w:hAnsi="Times New Roman"/>
          <w:sz w:val="24"/>
        </w:rPr>
        <w:sectPr>
          <w:type w:val="continuous"/>
          <w:pgSz w:w="12240" w:h="15840"/>
          <w:pgMar w:top="1360" w:bottom="280" w:left="1320" w:right="1340"/>
        </w:sectPr>
      </w:pPr>
    </w:p>
    <w:p>
      <w:pPr>
        <w:spacing w:before="76"/>
        <w:ind w:left="100" w:right="0" w:firstLine="0"/>
        <w:jc w:val="left"/>
        <w:rPr>
          <w:rFonts w:ascii="Times New Roman"/>
          <w:b/>
          <w:sz w:val="24"/>
        </w:rPr>
      </w:pPr>
      <w:r>
        <w:rPr>
          <w:rFonts w:ascii="Times New Roman"/>
          <w:b/>
          <w:sz w:val="24"/>
          <w:u w:val="thick"/>
        </w:rPr>
        <w:t>Conditions Applicable to Roadside Units:</w:t>
      </w:r>
    </w:p>
    <w:p>
      <w:pPr>
        <w:pStyle w:val="BodyText"/>
        <w:spacing w:before="8"/>
        <w:rPr>
          <w:rFonts w:ascii="Times New Roman"/>
          <w:b/>
          <w:sz w:val="23"/>
        </w:rPr>
      </w:pPr>
    </w:p>
    <w:p>
      <w:pPr>
        <w:pStyle w:val="ListParagraph"/>
        <w:numPr>
          <w:ilvl w:val="1"/>
          <w:numId w:val="62"/>
        </w:numPr>
        <w:tabs>
          <w:tab w:pos="819" w:val="left" w:leader="none"/>
          <w:tab w:pos="820" w:val="left" w:leader="none"/>
        </w:tabs>
        <w:spacing w:line="240" w:lineRule="auto" w:before="0" w:after="0"/>
        <w:ind w:left="820" w:right="163" w:hanging="360"/>
        <w:jc w:val="left"/>
        <w:rPr>
          <w:rFonts w:ascii="Times New Roman"/>
          <w:sz w:val="24"/>
        </w:rPr>
      </w:pPr>
      <w:r>
        <w:rPr>
          <w:rFonts w:ascii="Times New Roman"/>
          <w:sz w:val="24"/>
        </w:rPr>
        <w:t>A Roadside Unit may employ an antenna with a height not to exceed 8 meters, with the exception that the antenna height may be between 8 and 15 meters provided the EIRP is reduced by a factor of 20 log(Ht/8) in dB where Ht is the height of the radiation center</w:t>
      </w:r>
      <w:r>
        <w:rPr>
          <w:rFonts w:ascii="Times New Roman"/>
          <w:spacing w:val="-22"/>
          <w:sz w:val="24"/>
        </w:rPr>
        <w:t> </w:t>
      </w:r>
      <w:r>
        <w:rPr>
          <w:rFonts w:ascii="Times New Roman"/>
          <w:sz w:val="24"/>
        </w:rPr>
        <w:t>of the antenna in meters above the roadway bed surface. The EIRP is measured as the maximum EIRP toward the horizon or horizontal, whichever is greater, of the gain associated with the main or center of the transmission beam. The RSU antenna height shall not exceed 15 meters above the roadway bed</w:t>
      </w:r>
      <w:r>
        <w:rPr>
          <w:rFonts w:ascii="Times New Roman"/>
          <w:spacing w:val="-12"/>
          <w:sz w:val="24"/>
        </w:rPr>
        <w:t> </w:t>
      </w:r>
      <w:r>
        <w:rPr>
          <w:rFonts w:ascii="Times New Roman"/>
          <w:sz w:val="24"/>
        </w:rPr>
        <w:t>surface.</w:t>
      </w:r>
    </w:p>
    <w:p>
      <w:pPr>
        <w:pStyle w:val="BodyText"/>
        <w:spacing w:before="4"/>
        <w:rPr>
          <w:rFonts w:ascii="Times New Roman"/>
          <w:sz w:val="24"/>
        </w:rPr>
      </w:pPr>
    </w:p>
    <w:p>
      <w:pPr>
        <w:spacing w:before="1"/>
        <w:ind w:left="100" w:right="0" w:firstLine="0"/>
        <w:jc w:val="left"/>
        <w:rPr>
          <w:rFonts w:ascii="Times New Roman"/>
          <w:b/>
          <w:sz w:val="24"/>
        </w:rPr>
      </w:pPr>
      <w:r>
        <w:rPr>
          <w:rFonts w:ascii="Times New Roman"/>
          <w:b/>
          <w:sz w:val="24"/>
          <w:u w:val="thick"/>
        </w:rPr>
        <w:t>Conditions on C-V2X Operations:</w:t>
      </w:r>
    </w:p>
    <w:p>
      <w:pPr>
        <w:pStyle w:val="BodyText"/>
        <w:spacing w:before="8"/>
        <w:rPr>
          <w:rFonts w:ascii="Times New Roman"/>
          <w:b/>
          <w:sz w:val="23"/>
        </w:rPr>
      </w:pPr>
    </w:p>
    <w:p>
      <w:pPr>
        <w:pStyle w:val="ListParagraph"/>
        <w:numPr>
          <w:ilvl w:val="1"/>
          <w:numId w:val="62"/>
        </w:numPr>
        <w:tabs>
          <w:tab w:pos="819" w:val="left" w:leader="none"/>
          <w:tab w:pos="820" w:val="left" w:leader="none"/>
        </w:tabs>
        <w:spacing w:line="240" w:lineRule="auto" w:before="1" w:after="0"/>
        <w:ind w:left="820" w:right="101" w:hanging="360"/>
        <w:jc w:val="left"/>
        <w:rPr>
          <w:rFonts w:ascii="Times New Roman"/>
          <w:sz w:val="24"/>
        </w:rPr>
      </w:pPr>
      <w:r>
        <w:rPr>
          <w:rFonts w:ascii="Times New Roman"/>
          <w:sz w:val="24"/>
        </w:rPr>
        <w:t>Communications permitted under this waiver will include Vehicle to Vehicle and</w:t>
      </w:r>
      <w:r>
        <w:rPr>
          <w:rFonts w:ascii="Times New Roman"/>
          <w:spacing w:val="-20"/>
          <w:sz w:val="24"/>
        </w:rPr>
        <w:t> </w:t>
      </w:r>
      <w:r>
        <w:rPr>
          <w:rFonts w:ascii="Times New Roman"/>
          <w:sz w:val="24"/>
        </w:rPr>
        <w:t>Vehicle to Infrastructure messages such as the Basic Safety Message, Signal Phase and Timing, Emergency Vehicle Alert, Probe Data Management, Probe Vehicle Data, Signal Request Message, Signal Status Message, Geometric Intersection Description, Traveler Information Message, &amp; others encompassed by the Road Safety</w:t>
      </w:r>
      <w:r>
        <w:rPr>
          <w:rFonts w:ascii="Times New Roman"/>
          <w:spacing w:val="-20"/>
          <w:sz w:val="24"/>
        </w:rPr>
        <w:t> </w:t>
      </w:r>
      <w:r>
        <w:rPr>
          <w:rFonts w:ascii="Times New Roman"/>
          <w:sz w:val="24"/>
        </w:rPr>
        <w:t>Message.</w:t>
      </w:r>
    </w:p>
    <w:p>
      <w:pPr>
        <w:pStyle w:val="ListParagraph"/>
        <w:numPr>
          <w:ilvl w:val="1"/>
          <w:numId w:val="62"/>
        </w:numPr>
        <w:tabs>
          <w:tab w:pos="819" w:val="left" w:leader="none"/>
          <w:tab w:pos="820" w:val="left" w:leader="none"/>
        </w:tabs>
        <w:spacing w:line="223" w:lineRule="auto" w:before="19" w:after="0"/>
        <w:ind w:left="820" w:right="104" w:hanging="360"/>
        <w:jc w:val="left"/>
        <w:rPr>
          <w:rFonts w:ascii="Times New Roman" w:hAnsi="Times New Roman"/>
          <w:sz w:val="24"/>
        </w:rPr>
      </w:pPr>
      <w:r>
        <w:rPr>
          <w:rFonts w:ascii="Times New Roman" w:hAnsi="Times New Roman"/>
          <w:sz w:val="24"/>
        </w:rPr>
        <w:t>Operation under this waiver will be limited to the use of cellular technology to enable vehicles to communicate with everything—including other vehicles, infrastructure,</w:t>
      </w:r>
      <w:r>
        <w:rPr>
          <w:rFonts w:ascii="Times New Roman" w:hAnsi="Times New Roman"/>
          <w:spacing w:val="-22"/>
          <w:sz w:val="24"/>
        </w:rPr>
        <w:t> </w:t>
      </w:r>
      <w:r>
        <w:rPr>
          <w:rFonts w:ascii="Times New Roman" w:hAnsi="Times New Roman"/>
          <w:sz w:val="24"/>
        </w:rPr>
        <w:t>etc.— as standardized by the 3</w:t>
      </w:r>
      <w:r>
        <w:rPr>
          <w:rFonts w:ascii="Times New Roman" w:hAnsi="Times New Roman"/>
          <w:position w:val="11"/>
          <w:sz w:val="16"/>
        </w:rPr>
        <w:t>rd </w:t>
      </w:r>
      <w:r>
        <w:rPr>
          <w:rFonts w:ascii="Times New Roman" w:hAnsi="Times New Roman"/>
          <w:sz w:val="24"/>
        </w:rPr>
        <w:t>Generational</w:t>
      </w:r>
      <w:r>
        <w:rPr>
          <w:rFonts w:ascii="Times New Roman" w:hAnsi="Times New Roman"/>
          <w:spacing w:val="-13"/>
          <w:sz w:val="24"/>
        </w:rPr>
        <w:t> </w:t>
      </w:r>
      <w:r>
        <w:rPr>
          <w:rFonts w:ascii="Times New Roman" w:hAnsi="Times New Roman"/>
          <w:sz w:val="24"/>
        </w:rPr>
        <w:t>Partnership.</w:t>
      </w:r>
    </w:p>
    <w:p>
      <w:pPr>
        <w:pStyle w:val="ListParagraph"/>
        <w:numPr>
          <w:ilvl w:val="1"/>
          <w:numId w:val="62"/>
        </w:numPr>
        <w:tabs>
          <w:tab w:pos="820" w:val="left" w:leader="none"/>
        </w:tabs>
        <w:spacing w:line="237" w:lineRule="auto" w:before="8" w:after="0"/>
        <w:ind w:left="820" w:right="469" w:hanging="360"/>
        <w:jc w:val="both"/>
        <w:rPr>
          <w:rFonts w:ascii="Times New Roman"/>
          <w:sz w:val="24"/>
        </w:rPr>
      </w:pPr>
      <w:r>
        <w:rPr>
          <w:rFonts w:ascii="Times New Roman"/>
          <w:sz w:val="24"/>
        </w:rPr>
        <w:t>On-Board and Portable Units should be licensed by rule, consistent with the approach used for DSRC OBUs. Individuals operating On-Board and Portable Units would not require a station license issued by the</w:t>
      </w:r>
      <w:r>
        <w:rPr>
          <w:rFonts w:ascii="Times New Roman"/>
          <w:spacing w:val="-11"/>
          <w:sz w:val="24"/>
        </w:rPr>
        <w:t> </w:t>
      </w:r>
      <w:r>
        <w:rPr>
          <w:rFonts w:ascii="Times New Roman"/>
          <w:sz w:val="24"/>
        </w:rPr>
        <w:t>FCC.</w:t>
      </w:r>
    </w:p>
    <w:p>
      <w:pPr>
        <w:pStyle w:val="ListParagraph"/>
        <w:numPr>
          <w:ilvl w:val="1"/>
          <w:numId w:val="62"/>
        </w:numPr>
        <w:tabs>
          <w:tab w:pos="819" w:val="left" w:leader="none"/>
          <w:tab w:pos="820" w:val="left" w:leader="none"/>
        </w:tabs>
        <w:spacing w:line="240" w:lineRule="auto" w:before="2" w:after="0"/>
        <w:ind w:left="820" w:right="282" w:hanging="360"/>
        <w:jc w:val="left"/>
        <w:rPr>
          <w:rFonts w:ascii="Times New Roman" w:hAnsi="Times New Roman"/>
          <w:sz w:val="24"/>
        </w:rPr>
      </w:pPr>
      <w:r>
        <w:rPr>
          <w:rFonts w:ascii="Times New Roman" w:hAnsi="Times New Roman"/>
          <w:sz w:val="24"/>
        </w:rPr>
        <w:t>Parties desiring to operate Roadside Units must apply for non-exclusive nationwide licenses with individual site registration through the FCC’s Universal Licensing</w:t>
      </w:r>
      <w:r>
        <w:rPr>
          <w:rFonts w:ascii="Times New Roman" w:hAnsi="Times New Roman"/>
          <w:spacing w:val="-26"/>
          <w:sz w:val="24"/>
        </w:rPr>
        <w:t> </w:t>
      </w:r>
      <w:r>
        <w:rPr>
          <w:rFonts w:ascii="Times New Roman" w:hAnsi="Times New Roman"/>
          <w:sz w:val="24"/>
        </w:rPr>
        <w:t>System (ULS). C-V2X Roadside Unit operators will comply with the registration process used by operators of DSRC RSUs detailed in §</w:t>
      </w:r>
      <w:r>
        <w:rPr>
          <w:rFonts w:ascii="Times New Roman" w:hAnsi="Times New Roman"/>
          <w:spacing w:val="-14"/>
          <w:sz w:val="24"/>
        </w:rPr>
        <w:t> </w:t>
      </w:r>
      <w:r>
        <w:rPr>
          <w:rFonts w:ascii="Times New Roman" w:hAnsi="Times New Roman"/>
          <w:sz w:val="24"/>
        </w:rPr>
        <w:t>9.375(b).</w:t>
      </w:r>
    </w:p>
    <w:p>
      <w:pPr>
        <w:pStyle w:val="ListParagraph"/>
        <w:numPr>
          <w:ilvl w:val="1"/>
          <w:numId w:val="62"/>
        </w:numPr>
        <w:tabs>
          <w:tab w:pos="819" w:val="left" w:leader="none"/>
          <w:tab w:pos="820" w:val="left" w:leader="none"/>
        </w:tabs>
        <w:spacing w:line="240" w:lineRule="auto" w:before="1" w:after="0"/>
        <w:ind w:left="820" w:right="104" w:hanging="360"/>
        <w:jc w:val="left"/>
        <w:rPr>
          <w:rFonts w:ascii="Times New Roman" w:hAnsi="Times New Roman"/>
          <w:sz w:val="24"/>
        </w:rPr>
      </w:pPr>
      <w:r>
        <w:rPr>
          <w:rFonts w:ascii="Times New Roman" w:hAnsi="Times New Roman"/>
          <w:sz w:val="24"/>
        </w:rPr>
        <w:t>All Roadside Units shall not receive protection from Government Radiolocation services in operation prior to the establishment of the Roadside Unit station. Operation of C-V2X Roadside Unit stations within 75 kilometers of the locations listed in the table in § 90.371 must be coordinated through the National Telecommunications and Information Administration.</w:t>
      </w:r>
    </w:p>
    <w:p>
      <w:pPr>
        <w:pStyle w:val="ListParagraph"/>
        <w:numPr>
          <w:ilvl w:val="1"/>
          <w:numId w:val="62"/>
        </w:numPr>
        <w:tabs>
          <w:tab w:pos="819" w:val="left" w:leader="none"/>
          <w:tab w:pos="820" w:val="left" w:leader="none"/>
        </w:tabs>
        <w:spacing w:line="292" w:lineRule="exact" w:before="1" w:after="0"/>
        <w:ind w:left="820" w:right="0" w:hanging="360"/>
        <w:jc w:val="left"/>
        <w:rPr>
          <w:rFonts w:ascii="Times New Roman"/>
          <w:sz w:val="24"/>
        </w:rPr>
      </w:pPr>
      <w:r>
        <w:rPr>
          <w:rFonts w:ascii="Times New Roman"/>
          <w:sz w:val="24"/>
        </w:rPr>
        <w:t>Roadside Units will be subject to the international coordination conditions identified</w:t>
      </w:r>
      <w:r>
        <w:rPr>
          <w:rFonts w:ascii="Times New Roman"/>
          <w:spacing w:val="-18"/>
          <w:sz w:val="24"/>
        </w:rPr>
        <w:t> </w:t>
      </w:r>
      <w:r>
        <w:rPr>
          <w:rFonts w:ascii="Times New Roman"/>
          <w:sz w:val="24"/>
        </w:rPr>
        <w:t>in</w:t>
      </w:r>
    </w:p>
    <w:p>
      <w:pPr>
        <w:spacing w:line="274" w:lineRule="exact" w:before="0"/>
        <w:ind w:left="800" w:right="6065" w:firstLine="0"/>
        <w:jc w:val="center"/>
        <w:rPr>
          <w:rFonts w:ascii="Times New Roman" w:hAnsi="Times New Roman"/>
          <w:sz w:val="24"/>
        </w:rPr>
      </w:pPr>
      <w:r>
        <w:rPr>
          <w:rFonts w:ascii="Times New Roman" w:hAnsi="Times New Roman"/>
          <w:sz w:val="24"/>
        </w:rPr>
        <w:t>§ 90.383 of the FCC Rules.</w:t>
      </w:r>
    </w:p>
    <w:sectPr>
      <w:headerReference w:type="default" r:id="rId511"/>
      <w:footerReference w:type="default" r:id="rId512"/>
      <w:pgSz w:w="12240" w:h="15840"/>
      <w:pgMar w:header="0" w:footer="1070" w:top="1360" w:bottom="1260" w:left="1340" w:right="1360"/>
      <w:pgNumType w:start="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Math">
    <w:altName w:val="Cambria Math"/>
    <w:charset w:val="0"/>
    <w:family w:val="roman"/>
    <w:pitch w:val="variable"/>
  </w:font>
  <w:font w:name="Calibri">
    <w:altName w:val="Calibri"/>
    <w:charset w:val="0"/>
    <w:family w:val="swiss"/>
    <w:pitch w:val="variable"/>
  </w:font>
  <w:font w:name="Symbol">
    <w:altName w:val="Symbol"/>
    <w:charset w:val="2"/>
    <w:family w:val="roman"/>
    <w:pitch w:val="variable"/>
  </w:font>
  <w:font w:name="Calibri Light">
    <w:altName w:val="Calibri Ligh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pt;margin-top:727.506653pt;width:16pt;height:15.3pt;mso-position-horizontal-relative:page;mso-position-vertical-relative:page;z-index:-506968"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pt;margin-top:727.506653pt;width:16pt;height:15.3pt;mso-position-horizontal-relative:page;mso-position-vertical-relative:page;z-index:-506680"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15</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pt;margin-top:727.506653pt;width:16pt;height:15.3pt;mso-position-horizontal-relative:page;mso-position-vertical-relative:page;z-index:-506608"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19</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pt;margin-top:727.506653pt;width:16pt;height:15.3pt;mso-position-horizontal-relative:page;mso-position-vertical-relative:page;z-index:-506584"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20</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pt;margin-top:727.506653pt;width:16pt;height:15.3pt;mso-position-horizontal-relative:page;mso-position-vertical-relative:page;z-index:-506560"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21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pt;margin-top:727.506653pt;width:16pt;height:15.3pt;mso-position-horizontal-relative:page;mso-position-vertical-relative:page;z-index:-506464"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26</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pt;margin-top:727.506653pt;width:16pt;height:15.3pt;mso-position-horizontal-relative:page;mso-position-vertical-relative:page;z-index:-506440"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27</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pt;margin-top:727.506653pt;width:16pt;height:15.3pt;mso-position-horizontal-relative:page;mso-position-vertical-relative:page;z-index:-506416"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28</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pt;margin-top:727.506653pt;width:16pt;height:15.3pt;mso-position-horizontal-relative:page;mso-position-vertical-relative:page;z-index:-506392"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29</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pt;margin-top:727.506653pt;width:16pt;height:15.3pt;mso-position-horizontal-relative:page;mso-position-vertical-relative:page;z-index:-506368"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30</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pt;margin-top:727.506653pt;width:16pt;height:15.3pt;mso-position-horizontal-relative:page;mso-position-vertical-relative:page;z-index:-506344"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31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1pt;margin-top:727.506653pt;width:10pt;height:15.3pt;mso-position-horizontal-relative:page;mso-position-vertical-relative:page;z-index:-506944"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3</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pt;margin-top:727.506653pt;width:16pt;height:15.3pt;mso-position-horizontal-relative:page;mso-position-vertical-relative:page;z-index:-506320"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32</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5.640015pt;margin-top:727.506653pt;width:21.6pt;height:15.3pt;mso-position-horizontal-relative:page;mso-position-vertical-relative:page;z-index:-506296" type="#_x0000_t202" filled="false" stroked="false">
          <v:textbox inset="0,0,0,0">
            <w:txbxContent>
              <w:p>
                <w:pPr>
                  <w:spacing w:before="10"/>
                  <w:ind w:left="20" w:right="0" w:firstLine="0"/>
                  <w:jc w:val="left"/>
                  <w:rPr>
                    <w:rFonts w:ascii="Times New Roman"/>
                    <w:sz w:val="24"/>
                  </w:rPr>
                </w:pPr>
                <w:r>
                  <w:rPr>
                    <w:rFonts w:ascii="Times New Roman"/>
                    <w:sz w:val="24"/>
                  </w:rPr>
                  <w:t>A-</w:t>
                </w:r>
                <w:r>
                  <w:rPr/>
                  <w:fldChar w:fldCharType="begin"/>
                </w:r>
                <w:r>
                  <w:rPr>
                    <w:rFonts w:ascii="Times New Roman"/>
                    <w:sz w:val="24"/>
                  </w:rPr>
                  <w:instrText> PAGE </w:instrText>
                </w:r>
                <w:r>
                  <w:rPr/>
                  <w:fldChar w:fldCharType="separate"/>
                </w:r>
                <w:r>
                  <w:rPr/>
                  <w:t>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5.640015pt;margin-top:727.506653pt;width:21.6pt;height:15.3pt;mso-position-horizontal-relative:page;mso-position-vertical-relative:page;z-index:-506272" type="#_x0000_t202" filled="false" stroked="false">
          <v:textbox inset="0,0,0,0">
            <w:txbxContent>
              <w:p>
                <w:pPr>
                  <w:spacing w:before="10"/>
                  <w:ind w:left="20" w:right="0" w:firstLine="0"/>
                  <w:jc w:val="left"/>
                  <w:rPr>
                    <w:rFonts w:ascii="Times New Roman"/>
                    <w:sz w:val="24"/>
                  </w:rPr>
                </w:pPr>
                <w:r>
                  <w:rPr>
                    <w:rFonts w:ascii="Times New Roman"/>
                    <w:sz w:val="24"/>
                  </w:rPr>
                  <w:t>A-</w:t>
                </w:r>
                <w:r>
                  <w:rPr/>
                  <w:fldChar w:fldCharType="begin"/>
                </w:r>
                <w:r>
                  <w:rPr>
                    <w:rFonts w:ascii="Times New Roman"/>
                    <w:sz w:val="24"/>
                  </w:rPr>
                  <w:instrText> PAGE </w:instrText>
                </w:r>
                <w:r>
                  <w:rPr/>
                  <w:fldChar w:fldCharType="separate"/>
                </w:r>
                <w:r>
                  <w:rPr/>
                  <w:t>2</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5.640015pt;margin-top:727.506653pt;width:21.6pt;height:15.3pt;mso-position-horizontal-relative:page;mso-position-vertical-relative:page;z-index:-506248" type="#_x0000_t202" filled="false" stroked="false">
          <v:textbox inset="0,0,0,0">
            <w:txbxContent>
              <w:p>
                <w:pPr>
                  <w:spacing w:before="10"/>
                  <w:ind w:left="20" w:right="0" w:firstLine="0"/>
                  <w:jc w:val="left"/>
                  <w:rPr>
                    <w:rFonts w:ascii="Times New Roman"/>
                    <w:sz w:val="24"/>
                  </w:rPr>
                </w:pPr>
                <w:r>
                  <w:rPr>
                    <w:rFonts w:ascii="Times New Roman"/>
                    <w:sz w:val="24"/>
                  </w:rPr>
                  <w:t>A-</w:t>
                </w:r>
                <w:r>
                  <w:rPr/>
                  <w:fldChar w:fldCharType="begin"/>
                </w:r>
                <w:r>
                  <w:rPr>
                    <w:rFonts w:ascii="Times New Roman"/>
                    <w:sz w:val="24"/>
                  </w:rPr>
                  <w:instrText> PAGE </w:instrText>
                </w:r>
                <w:r>
                  <w:rPr/>
                  <w:fldChar w:fldCharType="separate"/>
                </w:r>
                <w:r>
                  <w:rPr/>
                  <w:t>3</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6pt;margin-top:727.506653pt;width:19.9pt;height:15.3pt;mso-position-horizontal-relative:page;mso-position-vertical-relative:page;z-index:-506224" type="#_x0000_t202" filled="false" stroked="false">
          <v:textbox inset="0,0,0,0">
            <w:txbxContent>
              <w:p>
                <w:pPr>
                  <w:spacing w:before="10"/>
                  <w:ind w:left="20" w:right="0" w:firstLine="0"/>
                  <w:jc w:val="left"/>
                  <w:rPr>
                    <w:rFonts w:ascii="Times New Roman"/>
                    <w:sz w:val="24"/>
                  </w:rPr>
                </w:pPr>
                <w:r>
                  <w:rPr>
                    <w:rFonts w:ascii="Times New Roman"/>
                    <w:sz w:val="24"/>
                  </w:rPr>
                  <w:t>B-1</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29303">
          <wp:simplePos x="0" y="0"/>
          <wp:positionH relativeFrom="page">
            <wp:posOffset>0</wp:posOffset>
          </wp:positionH>
          <wp:positionV relativeFrom="page">
            <wp:posOffset>9907282</wp:posOffset>
          </wp:positionV>
          <wp:extent cx="7560564" cy="786625"/>
          <wp:effectExtent l="0" t="0" r="0" b="0"/>
          <wp:wrapNone/>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506128"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90.434998pt;margin-top:815.473877pt;width:15.45pt;height:10.95pt;mso-position-horizontal-relative:page;mso-position-vertical-relative:page;z-index:-506104" type="#_x0000_t202" filled="false" stroked="false">
          <v:textbox inset="0,0,0,0">
            <w:txbxContent>
              <w:p>
                <w:pPr>
                  <w:spacing w:before="14"/>
                  <w:ind w:left="20" w:right="0" w:firstLine="0"/>
                  <w:jc w:val="left"/>
                  <w:rPr>
                    <w:sz w:val="16"/>
                  </w:rPr>
                </w:pPr>
                <w:r>
                  <w:rPr>
                    <w:sz w:val="16"/>
                  </w:rPr>
                  <w:t>B-</w:t>
                </w:r>
                <w:r>
                  <w:rPr/>
                  <w:fldChar w:fldCharType="begin"/>
                </w:r>
                <w:r>
                  <w:rPr>
                    <w:sz w:val="16"/>
                  </w:rPr>
                  <w:instrText> PAGE </w:instrText>
                </w:r>
                <w:r>
                  <w:rPr/>
                  <w:fldChar w:fldCharType="separate"/>
                </w:r>
                <w:r>
                  <w:rPr/>
                  <w:t>3</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29711">
          <wp:simplePos x="0" y="0"/>
          <wp:positionH relativeFrom="page">
            <wp:posOffset>0</wp:posOffset>
          </wp:positionH>
          <wp:positionV relativeFrom="page">
            <wp:posOffset>9907282</wp:posOffset>
          </wp:positionV>
          <wp:extent cx="7560564" cy="786625"/>
          <wp:effectExtent l="0" t="0" r="0" b="0"/>
          <wp:wrapNone/>
          <wp:docPr id="17" name="image8.png" descr=""/>
          <wp:cNvGraphicFramePr>
            <a:graphicFrameLocks noChangeAspect="1"/>
          </wp:cNvGraphicFramePr>
          <a:graphic>
            <a:graphicData uri="http://schemas.openxmlformats.org/drawingml/2006/picture">
              <pic:pic>
                <pic:nvPicPr>
                  <pic:cNvPr id="18"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505720"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8.21051pt;margin-top:815.473877pt;width:18.9pt;height:10.95pt;mso-position-horizontal-relative:page;mso-position-vertical-relative:page;z-index:-505696" type="#_x0000_t202" filled="false" stroked="false">
          <v:textbox inset="0,0,0,0">
            <w:txbxContent>
              <w:p>
                <w:pPr>
                  <w:spacing w:before="14"/>
                  <w:ind w:left="20" w:right="0" w:firstLine="0"/>
                  <w:jc w:val="left"/>
                  <w:rPr>
                    <w:sz w:val="16"/>
                  </w:rPr>
                </w:pPr>
                <w:r>
                  <w:rPr>
                    <w:sz w:val="16"/>
                  </w:rPr>
                  <w:t>B-10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29831">
          <wp:simplePos x="0" y="0"/>
          <wp:positionH relativeFrom="page">
            <wp:posOffset>0</wp:posOffset>
          </wp:positionH>
          <wp:positionV relativeFrom="page">
            <wp:posOffset>9907282</wp:posOffset>
          </wp:positionV>
          <wp:extent cx="7560564" cy="786625"/>
          <wp:effectExtent l="0" t="0" r="0" b="0"/>
          <wp:wrapNone/>
          <wp:docPr id="19" name="image8.png" descr=""/>
          <wp:cNvGraphicFramePr>
            <a:graphicFrameLocks noChangeAspect="1"/>
          </wp:cNvGraphicFramePr>
          <a:graphic>
            <a:graphicData uri="http://schemas.openxmlformats.org/drawingml/2006/picture">
              <pic:pic>
                <pic:nvPicPr>
                  <pic:cNvPr id="20"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505600"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8.21051pt;margin-top:815.473877pt;width:19.9pt;height:10.95pt;mso-position-horizontal-relative:page;mso-position-vertical-relative:page;z-index:-505576" type="#_x0000_t202" filled="false" stroked="false">
          <v:textbox inset="0,0,0,0">
            <w:txbxContent>
              <w:p>
                <w:pPr>
                  <w:spacing w:before="14"/>
                  <w:ind w:left="20" w:right="0" w:firstLine="0"/>
                  <w:jc w:val="left"/>
                  <w:rPr>
                    <w:sz w:val="16"/>
                  </w:rPr>
                </w:pPr>
                <w:r>
                  <w:rPr>
                    <w:sz w:val="16"/>
                  </w:rPr>
                  <w:t>B-</w:t>
                </w:r>
                <w:r>
                  <w:rPr/>
                  <w:fldChar w:fldCharType="begin"/>
                </w:r>
                <w:r>
                  <w:rPr>
                    <w:sz w:val="16"/>
                  </w:rPr>
                  <w:instrText> PAGE </w:instrText>
                </w:r>
                <w:r>
                  <w:rPr/>
                  <w:fldChar w:fldCharType="separate"/>
                </w:r>
                <w:r>
                  <w:rPr/>
                  <w:t>11</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0335">
          <wp:simplePos x="0" y="0"/>
          <wp:positionH relativeFrom="page">
            <wp:posOffset>0</wp:posOffset>
          </wp:positionH>
          <wp:positionV relativeFrom="page">
            <wp:posOffset>9907282</wp:posOffset>
          </wp:positionV>
          <wp:extent cx="7560564" cy="786625"/>
          <wp:effectExtent l="0" t="0" r="0" b="0"/>
          <wp:wrapNone/>
          <wp:docPr id="25" name="image8.png" descr=""/>
          <wp:cNvGraphicFramePr>
            <a:graphicFrameLocks noChangeAspect="1"/>
          </wp:cNvGraphicFramePr>
          <a:graphic>
            <a:graphicData uri="http://schemas.openxmlformats.org/drawingml/2006/picture">
              <pic:pic>
                <pic:nvPicPr>
                  <pic:cNvPr id="26"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505096"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8.21051pt;margin-top:815.473877pt;width:18.9pt;height:10.95pt;mso-position-horizontal-relative:page;mso-position-vertical-relative:page;z-index:-505072" type="#_x0000_t202" filled="false" stroked="false">
          <v:textbox inset="0,0,0,0">
            <w:txbxContent>
              <w:p>
                <w:pPr>
                  <w:spacing w:before="14"/>
                  <w:ind w:left="20" w:right="0" w:firstLine="0"/>
                  <w:jc w:val="left"/>
                  <w:rPr>
                    <w:sz w:val="16"/>
                  </w:rPr>
                </w:pPr>
                <w:r>
                  <w:rPr>
                    <w:sz w:val="16"/>
                  </w:rPr>
                  <w:t>B-20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1pt;margin-top:727.506653pt;width:10pt;height:15.3pt;mso-position-horizontal-relative:page;mso-position-vertical-relative:page;z-index:-506920"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4</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0455">
          <wp:simplePos x="0" y="0"/>
          <wp:positionH relativeFrom="page">
            <wp:posOffset>0</wp:posOffset>
          </wp:positionH>
          <wp:positionV relativeFrom="page">
            <wp:posOffset>9907282</wp:posOffset>
          </wp:positionV>
          <wp:extent cx="7560564" cy="786625"/>
          <wp:effectExtent l="0" t="0" r="0" b="0"/>
          <wp:wrapNone/>
          <wp:docPr id="31" name="image8.png" descr=""/>
          <wp:cNvGraphicFramePr>
            <a:graphicFrameLocks noChangeAspect="1"/>
          </wp:cNvGraphicFramePr>
          <a:graphic>
            <a:graphicData uri="http://schemas.openxmlformats.org/drawingml/2006/picture">
              <pic:pic>
                <pic:nvPicPr>
                  <pic:cNvPr id="32"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504976"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8.21051pt;margin-top:815.473877pt;width:19.9pt;height:10.95pt;mso-position-horizontal-relative:page;mso-position-vertical-relative:page;z-index:-504952" type="#_x0000_t202" filled="false" stroked="false">
          <v:textbox inset="0,0,0,0">
            <w:txbxContent>
              <w:p>
                <w:pPr>
                  <w:spacing w:before="14"/>
                  <w:ind w:left="20" w:right="0" w:firstLine="0"/>
                  <w:jc w:val="left"/>
                  <w:rPr>
                    <w:sz w:val="16"/>
                  </w:rPr>
                </w:pPr>
                <w:r>
                  <w:rPr>
                    <w:sz w:val="16"/>
                  </w:rPr>
                  <w:t>B-</w:t>
                </w:r>
                <w:r>
                  <w:rPr/>
                  <w:fldChar w:fldCharType="begin"/>
                </w:r>
                <w:r>
                  <w:rPr>
                    <w:sz w:val="16"/>
                  </w:rPr>
                  <w:instrText> PAGE </w:instrText>
                </w:r>
                <w:r>
                  <w:rPr/>
                  <w:fldChar w:fldCharType="separate"/>
                </w:r>
                <w:r>
                  <w:rPr/>
                  <w:t>21</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0959">
          <wp:simplePos x="0" y="0"/>
          <wp:positionH relativeFrom="page">
            <wp:posOffset>0</wp:posOffset>
          </wp:positionH>
          <wp:positionV relativeFrom="page">
            <wp:posOffset>9907282</wp:posOffset>
          </wp:positionV>
          <wp:extent cx="7560564" cy="786625"/>
          <wp:effectExtent l="0" t="0" r="0" b="0"/>
          <wp:wrapNone/>
          <wp:docPr id="49" name="image8.png" descr=""/>
          <wp:cNvGraphicFramePr>
            <a:graphicFrameLocks noChangeAspect="1"/>
          </wp:cNvGraphicFramePr>
          <a:graphic>
            <a:graphicData uri="http://schemas.openxmlformats.org/drawingml/2006/picture">
              <pic:pic>
                <pic:nvPicPr>
                  <pic:cNvPr id="50"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504472"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8.21051pt;margin-top:815.473877pt;width:18.9pt;height:10.95pt;mso-position-horizontal-relative:page;mso-position-vertical-relative:page;z-index:-504448" type="#_x0000_t202" filled="false" stroked="false">
          <v:textbox inset="0,0,0,0">
            <w:txbxContent>
              <w:p>
                <w:pPr>
                  <w:spacing w:before="14"/>
                  <w:ind w:left="20" w:right="0" w:firstLine="0"/>
                  <w:jc w:val="left"/>
                  <w:rPr>
                    <w:sz w:val="16"/>
                  </w:rPr>
                </w:pPr>
                <w:r>
                  <w:rPr>
                    <w:sz w:val="16"/>
                  </w:rPr>
                  <w:t>B-30</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1079">
          <wp:simplePos x="0" y="0"/>
          <wp:positionH relativeFrom="page">
            <wp:posOffset>0</wp:posOffset>
          </wp:positionH>
          <wp:positionV relativeFrom="page">
            <wp:posOffset>9907282</wp:posOffset>
          </wp:positionV>
          <wp:extent cx="7560564" cy="786625"/>
          <wp:effectExtent l="0" t="0" r="0" b="0"/>
          <wp:wrapNone/>
          <wp:docPr id="53" name="image8.png" descr=""/>
          <wp:cNvGraphicFramePr>
            <a:graphicFrameLocks noChangeAspect="1"/>
          </wp:cNvGraphicFramePr>
          <a:graphic>
            <a:graphicData uri="http://schemas.openxmlformats.org/drawingml/2006/picture">
              <pic:pic>
                <pic:nvPicPr>
                  <pic:cNvPr id="54"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504352"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8.21051pt;margin-top:815.473877pt;width:19.9pt;height:10.95pt;mso-position-horizontal-relative:page;mso-position-vertical-relative:page;z-index:-504328" type="#_x0000_t202" filled="false" stroked="false">
          <v:textbox inset="0,0,0,0">
            <w:txbxContent>
              <w:p>
                <w:pPr>
                  <w:spacing w:before="14"/>
                  <w:ind w:left="20" w:right="0" w:firstLine="0"/>
                  <w:jc w:val="left"/>
                  <w:rPr>
                    <w:sz w:val="16"/>
                  </w:rPr>
                </w:pPr>
                <w:r>
                  <w:rPr>
                    <w:sz w:val="16"/>
                  </w:rPr>
                  <w:t>B-</w:t>
                </w:r>
                <w:r>
                  <w:rPr/>
                  <w:fldChar w:fldCharType="begin"/>
                </w:r>
                <w:r>
                  <w:rPr>
                    <w:sz w:val="16"/>
                  </w:rPr>
                  <w:instrText> PAGE </w:instrText>
                </w:r>
                <w:r>
                  <w:rPr/>
                  <w:fldChar w:fldCharType="separate"/>
                </w:r>
                <w:r>
                  <w:rPr/>
                  <w:t>31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1583">
          <wp:simplePos x="0" y="0"/>
          <wp:positionH relativeFrom="page">
            <wp:posOffset>0</wp:posOffset>
          </wp:positionH>
          <wp:positionV relativeFrom="page">
            <wp:posOffset>9907282</wp:posOffset>
          </wp:positionV>
          <wp:extent cx="7560564" cy="786625"/>
          <wp:effectExtent l="0" t="0" r="0" b="0"/>
          <wp:wrapNone/>
          <wp:docPr id="55" name="image8.png" descr=""/>
          <wp:cNvGraphicFramePr>
            <a:graphicFrameLocks noChangeAspect="1"/>
          </wp:cNvGraphicFramePr>
          <a:graphic>
            <a:graphicData uri="http://schemas.openxmlformats.org/drawingml/2006/picture">
              <pic:pic>
                <pic:nvPicPr>
                  <pic:cNvPr id="56"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503848"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8.21051pt;margin-top:815.473877pt;width:18.9pt;height:10.95pt;mso-position-horizontal-relative:page;mso-position-vertical-relative:page;z-index:-503824" type="#_x0000_t202" filled="false" stroked="false">
          <v:textbox inset="0,0,0,0">
            <w:txbxContent>
              <w:p>
                <w:pPr>
                  <w:spacing w:before="14"/>
                  <w:ind w:left="20" w:right="0" w:firstLine="0"/>
                  <w:jc w:val="left"/>
                  <w:rPr>
                    <w:sz w:val="16"/>
                  </w:rPr>
                </w:pPr>
                <w:r>
                  <w:rPr>
                    <w:sz w:val="16"/>
                  </w:rPr>
                  <w:t>B-40</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1703">
          <wp:simplePos x="0" y="0"/>
          <wp:positionH relativeFrom="page">
            <wp:posOffset>0</wp:posOffset>
          </wp:positionH>
          <wp:positionV relativeFrom="page">
            <wp:posOffset>9907282</wp:posOffset>
          </wp:positionV>
          <wp:extent cx="7560564" cy="786625"/>
          <wp:effectExtent l="0" t="0" r="0" b="0"/>
          <wp:wrapNone/>
          <wp:docPr id="57" name="image8.png" descr=""/>
          <wp:cNvGraphicFramePr>
            <a:graphicFrameLocks noChangeAspect="1"/>
          </wp:cNvGraphicFramePr>
          <a:graphic>
            <a:graphicData uri="http://schemas.openxmlformats.org/drawingml/2006/picture">
              <pic:pic>
                <pic:nvPicPr>
                  <pic:cNvPr id="58"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503728"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8.21051pt;margin-top:815.473877pt;width:19.9pt;height:10.95pt;mso-position-horizontal-relative:page;mso-position-vertical-relative:page;z-index:-503704" type="#_x0000_t202" filled="false" stroked="false">
          <v:textbox inset="0,0,0,0">
            <w:txbxContent>
              <w:p>
                <w:pPr>
                  <w:spacing w:before="14"/>
                  <w:ind w:left="20" w:right="0" w:firstLine="0"/>
                  <w:jc w:val="left"/>
                  <w:rPr>
                    <w:sz w:val="16"/>
                  </w:rPr>
                </w:pPr>
                <w:r>
                  <w:rPr>
                    <w:sz w:val="16"/>
                  </w:rPr>
                  <w:t>B-</w:t>
                </w:r>
                <w:r>
                  <w:rPr/>
                  <w:fldChar w:fldCharType="begin"/>
                </w:r>
                <w:r>
                  <w:rPr>
                    <w:sz w:val="16"/>
                  </w:rPr>
                  <w:instrText> PAGE </w:instrText>
                </w:r>
                <w:r>
                  <w:rPr/>
                  <w:fldChar w:fldCharType="separate"/>
                </w:r>
                <w:r>
                  <w:rPr/>
                  <w:t>41</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2207">
          <wp:simplePos x="0" y="0"/>
          <wp:positionH relativeFrom="page">
            <wp:posOffset>0</wp:posOffset>
          </wp:positionH>
          <wp:positionV relativeFrom="page">
            <wp:posOffset>9907282</wp:posOffset>
          </wp:positionV>
          <wp:extent cx="7560564" cy="786625"/>
          <wp:effectExtent l="0" t="0" r="0" b="0"/>
          <wp:wrapNone/>
          <wp:docPr id="59" name="image8.png" descr=""/>
          <wp:cNvGraphicFramePr>
            <a:graphicFrameLocks noChangeAspect="1"/>
          </wp:cNvGraphicFramePr>
          <a:graphic>
            <a:graphicData uri="http://schemas.openxmlformats.org/drawingml/2006/picture">
              <pic:pic>
                <pic:nvPicPr>
                  <pic:cNvPr id="60"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503224"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8.21051pt;margin-top:815.473877pt;width:18.9pt;height:10.95pt;mso-position-horizontal-relative:page;mso-position-vertical-relative:page;z-index:-503200" type="#_x0000_t202" filled="false" stroked="false">
          <v:textbox inset="0,0,0,0">
            <w:txbxContent>
              <w:p>
                <w:pPr>
                  <w:spacing w:before="14"/>
                  <w:ind w:left="20" w:right="0" w:firstLine="0"/>
                  <w:jc w:val="left"/>
                  <w:rPr>
                    <w:sz w:val="16"/>
                  </w:rPr>
                </w:pPr>
                <w:r>
                  <w:rPr>
                    <w:sz w:val="16"/>
                  </w:rPr>
                  <w:t>B-50</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2327">
          <wp:simplePos x="0" y="0"/>
          <wp:positionH relativeFrom="page">
            <wp:posOffset>0</wp:posOffset>
          </wp:positionH>
          <wp:positionV relativeFrom="page">
            <wp:posOffset>9907282</wp:posOffset>
          </wp:positionV>
          <wp:extent cx="7560564" cy="786625"/>
          <wp:effectExtent l="0" t="0" r="0" b="0"/>
          <wp:wrapNone/>
          <wp:docPr id="61" name="image8.png" descr=""/>
          <wp:cNvGraphicFramePr>
            <a:graphicFrameLocks noChangeAspect="1"/>
          </wp:cNvGraphicFramePr>
          <a:graphic>
            <a:graphicData uri="http://schemas.openxmlformats.org/drawingml/2006/picture">
              <pic:pic>
                <pic:nvPicPr>
                  <pic:cNvPr id="62"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503104"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8.21051pt;margin-top:815.473877pt;width:19.9pt;height:10.95pt;mso-position-horizontal-relative:page;mso-position-vertical-relative:page;z-index:-503080" type="#_x0000_t202" filled="false" stroked="false">
          <v:textbox inset="0,0,0,0">
            <w:txbxContent>
              <w:p>
                <w:pPr>
                  <w:spacing w:before="14"/>
                  <w:ind w:left="20" w:right="0" w:firstLine="0"/>
                  <w:jc w:val="left"/>
                  <w:rPr>
                    <w:sz w:val="16"/>
                  </w:rPr>
                </w:pPr>
                <w:r>
                  <w:rPr>
                    <w:sz w:val="16"/>
                  </w:rPr>
                  <w:t>B-</w:t>
                </w:r>
                <w:r>
                  <w:rPr/>
                  <w:fldChar w:fldCharType="begin"/>
                </w:r>
                <w:r>
                  <w:rPr>
                    <w:sz w:val="16"/>
                  </w:rPr>
                  <w:instrText> PAGE </w:instrText>
                </w:r>
                <w:r>
                  <w:rPr/>
                  <w:fldChar w:fldCharType="separate"/>
                </w:r>
                <w:r>
                  <w:rPr/>
                  <w:t>51</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2831">
          <wp:simplePos x="0" y="0"/>
          <wp:positionH relativeFrom="page">
            <wp:posOffset>0</wp:posOffset>
          </wp:positionH>
          <wp:positionV relativeFrom="page">
            <wp:posOffset>9907282</wp:posOffset>
          </wp:positionV>
          <wp:extent cx="7560564" cy="786625"/>
          <wp:effectExtent l="0" t="0" r="0" b="0"/>
          <wp:wrapNone/>
          <wp:docPr id="67" name="image8.png" descr=""/>
          <wp:cNvGraphicFramePr>
            <a:graphicFrameLocks noChangeAspect="1"/>
          </wp:cNvGraphicFramePr>
          <a:graphic>
            <a:graphicData uri="http://schemas.openxmlformats.org/drawingml/2006/picture">
              <pic:pic>
                <pic:nvPicPr>
                  <pic:cNvPr id="68"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502600"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8.21051pt;margin-top:815.473877pt;width:18.9pt;height:10.95pt;mso-position-horizontal-relative:page;mso-position-vertical-relative:page;z-index:-502576" type="#_x0000_t202" filled="false" stroked="false">
          <v:textbox inset="0,0,0,0">
            <w:txbxContent>
              <w:p>
                <w:pPr>
                  <w:spacing w:before="14"/>
                  <w:ind w:left="20" w:right="0" w:firstLine="0"/>
                  <w:jc w:val="left"/>
                  <w:rPr>
                    <w:sz w:val="16"/>
                  </w:rPr>
                </w:pPr>
                <w:r>
                  <w:rPr>
                    <w:sz w:val="16"/>
                  </w:rPr>
                  <w:t>B-60</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2951">
          <wp:simplePos x="0" y="0"/>
          <wp:positionH relativeFrom="page">
            <wp:posOffset>0</wp:posOffset>
          </wp:positionH>
          <wp:positionV relativeFrom="page">
            <wp:posOffset>9907282</wp:posOffset>
          </wp:positionV>
          <wp:extent cx="7560564" cy="786625"/>
          <wp:effectExtent l="0" t="0" r="0" b="0"/>
          <wp:wrapNone/>
          <wp:docPr id="69" name="image8.png" descr=""/>
          <wp:cNvGraphicFramePr>
            <a:graphicFrameLocks noChangeAspect="1"/>
          </wp:cNvGraphicFramePr>
          <a:graphic>
            <a:graphicData uri="http://schemas.openxmlformats.org/drawingml/2006/picture">
              <pic:pic>
                <pic:nvPicPr>
                  <pic:cNvPr id="70"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502480"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8.21051pt;margin-top:815.473877pt;width:19.9pt;height:10.95pt;mso-position-horizontal-relative:page;mso-position-vertical-relative:page;z-index:-502456" type="#_x0000_t202" filled="false" stroked="false">
          <v:textbox inset="0,0,0,0">
            <w:txbxContent>
              <w:p>
                <w:pPr>
                  <w:spacing w:before="14"/>
                  <w:ind w:left="20" w:right="0" w:firstLine="0"/>
                  <w:jc w:val="left"/>
                  <w:rPr>
                    <w:sz w:val="16"/>
                  </w:rPr>
                </w:pPr>
                <w:r>
                  <w:rPr>
                    <w:sz w:val="16"/>
                  </w:rPr>
                  <w:t>B-</w:t>
                </w:r>
                <w:r>
                  <w:rPr/>
                  <w:fldChar w:fldCharType="begin"/>
                </w:r>
                <w:r>
                  <w:rPr>
                    <w:sz w:val="16"/>
                  </w:rPr>
                  <w:instrText> PAGE </w:instrText>
                </w:r>
                <w:r>
                  <w:rPr/>
                  <w:fldChar w:fldCharType="separate"/>
                </w:r>
                <w:r>
                  <w:rPr/>
                  <w:t>61</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3455">
          <wp:simplePos x="0" y="0"/>
          <wp:positionH relativeFrom="page">
            <wp:posOffset>0</wp:posOffset>
          </wp:positionH>
          <wp:positionV relativeFrom="page">
            <wp:posOffset>9907282</wp:posOffset>
          </wp:positionV>
          <wp:extent cx="7560564" cy="786625"/>
          <wp:effectExtent l="0" t="0" r="0" b="0"/>
          <wp:wrapNone/>
          <wp:docPr id="73" name="image8.png" descr=""/>
          <wp:cNvGraphicFramePr>
            <a:graphicFrameLocks noChangeAspect="1"/>
          </wp:cNvGraphicFramePr>
          <a:graphic>
            <a:graphicData uri="http://schemas.openxmlformats.org/drawingml/2006/picture">
              <pic:pic>
                <pic:nvPicPr>
                  <pic:cNvPr id="74"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501976"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8.21051pt;margin-top:815.473877pt;width:18.9pt;height:10.95pt;mso-position-horizontal-relative:page;mso-position-vertical-relative:page;z-index:-501952" type="#_x0000_t202" filled="false" stroked="false">
          <v:textbox inset="0,0,0,0">
            <w:txbxContent>
              <w:p>
                <w:pPr>
                  <w:spacing w:before="14"/>
                  <w:ind w:left="20" w:right="0" w:firstLine="0"/>
                  <w:jc w:val="left"/>
                  <w:rPr>
                    <w:sz w:val="16"/>
                  </w:rPr>
                </w:pPr>
                <w:r>
                  <w:rPr>
                    <w:sz w:val="16"/>
                  </w:rPr>
                  <w:t>B-70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1pt;margin-top:727.506653pt;width:10pt;height:15.3pt;mso-position-horizontal-relative:page;mso-position-vertical-relative:page;z-index:-506896"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5</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3575">
          <wp:simplePos x="0" y="0"/>
          <wp:positionH relativeFrom="page">
            <wp:posOffset>0</wp:posOffset>
          </wp:positionH>
          <wp:positionV relativeFrom="page">
            <wp:posOffset>9907282</wp:posOffset>
          </wp:positionV>
          <wp:extent cx="7560564" cy="786625"/>
          <wp:effectExtent l="0" t="0" r="0" b="0"/>
          <wp:wrapNone/>
          <wp:docPr id="77" name="image8.png" descr=""/>
          <wp:cNvGraphicFramePr>
            <a:graphicFrameLocks noChangeAspect="1"/>
          </wp:cNvGraphicFramePr>
          <a:graphic>
            <a:graphicData uri="http://schemas.openxmlformats.org/drawingml/2006/picture">
              <pic:pic>
                <pic:nvPicPr>
                  <pic:cNvPr id="78"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501856"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8.21051pt;margin-top:815.473877pt;width:19.9pt;height:10.95pt;mso-position-horizontal-relative:page;mso-position-vertical-relative:page;z-index:-501832" type="#_x0000_t202" filled="false" stroked="false">
          <v:textbox inset="0,0,0,0">
            <w:txbxContent>
              <w:p>
                <w:pPr>
                  <w:spacing w:before="14"/>
                  <w:ind w:left="20" w:right="0" w:firstLine="0"/>
                  <w:jc w:val="left"/>
                  <w:rPr>
                    <w:sz w:val="16"/>
                  </w:rPr>
                </w:pPr>
                <w:r>
                  <w:rPr>
                    <w:sz w:val="16"/>
                  </w:rPr>
                  <w:t>B-</w:t>
                </w:r>
                <w:r>
                  <w:rPr/>
                  <w:fldChar w:fldCharType="begin"/>
                </w:r>
                <w:r>
                  <w:rPr>
                    <w:sz w:val="16"/>
                  </w:rPr>
                  <w:instrText> PAGE </w:instrText>
                </w:r>
                <w:r>
                  <w:rPr/>
                  <w:fldChar w:fldCharType="separate"/>
                </w:r>
                <w:r>
                  <w:rPr/>
                  <w:t>72</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4079">
          <wp:simplePos x="0" y="0"/>
          <wp:positionH relativeFrom="page">
            <wp:posOffset>0</wp:posOffset>
          </wp:positionH>
          <wp:positionV relativeFrom="page">
            <wp:posOffset>9907282</wp:posOffset>
          </wp:positionV>
          <wp:extent cx="7560564" cy="786625"/>
          <wp:effectExtent l="0" t="0" r="0" b="0"/>
          <wp:wrapNone/>
          <wp:docPr id="103" name="image8.png" descr=""/>
          <wp:cNvGraphicFramePr>
            <a:graphicFrameLocks noChangeAspect="1"/>
          </wp:cNvGraphicFramePr>
          <a:graphic>
            <a:graphicData uri="http://schemas.openxmlformats.org/drawingml/2006/picture">
              <pic:pic>
                <pic:nvPicPr>
                  <pic:cNvPr id="104"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501352"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8.21051pt;margin-top:815.473877pt;width:18.9pt;height:10.95pt;mso-position-horizontal-relative:page;mso-position-vertical-relative:page;z-index:-501328" type="#_x0000_t202" filled="false" stroked="false">
          <v:textbox inset="0,0,0,0">
            <w:txbxContent>
              <w:p>
                <w:pPr>
                  <w:spacing w:before="14"/>
                  <w:ind w:left="20" w:right="0" w:firstLine="0"/>
                  <w:jc w:val="left"/>
                  <w:rPr>
                    <w:sz w:val="16"/>
                  </w:rPr>
                </w:pPr>
                <w:r>
                  <w:rPr>
                    <w:sz w:val="16"/>
                  </w:rPr>
                  <w:t>B-80</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4199">
          <wp:simplePos x="0" y="0"/>
          <wp:positionH relativeFrom="page">
            <wp:posOffset>0</wp:posOffset>
          </wp:positionH>
          <wp:positionV relativeFrom="page">
            <wp:posOffset>9907282</wp:posOffset>
          </wp:positionV>
          <wp:extent cx="7560564" cy="786625"/>
          <wp:effectExtent l="0" t="0" r="0" b="0"/>
          <wp:wrapNone/>
          <wp:docPr id="107" name="image8.png" descr=""/>
          <wp:cNvGraphicFramePr>
            <a:graphicFrameLocks noChangeAspect="1"/>
          </wp:cNvGraphicFramePr>
          <a:graphic>
            <a:graphicData uri="http://schemas.openxmlformats.org/drawingml/2006/picture">
              <pic:pic>
                <pic:nvPicPr>
                  <pic:cNvPr id="108"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501232"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8.21051pt;margin-top:815.473877pt;width:19.9pt;height:10.95pt;mso-position-horizontal-relative:page;mso-position-vertical-relative:page;z-index:-501208" type="#_x0000_t202" filled="false" stroked="false">
          <v:textbox inset="0,0,0,0">
            <w:txbxContent>
              <w:p>
                <w:pPr>
                  <w:spacing w:before="14"/>
                  <w:ind w:left="20" w:right="0" w:firstLine="0"/>
                  <w:jc w:val="left"/>
                  <w:rPr>
                    <w:sz w:val="16"/>
                  </w:rPr>
                </w:pPr>
                <w:r>
                  <w:rPr>
                    <w:sz w:val="16"/>
                  </w:rPr>
                  <w:t>B-</w:t>
                </w:r>
                <w:r>
                  <w:rPr/>
                  <w:fldChar w:fldCharType="begin"/>
                </w:r>
                <w:r>
                  <w:rPr>
                    <w:sz w:val="16"/>
                  </w:rPr>
                  <w:instrText> PAGE </w:instrText>
                </w:r>
                <w:r>
                  <w:rPr/>
                  <w:fldChar w:fldCharType="separate"/>
                </w:r>
                <w:r>
                  <w:rPr/>
                  <w:t>81</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4703">
          <wp:simplePos x="0" y="0"/>
          <wp:positionH relativeFrom="page">
            <wp:posOffset>0</wp:posOffset>
          </wp:positionH>
          <wp:positionV relativeFrom="page">
            <wp:posOffset>9907282</wp:posOffset>
          </wp:positionV>
          <wp:extent cx="7560564" cy="786625"/>
          <wp:effectExtent l="0" t="0" r="0" b="0"/>
          <wp:wrapNone/>
          <wp:docPr id="131" name="image8.png" descr=""/>
          <wp:cNvGraphicFramePr>
            <a:graphicFrameLocks noChangeAspect="1"/>
          </wp:cNvGraphicFramePr>
          <a:graphic>
            <a:graphicData uri="http://schemas.openxmlformats.org/drawingml/2006/picture">
              <pic:pic>
                <pic:nvPicPr>
                  <pic:cNvPr id="132"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500728"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8.21051pt;margin-top:815.473877pt;width:18.9pt;height:10.95pt;mso-position-horizontal-relative:page;mso-position-vertical-relative:page;z-index:-500704" type="#_x0000_t202" filled="false" stroked="false">
          <v:textbox inset="0,0,0,0">
            <w:txbxContent>
              <w:p>
                <w:pPr>
                  <w:spacing w:before="14"/>
                  <w:ind w:left="20" w:right="0" w:firstLine="0"/>
                  <w:jc w:val="left"/>
                  <w:rPr>
                    <w:sz w:val="16"/>
                  </w:rPr>
                </w:pPr>
                <w:r>
                  <w:rPr>
                    <w:sz w:val="16"/>
                  </w:rPr>
                  <w:t>B-90</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4823">
          <wp:simplePos x="0" y="0"/>
          <wp:positionH relativeFrom="page">
            <wp:posOffset>0</wp:posOffset>
          </wp:positionH>
          <wp:positionV relativeFrom="page">
            <wp:posOffset>9907282</wp:posOffset>
          </wp:positionV>
          <wp:extent cx="7560564" cy="786625"/>
          <wp:effectExtent l="0" t="0" r="0" b="0"/>
          <wp:wrapNone/>
          <wp:docPr id="135" name="image8.png" descr=""/>
          <wp:cNvGraphicFramePr>
            <a:graphicFrameLocks noChangeAspect="1"/>
          </wp:cNvGraphicFramePr>
          <a:graphic>
            <a:graphicData uri="http://schemas.openxmlformats.org/drawingml/2006/picture">
              <pic:pic>
                <pic:nvPicPr>
                  <pic:cNvPr id="136"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500608"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8.21051pt;margin-top:815.473877pt;width:19.9pt;height:10.95pt;mso-position-horizontal-relative:page;mso-position-vertical-relative:page;z-index:-500584" type="#_x0000_t202" filled="false" stroked="false">
          <v:textbox inset="0,0,0,0">
            <w:txbxContent>
              <w:p>
                <w:pPr>
                  <w:spacing w:before="14"/>
                  <w:ind w:left="20" w:right="0" w:firstLine="0"/>
                  <w:jc w:val="left"/>
                  <w:rPr>
                    <w:sz w:val="16"/>
                  </w:rPr>
                </w:pPr>
                <w:r>
                  <w:rPr>
                    <w:sz w:val="16"/>
                  </w:rPr>
                  <w:t>B-</w:t>
                </w:r>
                <w:r>
                  <w:rPr/>
                  <w:fldChar w:fldCharType="begin"/>
                </w:r>
                <w:r>
                  <w:rPr>
                    <w:sz w:val="16"/>
                  </w:rPr>
                  <w:instrText> PAGE </w:instrText>
                </w:r>
                <w:r>
                  <w:rPr/>
                  <w:fldChar w:fldCharType="separate"/>
                </w:r>
                <w:r>
                  <w:rPr/>
                  <w:t>92</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5327">
          <wp:simplePos x="0" y="0"/>
          <wp:positionH relativeFrom="page">
            <wp:posOffset>0</wp:posOffset>
          </wp:positionH>
          <wp:positionV relativeFrom="page">
            <wp:posOffset>9907282</wp:posOffset>
          </wp:positionV>
          <wp:extent cx="7560564" cy="786625"/>
          <wp:effectExtent l="0" t="0" r="0" b="0"/>
          <wp:wrapNone/>
          <wp:docPr id="167" name="image8.png" descr=""/>
          <wp:cNvGraphicFramePr>
            <a:graphicFrameLocks noChangeAspect="1"/>
          </wp:cNvGraphicFramePr>
          <a:graphic>
            <a:graphicData uri="http://schemas.openxmlformats.org/drawingml/2006/picture">
              <pic:pic>
                <pic:nvPicPr>
                  <pic:cNvPr id="168"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500104"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5.985992pt;margin-top:815.473877pt;width:23.35pt;height:10.95pt;mso-position-horizontal-relative:page;mso-position-vertical-relative:page;z-index:-500080" type="#_x0000_t202" filled="false" stroked="false">
          <v:textbox inset="0,0,0,0">
            <w:txbxContent>
              <w:p>
                <w:pPr>
                  <w:spacing w:before="14"/>
                  <w:ind w:left="20" w:right="0" w:firstLine="0"/>
                  <w:jc w:val="left"/>
                  <w:rPr>
                    <w:sz w:val="16"/>
                  </w:rPr>
                </w:pPr>
                <w:r>
                  <w:rPr>
                    <w:sz w:val="16"/>
                  </w:rPr>
                  <w:t>B-100</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5447">
          <wp:simplePos x="0" y="0"/>
          <wp:positionH relativeFrom="page">
            <wp:posOffset>0</wp:posOffset>
          </wp:positionH>
          <wp:positionV relativeFrom="page">
            <wp:posOffset>9907282</wp:posOffset>
          </wp:positionV>
          <wp:extent cx="7560564" cy="786625"/>
          <wp:effectExtent l="0" t="0" r="0" b="0"/>
          <wp:wrapNone/>
          <wp:docPr id="169" name="image8.png" descr=""/>
          <wp:cNvGraphicFramePr>
            <a:graphicFrameLocks noChangeAspect="1"/>
          </wp:cNvGraphicFramePr>
          <a:graphic>
            <a:graphicData uri="http://schemas.openxmlformats.org/drawingml/2006/picture">
              <pic:pic>
                <pic:nvPicPr>
                  <pic:cNvPr id="170"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499984"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5.985992pt;margin-top:815.473877pt;width:24.35pt;height:10.95pt;mso-position-horizontal-relative:page;mso-position-vertical-relative:page;z-index:-499960" type="#_x0000_t202" filled="false" stroked="false">
          <v:textbox inset="0,0,0,0">
            <w:txbxContent>
              <w:p>
                <w:pPr>
                  <w:spacing w:before="14"/>
                  <w:ind w:left="20" w:right="0" w:firstLine="0"/>
                  <w:jc w:val="left"/>
                  <w:rPr>
                    <w:sz w:val="16"/>
                  </w:rPr>
                </w:pPr>
                <w:r>
                  <w:rPr>
                    <w:sz w:val="16"/>
                  </w:rPr>
                  <w:t>B-</w:t>
                </w:r>
                <w:r>
                  <w:rPr/>
                  <w:fldChar w:fldCharType="begin"/>
                </w:r>
                <w:r>
                  <w:rPr>
                    <w:sz w:val="16"/>
                  </w:rPr>
                  <w:instrText> PAGE </w:instrText>
                </w:r>
                <w:r>
                  <w:rPr/>
                  <w:fldChar w:fldCharType="separate"/>
                </w:r>
                <w:r>
                  <w:rPr/>
                  <w:t>103</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5951">
          <wp:simplePos x="0" y="0"/>
          <wp:positionH relativeFrom="page">
            <wp:posOffset>0</wp:posOffset>
          </wp:positionH>
          <wp:positionV relativeFrom="page">
            <wp:posOffset>9907282</wp:posOffset>
          </wp:positionV>
          <wp:extent cx="7560564" cy="786625"/>
          <wp:effectExtent l="0" t="0" r="0" b="0"/>
          <wp:wrapNone/>
          <wp:docPr id="175" name="image8.png" descr=""/>
          <wp:cNvGraphicFramePr>
            <a:graphicFrameLocks noChangeAspect="1"/>
          </wp:cNvGraphicFramePr>
          <a:graphic>
            <a:graphicData uri="http://schemas.openxmlformats.org/drawingml/2006/picture">
              <pic:pic>
                <pic:nvPicPr>
                  <pic:cNvPr id="176"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499480"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5.985992pt;margin-top:815.473877pt;width:23.35pt;height:10.95pt;mso-position-horizontal-relative:page;mso-position-vertical-relative:page;z-index:-499456" type="#_x0000_t202" filled="false" stroked="false">
          <v:textbox inset="0,0,0,0">
            <w:txbxContent>
              <w:p>
                <w:pPr>
                  <w:spacing w:before="14"/>
                  <w:ind w:left="20" w:right="0" w:firstLine="0"/>
                  <w:jc w:val="left"/>
                  <w:rPr>
                    <w:sz w:val="16"/>
                  </w:rPr>
                </w:pPr>
                <w:r>
                  <w:rPr>
                    <w:sz w:val="16"/>
                  </w:rPr>
                  <w:t>B-110</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6071">
          <wp:simplePos x="0" y="0"/>
          <wp:positionH relativeFrom="page">
            <wp:posOffset>0</wp:posOffset>
          </wp:positionH>
          <wp:positionV relativeFrom="page">
            <wp:posOffset>9907282</wp:posOffset>
          </wp:positionV>
          <wp:extent cx="7560564" cy="786625"/>
          <wp:effectExtent l="0" t="0" r="0" b="0"/>
          <wp:wrapNone/>
          <wp:docPr id="177" name="image8.png" descr=""/>
          <wp:cNvGraphicFramePr>
            <a:graphicFrameLocks noChangeAspect="1"/>
          </wp:cNvGraphicFramePr>
          <a:graphic>
            <a:graphicData uri="http://schemas.openxmlformats.org/drawingml/2006/picture">
              <pic:pic>
                <pic:nvPicPr>
                  <pic:cNvPr id="178"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499360"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5.985992pt;margin-top:815.473877pt;width:24.35pt;height:10.95pt;mso-position-horizontal-relative:page;mso-position-vertical-relative:page;z-index:-499336" type="#_x0000_t202" filled="false" stroked="false">
          <v:textbox inset="0,0,0,0">
            <w:txbxContent>
              <w:p>
                <w:pPr>
                  <w:spacing w:before="14"/>
                  <w:ind w:left="20" w:right="0" w:firstLine="0"/>
                  <w:jc w:val="left"/>
                  <w:rPr>
                    <w:sz w:val="16"/>
                  </w:rPr>
                </w:pPr>
                <w:r>
                  <w:rPr>
                    <w:sz w:val="16"/>
                  </w:rPr>
                  <w:t>B-</w:t>
                </w:r>
                <w:r>
                  <w:rPr/>
                  <w:fldChar w:fldCharType="begin"/>
                </w:r>
                <w:r>
                  <w:rPr>
                    <w:sz w:val="16"/>
                  </w:rPr>
                  <w:instrText> PAGE </w:instrText>
                </w:r>
                <w:r>
                  <w:rPr/>
                  <w:fldChar w:fldCharType="separate"/>
                </w:r>
                <w:r>
                  <w:rPr/>
                  <w:t>111</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6575">
          <wp:simplePos x="0" y="0"/>
          <wp:positionH relativeFrom="page">
            <wp:posOffset>0</wp:posOffset>
          </wp:positionH>
          <wp:positionV relativeFrom="page">
            <wp:posOffset>9907282</wp:posOffset>
          </wp:positionV>
          <wp:extent cx="7560564" cy="786625"/>
          <wp:effectExtent l="0" t="0" r="0" b="0"/>
          <wp:wrapNone/>
          <wp:docPr id="187" name="image8.png" descr=""/>
          <wp:cNvGraphicFramePr>
            <a:graphicFrameLocks noChangeAspect="1"/>
          </wp:cNvGraphicFramePr>
          <a:graphic>
            <a:graphicData uri="http://schemas.openxmlformats.org/drawingml/2006/picture">
              <pic:pic>
                <pic:nvPicPr>
                  <pic:cNvPr id="188"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498856"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5.985992pt;margin-top:815.473877pt;width:23.35pt;height:10.95pt;mso-position-horizontal-relative:page;mso-position-vertical-relative:page;z-index:-498832" type="#_x0000_t202" filled="false" stroked="false">
          <v:textbox inset="0,0,0,0">
            <w:txbxContent>
              <w:p>
                <w:pPr>
                  <w:spacing w:before="14"/>
                  <w:ind w:left="20" w:right="0" w:firstLine="0"/>
                  <w:jc w:val="left"/>
                  <w:rPr>
                    <w:sz w:val="16"/>
                  </w:rPr>
                </w:pPr>
                <w:r>
                  <w:rPr>
                    <w:sz w:val="16"/>
                  </w:rPr>
                  <w:t>B-120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1pt;margin-top:727.506653pt;width:10pt;height:15.3pt;mso-position-horizontal-relative:page;mso-position-vertical-relative:page;z-index:-506872"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6</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6695">
          <wp:simplePos x="0" y="0"/>
          <wp:positionH relativeFrom="page">
            <wp:posOffset>0</wp:posOffset>
          </wp:positionH>
          <wp:positionV relativeFrom="page">
            <wp:posOffset>9907282</wp:posOffset>
          </wp:positionV>
          <wp:extent cx="7560564" cy="786625"/>
          <wp:effectExtent l="0" t="0" r="0" b="0"/>
          <wp:wrapNone/>
          <wp:docPr id="191" name="image8.png" descr=""/>
          <wp:cNvGraphicFramePr>
            <a:graphicFrameLocks noChangeAspect="1"/>
          </wp:cNvGraphicFramePr>
          <a:graphic>
            <a:graphicData uri="http://schemas.openxmlformats.org/drawingml/2006/picture">
              <pic:pic>
                <pic:nvPicPr>
                  <pic:cNvPr id="192" name="image8.png"/>
                  <pic:cNvPicPr/>
                </pic:nvPicPr>
                <pic:blipFill>
                  <a:blip r:embed="rId1" cstate="print"/>
                  <a:stretch>
                    <a:fillRect/>
                  </a:stretch>
                </pic:blipFill>
                <pic:spPr>
                  <a:xfrm>
                    <a:off x="0" y="0"/>
                    <a:ext cx="7560564" cy="786625"/>
                  </a:xfrm>
                  <a:prstGeom prst="rect">
                    <a:avLst/>
                  </a:prstGeom>
                </pic:spPr>
              </pic:pic>
            </a:graphicData>
          </a:graphic>
        </wp:anchor>
      </w:drawing>
    </w:r>
    <w:r>
      <w:rPr/>
      <w:pict>
        <v:shape style="position:absolute;margin-left:55.664001pt;margin-top:801.212524pt;width:27pt;height:12.1pt;mso-position-horizontal-relative:page;mso-position-vertical-relative:page;z-index:-498736" type="#_x0000_t202" filled="false" stroked="false">
          <v:textbox inset="0,0,0,0">
            <w:txbxContent>
              <w:p>
                <w:pPr>
                  <w:spacing w:before="14"/>
                  <w:ind w:left="20" w:right="0" w:firstLine="0"/>
                  <w:jc w:val="left"/>
                  <w:rPr>
                    <w:b/>
                    <w:i/>
                    <w:sz w:val="18"/>
                  </w:rPr>
                </w:pPr>
                <w:r>
                  <w:rPr>
                    <w:b/>
                    <w:i/>
                    <w:color w:val="FFFFFF"/>
                    <w:sz w:val="18"/>
                  </w:rPr>
                  <w:t>5GAA</w:t>
                </w:r>
              </w:p>
            </w:txbxContent>
          </v:textbox>
          <w10:wrap type="none"/>
        </v:shape>
      </w:pict>
    </w:r>
    <w:r>
      <w:rPr/>
      <w:pict>
        <v:shape style="position:absolute;margin-left:285.985992pt;margin-top:815.473877pt;width:24.35pt;height:10.95pt;mso-position-horizontal-relative:page;mso-position-vertical-relative:page;z-index:-498712" type="#_x0000_t202" filled="false" stroked="false">
          <v:textbox inset="0,0,0,0">
            <w:txbxContent>
              <w:p>
                <w:pPr>
                  <w:spacing w:before="14"/>
                  <w:ind w:left="20" w:right="0" w:firstLine="0"/>
                  <w:jc w:val="left"/>
                  <w:rPr>
                    <w:sz w:val="16"/>
                  </w:rPr>
                </w:pPr>
                <w:r>
                  <w:rPr>
                    <w:sz w:val="16"/>
                  </w:rPr>
                  <w:t>B-</w:t>
                </w:r>
                <w:r>
                  <w:rPr/>
                  <w:fldChar w:fldCharType="begin"/>
                </w:r>
                <w:r>
                  <w:rPr>
                    <w:sz w:val="16"/>
                  </w:rPr>
                  <w:instrText> PAGE </w:instrText>
                </w:r>
                <w:r>
                  <w:rPr/>
                  <w:fldChar w:fldCharType="separate"/>
                </w:r>
                <w:r>
                  <w:rPr/>
                  <w:t>121</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6pt;margin-top:727.506653pt;width:21pt;height:15.3pt;mso-position-horizontal-relative:page;mso-position-vertical-relative:page;z-index:-498640" type="#_x0000_t202" filled="false" stroked="false">
          <v:textbox inset="0,0,0,0">
            <w:txbxContent>
              <w:p>
                <w:pPr>
                  <w:spacing w:before="10"/>
                  <w:ind w:left="20" w:right="0" w:firstLine="0"/>
                  <w:jc w:val="left"/>
                  <w:rPr>
                    <w:rFonts w:ascii="Times New Roman"/>
                    <w:sz w:val="24"/>
                  </w:rPr>
                </w:pPr>
                <w:r>
                  <w:rPr>
                    <w:rFonts w:ascii="Times New Roman"/>
                    <w:sz w:val="24"/>
                  </w:rPr>
                  <w:t>C-</w:t>
                </w:r>
                <w:r>
                  <w:rPr/>
                  <w:fldChar w:fldCharType="begin"/>
                </w:r>
                <w:r>
                  <w:rPr>
                    <w:rFonts w:ascii="Times New Roman"/>
                    <w:sz w:val="24"/>
                  </w:rPr>
                  <w:instrText> PAGE </w:instrText>
                </w:r>
                <w:r>
                  <w:rPr/>
                  <w:fldChar w:fldCharType="separate"/>
                </w:r>
                <w:r>
                  <w:rPr/>
                  <w:t>1</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6pt;margin-top:727.506653pt;width:21pt;height:15.3pt;mso-position-horizontal-relative:page;mso-position-vertical-relative:page;z-index:-498616" type="#_x0000_t202" filled="false" stroked="false">
          <v:textbox inset="0,0,0,0">
            <w:txbxContent>
              <w:p>
                <w:pPr>
                  <w:spacing w:before="10"/>
                  <w:ind w:left="20" w:right="0" w:firstLine="0"/>
                  <w:jc w:val="left"/>
                  <w:rPr>
                    <w:rFonts w:ascii="Times New Roman"/>
                    <w:sz w:val="24"/>
                  </w:rPr>
                </w:pPr>
                <w:r>
                  <w:rPr>
                    <w:rFonts w:ascii="Times New Roman"/>
                    <w:sz w:val="24"/>
                  </w:rPr>
                  <w:t>C-</w:t>
                </w:r>
                <w:r>
                  <w:rPr/>
                  <w:fldChar w:fldCharType="begin"/>
                </w:r>
                <w:r>
                  <w:rPr>
                    <w:rFonts w:ascii="Times New Roman"/>
                    <w:sz w:val="24"/>
                  </w:rPr>
                  <w:instrText> PAGE </w:instrText>
                </w:r>
                <w:r>
                  <w:rPr/>
                  <w:fldChar w:fldCharType="separate"/>
                </w:r>
                <w:r>
                  <w:rPr/>
                  <w:t>2</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6pt;margin-top:727.506653pt;width:21pt;height:15.3pt;mso-position-horizontal-relative:page;mso-position-vertical-relative:page;z-index:-498592" type="#_x0000_t202" filled="false" stroked="false">
          <v:textbox inset="0,0,0,0">
            <w:txbxContent>
              <w:p>
                <w:pPr>
                  <w:spacing w:before="10"/>
                  <w:ind w:left="20" w:right="0" w:firstLine="0"/>
                  <w:jc w:val="left"/>
                  <w:rPr>
                    <w:rFonts w:ascii="Times New Roman"/>
                    <w:sz w:val="24"/>
                  </w:rPr>
                </w:pPr>
                <w:r>
                  <w:rPr>
                    <w:rFonts w:ascii="Times New Roman"/>
                    <w:sz w:val="24"/>
                  </w:rPr>
                  <w:t>C-</w:t>
                </w:r>
                <w:r>
                  <w:rPr/>
                  <w:fldChar w:fldCharType="begin"/>
                </w:r>
                <w:r>
                  <w:rPr>
                    <w:rFonts w:ascii="Times New Roman"/>
                    <w:sz w:val="24"/>
                  </w:rPr>
                  <w:instrText> PAGE </w:instrText>
                </w:r>
                <w:r>
                  <w:rPr/>
                  <w:fldChar w:fldCharType="separate"/>
                </w:r>
                <w:r>
                  <w:rPr/>
                  <w:t>3</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6pt;margin-top:727.506653pt;width:21pt;height:15.3pt;mso-position-horizontal-relative:page;mso-position-vertical-relative:page;z-index:-498568" type="#_x0000_t202" filled="false" stroked="false">
          <v:textbox inset="0,0,0,0">
            <w:txbxContent>
              <w:p>
                <w:pPr>
                  <w:spacing w:before="10"/>
                  <w:ind w:left="20" w:right="0" w:firstLine="0"/>
                  <w:jc w:val="left"/>
                  <w:rPr>
                    <w:rFonts w:ascii="Times New Roman"/>
                    <w:sz w:val="24"/>
                  </w:rPr>
                </w:pPr>
                <w:r>
                  <w:rPr>
                    <w:rFonts w:ascii="Times New Roman"/>
                    <w:sz w:val="24"/>
                  </w:rPr>
                  <w:t>C-</w:t>
                </w:r>
                <w:r>
                  <w:rPr/>
                  <w:fldChar w:fldCharType="begin"/>
                </w:r>
                <w:r>
                  <w:rPr>
                    <w:rFonts w:ascii="Times New Roman"/>
                    <w:sz w:val="24"/>
                  </w:rPr>
                  <w:instrText> PAGE </w:instrText>
                </w:r>
                <w:r>
                  <w:rPr/>
                  <w:fldChar w:fldCharType="separate"/>
                </w:r>
                <w:r>
                  <w:rPr/>
                  <w:t>4</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6pt;margin-top:727.506653pt;width:21pt;height:15.3pt;mso-position-horizontal-relative:page;mso-position-vertical-relative:page;z-index:-498544" type="#_x0000_t202" filled="false" stroked="false">
          <v:textbox inset="0,0,0,0">
            <w:txbxContent>
              <w:p>
                <w:pPr>
                  <w:spacing w:before="10"/>
                  <w:ind w:left="20" w:right="0" w:firstLine="0"/>
                  <w:jc w:val="left"/>
                  <w:rPr>
                    <w:rFonts w:ascii="Times New Roman"/>
                    <w:sz w:val="24"/>
                  </w:rPr>
                </w:pPr>
                <w:r>
                  <w:rPr>
                    <w:rFonts w:ascii="Times New Roman"/>
                    <w:sz w:val="24"/>
                  </w:rPr>
                  <w:t>C-</w:t>
                </w:r>
                <w:r>
                  <w:rPr/>
                  <w:fldChar w:fldCharType="begin"/>
                </w:r>
                <w:r>
                  <w:rPr>
                    <w:rFonts w:ascii="Times New Roman"/>
                    <w:sz w:val="24"/>
                  </w:rPr>
                  <w:instrText> PAGE </w:instrText>
                </w:r>
                <w:r>
                  <w:rPr/>
                  <w:fldChar w:fldCharType="separate"/>
                </w:r>
                <w:r>
                  <w:rPr/>
                  <w:t>5</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5.640015pt;margin-top:727.506653pt;width:21.6pt;height:15.3pt;mso-position-horizontal-relative:page;mso-position-vertical-relative:page;z-index:-498520" type="#_x0000_t202" filled="false" stroked="false">
          <v:textbox inset="0,0,0,0">
            <w:txbxContent>
              <w:p>
                <w:pPr>
                  <w:spacing w:before="10"/>
                  <w:ind w:left="20" w:right="0" w:firstLine="0"/>
                  <w:jc w:val="left"/>
                  <w:rPr>
                    <w:rFonts w:ascii="Times New Roman"/>
                    <w:sz w:val="24"/>
                  </w:rPr>
                </w:pPr>
                <w:r>
                  <w:rPr>
                    <w:rFonts w:ascii="Times New Roman"/>
                    <w:sz w:val="24"/>
                  </w:rPr>
                  <w:t>D-</w:t>
                </w:r>
                <w:r>
                  <w:rPr/>
                  <w:fldChar w:fldCharType="begin"/>
                </w:r>
                <w:r>
                  <w:rPr>
                    <w:rFonts w:ascii="Times New Roman"/>
                    <w:sz w:val="24"/>
                  </w:rPr>
                  <w:instrText> PAGE </w:instrText>
                </w:r>
                <w:r>
                  <w:rPr/>
                  <w:fldChar w:fldCharType="separate"/>
                </w:r>
                <w:r>
                  <w:rPr/>
                  <w:t>1</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5.640015pt;margin-top:727.506653pt;width:21.6pt;height:15.3pt;mso-position-horizontal-relative:page;mso-position-vertical-relative:page;z-index:-498496" type="#_x0000_t202" filled="false" stroked="false">
          <v:textbox inset="0,0,0,0">
            <w:txbxContent>
              <w:p>
                <w:pPr>
                  <w:spacing w:before="10"/>
                  <w:ind w:left="20" w:right="0" w:firstLine="0"/>
                  <w:jc w:val="left"/>
                  <w:rPr>
                    <w:rFonts w:ascii="Times New Roman"/>
                    <w:sz w:val="24"/>
                  </w:rPr>
                </w:pPr>
                <w:r>
                  <w:rPr>
                    <w:rFonts w:ascii="Times New Roman"/>
                    <w:sz w:val="24"/>
                  </w:rPr>
                  <w:t>D-</w:t>
                </w:r>
                <w:r>
                  <w:rPr/>
                  <w:fldChar w:fldCharType="begin"/>
                </w:r>
                <w:r>
                  <w:rPr>
                    <w:rFonts w:ascii="Times New Roman"/>
                    <w:sz w:val="24"/>
                  </w:rPr>
                  <w:instrText> PAGE </w:instrText>
                </w:r>
                <w:r>
                  <w:rPr/>
                  <w:fldChar w:fldCharType="separate"/>
                </w:r>
                <w:r>
                  <w:rPr/>
                  <w:t>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pt;margin-top:727.506653pt;width:16pt;height:15.3pt;mso-position-horizontal-relative:page;mso-position-vertical-relative:page;z-index:-506776"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11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pt;margin-top:727.506653pt;width:16pt;height:15.3pt;mso-position-horizontal-relative:page;mso-position-vertical-relative:page;z-index:-506752"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12</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pt;margin-top:727.506653pt;width:16pt;height:15.3pt;mso-position-horizontal-relative:page;mso-position-vertical-relative:page;z-index:-506728"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13</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8pt;margin-top:727.506653pt;width:16pt;height:15.3pt;mso-position-horizontal-relative:page;mso-position-vertical-relative:page;z-index:-506704"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14</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240.320007pt;margin-top:71.346642pt;width:131.35pt;height:15.3pt;mso-position-horizontal-relative:page;mso-position-vertical-relative:page;z-index:-507016" type="#_x0000_t202" filled="false" stroked="false">
          <v:textbox inset="0,0,0,0">
            <w:txbxContent>
              <w:p>
                <w:pPr>
                  <w:spacing w:before="10"/>
                  <w:ind w:left="20" w:right="0" w:firstLine="0"/>
                  <w:jc w:val="left"/>
                  <w:rPr>
                    <w:rFonts w:ascii="Times New Roman"/>
                    <w:b/>
                    <w:sz w:val="24"/>
                  </w:rPr>
                </w:pPr>
                <w:r>
                  <w:rPr>
                    <w:rFonts w:ascii="Times New Roman"/>
                    <w:b/>
                    <w:sz w:val="24"/>
                  </w:rPr>
                  <w:t>TABLE OF CONTENTS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69.115448pt;width:454.4pt;height:17.3pt;mso-position-horizontal-relative:page;mso-position-vertical-relative:page;z-index:-506848" type="#_x0000_t202" filled="false" stroked="false">
          <v:textbox inset="0,0,0,0">
            <w:txbxContent>
              <w:p>
                <w:pPr>
                  <w:spacing w:before="14"/>
                  <w:ind w:left="20" w:right="0" w:firstLine="0"/>
                  <w:jc w:val="left"/>
                  <w:rPr>
                    <w:rFonts w:ascii="Times New Roman" w:hAnsi="Times New Roman"/>
                    <w:sz w:val="24"/>
                  </w:rPr>
                </w:pPr>
                <w:r>
                  <w:rPr>
                    <w:rFonts w:ascii="Times New Roman" w:hAnsi="Times New Roman"/>
                    <w:sz w:val="24"/>
                  </w:rPr>
                  <w:t>prevent accidents.</w:t>
                </w:r>
                <w:hyperlink w:history="true" w:anchor="_bookmark26">
                  <w:r>
                    <w:rPr>
                      <w:rFonts w:ascii="Times New Roman" w:hAnsi="Times New Roman"/>
                      <w:position w:val="11"/>
                      <w:sz w:val="16"/>
                    </w:rPr>
                    <w:t>18</w:t>
                  </w:r>
                </w:hyperlink>
                <w:r>
                  <w:rPr>
                    <w:rFonts w:ascii="Times New Roman" w:hAnsi="Times New Roman"/>
                    <w:position w:val="11"/>
                    <w:sz w:val="16"/>
                  </w:rPr>
                  <w:t>  </w:t>
                </w:r>
                <w:r>
                  <w:rPr>
                    <w:rFonts w:ascii="Times New Roman" w:hAnsi="Times New Roman"/>
                    <w:sz w:val="24"/>
                  </w:rPr>
                  <w:t>To augment these peer-to-peer mode communications, C-V2X’s network</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2384" type="#_x0000_t202" filled="false" stroked="false">
          <v:textbox inset="0,0,0,0">
            <w:txbxContent>
              <w:p>
                <w:pPr>
                  <w:spacing w:before="14"/>
                  <w:ind w:left="20" w:right="0" w:firstLine="0"/>
                  <w:jc w:val="left"/>
                  <w:rPr>
                    <w:b/>
                    <w:sz w:val="18"/>
                  </w:rPr>
                </w:pPr>
                <w:r>
                  <w:rPr>
                    <w:b/>
                    <w:sz w:val="18"/>
                  </w:rPr>
                  <w:t>62</w:t>
                </w:r>
              </w:p>
            </w:txbxContent>
          </v:textbox>
          <w10:wrap type="none"/>
        </v:shape>
      </w:pict>
    </w:r>
    <w:r>
      <w:rPr/>
      <w:pict>
        <v:shape style="position:absolute;margin-left:471.179993pt;margin-top:41.612518pt;width:68.650pt;height:12.1pt;mso-position-horizontal-relative:page;mso-position-vertical-relative:page;z-index:-502360"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2336" type="#_x0000_t202" filled="false" stroked="false">
          <v:textbox inset="0,0,0,0">
            <w:txbxContent>
              <w:p>
                <w:pPr>
                  <w:spacing w:before="14"/>
                  <w:ind w:left="20" w:right="0" w:firstLine="0"/>
                  <w:jc w:val="left"/>
                  <w:rPr>
                    <w:b/>
                    <w:sz w:val="18"/>
                  </w:rPr>
                </w:pPr>
                <w:r>
                  <w:rPr>
                    <w:b/>
                    <w:sz w:val="18"/>
                  </w:rPr>
                  <w:t>63</w:t>
                </w:r>
              </w:p>
            </w:txbxContent>
          </v:textbox>
          <w10:wrap type="none"/>
        </v:shape>
      </w:pict>
    </w:r>
    <w:r>
      <w:rPr/>
      <w:pict>
        <v:shape style="position:absolute;margin-left:471.179993pt;margin-top:41.612518pt;width:68.650pt;height:12.1pt;mso-position-horizontal-relative:page;mso-position-vertical-relative:page;z-index:-502312"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2288" type="#_x0000_t202" filled="false" stroked="false">
          <v:textbox inset="0,0,0,0">
            <w:txbxContent>
              <w:p>
                <w:pPr>
                  <w:spacing w:before="14"/>
                  <w:ind w:left="20" w:right="0" w:firstLine="0"/>
                  <w:jc w:val="left"/>
                  <w:rPr>
                    <w:b/>
                    <w:sz w:val="18"/>
                  </w:rPr>
                </w:pPr>
                <w:r>
                  <w:rPr>
                    <w:b/>
                    <w:sz w:val="18"/>
                  </w:rPr>
                  <w:t>64</w:t>
                </w:r>
              </w:p>
            </w:txbxContent>
          </v:textbox>
          <w10:wrap type="none"/>
        </v:shape>
      </w:pict>
    </w:r>
    <w:r>
      <w:rPr/>
      <w:pict>
        <v:shape style="position:absolute;margin-left:471.179993pt;margin-top:41.612518pt;width:68.650pt;height:12.1pt;mso-position-horizontal-relative:page;mso-position-vertical-relative:page;z-index:-50226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2240" type="#_x0000_t202" filled="false" stroked="false">
          <v:textbox inset="0,0,0,0">
            <w:txbxContent>
              <w:p>
                <w:pPr>
                  <w:spacing w:before="14"/>
                  <w:ind w:left="20" w:right="0" w:firstLine="0"/>
                  <w:jc w:val="left"/>
                  <w:rPr>
                    <w:b/>
                    <w:sz w:val="18"/>
                  </w:rPr>
                </w:pPr>
                <w:r>
                  <w:rPr>
                    <w:b/>
                    <w:sz w:val="18"/>
                  </w:rPr>
                  <w:t>65</w:t>
                </w:r>
              </w:p>
            </w:txbxContent>
          </v:textbox>
          <w10:wrap type="none"/>
        </v:shape>
      </w:pict>
    </w:r>
    <w:r>
      <w:rPr/>
      <w:pict>
        <v:shape style="position:absolute;margin-left:471.179993pt;margin-top:41.612518pt;width:68.650pt;height:12.1pt;mso-position-horizontal-relative:page;mso-position-vertical-relative:page;z-index:-502216"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2192" type="#_x0000_t202" filled="false" stroked="false">
          <v:textbox inset="0,0,0,0">
            <w:txbxContent>
              <w:p>
                <w:pPr>
                  <w:spacing w:before="14"/>
                  <w:ind w:left="20" w:right="0" w:firstLine="0"/>
                  <w:jc w:val="left"/>
                  <w:rPr>
                    <w:b/>
                    <w:sz w:val="18"/>
                  </w:rPr>
                </w:pPr>
                <w:r>
                  <w:rPr>
                    <w:b/>
                    <w:sz w:val="18"/>
                  </w:rPr>
                  <w:t>66</w:t>
                </w:r>
              </w:p>
            </w:txbxContent>
          </v:textbox>
          <w10:wrap type="none"/>
        </v:shape>
      </w:pict>
    </w:r>
    <w:r>
      <w:rPr/>
      <w:pict>
        <v:shape style="position:absolute;margin-left:471.179993pt;margin-top:41.612518pt;width:68.650pt;height:12.1pt;mso-position-horizontal-relative:page;mso-position-vertical-relative:page;z-index:-50216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2144" type="#_x0000_t202" filled="false" stroked="false">
          <v:textbox inset="0,0,0,0">
            <w:txbxContent>
              <w:p>
                <w:pPr>
                  <w:spacing w:before="14"/>
                  <w:ind w:left="20" w:right="0" w:firstLine="0"/>
                  <w:jc w:val="left"/>
                  <w:rPr>
                    <w:b/>
                    <w:sz w:val="18"/>
                  </w:rPr>
                </w:pPr>
                <w:r>
                  <w:rPr>
                    <w:b/>
                    <w:sz w:val="18"/>
                  </w:rPr>
                  <w:t>67</w:t>
                </w:r>
              </w:p>
            </w:txbxContent>
          </v:textbox>
          <w10:wrap type="none"/>
        </v:shape>
      </w:pict>
    </w:r>
    <w:r>
      <w:rPr/>
      <w:pict>
        <v:shape style="position:absolute;margin-left:471.179993pt;margin-top:41.612518pt;width:68.650pt;height:12.1pt;mso-position-horizontal-relative:page;mso-position-vertical-relative:page;z-index:-502120"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2096" type="#_x0000_t202" filled="false" stroked="false">
          <v:textbox inset="0,0,0,0">
            <w:txbxContent>
              <w:p>
                <w:pPr>
                  <w:spacing w:before="14"/>
                  <w:ind w:left="20" w:right="0" w:firstLine="0"/>
                  <w:jc w:val="left"/>
                  <w:rPr>
                    <w:b/>
                    <w:sz w:val="18"/>
                  </w:rPr>
                </w:pPr>
                <w:r>
                  <w:rPr>
                    <w:b/>
                    <w:sz w:val="18"/>
                  </w:rPr>
                  <w:t>68</w:t>
                </w:r>
              </w:p>
            </w:txbxContent>
          </v:textbox>
          <w10:wrap type="none"/>
        </v:shape>
      </w:pict>
    </w:r>
    <w:r>
      <w:rPr/>
      <w:pict>
        <v:shape style="position:absolute;margin-left:471.179993pt;margin-top:41.612518pt;width:68.650pt;height:12.1pt;mso-position-horizontal-relative:page;mso-position-vertical-relative:page;z-index:-502072"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2048" type="#_x0000_t202" filled="false" stroked="false">
          <v:textbox inset="0,0,0,0">
            <w:txbxContent>
              <w:p>
                <w:pPr>
                  <w:spacing w:before="14"/>
                  <w:ind w:left="20" w:right="0" w:firstLine="0"/>
                  <w:jc w:val="left"/>
                  <w:rPr>
                    <w:b/>
                    <w:sz w:val="18"/>
                  </w:rPr>
                </w:pPr>
                <w:r>
                  <w:rPr>
                    <w:b/>
                    <w:sz w:val="18"/>
                  </w:rPr>
                  <w:t>69</w:t>
                </w:r>
              </w:p>
            </w:txbxContent>
          </v:textbox>
          <w10:wrap type="none"/>
        </v:shape>
      </w:pict>
    </w:r>
    <w:r>
      <w:rPr/>
      <w:pict>
        <v:shape style="position:absolute;margin-left:471.179993pt;margin-top:41.612518pt;width:68.650pt;height:12.1pt;mso-position-horizontal-relative:page;mso-position-vertical-relative:page;z-index:-50202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1928" type="#_x0000_t202" filled="false" stroked="false">
          <v:textbox inset="0,0,0,0">
            <w:txbxContent>
              <w:p>
                <w:pPr>
                  <w:spacing w:before="14"/>
                  <w:ind w:left="20" w:right="0" w:firstLine="0"/>
                  <w:jc w:val="left"/>
                  <w:rPr>
                    <w:b/>
                    <w:sz w:val="18"/>
                  </w:rPr>
                </w:pPr>
                <w:r>
                  <w:rPr>
                    <w:b/>
                    <w:sz w:val="18"/>
                  </w:rPr>
                  <w:t>70</w:t>
                </w:r>
              </w:p>
            </w:txbxContent>
          </v:textbox>
          <w10:wrap type="none"/>
        </v:shape>
      </w:pict>
    </w:r>
    <w:r>
      <w:rPr/>
      <w:pict>
        <v:shape style="position:absolute;margin-left:471.179993pt;margin-top:41.612518pt;width:68.650pt;height:12.1pt;mso-position-horizontal-relative:page;mso-position-vertical-relative:page;z-index:-50190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1808" type="#_x0000_t202" filled="false" stroked="false">
          <v:textbox inset="0,0,0,0">
            <w:txbxContent>
              <w:p>
                <w:pPr>
                  <w:spacing w:before="14"/>
                  <w:ind w:left="20" w:right="0" w:firstLine="0"/>
                  <w:jc w:val="left"/>
                  <w:rPr>
                    <w:b/>
                    <w:sz w:val="18"/>
                  </w:rPr>
                </w:pPr>
                <w:r>
                  <w:rPr>
                    <w:b/>
                    <w:sz w:val="18"/>
                  </w:rPr>
                  <w:t>71</w:t>
                </w:r>
              </w:p>
            </w:txbxContent>
          </v:textbox>
          <w10:wrap type="none"/>
        </v:shape>
      </w:pict>
    </w:r>
    <w:r>
      <w:rPr/>
      <w:pict>
        <v:shape style="position:absolute;margin-left:471.179993pt;margin-top:41.612518pt;width:68.650pt;height:12.1pt;mso-position-horizontal-relative:page;mso-position-vertical-relative:page;z-index:-50178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69.115448pt;width:444.8pt;height:17.3pt;mso-position-horizontal-relative:page;mso-position-vertical-relative:page;z-index:-506824" type="#_x0000_t202" filled="false" stroked="false">
          <v:textbox inset="0,0,0,0">
            <w:txbxContent>
              <w:p>
                <w:pPr>
                  <w:spacing w:before="14"/>
                  <w:ind w:left="20" w:right="0" w:firstLine="0"/>
                  <w:jc w:val="left"/>
                  <w:rPr>
                    <w:rFonts w:ascii="Times New Roman"/>
                    <w:sz w:val="24"/>
                  </w:rPr>
                </w:pPr>
                <w:r>
                  <w:rPr>
                    <w:rFonts w:ascii="Times New Roman"/>
                    <w:sz w:val="24"/>
                  </w:rPr>
                  <w:t>peer mode consistently outperforms DSRC in key areas.</w:t>
                </w:r>
                <w:hyperlink w:history="true" w:anchor="_bookmark27">
                  <w:r>
                    <w:rPr>
                      <w:rFonts w:ascii="Times New Roman"/>
                      <w:position w:val="11"/>
                      <w:sz w:val="16"/>
                    </w:rPr>
                    <w:t>19</w:t>
                  </w:r>
                </w:hyperlink>
                <w:r>
                  <w:rPr>
                    <w:rFonts w:ascii="Times New Roman"/>
                    <w:position w:val="11"/>
                    <w:sz w:val="16"/>
                  </w:rPr>
                  <w:t>  </w:t>
                </w:r>
                <w:r>
                  <w:rPr>
                    <w:rFonts w:ascii="Times New Roman"/>
                    <w:sz w:val="24"/>
                  </w:rPr>
                  <w:t>Most notably, when compared to</w:t>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1760" type="#_x0000_t202" filled="false" stroked="false">
          <v:textbox inset="0,0,0,0">
            <w:txbxContent>
              <w:p>
                <w:pPr>
                  <w:spacing w:before="14"/>
                  <w:ind w:left="20" w:right="0" w:firstLine="0"/>
                  <w:jc w:val="left"/>
                  <w:rPr>
                    <w:b/>
                    <w:sz w:val="18"/>
                  </w:rPr>
                </w:pPr>
                <w:r>
                  <w:rPr>
                    <w:b/>
                    <w:sz w:val="18"/>
                  </w:rPr>
                  <w:t>72</w:t>
                </w:r>
              </w:p>
            </w:txbxContent>
          </v:textbox>
          <w10:wrap type="none"/>
        </v:shape>
      </w:pict>
    </w:r>
    <w:r>
      <w:rPr/>
      <w:pict>
        <v:shape style="position:absolute;margin-left:471.179993pt;margin-top:41.612518pt;width:68.650pt;height:12.1pt;mso-position-horizontal-relative:page;mso-position-vertical-relative:page;z-index:-501736"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1712" type="#_x0000_t202" filled="false" stroked="false">
          <v:textbox inset="0,0,0,0">
            <w:txbxContent>
              <w:p>
                <w:pPr>
                  <w:spacing w:before="14"/>
                  <w:ind w:left="20" w:right="0" w:firstLine="0"/>
                  <w:jc w:val="left"/>
                  <w:rPr>
                    <w:b/>
                    <w:sz w:val="18"/>
                  </w:rPr>
                </w:pPr>
                <w:r>
                  <w:rPr>
                    <w:b/>
                    <w:sz w:val="18"/>
                  </w:rPr>
                  <w:t>73</w:t>
                </w:r>
              </w:p>
            </w:txbxContent>
          </v:textbox>
          <w10:wrap type="none"/>
        </v:shape>
      </w:pict>
    </w:r>
    <w:r>
      <w:rPr/>
      <w:pict>
        <v:shape style="position:absolute;margin-left:471.179993pt;margin-top:41.612518pt;width:68.650pt;height:12.1pt;mso-position-horizontal-relative:page;mso-position-vertical-relative:page;z-index:-50168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1664" type="#_x0000_t202" filled="false" stroked="false">
          <v:textbox inset="0,0,0,0">
            <w:txbxContent>
              <w:p>
                <w:pPr>
                  <w:spacing w:before="14"/>
                  <w:ind w:left="20" w:right="0" w:firstLine="0"/>
                  <w:jc w:val="left"/>
                  <w:rPr>
                    <w:b/>
                    <w:sz w:val="18"/>
                  </w:rPr>
                </w:pPr>
                <w:r>
                  <w:rPr>
                    <w:b/>
                    <w:sz w:val="18"/>
                  </w:rPr>
                  <w:t>74</w:t>
                </w:r>
              </w:p>
            </w:txbxContent>
          </v:textbox>
          <w10:wrap type="none"/>
        </v:shape>
      </w:pict>
    </w:r>
    <w:r>
      <w:rPr/>
      <w:pict>
        <v:shape style="position:absolute;margin-left:471.179993pt;margin-top:41.612518pt;width:68.650pt;height:12.1pt;mso-position-horizontal-relative:page;mso-position-vertical-relative:page;z-index:-501640"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1616" type="#_x0000_t202" filled="false" stroked="false">
          <v:textbox inset="0,0,0,0">
            <w:txbxContent>
              <w:p>
                <w:pPr>
                  <w:spacing w:before="14"/>
                  <w:ind w:left="20" w:right="0" w:firstLine="0"/>
                  <w:jc w:val="left"/>
                  <w:rPr>
                    <w:b/>
                    <w:sz w:val="18"/>
                  </w:rPr>
                </w:pPr>
                <w:r>
                  <w:rPr>
                    <w:b/>
                    <w:sz w:val="18"/>
                  </w:rPr>
                  <w:t>75</w:t>
                </w:r>
              </w:p>
            </w:txbxContent>
          </v:textbox>
          <w10:wrap type="none"/>
        </v:shape>
      </w:pict>
    </w:r>
    <w:r>
      <w:rPr/>
      <w:pict>
        <v:shape style="position:absolute;margin-left:471.179993pt;margin-top:41.612518pt;width:68.650pt;height:12.1pt;mso-position-horizontal-relative:page;mso-position-vertical-relative:page;z-index:-501592"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1568" type="#_x0000_t202" filled="false" stroked="false">
          <v:textbox inset="0,0,0,0">
            <w:txbxContent>
              <w:p>
                <w:pPr>
                  <w:spacing w:before="14"/>
                  <w:ind w:left="20" w:right="0" w:firstLine="0"/>
                  <w:jc w:val="left"/>
                  <w:rPr>
                    <w:b/>
                    <w:sz w:val="18"/>
                  </w:rPr>
                </w:pPr>
                <w:r>
                  <w:rPr>
                    <w:b/>
                    <w:sz w:val="18"/>
                  </w:rPr>
                  <w:t>76</w:t>
                </w:r>
              </w:p>
            </w:txbxContent>
          </v:textbox>
          <w10:wrap type="none"/>
        </v:shape>
      </w:pict>
    </w:r>
    <w:r>
      <w:rPr/>
      <w:pict>
        <v:shape style="position:absolute;margin-left:471.179993pt;margin-top:41.612518pt;width:68.650pt;height:12.1pt;mso-position-horizontal-relative:page;mso-position-vertical-relative:page;z-index:-50154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1520" type="#_x0000_t202" filled="false" stroked="false">
          <v:textbox inset="0,0,0,0">
            <w:txbxContent>
              <w:p>
                <w:pPr>
                  <w:spacing w:before="14"/>
                  <w:ind w:left="20" w:right="0" w:firstLine="0"/>
                  <w:jc w:val="left"/>
                  <w:rPr>
                    <w:b/>
                    <w:sz w:val="18"/>
                  </w:rPr>
                </w:pPr>
                <w:r>
                  <w:rPr>
                    <w:b/>
                    <w:sz w:val="18"/>
                  </w:rPr>
                  <w:t>77</w:t>
                </w:r>
              </w:p>
            </w:txbxContent>
          </v:textbox>
          <w10:wrap type="none"/>
        </v:shape>
      </w:pict>
    </w:r>
    <w:r>
      <w:rPr/>
      <w:pict>
        <v:shape style="position:absolute;margin-left:471.179993pt;margin-top:41.612518pt;width:68.650pt;height:12.1pt;mso-position-horizontal-relative:page;mso-position-vertical-relative:page;z-index:-501496"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1472" type="#_x0000_t202" filled="false" stroked="false">
          <v:textbox inset="0,0,0,0">
            <w:txbxContent>
              <w:p>
                <w:pPr>
                  <w:spacing w:before="14"/>
                  <w:ind w:left="20" w:right="0" w:firstLine="0"/>
                  <w:jc w:val="left"/>
                  <w:rPr>
                    <w:b/>
                    <w:sz w:val="18"/>
                  </w:rPr>
                </w:pPr>
                <w:r>
                  <w:rPr>
                    <w:b/>
                    <w:sz w:val="18"/>
                  </w:rPr>
                  <w:t>78</w:t>
                </w:r>
              </w:p>
            </w:txbxContent>
          </v:textbox>
          <w10:wrap type="none"/>
        </v:shape>
      </w:pict>
    </w:r>
    <w:r>
      <w:rPr/>
      <w:pict>
        <v:shape style="position:absolute;margin-left:471.179993pt;margin-top:41.612518pt;width:68.650pt;height:12.1pt;mso-position-horizontal-relative:page;mso-position-vertical-relative:page;z-index:-50144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1424" type="#_x0000_t202" filled="false" stroked="false">
          <v:textbox inset="0,0,0,0">
            <w:txbxContent>
              <w:p>
                <w:pPr>
                  <w:spacing w:before="14"/>
                  <w:ind w:left="20" w:right="0" w:firstLine="0"/>
                  <w:jc w:val="left"/>
                  <w:rPr>
                    <w:b/>
                    <w:sz w:val="18"/>
                  </w:rPr>
                </w:pPr>
                <w:r>
                  <w:rPr>
                    <w:b/>
                    <w:sz w:val="18"/>
                  </w:rPr>
                  <w:t>79</w:t>
                </w:r>
              </w:p>
            </w:txbxContent>
          </v:textbox>
          <w10:wrap type="none"/>
        </v:shape>
      </w:pict>
    </w:r>
    <w:r>
      <w:rPr/>
      <w:pict>
        <v:shape style="position:absolute;margin-left:471.179993pt;margin-top:41.612518pt;width:68.650pt;height:12.1pt;mso-position-horizontal-relative:page;mso-position-vertical-relative:page;z-index:-501400"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1304" type="#_x0000_t202" filled="false" stroked="false">
          <v:textbox inset="0,0,0,0">
            <w:txbxContent>
              <w:p>
                <w:pPr>
                  <w:spacing w:before="14"/>
                  <w:ind w:left="20" w:right="0" w:firstLine="0"/>
                  <w:jc w:val="left"/>
                  <w:rPr>
                    <w:b/>
                    <w:sz w:val="18"/>
                  </w:rPr>
                </w:pPr>
                <w:r>
                  <w:rPr>
                    <w:b/>
                    <w:sz w:val="18"/>
                  </w:rPr>
                  <w:t>80</w:t>
                </w:r>
              </w:p>
            </w:txbxContent>
          </v:textbox>
          <w10:wrap type="none"/>
        </v:shape>
      </w:pict>
    </w:r>
    <w:r>
      <w:rPr/>
      <w:pict>
        <v:shape style="position:absolute;margin-left:471.179993pt;margin-top:41.612518pt;width:68.650pt;height:12.1pt;mso-position-horizontal-relative:page;mso-position-vertical-relative:page;z-index:-501280"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1184" type="#_x0000_t202" filled="false" stroked="false">
          <v:textbox inset="0,0,0,0">
            <w:txbxContent>
              <w:p>
                <w:pPr>
                  <w:spacing w:before="14"/>
                  <w:ind w:left="20" w:right="0" w:firstLine="0"/>
                  <w:jc w:val="left"/>
                  <w:rPr>
                    <w:b/>
                    <w:sz w:val="18"/>
                  </w:rPr>
                </w:pPr>
                <w:r>
                  <w:rPr>
                    <w:b/>
                    <w:sz w:val="18"/>
                  </w:rPr>
                  <w:t>81</w:t>
                </w:r>
              </w:p>
            </w:txbxContent>
          </v:textbox>
          <w10:wrap type="none"/>
        </v:shape>
      </w:pict>
    </w:r>
    <w:r>
      <w:rPr/>
      <w:pict>
        <v:shape style="position:absolute;margin-left:471.179993pt;margin-top:41.612518pt;width:68.650pt;height:12.1pt;mso-position-horizontal-relative:page;mso-position-vertical-relative:page;z-index:-501160"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1.106644pt;width:441.85pt;height:15.3pt;mso-position-horizontal-relative:page;mso-position-vertical-relative:page;z-index:-506800" type="#_x0000_t202"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when compared to those vehicles equipped with DSRC.  In other words, C-V2X’s ability to</w:t>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1136" type="#_x0000_t202" filled="false" stroked="false">
          <v:textbox inset="0,0,0,0">
            <w:txbxContent>
              <w:p>
                <w:pPr>
                  <w:spacing w:before="14"/>
                  <w:ind w:left="20" w:right="0" w:firstLine="0"/>
                  <w:jc w:val="left"/>
                  <w:rPr>
                    <w:b/>
                    <w:sz w:val="18"/>
                  </w:rPr>
                </w:pPr>
                <w:r>
                  <w:rPr>
                    <w:b/>
                    <w:sz w:val="18"/>
                  </w:rPr>
                  <w:t>82</w:t>
                </w:r>
              </w:p>
            </w:txbxContent>
          </v:textbox>
          <w10:wrap type="none"/>
        </v:shape>
      </w:pict>
    </w:r>
    <w:r>
      <w:rPr/>
      <w:pict>
        <v:shape style="position:absolute;margin-left:471.179993pt;margin-top:41.612518pt;width:68.650pt;height:12.1pt;mso-position-horizontal-relative:page;mso-position-vertical-relative:page;z-index:-501112"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1088" type="#_x0000_t202" filled="false" stroked="false">
          <v:textbox inset="0,0,0,0">
            <w:txbxContent>
              <w:p>
                <w:pPr>
                  <w:spacing w:before="14"/>
                  <w:ind w:left="20" w:right="0" w:firstLine="0"/>
                  <w:jc w:val="left"/>
                  <w:rPr>
                    <w:b/>
                    <w:sz w:val="18"/>
                  </w:rPr>
                </w:pPr>
                <w:r>
                  <w:rPr>
                    <w:b/>
                    <w:sz w:val="18"/>
                  </w:rPr>
                  <w:t>83</w:t>
                </w:r>
              </w:p>
            </w:txbxContent>
          </v:textbox>
          <w10:wrap type="none"/>
        </v:shape>
      </w:pict>
    </w:r>
    <w:r>
      <w:rPr/>
      <w:pict>
        <v:shape style="position:absolute;margin-left:471.179993pt;margin-top:41.612518pt;width:68.650pt;height:12.1pt;mso-position-horizontal-relative:page;mso-position-vertical-relative:page;z-index:-50106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1040" type="#_x0000_t202" filled="false" stroked="false">
          <v:textbox inset="0,0,0,0">
            <w:txbxContent>
              <w:p>
                <w:pPr>
                  <w:spacing w:before="14"/>
                  <w:ind w:left="20" w:right="0" w:firstLine="0"/>
                  <w:jc w:val="left"/>
                  <w:rPr>
                    <w:b/>
                    <w:sz w:val="18"/>
                  </w:rPr>
                </w:pPr>
                <w:r>
                  <w:rPr>
                    <w:b/>
                    <w:sz w:val="18"/>
                  </w:rPr>
                  <w:t>84</w:t>
                </w:r>
              </w:p>
            </w:txbxContent>
          </v:textbox>
          <w10:wrap type="none"/>
        </v:shape>
      </w:pict>
    </w:r>
    <w:r>
      <w:rPr/>
      <w:pict>
        <v:shape style="position:absolute;margin-left:471.179993pt;margin-top:41.612518pt;width:68.650pt;height:12.1pt;mso-position-horizontal-relative:page;mso-position-vertical-relative:page;z-index:-501016"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0992" type="#_x0000_t202" filled="false" stroked="false">
          <v:textbox inset="0,0,0,0">
            <w:txbxContent>
              <w:p>
                <w:pPr>
                  <w:spacing w:before="14"/>
                  <w:ind w:left="20" w:right="0" w:firstLine="0"/>
                  <w:jc w:val="left"/>
                  <w:rPr>
                    <w:b/>
                    <w:sz w:val="18"/>
                  </w:rPr>
                </w:pPr>
                <w:r>
                  <w:rPr>
                    <w:b/>
                    <w:sz w:val="18"/>
                  </w:rPr>
                  <w:t>85</w:t>
                </w:r>
              </w:p>
            </w:txbxContent>
          </v:textbox>
          <w10:wrap type="none"/>
        </v:shape>
      </w:pict>
    </w:r>
    <w:r>
      <w:rPr/>
      <w:pict>
        <v:shape style="position:absolute;margin-left:471.179993pt;margin-top:41.612518pt;width:68.650pt;height:12.1pt;mso-position-horizontal-relative:page;mso-position-vertical-relative:page;z-index:-50096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0944" type="#_x0000_t202" filled="false" stroked="false">
          <v:textbox inset="0,0,0,0">
            <w:txbxContent>
              <w:p>
                <w:pPr>
                  <w:spacing w:before="14"/>
                  <w:ind w:left="20" w:right="0" w:firstLine="0"/>
                  <w:jc w:val="left"/>
                  <w:rPr>
                    <w:b/>
                    <w:sz w:val="18"/>
                  </w:rPr>
                </w:pPr>
                <w:r>
                  <w:rPr>
                    <w:b/>
                    <w:sz w:val="18"/>
                  </w:rPr>
                  <w:t>86</w:t>
                </w:r>
              </w:p>
            </w:txbxContent>
          </v:textbox>
          <w10:wrap type="none"/>
        </v:shape>
      </w:pict>
    </w:r>
    <w:r>
      <w:rPr/>
      <w:pict>
        <v:shape style="position:absolute;margin-left:471.179993pt;margin-top:41.612518pt;width:68.650pt;height:12.1pt;mso-position-horizontal-relative:page;mso-position-vertical-relative:page;z-index:-500920"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0896" type="#_x0000_t202" filled="false" stroked="false">
          <v:textbox inset="0,0,0,0">
            <w:txbxContent>
              <w:p>
                <w:pPr>
                  <w:spacing w:before="14"/>
                  <w:ind w:left="20" w:right="0" w:firstLine="0"/>
                  <w:jc w:val="left"/>
                  <w:rPr>
                    <w:b/>
                    <w:sz w:val="18"/>
                  </w:rPr>
                </w:pPr>
                <w:r>
                  <w:rPr>
                    <w:b/>
                    <w:sz w:val="18"/>
                  </w:rPr>
                  <w:t>87</w:t>
                </w:r>
              </w:p>
            </w:txbxContent>
          </v:textbox>
          <w10:wrap type="none"/>
        </v:shape>
      </w:pict>
    </w:r>
    <w:r>
      <w:rPr/>
      <w:pict>
        <v:shape style="position:absolute;margin-left:471.179993pt;margin-top:41.612518pt;width:68.650pt;height:12.1pt;mso-position-horizontal-relative:page;mso-position-vertical-relative:page;z-index:-500872"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0848" type="#_x0000_t202" filled="false" stroked="false">
          <v:textbox inset="0,0,0,0">
            <w:txbxContent>
              <w:p>
                <w:pPr>
                  <w:spacing w:before="14"/>
                  <w:ind w:left="20" w:right="0" w:firstLine="0"/>
                  <w:jc w:val="left"/>
                  <w:rPr>
                    <w:b/>
                    <w:sz w:val="18"/>
                  </w:rPr>
                </w:pPr>
                <w:r>
                  <w:rPr>
                    <w:b/>
                    <w:sz w:val="18"/>
                  </w:rPr>
                  <w:t>88</w:t>
                </w:r>
              </w:p>
            </w:txbxContent>
          </v:textbox>
          <w10:wrap type="none"/>
        </v:shape>
      </w:pict>
    </w:r>
    <w:r>
      <w:rPr/>
      <w:pict>
        <v:shape style="position:absolute;margin-left:471.179993pt;margin-top:41.612518pt;width:68.650pt;height:12.1pt;mso-position-horizontal-relative:page;mso-position-vertical-relative:page;z-index:-50082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0800" type="#_x0000_t202" filled="false" stroked="false">
          <v:textbox inset="0,0,0,0">
            <w:txbxContent>
              <w:p>
                <w:pPr>
                  <w:spacing w:before="14"/>
                  <w:ind w:left="20" w:right="0" w:firstLine="0"/>
                  <w:jc w:val="left"/>
                  <w:rPr>
                    <w:b/>
                    <w:sz w:val="18"/>
                  </w:rPr>
                </w:pPr>
                <w:r>
                  <w:rPr>
                    <w:b/>
                    <w:sz w:val="18"/>
                  </w:rPr>
                  <w:t>89</w:t>
                </w:r>
              </w:p>
            </w:txbxContent>
          </v:textbox>
          <w10:wrap type="none"/>
        </v:shape>
      </w:pict>
    </w:r>
    <w:r>
      <w:rPr/>
      <w:pict>
        <v:shape style="position:absolute;margin-left:471.179993pt;margin-top:41.612518pt;width:68.650pt;height:12.1pt;mso-position-horizontal-relative:page;mso-position-vertical-relative:page;z-index:-500776"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0680" type="#_x0000_t202" filled="false" stroked="false">
          <v:textbox inset="0,0,0,0">
            <w:txbxContent>
              <w:p>
                <w:pPr>
                  <w:spacing w:before="14"/>
                  <w:ind w:left="20" w:right="0" w:firstLine="0"/>
                  <w:jc w:val="left"/>
                  <w:rPr>
                    <w:b/>
                    <w:sz w:val="18"/>
                  </w:rPr>
                </w:pPr>
                <w:r>
                  <w:rPr>
                    <w:b/>
                    <w:sz w:val="18"/>
                  </w:rPr>
                  <w:t>90</w:t>
                </w:r>
              </w:p>
            </w:txbxContent>
          </v:textbox>
          <w10:wrap type="none"/>
        </v:shape>
      </w:pict>
    </w:r>
    <w:r>
      <w:rPr/>
      <w:pict>
        <v:shape style="position:absolute;margin-left:471.179993pt;margin-top:41.612518pt;width:68.650pt;height:12.1pt;mso-position-horizontal-relative:page;mso-position-vertical-relative:page;z-index:-500656"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0560" type="#_x0000_t202" filled="false" stroked="false">
          <v:textbox inset="0,0,0,0">
            <w:txbxContent>
              <w:p>
                <w:pPr>
                  <w:spacing w:before="14"/>
                  <w:ind w:left="20" w:right="0" w:firstLine="0"/>
                  <w:jc w:val="left"/>
                  <w:rPr>
                    <w:b/>
                    <w:sz w:val="18"/>
                  </w:rPr>
                </w:pPr>
                <w:r>
                  <w:rPr>
                    <w:b/>
                    <w:sz w:val="18"/>
                  </w:rPr>
                  <w:t>91</w:t>
                </w:r>
              </w:p>
            </w:txbxContent>
          </v:textbox>
          <w10:wrap type="none"/>
        </v:shape>
      </w:pict>
    </w:r>
    <w:r>
      <w:rPr/>
      <w:pict>
        <v:shape style="position:absolute;margin-left:471.179993pt;margin-top:41.612518pt;width:68.650pt;height:12.1pt;mso-position-horizontal-relative:page;mso-position-vertical-relative:page;z-index:-500536"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0512" type="#_x0000_t202" filled="false" stroked="false">
          <v:textbox inset="0,0,0,0">
            <w:txbxContent>
              <w:p>
                <w:pPr>
                  <w:spacing w:before="14"/>
                  <w:ind w:left="20" w:right="0" w:firstLine="0"/>
                  <w:jc w:val="left"/>
                  <w:rPr>
                    <w:b/>
                    <w:sz w:val="18"/>
                  </w:rPr>
                </w:pPr>
                <w:r>
                  <w:rPr>
                    <w:b/>
                    <w:sz w:val="18"/>
                  </w:rPr>
                  <w:t>92</w:t>
                </w:r>
              </w:p>
            </w:txbxContent>
          </v:textbox>
          <w10:wrap type="none"/>
        </v:shape>
      </w:pict>
    </w:r>
    <w:r>
      <w:rPr/>
      <w:pict>
        <v:shape style="position:absolute;margin-left:471.179993pt;margin-top:41.612518pt;width:68.650pt;height:12.1pt;mso-position-horizontal-relative:page;mso-position-vertical-relative:page;z-index:-50048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0464" type="#_x0000_t202" filled="false" stroked="false">
          <v:textbox inset="0,0,0,0">
            <w:txbxContent>
              <w:p>
                <w:pPr>
                  <w:spacing w:before="14"/>
                  <w:ind w:left="20" w:right="0" w:firstLine="0"/>
                  <w:jc w:val="left"/>
                  <w:rPr>
                    <w:b/>
                    <w:sz w:val="18"/>
                  </w:rPr>
                </w:pPr>
                <w:r>
                  <w:rPr>
                    <w:b/>
                    <w:sz w:val="18"/>
                  </w:rPr>
                  <w:t>93</w:t>
                </w:r>
              </w:p>
            </w:txbxContent>
          </v:textbox>
          <w10:wrap type="none"/>
        </v:shape>
      </w:pict>
    </w:r>
    <w:r>
      <w:rPr/>
      <w:pict>
        <v:shape style="position:absolute;margin-left:471.179993pt;margin-top:41.612518pt;width:68.650pt;height:12.1pt;mso-position-horizontal-relative:page;mso-position-vertical-relative:page;z-index:-500440"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0416" type="#_x0000_t202" filled="false" stroked="false">
          <v:textbox inset="0,0,0,0">
            <w:txbxContent>
              <w:p>
                <w:pPr>
                  <w:spacing w:before="14"/>
                  <w:ind w:left="20" w:right="0" w:firstLine="0"/>
                  <w:jc w:val="left"/>
                  <w:rPr>
                    <w:b/>
                    <w:sz w:val="18"/>
                  </w:rPr>
                </w:pPr>
                <w:r>
                  <w:rPr>
                    <w:b/>
                    <w:sz w:val="18"/>
                  </w:rPr>
                  <w:t>94</w:t>
                </w:r>
              </w:p>
            </w:txbxContent>
          </v:textbox>
          <w10:wrap type="none"/>
        </v:shape>
      </w:pict>
    </w:r>
    <w:r>
      <w:rPr/>
      <w:pict>
        <v:shape style="position:absolute;margin-left:471.179993pt;margin-top:41.612518pt;width:68.650pt;height:12.1pt;mso-position-horizontal-relative:page;mso-position-vertical-relative:page;z-index:-500392"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0368" type="#_x0000_t202" filled="false" stroked="false">
          <v:textbox inset="0,0,0,0">
            <w:txbxContent>
              <w:p>
                <w:pPr>
                  <w:spacing w:before="14"/>
                  <w:ind w:left="20" w:right="0" w:firstLine="0"/>
                  <w:jc w:val="left"/>
                  <w:rPr>
                    <w:b/>
                    <w:sz w:val="18"/>
                  </w:rPr>
                </w:pPr>
                <w:r>
                  <w:rPr>
                    <w:b/>
                    <w:sz w:val="18"/>
                  </w:rPr>
                  <w:t>95</w:t>
                </w:r>
              </w:p>
            </w:txbxContent>
          </v:textbox>
          <w10:wrap type="none"/>
        </v:shape>
      </w:pict>
    </w:r>
    <w:r>
      <w:rPr/>
      <w:pict>
        <v:shape style="position:absolute;margin-left:471.179993pt;margin-top:41.612518pt;width:68.650pt;height:12.1pt;mso-position-horizontal-relative:page;mso-position-vertical-relative:page;z-index:-50034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0320" type="#_x0000_t202" filled="false" stroked="false">
          <v:textbox inset="0,0,0,0">
            <w:txbxContent>
              <w:p>
                <w:pPr>
                  <w:spacing w:before="14"/>
                  <w:ind w:left="20" w:right="0" w:firstLine="0"/>
                  <w:jc w:val="left"/>
                  <w:rPr>
                    <w:b/>
                    <w:sz w:val="18"/>
                  </w:rPr>
                </w:pPr>
                <w:r>
                  <w:rPr>
                    <w:b/>
                    <w:sz w:val="18"/>
                  </w:rPr>
                  <w:t>96</w:t>
                </w:r>
              </w:p>
            </w:txbxContent>
          </v:textbox>
          <w10:wrap type="none"/>
        </v:shape>
      </w:pict>
    </w:r>
    <w:r>
      <w:rPr/>
      <w:pict>
        <v:shape style="position:absolute;margin-left:471.179993pt;margin-top:41.612518pt;width:68.650pt;height:12.1pt;mso-position-horizontal-relative:page;mso-position-vertical-relative:page;z-index:-500296"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0272" type="#_x0000_t202" filled="false" stroked="false">
          <v:textbox inset="0,0,0,0">
            <w:txbxContent>
              <w:p>
                <w:pPr>
                  <w:spacing w:before="14"/>
                  <w:ind w:left="20" w:right="0" w:firstLine="0"/>
                  <w:jc w:val="left"/>
                  <w:rPr>
                    <w:b/>
                    <w:sz w:val="18"/>
                  </w:rPr>
                </w:pPr>
                <w:r>
                  <w:rPr>
                    <w:b/>
                    <w:sz w:val="18"/>
                  </w:rPr>
                  <w:t>97</w:t>
                </w:r>
              </w:p>
            </w:txbxContent>
          </v:textbox>
          <w10:wrap type="none"/>
        </v:shape>
      </w:pict>
    </w:r>
    <w:r>
      <w:rPr/>
      <w:pict>
        <v:shape style="position:absolute;margin-left:471.179993pt;margin-top:41.612518pt;width:68.650pt;height:12.1pt;mso-position-horizontal-relative:page;mso-position-vertical-relative:page;z-index:-50024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0224" type="#_x0000_t202" filled="false" stroked="false">
          <v:textbox inset="0,0,0,0">
            <w:txbxContent>
              <w:p>
                <w:pPr>
                  <w:spacing w:before="14"/>
                  <w:ind w:left="20" w:right="0" w:firstLine="0"/>
                  <w:jc w:val="left"/>
                  <w:rPr>
                    <w:b/>
                    <w:sz w:val="18"/>
                  </w:rPr>
                </w:pPr>
                <w:r>
                  <w:rPr>
                    <w:b/>
                    <w:sz w:val="18"/>
                  </w:rPr>
                  <w:t>98</w:t>
                </w:r>
              </w:p>
            </w:txbxContent>
          </v:textbox>
          <w10:wrap type="none"/>
        </v:shape>
      </w:pict>
    </w:r>
    <w:r>
      <w:rPr/>
      <w:pict>
        <v:shape style="position:absolute;margin-left:471.179993pt;margin-top:41.612518pt;width:68.650pt;height:12.1pt;mso-position-horizontal-relative:page;mso-position-vertical-relative:page;z-index:-500200"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0176" type="#_x0000_t202" filled="false" stroked="false">
          <v:textbox inset="0,0,0,0">
            <w:txbxContent>
              <w:p>
                <w:pPr>
                  <w:spacing w:before="14"/>
                  <w:ind w:left="20" w:right="0" w:firstLine="0"/>
                  <w:jc w:val="left"/>
                  <w:rPr>
                    <w:b/>
                    <w:sz w:val="18"/>
                  </w:rPr>
                </w:pPr>
                <w:r>
                  <w:rPr>
                    <w:b/>
                    <w:sz w:val="18"/>
                  </w:rPr>
                  <w:t>99</w:t>
                </w:r>
              </w:p>
            </w:txbxContent>
          </v:textbox>
          <w10:wrap type="none"/>
        </v:shape>
      </w:pict>
    </w:r>
    <w:r>
      <w:rPr/>
      <w:pict>
        <v:shape style="position:absolute;margin-left:471.179993pt;margin-top:41.612518pt;width:68.650pt;height:12.1pt;mso-position-horizontal-relative:page;mso-position-vertical-relative:page;z-index:-500152"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230011pt;margin-top:41.612518pt;width:17.150pt;height:12.1pt;mso-position-horizontal-relative:page;mso-position-vertical-relative:page;z-index:-500056" type="#_x0000_t202" filled="false" stroked="false">
          <v:textbox inset="0,0,0,0">
            <w:txbxContent>
              <w:p>
                <w:pPr>
                  <w:spacing w:before="14"/>
                  <w:ind w:left="20" w:right="0" w:firstLine="0"/>
                  <w:jc w:val="left"/>
                  <w:rPr>
                    <w:b/>
                    <w:sz w:val="18"/>
                  </w:rPr>
                </w:pPr>
                <w:r>
                  <w:rPr>
                    <w:b/>
                    <w:sz w:val="18"/>
                  </w:rPr>
                  <w:t>100</w:t>
                </w:r>
              </w:p>
            </w:txbxContent>
          </v:textbox>
          <w10:wrap type="none"/>
        </v:shape>
      </w:pict>
    </w:r>
    <w:r>
      <w:rPr/>
      <w:pict>
        <v:shape style="position:absolute;margin-left:471.179993pt;margin-top:41.612518pt;width:68.650pt;height:12.1pt;mso-position-horizontal-relative:page;mso-position-vertical-relative:page;z-index:-500032"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230011pt;margin-top:41.612518pt;width:17.150pt;height:12.1pt;mso-position-horizontal-relative:page;mso-position-vertical-relative:page;z-index:-499936" type="#_x0000_t202" filled="false" stroked="false">
          <v:textbox inset="0,0,0,0">
            <w:txbxContent>
              <w:p>
                <w:pPr>
                  <w:spacing w:before="14"/>
                  <w:ind w:left="20" w:right="0" w:firstLine="0"/>
                  <w:jc w:val="left"/>
                  <w:rPr>
                    <w:b/>
                    <w:sz w:val="18"/>
                  </w:rPr>
                </w:pPr>
                <w:r>
                  <w:rPr>
                    <w:b/>
                    <w:sz w:val="18"/>
                  </w:rPr>
                  <w:t>101</w:t>
                </w:r>
              </w:p>
            </w:txbxContent>
          </v:textbox>
          <w10:wrap type="none"/>
        </v:shape>
      </w:pict>
    </w:r>
    <w:r>
      <w:rPr/>
      <w:pict>
        <v:shape style="position:absolute;margin-left:471.179993pt;margin-top:41.612518pt;width:68.650pt;height:12.1pt;mso-position-horizontal-relative:page;mso-position-vertical-relative:page;z-index:-499912"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230011pt;margin-top:41.612518pt;width:17.150pt;height:12.1pt;mso-position-horizontal-relative:page;mso-position-vertical-relative:page;z-index:-499888" type="#_x0000_t202" filled="false" stroked="false">
          <v:textbox inset="0,0,0,0">
            <w:txbxContent>
              <w:p>
                <w:pPr>
                  <w:spacing w:before="14"/>
                  <w:ind w:left="20" w:right="0" w:firstLine="0"/>
                  <w:jc w:val="left"/>
                  <w:rPr>
                    <w:b/>
                    <w:sz w:val="18"/>
                  </w:rPr>
                </w:pPr>
                <w:r>
                  <w:rPr>
                    <w:b/>
                    <w:sz w:val="18"/>
                  </w:rPr>
                  <w:t>102</w:t>
                </w:r>
              </w:p>
            </w:txbxContent>
          </v:textbox>
          <w10:wrap type="none"/>
        </v:shape>
      </w:pict>
    </w:r>
    <w:r>
      <w:rPr/>
      <w:pict>
        <v:shape style="position:absolute;margin-left:471.179993pt;margin-top:41.612518pt;width:68.650pt;height:12.1pt;mso-position-horizontal-relative:page;mso-position-vertical-relative:page;z-index:-49986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230011pt;margin-top:41.612518pt;width:17.150pt;height:12.1pt;mso-position-horizontal-relative:page;mso-position-vertical-relative:page;z-index:-499840" type="#_x0000_t202" filled="false" stroked="false">
          <v:textbox inset="0,0,0,0">
            <w:txbxContent>
              <w:p>
                <w:pPr>
                  <w:spacing w:before="14"/>
                  <w:ind w:left="20" w:right="0" w:firstLine="0"/>
                  <w:jc w:val="left"/>
                  <w:rPr>
                    <w:b/>
                    <w:sz w:val="18"/>
                  </w:rPr>
                </w:pPr>
                <w:r>
                  <w:rPr>
                    <w:b/>
                    <w:sz w:val="18"/>
                  </w:rPr>
                  <w:t>103</w:t>
                </w:r>
              </w:p>
            </w:txbxContent>
          </v:textbox>
          <w10:wrap type="none"/>
        </v:shape>
      </w:pict>
    </w:r>
    <w:r>
      <w:rPr/>
      <w:pict>
        <v:shape style="position:absolute;margin-left:471.179993pt;margin-top:41.612518pt;width:68.650pt;height:12.1pt;mso-position-horizontal-relative:page;mso-position-vertical-relative:page;z-index:-499816"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230011pt;margin-top:41.612518pt;width:17.150pt;height:12.1pt;mso-position-horizontal-relative:page;mso-position-vertical-relative:page;z-index:-499792" type="#_x0000_t202" filled="false" stroked="false">
          <v:textbox inset="0,0,0,0">
            <w:txbxContent>
              <w:p>
                <w:pPr>
                  <w:spacing w:before="14"/>
                  <w:ind w:left="20" w:right="0" w:firstLine="0"/>
                  <w:jc w:val="left"/>
                  <w:rPr>
                    <w:b/>
                    <w:sz w:val="18"/>
                  </w:rPr>
                </w:pPr>
                <w:r>
                  <w:rPr>
                    <w:b/>
                    <w:sz w:val="18"/>
                  </w:rPr>
                  <w:t>104</w:t>
                </w:r>
              </w:p>
            </w:txbxContent>
          </v:textbox>
          <w10:wrap type="none"/>
        </v:shape>
      </w:pict>
    </w:r>
    <w:r>
      <w:rPr/>
      <w:pict>
        <v:shape style="position:absolute;margin-left:471.179993pt;margin-top:41.612518pt;width:68.650pt;height:12.1pt;mso-position-horizontal-relative:page;mso-position-vertical-relative:page;z-index:-49976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230011pt;margin-top:41.612518pt;width:17.150pt;height:12.1pt;mso-position-horizontal-relative:page;mso-position-vertical-relative:page;z-index:-499744" type="#_x0000_t202" filled="false" stroked="false">
          <v:textbox inset="0,0,0,0">
            <w:txbxContent>
              <w:p>
                <w:pPr>
                  <w:spacing w:before="14"/>
                  <w:ind w:left="20" w:right="0" w:firstLine="0"/>
                  <w:jc w:val="left"/>
                  <w:rPr>
                    <w:b/>
                    <w:sz w:val="18"/>
                  </w:rPr>
                </w:pPr>
                <w:r>
                  <w:rPr>
                    <w:b/>
                    <w:sz w:val="18"/>
                  </w:rPr>
                  <w:t>105</w:t>
                </w:r>
              </w:p>
            </w:txbxContent>
          </v:textbox>
          <w10:wrap type="none"/>
        </v:shape>
      </w:pict>
    </w:r>
    <w:r>
      <w:rPr/>
      <w:pict>
        <v:shape style="position:absolute;margin-left:471.179993pt;margin-top:41.612518pt;width:68.650pt;height:12.1pt;mso-position-horizontal-relative:page;mso-position-vertical-relative:page;z-index:-499720"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230011pt;margin-top:41.612518pt;width:17.150pt;height:12.1pt;mso-position-horizontal-relative:page;mso-position-vertical-relative:page;z-index:-499696" type="#_x0000_t202" filled="false" stroked="false">
          <v:textbox inset="0,0,0,0">
            <w:txbxContent>
              <w:p>
                <w:pPr>
                  <w:spacing w:before="14"/>
                  <w:ind w:left="20" w:right="0" w:firstLine="0"/>
                  <w:jc w:val="left"/>
                  <w:rPr>
                    <w:b/>
                    <w:sz w:val="18"/>
                  </w:rPr>
                </w:pPr>
                <w:r>
                  <w:rPr>
                    <w:b/>
                    <w:sz w:val="18"/>
                  </w:rPr>
                  <w:t>106</w:t>
                </w:r>
              </w:p>
            </w:txbxContent>
          </v:textbox>
          <w10:wrap type="none"/>
        </v:shape>
      </w:pict>
    </w:r>
    <w:r>
      <w:rPr/>
      <w:pict>
        <v:shape style="position:absolute;margin-left:471.179993pt;margin-top:41.612518pt;width:68.650pt;height:12.1pt;mso-position-horizontal-relative:page;mso-position-vertical-relative:page;z-index:-499672"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230011pt;margin-top:41.612518pt;width:17.150pt;height:12.1pt;mso-position-horizontal-relative:page;mso-position-vertical-relative:page;z-index:-499648" type="#_x0000_t202" filled="false" stroked="false">
          <v:textbox inset="0,0,0,0">
            <w:txbxContent>
              <w:p>
                <w:pPr>
                  <w:spacing w:before="14"/>
                  <w:ind w:left="20" w:right="0" w:firstLine="0"/>
                  <w:jc w:val="left"/>
                  <w:rPr>
                    <w:b/>
                    <w:sz w:val="18"/>
                  </w:rPr>
                </w:pPr>
                <w:r>
                  <w:rPr>
                    <w:b/>
                    <w:sz w:val="18"/>
                  </w:rPr>
                  <w:t>107</w:t>
                </w:r>
              </w:p>
            </w:txbxContent>
          </v:textbox>
          <w10:wrap type="none"/>
        </v:shape>
      </w:pict>
    </w:r>
    <w:r>
      <w:rPr/>
      <w:pict>
        <v:shape style="position:absolute;margin-left:471.179993pt;margin-top:41.612518pt;width:68.650pt;height:12.1pt;mso-position-horizontal-relative:page;mso-position-vertical-relative:page;z-index:-49962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230011pt;margin-top:41.612518pt;width:17.150pt;height:12.1pt;mso-position-horizontal-relative:page;mso-position-vertical-relative:page;z-index:-499600" type="#_x0000_t202" filled="false" stroked="false">
          <v:textbox inset="0,0,0,0">
            <w:txbxContent>
              <w:p>
                <w:pPr>
                  <w:spacing w:before="14"/>
                  <w:ind w:left="20" w:right="0" w:firstLine="0"/>
                  <w:jc w:val="left"/>
                  <w:rPr>
                    <w:b/>
                    <w:sz w:val="18"/>
                  </w:rPr>
                </w:pPr>
                <w:r>
                  <w:rPr>
                    <w:b/>
                    <w:sz w:val="18"/>
                  </w:rPr>
                  <w:t>108</w:t>
                </w:r>
              </w:p>
            </w:txbxContent>
          </v:textbox>
          <w10:wrap type="none"/>
        </v:shape>
      </w:pict>
    </w:r>
    <w:r>
      <w:rPr/>
      <w:pict>
        <v:shape style="position:absolute;margin-left:471.179993pt;margin-top:41.612518pt;width:68.650pt;height:12.1pt;mso-position-horizontal-relative:page;mso-position-vertical-relative:page;z-index:-499576"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230011pt;margin-top:41.612518pt;width:17.150pt;height:12.1pt;mso-position-horizontal-relative:page;mso-position-vertical-relative:page;z-index:-499552" type="#_x0000_t202" filled="false" stroked="false">
          <v:textbox inset="0,0,0,0">
            <w:txbxContent>
              <w:p>
                <w:pPr>
                  <w:spacing w:before="14"/>
                  <w:ind w:left="20" w:right="0" w:firstLine="0"/>
                  <w:jc w:val="left"/>
                  <w:rPr>
                    <w:b/>
                    <w:sz w:val="18"/>
                  </w:rPr>
                </w:pPr>
                <w:r>
                  <w:rPr>
                    <w:b/>
                    <w:sz w:val="18"/>
                  </w:rPr>
                  <w:t>109</w:t>
                </w:r>
              </w:p>
            </w:txbxContent>
          </v:textbox>
          <w10:wrap type="none"/>
        </v:shape>
      </w:pict>
    </w:r>
    <w:r>
      <w:rPr/>
      <w:pict>
        <v:shape style="position:absolute;margin-left:471.179993pt;margin-top:41.612518pt;width:68.650pt;height:12.1pt;mso-position-horizontal-relative:page;mso-position-vertical-relative:page;z-index:-49952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230011pt;margin-top:41.612518pt;width:17.150pt;height:12.1pt;mso-position-horizontal-relative:page;mso-position-vertical-relative:page;z-index:-499432" type="#_x0000_t202" filled="false" stroked="false">
          <v:textbox inset="0,0,0,0">
            <w:txbxContent>
              <w:p>
                <w:pPr>
                  <w:spacing w:before="14"/>
                  <w:ind w:left="20" w:right="0" w:firstLine="0"/>
                  <w:jc w:val="left"/>
                  <w:rPr>
                    <w:b/>
                    <w:sz w:val="18"/>
                  </w:rPr>
                </w:pPr>
                <w:r>
                  <w:rPr>
                    <w:b/>
                    <w:sz w:val="18"/>
                  </w:rPr>
                  <w:t>110</w:t>
                </w:r>
              </w:p>
            </w:txbxContent>
          </v:textbox>
          <w10:wrap type="none"/>
        </v:shape>
      </w:pict>
    </w:r>
    <w:r>
      <w:rPr/>
      <w:pict>
        <v:shape style="position:absolute;margin-left:471.179993pt;margin-top:41.612518pt;width:68.650pt;height:12.1pt;mso-position-horizontal-relative:page;mso-position-vertical-relative:page;z-index:-49940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230011pt;margin-top:41.612518pt;width:17.150pt;height:12.1pt;mso-position-horizontal-relative:page;mso-position-vertical-relative:page;z-index:-499312" type="#_x0000_t202" filled="false" stroked="false">
          <v:textbox inset="0,0,0,0">
            <w:txbxContent>
              <w:p>
                <w:pPr>
                  <w:spacing w:before="14"/>
                  <w:ind w:left="20" w:right="0" w:firstLine="0"/>
                  <w:jc w:val="left"/>
                  <w:rPr>
                    <w:b/>
                    <w:sz w:val="18"/>
                  </w:rPr>
                </w:pPr>
                <w:r>
                  <w:rPr>
                    <w:b/>
                    <w:sz w:val="18"/>
                  </w:rPr>
                  <w:t>111</w:t>
                </w:r>
              </w:p>
            </w:txbxContent>
          </v:textbox>
          <w10:wrap type="none"/>
        </v:shape>
      </w:pict>
    </w:r>
    <w:r>
      <w:rPr/>
      <w:pict>
        <v:shape style="position:absolute;margin-left:471.179993pt;margin-top:41.612518pt;width:68.650pt;height:12.1pt;mso-position-horizontal-relative:page;mso-position-vertical-relative:page;z-index:-49928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230011pt;margin-top:41.612518pt;width:17.150pt;height:12.1pt;mso-position-horizontal-relative:page;mso-position-vertical-relative:page;z-index:-499264" type="#_x0000_t202" filled="false" stroked="false">
          <v:textbox inset="0,0,0,0">
            <w:txbxContent>
              <w:p>
                <w:pPr>
                  <w:spacing w:before="14"/>
                  <w:ind w:left="20" w:right="0" w:firstLine="0"/>
                  <w:jc w:val="left"/>
                  <w:rPr>
                    <w:b/>
                    <w:sz w:val="18"/>
                  </w:rPr>
                </w:pPr>
                <w:r>
                  <w:rPr>
                    <w:b/>
                    <w:sz w:val="18"/>
                  </w:rPr>
                  <w:t>112</w:t>
                </w:r>
              </w:p>
            </w:txbxContent>
          </v:textbox>
          <w10:wrap type="none"/>
        </v:shape>
      </w:pict>
    </w:r>
    <w:r>
      <w:rPr/>
      <w:pict>
        <v:shape style="position:absolute;margin-left:471.179993pt;margin-top:41.612518pt;width:68.650pt;height:12.1pt;mso-position-horizontal-relative:page;mso-position-vertical-relative:page;z-index:-499240"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230011pt;margin-top:41.612518pt;width:17.150pt;height:12.1pt;mso-position-horizontal-relative:page;mso-position-vertical-relative:page;z-index:-499216" type="#_x0000_t202" filled="false" stroked="false">
          <v:textbox inset="0,0,0,0">
            <w:txbxContent>
              <w:p>
                <w:pPr>
                  <w:spacing w:before="14"/>
                  <w:ind w:left="20" w:right="0" w:firstLine="0"/>
                  <w:jc w:val="left"/>
                  <w:rPr>
                    <w:b/>
                    <w:sz w:val="18"/>
                  </w:rPr>
                </w:pPr>
                <w:r>
                  <w:rPr>
                    <w:b/>
                    <w:sz w:val="18"/>
                  </w:rPr>
                  <w:t>113</w:t>
                </w:r>
              </w:p>
            </w:txbxContent>
          </v:textbox>
          <w10:wrap type="none"/>
        </v:shape>
      </w:pict>
    </w:r>
    <w:r>
      <w:rPr/>
      <w:pict>
        <v:shape style="position:absolute;margin-left:471.179993pt;margin-top:41.612518pt;width:68.650pt;height:12.1pt;mso-position-horizontal-relative:page;mso-position-vertical-relative:page;z-index:-499192"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230011pt;margin-top:41.612518pt;width:17.150pt;height:12.1pt;mso-position-horizontal-relative:page;mso-position-vertical-relative:page;z-index:-499168" type="#_x0000_t202" filled="false" stroked="false">
          <v:textbox inset="0,0,0,0">
            <w:txbxContent>
              <w:p>
                <w:pPr>
                  <w:spacing w:before="14"/>
                  <w:ind w:left="20" w:right="0" w:firstLine="0"/>
                  <w:jc w:val="left"/>
                  <w:rPr>
                    <w:b/>
                    <w:sz w:val="18"/>
                  </w:rPr>
                </w:pPr>
                <w:r>
                  <w:rPr>
                    <w:b/>
                    <w:sz w:val="18"/>
                  </w:rPr>
                  <w:t>114</w:t>
                </w:r>
              </w:p>
            </w:txbxContent>
          </v:textbox>
          <w10:wrap type="none"/>
        </v:shape>
      </w:pict>
    </w:r>
    <w:r>
      <w:rPr/>
      <w:pict>
        <v:shape style="position:absolute;margin-left:471.179993pt;margin-top:41.612518pt;width:68.650pt;height:12.1pt;mso-position-horizontal-relative:page;mso-position-vertical-relative:page;z-index:-49914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230011pt;margin-top:41.612518pt;width:17.150pt;height:12.1pt;mso-position-horizontal-relative:page;mso-position-vertical-relative:page;z-index:-499120" type="#_x0000_t202" filled="false" stroked="false">
          <v:textbox inset="0,0,0,0">
            <w:txbxContent>
              <w:p>
                <w:pPr>
                  <w:spacing w:before="14"/>
                  <w:ind w:left="20" w:right="0" w:firstLine="0"/>
                  <w:jc w:val="left"/>
                  <w:rPr>
                    <w:b/>
                    <w:sz w:val="18"/>
                  </w:rPr>
                </w:pPr>
                <w:r>
                  <w:rPr>
                    <w:b/>
                    <w:sz w:val="18"/>
                  </w:rPr>
                  <w:t>115</w:t>
                </w:r>
              </w:p>
            </w:txbxContent>
          </v:textbox>
          <w10:wrap type="none"/>
        </v:shape>
      </w:pict>
    </w:r>
    <w:r>
      <w:rPr/>
      <w:pict>
        <v:shape style="position:absolute;margin-left:471.179993pt;margin-top:41.612518pt;width:68.650pt;height:12.1pt;mso-position-horizontal-relative:page;mso-position-vertical-relative:page;z-index:-499096"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230011pt;margin-top:41.612518pt;width:17.150pt;height:12.1pt;mso-position-horizontal-relative:page;mso-position-vertical-relative:page;z-index:-499072" type="#_x0000_t202" filled="false" stroked="false">
          <v:textbox inset="0,0,0,0">
            <w:txbxContent>
              <w:p>
                <w:pPr>
                  <w:spacing w:before="14"/>
                  <w:ind w:left="20" w:right="0" w:firstLine="0"/>
                  <w:jc w:val="left"/>
                  <w:rPr>
                    <w:b/>
                    <w:sz w:val="18"/>
                  </w:rPr>
                </w:pPr>
                <w:r>
                  <w:rPr>
                    <w:b/>
                    <w:sz w:val="18"/>
                  </w:rPr>
                  <w:t>116</w:t>
                </w:r>
              </w:p>
            </w:txbxContent>
          </v:textbox>
          <w10:wrap type="none"/>
        </v:shape>
      </w:pict>
    </w:r>
    <w:r>
      <w:rPr/>
      <w:pict>
        <v:shape style="position:absolute;margin-left:471.179993pt;margin-top:41.612518pt;width:68.650pt;height:12.1pt;mso-position-horizontal-relative:page;mso-position-vertical-relative:page;z-index:-49904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230011pt;margin-top:41.612518pt;width:17.150pt;height:12.1pt;mso-position-horizontal-relative:page;mso-position-vertical-relative:page;z-index:-499024" type="#_x0000_t202" filled="false" stroked="false">
          <v:textbox inset="0,0,0,0">
            <w:txbxContent>
              <w:p>
                <w:pPr>
                  <w:spacing w:before="14"/>
                  <w:ind w:left="20" w:right="0" w:firstLine="0"/>
                  <w:jc w:val="left"/>
                  <w:rPr>
                    <w:b/>
                    <w:sz w:val="18"/>
                  </w:rPr>
                </w:pPr>
                <w:r>
                  <w:rPr>
                    <w:b/>
                    <w:sz w:val="18"/>
                  </w:rPr>
                  <w:t>117</w:t>
                </w:r>
              </w:p>
            </w:txbxContent>
          </v:textbox>
          <w10:wrap type="none"/>
        </v:shape>
      </w:pict>
    </w:r>
    <w:r>
      <w:rPr/>
      <w:pict>
        <v:shape style="position:absolute;margin-left:471.179993pt;margin-top:41.612518pt;width:68.650pt;height:12.1pt;mso-position-horizontal-relative:page;mso-position-vertical-relative:page;z-index:-499000"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230011pt;margin-top:41.612518pt;width:17.150pt;height:12.1pt;mso-position-horizontal-relative:page;mso-position-vertical-relative:page;z-index:-498976" type="#_x0000_t202" filled="false" stroked="false">
          <v:textbox inset="0,0,0,0">
            <w:txbxContent>
              <w:p>
                <w:pPr>
                  <w:spacing w:before="14"/>
                  <w:ind w:left="20" w:right="0" w:firstLine="0"/>
                  <w:jc w:val="left"/>
                  <w:rPr>
                    <w:b/>
                    <w:sz w:val="18"/>
                  </w:rPr>
                </w:pPr>
                <w:r>
                  <w:rPr>
                    <w:b/>
                    <w:sz w:val="18"/>
                  </w:rPr>
                  <w:t>118</w:t>
                </w:r>
              </w:p>
            </w:txbxContent>
          </v:textbox>
          <w10:wrap type="none"/>
        </v:shape>
      </w:pict>
    </w:r>
    <w:r>
      <w:rPr/>
      <w:pict>
        <v:shape style="position:absolute;margin-left:471.179993pt;margin-top:41.612518pt;width:68.650pt;height:12.1pt;mso-position-horizontal-relative:page;mso-position-vertical-relative:page;z-index:-498952"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230011pt;margin-top:41.612518pt;width:17.150pt;height:12.1pt;mso-position-horizontal-relative:page;mso-position-vertical-relative:page;z-index:-498928" type="#_x0000_t202" filled="false" stroked="false">
          <v:textbox inset="0,0,0,0">
            <w:txbxContent>
              <w:p>
                <w:pPr>
                  <w:spacing w:before="14"/>
                  <w:ind w:left="20" w:right="0" w:firstLine="0"/>
                  <w:jc w:val="left"/>
                  <w:rPr>
                    <w:b/>
                    <w:sz w:val="18"/>
                  </w:rPr>
                </w:pPr>
                <w:r>
                  <w:rPr>
                    <w:b/>
                    <w:sz w:val="18"/>
                  </w:rPr>
                  <w:t>119</w:t>
                </w:r>
              </w:p>
            </w:txbxContent>
          </v:textbox>
          <w10:wrap type="none"/>
        </v:shape>
      </w:pict>
    </w:r>
    <w:r>
      <w:rPr/>
      <w:pict>
        <v:shape style="position:absolute;margin-left:471.179993pt;margin-top:41.612518pt;width:68.650pt;height:12.1pt;mso-position-horizontal-relative:page;mso-position-vertical-relative:page;z-index:-49890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230011pt;margin-top:41.612518pt;width:17.150pt;height:12.1pt;mso-position-horizontal-relative:page;mso-position-vertical-relative:page;z-index:-498808" type="#_x0000_t202" filled="false" stroked="false">
          <v:textbox inset="0,0,0,0">
            <w:txbxContent>
              <w:p>
                <w:pPr>
                  <w:spacing w:before="14"/>
                  <w:ind w:left="20" w:right="0" w:firstLine="0"/>
                  <w:jc w:val="left"/>
                  <w:rPr>
                    <w:b/>
                    <w:sz w:val="18"/>
                  </w:rPr>
                </w:pPr>
                <w:r>
                  <w:rPr>
                    <w:b/>
                    <w:sz w:val="18"/>
                  </w:rPr>
                  <w:t>120</w:t>
                </w:r>
              </w:p>
            </w:txbxContent>
          </v:textbox>
          <w10:wrap type="none"/>
        </v:shape>
      </w:pict>
    </w:r>
    <w:r>
      <w:rPr/>
      <w:pict>
        <v:shape style="position:absolute;margin-left:471.179993pt;margin-top:41.612518pt;width:68.650pt;height:12.1pt;mso-position-horizontal-relative:page;mso-position-vertical-relative:page;z-index:-49878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230011pt;margin-top:41.612518pt;width:17.150pt;height:12.1pt;mso-position-horizontal-relative:page;mso-position-vertical-relative:page;z-index:-498688" type="#_x0000_t202" filled="false" stroked="false">
          <v:textbox inset="0,0,0,0">
            <w:txbxContent>
              <w:p>
                <w:pPr>
                  <w:spacing w:before="14"/>
                  <w:ind w:left="20" w:right="0" w:firstLine="0"/>
                  <w:jc w:val="left"/>
                  <w:rPr>
                    <w:b/>
                    <w:sz w:val="18"/>
                  </w:rPr>
                </w:pPr>
                <w:r>
                  <w:rPr>
                    <w:b/>
                    <w:sz w:val="18"/>
                  </w:rPr>
                  <w:t>121</w:t>
                </w:r>
              </w:p>
            </w:txbxContent>
          </v:textbox>
          <w10:wrap type="none"/>
        </v:shape>
      </w:pict>
    </w:r>
    <w:r>
      <w:rPr/>
      <w:pict>
        <v:shape style="position:absolute;margin-left:471.179993pt;margin-top:41.612518pt;width:68.650pt;height:12.1pt;mso-position-horizontal-relative:page;mso-position-vertical-relative:page;z-index:-49866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69.115448pt;width:449.1pt;height:17.3pt;mso-position-horizontal-relative:page;mso-position-vertical-relative:page;z-index:-506656" type="#_x0000_t202" filled="false" stroked="false">
          <v:textbox inset="0,0,0,0">
            <w:txbxContent>
              <w:p>
                <w:pPr>
                  <w:spacing w:before="14"/>
                  <w:ind w:left="20" w:right="0" w:firstLine="0"/>
                  <w:jc w:val="left"/>
                  <w:rPr>
                    <w:rFonts w:ascii="Times New Roman"/>
                    <w:sz w:val="24"/>
                  </w:rPr>
                </w:pPr>
                <w:r>
                  <w:rPr>
                    <w:rFonts w:ascii="Times New Roman"/>
                    <w:sz w:val="24"/>
                  </w:rPr>
                  <w:t>considerable.</w:t>
                </w:r>
                <w:hyperlink w:history="true" w:anchor="_bookmark41">
                  <w:r>
                    <w:rPr>
                      <w:rFonts w:ascii="Times New Roman"/>
                      <w:position w:val="11"/>
                      <w:sz w:val="16"/>
                    </w:rPr>
                    <w:t>31</w:t>
                  </w:r>
                </w:hyperlink>
                <w:r>
                  <w:rPr>
                    <w:rFonts w:ascii="Times New Roman"/>
                    <w:position w:val="11"/>
                    <w:sz w:val="16"/>
                  </w:rPr>
                  <w:t>  </w:t>
                </w:r>
                <w:r>
                  <w:rPr>
                    <w:rFonts w:ascii="Times New Roman"/>
                    <w:sz w:val="24"/>
                  </w:rPr>
                  <w:t>While these public interest benefits alone are sufficient to merit an expedited</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5.880005pt;margin-top:71.346642pt;width:140.25pt;height:15.3pt;mso-position-horizontal-relative:page;mso-position-vertical-relative:page;z-index:-506992" type="#_x0000_t202" filled="false" stroked="false">
          <v:textbox inset="0,0,0,0">
            <w:txbxContent>
              <w:p>
                <w:pPr>
                  <w:spacing w:before="10"/>
                  <w:ind w:left="20" w:right="0" w:firstLine="0"/>
                  <w:jc w:val="left"/>
                  <w:rPr>
                    <w:rFonts w:ascii="Times New Roman"/>
                    <w:b/>
                    <w:sz w:val="24"/>
                  </w:rPr>
                </w:pPr>
                <w:r>
                  <w:rPr>
                    <w:rFonts w:ascii="Times New Roman"/>
                    <w:b/>
                    <w:sz w:val="24"/>
                  </w:rPr>
                  <w:t>EXECUTIVE SUMMARY</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69.115448pt;width:451pt;height:17.3pt;mso-position-horizontal-relative:page;mso-position-vertical-relative:page;z-index:-506632" type="#_x0000_t202" filled="false" stroked="false">
          <v:textbox inset="0,0,0,0">
            <w:txbxContent>
              <w:p>
                <w:pPr>
                  <w:spacing w:before="14"/>
                  <w:ind w:left="20" w:right="0" w:firstLine="0"/>
                  <w:jc w:val="left"/>
                  <w:rPr>
                    <w:rFonts w:ascii="Times New Roman"/>
                    <w:sz w:val="24"/>
                  </w:rPr>
                </w:pPr>
                <w:r>
                  <w:rPr>
                    <w:rFonts w:ascii="Times New Roman"/>
                    <w:sz w:val="24"/>
                  </w:rPr>
                  <w:t>including 4G LTE C-V2X.</w:t>
                </w:r>
                <w:hyperlink w:history="true" w:anchor="_bookmark43">
                  <w:r>
                    <w:rPr>
                      <w:rFonts w:ascii="Times New Roman"/>
                      <w:position w:val="11"/>
                      <w:sz w:val="16"/>
                    </w:rPr>
                    <w:t>33</w:t>
                  </w:r>
                </w:hyperlink>
                <w:r>
                  <w:rPr>
                    <w:rFonts w:ascii="Times New Roman"/>
                    <w:position w:val="11"/>
                    <w:sz w:val="16"/>
                  </w:rPr>
                  <w:t>  </w:t>
                </w:r>
                <w:r>
                  <w:rPr>
                    <w:rFonts w:ascii="Times New Roman"/>
                    <w:sz w:val="24"/>
                  </w:rPr>
                  <w:t>As such, when future versions of C-V2X peer-to-peer mode are</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69.115448pt;width:440.3pt;height:17.3pt;mso-position-horizontal-relative:page;mso-position-vertical-relative:page;z-index:-506536" type="#_x0000_t202" filled="false" stroked="false">
          <v:textbox inset="0,0,0,0">
            <w:txbxContent>
              <w:p>
                <w:pPr>
                  <w:spacing w:before="14"/>
                  <w:ind w:left="20" w:right="0" w:firstLine="0"/>
                  <w:jc w:val="left"/>
                  <w:rPr>
                    <w:rFonts w:ascii="Times New Roman"/>
                    <w:sz w:val="16"/>
                  </w:rPr>
                </w:pPr>
                <w:r>
                  <w:rPr>
                    <w:rFonts w:ascii="Times New Roman"/>
                    <w:sz w:val="24"/>
                  </w:rPr>
                  <w:t>safety messages, emergency alerts, and others, to enhance traffic systems and operations. </w:t>
                </w:r>
                <w:hyperlink w:history="true" w:anchor="_bookmark63">
                  <w:r>
                    <w:rPr>
                      <w:rFonts w:ascii="Times New Roman"/>
                      <w:position w:val="11"/>
                      <w:sz w:val="16"/>
                    </w:rPr>
                    <w:t>50</w:t>
                  </w:r>
                </w:hyperlink>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1.106644pt;width:444.5pt;height:15.3pt;mso-position-horizontal-relative:page;mso-position-vertical-relative:page;z-index:-506512" type="#_x0000_t202" filled="false" stroked="false">
          <v:textbox inset="0,0,0,0">
            <w:txbxContent>
              <w:p>
                <w:pPr>
                  <w:spacing w:before="10"/>
                  <w:ind w:left="20" w:right="0" w:firstLine="0"/>
                  <w:jc w:val="left"/>
                  <w:rPr>
                    <w:rFonts w:ascii="Times New Roman"/>
                    <w:sz w:val="24"/>
                  </w:rPr>
                </w:pPr>
                <w:r>
                  <w:rPr>
                    <w:rFonts w:ascii="Times New Roman"/>
                    <w:sz w:val="24"/>
                  </w:rPr>
                  <w:t>objective (e.g., advancement of new technologies or services) that could not be achieved via</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69.115448pt;width:400.95pt;height:17.3pt;mso-position-horizontal-relative:page;mso-position-vertical-relative:page;z-index:-506488" type="#_x0000_t202" filled="false" stroked="false">
          <v:textbox inset="0,0,0,0">
            <w:txbxContent>
              <w:p>
                <w:pPr>
                  <w:spacing w:before="14"/>
                  <w:ind w:left="20" w:right="0" w:firstLine="0"/>
                  <w:jc w:val="left"/>
                  <w:rPr>
                    <w:rFonts w:ascii="Times New Roman"/>
                    <w:sz w:val="24"/>
                  </w:rPr>
                </w:pPr>
                <w:r>
                  <w:rPr>
                    <w:rFonts w:ascii="Times New Roman"/>
                    <w:sz w:val="24"/>
                  </w:rPr>
                  <w:t>collective actions by Congress,</w:t>
                </w:r>
                <w:hyperlink w:history="true" w:anchor="_bookmark73">
                  <w:r>
                    <w:rPr>
                      <w:rFonts w:ascii="Times New Roman"/>
                      <w:position w:val="11"/>
                      <w:sz w:val="16"/>
                    </w:rPr>
                    <w:t>58</w:t>
                  </w:r>
                </w:hyperlink>
                <w:r>
                  <w:rPr>
                    <w:rFonts w:ascii="Times New Roman"/>
                    <w:position w:val="11"/>
                    <w:sz w:val="16"/>
                  </w:rPr>
                  <w:t> </w:t>
                </w:r>
                <w:r>
                  <w:rPr>
                    <w:rFonts w:ascii="Times New Roman"/>
                    <w:sz w:val="24"/>
                  </w:rPr>
                  <w:t>the DOT,</w:t>
                </w:r>
                <w:hyperlink w:history="true" w:anchor="_bookmark74">
                  <w:r>
                    <w:rPr>
                      <w:rFonts w:ascii="Times New Roman"/>
                      <w:position w:val="11"/>
                      <w:sz w:val="16"/>
                    </w:rPr>
                    <w:t>59</w:t>
                  </w:r>
                </w:hyperlink>
                <w:r>
                  <w:rPr>
                    <w:rFonts w:ascii="Times New Roman"/>
                    <w:position w:val="11"/>
                    <w:sz w:val="16"/>
                  </w:rPr>
                  <w:t> </w:t>
                </w:r>
                <w:r>
                  <w:rPr>
                    <w:rFonts w:ascii="Times New Roman"/>
                    <w:sz w:val="24"/>
                  </w:rPr>
                  <w:t>and the FCC that ultimately led to the</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4.269989pt;margin-top:41.612518pt;width:7.05pt;height:12.1pt;mso-position-horizontal-relative:page;mso-position-vertical-relative:page;z-index:-506200" type="#_x0000_t202" filled="false" stroked="false">
          <v:textbox inset="0,0,0,0">
            <w:txbxContent>
              <w:p>
                <w:pPr>
                  <w:spacing w:before="14"/>
                  <w:ind w:left="20" w:right="0" w:firstLine="0"/>
                  <w:jc w:val="left"/>
                  <w:rPr>
                    <w:b/>
                    <w:sz w:val="18"/>
                  </w:rPr>
                </w:pPr>
                <w:r>
                  <w:rPr>
                    <w:b/>
                    <w:w w:val="99"/>
                    <w:sz w:val="18"/>
                  </w:rPr>
                  <w:t>2</w:t>
                </w:r>
              </w:p>
            </w:txbxContent>
          </v:textbox>
          <w10:wrap type="none"/>
        </v:shape>
      </w:pict>
    </w:r>
    <w:r>
      <w:rPr/>
      <w:pict>
        <v:shape style="position:absolute;margin-left:471.179993pt;margin-top:41.612518pt;width:68.650pt;height:12.1pt;mso-position-horizontal-relative:page;mso-position-vertical-relative:page;z-index:-506176"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4.269989pt;margin-top:41.612518pt;width:7.05pt;height:12.1pt;mso-position-horizontal-relative:page;mso-position-vertical-relative:page;z-index:-506032" type="#_x0000_t202" filled="false" stroked="false">
          <v:textbox inset="0,0,0,0">
            <w:txbxContent>
              <w:p>
                <w:pPr>
                  <w:spacing w:before="14"/>
                  <w:ind w:left="20" w:right="0" w:firstLine="0"/>
                  <w:jc w:val="left"/>
                  <w:rPr>
                    <w:b/>
                    <w:sz w:val="18"/>
                  </w:rPr>
                </w:pPr>
                <w:r>
                  <w:rPr>
                    <w:b/>
                    <w:w w:val="99"/>
                    <w:sz w:val="18"/>
                  </w:rPr>
                  <w:t>4</w:t>
                </w:r>
              </w:p>
            </w:txbxContent>
          </v:textbox>
          <w10:wrap type="none"/>
        </v:shape>
      </w:pict>
    </w:r>
    <w:r>
      <w:rPr/>
      <w:pict>
        <v:shape style="position:absolute;margin-left:471.179993pt;margin-top:41.612518pt;width:68.650pt;height:12.1pt;mso-position-horizontal-relative:page;mso-position-vertical-relative:page;z-index:-50600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4.269989pt;margin-top:41.612518pt;width:7.05pt;height:12.1pt;mso-position-horizontal-relative:page;mso-position-vertical-relative:page;z-index:-505984" type="#_x0000_t202" filled="false" stroked="false">
          <v:textbox inset="0,0,0,0">
            <w:txbxContent>
              <w:p>
                <w:pPr>
                  <w:spacing w:before="14"/>
                  <w:ind w:left="20" w:right="0" w:firstLine="0"/>
                  <w:jc w:val="left"/>
                  <w:rPr>
                    <w:b/>
                    <w:sz w:val="18"/>
                  </w:rPr>
                </w:pPr>
                <w:r>
                  <w:rPr>
                    <w:b/>
                    <w:w w:val="99"/>
                    <w:sz w:val="18"/>
                  </w:rPr>
                  <w:t>5</w:t>
                </w:r>
              </w:p>
            </w:txbxContent>
          </v:textbox>
          <w10:wrap type="none"/>
        </v:shape>
      </w:pict>
    </w:r>
    <w:r>
      <w:rPr/>
      <w:pict>
        <v:shape style="position:absolute;margin-left:471.179993pt;margin-top:41.612518pt;width:68.650pt;height:12.1pt;mso-position-horizontal-relative:page;mso-position-vertical-relative:page;z-index:-505960"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4.269989pt;margin-top:41.612518pt;width:7.05pt;height:12.1pt;mso-position-horizontal-relative:page;mso-position-vertical-relative:page;z-index:-505936" type="#_x0000_t202" filled="false" stroked="false">
          <v:textbox inset="0,0,0,0">
            <w:txbxContent>
              <w:p>
                <w:pPr>
                  <w:spacing w:before="14"/>
                  <w:ind w:left="20" w:right="0" w:firstLine="0"/>
                  <w:jc w:val="left"/>
                  <w:rPr>
                    <w:b/>
                    <w:sz w:val="18"/>
                  </w:rPr>
                </w:pPr>
                <w:r>
                  <w:rPr>
                    <w:b/>
                    <w:w w:val="99"/>
                    <w:sz w:val="18"/>
                  </w:rPr>
                  <w:t>6</w:t>
                </w:r>
              </w:p>
            </w:txbxContent>
          </v:textbox>
          <w10:wrap type="none"/>
        </v:shape>
      </w:pict>
    </w:r>
    <w:r>
      <w:rPr/>
      <w:pict>
        <v:shape style="position:absolute;margin-left:471.179993pt;margin-top:41.612518pt;width:68.650pt;height:12.1pt;mso-position-horizontal-relative:page;mso-position-vertical-relative:page;z-index:-505912"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4.269989pt;margin-top:41.612518pt;width:7.05pt;height:12.1pt;mso-position-horizontal-relative:page;mso-position-vertical-relative:page;z-index:-505888" type="#_x0000_t202" filled="false" stroked="false">
          <v:textbox inset="0,0,0,0">
            <w:txbxContent>
              <w:p>
                <w:pPr>
                  <w:spacing w:before="14"/>
                  <w:ind w:left="20" w:right="0" w:firstLine="0"/>
                  <w:jc w:val="left"/>
                  <w:rPr>
                    <w:b/>
                    <w:sz w:val="18"/>
                  </w:rPr>
                </w:pPr>
                <w:r>
                  <w:rPr>
                    <w:b/>
                    <w:w w:val="99"/>
                    <w:sz w:val="18"/>
                  </w:rPr>
                  <w:t>7</w:t>
                </w:r>
              </w:p>
            </w:txbxContent>
          </v:textbox>
          <w10:wrap type="none"/>
        </v:shape>
      </w:pict>
    </w:r>
    <w:r>
      <w:rPr/>
      <w:pict>
        <v:shape style="position:absolute;margin-left:471.179993pt;margin-top:41.612518pt;width:68.650pt;height:12.1pt;mso-position-horizontal-relative:page;mso-position-vertical-relative:page;z-index:-50586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4.269989pt;margin-top:41.612518pt;width:7.05pt;height:12.1pt;mso-position-horizontal-relative:page;mso-position-vertical-relative:page;z-index:-505840" type="#_x0000_t202" filled="false" stroked="false">
          <v:textbox inset="0,0,0,0">
            <w:txbxContent>
              <w:p>
                <w:pPr>
                  <w:spacing w:before="14"/>
                  <w:ind w:left="20" w:right="0" w:firstLine="0"/>
                  <w:jc w:val="left"/>
                  <w:rPr>
                    <w:b/>
                    <w:sz w:val="18"/>
                  </w:rPr>
                </w:pPr>
                <w:r>
                  <w:rPr>
                    <w:b/>
                    <w:w w:val="99"/>
                    <w:sz w:val="18"/>
                  </w:rPr>
                  <w:t>8</w:t>
                </w:r>
              </w:p>
            </w:txbxContent>
          </v:textbox>
          <w10:wrap type="none"/>
        </v:shape>
      </w:pict>
    </w:r>
    <w:r>
      <w:rPr/>
      <w:pict>
        <v:shape style="position:absolute;margin-left:471.179993pt;margin-top:41.612518pt;width:68.650pt;height:12.1pt;mso-position-horizontal-relative:page;mso-position-vertical-relative:page;z-index:-505816"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4.269989pt;margin-top:41.612518pt;width:7.05pt;height:12.1pt;mso-position-horizontal-relative:page;mso-position-vertical-relative:page;z-index:-505792" type="#_x0000_t202" filled="false" stroked="false">
          <v:textbox inset="0,0,0,0">
            <w:txbxContent>
              <w:p>
                <w:pPr>
                  <w:spacing w:before="14"/>
                  <w:ind w:left="20" w:right="0" w:firstLine="0"/>
                  <w:jc w:val="left"/>
                  <w:rPr>
                    <w:b/>
                    <w:sz w:val="18"/>
                  </w:rPr>
                </w:pPr>
                <w:r>
                  <w:rPr>
                    <w:b/>
                    <w:w w:val="99"/>
                    <w:sz w:val="18"/>
                  </w:rPr>
                  <w:t>9</w:t>
                </w:r>
              </w:p>
            </w:txbxContent>
          </v:textbox>
          <w10:wrap type="none"/>
        </v:shape>
      </w:pict>
    </w:r>
    <w:r>
      <w:rPr/>
      <w:pict>
        <v:shape style="position:absolute;margin-left:471.179993pt;margin-top:41.612518pt;width:68.650pt;height:12.1pt;mso-position-horizontal-relative:page;mso-position-vertical-relative:page;z-index:-50576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5672" type="#_x0000_t202" filled="false" stroked="false">
          <v:textbox inset="0,0,0,0">
            <w:txbxContent>
              <w:p>
                <w:pPr>
                  <w:spacing w:before="14"/>
                  <w:ind w:left="20" w:right="0" w:firstLine="0"/>
                  <w:jc w:val="left"/>
                  <w:rPr>
                    <w:b/>
                    <w:sz w:val="18"/>
                  </w:rPr>
                </w:pPr>
                <w:r>
                  <w:rPr>
                    <w:b/>
                    <w:sz w:val="18"/>
                  </w:rPr>
                  <w:t>10</w:t>
                </w:r>
              </w:p>
            </w:txbxContent>
          </v:textbox>
          <w10:wrap type="none"/>
        </v:shape>
      </w:pict>
    </w:r>
    <w:r>
      <w:rPr/>
      <w:pict>
        <v:shape style="position:absolute;margin-left:471.179993pt;margin-top:41.612518pt;width:68.650pt;height:12.1pt;mso-position-horizontal-relative:page;mso-position-vertical-relative:page;z-index:-50564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5552" type="#_x0000_t202" filled="false" stroked="false">
          <v:textbox inset="0,0,0,0">
            <w:txbxContent>
              <w:p>
                <w:pPr>
                  <w:spacing w:before="14"/>
                  <w:ind w:left="20" w:right="0" w:firstLine="0"/>
                  <w:jc w:val="left"/>
                  <w:rPr>
                    <w:b/>
                    <w:sz w:val="18"/>
                  </w:rPr>
                </w:pPr>
                <w:r>
                  <w:rPr>
                    <w:b/>
                    <w:sz w:val="18"/>
                  </w:rPr>
                  <w:t>11</w:t>
                </w:r>
              </w:p>
            </w:txbxContent>
          </v:textbox>
          <w10:wrap type="none"/>
        </v:shape>
      </w:pict>
    </w:r>
    <w:r>
      <w:rPr/>
      <w:pict>
        <v:shape style="position:absolute;margin-left:471.179993pt;margin-top:41.612518pt;width:68.650pt;height:12.1pt;mso-position-horizontal-relative:page;mso-position-vertical-relative:page;z-index:-50552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5504" type="#_x0000_t202" filled="false" stroked="false">
          <v:textbox inset="0,0,0,0">
            <w:txbxContent>
              <w:p>
                <w:pPr>
                  <w:spacing w:before="14"/>
                  <w:ind w:left="20" w:right="0" w:firstLine="0"/>
                  <w:jc w:val="left"/>
                  <w:rPr>
                    <w:b/>
                    <w:sz w:val="18"/>
                  </w:rPr>
                </w:pPr>
                <w:r>
                  <w:rPr>
                    <w:b/>
                    <w:sz w:val="18"/>
                  </w:rPr>
                  <w:t>12</w:t>
                </w:r>
              </w:p>
            </w:txbxContent>
          </v:textbox>
          <w10:wrap type="none"/>
        </v:shape>
      </w:pict>
    </w:r>
    <w:r>
      <w:rPr/>
      <w:pict>
        <v:shape style="position:absolute;margin-left:471.179993pt;margin-top:41.612518pt;width:68.650pt;height:12.1pt;mso-position-horizontal-relative:page;mso-position-vertical-relative:page;z-index:-505480"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5456" type="#_x0000_t202" filled="false" stroked="false">
          <v:textbox inset="0,0,0,0">
            <w:txbxContent>
              <w:p>
                <w:pPr>
                  <w:spacing w:before="14"/>
                  <w:ind w:left="20" w:right="0" w:firstLine="0"/>
                  <w:jc w:val="left"/>
                  <w:rPr>
                    <w:b/>
                    <w:sz w:val="18"/>
                  </w:rPr>
                </w:pPr>
                <w:r>
                  <w:rPr>
                    <w:b/>
                    <w:sz w:val="18"/>
                  </w:rPr>
                  <w:t>13</w:t>
                </w:r>
              </w:p>
            </w:txbxContent>
          </v:textbox>
          <w10:wrap type="none"/>
        </v:shape>
      </w:pict>
    </w:r>
    <w:r>
      <w:rPr/>
      <w:pict>
        <v:shape style="position:absolute;margin-left:471.179993pt;margin-top:41.612518pt;width:68.650pt;height:12.1pt;mso-position-horizontal-relative:page;mso-position-vertical-relative:page;z-index:-505432"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5408" type="#_x0000_t202" filled="false" stroked="false">
          <v:textbox inset="0,0,0,0">
            <w:txbxContent>
              <w:p>
                <w:pPr>
                  <w:spacing w:before="14"/>
                  <w:ind w:left="20" w:right="0" w:firstLine="0"/>
                  <w:jc w:val="left"/>
                  <w:rPr>
                    <w:b/>
                    <w:sz w:val="18"/>
                  </w:rPr>
                </w:pPr>
                <w:r>
                  <w:rPr>
                    <w:b/>
                    <w:sz w:val="18"/>
                  </w:rPr>
                  <w:t>14</w:t>
                </w:r>
              </w:p>
            </w:txbxContent>
          </v:textbox>
          <w10:wrap type="none"/>
        </v:shape>
      </w:pict>
    </w:r>
    <w:r>
      <w:rPr/>
      <w:pict>
        <v:shape style="position:absolute;margin-left:471.179993pt;margin-top:41.612518pt;width:68.650pt;height:12.1pt;mso-position-horizontal-relative:page;mso-position-vertical-relative:page;z-index:-50538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5360" type="#_x0000_t202" filled="false" stroked="false">
          <v:textbox inset="0,0,0,0">
            <w:txbxContent>
              <w:p>
                <w:pPr>
                  <w:spacing w:before="14"/>
                  <w:ind w:left="20" w:right="0" w:firstLine="0"/>
                  <w:jc w:val="left"/>
                  <w:rPr>
                    <w:b/>
                    <w:sz w:val="18"/>
                  </w:rPr>
                </w:pPr>
                <w:r>
                  <w:rPr>
                    <w:b/>
                    <w:sz w:val="18"/>
                  </w:rPr>
                  <w:t>15</w:t>
                </w:r>
              </w:p>
            </w:txbxContent>
          </v:textbox>
          <w10:wrap type="none"/>
        </v:shape>
      </w:pict>
    </w:r>
    <w:r>
      <w:rPr/>
      <w:pict>
        <v:shape style="position:absolute;margin-left:471.179993pt;margin-top:41.612518pt;width:68.650pt;height:12.1pt;mso-position-horizontal-relative:page;mso-position-vertical-relative:page;z-index:-505336"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5312" type="#_x0000_t202" filled="false" stroked="false">
          <v:textbox inset="0,0,0,0">
            <w:txbxContent>
              <w:p>
                <w:pPr>
                  <w:spacing w:before="14"/>
                  <w:ind w:left="20" w:right="0" w:firstLine="0"/>
                  <w:jc w:val="left"/>
                  <w:rPr>
                    <w:b/>
                    <w:sz w:val="18"/>
                  </w:rPr>
                </w:pPr>
                <w:r>
                  <w:rPr>
                    <w:b/>
                    <w:sz w:val="18"/>
                  </w:rPr>
                  <w:t>16</w:t>
                </w:r>
              </w:p>
            </w:txbxContent>
          </v:textbox>
          <w10:wrap type="none"/>
        </v:shape>
      </w:pict>
    </w:r>
    <w:r>
      <w:rPr/>
      <w:pict>
        <v:shape style="position:absolute;margin-left:471.179993pt;margin-top:41.612518pt;width:68.650pt;height:12.1pt;mso-position-horizontal-relative:page;mso-position-vertical-relative:page;z-index:-50528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5264" type="#_x0000_t202" filled="false" stroked="false">
          <v:textbox inset="0,0,0,0">
            <w:txbxContent>
              <w:p>
                <w:pPr>
                  <w:spacing w:before="14"/>
                  <w:ind w:left="20" w:right="0" w:firstLine="0"/>
                  <w:jc w:val="left"/>
                  <w:rPr>
                    <w:b/>
                    <w:sz w:val="18"/>
                  </w:rPr>
                </w:pPr>
                <w:r>
                  <w:rPr>
                    <w:b/>
                    <w:sz w:val="18"/>
                  </w:rPr>
                  <w:t>17</w:t>
                </w:r>
              </w:p>
            </w:txbxContent>
          </v:textbox>
          <w10:wrap type="none"/>
        </v:shape>
      </w:pict>
    </w:r>
    <w:r>
      <w:rPr/>
      <w:pict>
        <v:shape style="position:absolute;margin-left:471.179993pt;margin-top:41.612518pt;width:68.650pt;height:12.1pt;mso-position-horizontal-relative:page;mso-position-vertical-relative:page;z-index:-505240"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5216" type="#_x0000_t202" filled="false" stroked="false">
          <v:textbox inset="0,0,0,0">
            <w:txbxContent>
              <w:p>
                <w:pPr>
                  <w:spacing w:before="14"/>
                  <w:ind w:left="20" w:right="0" w:firstLine="0"/>
                  <w:jc w:val="left"/>
                  <w:rPr>
                    <w:b/>
                    <w:sz w:val="18"/>
                  </w:rPr>
                </w:pPr>
                <w:r>
                  <w:rPr>
                    <w:b/>
                    <w:sz w:val="18"/>
                  </w:rPr>
                  <w:t>18</w:t>
                </w:r>
              </w:p>
            </w:txbxContent>
          </v:textbox>
          <w10:wrap type="none"/>
        </v:shape>
      </w:pict>
    </w:r>
    <w:r>
      <w:rPr/>
      <w:pict>
        <v:shape style="position:absolute;margin-left:471.179993pt;margin-top:41.612518pt;width:68.650pt;height:12.1pt;mso-position-horizontal-relative:page;mso-position-vertical-relative:page;z-index:-505192"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5168" type="#_x0000_t202" filled="false" stroked="false">
          <v:textbox inset="0,0,0,0">
            <w:txbxContent>
              <w:p>
                <w:pPr>
                  <w:spacing w:before="14"/>
                  <w:ind w:left="20" w:right="0" w:firstLine="0"/>
                  <w:jc w:val="left"/>
                  <w:rPr>
                    <w:b/>
                    <w:sz w:val="18"/>
                  </w:rPr>
                </w:pPr>
                <w:r>
                  <w:rPr>
                    <w:b/>
                    <w:sz w:val="18"/>
                  </w:rPr>
                  <w:t>19</w:t>
                </w:r>
              </w:p>
            </w:txbxContent>
          </v:textbox>
          <w10:wrap type="none"/>
        </v:shape>
      </w:pict>
    </w:r>
    <w:r>
      <w:rPr/>
      <w:pict>
        <v:shape style="position:absolute;margin-left:471.179993pt;margin-top:41.612518pt;width:68.650pt;height:12.1pt;mso-position-horizontal-relative:page;mso-position-vertical-relative:page;z-index:-50514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5048" type="#_x0000_t202" filled="false" stroked="false">
          <v:textbox inset="0,0,0,0">
            <w:txbxContent>
              <w:p>
                <w:pPr>
                  <w:spacing w:before="14"/>
                  <w:ind w:left="20" w:right="0" w:firstLine="0"/>
                  <w:jc w:val="left"/>
                  <w:rPr>
                    <w:b/>
                    <w:sz w:val="18"/>
                  </w:rPr>
                </w:pPr>
                <w:r>
                  <w:rPr>
                    <w:b/>
                    <w:sz w:val="18"/>
                  </w:rPr>
                  <w:t>20</w:t>
                </w:r>
              </w:p>
            </w:txbxContent>
          </v:textbox>
          <w10:wrap type="none"/>
        </v:shape>
      </w:pict>
    </w:r>
    <w:r>
      <w:rPr/>
      <w:pict>
        <v:shape style="position:absolute;margin-left:471.179993pt;margin-top:41.612518pt;width:68.650pt;height:12.1pt;mso-position-horizontal-relative:page;mso-position-vertical-relative:page;z-index:-50502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4928" type="#_x0000_t202" filled="false" stroked="false">
          <v:textbox inset="0,0,0,0">
            <w:txbxContent>
              <w:p>
                <w:pPr>
                  <w:spacing w:before="14"/>
                  <w:ind w:left="20" w:right="0" w:firstLine="0"/>
                  <w:jc w:val="left"/>
                  <w:rPr>
                    <w:b/>
                    <w:sz w:val="18"/>
                  </w:rPr>
                </w:pPr>
                <w:r>
                  <w:rPr>
                    <w:b/>
                    <w:sz w:val="18"/>
                  </w:rPr>
                  <w:t>21</w:t>
                </w:r>
              </w:p>
            </w:txbxContent>
          </v:textbox>
          <w10:wrap type="none"/>
        </v:shape>
      </w:pict>
    </w:r>
    <w:r>
      <w:rPr/>
      <w:pict>
        <v:shape style="position:absolute;margin-left:471.179993pt;margin-top:41.612518pt;width:68.650pt;height:12.1pt;mso-position-horizontal-relative:page;mso-position-vertical-relative:page;z-index:-50490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4880" type="#_x0000_t202" filled="false" stroked="false">
          <v:textbox inset="0,0,0,0">
            <w:txbxContent>
              <w:p>
                <w:pPr>
                  <w:spacing w:before="14"/>
                  <w:ind w:left="20" w:right="0" w:firstLine="0"/>
                  <w:jc w:val="left"/>
                  <w:rPr>
                    <w:b/>
                    <w:sz w:val="18"/>
                  </w:rPr>
                </w:pPr>
                <w:r>
                  <w:rPr>
                    <w:b/>
                    <w:sz w:val="18"/>
                  </w:rPr>
                  <w:t>22</w:t>
                </w:r>
              </w:p>
            </w:txbxContent>
          </v:textbox>
          <w10:wrap type="none"/>
        </v:shape>
      </w:pict>
    </w:r>
    <w:r>
      <w:rPr/>
      <w:pict>
        <v:shape style="position:absolute;margin-left:471.179993pt;margin-top:41.612518pt;width:68.650pt;height:12.1pt;mso-position-horizontal-relative:page;mso-position-vertical-relative:page;z-index:-504856"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4832" type="#_x0000_t202" filled="false" stroked="false">
          <v:textbox inset="0,0,0,0">
            <w:txbxContent>
              <w:p>
                <w:pPr>
                  <w:spacing w:before="14"/>
                  <w:ind w:left="20" w:right="0" w:firstLine="0"/>
                  <w:jc w:val="left"/>
                  <w:rPr>
                    <w:b/>
                    <w:sz w:val="18"/>
                  </w:rPr>
                </w:pPr>
                <w:r>
                  <w:rPr>
                    <w:b/>
                    <w:sz w:val="18"/>
                  </w:rPr>
                  <w:t>23</w:t>
                </w:r>
              </w:p>
            </w:txbxContent>
          </v:textbox>
          <w10:wrap type="none"/>
        </v:shape>
      </w:pict>
    </w:r>
    <w:r>
      <w:rPr/>
      <w:pict>
        <v:shape style="position:absolute;margin-left:471.179993pt;margin-top:41.612518pt;width:68.650pt;height:12.1pt;mso-position-horizontal-relative:page;mso-position-vertical-relative:page;z-index:-50480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4784" type="#_x0000_t202" filled="false" stroked="false">
          <v:textbox inset="0,0,0,0">
            <w:txbxContent>
              <w:p>
                <w:pPr>
                  <w:spacing w:before="14"/>
                  <w:ind w:left="20" w:right="0" w:firstLine="0"/>
                  <w:jc w:val="left"/>
                  <w:rPr>
                    <w:b/>
                    <w:sz w:val="18"/>
                  </w:rPr>
                </w:pPr>
                <w:r>
                  <w:rPr>
                    <w:b/>
                    <w:sz w:val="18"/>
                  </w:rPr>
                  <w:t>24</w:t>
                </w:r>
              </w:p>
            </w:txbxContent>
          </v:textbox>
          <w10:wrap type="none"/>
        </v:shape>
      </w:pict>
    </w:r>
    <w:r>
      <w:rPr/>
      <w:pict>
        <v:shape style="position:absolute;margin-left:471.179993pt;margin-top:41.612518pt;width:68.650pt;height:12.1pt;mso-position-horizontal-relative:page;mso-position-vertical-relative:page;z-index:-504760"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4736" type="#_x0000_t202" filled="false" stroked="false">
          <v:textbox inset="0,0,0,0">
            <w:txbxContent>
              <w:p>
                <w:pPr>
                  <w:spacing w:before="14"/>
                  <w:ind w:left="20" w:right="0" w:firstLine="0"/>
                  <w:jc w:val="left"/>
                  <w:rPr>
                    <w:b/>
                    <w:sz w:val="18"/>
                  </w:rPr>
                </w:pPr>
                <w:r>
                  <w:rPr>
                    <w:b/>
                    <w:sz w:val="18"/>
                  </w:rPr>
                  <w:t>25</w:t>
                </w:r>
              </w:p>
            </w:txbxContent>
          </v:textbox>
          <w10:wrap type="none"/>
        </v:shape>
      </w:pict>
    </w:r>
    <w:r>
      <w:rPr/>
      <w:pict>
        <v:shape style="position:absolute;margin-left:471.179993pt;margin-top:41.612518pt;width:68.650pt;height:12.1pt;mso-position-horizontal-relative:page;mso-position-vertical-relative:page;z-index:-504712"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4688" type="#_x0000_t202" filled="false" stroked="false">
          <v:textbox inset="0,0,0,0">
            <w:txbxContent>
              <w:p>
                <w:pPr>
                  <w:spacing w:before="14"/>
                  <w:ind w:left="20" w:right="0" w:firstLine="0"/>
                  <w:jc w:val="left"/>
                  <w:rPr>
                    <w:b/>
                    <w:sz w:val="18"/>
                  </w:rPr>
                </w:pPr>
                <w:r>
                  <w:rPr>
                    <w:b/>
                    <w:sz w:val="18"/>
                  </w:rPr>
                  <w:t>26</w:t>
                </w:r>
              </w:p>
            </w:txbxContent>
          </v:textbox>
          <w10:wrap type="none"/>
        </v:shape>
      </w:pict>
    </w:r>
    <w:r>
      <w:rPr/>
      <w:pict>
        <v:shape style="position:absolute;margin-left:471.179993pt;margin-top:41.612518pt;width:68.650pt;height:12.1pt;mso-position-horizontal-relative:page;mso-position-vertical-relative:page;z-index:-50466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4640" type="#_x0000_t202" filled="false" stroked="false">
          <v:textbox inset="0,0,0,0">
            <w:txbxContent>
              <w:p>
                <w:pPr>
                  <w:spacing w:before="14"/>
                  <w:ind w:left="20" w:right="0" w:firstLine="0"/>
                  <w:jc w:val="left"/>
                  <w:rPr>
                    <w:b/>
                    <w:sz w:val="18"/>
                  </w:rPr>
                </w:pPr>
                <w:r>
                  <w:rPr>
                    <w:b/>
                    <w:sz w:val="18"/>
                  </w:rPr>
                  <w:t>27</w:t>
                </w:r>
              </w:p>
            </w:txbxContent>
          </v:textbox>
          <w10:wrap type="none"/>
        </v:shape>
      </w:pict>
    </w:r>
    <w:r>
      <w:rPr/>
      <w:pict>
        <v:shape style="position:absolute;margin-left:471.179993pt;margin-top:41.612518pt;width:68.650pt;height:12.1pt;mso-position-horizontal-relative:page;mso-position-vertical-relative:page;z-index:-504616"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4592" type="#_x0000_t202" filled="false" stroked="false">
          <v:textbox inset="0,0,0,0">
            <w:txbxContent>
              <w:p>
                <w:pPr>
                  <w:spacing w:before="14"/>
                  <w:ind w:left="20" w:right="0" w:firstLine="0"/>
                  <w:jc w:val="left"/>
                  <w:rPr>
                    <w:b/>
                    <w:sz w:val="18"/>
                  </w:rPr>
                </w:pPr>
                <w:r>
                  <w:rPr>
                    <w:b/>
                    <w:sz w:val="18"/>
                  </w:rPr>
                  <w:t>28</w:t>
                </w:r>
              </w:p>
            </w:txbxContent>
          </v:textbox>
          <w10:wrap type="none"/>
        </v:shape>
      </w:pict>
    </w:r>
    <w:r>
      <w:rPr/>
      <w:pict>
        <v:shape style="position:absolute;margin-left:471.179993pt;margin-top:41.612518pt;width:68.650pt;height:12.1pt;mso-position-horizontal-relative:page;mso-position-vertical-relative:page;z-index:-50456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4544" type="#_x0000_t202" filled="false" stroked="false">
          <v:textbox inset="0,0,0,0">
            <w:txbxContent>
              <w:p>
                <w:pPr>
                  <w:spacing w:before="14"/>
                  <w:ind w:left="20" w:right="0" w:firstLine="0"/>
                  <w:jc w:val="left"/>
                  <w:rPr>
                    <w:b/>
                    <w:sz w:val="18"/>
                  </w:rPr>
                </w:pPr>
                <w:r>
                  <w:rPr>
                    <w:b/>
                    <w:sz w:val="18"/>
                  </w:rPr>
                  <w:t>29</w:t>
                </w:r>
              </w:p>
            </w:txbxContent>
          </v:textbox>
          <w10:wrap type="none"/>
        </v:shape>
      </w:pict>
    </w:r>
    <w:r>
      <w:rPr/>
      <w:pict>
        <v:shape style="position:absolute;margin-left:471.179993pt;margin-top:41.612518pt;width:68.650pt;height:12.1pt;mso-position-horizontal-relative:page;mso-position-vertical-relative:page;z-index:-504520"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4424" type="#_x0000_t202" filled="false" stroked="false">
          <v:textbox inset="0,0,0,0">
            <w:txbxContent>
              <w:p>
                <w:pPr>
                  <w:spacing w:before="14"/>
                  <w:ind w:left="20" w:right="0" w:firstLine="0"/>
                  <w:jc w:val="left"/>
                  <w:rPr>
                    <w:b/>
                    <w:sz w:val="18"/>
                  </w:rPr>
                </w:pPr>
                <w:r>
                  <w:rPr>
                    <w:b/>
                    <w:sz w:val="18"/>
                  </w:rPr>
                  <w:t>30</w:t>
                </w:r>
              </w:p>
            </w:txbxContent>
          </v:textbox>
          <w10:wrap type="none"/>
        </v:shape>
      </w:pict>
    </w:r>
    <w:r>
      <w:rPr/>
      <w:pict>
        <v:shape style="position:absolute;margin-left:471.179993pt;margin-top:41.612518pt;width:68.650pt;height:12.1pt;mso-position-horizontal-relative:page;mso-position-vertical-relative:page;z-index:-504400"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4304" type="#_x0000_t202" filled="false" stroked="false">
          <v:textbox inset="0,0,0,0">
            <w:txbxContent>
              <w:p>
                <w:pPr>
                  <w:spacing w:before="14"/>
                  <w:ind w:left="20" w:right="0" w:firstLine="0"/>
                  <w:jc w:val="left"/>
                  <w:rPr>
                    <w:b/>
                    <w:sz w:val="18"/>
                  </w:rPr>
                </w:pPr>
                <w:r>
                  <w:rPr>
                    <w:b/>
                    <w:sz w:val="18"/>
                  </w:rPr>
                  <w:t>31</w:t>
                </w:r>
              </w:p>
            </w:txbxContent>
          </v:textbox>
          <w10:wrap type="none"/>
        </v:shape>
      </w:pict>
    </w:r>
    <w:r>
      <w:rPr/>
      <w:pict>
        <v:shape style="position:absolute;margin-left:471.179993pt;margin-top:41.612518pt;width:68.650pt;height:12.1pt;mso-position-horizontal-relative:page;mso-position-vertical-relative:page;z-index:-504280"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4256" type="#_x0000_t202" filled="false" stroked="false">
          <v:textbox inset="0,0,0,0">
            <w:txbxContent>
              <w:p>
                <w:pPr>
                  <w:spacing w:before="14"/>
                  <w:ind w:left="20" w:right="0" w:firstLine="0"/>
                  <w:jc w:val="left"/>
                  <w:rPr>
                    <w:b/>
                    <w:sz w:val="18"/>
                  </w:rPr>
                </w:pPr>
                <w:r>
                  <w:rPr>
                    <w:b/>
                    <w:sz w:val="18"/>
                  </w:rPr>
                  <w:t>32</w:t>
                </w:r>
              </w:p>
            </w:txbxContent>
          </v:textbox>
          <w10:wrap type="none"/>
        </v:shape>
      </w:pict>
    </w:r>
    <w:r>
      <w:rPr/>
      <w:pict>
        <v:shape style="position:absolute;margin-left:471.179993pt;margin-top:41.612518pt;width:68.650pt;height:12.1pt;mso-position-horizontal-relative:page;mso-position-vertical-relative:page;z-index:-504232"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4208" type="#_x0000_t202" filled="false" stroked="false">
          <v:textbox inset="0,0,0,0">
            <w:txbxContent>
              <w:p>
                <w:pPr>
                  <w:spacing w:before="14"/>
                  <w:ind w:left="20" w:right="0" w:firstLine="0"/>
                  <w:jc w:val="left"/>
                  <w:rPr>
                    <w:b/>
                    <w:sz w:val="18"/>
                  </w:rPr>
                </w:pPr>
                <w:r>
                  <w:rPr>
                    <w:b/>
                    <w:sz w:val="18"/>
                  </w:rPr>
                  <w:t>33</w:t>
                </w:r>
              </w:p>
            </w:txbxContent>
          </v:textbox>
          <w10:wrap type="none"/>
        </v:shape>
      </w:pict>
    </w:r>
    <w:r>
      <w:rPr/>
      <w:pict>
        <v:shape style="position:absolute;margin-left:471.179993pt;margin-top:41.612518pt;width:68.650pt;height:12.1pt;mso-position-horizontal-relative:page;mso-position-vertical-relative:page;z-index:-50418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4160" type="#_x0000_t202" filled="false" stroked="false">
          <v:textbox inset="0,0,0,0">
            <w:txbxContent>
              <w:p>
                <w:pPr>
                  <w:spacing w:before="14"/>
                  <w:ind w:left="20" w:right="0" w:firstLine="0"/>
                  <w:jc w:val="left"/>
                  <w:rPr>
                    <w:b/>
                    <w:sz w:val="18"/>
                  </w:rPr>
                </w:pPr>
                <w:r>
                  <w:rPr>
                    <w:b/>
                    <w:sz w:val="18"/>
                  </w:rPr>
                  <w:t>34</w:t>
                </w:r>
              </w:p>
            </w:txbxContent>
          </v:textbox>
          <w10:wrap type="none"/>
        </v:shape>
      </w:pict>
    </w:r>
    <w:r>
      <w:rPr/>
      <w:pict>
        <v:shape style="position:absolute;margin-left:471.179993pt;margin-top:41.612518pt;width:68.650pt;height:12.1pt;mso-position-horizontal-relative:page;mso-position-vertical-relative:page;z-index:-504136"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4112" type="#_x0000_t202" filled="false" stroked="false">
          <v:textbox inset="0,0,0,0">
            <w:txbxContent>
              <w:p>
                <w:pPr>
                  <w:spacing w:before="14"/>
                  <w:ind w:left="20" w:right="0" w:firstLine="0"/>
                  <w:jc w:val="left"/>
                  <w:rPr>
                    <w:b/>
                    <w:sz w:val="18"/>
                  </w:rPr>
                </w:pPr>
                <w:r>
                  <w:rPr>
                    <w:b/>
                    <w:sz w:val="18"/>
                  </w:rPr>
                  <w:t>35</w:t>
                </w:r>
              </w:p>
            </w:txbxContent>
          </v:textbox>
          <w10:wrap type="none"/>
        </v:shape>
      </w:pict>
    </w:r>
    <w:r>
      <w:rPr/>
      <w:pict>
        <v:shape style="position:absolute;margin-left:471.179993pt;margin-top:41.612518pt;width:68.650pt;height:12.1pt;mso-position-horizontal-relative:page;mso-position-vertical-relative:page;z-index:-50408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4064" type="#_x0000_t202" filled="false" stroked="false">
          <v:textbox inset="0,0,0,0">
            <w:txbxContent>
              <w:p>
                <w:pPr>
                  <w:spacing w:before="14"/>
                  <w:ind w:left="20" w:right="0" w:firstLine="0"/>
                  <w:jc w:val="left"/>
                  <w:rPr>
                    <w:b/>
                    <w:sz w:val="18"/>
                  </w:rPr>
                </w:pPr>
                <w:r>
                  <w:rPr>
                    <w:b/>
                    <w:sz w:val="18"/>
                  </w:rPr>
                  <w:t>36</w:t>
                </w:r>
              </w:p>
            </w:txbxContent>
          </v:textbox>
          <w10:wrap type="none"/>
        </v:shape>
      </w:pict>
    </w:r>
    <w:r>
      <w:rPr/>
      <w:pict>
        <v:shape style="position:absolute;margin-left:471.179993pt;margin-top:41.612518pt;width:68.650pt;height:12.1pt;mso-position-horizontal-relative:page;mso-position-vertical-relative:page;z-index:-504040"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4016" type="#_x0000_t202" filled="false" stroked="false">
          <v:textbox inset="0,0,0,0">
            <w:txbxContent>
              <w:p>
                <w:pPr>
                  <w:spacing w:before="14"/>
                  <w:ind w:left="20" w:right="0" w:firstLine="0"/>
                  <w:jc w:val="left"/>
                  <w:rPr>
                    <w:b/>
                    <w:sz w:val="18"/>
                  </w:rPr>
                </w:pPr>
                <w:r>
                  <w:rPr>
                    <w:b/>
                    <w:sz w:val="18"/>
                  </w:rPr>
                  <w:t>37</w:t>
                </w:r>
              </w:p>
            </w:txbxContent>
          </v:textbox>
          <w10:wrap type="none"/>
        </v:shape>
      </w:pict>
    </w:r>
    <w:r>
      <w:rPr/>
      <w:pict>
        <v:shape style="position:absolute;margin-left:471.179993pt;margin-top:41.612518pt;width:68.650pt;height:12.1pt;mso-position-horizontal-relative:page;mso-position-vertical-relative:page;z-index:-503992"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3968" type="#_x0000_t202" filled="false" stroked="false">
          <v:textbox inset="0,0,0,0">
            <w:txbxContent>
              <w:p>
                <w:pPr>
                  <w:spacing w:before="14"/>
                  <w:ind w:left="20" w:right="0" w:firstLine="0"/>
                  <w:jc w:val="left"/>
                  <w:rPr>
                    <w:b/>
                    <w:sz w:val="18"/>
                  </w:rPr>
                </w:pPr>
                <w:r>
                  <w:rPr>
                    <w:b/>
                    <w:sz w:val="18"/>
                  </w:rPr>
                  <w:t>38</w:t>
                </w:r>
              </w:p>
            </w:txbxContent>
          </v:textbox>
          <w10:wrap type="none"/>
        </v:shape>
      </w:pict>
    </w:r>
    <w:r>
      <w:rPr/>
      <w:pict>
        <v:shape style="position:absolute;margin-left:471.179993pt;margin-top:41.612518pt;width:68.650pt;height:12.1pt;mso-position-horizontal-relative:page;mso-position-vertical-relative:page;z-index:-50394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3920" type="#_x0000_t202" filled="false" stroked="false">
          <v:textbox inset="0,0,0,0">
            <w:txbxContent>
              <w:p>
                <w:pPr>
                  <w:spacing w:before="14"/>
                  <w:ind w:left="20" w:right="0" w:firstLine="0"/>
                  <w:jc w:val="left"/>
                  <w:rPr>
                    <w:b/>
                    <w:sz w:val="18"/>
                  </w:rPr>
                </w:pPr>
                <w:r>
                  <w:rPr>
                    <w:b/>
                    <w:sz w:val="18"/>
                  </w:rPr>
                  <w:t>39</w:t>
                </w:r>
              </w:p>
            </w:txbxContent>
          </v:textbox>
          <w10:wrap type="none"/>
        </v:shape>
      </w:pict>
    </w:r>
    <w:r>
      <w:rPr/>
      <w:pict>
        <v:shape style="position:absolute;margin-left:471.179993pt;margin-top:41.612518pt;width:68.650pt;height:12.1pt;mso-position-horizontal-relative:page;mso-position-vertical-relative:page;z-index:-503896"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3800" type="#_x0000_t202" filled="false" stroked="false">
          <v:textbox inset="0,0,0,0">
            <w:txbxContent>
              <w:p>
                <w:pPr>
                  <w:spacing w:before="14"/>
                  <w:ind w:left="20" w:right="0" w:firstLine="0"/>
                  <w:jc w:val="left"/>
                  <w:rPr>
                    <w:b/>
                    <w:sz w:val="18"/>
                  </w:rPr>
                </w:pPr>
                <w:r>
                  <w:rPr>
                    <w:b/>
                    <w:sz w:val="18"/>
                  </w:rPr>
                  <w:t>40</w:t>
                </w:r>
              </w:p>
            </w:txbxContent>
          </v:textbox>
          <w10:wrap type="none"/>
        </v:shape>
      </w:pict>
    </w:r>
    <w:r>
      <w:rPr/>
      <w:pict>
        <v:shape style="position:absolute;margin-left:471.179993pt;margin-top:41.612518pt;width:68.650pt;height:12.1pt;mso-position-horizontal-relative:page;mso-position-vertical-relative:page;z-index:-503776"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3680" type="#_x0000_t202" filled="false" stroked="false">
          <v:textbox inset="0,0,0,0">
            <w:txbxContent>
              <w:p>
                <w:pPr>
                  <w:spacing w:before="14"/>
                  <w:ind w:left="20" w:right="0" w:firstLine="0"/>
                  <w:jc w:val="left"/>
                  <w:rPr>
                    <w:b/>
                    <w:sz w:val="18"/>
                  </w:rPr>
                </w:pPr>
                <w:r>
                  <w:rPr>
                    <w:b/>
                    <w:sz w:val="18"/>
                  </w:rPr>
                  <w:t>41</w:t>
                </w:r>
              </w:p>
            </w:txbxContent>
          </v:textbox>
          <w10:wrap type="none"/>
        </v:shape>
      </w:pict>
    </w:r>
    <w:r>
      <w:rPr/>
      <w:pict>
        <v:shape style="position:absolute;margin-left:471.179993pt;margin-top:41.612518pt;width:68.650pt;height:12.1pt;mso-position-horizontal-relative:page;mso-position-vertical-relative:page;z-index:-503656"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3632" type="#_x0000_t202" filled="false" stroked="false">
          <v:textbox inset="0,0,0,0">
            <w:txbxContent>
              <w:p>
                <w:pPr>
                  <w:spacing w:before="14"/>
                  <w:ind w:left="20" w:right="0" w:firstLine="0"/>
                  <w:jc w:val="left"/>
                  <w:rPr>
                    <w:b/>
                    <w:sz w:val="18"/>
                  </w:rPr>
                </w:pPr>
                <w:r>
                  <w:rPr>
                    <w:b/>
                    <w:sz w:val="18"/>
                  </w:rPr>
                  <w:t>42</w:t>
                </w:r>
              </w:p>
            </w:txbxContent>
          </v:textbox>
          <w10:wrap type="none"/>
        </v:shape>
      </w:pict>
    </w:r>
    <w:r>
      <w:rPr/>
      <w:pict>
        <v:shape style="position:absolute;margin-left:471.179993pt;margin-top:41.612518pt;width:68.650pt;height:12.1pt;mso-position-horizontal-relative:page;mso-position-vertical-relative:page;z-index:-50360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3584" type="#_x0000_t202" filled="false" stroked="false">
          <v:textbox inset="0,0,0,0">
            <w:txbxContent>
              <w:p>
                <w:pPr>
                  <w:spacing w:before="14"/>
                  <w:ind w:left="20" w:right="0" w:firstLine="0"/>
                  <w:jc w:val="left"/>
                  <w:rPr>
                    <w:b/>
                    <w:sz w:val="18"/>
                  </w:rPr>
                </w:pPr>
                <w:r>
                  <w:rPr>
                    <w:b/>
                    <w:sz w:val="18"/>
                  </w:rPr>
                  <w:t>43</w:t>
                </w:r>
              </w:p>
            </w:txbxContent>
          </v:textbox>
          <w10:wrap type="none"/>
        </v:shape>
      </w:pict>
    </w:r>
    <w:r>
      <w:rPr/>
      <w:pict>
        <v:shape style="position:absolute;margin-left:471.179993pt;margin-top:41.612518pt;width:68.650pt;height:12.1pt;mso-position-horizontal-relative:page;mso-position-vertical-relative:page;z-index:-503560"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3536" type="#_x0000_t202" filled="false" stroked="false">
          <v:textbox inset="0,0,0,0">
            <w:txbxContent>
              <w:p>
                <w:pPr>
                  <w:spacing w:before="14"/>
                  <w:ind w:left="20" w:right="0" w:firstLine="0"/>
                  <w:jc w:val="left"/>
                  <w:rPr>
                    <w:b/>
                    <w:sz w:val="18"/>
                  </w:rPr>
                </w:pPr>
                <w:r>
                  <w:rPr>
                    <w:b/>
                    <w:sz w:val="18"/>
                  </w:rPr>
                  <w:t>44</w:t>
                </w:r>
              </w:p>
            </w:txbxContent>
          </v:textbox>
          <w10:wrap type="none"/>
        </v:shape>
      </w:pict>
    </w:r>
    <w:r>
      <w:rPr/>
      <w:pict>
        <v:shape style="position:absolute;margin-left:471.179993pt;margin-top:41.612518pt;width:68.650pt;height:12.1pt;mso-position-horizontal-relative:page;mso-position-vertical-relative:page;z-index:-503512"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3488" type="#_x0000_t202" filled="false" stroked="false">
          <v:textbox inset="0,0,0,0">
            <w:txbxContent>
              <w:p>
                <w:pPr>
                  <w:spacing w:before="14"/>
                  <w:ind w:left="20" w:right="0" w:firstLine="0"/>
                  <w:jc w:val="left"/>
                  <w:rPr>
                    <w:b/>
                    <w:sz w:val="18"/>
                  </w:rPr>
                </w:pPr>
                <w:r>
                  <w:rPr>
                    <w:b/>
                    <w:sz w:val="18"/>
                  </w:rPr>
                  <w:t>45</w:t>
                </w:r>
              </w:p>
            </w:txbxContent>
          </v:textbox>
          <w10:wrap type="none"/>
        </v:shape>
      </w:pict>
    </w:r>
    <w:r>
      <w:rPr/>
      <w:pict>
        <v:shape style="position:absolute;margin-left:471.179993pt;margin-top:41.612518pt;width:68.650pt;height:12.1pt;mso-position-horizontal-relative:page;mso-position-vertical-relative:page;z-index:-50346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3440" type="#_x0000_t202" filled="false" stroked="false">
          <v:textbox inset="0,0,0,0">
            <w:txbxContent>
              <w:p>
                <w:pPr>
                  <w:spacing w:before="14"/>
                  <w:ind w:left="20" w:right="0" w:firstLine="0"/>
                  <w:jc w:val="left"/>
                  <w:rPr>
                    <w:b/>
                    <w:sz w:val="18"/>
                  </w:rPr>
                </w:pPr>
                <w:r>
                  <w:rPr>
                    <w:b/>
                    <w:sz w:val="18"/>
                  </w:rPr>
                  <w:t>46</w:t>
                </w:r>
              </w:p>
            </w:txbxContent>
          </v:textbox>
          <w10:wrap type="none"/>
        </v:shape>
      </w:pict>
    </w:r>
    <w:r>
      <w:rPr/>
      <w:pict>
        <v:shape style="position:absolute;margin-left:471.179993pt;margin-top:41.612518pt;width:68.650pt;height:12.1pt;mso-position-horizontal-relative:page;mso-position-vertical-relative:page;z-index:-503416"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3392" type="#_x0000_t202" filled="false" stroked="false">
          <v:textbox inset="0,0,0,0">
            <w:txbxContent>
              <w:p>
                <w:pPr>
                  <w:spacing w:before="14"/>
                  <w:ind w:left="20" w:right="0" w:firstLine="0"/>
                  <w:jc w:val="left"/>
                  <w:rPr>
                    <w:b/>
                    <w:sz w:val="18"/>
                  </w:rPr>
                </w:pPr>
                <w:r>
                  <w:rPr>
                    <w:b/>
                    <w:sz w:val="18"/>
                  </w:rPr>
                  <w:t>47</w:t>
                </w:r>
              </w:p>
            </w:txbxContent>
          </v:textbox>
          <w10:wrap type="none"/>
        </v:shape>
      </w:pict>
    </w:r>
    <w:r>
      <w:rPr/>
      <w:pict>
        <v:shape style="position:absolute;margin-left:471.179993pt;margin-top:41.612518pt;width:68.650pt;height:12.1pt;mso-position-horizontal-relative:page;mso-position-vertical-relative:page;z-index:-50336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3344" type="#_x0000_t202" filled="false" stroked="false">
          <v:textbox inset="0,0,0,0">
            <w:txbxContent>
              <w:p>
                <w:pPr>
                  <w:spacing w:before="14"/>
                  <w:ind w:left="20" w:right="0" w:firstLine="0"/>
                  <w:jc w:val="left"/>
                  <w:rPr>
                    <w:b/>
                    <w:sz w:val="18"/>
                  </w:rPr>
                </w:pPr>
                <w:r>
                  <w:rPr>
                    <w:b/>
                    <w:sz w:val="18"/>
                  </w:rPr>
                  <w:t>48</w:t>
                </w:r>
              </w:p>
            </w:txbxContent>
          </v:textbox>
          <w10:wrap type="none"/>
        </v:shape>
      </w:pict>
    </w:r>
    <w:r>
      <w:rPr/>
      <w:pict>
        <v:shape style="position:absolute;margin-left:471.179993pt;margin-top:41.612518pt;width:68.650pt;height:12.1pt;mso-position-horizontal-relative:page;mso-position-vertical-relative:page;z-index:-503320"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3296" type="#_x0000_t202" filled="false" stroked="false">
          <v:textbox inset="0,0,0,0">
            <w:txbxContent>
              <w:p>
                <w:pPr>
                  <w:spacing w:before="14"/>
                  <w:ind w:left="20" w:right="0" w:firstLine="0"/>
                  <w:jc w:val="left"/>
                  <w:rPr>
                    <w:b/>
                    <w:sz w:val="18"/>
                  </w:rPr>
                </w:pPr>
                <w:r>
                  <w:rPr>
                    <w:b/>
                    <w:sz w:val="18"/>
                  </w:rPr>
                  <w:t>49</w:t>
                </w:r>
              </w:p>
            </w:txbxContent>
          </v:textbox>
          <w10:wrap type="none"/>
        </v:shape>
      </w:pict>
    </w:r>
    <w:r>
      <w:rPr/>
      <w:pict>
        <v:shape style="position:absolute;margin-left:471.179993pt;margin-top:41.612518pt;width:68.650pt;height:12.1pt;mso-position-horizontal-relative:page;mso-position-vertical-relative:page;z-index:-503272"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3176" type="#_x0000_t202" filled="false" stroked="false">
          <v:textbox inset="0,0,0,0">
            <w:txbxContent>
              <w:p>
                <w:pPr>
                  <w:spacing w:before="14"/>
                  <w:ind w:left="20" w:right="0" w:firstLine="0"/>
                  <w:jc w:val="left"/>
                  <w:rPr>
                    <w:b/>
                    <w:sz w:val="18"/>
                  </w:rPr>
                </w:pPr>
                <w:r>
                  <w:rPr>
                    <w:b/>
                    <w:sz w:val="18"/>
                  </w:rPr>
                  <w:t>50</w:t>
                </w:r>
              </w:p>
            </w:txbxContent>
          </v:textbox>
          <w10:wrap type="none"/>
        </v:shape>
      </w:pict>
    </w:r>
    <w:r>
      <w:rPr/>
      <w:pict>
        <v:shape style="position:absolute;margin-left:471.179993pt;margin-top:41.612518pt;width:68.650pt;height:12.1pt;mso-position-horizontal-relative:page;mso-position-vertical-relative:page;z-index:-503152"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3056" type="#_x0000_t202" filled="false" stroked="false">
          <v:textbox inset="0,0,0,0">
            <w:txbxContent>
              <w:p>
                <w:pPr>
                  <w:spacing w:before="14"/>
                  <w:ind w:left="20" w:right="0" w:firstLine="0"/>
                  <w:jc w:val="left"/>
                  <w:rPr>
                    <w:b/>
                    <w:sz w:val="18"/>
                  </w:rPr>
                </w:pPr>
                <w:r>
                  <w:rPr>
                    <w:b/>
                    <w:sz w:val="18"/>
                  </w:rPr>
                  <w:t>51</w:t>
                </w:r>
              </w:p>
            </w:txbxContent>
          </v:textbox>
          <w10:wrap type="none"/>
        </v:shape>
      </w:pict>
    </w:r>
    <w:r>
      <w:rPr/>
      <w:pict>
        <v:shape style="position:absolute;margin-left:471.179993pt;margin-top:41.612518pt;width:68.650pt;height:12.1pt;mso-position-horizontal-relative:page;mso-position-vertical-relative:page;z-index:-503032"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3008" type="#_x0000_t202" filled="false" stroked="false">
          <v:textbox inset="0,0,0,0">
            <w:txbxContent>
              <w:p>
                <w:pPr>
                  <w:spacing w:before="14"/>
                  <w:ind w:left="20" w:right="0" w:firstLine="0"/>
                  <w:jc w:val="left"/>
                  <w:rPr>
                    <w:b/>
                    <w:sz w:val="18"/>
                  </w:rPr>
                </w:pPr>
                <w:r>
                  <w:rPr>
                    <w:b/>
                    <w:sz w:val="18"/>
                  </w:rPr>
                  <w:t>52</w:t>
                </w:r>
              </w:p>
            </w:txbxContent>
          </v:textbox>
          <w10:wrap type="none"/>
        </v:shape>
      </w:pict>
    </w:r>
    <w:r>
      <w:rPr/>
      <w:pict>
        <v:shape style="position:absolute;margin-left:471.179993pt;margin-top:41.612518pt;width:68.650pt;height:12.1pt;mso-position-horizontal-relative:page;mso-position-vertical-relative:page;z-index:-50298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2960" type="#_x0000_t202" filled="false" stroked="false">
          <v:textbox inset="0,0,0,0">
            <w:txbxContent>
              <w:p>
                <w:pPr>
                  <w:spacing w:before="14"/>
                  <w:ind w:left="20" w:right="0" w:firstLine="0"/>
                  <w:jc w:val="left"/>
                  <w:rPr>
                    <w:b/>
                    <w:sz w:val="18"/>
                  </w:rPr>
                </w:pPr>
                <w:r>
                  <w:rPr>
                    <w:b/>
                    <w:sz w:val="18"/>
                  </w:rPr>
                  <w:t>53</w:t>
                </w:r>
              </w:p>
            </w:txbxContent>
          </v:textbox>
          <w10:wrap type="none"/>
        </v:shape>
      </w:pict>
    </w:r>
    <w:r>
      <w:rPr/>
      <w:pict>
        <v:shape style="position:absolute;margin-left:471.179993pt;margin-top:41.612518pt;width:68.650pt;height:12.1pt;mso-position-horizontal-relative:page;mso-position-vertical-relative:page;z-index:-502936"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2912" type="#_x0000_t202" filled="false" stroked="false">
          <v:textbox inset="0,0,0,0">
            <w:txbxContent>
              <w:p>
                <w:pPr>
                  <w:spacing w:before="14"/>
                  <w:ind w:left="20" w:right="0" w:firstLine="0"/>
                  <w:jc w:val="left"/>
                  <w:rPr>
                    <w:b/>
                    <w:sz w:val="18"/>
                  </w:rPr>
                </w:pPr>
                <w:r>
                  <w:rPr>
                    <w:b/>
                    <w:sz w:val="18"/>
                  </w:rPr>
                  <w:t>54</w:t>
                </w:r>
              </w:p>
            </w:txbxContent>
          </v:textbox>
          <w10:wrap type="none"/>
        </v:shape>
      </w:pict>
    </w:r>
    <w:r>
      <w:rPr/>
      <w:pict>
        <v:shape style="position:absolute;margin-left:471.179993pt;margin-top:41.612518pt;width:68.650pt;height:12.1pt;mso-position-horizontal-relative:page;mso-position-vertical-relative:page;z-index:-50288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2864" type="#_x0000_t202" filled="false" stroked="false">
          <v:textbox inset="0,0,0,0">
            <w:txbxContent>
              <w:p>
                <w:pPr>
                  <w:spacing w:before="14"/>
                  <w:ind w:left="20" w:right="0" w:firstLine="0"/>
                  <w:jc w:val="left"/>
                  <w:rPr>
                    <w:b/>
                    <w:sz w:val="18"/>
                  </w:rPr>
                </w:pPr>
                <w:r>
                  <w:rPr>
                    <w:b/>
                    <w:sz w:val="18"/>
                  </w:rPr>
                  <w:t>55</w:t>
                </w:r>
              </w:p>
            </w:txbxContent>
          </v:textbox>
          <w10:wrap type="none"/>
        </v:shape>
      </w:pict>
    </w:r>
    <w:r>
      <w:rPr/>
      <w:pict>
        <v:shape style="position:absolute;margin-left:471.179993pt;margin-top:41.612518pt;width:68.650pt;height:12.1pt;mso-position-horizontal-relative:page;mso-position-vertical-relative:page;z-index:-502840"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2816" type="#_x0000_t202" filled="false" stroked="false">
          <v:textbox inset="0,0,0,0">
            <w:txbxContent>
              <w:p>
                <w:pPr>
                  <w:spacing w:before="14"/>
                  <w:ind w:left="20" w:right="0" w:firstLine="0"/>
                  <w:jc w:val="left"/>
                  <w:rPr>
                    <w:b/>
                    <w:sz w:val="18"/>
                  </w:rPr>
                </w:pPr>
                <w:r>
                  <w:rPr>
                    <w:b/>
                    <w:sz w:val="18"/>
                  </w:rPr>
                  <w:t>56</w:t>
                </w:r>
              </w:p>
            </w:txbxContent>
          </v:textbox>
          <w10:wrap type="none"/>
        </v:shape>
      </w:pict>
    </w:r>
    <w:r>
      <w:rPr/>
      <w:pict>
        <v:shape style="position:absolute;margin-left:471.179993pt;margin-top:41.612518pt;width:68.650pt;height:12.1pt;mso-position-horizontal-relative:page;mso-position-vertical-relative:page;z-index:-502792"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2768" type="#_x0000_t202" filled="false" stroked="false">
          <v:textbox inset="0,0,0,0">
            <w:txbxContent>
              <w:p>
                <w:pPr>
                  <w:spacing w:before="14"/>
                  <w:ind w:left="20" w:right="0" w:firstLine="0"/>
                  <w:jc w:val="left"/>
                  <w:rPr>
                    <w:b/>
                    <w:sz w:val="18"/>
                  </w:rPr>
                </w:pPr>
                <w:r>
                  <w:rPr>
                    <w:b/>
                    <w:sz w:val="18"/>
                  </w:rPr>
                  <w:t>57</w:t>
                </w:r>
              </w:p>
            </w:txbxContent>
          </v:textbox>
          <w10:wrap type="none"/>
        </v:shape>
      </w:pict>
    </w:r>
    <w:r>
      <w:rPr/>
      <w:pict>
        <v:shape style="position:absolute;margin-left:471.179993pt;margin-top:41.612518pt;width:68.650pt;height:12.1pt;mso-position-horizontal-relative:page;mso-position-vertical-relative:page;z-index:-502744"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2720" type="#_x0000_t202" filled="false" stroked="false">
          <v:textbox inset="0,0,0,0">
            <w:txbxContent>
              <w:p>
                <w:pPr>
                  <w:spacing w:before="14"/>
                  <w:ind w:left="20" w:right="0" w:firstLine="0"/>
                  <w:jc w:val="left"/>
                  <w:rPr>
                    <w:b/>
                    <w:sz w:val="18"/>
                  </w:rPr>
                </w:pPr>
                <w:r>
                  <w:rPr>
                    <w:b/>
                    <w:sz w:val="18"/>
                  </w:rPr>
                  <w:t>58</w:t>
                </w:r>
              </w:p>
            </w:txbxContent>
          </v:textbox>
          <w10:wrap type="none"/>
        </v:shape>
      </w:pict>
    </w:r>
    <w:r>
      <w:rPr/>
      <w:pict>
        <v:shape style="position:absolute;margin-left:471.179993pt;margin-top:41.612518pt;width:68.650pt;height:12.1pt;mso-position-horizontal-relative:page;mso-position-vertical-relative:page;z-index:-502696"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2672" type="#_x0000_t202" filled="false" stroked="false">
          <v:textbox inset="0,0,0,0">
            <w:txbxContent>
              <w:p>
                <w:pPr>
                  <w:spacing w:before="14"/>
                  <w:ind w:left="20" w:right="0" w:firstLine="0"/>
                  <w:jc w:val="left"/>
                  <w:rPr>
                    <w:b/>
                    <w:sz w:val="18"/>
                  </w:rPr>
                </w:pPr>
                <w:r>
                  <w:rPr>
                    <w:b/>
                    <w:sz w:val="18"/>
                  </w:rPr>
                  <w:t>59</w:t>
                </w:r>
              </w:p>
            </w:txbxContent>
          </v:textbox>
          <w10:wrap type="none"/>
        </v:shape>
      </w:pict>
    </w:r>
    <w:r>
      <w:rPr/>
      <w:pict>
        <v:shape style="position:absolute;margin-left:471.179993pt;margin-top:41.612518pt;width:68.650pt;height:12.1pt;mso-position-horizontal-relative:page;mso-position-vertical-relative:page;z-index:-50264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2552" type="#_x0000_t202" filled="false" stroked="false">
          <v:textbox inset="0,0,0,0">
            <w:txbxContent>
              <w:p>
                <w:pPr>
                  <w:spacing w:before="14"/>
                  <w:ind w:left="20" w:right="0" w:firstLine="0"/>
                  <w:jc w:val="left"/>
                  <w:rPr>
                    <w:b/>
                    <w:sz w:val="18"/>
                  </w:rPr>
                </w:pPr>
                <w:r>
                  <w:rPr>
                    <w:b/>
                    <w:sz w:val="18"/>
                  </w:rPr>
                  <w:t>60</w:t>
                </w:r>
              </w:p>
            </w:txbxContent>
          </v:textbox>
          <w10:wrap type="none"/>
        </v:shape>
      </w:pict>
    </w:r>
    <w:r>
      <w:rPr/>
      <w:pict>
        <v:shape style="position:absolute;margin-left:471.179993pt;margin-top:41.612518pt;width:68.650pt;height:12.1pt;mso-position-horizontal-relative:page;mso-position-vertical-relative:page;z-index:-50252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75pt;margin-top:41.612518pt;width:12.1pt;height:12.1pt;mso-position-horizontal-relative:page;mso-position-vertical-relative:page;z-index:-502432" type="#_x0000_t202" filled="false" stroked="false">
          <v:textbox inset="0,0,0,0">
            <w:txbxContent>
              <w:p>
                <w:pPr>
                  <w:spacing w:before="14"/>
                  <w:ind w:left="20" w:right="0" w:firstLine="0"/>
                  <w:jc w:val="left"/>
                  <w:rPr>
                    <w:b/>
                    <w:sz w:val="18"/>
                  </w:rPr>
                </w:pPr>
                <w:r>
                  <w:rPr>
                    <w:b/>
                    <w:sz w:val="18"/>
                  </w:rPr>
                  <w:t>61</w:t>
                </w:r>
              </w:p>
            </w:txbxContent>
          </v:textbox>
          <w10:wrap type="none"/>
        </v:shape>
      </w:pict>
    </w:r>
    <w:r>
      <w:rPr/>
      <w:pict>
        <v:shape style="position:absolute;margin-left:471.179993pt;margin-top:41.612518pt;width:68.650pt;height:12.1pt;mso-position-horizontal-relative:page;mso-position-vertical-relative:page;z-index:-502408" type="#_x0000_t202" filled="false" stroked="false">
          <v:textbox inset="0,0,0,0">
            <w:txbxContent>
              <w:p>
                <w:pPr>
                  <w:spacing w:before="14"/>
                  <w:ind w:left="20" w:right="0" w:firstLine="0"/>
                  <w:jc w:val="left"/>
                  <w:rPr>
                    <w:b/>
                    <w:sz w:val="18"/>
                  </w:rPr>
                </w:pPr>
                <w:r>
                  <w:rPr>
                    <w:b/>
                    <w:sz w:val="18"/>
                  </w:rPr>
                  <w:t>5GAA P-180106</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1">
    <w:multiLevelType w:val="hybridMultilevel"/>
    <w:lvl w:ilvl="0">
      <w:start w:val="3"/>
      <w:numFmt w:val="upperLetter"/>
      <w:lvlText w:val="%1-"/>
      <w:lvlJc w:val="left"/>
      <w:pPr>
        <w:ind w:left="120" w:hanging="242"/>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840" w:hanging="360"/>
      </w:pPr>
      <w:rPr>
        <w:rFonts w:hint="default" w:ascii="Symbol" w:hAnsi="Symbol" w:eastAsia="Symbol" w:cs="Symbol"/>
        <w:w w:val="100"/>
        <w:sz w:val="24"/>
        <w:szCs w:val="24"/>
      </w:rPr>
    </w:lvl>
    <w:lvl w:ilvl="2">
      <w:start w:val="0"/>
      <w:numFmt w:val="bullet"/>
      <w:lvlText w:val="•"/>
      <w:lvlJc w:val="left"/>
      <w:pPr>
        <w:ind w:left="1808" w:hanging="360"/>
      </w:pPr>
      <w:rPr>
        <w:rFonts w:hint="default"/>
      </w:rPr>
    </w:lvl>
    <w:lvl w:ilvl="3">
      <w:start w:val="0"/>
      <w:numFmt w:val="bullet"/>
      <w:lvlText w:val="•"/>
      <w:lvlJc w:val="left"/>
      <w:pPr>
        <w:ind w:left="2777" w:hanging="360"/>
      </w:pPr>
      <w:rPr>
        <w:rFonts w:hint="default"/>
      </w:rPr>
    </w:lvl>
    <w:lvl w:ilvl="4">
      <w:start w:val="0"/>
      <w:numFmt w:val="bullet"/>
      <w:lvlText w:val="•"/>
      <w:lvlJc w:val="left"/>
      <w:pPr>
        <w:ind w:left="3746" w:hanging="360"/>
      </w:pPr>
      <w:rPr>
        <w:rFonts w:hint="default"/>
      </w:rPr>
    </w:lvl>
    <w:lvl w:ilvl="5">
      <w:start w:val="0"/>
      <w:numFmt w:val="bullet"/>
      <w:lvlText w:val="•"/>
      <w:lvlJc w:val="left"/>
      <w:pPr>
        <w:ind w:left="4715" w:hanging="360"/>
      </w:pPr>
      <w:rPr>
        <w:rFonts w:hint="default"/>
      </w:rPr>
    </w:lvl>
    <w:lvl w:ilvl="6">
      <w:start w:val="0"/>
      <w:numFmt w:val="bullet"/>
      <w:lvlText w:val="•"/>
      <w:lvlJc w:val="left"/>
      <w:pPr>
        <w:ind w:left="5684" w:hanging="360"/>
      </w:pPr>
      <w:rPr>
        <w:rFonts w:hint="default"/>
      </w:rPr>
    </w:lvl>
    <w:lvl w:ilvl="7">
      <w:start w:val="0"/>
      <w:numFmt w:val="bullet"/>
      <w:lvlText w:val="•"/>
      <w:lvlJc w:val="left"/>
      <w:pPr>
        <w:ind w:left="6653" w:hanging="360"/>
      </w:pPr>
      <w:rPr>
        <w:rFonts w:hint="default"/>
      </w:rPr>
    </w:lvl>
    <w:lvl w:ilvl="8">
      <w:start w:val="0"/>
      <w:numFmt w:val="bullet"/>
      <w:lvlText w:val="•"/>
      <w:lvlJc w:val="left"/>
      <w:pPr>
        <w:ind w:left="7622" w:hanging="360"/>
      </w:pPr>
      <w:rPr>
        <w:rFonts w:hint="default"/>
      </w:rPr>
    </w:lvl>
  </w:abstractNum>
  <w:abstractNum w:abstractNumId="60">
    <w:multiLevelType w:val="hybridMultilevel"/>
    <w:lvl w:ilvl="0">
      <w:start w:val="1"/>
      <w:numFmt w:val="decimal"/>
      <w:lvlText w:val="%1."/>
      <w:lvlJc w:val="left"/>
      <w:pPr>
        <w:ind w:left="1702" w:hanging="286"/>
        <w:jc w:val="left"/>
      </w:pPr>
      <w:rPr>
        <w:rFonts w:hint="default" w:ascii="Arial" w:hAnsi="Arial" w:eastAsia="Arial" w:cs="Arial"/>
        <w:spacing w:val="-1"/>
        <w:w w:val="99"/>
        <w:sz w:val="20"/>
        <w:szCs w:val="20"/>
      </w:rPr>
    </w:lvl>
    <w:lvl w:ilvl="1">
      <w:start w:val="0"/>
      <w:numFmt w:val="bullet"/>
      <w:lvlText w:val="•"/>
      <w:lvlJc w:val="left"/>
      <w:pPr>
        <w:ind w:left="2720" w:hanging="286"/>
      </w:pPr>
      <w:rPr>
        <w:rFonts w:hint="default"/>
      </w:rPr>
    </w:lvl>
    <w:lvl w:ilvl="2">
      <w:start w:val="0"/>
      <w:numFmt w:val="bullet"/>
      <w:lvlText w:val="•"/>
      <w:lvlJc w:val="left"/>
      <w:pPr>
        <w:ind w:left="3741" w:hanging="286"/>
      </w:pPr>
      <w:rPr>
        <w:rFonts w:hint="default"/>
      </w:rPr>
    </w:lvl>
    <w:lvl w:ilvl="3">
      <w:start w:val="0"/>
      <w:numFmt w:val="bullet"/>
      <w:lvlText w:val="•"/>
      <w:lvlJc w:val="left"/>
      <w:pPr>
        <w:ind w:left="4761" w:hanging="286"/>
      </w:pPr>
      <w:rPr>
        <w:rFonts w:hint="default"/>
      </w:rPr>
    </w:lvl>
    <w:lvl w:ilvl="4">
      <w:start w:val="0"/>
      <w:numFmt w:val="bullet"/>
      <w:lvlText w:val="•"/>
      <w:lvlJc w:val="left"/>
      <w:pPr>
        <w:ind w:left="5782" w:hanging="286"/>
      </w:pPr>
      <w:rPr>
        <w:rFonts w:hint="default"/>
      </w:rPr>
    </w:lvl>
    <w:lvl w:ilvl="5">
      <w:start w:val="0"/>
      <w:numFmt w:val="bullet"/>
      <w:lvlText w:val="•"/>
      <w:lvlJc w:val="left"/>
      <w:pPr>
        <w:ind w:left="6803" w:hanging="286"/>
      </w:pPr>
      <w:rPr>
        <w:rFonts w:hint="default"/>
      </w:rPr>
    </w:lvl>
    <w:lvl w:ilvl="6">
      <w:start w:val="0"/>
      <w:numFmt w:val="bullet"/>
      <w:lvlText w:val="•"/>
      <w:lvlJc w:val="left"/>
      <w:pPr>
        <w:ind w:left="7823" w:hanging="286"/>
      </w:pPr>
      <w:rPr>
        <w:rFonts w:hint="default"/>
      </w:rPr>
    </w:lvl>
    <w:lvl w:ilvl="7">
      <w:start w:val="0"/>
      <w:numFmt w:val="bullet"/>
      <w:lvlText w:val="•"/>
      <w:lvlJc w:val="left"/>
      <w:pPr>
        <w:ind w:left="8844" w:hanging="286"/>
      </w:pPr>
      <w:rPr>
        <w:rFonts w:hint="default"/>
      </w:rPr>
    </w:lvl>
    <w:lvl w:ilvl="8">
      <w:start w:val="0"/>
      <w:numFmt w:val="bullet"/>
      <w:lvlText w:val="•"/>
      <w:lvlJc w:val="left"/>
      <w:pPr>
        <w:ind w:left="9865" w:hanging="286"/>
      </w:pPr>
      <w:rPr>
        <w:rFonts w:hint="default"/>
      </w:rPr>
    </w:lvl>
  </w:abstractNum>
  <w:abstractNum w:abstractNumId="59">
    <w:multiLevelType w:val="hybridMultilevel"/>
    <w:lvl w:ilvl="0">
      <w:start w:val="1"/>
      <w:numFmt w:val="decimal"/>
      <w:lvlText w:val="%1."/>
      <w:lvlJc w:val="left"/>
      <w:pPr>
        <w:ind w:left="1702" w:hanging="286"/>
        <w:jc w:val="left"/>
      </w:pPr>
      <w:rPr>
        <w:rFonts w:hint="default" w:ascii="Arial" w:hAnsi="Arial" w:eastAsia="Arial" w:cs="Arial"/>
        <w:spacing w:val="-1"/>
        <w:w w:val="99"/>
        <w:sz w:val="20"/>
        <w:szCs w:val="20"/>
      </w:rPr>
    </w:lvl>
    <w:lvl w:ilvl="1">
      <w:start w:val="0"/>
      <w:numFmt w:val="bullet"/>
      <w:lvlText w:val="-"/>
      <w:lvlJc w:val="left"/>
      <w:pPr>
        <w:ind w:left="1985" w:hanging="286"/>
      </w:pPr>
      <w:rPr>
        <w:rFonts w:hint="default" w:ascii="Arial" w:hAnsi="Arial" w:eastAsia="Arial" w:cs="Arial"/>
        <w:w w:val="99"/>
        <w:sz w:val="20"/>
        <w:szCs w:val="20"/>
      </w:rPr>
    </w:lvl>
    <w:lvl w:ilvl="2">
      <w:start w:val="0"/>
      <w:numFmt w:val="bullet"/>
      <w:lvlText w:val="•"/>
      <w:lvlJc w:val="left"/>
      <w:pPr>
        <w:ind w:left="3082" w:hanging="286"/>
      </w:pPr>
      <w:rPr>
        <w:rFonts w:hint="default"/>
      </w:rPr>
    </w:lvl>
    <w:lvl w:ilvl="3">
      <w:start w:val="0"/>
      <w:numFmt w:val="bullet"/>
      <w:lvlText w:val="•"/>
      <w:lvlJc w:val="left"/>
      <w:pPr>
        <w:ind w:left="4185" w:hanging="286"/>
      </w:pPr>
      <w:rPr>
        <w:rFonts w:hint="default"/>
      </w:rPr>
    </w:lvl>
    <w:lvl w:ilvl="4">
      <w:start w:val="0"/>
      <w:numFmt w:val="bullet"/>
      <w:lvlText w:val="•"/>
      <w:lvlJc w:val="left"/>
      <w:pPr>
        <w:ind w:left="5288" w:hanging="286"/>
      </w:pPr>
      <w:rPr>
        <w:rFonts w:hint="default"/>
      </w:rPr>
    </w:lvl>
    <w:lvl w:ilvl="5">
      <w:start w:val="0"/>
      <w:numFmt w:val="bullet"/>
      <w:lvlText w:val="•"/>
      <w:lvlJc w:val="left"/>
      <w:pPr>
        <w:ind w:left="6391" w:hanging="286"/>
      </w:pPr>
      <w:rPr>
        <w:rFonts w:hint="default"/>
      </w:rPr>
    </w:lvl>
    <w:lvl w:ilvl="6">
      <w:start w:val="0"/>
      <w:numFmt w:val="bullet"/>
      <w:lvlText w:val="•"/>
      <w:lvlJc w:val="left"/>
      <w:pPr>
        <w:ind w:left="7494" w:hanging="286"/>
      </w:pPr>
      <w:rPr>
        <w:rFonts w:hint="default"/>
      </w:rPr>
    </w:lvl>
    <w:lvl w:ilvl="7">
      <w:start w:val="0"/>
      <w:numFmt w:val="bullet"/>
      <w:lvlText w:val="•"/>
      <w:lvlJc w:val="left"/>
      <w:pPr>
        <w:ind w:left="8597" w:hanging="286"/>
      </w:pPr>
      <w:rPr>
        <w:rFonts w:hint="default"/>
      </w:rPr>
    </w:lvl>
    <w:lvl w:ilvl="8">
      <w:start w:val="0"/>
      <w:numFmt w:val="bullet"/>
      <w:lvlText w:val="•"/>
      <w:lvlJc w:val="left"/>
      <w:pPr>
        <w:ind w:left="9700" w:hanging="286"/>
      </w:pPr>
      <w:rPr>
        <w:rFonts w:hint="default"/>
      </w:rPr>
    </w:lvl>
  </w:abstractNum>
  <w:abstractNum w:abstractNumId="58">
    <w:multiLevelType w:val="hybridMultilevel"/>
    <w:lvl w:ilvl="0">
      <w:start w:val="1"/>
      <w:numFmt w:val="upperLetter"/>
      <w:lvlText w:val="%1"/>
      <w:lvlJc w:val="left"/>
      <w:pPr>
        <w:ind w:left="2266" w:hanging="1133"/>
        <w:jc w:val="left"/>
      </w:pPr>
      <w:rPr>
        <w:rFonts w:hint="default"/>
      </w:rPr>
    </w:lvl>
    <w:lvl w:ilvl="1">
      <w:start w:val="1"/>
      <w:numFmt w:val="decimal"/>
      <w:lvlText w:val="%1.%2"/>
      <w:lvlJc w:val="left"/>
      <w:pPr>
        <w:ind w:left="2266" w:hanging="1133"/>
        <w:jc w:val="left"/>
      </w:pPr>
      <w:rPr>
        <w:rFonts w:hint="default"/>
      </w:rPr>
    </w:lvl>
    <w:lvl w:ilvl="2">
      <w:start w:val="2"/>
      <w:numFmt w:val="decimal"/>
      <w:lvlText w:val="%1.%2.%3"/>
      <w:lvlJc w:val="left"/>
      <w:pPr>
        <w:ind w:left="2266" w:hanging="1133"/>
        <w:jc w:val="left"/>
      </w:pPr>
      <w:rPr>
        <w:rFonts w:hint="default" w:ascii="Arial" w:hAnsi="Arial" w:eastAsia="Arial" w:cs="Arial"/>
        <w:spacing w:val="-2"/>
        <w:w w:val="100"/>
        <w:sz w:val="28"/>
        <w:szCs w:val="28"/>
      </w:rPr>
    </w:lvl>
    <w:lvl w:ilvl="3">
      <w:start w:val="1"/>
      <w:numFmt w:val="decimal"/>
      <w:lvlText w:val="%1.%2.%3.%4"/>
      <w:lvlJc w:val="left"/>
      <w:pPr>
        <w:ind w:left="2551" w:hanging="1419"/>
        <w:jc w:val="left"/>
      </w:pPr>
      <w:rPr>
        <w:rFonts w:hint="default" w:ascii="Arial" w:hAnsi="Arial" w:eastAsia="Arial" w:cs="Arial"/>
        <w:spacing w:val="-10"/>
        <w:w w:val="99"/>
        <w:sz w:val="24"/>
        <w:szCs w:val="24"/>
      </w:rPr>
    </w:lvl>
    <w:lvl w:ilvl="4">
      <w:start w:val="0"/>
      <w:numFmt w:val="bullet"/>
      <w:lvlText w:val="-"/>
      <w:lvlJc w:val="left"/>
      <w:pPr>
        <w:ind w:left="1702" w:hanging="286"/>
      </w:pPr>
      <w:rPr>
        <w:rFonts w:hint="default" w:ascii="Arial" w:hAnsi="Arial" w:eastAsia="Arial" w:cs="Arial"/>
        <w:w w:val="99"/>
        <w:sz w:val="20"/>
        <w:szCs w:val="20"/>
      </w:rPr>
    </w:lvl>
    <w:lvl w:ilvl="5">
      <w:start w:val="0"/>
      <w:numFmt w:val="bullet"/>
      <w:lvlText w:val="-"/>
      <w:lvlJc w:val="left"/>
      <w:pPr>
        <w:ind w:left="1985" w:hanging="286"/>
      </w:pPr>
      <w:rPr>
        <w:rFonts w:hint="default" w:ascii="Arial" w:hAnsi="Arial" w:eastAsia="Arial" w:cs="Arial"/>
        <w:w w:val="99"/>
        <w:sz w:val="20"/>
        <w:szCs w:val="20"/>
      </w:rPr>
    </w:lvl>
    <w:lvl w:ilvl="6">
      <w:start w:val="0"/>
      <w:numFmt w:val="bullet"/>
      <w:lvlText w:val="•"/>
      <w:lvlJc w:val="left"/>
      <w:pPr>
        <w:ind w:left="6565" w:hanging="286"/>
      </w:pPr>
      <w:rPr>
        <w:rFonts w:hint="default"/>
      </w:rPr>
    </w:lvl>
    <w:lvl w:ilvl="7">
      <w:start w:val="0"/>
      <w:numFmt w:val="bullet"/>
      <w:lvlText w:val="•"/>
      <w:lvlJc w:val="left"/>
      <w:pPr>
        <w:ind w:left="7900" w:hanging="286"/>
      </w:pPr>
      <w:rPr>
        <w:rFonts w:hint="default"/>
      </w:rPr>
    </w:lvl>
    <w:lvl w:ilvl="8">
      <w:start w:val="0"/>
      <w:numFmt w:val="bullet"/>
      <w:lvlText w:val="•"/>
      <w:lvlJc w:val="left"/>
      <w:pPr>
        <w:ind w:left="9236" w:hanging="286"/>
      </w:pPr>
      <w:rPr>
        <w:rFonts w:hint="default"/>
      </w:rPr>
    </w:lvl>
  </w:abstractNum>
  <w:abstractNum w:abstractNumId="57">
    <w:multiLevelType w:val="hybridMultilevel"/>
    <w:lvl w:ilvl="0">
      <w:start w:val="11"/>
      <w:numFmt w:val="decimal"/>
      <w:lvlText w:val="%1."/>
      <w:lvlJc w:val="left"/>
      <w:pPr>
        <w:ind w:left="1702" w:hanging="286"/>
        <w:jc w:val="left"/>
      </w:pPr>
      <w:rPr>
        <w:rFonts w:hint="default" w:ascii="Arial" w:hAnsi="Arial" w:eastAsia="Arial" w:cs="Arial"/>
        <w:spacing w:val="-1"/>
        <w:w w:val="99"/>
        <w:sz w:val="20"/>
        <w:szCs w:val="20"/>
      </w:rPr>
    </w:lvl>
    <w:lvl w:ilvl="1">
      <w:start w:val="0"/>
      <w:numFmt w:val="bullet"/>
      <w:lvlText w:val="•"/>
      <w:lvlJc w:val="left"/>
      <w:pPr>
        <w:ind w:left="2720" w:hanging="286"/>
      </w:pPr>
      <w:rPr>
        <w:rFonts w:hint="default"/>
      </w:rPr>
    </w:lvl>
    <w:lvl w:ilvl="2">
      <w:start w:val="0"/>
      <w:numFmt w:val="bullet"/>
      <w:lvlText w:val="•"/>
      <w:lvlJc w:val="left"/>
      <w:pPr>
        <w:ind w:left="3741" w:hanging="286"/>
      </w:pPr>
      <w:rPr>
        <w:rFonts w:hint="default"/>
      </w:rPr>
    </w:lvl>
    <w:lvl w:ilvl="3">
      <w:start w:val="0"/>
      <w:numFmt w:val="bullet"/>
      <w:lvlText w:val="•"/>
      <w:lvlJc w:val="left"/>
      <w:pPr>
        <w:ind w:left="4761" w:hanging="286"/>
      </w:pPr>
      <w:rPr>
        <w:rFonts w:hint="default"/>
      </w:rPr>
    </w:lvl>
    <w:lvl w:ilvl="4">
      <w:start w:val="0"/>
      <w:numFmt w:val="bullet"/>
      <w:lvlText w:val="•"/>
      <w:lvlJc w:val="left"/>
      <w:pPr>
        <w:ind w:left="5782" w:hanging="286"/>
      </w:pPr>
      <w:rPr>
        <w:rFonts w:hint="default"/>
      </w:rPr>
    </w:lvl>
    <w:lvl w:ilvl="5">
      <w:start w:val="0"/>
      <w:numFmt w:val="bullet"/>
      <w:lvlText w:val="•"/>
      <w:lvlJc w:val="left"/>
      <w:pPr>
        <w:ind w:left="6803" w:hanging="286"/>
      </w:pPr>
      <w:rPr>
        <w:rFonts w:hint="default"/>
      </w:rPr>
    </w:lvl>
    <w:lvl w:ilvl="6">
      <w:start w:val="0"/>
      <w:numFmt w:val="bullet"/>
      <w:lvlText w:val="•"/>
      <w:lvlJc w:val="left"/>
      <w:pPr>
        <w:ind w:left="7823" w:hanging="286"/>
      </w:pPr>
      <w:rPr>
        <w:rFonts w:hint="default"/>
      </w:rPr>
    </w:lvl>
    <w:lvl w:ilvl="7">
      <w:start w:val="0"/>
      <w:numFmt w:val="bullet"/>
      <w:lvlText w:val="•"/>
      <w:lvlJc w:val="left"/>
      <w:pPr>
        <w:ind w:left="8844" w:hanging="286"/>
      </w:pPr>
      <w:rPr>
        <w:rFonts w:hint="default"/>
      </w:rPr>
    </w:lvl>
    <w:lvl w:ilvl="8">
      <w:start w:val="0"/>
      <w:numFmt w:val="bullet"/>
      <w:lvlText w:val="•"/>
      <w:lvlJc w:val="left"/>
      <w:pPr>
        <w:ind w:left="9865" w:hanging="286"/>
      </w:pPr>
      <w:rPr>
        <w:rFonts w:hint="default"/>
      </w:rPr>
    </w:lvl>
  </w:abstractNum>
  <w:abstractNum w:abstractNumId="56">
    <w:multiLevelType w:val="hybridMultilevel"/>
    <w:lvl w:ilvl="0">
      <w:start w:val="1"/>
      <w:numFmt w:val="decimal"/>
      <w:lvlText w:val="%1."/>
      <w:lvlJc w:val="left"/>
      <w:pPr>
        <w:ind w:left="1702" w:hanging="286"/>
        <w:jc w:val="left"/>
      </w:pPr>
      <w:rPr>
        <w:rFonts w:hint="default" w:ascii="Arial" w:hAnsi="Arial" w:eastAsia="Arial" w:cs="Arial"/>
        <w:spacing w:val="-1"/>
        <w:w w:val="99"/>
        <w:sz w:val="20"/>
        <w:szCs w:val="20"/>
      </w:rPr>
    </w:lvl>
    <w:lvl w:ilvl="1">
      <w:start w:val="0"/>
      <w:numFmt w:val="bullet"/>
      <w:lvlText w:val="-"/>
      <w:lvlJc w:val="left"/>
      <w:pPr>
        <w:ind w:left="1985" w:hanging="286"/>
      </w:pPr>
      <w:rPr>
        <w:rFonts w:hint="default" w:ascii="Arial" w:hAnsi="Arial" w:eastAsia="Arial" w:cs="Arial"/>
        <w:w w:val="99"/>
        <w:sz w:val="20"/>
        <w:szCs w:val="20"/>
      </w:rPr>
    </w:lvl>
    <w:lvl w:ilvl="2">
      <w:start w:val="0"/>
      <w:numFmt w:val="bullet"/>
      <w:lvlText w:val="•"/>
      <w:lvlJc w:val="left"/>
      <w:pPr>
        <w:ind w:left="3082" w:hanging="286"/>
      </w:pPr>
      <w:rPr>
        <w:rFonts w:hint="default"/>
      </w:rPr>
    </w:lvl>
    <w:lvl w:ilvl="3">
      <w:start w:val="0"/>
      <w:numFmt w:val="bullet"/>
      <w:lvlText w:val="•"/>
      <w:lvlJc w:val="left"/>
      <w:pPr>
        <w:ind w:left="4185" w:hanging="286"/>
      </w:pPr>
      <w:rPr>
        <w:rFonts w:hint="default"/>
      </w:rPr>
    </w:lvl>
    <w:lvl w:ilvl="4">
      <w:start w:val="0"/>
      <w:numFmt w:val="bullet"/>
      <w:lvlText w:val="•"/>
      <w:lvlJc w:val="left"/>
      <w:pPr>
        <w:ind w:left="5288" w:hanging="286"/>
      </w:pPr>
      <w:rPr>
        <w:rFonts w:hint="default"/>
      </w:rPr>
    </w:lvl>
    <w:lvl w:ilvl="5">
      <w:start w:val="0"/>
      <w:numFmt w:val="bullet"/>
      <w:lvlText w:val="•"/>
      <w:lvlJc w:val="left"/>
      <w:pPr>
        <w:ind w:left="6391" w:hanging="286"/>
      </w:pPr>
      <w:rPr>
        <w:rFonts w:hint="default"/>
      </w:rPr>
    </w:lvl>
    <w:lvl w:ilvl="6">
      <w:start w:val="0"/>
      <w:numFmt w:val="bullet"/>
      <w:lvlText w:val="•"/>
      <w:lvlJc w:val="left"/>
      <w:pPr>
        <w:ind w:left="7494" w:hanging="286"/>
      </w:pPr>
      <w:rPr>
        <w:rFonts w:hint="default"/>
      </w:rPr>
    </w:lvl>
    <w:lvl w:ilvl="7">
      <w:start w:val="0"/>
      <w:numFmt w:val="bullet"/>
      <w:lvlText w:val="•"/>
      <w:lvlJc w:val="left"/>
      <w:pPr>
        <w:ind w:left="8597" w:hanging="286"/>
      </w:pPr>
      <w:rPr>
        <w:rFonts w:hint="default"/>
      </w:rPr>
    </w:lvl>
    <w:lvl w:ilvl="8">
      <w:start w:val="0"/>
      <w:numFmt w:val="bullet"/>
      <w:lvlText w:val="•"/>
      <w:lvlJc w:val="left"/>
      <w:pPr>
        <w:ind w:left="9700" w:hanging="286"/>
      </w:pPr>
      <w:rPr>
        <w:rFonts w:hint="default"/>
      </w:rPr>
    </w:lvl>
  </w:abstractNum>
  <w:abstractNum w:abstractNumId="55">
    <w:multiLevelType w:val="hybridMultilevel"/>
    <w:lvl w:ilvl="0">
      <w:start w:val="1"/>
      <w:numFmt w:val="decimal"/>
      <w:lvlText w:val="%1"/>
      <w:lvlJc w:val="left"/>
      <w:pPr>
        <w:ind w:left="1586" w:hanging="454"/>
        <w:jc w:val="left"/>
      </w:pPr>
      <w:rPr>
        <w:rFonts w:hint="default" w:ascii="Times New Roman" w:hAnsi="Times New Roman" w:eastAsia="Times New Roman" w:cs="Times New Roman"/>
        <w:b/>
        <w:bCs/>
        <w:w w:val="100"/>
        <w:position w:val="6"/>
        <w:sz w:val="16"/>
        <w:szCs w:val="16"/>
      </w:rPr>
    </w:lvl>
    <w:lvl w:ilvl="1">
      <w:start w:val="0"/>
      <w:numFmt w:val="bullet"/>
      <w:lvlText w:val="-"/>
      <w:lvlJc w:val="left"/>
      <w:pPr>
        <w:ind w:left="1709" w:hanging="288"/>
      </w:pPr>
      <w:rPr>
        <w:rFonts w:hint="default" w:ascii="Arial" w:hAnsi="Arial" w:eastAsia="Arial" w:cs="Arial"/>
        <w:w w:val="99"/>
        <w:sz w:val="20"/>
        <w:szCs w:val="20"/>
      </w:rPr>
    </w:lvl>
    <w:lvl w:ilvl="2">
      <w:start w:val="0"/>
      <w:numFmt w:val="bullet"/>
      <w:lvlText w:val="-"/>
      <w:lvlJc w:val="left"/>
      <w:pPr>
        <w:ind w:left="1985" w:hanging="286"/>
      </w:pPr>
      <w:rPr>
        <w:rFonts w:hint="default" w:ascii="Arial" w:hAnsi="Arial" w:eastAsia="Arial" w:cs="Arial"/>
        <w:w w:val="99"/>
        <w:sz w:val="20"/>
        <w:szCs w:val="20"/>
      </w:rPr>
    </w:lvl>
    <w:lvl w:ilvl="3">
      <w:start w:val="0"/>
      <w:numFmt w:val="bullet"/>
      <w:lvlText w:val="•"/>
      <w:lvlJc w:val="left"/>
      <w:pPr>
        <w:ind w:left="3220" w:hanging="286"/>
      </w:pPr>
      <w:rPr>
        <w:rFonts w:hint="default"/>
      </w:rPr>
    </w:lvl>
    <w:lvl w:ilvl="4">
      <w:start w:val="0"/>
      <w:numFmt w:val="bullet"/>
      <w:lvlText w:val="•"/>
      <w:lvlJc w:val="left"/>
      <w:pPr>
        <w:ind w:left="4461" w:hanging="286"/>
      </w:pPr>
      <w:rPr>
        <w:rFonts w:hint="default"/>
      </w:rPr>
    </w:lvl>
    <w:lvl w:ilvl="5">
      <w:start w:val="0"/>
      <w:numFmt w:val="bullet"/>
      <w:lvlText w:val="•"/>
      <w:lvlJc w:val="left"/>
      <w:pPr>
        <w:ind w:left="5702" w:hanging="286"/>
      </w:pPr>
      <w:rPr>
        <w:rFonts w:hint="default"/>
      </w:rPr>
    </w:lvl>
    <w:lvl w:ilvl="6">
      <w:start w:val="0"/>
      <w:numFmt w:val="bullet"/>
      <w:lvlText w:val="•"/>
      <w:lvlJc w:val="left"/>
      <w:pPr>
        <w:ind w:left="6943" w:hanging="286"/>
      </w:pPr>
      <w:rPr>
        <w:rFonts w:hint="default"/>
      </w:rPr>
    </w:lvl>
    <w:lvl w:ilvl="7">
      <w:start w:val="0"/>
      <w:numFmt w:val="bullet"/>
      <w:lvlText w:val="•"/>
      <w:lvlJc w:val="left"/>
      <w:pPr>
        <w:ind w:left="8184" w:hanging="286"/>
      </w:pPr>
      <w:rPr>
        <w:rFonts w:hint="default"/>
      </w:rPr>
    </w:lvl>
    <w:lvl w:ilvl="8">
      <w:start w:val="0"/>
      <w:numFmt w:val="bullet"/>
      <w:lvlText w:val="•"/>
      <w:lvlJc w:val="left"/>
      <w:pPr>
        <w:ind w:left="9424" w:hanging="286"/>
      </w:pPr>
      <w:rPr>
        <w:rFonts w:hint="default"/>
      </w:rPr>
    </w:lvl>
  </w:abstractNum>
  <w:abstractNum w:abstractNumId="54">
    <w:multiLevelType w:val="hybridMultilevel"/>
    <w:lvl w:ilvl="0">
      <w:start w:val="1"/>
      <w:numFmt w:val="upperLetter"/>
      <w:lvlText w:val="%1"/>
      <w:lvlJc w:val="left"/>
      <w:pPr>
        <w:ind w:left="2266" w:hanging="1133"/>
        <w:jc w:val="left"/>
      </w:pPr>
      <w:rPr>
        <w:rFonts w:hint="default"/>
      </w:rPr>
    </w:lvl>
    <w:lvl w:ilvl="1">
      <w:start w:val="1"/>
      <w:numFmt w:val="decimal"/>
      <w:lvlText w:val="%1.%2"/>
      <w:lvlJc w:val="left"/>
      <w:pPr>
        <w:ind w:left="2266" w:hanging="1133"/>
        <w:jc w:val="left"/>
      </w:pPr>
      <w:rPr>
        <w:rFonts w:hint="default" w:ascii="Arial" w:hAnsi="Arial" w:eastAsia="Arial" w:cs="Arial"/>
        <w:w w:val="99"/>
        <w:sz w:val="32"/>
        <w:szCs w:val="32"/>
      </w:rPr>
    </w:lvl>
    <w:lvl w:ilvl="2">
      <w:start w:val="1"/>
      <w:numFmt w:val="decimal"/>
      <w:lvlText w:val="%1.%2.%3"/>
      <w:lvlJc w:val="left"/>
      <w:pPr>
        <w:ind w:left="2266" w:hanging="1133"/>
        <w:jc w:val="left"/>
      </w:pPr>
      <w:rPr>
        <w:rFonts w:hint="default" w:ascii="Arial" w:hAnsi="Arial" w:eastAsia="Arial" w:cs="Arial"/>
        <w:spacing w:val="-2"/>
        <w:w w:val="100"/>
        <w:sz w:val="28"/>
        <w:szCs w:val="28"/>
      </w:rPr>
    </w:lvl>
    <w:lvl w:ilvl="3">
      <w:start w:val="1"/>
      <w:numFmt w:val="decimal"/>
      <w:lvlText w:val="%1.%2.%3.%4"/>
      <w:lvlJc w:val="left"/>
      <w:pPr>
        <w:ind w:left="2551" w:hanging="1419"/>
        <w:jc w:val="left"/>
      </w:pPr>
      <w:rPr>
        <w:rFonts w:hint="default" w:ascii="Arial" w:hAnsi="Arial" w:eastAsia="Arial" w:cs="Arial"/>
        <w:spacing w:val="-10"/>
        <w:w w:val="99"/>
        <w:sz w:val="24"/>
        <w:szCs w:val="24"/>
      </w:rPr>
    </w:lvl>
    <w:lvl w:ilvl="4">
      <w:start w:val="0"/>
      <w:numFmt w:val="bullet"/>
      <w:lvlText w:val="-"/>
      <w:lvlJc w:val="left"/>
      <w:pPr>
        <w:ind w:left="1702" w:hanging="286"/>
      </w:pPr>
      <w:rPr>
        <w:rFonts w:hint="default" w:ascii="Arial" w:hAnsi="Arial" w:eastAsia="Arial" w:cs="Arial"/>
        <w:w w:val="99"/>
        <w:sz w:val="20"/>
        <w:szCs w:val="20"/>
      </w:rPr>
    </w:lvl>
    <w:lvl w:ilvl="5">
      <w:start w:val="0"/>
      <w:numFmt w:val="bullet"/>
      <w:lvlText w:val="-"/>
      <w:lvlJc w:val="left"/>
      <w:pPr>
        <w:ind w:left="1985" w:hanging="286"/>
      </w:pPr>
      <w:rPr>
        <w:rFonts w:hint="default" w:ascii="Arial" w:hAnsi="Arial" w:eastAsia="Arial" w:cs="Arial"/>
        <w:w w:val="99"/>
        <w:sz w:val="20"/>
        <w:szCs w:val="20"/>
      </w:rPr>
    </w:lvl>
    <w:lvl w:ilvl="6">
      <w:start w:val="0"/>
      <w:numFmt w:val="bullet"/>
      <w:lvlText w:val="•"/>
      <w:lvlJc w:val="left"/>
      <w:pPr>
        <w:ind w:left="6565" w:hanging="286"/>
      </w:pPr>
      <w:rPr>
        <w:rFonts w:hint="default"/>
      </w:rPr>
    </w:lvl>
    <w:lvl w:ilvl="7">
      <w:start w:val="0"/>
      <w:numFmt w:val="bullet"/>
      <w:lvlText w:val="•"/>
      <w:lvlJc w:val="left"/>
      <w:pPr>
        <w:ind w:left="7900" w:hanging="286"/>
      </w:pPr>
      <w:rPr>
        <w:rFonts w:hint="default"/>
      </w:rPr>
    </w:lvl>
    <w:lvl w:ilvl="8">
      <w:start w:val="0"/>
      <w:numFmt w:val="bullet"/>
      <w:lvlText w:val="•"/>
      <w:lvlJc w:val="left"/>
      <w:pPr>
        <w:ind w:left="9236" w:hanging="286"/>
      </w:pPr>
      <w:rPr>
        <w:rFonts w:hint="default"/>
      </w:rPr>
    </w:lvl>
  </w:abstractNum>
  <w:abstractNum w:abstractNumId="53">
    <w:multiLevelType w:val="hybridMultilevel"/>
    <w:lvl w:ilvl="0">
      <w:start w:val="0"/>
      <w:numFmt w:val="bullet"/>
      <w:lvlText w:val="-"/>
      <w:lvlJc w:val="left"/>
      <w:pPr>
        <w:ind w:left="1701" w:hanging="286"/>
      </w:pPr>
      <w:rPr>
        <w:rFonts w:hint="default" w:ascii="Arial" w:hAnsi="Arial" w:eastAsia="Arial" w:cs="Arial"/>
        <w:w w:val="99"/>
        <w:sz w:val="20"/>
        <w:szCs w:val="20"/>
      </w:rPr>
    </w:lvl>
    <w:lvl w:ilvl="1">
      <w:start w:val="0"/>
      <w:numFmt w:val="bullet"/>
      <w:lvlText w:val="•"/>
      <w:lvlJc w:val="left"/>
      <w:pPr>
        <w:ind w:left="2720" w:hanging="286"/>
      </w:pPr>
      <w:rPr>
        <w:rFonts w:hint="default"/>
      </w:rPr>
    </w:lvl>
    <w:lvl w:ilvl="2">
      <w:start w:val="0"/>
      <w:numFmt w:val="bullet"/>
      <w:lvlText w:val="•"/>
      <w:lvlJc w:val="left"/>
      <w:pPr>
        <w:ind w:left="3741" w:hanging="286"/>
      </w:pPr>
      <w:rPr>
        <w:rFonts w:hint="default"/>
      </w:rPr>
    </w:lvl>
    <w:lvl w:ilvl="3">
      <w:start w:val="0"/>
      <w:numFmt w:val="bullet"/>
      <w:lvlText w:val="•"/>
      <w:lvlJc w:val="left"/>
      <w:pPr>
        <w:ind w:left="4761" w:hanging="286"/>
      </w:pPr>
      <w:rPr>
        <w:rFonts w:hint="default"/>
      </w:rPr>
    </w:lvl>
    <w:lvl w:ilvl="4">
      <w:start w:val="0"/>
      <w:numFmt w:val="bullet"/>
      <w:lvlText w:val="•"/>
      <w:lvlJc w:val="left"/>
      <w:pPr>
        <w:ind w:left="5782" w:hanging="286"/>
      </w:pPr>
      <w:rPr>
        <w:rFonts w:hint="default"/>
      </w:rPr>
    </w:lvl>
    <w:lvl w:ilvl="5">
      <w:start w:val="0"/>
      <w:numFmt w:val="bullet"/>
      <w:lvlText w:val="•"/>
      <w:lvlJc w:val="left"/>
      <w:pPr>
        <w:ind w:left="6803" w:hanging="286"/>
      </w:pPr>
      <w:rPr>
        <w:rFonts w:hint="default"/>
      </w:rPr>
    </w:lvl>
    <w:lvl w:ilvl="6">
      <w:start w:val="0"/>
      <w:numFmt w:val="bullet"/>
      <w:lvlText w:val="•"/>
      <w:lvlJc w:val="left"/>
      <w:pPr>
        <w:ind w:left="7823" w:hanging="286"/>
      </w:pPr>
      <w:rPr>
        <w:rFonts w:hint="default"/>
      </w:rPr>
    </w:lvl>
    <w:lvl w:ilvl="7">
      <w:start w:val="0"/>
      <w:numFmt w:val="bullet"/>
      <w:lvlText w:val="•"/>
      <w:lvlJc w:val="left"/>
      <w:pPr>
        <w:ind w:left="8844" w:hanging="286"/>
      </w:pPr>
      <w:rPr>
        <w:rFonts w:hint="default"/>
      </w:rPr>
    </w:lvl>
    <w:lvl w:ilvl="8">
      <w:start w:val="0"/>
      <w:numFmt w:val="bullet"/>
      <w:lvlText w:val="•"/>
      <w:lvlJc w:val="left"/>
      <w:pPr>
        <w:ind w:left="9865" w:hanging="286"/>
      </w:pPr>
      <w:rPr>
        <w:rFonts w:hint="default"/>
      </w:rPr>
    </w:lvl>
  </w:abstractNum>
  <w:abstractNum w:abstractNumId="52">
    <w:multiLevelType w:val="hybridMultilevel"/>
    <w:lvl w:ilvl="0">
      <w:start w:val="0"/>
      <w:numFmt w:val="bullet"/>
      <w:lvlText w:val="-"/>
      <w:lvlJc w:val="left"/>
      <w:pPr>
        <w:ind w:left="1133" w:hanging="286"/>
      </w:pPr>
      <w:rPr>
        <w:rFonts w:hint="default" w:ascii="Arial" w:hAnsi="Arial" w:eastAsia="Arial" w:cs="Arial"/>
        <w:w w:val="99"/>
        <w:sz w:val="20"/>
        <w:szCs w:val="20"/>
      </w:rPr>
    </w:lvl>
    <w:lvl w:ilvl="1">
      <w:start w:val="0"/>
      <w:numFmt w:val="bullet"/>
      <w:lvlText w:val="-"/>
      <w:lvlJc w:val="left"/>
      <w:pPr>
        <w:ind w:left="1985" w:hanging="286"/>
      </w:pPr>
      <w:rPr>
        <w:rFonts w:hint="default" w:ascii="Arial" w:hAnsi="Arial" w:eastAsia="Arial" w:cs="Arial"/>
        <w:w w:val="99"/>
        <w:sz w:val="20"/>
        <w:szCs w:val="20"/>
      </w:rPr>
    </w:lvl>
    <w:lvl w:ilvl="2">
      <w:start w:val="0"/>
      <w:numFmt w:val="bullet"/>
      <w:lvlText w:val="-"/>
      <w:lvlJc w:val="left"/>
      <w:pPr>
        <w:ind w:left="2268" w:hanging="284"/>
      </w:pPr>
      <w:rPr>
        <w:rFonts w:hint="default" w:ascii="Arial" w:hAnsi="Arial" w:eastAsia="Arial" w:cs="Arial"/>
        <w:w w:val="99"/>
        <w:sz w:val="20"/>
        <w:szCs w:val="20"/>
      </w:rPr>
    </w:lvl>
    <w:lvl w:ilvl="3">
      <w:start w:val="0"/>
      <w:numFmt w:val="bullet"/>
      <w:lvlText w:val="•"/>
      <w:lvlJc w:val="left"/>
      <w:pPr>
        <w:ind w:left="3465" w:hanging="284"/>
      </w:pPr>
      <w:rPr>
        <w:rFonts w:hint="default"/>
      </w:rPr>
    </w:lvl>
    <w:lvl w:ilvl="4">
      <w:start w:val="0"/>
      <w:numFmt w:val="bullet"/>
      <w:lvlText w:val="•"/>
      <w:lvlJc w:val="left"/>
      <w:pPr>
        <w:ind w:left="4671" w:hanging="284"/>
      </w:pPr>
      <w:rPr>
        <w:rFonts w:hint="default"/>
      </w:rPr>
    </w:lvl>
    <w:lvl w:ilvl="5">
      <w:start w:val="0"/>
      <w:numFmt w:val="bullet"/>
      <w:lvlText w:val="•"/>
      <w:lvlJc w:val="left"/>
      <w:pPr>
        <w:ind w:left="5877" w:hanging="284"/>
      </w:pPr>
      <w:rPr>
        <w:rFonts w:hint="default"/>
      </w:rPr>
    </w:lvl>
    <w:lvl w:ilvl="6">
      <w:start w:val="0"/>
      <w:numFmt w:val="bullet"/>
      <w:lvlText w:val="•"/>
      <w:lvlJc w:val="left"/>
      <w:pPr>
        <w:ind w:left="7083" w:hanging="284"/>
      </w:pPr>
      <w:rPr>
        <w:rFonts w:hint="default"/>
      </w:rPr>
    </w:lvl>
    <w:lvl w:ilvl="7">
      <w:start w:val="0"/>
      <w:numFmt w:val="bullet"/>
      <w:lvlText w:val="•"/>
      <w:lvlJc w:val="left"/>
      <w:pPr>
        <w:ind w:left="8289" w:hanging="284"/>
      </w:pPr>
      <w:rPr>
        <w:rFonts w:hint="default"/>
      </w:rPr>
    </w:lvl>
    <w:lvl w:ilvl="8">
      <w:start w:val="0"/>
      <w:numFmt w:val="bullet"/>
      <w:lvlText w:val="•"/>
      <w:lvlJc w:val="left"/>
      <w:pPr>
        <w:ind w:left="9494" w:hanging="284"/>
      </w:pPr>
      <w:rPr>
        <w:rFonts w:hint="default"/>
      </w:rPr>
    </w:lvl>
  </w:abstractNum>
  <w:abstractNum w:abstractNumId="51">
    <w:multiLevelType w:val="hybridMultilevel"/>
    <w:lvl w:ilvl="0">
      <w:start w:val="8"/>
      <w:numFmt w:val="decimal"/>
      <w:lvlText w:val="%1"/>
      <w:lvlJc w:val="left"/>
      <w:pPr>
        <w:ind w:left="2266" w:hanging="1133"/>
        <w:jc w:val="left"/>
      </w:pPr>
      <w:rPr>
        <w:rFonts w:hint="default"/>
      </w:rPr>
    </w:lvl>
    <w:lvl w:ilvl="1">
      <w:start w:val="6"/>
      <w:numFmt w:val="decimal"/>
      <w:lvlText w:val="%1.%2"/>
      <w:lvlJc w:val="left"/>
      <w:pPr>
        <w:ind w:left="2266" w:hanging="1133"/>
        <w:jc w:val="left"/>
      </w:pPr>
      <w:rPr>
        <w:rFonts w:hint="default"/>
      </w:rPr>
    </w:lvl>
    <w:lvl w:ilvl="2">
      <w:start w:val="1"/>
      <w:numFmt w:val="decimal"/>
      <w:lvlText w:val="%1.%2.%3"/>
      <w:lvlJc w:val="left"/>
      <w:pPr>
        <w:ind w:left="2266" w:hanging="1133"/>
        <w:jc w:val="left"/>
      </w:pPr>
      <w:rPr>
        <w:rFonts w:hint="default" w:ascii="Arial" w:hAnsi="Arial" w:eastAsia="Arial" w:cs="Arial"/>
        <w:w w:val="100"/>
        <w:sz w:val="28"/>
        <w:szCs w:val="28"/>
      </w:rPr>
    </w:lvl>
    <w:lvl w:ilvl="3">
      <w:start w:val="0"/>
      <w:numFmt w:val="bullet"/>
      <w:lvlText w:val="•"/>
      <w:lvlJc w:val="left"/>
      <w:pPr>
        <w:ind w:left="5153" w:hanging="1133"/>
      </w:pPr>
      <w:rPr>
        <w:rFonts w:hint="default"/>
      </w:rPr>
    </w:lvl>
    <w:lvl w:ilvl="4">
      <w:start w:val="0"/>
      <w:numFmt w:val="bullet"/>
      <w:lvlText w:val="•"/>
      <w:lvlJc w:val="left"/>
      <w:pPr>
        <w:ind w:left="6118" w:hanging="1133"/>
      </w:pPr>
      <w:rPr>
        <w:rFonts w:hint="default"/>
      </w:rPr>
    </w:lvl>
    <w:lvl w:ilvl="5">
      <w:start w:val="0"/>
      <w:numFmt w:val="bullet"/>
      <w:lvlText w:val="•"/>
      <w:lvlJc w:val="left"/>
      <w:pPr>
        <w:ind w:left="7083" w:hanging="1133"/>
      </w:pPr>
      <w:rPr>
        <w:rFonts w:hint="default"/>
      </w:rPr>
    </w:lvl>
    <w:lvl w:ilvl="6">
      <w:start w:val="0"/>
      <w:numFmt w:val="bullet"/>
      <w:lvlText w:val="•"/>
      <w:lvlJc w:val="left"/>
      <w:pPr>
        <w:ind w:left="8047" w:hanging="1133"/>
      </w:pPr>
      <w:rPr>
        <w:rFonts w:hint="default"/>
      </w:rPr>
    </w:lvl>
    <w:lvl w:ilvl="7">
      <w:start w:val="0"/>
      <w:numFmt w:val="bullet"/>
      <w:lvlText w:val="•"/>
      <w:lvlJc w:val="left"/>
      <w:pPr>
        <w:ind w:left="9012" w:hanging="1133"/>
      </w:pPr>
      <w:rPr>
        <w:rFonts w:hint="default"/>
      </w:rPr>
    </w:lvl>
    <w:lvl w:ilvl="8">
      <w:start w:val="0"/>
      <w:numFmt w:val="bullet"/>
      <w:lvlText w:val="•"/>
      <w:lvlJc w:val="left"/>
      <w:pPr>
        <w:ind w:left="9977" w:hanging="1133"/>
      </w:pPr>
      <w:rPr>
        <w:rFonts w:hint="default"/>
      </w:rPr>
    </w:lvl>
  </w:abstractNum>
  <w:abstractNum w:abstractNumId="50">
    <w:multiLevelType w:val="hybridMultilevel"/>
    <w:lvl w:ilvl="0">
      <w:start w:val="8"/>
      <w:numFmt w:val="decimal"/>
      <w:lvlText w:val="%1"/>
      <w:lvlJc w:val="left"/>
      <w:pPr>
        <w:ind w:left="2266" w:hanging="1133"/>
        <w:jc w:val="left"/>
      </w:pPr>
      <w:rPr>
        <w:rFonts w:hint="default"/>
      </w:rPr>
    </w:lvl>
    <w:lvl w:ilvl="1">
      <w:start w:val="6"/>
      <w:numFmt w:val="decimal"/>
      <w:lvlText w:val="%1.%2"/>
      <w:lvlJc w:val="left"/>
      <w:pPr>
        <w:ind w:left="2266" w:hanging="1133"/>
        <w:jc w:val="left"/>
      </w:pPr>
      <w:rPr>
        <w:rFonts w:hint="default" w:ascii="Arial" w:hAnsi="Arial" w:eastAsia="Arial" w:cs="Arial"/>
        <w:w w:val="99"/>
        <w:sz w:val="32"/>
        <w:szCs w:val="32"/>
      </w:rPr>
    </w:lvl>
    <w:lvl w:ilvl="2">
      <w:start w:val="1"/>
      <w:numFmt w:val="decimal"/>
      <w:lvlText w:val="%3."/>
      <w:lvlJc w:val="left"/>
      <w:pPr>
        <w:ind w:left="1702" w:hanging="286"/>
        <w:jc w:val="left"/>
      </w:pPr>
      <w:rPr>
        <w:rFonts w:hint="default" w:ascii="Arial" w:hAnsi="Arial" w:eastAsia="Arial" w:cs="Arial"/>
        <w:spacing w:val="-1"/>
        <w:w w:val="99"/>
        <w:sz w:val="20"/>
        <w:szCs w:val="20"/>
      </w:rPr>
    </w:lvl>
    <w:lvl w:ilvl="3">
      <w:start w:val="0"/>
      <w:numFmt w:val="bullet"/>
      <w:lvlText w:val="•"/>
      <w:lvlJc w:val="left"/>
      <w:pPr>
        <w:ind w:left="4403" w:hanging="286"/>
      </w:pPr>
      <w:rPr>
        <w:rFonts w:hint="default"/>
      </w:rPr>
    </w:lvl>
    <w:lvl w:ilvl="4">
      <w:start w:val="0"/>
      <w:numFmt w:val="bullet"/>
      <w:lvlText w:val="•"/>
      <w:lvlJc w:val="left"/>
      <w:pPr>
        <w:ind w:left="5475" w:hanging="286"/>
      </w:pPr>
      <w:rPr>
        <w:rFonts w:hint="default"/>
      </w:rPr>
    </w:lvl>
    <w:lvl w:ilvl="5">
      <w:start w:val="0"/>
      <w:numFmt w:val="bullet"/>
      <w:lvlText w:val="•"/>
      <w:lvlJc w:val="left"/>
      <w:pPr>
        <w:ind w:left="6547" w:hanging="286"/>
      </w:pPr>
      <w:rPr>
        <w:rFonts w:hint="default"/>
      </w:rPr>
    </w:lvl>
    <w:lvl w:ilvl="6">
      <w:start w:val="0"/>
      <w:numFmt w:val="bullet"/>
      <w:lvlText w:val="•"/>
      <w:lvlJc w:val="left"/>
      <w:pPr>
        <w:ind w:left="7619" w:hanging="286"/>
      </w:pPr>
      <w:rPr>
        <w:rFonts w:hint="default"/>
      </w:rPr>
    </w:lvl>
    <w:lvl w:ilvl="7">
      <w:start w:val="0"/>
      <w:numFmt w:val="bullet"/>
      <w:lvlText w:val="•"/>
      <w:lvlJc w:val="left"/>
      <w:pPr>
        <w:ind w:left="8690" w:hanging="286"/>
      </w:pPr>
      <w:rPr>
        <w:rFonts w:hint="default"/>
      </w:rPr>
    </w:lvl>
    <w:lvl w:ilvl="8">
      <w:start w:val="0"/>
      <w:numFmt w:val="bullet"/>
      <w:lvlText w:val="•"/>
      <w:lvlJc w:val="left"/>
      <w:pPr>
        <w:ind w:left="9762" w:hanging="286"/>
      </w:pPr>
      <w:rPr>
        <w:rFonts w:hint="default"/>
      </w:rPr>
    </w:lvl>
  </w:abstractNum>
  <w:abstractNum w:abstractNumId="49">
    <w:multiLevelType w:val="hybridMultilevel"/>
    <w:lvl w:ilvl="0">
      <w:start w:val="8"/>
      <w:numFmt w:val="decimal"/>
      <w:lvlText w:val="%1"/>
      <w:lvlJc w:val="left"/>
      <w:pPr>
        <w:ind w:left="2551" w:hanging="1419"/>
        <w:jc w:val="left"/>
      </w:pPr>
      <w:rPr>
        <w:rFonts w:hint="default"/>
      </w:rPr>
    </w:lvl>
    <w:lvl w:ilvl="1">
      <w:start w:val="5"/>
      <w:numFmt w:val="decimal"/>
      <w:lvlText w:val="%1.%2"/>
      <w:lvlJc w:val="left"/>
      <w:pPr>
        <w:ind w:left="2551" w:hanging="1419"/>
        <w:jc w:val="left"/>
      </w:pPr>
      <w:rPr>
        <w:rFonts w:hint="default"/>
      </w:rPr>
    </w:lvl>
    <w:lvl w:ilvl="2">
      <w:start w:val="2"/>
      <w:numFmt w:val="decimal"/>
      <w:lvlText w:val="%1.%2.%3"/>
      <w:lvlJc w:val="left"/>
      <w:pPr>
        <w:ind w:left="2551" w:hanging="1419"/>
        <w:jc w:val="left"/>
      </w:pPr>
      <w:rPr>
        <w:rFonts w:hint="default"/>
      </w:rPr>
    </w:lvl>
    <w:lvl w:ilvl="3">
      <w:start w:val="1"/>
      <w:numFmt w:val="decimal"/>
      <w:lvlText w:val="%1.%2.%3.%4"/>
      <w:lvlJc w:val="left"/>
      <w:pPr>
        <w:ind w:left="2551" w:hanging="1419"/>
        <w:jc w:val="left"/>
      </w:pPr>
      <w:rPr>
        <w:rFonts w:hint="default" w:ascii="Arial" w:hAnsi="Arial" w:eastAsia="Arial" w:cs="Arial"/>
        <w:spacing w:val="-3"/>
        <w:w w:val="99"/>
        <w:sz w:val="24"/>
        <w:szCs w:val="24"/>
      </w:rPr>
    </w:lvl>
    <w:lvl w:ilvl="4">
      <w:start w:val="0"/>
      <w:numFmt w:val="bullet"/>
      <w:lvlText w:val="•"/>
      <w:lvlJc w:val="left"/>
      <w:pPr>
        <w:ind w:left="6298" w:hanging="1419"/>
      </w:pPr>
      <w:rPr>
        <w:rFonts w:hint="default"/>
      </w:rPr>
    </w:lvl>
    <w:lvl w:ilvl="5">
      <w:start w:val="0"/>
      <w:numFmt w:val="bullet"/>
      <w:lvlText w:val="•"/>
      <w:lvlJc w:val="left"/>
      <w:pPr>
        <w:ind w:left="7233" w:hanging="1419"/>
      </w:pPr>
      <w:rPr>
        <w:rFonts w:hint="default"/>
      </w:rPr>
    </w:lvl>
    <w:lvl w:ilvl="6">
      <w:start w:val="0"/>
      <w:numFmt w:val="bullet"/>
      <w:lvlText w:val="•"/>
      <w:lvlJc w:val="left"/>
      <w:pPr>
        <w:ind w:left="8167" w:hanging="1419"/>
      </w:pPr>
      <w:rPr>
        <w:rFonts w:hint="default"/>
      </w:rPr>
    </w:lvl>
    <w:lvl w:ilvl="7">
      <w:start w:val="0"/>
      <w:numFmt w:val="bullet"/>
      <w:lvlText w:val="•"/>
      <w:lvlJc w:val="left"/>
      <w:pPr>
        <w:ind w:left="9102" w:hanging="1419"/>
      </w:pPr>
      <w:rPr>
        <w:rFonts w:hint="default"/>
      </w:rPr>
    </w:lvl>
    <w:lvl w:ilvl="8">
      <w:start w:val="0"/>
      <w:numFmt w:val="bullet"/>
      <w:lvlText w:val="•"/>
      <w:lvlJc w:val="left"/>
      <w:pPr>
        <w:ind w:left="10037" w:hanging="1419"/>
      </w:pPr>
      <w:rPr>
        <w:rFonts w:hint="default"/>
      </w:rPr>
    </w:lvl>
  </w:abstractNum>
  <w:abstractNum w:abstractNumId="48">
    <w:multiLevelType w:val="hybridMultilevel"/>
    <w:lvl w:ilvl="0">
      <w:start w:val="1"/>
      <w:numFmt w:val="decimal"/>
      <w:lvlText w:val="%1."/>
      <w:lvlJc w:val="left"/>
      <w:pPr>
        <w:ind w:left="1702" w:hanging="286"/>
        <w:jc w:val="left"/>
      </w:pPr>
      <w:rPr>
        <w:rFonts w:hint="default" w:ascii="Arial" w:hAnsi="Arial" w:eastAsia="Arial" w:cs="Arial"/>
        <w:spacing w:val="-1"/>
        <w:w w:val="99"/>
        <w:sz w:val="20"/>
        <w:szCs w:val="20"/>
      </w:rPr>
    </w:lvl>
    <w:lvl w:ilvl="1">
      <w:start w:val="0"/>
      <w:numFmt w:val="bullet"/>
      <w:lvlText w:val="•"/>
      <w:lvlJc w:val="left"/>
      <w:pPr>
        <w:ind w:left="2720" w:hanging="286"/>
      </w:pPr>
      <w:rPr>
        <w:rFonts w:hint="default"/>
      </w:rPr>
    </w:lvl>
    <w:lvl w:ilvl="2">
      <w:start w:val="0"/>
      <w:numFmt w:val="bullet"/>
      <w:lvlText w:val="•"/>
      <w:lvlJc w:val="left"/>
      <w:pPr>
        <w:ind w:left="3741" w:hanging="286"/>
      </w:pPr>
      <w:rPr>
        <w:rFonts w:hint="default"/>
      </w:rPr>
    </w:lvl>
    <w:lvl w:ilvl="3">
      <w:start w:val="0"/>
      <w:numFmt w:val="bullet"/>
      <w:lvlText w:val="•"/>
      <w:lvlJc w:val="left"/>
      <w:pPr>
        <w:ind w:left="4761" w:hanging="286"/>
      </w:pPr>
      <w:rPr>
        <w:rFonts w:hint="default"/>
      </w:rPr>
    </w:lvl>
    <w:lvl w:ilvl="4">
      <w:start w:val="0"/>
      <w:numFmt w:val="bullet"/>
      <w:lvlText w:val="•"/>
      <w:lvlJc w:val="left"/>
      <w:pPr>
        <w:ind w:left="5782" w:hanging="286"/>
      </w:pPr>
      <w:rPr>
        <w:rFonts w:hint="default"/>
      </w:rPr>
    </w:lvl>
    <w:lvl w:ilvl="5">
      <w:start w:val="0"/>
      <w:numFmt w:val="bullet"/>
      <w:lvlText w:val="•"/>
      <w:lvlJc w:val="left"/>
      <w:pPr>
        <w:ind w:left="6803" w:hanging="286"/>
      </w:pPr>
      <w:rPr>
        <w:rFonts w:hint="default"/>
      </w:rPr>
    </w:lvl>
    <w:lvl w:ilvl="6">
      <w:start w:val="0"/>
      <w:numFmt w:val="bullet"/>
      <w:lvlText w:val="•"/>
      <w:lvlJc w:val="left"/>
      <w:pPr>
        <w:ind w:left="7823" w:hanging="286"/>
      </w:pPr>
      <w:rPr>
        <w:rFonts w:hint="default"/>
      </w:rPr>
    </w:lvl>
    <w:lvl w:ilvl="7">
      <w:start w:val="0"/>
      <w:numFmt w:val="bullet"/>
      <w:lvlText w:val="•"/>
      <w:lvlJc w:val="left"/>
      <w:pPr>
        <w:ind w:left="8844" w:hanging="286"/>
      </w:pPr>
      <w:rPr>
        <w:rFonts w:hint="default"/>
      </w:rPr>
    </w:lvl>
    <w:lvl w:ilvl="8">
      <w:start w:val="0"/>
      <w:numFmt w:val="bullet"/>
      <w:lvlText w:val="•"/>
      <w:lvlJc w:val="left"/>
      <w:pPr>
        <w:ind w:left="9865" w:hanging="286"/>
      </w:pPr>
      <w:rPr>
        <w:rFonts w:hint="default"/>
      </w:rPr>
    </w:lvl>
  </w:abstractNum>
  <w:abstractNum w:abstractNumId="47">
    <w:multiLevelType w:val="hybridMultilevel"/>
    <w:lvl w:ilvl="0">
      <w:start w:val="8"/>
      <w:numFmt w:val="decimal"/>
      <w:lvlText w:val="%1"/>
      <w:lvlJc w:val="left"/>
      <w:pPr>
        <w:ind w:left="2266" w:hanging="1133"/>
        <w:jc w:val="left"/>
      </w:pPr>
      <w:rPr>
        <w:rFonts w:hint="default"/>
      </w:rPr>
    </w:lvl>
    <w:lvl w:ilvl="1">
      <w:start w:val="5"/>
      <w:numFmt w:val="decimal"/>
      <w:lvlText w:val="%1.%2"/>
      <w:lvlJc w:val="left"/>
      <w:pPr>
        <w:ind w:left="2266" w:hanging="1133"/>
        <w:jc w:val="left"/>
      </w:pPr>
      <w:rPr>
        <w:rFonts w:hint="default"/>
      </w:rPr>
    </w:lvl>
    <w:lvl w:ilvl="2">
      <w:start w:val="2"/>
      <w:numFmt w:val="decimal"/>
      <w:lvlText w:val="%1.%2.%3"/>
      <w:lvlJc w:val="left"/>
      <w:pPr>
        <w:ind w:left="2266" w:hanging="1133"/>
        <w:jc w:val="left"/>
      </w:pPr>
      <w:rPr>
        <w:rFonts w:hint="default" w:ascii="Arial" w:hAnsi="Arial" w:eastAsia="Arial" w:cs="Arial"/>
        <w:w w:val="100"/>
        <w:sz w:val="28"/>
        <w:szCs w:val="28"/>
      </w:rPr>
    </w:lvl>
    <w:lvl w:ilvl="3">
      <w:start w:val="1"/>
      <w:numFmt w:val="decimal"/>
      <w:lvlText w:val="%4."/>
      <w:lvlJc w:val="left"/>
      <w:pPr>
        <w:ind w:left="1702" w:hanging="286"/>
        <w:jc w:val="left"/>
      </w:pPr>
      <w:rPr>
        <w:rFonts w:hint="default" w:ascii="Arial" w:hAnsi="Arial" w:eastAsia="Arial" w:cs="Arial"/>
        <w:spacing w:val="-1"/>
        <w:w w:val="99"/>
        <w:sz w:val="20"/>
        <w:szCs w:val="20"/>
      </w:rPr>
    </w:lvl>
    <w:lvl w:ilvl="4">
      <w:start w:val="0"/>
      <w:numFmt w:val="bullet"/>
      <w:lvlText w:val="•"/>
      <w:lvlJc w:val="left"/>
      <w:pPr>
        <w:ind w:left="5475" w:hanging="286"/>
      </w:pPr>
      <w:rPr>
        <w:rFonts w:hint="default"/>
      </w:rPr>
    </w:lvl>
    <w:lvl w:ilvl="5">
      <w:start w:val="0"/>
      <w:numFmt w:val="bullet"/>
      <w:lvlText w:val="•"/>
      <w:lvlJc w:val="left"/>
      <w:pPr>
        <w:ind w:left="6547" w:hanging="286"/>
      </w:pPr>
      <w:rPr>
        <w:rFonts w:hint="default"/>
      </w:rPr>
    </w:lvl>
    <w:lvl w:ilvl="6">
      <w:start w:val="0"/>
      <w:numFmt w:val="bullet"/>
      <w:lvlText w:val="•"/>
      <w:lvlJc w:val="left"/>
      <w:pPr>
        <w:ind w:left="7619" w:hanging="286"/>
      </w:pPr>
      <w:rPr>
        <w:rFonts w:hint="default"/>
      </w:rPr>
    </w:lvl>
    <w:lvl w:ilvl="7">
      <w:start w:val="0"/>
      <w:numFmt w:val="bullet"/>
      <w:lvlText w:val="•"/>
      <w:lvlJc w:val="left"/>
      <w:pPr>
        <w:ind w:left="8690" w:hanging="286"/>
      </w:pPr>
      <w:rPr>
        <w:rFonts w:hint="default"/>
      </w:rPr>
    </w:lvl>
    <w:lvl w:ilvl="8">
      <w:start w:val="0"/>
      <w:numFmt w:val="bullet"/>
      <w:lvlText w:val="•"/>
      <w:lvlJc w:val="left"/>
      <w:pPr>
        <w:ind w:left="9762" w:hanging="286"/>
      </w:pPr>
      <w:rPr>
        <w:rFonts w:hint="default"/>
      </w:rPr>
    </w:lvl>
  </w:abstractNum>
  <w:abstractNum w:abstractNumId="46">
    <w:multiLevelType w:val="hybridMultilevel"/>
    <w:lvl w:ilvl="0">
      <w:start w:val="0"/>
      <w:numFmt w:val="bullet"/>
      <w:lvlText w:val="-"/>
      <w:lvlJc w:val="left"/>
      <w:pPr>
        <w:ind w:left="1702" w:hanging="286"/>
      </w:pPr>
      <w:rPr>
        <w:rFonts w:hint="default" w:ascii="Arial" w:hAnsi="Arial" w:eastAsia="Arial" w:cs="Arial"/>
        <w:w w:val="99"/>
        <w:sz w:val="20"/>
        <w:szCs w:val="20"/>
      </w:rPr>
    </w:lvl>
    <w:lvl w:ilvl="1">
      <w:start w:val="0"/>
      <w:numFmt w:val="bullet"/>
      <w:lvlText w:val="•"/>
      <w:lvlJc w:val="left"/>
      <w:pPr>
        <w:ind w:left="2720" w:hanging="286"/>
      </w:pPr>
      <w:rPr>
        <w:rFonts w:hint="default"/>
      </w:rPr>
    </w:lvl>
    <w:lvl w:ilvl="2">
      <w:start w:val="0"/>
      <w:numFmt w:val="bullet"/>
      <w:lvlText w:val="•"/>
      <w:lvlJc w:val="left"/>
      <w:pPr>
        <w:ind w:left="3741" w:hanging="286"/>
      </w:pPr>
      <w:rPr>
        <w:rFonts w:hint="default"/>
      </w:rPr>
    </w:lvl>
    <w:lvl w:ilvl="3">
      <w:start w:val="0"/>
      <w:numFmt w:val="bullet"/>
      <w:lvlText w:val="•"/>
      <w:lvlJc w:val="left"/>
      <w:pPr>
        <w:ind w:left="4761" w:hanging="286"/>
      </w:pPr>
      <w:rPr>
        <w:rFonts w:hint="default"/>
      </w:rPr>
    </w:lvl>
    <w:lvl w:ilvl="4">
      <w:start w:val="0"/>
      <w:numFmt w:val="bullet"/>
      <w:lvlText w:val="•"/>
      <w:lvlJc w:val="left"/>
      <w:pPr>
        <w:ind w:left="5782" w:hanging="286"/>
      </w:pPr>
      <w:rPr>
        <w:rFonts w:hint="default"/>
      </w:rPr>
    </w:lvl>
    <w:lvl w:ilvl="5">
      <w:start w:val="0"/>
      <w:numFmt w:val="bullet"/>
      <w:lvlText w:val="•"/>
      <w:lvlJc w:val="left"/>
      <w:pPr>
        <w:ind w:left="6803" w:hanging="286"/>
      </w:pPr>
      <w:rPr>
        <w:rFonts w:hint="default"/>
      </w:rPr>
    </w:lvl>
    <w:lvl w:ilvl="6">
      <w:start w:val="0"/>
      <w:numFmt w:val="bullet"/>
      <w:lvlText w:val="•"/>
      <w:lvlJc w:val="left"/>
      <w:pPr>
        <w:ind w:left="7823" w:hanging="286"/>
      </w:pPr>
      <w:rPr>
        <w:rFonts w:hint="default"/>
      </w:rPr>
    </w:lvl>
    <w:lvl w:ilvl="7">
      <w:start w:val="0"/>
      <w:numFmt w:val="bullet"/>
      <w:lvlText w:val="•"/>
      <w:lvlJc w:val="left"/>
      <w:pPr>
        <w:ind w:left="8844" w:hanging="286"/>
      </w:pPr>
      <w:rPr>
        <w:rFonts w:hint="default"/>
      </w:rPr>
    </w:lvl>
    <w:lvl w:ilvl="8">
      <w:start w:val="0"/>
      <w:numFmt w:val="bullet"/>
      <w:lvlText w:val="•"/>
      <w:lvlJc w:val="left"/>
      <w:pPr>
        <w:ind w:left="9865" w:hanging="286"/>
      </w:pPr>
      <w:rPr>
        <w:rFonts w:hint="default"/>
      </w:rPr>
    </w:lvl>
  </w:abstractNum>
  <w:abstractNum w:abstractNumId="45">
    <w:multiLevelType w:val="hybridMultilevel"/>
    <w:lvl w:ilvl="0">
      <w:start w:val="8"/>
      <w:numFmt w:val="decimal"/>
      <w:lvlText w:val="%1"/>
      <w:lvlJc w:val="left"/>
      <w:pPr>
        <w:ind w:left="2266" w:hanging="1133"/>
        <w:jc w:val="left"/>
      </w:pPr>
      <w:rPr>
        <w:rFonts w:hint="default"/>
      </w:rPr>
    </w:lvl>
    <w:lvl w:ilvl="1">
      <w:start w:val="5"/>
      <w:numFmt w:val="decimal"/>
      <w:lvlText w:val="%1.%2"/>
      <w:lvlJc w:val="left"/>
      <w:pPr>
        <w:ind w:left="2266" w:hanging="1133"/>
        <w:jc w:val="left"/>
      </w:pPr>
      <w:rPr>
        <w:rFonts w:hint="default"/>
      </w:rPr>
    </w:lvl>
    <w:lvl w:ilvl="2">
      <w:start w:val="1"/>
      <w:numFmt w:val="decimal"/>
      <w:lvlText w:val="%1.%2.%3"/>
      <w:lvlJc w:val="left"/>
      <w:pPr>
        <w:ind w:left="2266" w:hanging="1133"/>
        <w:jc w:val="left"/>
      </w:pPr>
      <w:rPr>
        <w:rFonts w:hint="default" w:ascii="Arial" w:hAnsi="Arial" w:eastAsia="Arial" w:cs="Arial"/>
        <w:w w:val="100"/>
        <w:sz w:val="28"/>
        <w:szCs w:val="28"/>
      </w:rPr>
    </w:lvl>
    <w:lvl w:ilvl="3">
      <w:start w:val="1"/>
      <w:numFmt w:val="decimal"/>
      <w:lvlText w:val="%4."/>
      <w:lvlJc w:val="left"/>
      <w:pPr>
        <w:ind w:left="1702" w:hanging="286"/>
        <w:jc w:val="left"/>
      </w:pPr>
      <w:rPr>
        <w:rFonts w:hint="default" w:ascii="Arial" w:hAnsi="Arial" w:eastAsia="Arial" w:cs="Arial"/>
        <w:spacing w:val="-1"/>
        <w:w w:val="99"/>
        <w:sz w:val="20"/>
        <w:szCs w:val="20"/>
      </w:rPr>
    </w:lvl>
    <w:lvl w:ilvl="4">
      <w:start w:val="0"/>
      <w:numFmt w:val="bullet"/>
      <w:lvlText w:val="•"/>
      <w:lvlJc w:val="left"/>
      <w:pPr>
        <w:ind w:left="5475" w:hanging="286"/>
      </w:pPr>
      <w:rPr>
        <w:rFonts w:hint="default"/>
      </w:rPr>
    </w:lvl>
    <w:lvl w:ilvl="5">
      <w:start w:val="0"/>
      <w:numFmt w:val="bullet"/>
      <w:lvlText w:val="•"/>
      <w:lvlJc w:val="left"/>
      <w:pPr>
        <w:ind w:left="6547" w:hanging="286"/>
      </w:pPr>
      <w:rPr>
        <w:rFonts w:hint="default"/>
      </w:rPr>
    </w:lvl>
    <w:lvl w:ilvl="6">
      <w:start w:val="0"/>
      <w:numFmt w:val="bullet"/>
      <w:lvlText w:val="•"/>
      <w:lvlJc w:val="left"/>
      <w:pPr>
        <w:ind w:left="7619" w:hanging="286"/>
      </w:pPr>
      <w:rPr>
        <w:rFonts w:hint="default"/>
      </w:rPr>
    </w:lvl>
    <w:lvl w:ilvl="7">
      <w:start w:val="0"/>
      <w:numFmt w:val="bullet"/>
      <w:lvlText w:val="•"/>
      <w:lvlJc w:val="left"/>
      <w:pPr>
        <w:ind w:left="8690" w:hanging="286"/>
      </w:pPr>
      <w:rPr>
        <w:rFonts w:hint="default"/>
      </w:rPr>
    </w:lvl>
    <w:lvl w:ilvl="8">
      <w:start w:val="0"/>
      <w:numFmt w:val="bullet"/>
      <w:lvlText w:val="•"/>
      <w:lvlJc w:val="left"/>
      <w:pPr>
        <w:ind w:left="9762" w:hanging="286"/>
      </w:pPr>
      <w:rPr>
        <w:rFonts w:hint="default"/>
      </w:rPr>
    </w:lvl>
  </w:abstractNum>
  <w:abstractNum w:abstractNumId="44">
    <w:multiLevelType w:val="hybridMultilevel"/>
    <w:lvl w:ilvl="0">
      <w:start w:val="1"/>
      <w:numFmt w:val="decimal"/>
      <w:lvlText w:val="%1"/>
      <w:lvlJc w:val="left"/>
      <w:pPr>
        <w:ind w:left="1224" w:hanging="123"/>
        <w:jc w:val="left"/>
      </w:pPr>
      <w:rPr>
        <w:rFonts w:hint="default" w:ascii="Times New Roman" w:hAnsi="Times New Roman" w:eastAsia="Times New Roman" w:cs="Times New Roman"/>
        <w:b/>
        <w:bCs/>
        <w:w w:val="100"/>
        <w:position w:val="6"/>
        <w:sz w:val="16"/>
        <w:szCs w:val="16"/>
      </w:rPr>
    </w:lvl>
    <w:lvl w:ilvl="1">
      <w:start w:val="0"/>
      <w:numFmt w:val="bullet"/>
      <w:lvlText w:val="•"/>
      <w:lvlJc w:val="left"/>
      <w:pPr>
        <w:ind w:left="2288" w:hanging="123"/>
      </w:pPr>
      <w:rPr>
        <w:rFonts w:hint="default"/>
      </w:rPr>
    </w:lvl>
    <w:lvl w:ilvl="2">
      <w:start w:val="0"/>
      <w:numFmt w:val="bullet"/>
      <w:lvlText w:val="•"/>
      <w:lvlJc w:val="left"/>
      <w:pPr>
        <w:ind w:left="3357" w:hanging="123"/>
      </w:pPr>
      <w:rPr>
        <w:rFonts w:hint="default"/>
      </w:rPr>
    </w:lvl>
    <w:lvl w:ilvl="3">
      <w:start w:val="0"/>
      <w:numFmt w:val="bullet"/>
      <w:lvlText w:val="•"/>
      <w:lvlJc w:val="left"/>
      <w:pPr>
        <w:ind w:left="4425" w:hanging="123"/>
      </w:pPr>
      <w:rPr>
        <w:rFonts w:hint="default"/>
      </w:rPr>
    </w:lvl>
    <w:lvl w:ilvl="4">
      <w:start w:val="0"/>
      <w:numFmt w:val="bullet"/>
      <w:lvlText w:val="•"/>
      <w:lvlJc w:val="left"/>
      <w:pPr>
        <w:ind w:left="5494" w:hanging="123"/>
      </w:pPr>
      <w:rPr>
        <w:rFonts w:hint="default"/>
      </w:rPr>
    </w:lvl>
    <w:lvl w:ilvl="5">
      <w:start w:val="0"/>
      <w:numFmt w:val="bullet"/>
      <w:lvlText w:val="•"/>
      <w:lvlJc w:val="left"/>
      <w:pPr>
        <w:ind w:left="6563" w:hanging="123"/>
      </w:pPr>
      <w:rPr>
        <w:rFonts w:hint="default"/>
      </w:rPr>
    </w:lvl>
    <w:lvl w:ilvl="6">
      <w:start w:val="0"/>
      <w:numFmt w:val="bullet"/>
      <w:lvlText w:val="•"/>
      <w:lvlJc w:val="left"/>
      <w:pPr>
        <w:ind w:left="7631" w:hanging="123"/>
      </w:pPr>
      <w:rPr>
        <w:rFonts w:hint="default"/>
      </w:rPr>
    </w:lvl>
    <w:lvl w:ilvl="7">
      <w:start w:val="0"/>
      <w:numFmt w:val="bullet"/>
      <w:lvlText w:val="•"/>
      <w:lvlJc w:val="left"/>
      <w:pPr>
        <w:ind w:left="8700" w:hanging="123"/>
      </w:pPr>
      <w:rPr>
        <w:rFonts w:hint="default"/>
      </w:rPr>
    </w:lvl>
    <w:lvl w:ilvl="8">
      <w:start w:val="0"/>
      <w:numFmt w:val="bullet"/>
      <w:lvlText w:val="•"/>
      <w:lvlJc w:val="left"/>
      <w:pPr>
        <w:ind w:left="9769" w:hanging="123"/>
      </w:pPr>
      <w:rPr>
        <w:rFonts w:hint="default"/>
      </w:rPr>
    </w:lvl>
  </w:abstractNum>
  <w:abstractNum w:abstractNumId="43">
    <w:multiLevelType w:val="hybridMultilevel"/>
    <w:lvl w:ilvl="0">
      <w:start w:val="8"/>
      <w:numFmt w:val="decimal"/>
      <w:lvlText w:val="%1"/>
      <w:lvlJc w:val="left"/>
      <w:pPr>
        <w:ind w:left="1702" w:hanging="569"/>
        <w:jc w:val="left"/>
      </w:pPr>
      <w:rPr>
        <w:rFonts w:hint="default"/>
      </w:rPr>
    </w:lvl>
    <w:lvl w:ilvl="1">
      <w:start w:val="3"/>
      <w:numFmt w:val="decimal"/>
      <w:lvlText w:val="%1.%2"/>
      <w:lvlJc w:val="left"/>
      <w:pPr>
        <w:ind w:left="1702" w:hanging="569"/>
        <w:jc w:val="left"/>
      </w:pPr>
      <w:rPr>
        <w:rFonts w:hint="default" w:ascii="Arial" w:hAnsi="Arial" w:eastAsia="Arial" w:cs="Arial"/>
        <w:w w:val="99"/>
        <w:sz w:val="32"/>
        <w:szCs w:val="32"/>
      </w:rPr>
    </w:lvl>
    <w:lvl w:ilvl="2">
      <w:start w:val="0"/>
      <w:numFmt w:val="bullet"/>
      <w:lvlText w:val="-"/>
      <w:lvlJc w:val="left"/>
      <w:pPr>
        <w:ind w:left="1701" w:hanging="286"/>
      </w:pPr>
      <w:rPr>
        <w:rFonts w:hint="default" w:ascii="Arial" w:hAnsi="Arial" w:eastAsia="Arial" w:cs="Arial"/>
        <w:w w:val="99"/>
        <w:sz w:val="20"/>
        <w:szCs w:val="20"/>
      </w:rPr>
    </w:lvl>
    <w:lvl w:ilvl="3">
      <w:start w:val="0"/>
      <w:numFmt w:val="bullet"/>
      <w:lvlText w:val="•"/>
      <w:lvlJc w:val="left"/>
      <w:pPr>
        <w:ind w:left="4761" w:hanging="286"/>
      </w:pPr>
      <w:rPr>
        <w:rFonts w:hint="default"/>
      </w:rPr>
    </w:lvl>
    <w:lvl w:ilvl="4">
      <w:start w:val="0"/>
      <w:numFmt w:val="bullet"/>
      <w:lvlText w:val="•"/>
      <w:lvlJc w:val="left"/>
      <w:pPr>
        <w:ind w:left="5782" w:hanging="286"/>
      </w:pPr>
      <w:rPr>
        <w:rFonts w:hint="default"/>
      </w:rPr>
    </w:lvl>
    <w:lvl w:ilvl="5">
      <w:start w:val="0"/>
      <w:numFmt w:val="bullet"/>
      <w:lvlText w:val="•"/>
      <w:lvlJc w:val="left"/>
      <w:pPr>
        <w:ind w:left="6803" w:hanging="286"/>
      </w:pPr>
      <w:rPr>
        <w:rFonts w:hint="default"/>
      </w:rPr>
    </w:lvl>
    <w:lvl w:ilvl="6">
      <w:start w:val="0"/>
      <w:numFmt w:val="bullet"/>
      <w:lvlText w:val="•"/>
      <w:lvlJc w:val="left"/>
      <w:pPr>
        <w:ind w:left="7823" w:hanging="286"/>
      </w:pPr>
      <w:rPr>
        <w:rFonts w:hint="default"/>
      </w:rPr>
    </w:lvl>
    <w:lvl w:ilvl="7">
      <w:start w:val="0"/>
      <w:numFmt w:val="bullet"/>
      <w:lvlText w:val="•"/>
      <w:lvlJc w:val="left"/>
      <w:pPr>
        <w:ind w:left="8844" w:hanging="286"/>
      </w:pPr>
      <w:rPr>
        <w:rFonts w:hint="default"/>
      </w:rPr>
    </w:lvl>
    <w:lvl w:ilvl="8">
      <w:start w:val="0"/>
      <w:numFmt w:val="bullet"/>
      <w:lvlText w:val="•"/>
      <w:lvlJc w:val="left"/>
      <w:pPr>
        <w:ind w:left="9865" w:hanging="286"/>
      </w:pPr>
      <w:rPr>
        <w:rFonts w:hint="default"/>
      </w:rPr>
    </w:lvl>
  </w:abstractNum>
  <w:abstractNum w:abstractNumId="42">
    <w:multiLevelType w:val="hybridMultilevel"/>
    <w:lvl w:ilvl="0">
      <w:start w:val="8"/>
      <w:numFmt w:val="decimal"/>
      <w:lvlText w:val="%1"/>
      <w:lvlJc w:val="left"/>
      <w:pPr>
        <w:ind w:left="2266" w:hanging="1133"/>
        <w:jc w:val="left"/>
      </w:pPr>
      <w:rPr>
        <w:rFonts w:hint="default"/>
      </w:rPr>
    </w:lvl>
    <w:lvl w:ilvl="1">
      <w:start w:val="1"/>
      <w:numFmt w:val="decimal"/>
      <w:lvlText w:val="%1.%2"/>
      <w:lvlJc w:val="left"/>
      <w:pPr>
        <w:ind w:left="2266" w:hanging="1133"/>
        <w:jc w:val="left"/>
      </w:pPr>
      <w:rPr>
        <w:rFonts w:hint="default" w:ascii="Arial" w:hAnsi="Arial" w:eastAsia="Arial" w:cs="Arial"/>
        <w:w w:val="99"/>
        <w:sz w:val="32"/>
        <w:szCs w:val="32"/>
      </w:rPr>
    </w:lvl>
    <w:lvl w:ilvl="2">
      <w:start w:val="0"/>
      <w:numFmt w:val="bullet"/>
      <w:lvlText w:val="-"/>
      <w:lvlJc w:val="left"/>
      <w:pPr>
        <w:ind w:left="1701" w:hanging="286"/>
      </w:pPr>
      <w:rPr>
        <w:rFonts w:hint="default" w:ascii="Arial" w:hAnsi="Arial" w:eastAsia="Arial" w:cs="Arial"/>
        <w:w w:val="99"/>
        <w:sz w:val="20"/>
        <w:szCs w:val="20"/>
      </w:rPr>
    </w:lvl>
    <w:lvl w:ilvl="3">
      <w:start w:val="0"/>
      <w:numFmt w:val="bullet"/>
      <w:lvlText w:val="-"/>
      <w:lvlJc w:val="left"/>
      <w:pPr>
        <w:ind w:left="1985" w:hanging="286"/>
      </w:pPr>
      <w:rPr>
        <w:rFonts w:hint="default" w:ascii="Arial" w:hAnsi="Arial" w:eastAsia="Arial" w:cs="Arial"/>
        <w:w w:val="99"/>
        <w:sz w:val="20"/>
        <w:szCs w:val="20"/>
      </w:rPr>
    </w:lvl>
    <w:lvl w:ilvl="4">
      <w:start w:val="0"/>
      <w:numFmt w:val="bullet"/>
      <w:lvlText w:val="-"/>
      <w:lvlJc w:val="left"/>
      <w:pPr>
        <w:ind w:left="2268" w:hanging="284"/>
      </w:pPr>
      <w:rPr>
        <w:rFonts w:hint="default" w:ascii="Arial" w:hAnsi="Arial" w:eastAsia="Arial" w:cs="Arial"/>
        <w:w w:val="99"/>
        <w:sz w:val="20"/>
        <w:szCs w:val="20"/>
      </w:rPr>
    </w:lvl>
    <w:lvl w:ilvl="5">
      <w:start w:val="0"/>
      <w:numFmt w:val="bullet"/>
      <w:lvlText w:val="•"/>
      <w:lvlJc w:val="left"/>
      <w:pPr>
        <w:ind w:left="5877" w:hanging="284"/>
      </w:pPr>
      <w:rPr>
        <w:rFonts w:hint="default"/>
      </w:rPr>
    </w:lvl>
    <w:lvl w:ilvl="6">
      <w:start w:val="0"/>
      <w:numFmt w:val="bullet"/>
      <w:lvlText w:val="•"/>
      <w:lvlJc w:val="left"/>
      <w:pPr>
        <w:ind w:left="7083" w:hanging="284"/>
      </w:pPr>
      <w:rPr>
        <w:rFonts w:hint="default"/>
      </w:rPr>
    </w:lvl>
    <w:lvl w:ilvl="7">
      <w:start w:val="0"/>
      <w:numFmt w:val="bullet"/>
      <w:lvlText w:val="•"/>
      <w:lvlJc w:val="left"/>
      <w:pPr>
        <w:ind w:left="8289" w:hanging="284"/>
      </w:pPr>
      <w:rPr>
        <w:rFonts w:hint="default"/>
      </w:rPr>
    </w:lvl>
    <w:lvl w:ilvl="8">
      <w:start w:val="0"/>
      <w:numFmt w:val="bullet"/>
      <w:lvlText w:val="•"/>
      <w:lvlJc w:val="left"/>
      <w:pPr>
        <w:ind w:left="9494" w:hanging="284"/>
      </w:pPr>
      <w:rPr>
        <w:rFonts w:hint="default"/>
      </w:rPr>
    </w:lvl>
  </w:abstractNum>
  <w:abstractNum w:abstractNumId="41">
    <w:multiLevelType w:val="hybridMultilevel"/>
    <w:lvl w:ilvl="0">
      <w:start w:val="1"/>
      <w:numFmt w:val="decimal"/>
      <w:lvlText w:val="%1."/>
      <w:lvlJc w:val="left"/>
      <w:pPr>
        <w:ind w:left="1702" w:hanging="286"/>
        <w:jc w:val="right"/>
      </w:pPr>
      <w:rPr>
        <w:rFonts w:hint="default" w:ascii="Arial" w:hAnsi="Arial" w:eastAsia="Arial" w:cs="Arial"/>
        <w:spacing w:val="-1"/>
        <w:w w:val="99"/>
        <w:sz w:val="20"/>
        <w:szCs w:val="20"/>
      </w:rPr>
    </w:lvl>
    <w:lvl w:ilvl="1">
      <w:start w:val="0"/>
      <w:numFmt w:val="bullet"/>
      <w:lvlText w:val="-"/>
      <w:lvlJc w:val="left"/>
      <w:pPr>
        <w:ind w:left="1985" w:hanging="286"/>
      </w:pPr>
      <w:rPr>
        <w:rFonts w:hint="default" w:ascii="Arial" w:hAnsi="Arial" w:eastAsia="Arial" w:cs="Arial"/>
        <w:w w:val="99"/>
        <w:sz w:val="20"/>
        <w:szCs w:val="20"/>
      </w:rPr>
    </w:lvl>
    <w:lvl w:ilvl="2">
      <w:start w:val="0"/>
      <w:numFmt w:val="bullet"/>
      <w:lvlText w:val="•"/>
      <w:lvlJc w:val="left"/>
      <w:pPr>
        <w:ind w:left="3082" w:hanging="286"/>
      </w:pPr>
      <w:rPr>
        <w:rFonts w:hint="default"/>
      </w:rPr>
    </w:lvl>
    <w:lvl w:ilvl="3">
      <w:start w:val="0"/>
      <w:numFmt w:val="bullet"/>
      <w:lvlText w:val="•"/>
      <w:lvlJc w:val="left"/>
      <w:pPr>
        <w:ind w:left="4185" w:hanging="286"/>
      </w:pPr>
      <w:rPr>
        <w:rFonts w:hint="default"/>
      </w:rPr>
    </w:lvl>
    <w:lvl w:ilvl="4">
      <w:start w:val="0"/>
      <w:numFmt w:val="bullet"/>
      <w:lvlText w:val="•"/>
      <w:lvlJc w:val="left"/>
      <w:pPr>
        <w:ind w:left="5288" w:hanging="286"/>
      </w:pPr>
      <w:rPr>
        <w:rFonts w:hint="default"/>
      </w:rPr>
    </w:lvl>
    <w:lvl w:ilvl="5">
      <w:start w:val="0"/>
      <w:numFmt w:val="bullet"/>
      <w:lvlText w:val="•"/>
      <w:lvlJc w:val="left"/>
      <w:pPr>
        <w:ind w:left="6391" w:hanging="286"/>
      </w:pPr>
      <w:rPr>
        <w:rFonts w:hint="default"/>
      </w:rPr>
    </w:lvl>
    <w:lvl w:ilvl="6">
      <w:start w:val="0"/>
      <w:numFmt w:val="bullet"/>
      <w:lvlText w:val="•"/>
      <w:lvlJc w:val="left"/>
      <w:pPr>
        <w:ind w:left="7494" w:hanging="286"/>
      </w:pPr>
      <w:rPr>
        <w:rFonts w:hint="default"/>
      </w:rPr>
    </w:lvl>
    <w:lvl w:ilvl="7">
      <w:start w:val="0"/>
      <w:numFmt w:val="bullet"/>
      <w:lvlText w:val="•"/>
      <w:lvlJc w:val="left"/>
      <w:pPr>
        <w:ind w:left="8597" w:hanging="286"/>
      </w:pPr>
      <w:rPr>
        <w:rFonts w:hint="default"/>
      </w:rPr>
    </w:lvl>
    <w:lvl w:ilvl="8">
      <w:start w:val="0"/>
      <w:numFmt w:val="bullet"/>
      <w:lvlText w:val="•"/>
      <w:lvlJc w:val="left"/>
      <w:pPr>
        <w:ind w:left="9700" w:hanging="286"/>
      </w:pPr>
      <w:rPr>
        <w:rFonts w:hint="default"/>
      </w:rPr>
    </w:lvl>
  </w:abstractNum>
  <w:abstractNum w:abstractNumId="40">
    <w:multiLevelType w:val="hybridMultilevel"/>
    <w:lvl w:ilvl="0">
      <w:start w:val="7"/>
      <w:numFmt w:val="decimal"/>
      <w:lvlText w:val="%1"/>
      <w:lvlJc w:val="left"/>
      <w:pPr>
        <w:ind w:left="2551" w:hanging="1419"/>
        <w:jc w:val="left"/>
      </w:pPr>
      <w:rPr>
        <w:rFonts w:hint="default"/>
      </w:rPr>
    </w:lvl>
    <w:lvl w:ilvl="1">
      <w:start w:val="4"/>
      <w:numFmt w:val="decimal"/>
      <w:lvlText w:val="%1.%2"/>
      <w:lvlJc w:val="left"/>
      <w:pPr>
        <w:ind w:left="2551" w:hanging="1419"/>
        <w:jc w:val="left"/>
      </w:pPr>
      <w:rPr>
        <w:rFonts w:hint="default"/>
      </w:rPr>
    </w:lvl>
    <w:lvl w:ilvl="2">
      <w:start w:val="1"/>
      <w:numFmt w:val="decimal"/>
      <w:lvlText w:val="%1.%2.%3"/>
      <w:lvlJc w:val="left"/>
      <w:pPr>
        <w:ind w:left="2551" w:hanging="1419"/>
        <w:jc w:val="left"/>
      </w:pPr>
      <w:rPr>
        <w:rFonts w:hint="default"/>
      </w:rPr>
    </w:lvl>
    <w:lvl w:ilvl="3">
      <w:start w:val="2"/>
      <w:numFmt w:val="decimal"/>
      <w:lvlText w:val="%1.%2.%3.%4"/>
      <w:lvlJc w:val="left"/>
      <w:pPr>
        <w:ind w:left="2551" w:hanging="1419"/>
        <w:jc w:val="left"/>
      </w:pPr>
      <w:rPr>
        <w:rFonts w:hint="default" w:ascii="Arial" w:hAnsi="Arial" w:eastAsia="Arial" w:cs="Arial"/>
        <w:spacing w:val="-4"/>
        <w:w w:val="99"/>
        <w:sz w:val="24"/>
        <w:szCs w:val="24"/>
      </w:rPr>
    </w:lvl>
    <w:lvl w:ilvl="4">
      <w:start w:val="1"/>
      <w:numFmt w:val="decimal"/>
      <w:lvlText w:val="%1.%2.%3.%4.%5"/>
      <w:lvlJc w:val="left"/>
      <w:pPr>
        <w:ind w:left="2834" w:hanging="1702"/>
        <w:jc w:val="left"/>
      </w:pPr>
      <w:rPr>
        <w:rFonts w:hint="default" w:ascii="Arial" w:hAnsi="Arial" w:eastAsia="Arial" w:cs="Arial"/>
        <w:spacing w:val="-3"/>
        <w:w w:val="100"/>
        <w:sz w:val="22"/>
        <w:szCs w:val="22"/>
      </w:rPr>
    </w:lvl>
    <w:lvl w:ilvl="5">
      <w:start w:val="0"/>
      <w:numFmt w:val="bullet"/>
      <w:lvlText w:val="-"/>
      <w:lvlJc w:val="left"/>
      <w:pPr>
        <w:ind w:left="1701" w:hanging="286"/>
      </w:pPr>
      <w:rPr>
        <w:rFonts w:hint="default" w:ascii="Arial" w:hAnsi="Arial" w:eastAsia="Arial" w:cs="Arial"/>
        <w:w w:val="99"/>
        <w:sz w:val="20"/>
        <w:szCs w:val="20"/>
      </w:rPr>
    </w:lvl>
    <w:lvl w:ilvl="6">
      <w:start w:val="0"/>
      <w:numFmt w:val="bullet"/>
      <w:lvlText w:val="-"/>
      <w:lvlJc w:val="left"/>
      <w:pPr>
        <w:ind w:left="1985" w:hanging="286"/>
      </w:pPr>
      <w:rPr>
        <w:rFonts w:hint="default" w:ascii="Arial" w:hAnsi="Arial" w:eastAsia="Arial" w:cs="Arial"/>
        <w:w w:val="99"/>
        <w:sz w:val="20"/>
        <w:szCs w:val="20"/>
      </w:rPr>
    </w:lvl>
    <w:lvl w:ilvl="7">
      <w:start w:val="0"/>
      <w:numFmt w:val="bullet"/>
      <w:lvlText w:val="-"/>
      <w:lvlJc w:val="left"/>
      <w:pPr>
        <w:ind w:left="2268" w:hanging="284"/>
      </w:pPr>
      <w:rPr>
        <w:rFonts w:hint="default" w:ascii="Arial" w:hAnsi="Arial" w:eastAsia="Arial" w:cs="Arial"/>
        <w:w w:val="99"/>
        <w:sz w:val="20"/>
        <w:szCs w:val="20"/>
      </w:rPr>
    </w:lvl>
    <w:lvl w:ilvl="8">
      <w:start w:val="0"/>
      <w:numFmt w:val="bullet"/>
      <w:lvlText w:val="•"/>
      <w:lvlJc w:val="left"/>
      <w:pPr>
        <w:ind w:left="8884" w:hanging="284"/>
      </w:pPr>
      <w:rPr>
        <w:rFonts w:hint="default"/>
      </w:rPr>
    </w:lvl>
  </w:abstractNum>
  <w:abstractNum w:abstractNumId="39">
    <w:multiLevelType w:val="hybridMultilevel"/>
    <w:lvl w:ilvl="0">
      <w:start w:val="1"/>
      <w:numFmt w:val="decimal"/>
      <w:lvlText w:val="%1."/>
      <w:lvlJc w:val="left"/>
      <w:pPr>
        <w:ind w:left="1702" w:hanging="286"/>
        <w:jc w:val="left"/>
      </w:pPr>
      <w:rPr>
        <w:rFonts w:hint="default" w:ascii="Arial" w:hAnsi="Arial" w:eastAsia="Arial" w:cs="Arial"/>
        <w:spacing w:val="-1"/>
        <w:w w:val="99"/>
        <w:sz w:val="20"/>
        <w:szCs w:val="20"/>
      </w:rPr>
    </w:lvl>
    <w:lvl w:ilvl="1">
      <w:start w:val="0"/>
      <w:numFmt w:val="bullet"/>
      <w:lvlText w:val="•"/>
      <w:lvlJc w:val="left"/>
      <w:pPr>
        <w:ind w:left="2720" w:hanging="286"/>
      </w:pPr>
      <w:rPr>
        <w:rFonts w:hint="default"/>
      </w:rPr>
    </w:lvl>
    <w:lvl w:ilvl="2">
      <w:start w:val="0"/>
      <w:numFmt w:val="bullet"/>
      <w:lvlText w:val="•"/>
      <w:lvlJc w:val="left"/>
      <w:pPr>
        <w:ind w:left="3741" w:hanging="286"/>
      </w:pPr>
      <w:rPr>
        <w:rFonts w:hint="default"/>
      </w:rPr>
    </w:lvl>
    <w:lvl w:ilvl="3">
      <w:start w:val="0"/>
      <w:numFmt w:val="bullet"/>
      <w:lvlText w:val="•"/>
      <w:lvlJc w:val="left"/>
      <w:pPr>
        <w:ind w:left="4761" w:hanging="286"/>
      </w:pPr>
      <w:rPr>
        <w:rFonts w:hint="default"/>
      </w:rPr>
    </w:lvl>
    <w:lvl w:ilvl="4">
      <w:start w:val="0"/>
      <w:numFmt w:val="bullet"/>
      <w:lvlText w:val="•"/>
      <w:lvlJc w:val="left"/>
      <w:pPr>
        <w:ind w:left="5782" w:hanging="286"/>
      </w:pPr>
      <w:rPr>
        <w:rFonts w:hint="default"/>
      </w:rPr>
    </w:lvl>
    <w:lvl w:ilvl="5">
      <w:start w:val="0"/>
      <w:numFmt w:val="bullet"/>
      <w:lvlText w:val="•"/>
      <w:lvlJc w:val="left"/>
      <w:pPr>
        <w:ind w:left="6803" w:hanging="286"/>
      </w:pPr>
      <w:rPr>
        <w:rFonts w:hint="default"/>
      </w:rPr>
    </w:lvl>
    <w:lvl w:ilvl="6">
      <w:start w:val="0"/>
      <w:numFmt w:val="bullet"/>
      <w:lvlText w:val="•"/>
      <w:lvlJc w:val="left"/>
      <w:pPr>
        <w:ind w:left="7823" w:hanging="286"/>
      </w:pPr>
      <w:rPr>
        <w:rFonts w:hint="default"/>
      </w:rPr>
    </w:lvl>
    <w:lvl w:ilvl="7">
      <w:start w:val="0"/>
      <w:numFmt w:val="bullet"/>
      <w:lvlText w:val="•"/>
      <w:lvlJc w:val="left"/>
      <w:pPr>
        <w:ind w:left="8844" w:hanging="286"/>
      </w:pPr>
      <w:rPr>
        <w:rFonts w:hint="default"/>
      </w:rPr>
    </w:lvl>
    <w:lvl w:ilvl="8">
      <w:start w:val="0"/>
      <w:numFmt w:val="bullet"/>
      <w:lvlText w:val="•"/>
      <w:lvlJc w:val="left"/>
      <w:pPr>
        <w:ind w:left="9865" w:hanging="286"/>
      </w:pPr>
      <w:rPr>
        <w:rFonts w:hint="default"/>
      </w:rPr>
    </w:lvl>
  </w:abstractNum>
  <w:abstractNum w:abstractNumId="38">
    <w:multiLevelType w:val="hybridMultilevel"/>
    <w:lvl w:ilvl="0">
      <w:start w:val="1"/>
      <w:numFmt w:val="decimal"/>
      <w:lvlText w:val="%1."/>
      <w:lvlJc w:val="left"/>
      <w:pPr>
        <w:ind w:left="1702" w:hanging="286"/>
        <w:jc w:val="left"/>
      </w:pPr>
      <w:rPr>
        <w:rFonts w:hint="default" w:ascii="Arial" w:hAnsi="Arial" w:eastAsia="Arial" w:cs="Arial"/>
        <w:spacing w:val="-1"/>
        <w:w w:val="99"/>
        <w:sz w:val="20"/>
        <w:szCs w:val="20"/>
      </w:rPr>
    </w:lvl>
    <w:lvl w:ilvl="1">
      <w:start w:val="1"/>
      <w:numFmt w:val="decimal"/>
      <w:lvlText w:val="(%2)"/>
      <w:lvlJc w:val="left"/>
      <w:pPr>
        <w:ind w:left="1985" w:hanging="348"/>
        <w:jc w:val="left"/>
      </w:pPr>
      <w:rPr>
        <w:rFonts w:hint="default" w:ascii="Arial" w:hAnsi="Arial" w:eastAsia="Arial" w:cs="Arial"/>
        <w:w w:val="99"/>
        <w:sz w:val="20"/>
        <w:szCs w:val="20"/>
      </w:rPr>
    </w:lvl>
    <w:lvl w:ilvl="2">
      <w:start w:val="0"/>
      <w:numFmt w:val="bullet"/>
      <w:lvlText w:val="•"/>
      <w:lvlJc w:val="left"/>
      <w:pPr>
        <w:ind w:left="3082" w:hanging="348"/>
      </w:pPr>
      <w:rPr>
        <w:rFonts w:hint="default"/>
      </w:rPr>
    </w:lvl>
    <w:lvl w:ilvl="3">
      <w:start w:val="0"/>
      <w:numFmt w:val="bullet"/>
      <w:lvlText w:val="•"/>
      <w:lvlJc w:val="left"/>
      <w:pPr>
        <w:ind w:left="4185" w:hanging="348"/>
      </w:pPr>
      <w:rPr>
        <w:rFonts w:hint="default"/>
      </w:rPr>
    </w:lvl>
    <w:lvl w:ilvl="4">
      <w:start w:val="0"/>
      <w:numFmt w:val="bullet"/>
      <w:lvlText w:val="•"/>
      <w:lvlJc w:val="left"/>
      <w:pPr>
        <w:ind w:left="5288" w:hanging="348"/>
      </w:pPr>
      <w:rPr>
        <w:rFonts w:hint="default"/>
      </w:rPr>
    </w:lvl>
    <w:lvl w:ilvl="5">
      <w:start w:val="0"/>
      <w:numFmt w:val="bullet"/>
      <w:lvlText w:val="•"/>
      <w:lvlJc w:val="left"/>
      <w:pPr>
        <w:ind w:left="6391" w:hanging="348"/>
      </w:pPr>
      <w:rPr>
        <w:rFonts w:hint="default"/>
      </w:rPr>
    </w:lvl>
    <w:lvl w:ilvl="6">
      <w:start w:val="0"/>
      <w:numFmt w:val="bullet"/>
      <w:lvlText w:val="•"/>
      <w:lvlJc w:val="left"/>
      <w:pPr>
        <w:ind w:left="7494" w:hanging="348"/>
      </w:pPr>
      <w:rPr>
        <w:rFonts w:hint="default"/>
      </w:rPr>
    </w:lvl>
    <w:lvl w:ilvl="7">
      <w:start w:val="0"/>
      <w:numFmt w:val="bullet"/>
      <w:lvlText w:val="•"/>
      <w:lvlJc w:val="left"/>
      <w:pPr>
        <w:ind w:left="8597" w:hanging="348"/>
      </w:pPr>
      <w:rPr>
        <w:rFonts w:hint="default"/>
      </w:rPr>
    </w:lvl>
    <w:lvl w:ilvl="8">
      <w:start w:val="0"/>
      <w:numFmt w:val="bullet"/>
      <w:lvlText w:val="•"/>
      <w:lvlJc w:val="left"/>
      <w:pPr>
        <w:ind w:left="9700" w:hanging="348"/>
      </w:pPr>
      <w:rPr>
        <w:rFonts w:hint="default"/>
      </w:rPr>
    </w:lvl>
  </w:abstractNum>
  <w:abstractNum w:abstractNumId="37">
    <w:multiLevelType w:val="hybridMultilevel"/>
    <w:lvl w:ilvl="0">
      <w:start w:val="0"/>
      <w:numFmt w:val="bullet"/>
      <w:lvlText w:val="-"/>
      <w:lvlJc w:val="left"/>
      <w:pPr>
        <w:ind w:left="1702" w:hanging="286"/>
      </w:pPr>
      <w:rPr>
        <w:rFonts w:hint="default" w:ascii="Arial" w:hAnsi="Arial" w:eastAsia="Arial" w:cs="Arial"/>
        <w:w w:val="99"/>
        <w:sz w:val="20"/>
        <w:szCs w:val="20"/>
      </w:rPr>
    </w:lvl>
    <w:lvl w:ilvl="1">
      <w:start w:val="0"/>
      <w:numFmt w:val="bullet"/>
      <w:lvlText w:val="-"/>
      <w:lvlJc w:val="left"/>
      <w:pPr>
        <w:ind w:left="1985" w:hanging="286"/>
      </w:pPr>
      <w:rPr>
        <w:rFonts w:hint="default" w:ascii="Arial" w:hAnsi="Arial" w:eastAsia="Arial" w:cs="Arial"/>
        <w:w w:val="99"/>
        <w:sz w:val="20"/>
        <w:szCs w:val="20"/>
      </w:rPr>
    </w:lvl>
    <w:lvl w:ilvl="2">
      <w:start w:val="0"/>
      <w:numFmt w:val="bullet"/>
      <w:lvlText w:val="-"/>
      <w:lvlJc w:val="left"/>
      <w:pPr>
        <w:ind w:left="2268" w:hanging="284"/>
      </w:pPr>
      <w:rPr>
        <w:rFonts w:hint="default" w:ascii="Arial" w:hAnsi="Arial" w:eastAsia="Arial" w:cs="Arial"/>
        <w:w w:val="99"/>
        <w:sz w:val="20"/>
        <w:szCs w:val="20"/>
      </w:rPr>
    </w:lvl>
    <w:lvl w:ilvl="3">
      <w:start w:val="0"/>
      <w:numFmt w:val="bullet"/>
      <w:lvlText w:val="•"/>
      <w:lvlJc w:val="left"/>
      <w:pPr>
        <w:ind w:left="3465" w:hanging="284"/>
      </w:pPr>
      <w:rPr>
        <w:rFonts w:hint="default"/>
      </w:rPr>
    </w:lvl>
    <w:lvl w:ilvl="4">
      <w:start w:val="0"/>
      <w:numFmt w:val="bullet"/>
      <w:lvlText w:val="•"/>
      <w:lvlJc w:val="left"/>
      <w:pPr>
        <w:ind w:left="4671" w:hanging="284"/>
      </w:pPr>
      <w:rPr>
        <w:rFonts w:hint="default"/>
      </w:rPr>
    </w:lvl>
    <w:lvl w:ilvl="5">
      <w:start w:val="0"/>
      <w:numFmt w:val="bullet"/>
      <w:lvlText w:val="•"/>
      <w:lvlJc w:val="left"/>
      <w:pPr>
        <w:ind w:left="5877" w:hanging="284"/>
      </w:pPr>
      <w:rPr>
        <w:rFonts w:hint="default"/>
      </w:rPr>
    </w:lvl>
    <w:lvl w:ilvl="6">
      <w:start w:val="0"/>
      <w:numFmt w:val="bullet"/>
      <w:lvlText w:val="•"/>
      <w:lvlJc w:val="left"/>
      <w:pPr>
        <w:ind w:left="7083" w:hanging="284"/>
      </w:pPr>
      <w:rPr>
        <w:rFonts w:hint="default"/>
      </w:rPr>
    </w:lvl>
    <w:lvl w:ilvl="7">
      <w:start w:val="0"/>
      <w:numFmt w:val="bullet"/>
      <w:lvlText w:val="•"/>
      <w:lvlJc w:val="left"/>
      <w:pPr>
        <w:ind w:left="8289" w:hanging="284"/>
      </w:pPr>
      <w:rPr>
        <w:rFonts w:hint="default"/>
      </w:rPr>
    </w:lvl>
    <w:lvl w:ilvl="8">
      <w:start w:val="0"/>
      <w:numFmt w:val="bullet"/>
      <w:lvlText w:val="•"/>
      <w:lvlJc w:val="left"/>
      <w:pPr>
        <w:ind w:left="9494" w:hanging="284"/>
      </w:pPr>
      <w:rPr>
        <w:rFonts w:hint="default"/>
      </w:rPr>
    </w:lvl>
  </w:abstractNum>
  <w:abstractNum w:abstractNumId="36">
    <w:multiLevelType w:val="hybridMultilevel"/>
    <w:lvl w:ilvl="0">
      <w:start w:val="1"/>
      <w:numFmt w:val="decimal"/>
      <w:lvlText w:val="%1."/>
      <w:lvlJc w:val="left"/>
      <w:pPr>
        <w:ind w:left="1702" w:hanging="286"/>
        <w:jc w:val="left"/>
      </w:pPr>
      <w:rPr>
        <w:rFonts w:hint="default" w:ascii="Arial" w:hAnsi="Arial" w:eastAsia="Arial" w:cs="Arial"/>
        <w:spacing w:val="-1"/>
        <w:w w:val="99"/>
        <w:sz w:val="20"/>
        <w:szCs w:val="20"/>
      </w:rPr>
    </w:lvl>
    <w:lvl w:ilvl="1">
      <w:start w:val="1"/>
      <w:numFmt w:val="lowerLetter"/>
      <w:lvlText w:val="%2."/>
      <w:lvlJc w:val="left"/>
      <w:pPr>
        <w:ind w:left="1985" w:hanging="286"/>
        <w:jc w:val="left"/>
      </w:pPr>
      <w:rPr>
        <w:rFonts w:hint="default" w:ascii="Arial" w:hAnsi="Arial" w:eastAsia="Arial" w:cs="Arial"/>
        <w:spacing w:val="-1"/>
        <w:w w:val="99"/>
        <w:sz w:val="20"/>
        <w:szCs w:val="20"/>
      </w:rPr>
    </w:lvl>
    <w:lvl w:ilvl="2">
      <w:start w:val="0"/>
      <w:numFmt w:val="bullet"/>
      <w:lvlText w:val="•"/>
      <w:lvlJc w:val="left"/>
      <w:pPr>
        <w:ind w:left="3082" w:hanging="286"/>
      </w:pPr>
      <w:rPr>
        <w:rFonts w:hint="default"/>
      </w:rPr>
    </w:lvl>
    <w:lvl w:ilvl="3">
      <w:start w:val="0"/>
      <w:numFmt w:val="bullet"/>
      <w:lvlText w:val="•"/>
      <w:lvlJc w:val="left"/>
      <w:pPr>
        <w:ind w:left="4185" w:hanging="286"/>
      </w:pPr>
      <w:rPr>
        <w:rFonts w:hint="default"/>
      </w:rPr>
    </w:lvl>
    <w:lvl w:ilvl="4">
      <w:start w:val="0"/>
      <w:numFmt w:val="bullet"/>
      <w:lvlText w:val="•"/>
      <w:lvlJc w:val="left"/>
      <w:pPr>
        <w:ind w:left="5288" w:hanging="286"/>
      </w:pPr>
      <w:rPr>
        <w:rFonts w:hint="default"/>
      </w:rPr>
    </w:lvl>
    <w:lvl w:ilvl="5">
      <w:start w:val="0"/>
      <w:numFmt w:val="bullet"/>
      <w:lvlText w:val="•"/>
      <w:lvlJc w:val="left"/>
      <w:pPr>
        <w:ind w:left="6391" w:hanging="286"/>
      </w:pPr>
      <w:rPr>
        <w:rFonts w:hint="default"/>
      </w:rPr>
    </w:lvl>
    <w:lvl w:ilvl="6">
      <w:start w:val="0"/>
      <w:numFmt w:val="bullet"/>
      <w:lvlText w:val="•"/>
      <w:lvlJc w:val="left"/>
      <w:pPr>
        <w:ind w:left="7494" w:hanging="286"/>
      </w:pPr>
      <w:rPr>
        <w:rFonts w:hint="default"/>
      </w:rPr>
    </w:lvl>
    <w:lvl w:ilvl="7">
      <w:start w:val="0"/>
      <w:numFmt w:val="bullet"/>
      <w:lvlText w:val="•"/>
      <w:lvlJc w:val="left"/>
      <w:pPr>
        <w:ind w:left="8597" w:hanging="286"/>
      </w:pPr>
      <w:rPr>
        <w:rFonts w:hint="default"/>
      </w:rPr>
    </w:lvl>
    <w:lvl w:ilvl="8">
      <w:start w:val="0"/>
      <w:numFmt w:val="bullet"/>
      <w:lvlText w:val="•"/>
      <w:lvlJc w:val="left"/>
      <w:pPr>
        <w:ind w:left="9700" w:hanging="286"/>
      </w:pPr>
      <w:rPr>
        <w:rFonts w:hint="default"/>
      </w:rPr>
    </w:lvl>
  </w:abstractNum>
  <w:abstractNum w:abstractNumId="35">
    <w:multiLevelType w:val="hybridMultilevel"/>
    <w:lvl w:ilvl="0">
      <w:start w:val="7"/>
      <w:numFmt w:val="decimal"/>
      <w:lvlText w:val="%1"/>
      <w:lvlJc w:val="left"/>
      <w:pPr>
        <w:ind w:left="2551" w:hanging="1419"/>
        <w:jc w:val="left"/>
      </w:pPr>
      <w:rPr>
        <w:rFonts w:hint="default"/>
      </w:rPr>
    </w:lvl>
    <w:lvl w:ilvl="1">
      <w:start w:val="4"/>
      <w:numFmt w:val="decimal"/>
      <w:lvlText w:val="%1.%2"/>
      <w:lvlJc w:val="left"/>
      <w:pPr>
        <w:ind w:left="2551" w:hanging="1419"/>
        <w:jc w:val="left"/>
      </w:pPr>
      <w:rPr>
        <w:rFonts w:hint="default"/>
      </w:rPr>
    </w:lvl>
    <w:lvl w:ilvl="2">
      <w:start w:val="1"/>
      <w:numFmt w:val="decimal"/>
      <w:lvlText w:val="%1.%2.%3"/>
      <w:lvlJc w:val="left"/>
      <w:pPr>
        <w:ind w:left="2551" w:hanging="1419"/>
        <w:jc w:val="left"/>
      </w:pPr>
      <w:rPr>
        <w:rFonts w:hint="default"/>
      </w:rPr>
    </w:lvl>
    <w:lvl w:ilvl="3">
      <w:start w:val="1"/>
      <w:numFmt w:val="decimal"/>
      <w:lvlText w:val="%1.%2.%3.%4"/>
      <w:lvlJc w:val="left"/>
      <w:pPr>
        <w:ind w:left="2551" w:hanging="1419"/>
        <w:jc w:val="left"/>
      </w:pPr>
      <w:rPr>
        <w:rFonts w:hint="default" w:ascii="Arial" w:hAnsi="Arial" w:eastAsia="Arial" w:cs="Arial"/>
        <w:spacing w:val="-3"/>
        <w:w w:val="99"/>
        <w:sz w:val="24"/>
        <w:szCs w:val="24"/>
      </w:rPr>
    </w:lvl>
    <w:lvl w:ilvl="4">
      <w:start w:val="1"/>
      <w:numFmt w:val="decimal"/>
      <w:lvlText w:val="%1.%2.%3.%4.%5"/>
      <w:lvlJc w:val="left"/>
      <w:pPr>
        <w:ind w:left="2834" w:hanging="1702"/>
        <w:jc w:val="left"/>
      </w:pPr>
      <w:rPr>
        <w:rFonts w:hint="default" w:ascii="Arial" w:hAnsi="Arial" w:eastAsia="Arial" w:cs="Arial"/>
        <w:spacing w:val="-3"/>
        <w:w w:val="100"/>
        <w:sz w:val="22"/>
        <w:szCs w:val="22"/>
      </w:rPr>
    </w:lvl>
    <w:lvl w:ilvl="5">
      <w:start w:val="0"/>
      <w:numFmt w:val="bullet"/>
      <w:lvlText w:val="-"/>
      <w:lvlJc w:val="left"/>
      <w:pPr>
        <w:ind w:left="1702" w:hanging="286"/>
      </w:pPr>
      <w:rPr>
        <w:rFonts w:hint="default" w:ascii="Arial" w:hAnsi="Arial" w:eastAsia="Arial" w:cs="Arial"/>
        <w:w w:val="99"/>
        <w:sz w:val="20"/>
        <w:szCs w:val="20"/>
      </w:rPr>
    </w:lvl>
    <w:lvl w:ilvl="6">
      <w:start w:val="0"/>
      <w:numFmt w:val="bullet"/>
      <w:lvlText w:val="•"/>
      <w:lvlJc w:val="left"/>
      <w:pPr>
        <w:ind w:left="7373" w:hanging="286"/>
      </w:pPr>
      <w:rPr>
        <w:rFonts w:hint="default"/>
      </w:rPr>
    </w:lvl>
    <w:lvl w:ilvl="7">
      <w:start w:val="0"/>
      <w:numFmt w:val="bullet"/>
      <w:lvlText w:val="•"/>
      <w:lvlJc w:val="left"/>
      <w:pPr>
        <w:ind w:left="8506" w:hanging="286"/>
      </w:pPr>
      <w:rPr>
        <w:rFonts w:hint="default"/>
      </w:rPr>
    </w:lvl>
    <w:lvl w:ilvl="8">
      <w:start w:val="0"/>
      <w:numFmt w:val="bullet"/>
      <w:lvlText w:val="•"/>
      <w:lvlJc w:val="left"/>
      <w:pPr>
        <w:ind w:left="9639" w:hanging="286"/>
      </w:pPr>
      <w:rPr>
        <w:rFonts w:hint="default"/>
      </w:rPr>
    </w:lvl>
  </w:abstractNum>
  <w:abstractNum w:abstractNumId="34">
    <w:multiLevelType w:val="hybridMultilevel"/>
    <w:lvl w:ilvl="0">
      <w:start w:val="0"/>
      <w:numFmt w:val="bullet"/>
      <w:lvlText w:val="-"/>
      <w:lvlJc w:val="left"/>
      <w:pPr>
        <w:ind w:left="955" w:hanging="853"/>
      </w:pPr>
      <w:rPr>
        <w:rFonts w:hint="default" w:ascii="Arial" w:hAnsi="Arial" w:eastAsia="Arial" w:cs="Arial"/>
        <w:spacing w:val="-4"/>
        <w:w w:val="99"/>
        <w:sz w:val="18"/>
        <w:szCs w:val="18"/>
      </w:rPr>
    </w:lvl>
    <w:lvl w:ilvl="1">
      <w:start w:val="0"/>
      <w:numFmt w:val="bullet"/>
      <w:lvlText w:val="•"/>
      <w:lvlJc w:val="left"/>
      <w:pPr>
        <w:ind w:left="1691" w:hanging="853"/>
      </w:pPr>
      <w:rPr>
        <w:rFonts w:hint="default"/>
      </w:rPr>
    </w:lvl>
    <w:lvl w:ilvl="2">
      <w:start w:val="0"/>
      <w:numFmt w:val="bullet"/>
      <w:lvlText w:val="•"/>
      <w:lvlJc w:val="left"/>
      <w:pPr>
        <w:ind w:left="2423" w:hanging="853"/>
      </w:pPr>
      <w:rPr>
        <w:rFonts w:hint="default"/>
      </w:rPr>
    </w:lvl>
    <w:lvl w:ilvl="3">
      <w:start w:val="0"/>
      <w:numFmt w:val="bullet"/>
      <w:lvlText w:val="•"/>
      <w:lvlJc w:val="left"/>
      <w:pPr>
        <w:ind w:left="3155" w:hanging="853"/>
      </w:pPr>
      <w:rPr>
        <w:rFonts w:hint="default"/>
      </w:rPr>
    </w:lvl>
    <w:lvl w:ilvl="4">
      <w:start w:val="0"/>
      <w:numFmt w:val="bullet"/>
      <w:lvlText w:val="•"/>
      <w:lvlJc w:val="left"/>
      <w:pPr>
        <w:ind w:left="3886" w:hanging="853"/>
      </w:pPr>
      <w:rPr>
        <w:rFonts w:hint="default"/>
      </w:rPr>
    </w:lvl>
    <w:lvl w:ilvl="5">
      <w:start w:val="0"/>
      <w:numFmt w:val="bullet"/>
      <w:lvlText w:val="•"/>
      <w:lvlJc w:val="left"/>
      <w:pPr>
        <w:ind w:left="4618" w:hanging="853"/>
      </w:pPr>
      <w:rPr>
        <w:rFonts w:hint="default"/>
      </w:rPr>
    </w:lvl>
    <w:lvl w:ilvl="6">
      <w:start w:val="0"/>
      <w:numFmt w:val="bullet"/>
      <w:lvlText w:val="•"/>
      <w:lvlJc w:val="left"/>
      <w:pPr>
        <w:ind w:left="5350" w:hanging="853"/>
      </w:pPr>
      <w:rPr>
        <w:rFonts w:hint="default"/>
      </w:rPr>
    </w:lvl>
    <w:lvl w:ilvl="7">
      <w:start w:val="0"/>
      <w:numFmt w:val="bullet"/>
      <w:lvlText w:val="•"/>
      <w:lvlJc w:val="left"/>
      <w:pPr>
        <w:ind w:left="6082" w:hanging="853"/>
      </w:pPr>
      <w:rPr>
        <w:rFonts w:hint="default"/>
      </w:rPr>
    </w:lvl>
    <w:lvl w:ilvl="8">
      <w:start w:val="0"/>
      <w:numFmt w:val="bullet"/>
      <w:lvlText w:val="•"/>
      <w:lvlJc w:val="left"/>
      <w:pPr>
        <w:ind w:left="6813" w:hanging="853"/>
      </w:pPr>
      <w:rPr>
        <w:rFonts w:hint="default"/>
      </w:rPr>
    </w:lvl>
  </w:abstractNum>
  <w:abstractNum w:abstractNumId="33">
    <w:multiLevelType w:val="hybridMultilevel"/>
    <w:lvl w:ilvl="0">
      <w:start w:val="7"/>
      <w:numFmt w:val="decimal"/>
      <w:lvlText w:val="%1"/>
      <w:lvlJc w:val="left"/>
      <w:pPr>
        <w:ind w:left="2266" w:hanging="1133"/>
        <w:jc w:val="left"/>
      </w:pPr>
      <w:rPr>
        <w:rFonts w:hint="default"/>
      </w:rPr>
    </w:lvl>
    <w:lvl w:ilvl="1">
      <w:start w:val="4"/>
      <w:numFmt w:val="decimal"/>
      <w:lvlText w:val="%1.%2"/>
      <w:lvlJc w:val="left"/>
      <w:pPr>
        <w:ind w:left="2266" w:hanging="1133"/>
        <w:jc w:val="left"/>
      </w:pPr>
      <w:rPr>
        <w:rFonts w:hint="default"/>
      </w:rPr>
    </w:lvl>
    <w:lvl w:ilvl="2">
      <w:start w:val="1"/>
      <w:numFmt w:val="decimal"/>
      <w:lvlText w:val="%1.%2.%3"/>
      <w:lvlJc w:val="left"/>
      <w:pPr>
        <w:ind w:left="2266" w:hanging="1133"/>
        <w:jc w:val="left"/>
      </w:pPr>
      <w:rPr>
        <w:rFonts w:hint="default" w:ascii="Arial" w:hAnsi="Arial" w:eastAsia="Arial" w:cs="Arial"/>
        <w:w w:val="100"/>
        <w:sz w:val="28"/>
        <w:szCs w:val="28"/>
      </w:rPr>
    </w:lvl>
    <w:lvl w:ilvl="3">
      <w:start w:val="0"/>
      <w:numFmt w:val="bullet"/>
      <w:lvlText w:val="-"/>
      <w:lvlJc w:val="left"/>
      <w:pPr>
        <w:ind w:left="1701" w:hanging="286"/>
      </w:pPr>
      <w:rPr>
        <w:rFonts w:hint="default" w:ascii="Arial" w:hAnsi="Arial" w:eastAsia="Arial" w:cs="Arial"/>
        <w:w w:val="99"/>
        <w:sz w:val="20"/>
        <w:szCs w:val="20"/>
      </w:rPr>
    </w:lvl>
    <w:lvl w:ilvl="4">
      <w:start w:val="0"/>
      <w:numFmt w:val="bullet"/>
      <w:lvlText w:val="•"/>
      <w:lvlJc w:val="left"/>
      <w:pPr>
        <w:ind w:left="5475" w:hanging="286"/>
      </w:pPr>
      <w:rPr>
        <w:rFonts w:hint="default"/>
      </w:rPr>
    </w:lvl>
    <w:lvl w:ilvl="5">
      <w:start w:val="0"/>
      <w:numFmt w:val="bullet"/>
      <w:lvlText w:val="•"/>
      <w:lvlJc w:val="left"/>
      <w:pPr>
        <w:ind w:left="6547" w:hanging="286"/>
      </w:pPr>
      <w:rPr>
        <w:rFonts w:hint="default"/>
      </w:rPr>
    </w:lvl>
    <w:lvl w:ilvl="6">
      <w:start w:val="0"/>
      <w:numFmt w:val="bullet"/>
      <w:lvlText w:val="•"/>
      <w:lvlJc w:val="left"/>
      <w:pPr>
        <w:ind w:left="7619" w:hanging="286"/>
      </w:pPr>
      <w:rPr>
        <w:rFonts w:hint="default"/>
      </w:rPr>
    </w:lvl>
    <w:lvl w:ilvl="7">
      <w:start w:val="0"/>
      <w:numFmt w:val="bullet"/>
      <w:lvlText w:val="•"/>
      <w:lvlJc w:val="left"/>
      <w:pPr>
        <w:ind w:left="8690" w:hanging="286"/>
      </w:pPr>
      <w:rPr>
        <w:rFonts w:hint="default"/>
      </w:rPr>
    </w:lvl>
    <w:lvl w:ilvl="8">
      <w:start w:val="0"/>
      <w:numFmt w:val="bullet"/>
      <w:lvlText w:val="•"/>
      <w:lvlJc w:val="left"/>
      <w:pPr>
        <w:ind w:left="9762" w:hanging="286"/>
      </w:pPr>
      <w:rPr>
        <w:rFonts w:hint="default"/>
      </w:rPr>
    </w:lvl>
  </w:abstractNum>
  <w:abstractNum w:abstractNumId="32">
    <w:multiLevelType w:val="hybridMultilevel"/>
    <w:lvl w:ilvl="0">
      <w:start w:val="0"/>
      <w:numFmt w:val="bullet"/>
      <w:lvlText w:val="-"/>
      <w:lvlJc w:val="left"/>
      <w:pPr>
        <w:ind w:left="1701" w:hanging="286"/>
      </w:pPr>
      <w:rPr>
        <w:rFonts w:hint="default" w:ascii="Arial" w:hAnsi="Arial" w:eastAsia="Arial" w:cs="Arial"/>
        <w:w w:val="99"/>
        <w:sz w:val="20"/>
        <w:szCs w:val="20"/>
      </w:rPr>
    </w:lvl>
    <w:lvl w:ilvl="1">
      <w:start w:val="0"/>
      <w:numFmt w:val="bullet"/>
      <w:lvlText w:val="-"/>
      <w:lvlJc w:val="left"/>
      <w:pPr>
        <w:ind w:left="1985" w:hanging="286"/>
      </w:pPr>
      <w:rPr>
        <w:rFonts w:hint="default" w:ascii="Arial" w:hAnsi="Arial" w:eastAsia="Arial" w:cs="Arial"/>
        <w:w w:val="99"/>
        <w:sz w:val="20"/>
        <w:szCs w:val="20"/>
      </w:rPr>
    </w:lvl>
    <w:lvl w:ilvl="2">
      <w:start w:val="0"/>
      <w:numFmt w:val="bullet"/>
      <w:lvlText w:val="•"/>
      <w:lvlJc w:val="left"/>
      <w:pPr>
        <w:ind w:left="2220" w:hanging="286"/>
      </w:pPr>
      <w:rPr>
        <w:rFonts w:hint="default"/>
      </w:rPr>
    </w:lvl>
    <w:lvl w:ilvl="3">
      <w:start w:val="0"/>
      <w:numFmt w:val="bullet"/>
      <w:lvlText w:val="•"/>
      <w:lvlJc w:val="left"/>
      <w:pPr>
        <w:ind w:left="3430" w:hanging="286"/>
      </w:pPr>
      <w:rPr>
        <w:rFonts w:hint="default"/>
      </w:rPr>
    </w:lvl>
    <w:lvl w:ilvl="4">
      <w:start w:val="0"/>
      <w:numFmt w:val="bullet"/>
      <w:lvlText w:val="•"/>
      <w:lvlJc w:val="left"/>
      <w:pPr>
        <w:ind w:left="4641" w:hanging="286"/>
      </w:pPr>
      <w:rPr>
        <w:rFonts w:hint="default"/>
      </w:rPr>
    </w:lvl>
    <w:lvl w:ilvl="5">
      <w:start w:val="0"/>
      <w:numFmt w:val="bullet"/>
      <w:lvlText w:val="•"/>
      <w:lvlJc w:val="left"/>
      <w:pPr>
        <w:ind w:left="5852" w:hanging="286"/>
      </w:pPr>
      <w:rPr>
        <w:rFonts w:hint="default"/>
      </w:rPr>
    </w:lvl>
    <w:lvl w:ilvl="6">
      <w:start w:val="0"/>
      <w:numFmt w:val="bullet"/>
      <w:lvlText w:val="•"/>
      <w:lvlJc w:val="left"/>
      <w:pPr>
        <w:ind w:left="7063" w:hanging="286"/>
      </w:pPr>
      <w:rPr>
        <w:rFonts w:hint="default"/>
      </w:rPr>
    </w:lvl>
    <w:lvl w:ilvl="7">
      <w:start w:val="0"/>
      <w:numFmt w:val="bullet"/>
      <w:lvlText w:val="•"/>
      <w:lvlJc w:val="left"/>
      <w:pPr>
        <w:ind w:left="8274" w:hanging="286"/>
      </w:pPr>
      <w:rPr>
        <w:rFonts w:hint="default"/>
      </w:rPr>
    </w:lvl>
    <w:lvl w:ilvl="8">
      <w:start w:val="0"/>
      <w:numFmt w:val="bullet"/>
      <w:lvlText w:val="•"/>
      <w:lvlJc w:val="left"/>
      <w:pPr>
        <w:ind w:left="9484" w:hanging="286"/>
      </w:pPr>
      <w:rPr>
        <w:rFonts w:hint="default"/>
      </w:rPr>
    </w:lvl>
  </w:abstractNum>
  <w:abstractNum w:abstractNumId="31">
    <w:multiLevelType w:val="hybridMultilevel"/>
    <w:lvl w:ilvl="0">
      <w:start w:val="7"/>
      <w:numFmt w:val="decimal"/>
      <w:lvlText w:val="%1"/>
      <w:lvlJc w:val="left"/>
      <w:pPr>
        <w:ind w:left="2266" w:hanging="1133"/>
        <w:jc w:val="left"/>
      </w:pPr>
      <w:rPr>
        <w:rFonts w:hint="default"/>
      </w:rPr>
    </w:lvl>
    <w:lvl w:ilvl="1">
      <w:start w:val="3"/>
      <w:numFmt w:val="decimal"/>
      <w:lvlText w:val="%1.%2"/>
      <w:lvlJc w:val="left"/>
      <w:pPr>
        <w:ind w:left="2266" w:hanging="1133"/>
        <w:jc w:val="left"/>
      </w:pPr>
      <w:rPr>
        <w:rFonts w:hint="default"/>
      </w:rPr>
    </w:lvl>
    <w:lvl w:ilvl="2">
      <w:start w:val="2"/>
      <w:numFmt w:val="decimal"/>
      <w:lvlText w:val="%1.%2.%3"/>
      <w:lvlJc w:val="left"/>
      <w:pPr>
        <w:ind w:left="2266" w:hanging="1133"/>
        <w:jc w:val="left"/>
      </w:pPr>
      <w:rPr>
        <w:rFonts w:hint="default" w:ascii="Arial" w:hAnsi="Arial" w:eastAsia="Arial" w:cs="Arial"/>
        <w:w w:val="100"/>
        <w:sz w:val="28"/>
        <w:szCs w:val="28"/>
      </w:rPr>
    </w:lvl>
    <w:lvl w:ilvl="3">
      <w:start w:val="1"/>
      <w:numFmt w:val="decimal"/>
      <w:lvlText w:val="%1.%2.%3.%4"/>
      <w:lvlJc w:val="left"/>
      <w:pPr>
        <w:ind w:left="2551" w:hanging="1419"/>
        <w:jc w:val="left"/>
      </w:pPr>
      <w:rPr>
        <w:rFonts w:hint="default" w:ascii="Arial" w:hAnsi="Arial" w:eastAsia="Arial" w:cs="Arial"/>
        <w:spacing w:val="-2"/>
        <w:w w:val="99"/>
        <w:sz w:val="24"/>
        <w:szCs w:val="24"/>
      </w:rPr>
    </w:lvl>
    <w:lvl w:ilvl="4">
      <w:start w:val="1"/>
      <w:numFmt w:val="decimal"/>
      <w:lvlText w:val="%5."/>
      <w:lvlJc w:val="left"/>
      <w:pPr>
        <w:ind w:left="1702" w:hanging="286"/>
        <w:jc w:val="left"/>
      </w:pPr>
      <w:rPr>
        <w:rFonts w:hint="default"/>
        <w:spacing w:val="-1"/>
        <w:w w:val="99"/>
      </w:rPr>
    </w:lvl>
    <w:lvl w:ilvl="5">
      <w:start w:val="1"/>
      <w:numFmt w:val="lowerLetter"/>
      <w:lvlText w:val="%6."/>
      <w:lvlJc w:val="left"/>
      <w:pPr>
        <w:ind w:left="1985" w:hanging="288"/>
        <w:jc w:val="left"/>
      </w:pPr>
      <w:rPr>
        <w:rFonts w:hint="default" w:ascii="Arial" w:hAnsi="Arial" w:eastAsia="Arial" w:cs="Arial"/>
        <w:spacing w:val="-1"/>
        <w:w w:val="99"/>
        <w:sz w:val="20"/>
        <w:szCs w:val="20"/>
      </w:rPr>
    </w:lvl>
    <w:lvl w:ilvl="6">
      <w:start w:val="0"/>
      <w:numFmt w:val="bullet"/>
      <w:lvlText w:val="•"/>
      <w:lvlJc w:val="left"/>
      <w:pPr>
        <w:ind w:left="6565" w:hanging="288"/>
      </w:pPr>
      <w:rPr>
        <w:rFonts w:hint="default"/>
      </w:rPr>
    </w:lvl>
    <w:lvl w:ilvl="7">
      <w:start w:val="0"/>
      <w:numFmt w:val="bullet"/>
      <w:lvlText w:val="•"/>
      <w:lvlJc w:val="left"/>
      <w:pPr>
        <w:ind w:left="7900" w:hanging="288"/>
      </w:pPr>
      <w:rPr>
        <w:rFonts w:hint="default"/>
      </w:rPr>
    </w:lvl>
    <w:lvl w:ilvl="8">
      <w:start w:val="0"/>
      <w:numFmt w:val="bullet"/>
      <w:lvlText w:val="•"/>
      <w:lvlJc w:val="left"/>
      <w:pPr>
        <w:ind w:left="9236" w:hanging="288"/>
      </w:pPr>
      <w:rPr>
        <w:rFonts w:hint="default"/>
      </w:rPr>
    </w:lvl>
  </w:abstractNum>
  <w:abstractNum w:abstractNumId="30">
    <w:multiLevelType w:val="hybridMultilevel"/>
    <w:lvl w:ilvl="0">
      <w:start w:val="0"/>
      <w:numFmt w:val="bullet"/>
      <w:lvlText w:val="-"/>
      <w:lvlJc w:val="left"/>
      <w:pPr>
        <w:ind w:left="1702" w:hanging="286"/>
      </w:pPr>
      <w:rPr>
        <w:rFonts w:hint="default" w:ascii="Arial" w:hAnsi="Arial" w:eastAsia="Arial" w:cs="Arial"/>
        <w:w w:val="99"/>
        <w:sz w:val="20"/>
        <w:szCs w:val="20"/>
      </w:rPr>
    </w:lvl>
    <w:lvl w:ilvl="1">
      <w:start w:val="0"/>
      <w:numFmt w:val="bullet"/>
      <w:lvlText w:val="-"/>
      <w:lvlJc w:val="left"/>
      <w:pPr>
        <w:ind w:left="1985" w:hanging="286"/>
      </w:pPr>
      <w:rPr>
        <w:rFonts w:hint="default" w:ascii="Arial" w:hAnsi="Arial" w:eastAsia="Arial" w:cs="Arial"/>
        <w:w w:val="99"/>
        <w:sz w:val="20"/>
        <w:szCs w:val="20"/>
      </w:rPr>
    </w:lvl>
    <w:lvl w:ilvl="2">
      <w:start w:val="0"/>
      <w:numFmt w:val="bullet"/>
      <w:lvlText w:val="-"/>
      <w:lvlJc w:val="left"/>
      <w:pPr>
        <w:ind w:left="2268" w:hanging="284"/>
      </w:pPr>
      <w:rPr>
        <w:rFonts w:hint="default" w:ascii="Arial" w:hAnsi="Arial" w:eastAsia="Arial" w:cs="Arial"/>
        <w:w w:val="99"/>
        <w:sz w:val="20"/>
        <w:szCs w:val="20"/>
      </w:rPr>
    </w:lvl>
    <w:lvl w:ilvl="3">
      <w:start w:val="0"/>
      <w:numFmt w:val="bullet"/>
      <w:lvlText w:val="•"/>
      <w:lvlJc w:val="left"/>
      <w:pPr>
        <w:ind w:left="3465" w:hanging="284"/>
      </w:pPr>
      <w:rPr>
        <w:rFonts w:hint="default"/>
      </w:rPr>
    </w:lvl>
    <w:lvl w:ilvl="4">
      <w:start w:val="0"/>
      <w:numFmt w:val="bullet"/>
      <w:lvlText w:val="•"/>
      <w:lvlJc w:val="left"/>
      <w:pPr>
        <w:ind w:left="4671" w:hanging="284"/>
      </w:pPr>
      <w:rPr>
        <w:rFonts w:hint="default"/>
      </w:rPr>
    </w:lvl>
    <w:lvl w:ilvl="5">
      <w:start w:val="0"/>
      <w:numFmt w:val="bullet"/>
      <w:lvlText w:val="•"/>
      <w:lvlJc w:val="left"/>
      <w:pPr>
        <w:ind w:left="5877" w:hanging="284"/>
      </w:pPr>
      <w:rPr>
        <w:rFonts w:hint="default"/>
      </w:rPr>
    </w:lvl>
    <w:lvl w:ilvl="6">
      <w:start w:val="0"/>
      <w:numFmt w:val="bullet"/>
      <w:lvlText w:val="•"/>
      <w:lvlJc w:val="left"/>
      <w:pPr>
        <w:ind w:left="7083" w:hanging="284"/>
      </w:pPr>
      <w:rPr>
        <w:rFonts w:hint="default"/>
      </w:rPr>
    </w:lvl>
    <w:lvl w:ilvl="7">
      <w:start w:val="0"/>
      <w:numFmt w:val="bullet"/>
      <w:lvlText w:val="•"/>
      <w:lvlJc w:val="left"/>
      <w:pPr>
        <w:ind w:left="8289" w:hanging="284"/>
      </w:pPr>
      <w:rPr>
        <w:rFonts w:hint="default"/>
      </w:rPr>
    </w:lvl>
    <w:lvl w:ilvl="8">
      <w:start w:val="0"/>
      <w:numFmt w:val="bullet"/>
      <w:lvlText w:val="•"/>
      <w:lvlJc w:val="left"/>
      <w:pPr>
        <w:ind w:left="9494" w:hanging="284"/>
      </w:pPr>
      <w:rPr>
        <w:rFonts w:hint="default"/>
      </w:rPr>
    </w:lvl>
  </w:abstractNum>
  <w:abstractNum w:abstractNumId="29">
    <w:multiLevelType w:val="hybridMultilevel"/>
    <w:lvl w:ilvl="0">
      <w:start w:val="7"/>
      <w:numFmt w:val="decimal"/>
      <w:lvlText w:val="%1"/>
      <w:lvlJc w:val="left"/>
      <w:pPr>
        <w:ind w:left="2266" w:hanging="1133"/>
        <w:jc w:val="left"/>
      </w:pPr>
      <w:rPr>
        <w:rFonts w:hint="default"/>
      </w:rPr>
    </w:lvl>
    <w:lvl w:ilvl="1">
      <w:start w:val="3"/>
      <w:numFmt w:val="decimal"/>
      <w:lvlText w:val="%1.%2"/>
      <w:lvlJc w:val="left"/>
      <w:pPr>
        <w:ind w:left="2266" w:hanging="1133"/>
        <w:jc w:val="left"/>
      </w:pPr>
      <w:rPr>
        <w:rFonts w:hint="default"/>
      </w:rPr>
    </w:lvl>
    <w:lvl w:ilvl="2">
      <w:start w:val="1"/>
      <w:numFmt w:val="decimal"/>
      <w:lvlText w:val="%1.%2.%3"/>
      <w:lvlJc w:val="left"/>
      <w:pPr>
        <w:ind w:left="2266" w:hanging="1133"/>
        <w:jc w:val="left"/>
      </w:pPr>
      <w:rPr>
        <w:rFonts w:hint="default" w:ascii="Arial" w:hAnsi="Arial" w:eastAsia="Arial" w:cs="Arial"/>
        <w:w w:val="100"/>
        <w:sz w:val="28"/>
        <w:szCs w:val="28"/>
      </w:rPr>
    </w:lvl>
    <w:lvl w:ilvl="3">
      <w:start w:val="1"/>
      <w:numFmt w:val="decimal"/>
      <w:lvlText w:val="%1.%2.%3.%4"/>
      <w:lvlJc w:val="left"/>
      <w:pPr>
        <w:ind w:left="2551" w:hanging="1419"/>
        <w:jc w:val="left"/>
      </w:pPr>
      <w:rPr>
        <w:rFonts w:hint="default" w:ascii="Arial" w:hAnsi="Arial" w:eastAsia="Arial" w:cs="Arial"/>
        <w:spacing w:val="-2"/>
        <w:w w:val="99"/>
        <w:sz w:val="24"/>
        <w:szCs w:val="24"/>
      </w:rPr>
    </w:lvl>
    <w:lvl w:ilvl="4">
      <w:start w:val="1"/>
      <w:numFmt w:val="decimal"/>
      <w:lvlText w:val="%5."/>
      <w:lvlJc w:val="left"/>
      <w:pPr>
        <w:ind w:left="1702" w:hanging="286"/>
        <w:jc w:val="left"/>
      </w:pPr>
      <w:rPr>
        <w:rFonts w:hint="default" w:ascii="Arial" w:hAnsi="Arial" w:eastAsia="Arial" w:cs="Arial"/>
        <w:spacing w:val="-1"/>
        <w:w w:val="99"/>
        <w:sz w:val="20"/>
        <w:szCs w:val="20"/>
      </w:rPr>
    </w:lvl>
    <w:lvl w:ilvl="5">
      <w:start w:val="0"/>
      <w:numFmt w:val="bullet"/>
      <w:lvlText w:val="-"/>
      <w:lvlJc w:val="left"/>
      <w:pPr>
        <w:ind w:left="1985" w:hanging="286"/>
      </w:pPr>
      <w:rPr>
        <w:rFonts w:hint="default" w:ascii="Arial" w:hAnsi="Arial" w:eastAsia="Arial" w:cs="Arial"/>
        <w:w w:val="99"/>
        <w:sz w:val="20"/>
        <w:szCs w:val="20"/>
      </w:rPr>
    </w:lvl>
    <w:lvl w:ilvl="6">
      <w:start w:val="0"/>
      <w:numFmt w:val="bullet"/>
      <w:lvlText w:val="-"/>
      <w:lvlJc w:val="left"/>
      <w:pPr>
        <w:ind w:left="2268" w:hanging="284"/>
      </w:pPr>
      <w:rPr>
        <w:rFonts w:hint="default" w:ascii="Arial" w:hAnsi="Arial" w:eastAsia="Arial" w:cs="Arial"/>
        <w:w w:val="99"/>
        <w:sz w:val="20"/>
        <w:szCs w:val="20"/>
      </w:rPr>
    </w:lvl>
    <w:lvl w:ilvl="7">
      <w:start w:val="0"/>
      <w:numFmt w:val="bullet"/>
      <w:lvlText w:val="•"/>
      <w:lvlJc w:val="left"/>
      <w:pPr>
        <w:ind w:left="7900" w:hanging="284"/>
      </w:pPr>
      <w:rPr>
        <w:rFonts w:hint="default"/>
      </w:rPr>
    </w:lvl>
    <w:lvl w:ilvl="8">
      <w:start w:val="0"/>
      <w:numFmt w:val="bullet"/>
      <w:lvlText w:val="•"/>
      <w:lvlJc w:val="left"/>
      <w:pPr>
        <w:ind w:left="9236" w:hanging="284"/>
      </w:pPr>
      <w:rPr>
        <w:rFonts w:hint="default"/>
      </w:rPr>
    </w:lvl>
  </w:abstractNum>
  <w:abstractNum w:abstractNumId="28">
    <w:multiLevelType w:val="hybridMultilevel"/>
    <w:lvl w:ilvl="0">
      <w:start w:val="7"/>
      <w:numFmt w:val="decimal"/>
      <w:lvlText w:val="%1"/>
      <w:lvlJc w:val="left"/>
      <w:pPr>
        <w:ind w:left="2266" w:hanging="1133"/>
        <w:jc w:val="left"/>
      </w:pPr>
      <w:rPr>
        <w:rFonts w:hint="default"/>
      </w:rPr>
    </w:lvl>
    <w:lvl w:ilvl="1">
      <w:start w:val="3"/>
      <w:numFmt w:val="decimal"/>
      <w:lvlText w:val="%1.%2"/>
      <w:lvlJc w:val="left"/>
      <w:pPr>
        <w:ind w:left="2266" w:hanging="1133"/>
        <w:jc w:val="left"/>
      </w:pPr>
      <w:rPr>
        <w:rFonts w:hint="default" w:ascii="Arial" w:hAnsi="Arial" w:eastAsia="Arial" w:cs="Arial"/>
        <w:w w:val="99"/>
        <w:sz w:val="32"/>
        <w:szCs w:val="32"/>
      </w:rPr>
    </w:lvl>
    <w:lvl w:ilvl="2">
      <w:start w:val="0"/>
      <w:numFmt w:val="bullet"/>
      <w:lvlText w:val="-"/>
      <w:lvlJc w:val="left"/>
      <w:pPr>
        <w:ind w:left="1701" w:hanging="286"/>
      </w:pPr>
      <w:rPr>
        <w:rFonts w:hint="default" w:ascii="Arial" w:hAnsi="Arial" w:eastAsia="Arial" w:cs="Arial"/>
        <w:w w:val="99"/>
        <w:sz w:val="20"/>
        <w:szCs w:val="20"/>
      </w:rPr>
    </w:lvl>
    <w:lvl w:ilvl="3">
      <w:start w:val="0"/>
      <w:numFmt w:val="bullet"/>
      <w:lvlText w:val="-"/>
      <w:lvlJc w:val="left"/>
      <w:pPr>
        <w:ind w:left="1985" w:hanging="286"/>
      </w:pPr>
      <w:rPr>
        <w:rFonts w:hint="default" w:ascii="Arial" w:hAnsi="Arial" w:eastAsia="Arial" w:cs="Arial"/>
        <w:w w:val="99"/>
        <w:sz w:val="20"/>
        <w:szCs w:val="20"/>
      </w:rPr>
    </w:lvl>
    <w:lvl w:ilvl="4">
      <w:start w:val="0"/>
      <w:numFmt w:val="bullet"/>
      <w:lvlText w:val="•"/>
      <w:lvlJc w:val="left"/>
      <w:pPr>
        <w:ind w:left="4671" w:hanging="286"/>
      </w:pPr>
      <w:rPr>
        <w:rFonts w:hint="default"/>
      </w:rPr>
    </w:lvl>
    <w:lvl w:ilvl="5">
      <w:start w:val="0"/>
      <w:numFmt w:val="bullet"/>
      <w:lvlText w:val="•"/>
      <w:lvlJc w:val="left"/>
      <w:pPr>
        <w:ind w:left="5877" w:hanging="286"/>
      </w:pPr>
      <w:rPr>
        <w:rFonts w:hint="default"/>
      </w:rPr>
    </w:lvl>
    <w:lvl w:ilvl="6">
      <w:start w:val="0"/>
      <w:numFmt w:val="bullet"/>
      <w:lvlText w:val="•"/>
      <w:lvlJc w:val="left"/>
      <w:pPr>
        <w:ind w:left="7083" w:hanging="286"/>
      </w:pPr>
      <w:rPr>
        <w:rFonts w:hint="default"/>
      </w:rPr>
    </w:lvl>
    <w:lvl w:ilvl="7">
      <w:start w:val="0"/>
      <w:numFmt w:val="bullet"/>
      <w:lvlText w:val="•"/>
      <w:lvlJc w:val="left"/>
      <w:pPr>
        <w:ind w:left="8289" w:hanging="286"/>
      </w:pPr>
      <w:rPr>
        <w:rFonts w:hint="default"/>
      </w:rPr>
    </w:lvl>
    <w:lvl w:ilvl="8">
      <w:start w:val="0"/>
      <w:numFmt w:val="bullet"/>
      <w:lvlText w:val="•"/>
      <w:lvlJc w:val="left"/>
      <w:pPr>
        <w:ind w:left="9494" w:hanging="286"/>
      </w:pPr>
      <w:rPr>
        <w:rFonts w:hint="default"/>
      </w:rPr>
    </w:lvl>
  </w:abstractNum>
  <w:abstractNum w:abstractNumId="27">
    <w:multiLevelType w:val="hybridMultilevel"/>
    <w:lvl w:ilvl="0">
      <w:start w:val="0"/>
      <w:numFmt w:val="bullet"/>
      <w:lvlText w:val="-"/>
      <w:lvlJc w:val="left"/>
      <w:pPr>
        <w:ind w:left="1701" w:hanging="286"/>
      </w:pPr>
      <w:rPr>
        <w:rFonts w:hint="default" w:ascii="Arial" w:hAnsi="Arial" w:eastAsia="Arial" w:cs="Arial"/>
        <w:w w:val="99"/>
        <w:sz w:val="20"/>
        <w:szCs w:val="20"/>
      </w:rPr>
    </w:lvl>
    <w:lvl w:ilvl="1">
      <w:start w:val="0"/>
      <w:numFmt w:val="bullet"/>
      <w:lvlText w:val="•"/>
      <w:lvlJc w:val="left"/>
      <w:pPr>
        <w:ind w:left="2720" w:hanging="286"/>
      </w:pPr>
      <w:rPr>
        <w:rFonts w:hint="default"/>
      </w:rPr>
    </w:lvl>
    <w:lvl w:ilvl="2">
      <w:start w:val="0"/>
      <w:numFmt w:val="bullet"/>
      <w:lvlText w:val="•"/>
      <w:lvlJc w:val="left"/>
      <w:pPr>
        <w:ind w:left="3741" w:hanging="286"/>
      </w:pPr>
      <w:rPr>
        <w:rFonts w:hint="default"/>
      </w:rPr>
    </w:lvl>
    <w:lvl w:ilvl="3">
      <w:start w:val="0"/>
      <w:numFmt w:val="bullet"/>
      <w:lvlText w:val="•"/>
      <w:lvlJc w:val="left"/>
      <w:pPr>
        <w:ind w:left="4761" w:hanging="286"/>
      </w:pPr>
      <w:rPr>
        <w:rFonts w:hint="default"/>
      </w:rPr>
    </w:lvl>
    <w:lvl w:ilvl="4">
      <w:start w:val="0"/>
      <w:numFmt w:val="bullet"/>
      <w:lvlText w:val="•"/>
      <w:lvlJc w:val="left"/>
      <w:pPr>
        <w:ind w:left="5782" w:hanging="286"/>
      </w:pPr>
      <w:rPr>
        <w:rFonts w:hint="default"/>
      </w:rPr>
    </w:lvl>
    <w:lvl w:ilvl="5">
      <w:start w:val="0"/>
      <w:numFmt w:val="bullet"/>
      <w:lvlText w:val="•"/>
      <w:lvlJc w:val="left"/>
      <w:pPr>
        <w:ind w:left="6803" w:hanging="286"/>
      </w:pPr>
      <w:rPr>
        <w:rFonts w:hint="default"/>
      </w:rPr>
    </w:lvl>
    <w:lvl w:ilvl="6">
      <w:start w:val="0"/>
      <w:numFmt w:val="bullet"/>
      <w:lvlText w:val="•"/>
      <w:lvlJc w:val="left"/>
      <w:pPr>
        <w:ind w:left="7823" w:hanging="286"/>
      </w:pPr>
      <w:rPr>
        <w:rFonts w:hint="default"/>
      </w:rPr>
    </w:lvl>
    <w:lvl w:ilvl="7">
      <w:start w:val="0"/>
      <w:numFmt w:val="bullet"/>
      <w:lvlText w:val="•"/>
      <w:lvlJc w:val="left"/>
      <w:pPr>
        <w:ind w:left="8844" w:hanging="286"/>
      </w:pPr>
      <w:rPr>
        <w:rFonts w:hint="default"/>
      </w:rPr>
    </w:lvl>
    <w:lvl w:ilvl="8">
      <w:start w:val="0"/>
      <w:numFmt w:val="bullet"/>
      <w:lvlText w:val="•"/>
      <w:lvlJc w:val="left"/>
      <w:pPr>
        <w:ind w:left="9865" w:hanging="286"/>
      </w:pPr>
      <w:rPr>
        <w:rFonts w:hint="default"/>
      </w:rPr>
    </w:lvl>
  </w:abstractNum>
  <w:abstractNum w:abstractNumId="26">
    <w:multiLevelType w:val="hybridMultilevel"/>
    <w:lvl w:ilvl="0">
      <w:start w:val="0"/>
      <w:numFmt w:val="bullet"/>
      <w:lvlText w:val="-"/>
      <w:lvlJc w:val="left"/>
      <w:pPr>
        <w:ind w:left="1701" w:hanging="286"/>
      </w:pPr>
      <w:rPr>
        <w:rFonts w:hint="default" w:ascii="Arial" w:hAnsi="Arial" w:eastAsia="Arial" w:cs="Arial"/>
        <w:w w:val="99"/>
        <w:sz w:val="20"/>
        <w:szCs w:val="20"/>
      </w:rPr>
    </w:lvl>
    <w:lvl w:ilvl="1">
      <w:start w:val="0"/>
      <w:numFmt w:val="bullet"/>
      <w:lvlText w:val="-"/>
      <w:lvlJc w:val="left"/>
      <w:pPr>
        <w:ind w:left="1985" w:hanging="286"/>
      </w:pPr>
      <w:rPr>
        <w:rFonts w:hint="default" w:ascii="Arial" w:hAnsi="Arial" w:eastAsia="Arial" w:cs="Arial"/>
        <w:w w:val="99"/>
        <w:sz w:val="20"/>
        <w:szCs w:val="20"/>
      </w:rPr>
    </w:lvl>
    <w:lvl w:ilvl="2">
      <w:start w:val="0"/>
      <w:numFmt w:val="bullet"/>
      <w:lvlText w:val="•"/>
      <w:lvlJc w:val="left"/>
      <w:pPr>
        <w:ind w:left="3082" w:hanging="286"/>
      </w:pPr>
      <w:rPr>
        <w:rFonts w:hint="default"/>
      </w:rPr>
    </w:lvl>
    <w:lvl w:ilvl="3">
      <w:start w:val="0"/>
      <w:numFmt w:val="bullet"/>
      <w:lvlText w:val="•"/>
      <w:lvlJc w:val="left"/>
      <w:pPr>
        <w:ind w:left="4185" w:hanging="286"/>
      </w:pPr>
      <w:rPr>
        <w:rFonts w:hint="default"/>
      </w:rPr>
    </w:lvl>
    <w:lvl w:ilvl="4">
      <w:start w:val="0"/>
      <w:numFmt w:val="bullet"/>
      <w:lvlText w:val="•"/>
      <w:lvlJc w:val="left"/>
      <w:pPr>
        <w:ind w:left="5288" w:hanging="286"/>
      </w:pPr>
      <w:rPr>
        <w:rFonts w:hint="default"/>
      </w:rPr>
    </w:lvl>
    <w:lvl w:ilvl="5">
      <w:start w:val="0"/>
      <w:numFmt w:val="bullet"/>
      <w:lvlText w:val="•"/>
      <w:lvlJc w:val="left"/>
      <w:pPr>
        <w:ind w:left="6391" w:hanging="286"/>
      </w:pPr>
      <w:rPr>
        <w:rFonts w:hint="default"/>
      </w:rPr>
    </w:lvl>
    <w:lvl w:ilvl="6">
      <w:start w:val="0"/>
      <w:numFmt w:val="bullet"/>
      <w:lvlText w:val="•"/>
      <w:lvlJc w:val="left"/>
      <w:pPr>
        <w:ind w:left="7494" w:hanging="286"/>
      </w:pPr>
      <w:rPr>
        <w:rFonts w:hint="default"/>
      </w:rPr>
    </w:lvl>
    <w:lvl w:ilvl="7">
      <w:start w:val="0"/>
      <w:numFmt w:val="bullet"/>
      <w:lvlText w:val="•"/>
      <w:lvlJc w:val="left"/>
      <w:pPr>
        <w:ind w:left="8597" w:hanging="286"/>
      </w:pPr>
      <w:rPr>
        <w:rFonts w:hint="default"/>
      </w:rPr>
    </w:lvl>
    <w:lvl w:ilvl="8">
      <w:start w:val="0"/>
      <w:numFmt w:val="bullet"/>
      <w:lvlText w:val="•"/>
      <w:lvlJc w:val="left"/>
      <w:pPr>
        <w:ind w:left="9700" w:hanging="286"/>
      </w:pPr>
      <w:rPr>
        <w:rFonts w:hint="default"/>
      </w:rPr>
    </w:lvl>
  </w:abstractNum>
  <w:abstractNum w:abstractNumId="25">
    <w:multiLevelType w:val="hybridMultilevel"/>
    <w:lvl w:ilvl="0">
      <w:start w:val="7"/>
      <w:numFmt w:val="decimal"/>
      <w:lvlText w:val="%1"/>
      <w:lvlJc w:val="left"/>
      <w:pPr>
        <w:ind w:left="2266" w:hanging="1133"/>
        <w:jc w:val="left"/>
      </w:pPr>
      <w:rPr>
        <w:rFonts w:hint="default"/>
      </w:rPr>
    </w:lvl>
    <w:lvl w:ilvl="1">
      <w:start w:val="2"/>
      <w:numFmt w:val="decimal"/>
      <w:lvlText w:val="%1.%2"/>
      <w:lvlJc w:val="left"/>
      <w:pPr>
        <w:ind w:left="2266" w:hanging="1133"/>
        <w:jc w:val="left"/>
      </w:pPr>
      <w:rPr>
        <w:rFonts w:hint="default"/>
      </w:rPr>
    </w:lvl>
    <w:lvl w:ilvl="2">
      <w:start w:val="3"/>
      <w:numFmt w:val="decimal"/>
      <w:lvlText w:val="%1.%2.%3"/>
      <w:lvlJc w:val="left"/>
      <w:pPr>
        <w:ind w:left="2266" w:hanging="1133"/>
        <w:jc w:val="left"/>
      </w:pPr>
      <w:rPr>
        <w:rFonts w:hint="default" w:ascii="Arial" w:hAnsi="Arial" w:eastAsia="Arial" w:cs="Arial"/>
        <w:w w:val="100"/>
        <w:sz w:val="28"/>
        <w:szCs w:val="28"/>
      </w:rPr>
    </w:lvl>
    <w:lvl w:ilvl="3">
      <w:start w:val="1"/>
      <w:numFmt w:val="decimal"/>
      <w:lvlText w:val="%1.%2.%3.%4"/>
      <w:lvlJc w:val="left"/>
      <w:pPr>
        <w:ind w:left="2551" w:hanging="1419"/>
        <w:jc w:val="left"/>
      </w:pPr>
      <w:rPr>
        <w:rFonts w:hint="default" w:ascii="Arial" w:hAnsi="Arial" w:eastAsia="Arial" w:cs="Arial"/>
        <w:spacing w:val="-2"/>
        <w:w w:val="99"/>
        <w:sz w:val="24"/>
        <w:szCs w:val="24"/>
      </w:rPr>
    </w:lvl>
    <w:lvl w:ilvl="4">
      <w:start w:val="1"/>
      <w:numFmt w:val="decimal"/>
      <w:lvlText w:val="%5."/>
      <w:lvlJc w:val="left"/>
      <w:pPr>
        <w:ind w:left="1702" w:hanging="286"/>
        <w:jc w:val="right"/>
      </w:pPr>
      <w:rPr>
        <w:rFonts w:hint="default" w:ascii="Arial" w:hAnsi="Arial" w:eastAsia="Arial" w:cs="Arial"/>
        <w:spacing w:val="-1"/>
        <w:w w:val="99"/>
        <w:sz w:val="20"/>
        <w:szCs w:val="20"/>
      </w:rPr>
    </w:lvl>
    <w:lvl w:ilvl="5">
      <w:start w:val="1"/>
      <w:numFmt w:val="lowerLetter"/>
      <w:lvlText w:val="%6."/>
      <w:lvlJc w:val="left"/>
      <w:pPr>
        <w:ind w:left="1985" w:hanging="286"/>
        <w:jc w:val="left"/>
      </w:pPr>
      <w:rPr>
        <w:rFonts w:hint="default" w:ascii="Arial" w:hAnsi="Arial" w:eastAsia="Arial" w:cs="Arial"/>
        <w:spacing w:val="-1"/>
        <w:w w:val="99"/>
        <w:sz w:val="20"/>
        <w:szCs w:val="20"/>
      </w:rPr>
    </w:lvl>
    <w:lvl w:ilvl="6">
      <w:start w:val="0"/>
      <w:numFmt w:val="bullet"/>
      <w:lvlText w:val="•"/>
      <w:lvlJc w:val="left"/>
      <w:pPr>
        <w:ind w:left="6565" w:hanging="286"/>
      </w:pPr>
      <w:rPr>
        <w:rFonts w:hint="default"/>
      </w:rPr>
    </w:lvl>
    <w:lvl w:ilvl="7">
      <w:start w:val="0"/>
      <w:numFmt w:val="bullet"/>
      <w:lvlText w:val="•"/>
      <w:lvlJc w:val="left"/>
      <w:pPr>
        <w:ind w:left="7900" w:hanging="286"/>
      </w:pPr>
      <w:rPr>
        <w:rFonts w:hint="default"/>
      </w:rPr>
    </w:lvl>
    <w:lvl w:ilvl="8">
      <w:start w:val="0"/>
      <w:numFmt w:val="bullet"/>
      <w:lvlText w:val="•"/>
      <w:lvlJc w:val="left"/>
      <w:pPr>
        <w:ind w:left="9236" w:hanging="286"/>
      </w:pPr>
      <w:rPr>
        <w:rFonts w:hint="default"/>
      </w:rPr>
    </w:lvl>
  </w:abstractNum>
  <w:abstractNum w:abstractNumId="24">
    <w:multiLevelType w:val="hybridMultilevel"/>
    <w:lvl w:ilvl="0">
      <w:start w:val="0"/>
      <w:numFmt w:val="bullet"/>
      <w:lvlText w:val="-"/>
      <w:lvlJc w:val="left"/>
      <w:pPr>
        <w:ind w:left="1985" w:hanging="286"/>
      </w:pPr>
      <w:rPr>
        <w:rFonts w:hint="default" w:ascii="Arial" w:hAnsi="Arial" w:eastAsia="Arial" w:cs="Arial"/>
        <w:w w:val="99"/>
        <w:sz w:val="20"/>
        <w:szCs w:val="20"/>
      </w:rPr>
    </w:lvl>
    <w:lvl w:ilvl="1">
      <w:start w:val="0"/>
      <w:numFmt w:val="bullet"/>
      <w:lvlText w:val="•"/>
      <w:lvlJc w:val="left"/>
      <w:pPr>
        <w:ind w:left="2972" w:hanging="286"/>
      </w:pPr>
      <w:rPr>
        <w:rFonts w:hint="default"/>
      </w:rPr>
    </w:lvl>
    <w:lvl w:ilvl="2">
      <w:start w:val="0"/>
      <w:numFmt w:val="bullet"/>
      <w:lvlText w:val="•"/>
      <w:lvlJc w:val="left"/>
      <w:pPr>
        <w:ind w:left="3965" w:hanging="286"/>
      </w:pPr>
      <w:rPr>
        <w:rFonts w:hint="default"/>
      </w:rPr>
    </w:lvl>
    <w:lvl w:ilvl="3">
      <w:start w:val="0"/>
      <w:numFmt w:val="bullet"/>
      <w:lvlText w:val="•"/>
      <w:lvlJc w:val="left"/>
      <w:pPr>
        <w:ind w:left="4957" w:hanging="286"/>
      </w:pPr>
      <w:rPr>
        <w:rFonts w:hint="default"/>
      </w:rPr>
    </w:lvl>
    <w:lvl w:ilvl="4">
      <w:start w:val="0"/>
      <w:numFmt w:val="bullet"/>
      <w:lvlText w:val="•"/>
      <w:lvlJc w:val="left"/>
      <w:pPr>
        <w:ind w:left="5950" w:hanging="286"/>
      </w:pPr>
      <w:rPr>
        <w:rFonts w:hint="default"/>
      </w:rPr>
    </w:lvl>
    <w:lvl w:ilvl="5">
      <w:start w:val="0"/>
      <w:numFmt w:val="bullet"/>
      <w:lvlText w:val="•"/>
      <w:lvlJc w:val="left"/>
      <w:pPr>
        <w:ind w:left="6943" w:hanging="286"/>
      </w:pPr>
      <w:rPr>
        <w:rFonts w:hint="default"/>
      </w:rPr>
    </w:lvl>
    <w:lvl w:ilvl="6">
      <w:start w:val="0"/>
      <w:numFmt w:val="bullet"/>
      <w:lvlText w:val="•"/>
      <w:lvlJc w:val="left"/>
      <w:pPr>
        <w:ind w:left="7935" w:hanging="286"/>
      </w:pPr>
      <w:rPr>
        <w:rFonts w:hint="default"/>
      </w:rPr>
    </w:lvl>
    <w:lvl w:ilvl="7">
      <w:start w:val="0"/>
      <w:numFmt w:val="bullet"/>
      <w:lvlText w:val="•"/>
      <w:lvlJc w:val="left"/>
      <w:pPr>
        <w:ind w:left="8928" w:hanging="286"/>
      </w:pPr>
      <w:rPr>
        <w:rFonts w:hint="default"/>
      </w:rPr>
    </w:lvl>
    <w:lvl w:ilvl="8">
      <w:start w:val="0"/>
      <w:numFmt w:val="bullet"/>
      <w:lvlText w:val="•"/>
      <w:lvlJc w:val="left"/>
      <w:pPr>
        <w:ind w:left="9921" w:hanging="286"/>
      </w:pPr>
      <w:rPr>
        <w:rFonts w:hint="default"/>
      </w:rPr>
    </w:lvl>
  </w:abstractNum>
  <w:abstractNum w:abstractNumId="23">
    <w:multiLevelType w:val="hybridMultilevel"/>
    <w:lvl w:ilvl="0">
      <w:start w:val="1"/>
      <w:numFmt w:val="decimal"/>
      <w:lvlText w:val="%1."/>
      <w:lvlJc w:val="left"/>
      <w:pPr>
        <w:ind w:left="1702" w:hanging="286"/>
        <w:jc w:val="left"/>
      </w:pPr>
      <w:rPr>
        <w:rFonts w:hint="default" w:ascii="Arial" w:hAnsi="Arial" w:eastAsia="Arial" w:cs="Arial"/>
        <w:spacing w:val="-1"/>
        <w:w w:val="99"/>
        <w:sz w:val="20"/>
        <w:szCs w:val="20"/>
      </w:rPr>
    </w:lvl>
    <w:lvl w:ilvl="1">
      <w:start w:val="1"/>
      <w:numFmt w:val="lowerLetter"/>
      <w:lvlText w:val="%2."/>
      <w:lvlJc w:val="left"/>
      <w:pPr>
        <w:ind w:left="1985" w:hanging="286"/>
        <w:jc w:val="left"/>
      </w:pPr>
      <w:rPr>
        <w:rFonts w:hint="default" w:ascii="Arial" w:hAnsi="Arial" w:eastAsia="Arial" w:cs="Arial"/>
        <w:spacing w:val="-1"/>
        <w:w w:val="99"/>
        <w:sz w:val="20"/>
        <w:szCs w:val="20"/>
      </w:rPr>
    </w:lvl>
    <w:lvl w:ilvl="2">
      <w:start w:val="0"/>
      <w:numFmt w:val="bullet"/>
      <w:lvlText w:val="•"/>
      <w:lvlJc w:val="left"/>
      <w:pPr>
        <w:ind w:left="3082" w:hanging="286"/>
      </w:pPr>
      <w:rPr>
        <w:rFonts w:hint="default"/>
      </w:rPr>
    </w:lvl>
    <w:lvl w:ilvl="3">
      <w:start w:val="0"/>
      <w:numFmt w:val="bullet"/>
      <w:lvlText w:val="•"/>
      <w:lvlJc w:val="left"/>
      <w:pPr>
        <w:ind w:left="4185" w:hanging="286"/>
      </w:pPr>
      <w:rPr>
        <w:rFonts w:hint="default"/>
      </w:rPr>
    </w:lvl>
    <w:lvl w:ilvl="4">
      <w:start w:val="0"/>
      <w:numFmt w:val="bullet"/>
      <w:lvlText w:val="•"/>
      <w:lvlJc w:val="left"/>
      <w:pPr>
        <w:ind w:left="5288" w:hanging="286"/>
      </w:pPr>
      <w:rPr>
        <w:rFonts w:hint="default"/>
      </w:rPr>
    </w:lvl>
    <w:lvl w:ilvl="5">
      <w:start w:val="0"/>
      <w:numFmt w:val="bullet"/>
      <w:lvlText w:val="•"/>
      <w:lvlJc w:val="left"/>
      <w:pPr>
        <w:ind w:left="6391" w:hanging="286"/>
      </w:pPr>
      <w:rPr>
        <w:rFonts w:hint="default"/>
      </w:rPr>
    </w:lvl>
    <w:lvl w:ilvl="6">
      <w:start w:val="0"/>
      <w:numFmt w:val="bullet"/>
      <w:lvlText w:val="•"/>
      <w:lvlJc w:val="left"/>
      <w:pPr>
        <w:ind w:left="7494" w:hanging="286"/>
      </w:pPr>
      <w:rPr>
        <w:rFonts w:hint="default"/>
      </w:rPr>
    </w:lvl>
    <w:lvl w:ilvl="7">
      <w:start w:val="0"/>
      <w:numFmt w:val="bullet"/>
      <w:lvlText w:val="•"/>
      <w:lvlJc w:val="left"/>
      <w:pPr>
        <w:ind w:left="8597" w:hanging="286"/>
      </w:pPr>
      <w:rPr>
        <w:rFonts w:hint="default"/>
      </w:rPr>
    </w:lvl>
    <w:lvl w:ilvl="8">
      <w:start w:val="0"/>
      <w:numFmt w:val="bullet"/>
      <w:lvlText w:val="•"/>
      <w:lvlJc w:val="left"/>
      <w:pPr>
        <w:ind w:left="9700" w:hanging="286"/>
      </w:pPr>
      <w:rPr>
        <w:rFonts w:hint="default"/>
      </w:rPr>
    </w:lvl>
  </w:abstractNum>
  <w:abstractNum w:abstractNumId="22">
    <w:multiLevelType w:val="hybridMultilevel"/>
    <w:lvl w:ilvl="0">
      <w:start w:val="7"/>
      <w:numFmt w:val="decimal"/>
      <w:lvlText w:val="%1"/>
      <w:lvlJc w:val="left"/>
      <w:pPr>
        <w:ind w:left="2266" w:hanging="1133"/>
        <w:jc w:val="left"/>
      </w:pPr>
      <w:rPr>
        <w:rFonts w:hint="default"/>
      </w:rPr>
    </w:lvl>
    <w:lvl w:ilvl="1">
      <w:start w:val="2"/>
      <w:numFmt w:val="decimal"/>
      <w:lvlText w:val="%1.%2"/>
      <w:lvlJc w:val="left"/>
      <w:pPr>
        <w:ind w:left="2266" w:hanging="1133"/>
        <w:jc w:val="left"/>
      </w:pPr>
      <w:rPr>
        <w:rFonts w:hint="default"/>
      </w:rPr>
    </w:lvl>
    <w:lvl w:ilvl="2">
      <w:start w:val="2"/>
      <w:numFmt w:val="decimal"/>
      <w:lvlText w:val="%1.%2.%3"/>
      <w:lvlJc w:val="left"/>
      <w:pPr>
        <w:ind w:left="2266" w:hanging="1133"/>
        <w:jc w:val="left"/>
      </w:pPr>
      <w:rPr>
        <w:rFonts w:hint="default" w:ascii="Arial" w:hAnsi="Arial" w:eastAsia="Arial" w:cs="Arial"/>
        <w:w w:val="100"/>
        <w:sz w:val="28"/>
        <w:szCs w:val="28"/>
      </w:rPr>
    </w:lvl>
    <w:lvl w:ilvl="3">
      <w:start w:val="1"/>
      <w:numFmt w:val="decimal"/>
      <w:lvlText w:val="%1.%2.%3.%4"/>
      <w:lvlJc w:val="left"/>
      <w:pPr>
        <w:ind w:left="2551" w:hanging="1419"/>
        <w:jc w:val="left"/>
      </w:pPr>
      <w:rPr>
        <w:rFonts w:hint="default" w:ascii="Arial" w:hAnsi="Arial" w:eastAsia="Arial" w:cs="Arial"/>
        <w:spacing w:val="-2"/>
        <w:w w:val="99"/>
        <w:sz w:val="24"/>
        <w:szCs w:val="24"/>
      </w:rPr>
    </w:lvl>
    <w:lvl w:ilvl="4">
      <w:start w:val="0"/>
      <w:numFmt w:val="bullet"/>
      <w:lvlText w:val="-"/>
      <w:lvlJc w:val="left"/>
      <w:pPr>
        <w:ind w:left="1701" w:hanging="286"/>
      </w:pPr>
      <w:rPr>
        <w:rFonts w:hint="default" w:ascii="Arial" w:hAnsi="Arial" w:eastAsia="Arial" w:cs="Arial"/>
        <w:w w:val="99"/>
        <w:sz w:val="20"/>
        <w:szCs w:val="20"/>
      </w:rPr>
    </w:lvl>
    <w:lvl w:ilvl="5">
      <w:start w:val="0"/>
      <w:numFmt w:val="bullet"/>
      <w:lvlText w:val="-"/>
      <w:lvlJc w:val="left"/>
      <w:pPr>
        <w:ind w:left="1985" w:hanging="286"/>
      </w:pPr>
      <w:rPr>
        <w:rFonts w:hint="default" w:ascii="Arial" w:hAnsi="Arial" w:eastAsia="Arial" w:cs="Arial"/>
        <w:w w:val="99"/>
        <w:sz w:val="20"/>
        <w:szCs w:val="20"/>
      </w:rPr>
    </w:lvl>
    <w:lvl w:ilvl="6">
      <w:start w:val="0"/>
      <w:numFmt w:val="bullet"/>
      <w:lvlText w:val="•"/>
      <w:lvlJc w:val="left"/>
      <w:pPr>
        <w:ind w:left="6565" w:hanging="286"/>
      </w:pPr>
      <w:rPr>
        <w:rFonts w:hint="default"/>
      </w:rPr>
    </w:lvl>
    <w:lvl w:ilvl="7">
      <w:start w:val="0"/>
      <w:numFmt w:val="bullet"/>
      <w:lvlText w:val="•"/>
      <w:lvlJc w:val="left"/>
      <w:pPr>
        <w:ind w:left="7900" w:hanging="286"/>
      </w:pPr>
      <w:rPr>
        <w:rFonts w:hint="default"/>
      </w:rPr>
    </w:lvl>
    <w:lvl w:ilvl="8">
      <w:start w:val="0"/>
      <w:numFmt w:val="bullet"/>
      <w:lvlText w:val="•"/>
      <w:lvlJc w:val="left"/>
      <w:pPr>
        <w:ind w:left="9236" w:hanging="286"/>
      </w:pPr>
      <w:rPr>
        <w:rFonts w:hint="default"/>
      </w:rPr>
    </w:lvl>
  </w:abstractNum>
  <w:abstractNum w:abstractNumId="21">
    <w:multiLevelType w:val="hybridMultilevel"/>
    <w:lvl w:ilvl="0">
      <w:start w:val="1"/>
      <w:numFmt w:val="decimal"/>
      <w:lvlText w:val="%1."/>
      <w:lvlJc w:val="left"/>
      <w:pPr>
        <w:ind w:left="1702" w:hanging="286"/>
        <w:jc w:val="left"/>
      </w:pPr>
      <w:rPr>
        <w:rFonts w:hint="default" w:ascii="Arial" w:hAnsi="Arial" w:eastAsia="Arial" w:cs="Arial"/>
        <w:spacing w:val="-1"/>
        <w:w w:val="99"/>
        <w:sz w:val="20"/>
        <w:szCs w:val="20"/>
      </w:rPr>
    </w:lvl>
    <w:lvl w:ilvl="1">
      <w:start w:val="0"/>
      <w:numFmt w:val="bullet"/>
      <w:lvlText w:val="-"/>
      <w:lvlJc w:val="left"/>
      <w:pPr>
        <w:ind w:left="2268" w:hanging="284"/>
      </w:pPr>
      <w:rPr>
        <w:rFonts w:hint="default" w:ascii="Arial" w:hAnsi="Arial" w:eastAsia="Arial" w:cs="Arial"/>
        <w:w w:val="99"/>
        <w:sz w:val="20"/>
        <w:szCs w:val="20"/>
      </w:rPr>
    </w:lvl>
    <w:lvl w:ilvl="2">
      <w:start w:val="0"/>
      <w:numFmt w:val="bullet"/>
      <w:lvlText w:val="•"/>
      <w:lvlJc w:val="left"/>
      <w:pPr>
        <w:ind w:left="3331" w:hanging="284"/>
      </w:pPr>
      <w:rPr>
        <w:rFonts w:hint="default"/>
      </w:rPr>
    </w:lvl>
    <w:lvl w:ilvl="3">
      <w:start w:val="0"/>
      <w:numFmt w:val="bullet"/>
      <w:lvlText w:val="•"/>
      <w:lvlJc w:val="left"/>
      <w:pPr>
        <w:ind w:left="4403" w:hanging="284"/>
      </w:pPr>
      <w:rPr>
        <w:rFonts w:hint="default"/>
      </w:rPr>
    </w:lvl>
    <w:lvl w:ilvl="4">
      <w:start w:val="0"/>
      <w:numFmt w:val="bullet"/>
      <w:lvlText w:val="•"/>
      <w:lvlJc w:val="left"/>
      <w:pPr>
        <w:ind w:left="5475" w:hanging="284"/>
      </w:pPr>
      <w:rPr>
        <w:rFonts w:hint="default"/>
      </w:rPr>
    </w:lvl>
    <w:lvl w:ilvl="5">
      <w:start w:val="0"/>
      <w:numFmt w:val="bullet"/>
      <w:lvlText w:val="•"/>
      <w:lvlJc w:val="left"/>
      <w:pPr>
        <w:ind w:left="6547" w:hanging="284"/>
      </w:pPr>
      <w:rPr>
        <w:rFonts w:hint="default"/>
      </w:rPr>
    </w:lvl>
    <w:lvl w:ilvl="6">
      <w:start w:val="0"/>
      <w:numFmt w:val="bullet"/>
      <w:lvlText w:val="•"/>
      <w:lvlJc w:val="left"/>
      <w:pPr>
        <w:ind w:left="7619" w:hanging="284"/>
      </w:pPr>
      <w:rPr>
        <w:rFonts w:hint="default"/>
      </w:rPr>
    </w:lvl>
    <w:lvl w:ilvl="7">
      <w:start w:val="0"/>
      <w:numFmt w:val="bullet"/>
      <w:lvlText w:val="•"/>
      <w:lvlJc w:val="left"/>
      <w:pPr>
        <w:ind w:left="8690" w:hanging="284"/>
      </w:pPr>
      <w:rPr>
        <w:rFonts w:hint="default"/>
      </w:rPr>
    </w:lvl>
    <w:lvl w:ilvl="8">
      <w:start w:val="0"/>
      <w:numFmt w:val="bullet"/>
      <w:lvlText w:val="•"/>
      <w:lvlJc w:val="left"/>
      <w:pPr>
        <w:ind w:left="9762" w:hanging="284"/>
      </w:pPr>
      <w:rPr>
        <w:rFonts w:hint="default"/>
      </w:rPr>
    </w:lvl>
  </w:abstractNum>
  <w:abstractNum w:abstractNumId="20">
    <w:multiLevelType w:val="hybridMultilevel"/>
    <w:lvl w:ilvl="0">
      <w:start w:val="7"/>
      <w:numFmt w:val="decimal"/>
      <w:lvlText w:val="%1"/>
      <w:lvlJc w:val="left"/>
      <w:pPr>
        <w:ind w:left="2551" w:hanging="1419"/>
        <w:jc w:val="left"/>
      </w:pPr>
      <w:rPr>
        <w:rFonts w:hint="default"/>
      </w:rPr>
    </w:lvl>
    <w:lvl w:ilvl="1">
      <w:start w:val="2"/>
      <w:numFmt w:val="decimal"/>
      <w:lvlText w:val="%1.%2"/>
      <w:lvlJc w:val="left"/>
      <w:pPr>
        <w:ind w:left="2551" w:hanging="1419"/>
        <w:jc w:val="left"/>
      </w:pPr>
      <w:rPr>
        <w:rFonts w:hint="default"/>
      </w:rPr>
    </w:lvl>
    <w:lvl w:ilvl="2">
      <w:start w:val="1"/>
      <w:numFmt w:val="decimal"/>
      <w:lvlText w:val="%1.%2.%3"/>
      <w:lvlJc w:val="left"/>
      <w:pPr>
        <w:ind w:left="2551" w:hanging="1419"/>
        <w:jc w:val="left"/>
      </w:pPr>
      <w:rPr>
        <w:rFonts w:hint="default"/>
      </w:rPr>
    </w:lvl>
    <w:lvl w:ilvl="3">
      <w:start w:val="1"/>
      <w:numFmt w:val="decimal"/>
      <w:lvlText w:val="%1.%2.%3.%4"/>
      <w:lvlJc w:val="left"/>
      <w:pPr>
        <w:ind w:left="2551" w:hanging="1419"/>
        <w:jc w:val="left"/>
      </w:pPr>
      <w:rPr>
        <w:rFonts w:hint="default" w:ascii="Arial" w:hAnsi="Arial" w:eastAsia="Arial" w:cs="Arial"/>
        <w:spacing w:val="-2"/>
        <w:w w:val="99"/>
        <w:sz w:val="24"/>
        <w:szCs w:val="24"/>
      </w:rPr>
    </w:lvl>
    <w:lvl w:ilvl="4">
      <w:start w:val="0"/>
      <w:numFmt w:val="bullet"/>
      <w:lvlText w:val="-"/>
      <w:lvlJc w:val="left"/>
      <w:pPr>
        <w:ind w:left="1701" w:hanging="286"/>
      </w:pPr>
      <w:rPr>
        <w:rFonts w:hint="default" w:ascii="Arial" w:hAnsi="Arial" w:eastAsia="Arial" w:cs="Arial"/>
        <w:w w:val="99"/>
        <w:sz w:val="20"/>
        <w:szCs w:val="20"/>
      </w:rPr>
    </w:lvl>
    <w:lvl w:ilvl="5">
      <w:start w:val="0"/>
      <w:numFmt w:val="bullet"/>
      <w:lvlText w:val="-"/>
      <w:lvlJc w:val="left"/>
      <w:pPr>
        <w:ind w:left="1985" w:hanging="286"/>
      </w:pPr>
      <w:rPr>
        <w:rFonts w:hint="default" w:ascii="Arial" w:hAnsi="Arial" w:eastAsia="Arial" w:cs="Arial"/>
        <w:w w:val="99"/>
        <w:sz w:val="20"/>
        <w:szCs w:val="20"/>
      </w:rPr>
    </w:lvl>
    <w:lvl w:ilvl="6">
      <w:start w:val="0"/>
      <w:numFmt w:val="bullet"/>
      <w:lvlText w:val="-"/>
      <w:lvlJc w:val="left"/>
      <w:pPr>
        <w:ind w:left="2268" w:hanging="284"/>
      </w:pPr>
      <w:rPr>
        <w:rFonts w:hint="default" w:ascii="Arial" w:hAnsi="Arial" w:eastAsia="Arial" w:cs="Arial"/>
        <w:w w:val="99"/>
        <w:sz w:val="20"/>
        <w:szCs w:val="20"/>
      </w:rPr>
    </w:lvl>
    <w:lvl w:ilvl="7">
      <w:start w:val="0"/>
      <w:numFmt w:val="bullet"/>
      <w:lvlText w:val="•"/>
      <w:lvlJc w:val="left"/>
      <w:pPr>
        <w:ind w:left="7900" w:hanging="284"/>
      </w:pPr>
      <w:rPr>
        <w:rFonts w:hint="default"/>
      </w:rPr>
    </w:lvl>
    <w:lvl w:ilvl="8">
      <w:start w:val="0"/>
      <w:numFmt w:val="bullet"/>
      <w:lvlText w:val="•"/>
      <w:lvlJc w:val="left"/>
      <w:pPr>
        <w:ind w:left="9236" w:hanging="284"/>
      </w:pPr>
      <w:rPr>
        <w:rFonts w:hint="default"/>
      </w:rPr>
    </w:lvl>
  </w:abstractNum>
  <w:abstractNum w:abstractNumId="19">
    <w:multiLevelType w:val="hybridMultilevel"/>
    <w:lvl w:ilvl="0">
      <w:start w:val="1"/>
      <w:numFmt w:val="decimal"/>
      <w:lvlText w:val="%1."/>
      <w:lvlJc w:val="left"/>
      <w:pPr>
        <w:ind w:left="1776" w:hanging="360"/>
        <w:jc w:val="left"/>
      </w:pPr>
      <w:rPr>
        <w:rFonts w:hint="default" w:ascii="Arial" w:hAnsi="Arial" w:eastAsia="Arial" w:cs="Arial"/>
        <w:spacing w:val="-1"/>
        <w:w w:val="99"/>
        <w:sz w:val="20"/>
        <w:szCs w:val="20"/>
      </w:rPr>
    </w:lvl>
    <w:lvl w:ilvl="1">
      <w:start w:val="0"/>
      <w:numFmt w:val="bullet"/>
      <w:lvlText w:val="•"/>
      <w:lvlJc w:val="left"/>
      <w:pPr>
        <w:ind w:left="2792" w:hanging="360"/>
      </w:pPr>
      <w:rPr>
        <w:rFonts w:hint="default"/>
      </w:rPr>
    </w:lvl>
    <w:lvl w:ilvl="2">
      <w:start w:val="0"/>
      <w:numFmt w:val="bullet"/>
      <w:lvlText w:val="•"/>
      <w:lvlJc w:val="left"/>
      <w:pPr>
        <w:ind w:left="3805" w:hanging="360"/>
      </w:pPr>
      <w:rPr>
        <w:rFonts w:hint="default"/>
      </w:rPr>
    </w:lvl>
    <w:lvl w:ilvl="3">
      <w:start w:val="0"/>
      <w:numFmt w:val="bullet"/>
      <w:lvlText w:val="•"/>
      <w:lvlJc w:val="left"/>
      <w:pPr>
        <w:ind w:left="4817" w:hanging="360"/>
      </w:pPr>
      <w:rPr>
        <w:rFonts w:hint="default"/>
      </w:rPr>
    </w:lvl>
    <w:lvl w:ilvl="4">
      <w:start w:val="0"/>
      <w:numFmt w:val="bullet"/>
      <w:lvlText w:val="•"/>
      <w:lvlJc w:val="left"/>
      <w:pPr>
        <w:ind w:left="5830" w:hanging="360"/>
      </w:pPr>
      <w:rPr>
        <w:rFonts w:hint="default"/>
      </w:rPr>
    </w:lvl>
    <w:lvl w:ilvl="5">
      <w:start w:val="0"/>
      <w:numFmt w:val="bullet"/>
      <w:lvlText w:val="•"/>
      <w:lvlJc w:val="left"/>
      <w:pPr>
        <w:ind w:left="6843" w:hanging="360"/>
      </w:pPr>
      <w:rPr>
        <w:rFonts w:hint="default"/>
      </w:rPr>
    </w:lvl>
    <w:lvl w:ilvl="6">
      <w:start w:val="0"/>
      <w:numFmt w:val="bullet"/>
      <w:lvlText w:val="•"/>
      <w:lvlJc w:val="left"/>
      <w:pPr>
        <w:ind w:left="7855" w:hanging="360"/>
      </w:pPr>
      <w:rPr>
        <w:rFonts w:hint="default"/>
      </w:rPr>
    </w:lvl>
    <w:lvl w:ilvl="7">
      <w:start w:val="0"/>
      <w:numFmt w:val="bullet"/>
      <w:lvlText w:val="•"/>
      <w:lvlJc w:val="left"/>
      <w:pPr>
        <w:ind w:left="8868" w:hanging="360"/>
      </w:pPr>
      <w:rPr>
        <w:rFonts w:hint="default"/>
      </w:rPr>
    </w:lvl>
    <w:lvl w:ilvl="8">
      <w:start w:val="0"/>
      <w:numFmt w:val="bullet"/>
      <w:lvlText w:val="•"/>
      <w:lvlJc w:val="left"/>
      <w:pPr>
        <w:ind w:left="9881" w:hanging="360"/>
      </w:pPr>
      <w:rPr>
        <w:rFonts w:hint="default"/>
      </w:rPr>
    </w:lvl>
  </w:abstractNum>
  <w:abstractNum w:abstractNumId="18">
    <w:multiLevelType w:val="hybridMultilevel"/>
    <w:lvl w:ilvl="0">
      <w:start w:val="1"/>
      <w:numFmt w:val="decimal"/>
      <w:lvlText w:val="%1."/>
      <w:lvlJc w:val="left"/>
      <w:pPr>
        <w:ind w:left="1776" w:hanging="360"/>
        <w:jc w:val="left"/>
      </w:pPr>
      <w:rPr>
        <w:rFonts w:hint="default" w:ascii="Arial" w:hAnsi="Arial" w:eastAsia="Arial" w:cs="Arial"/>
        <w:spacing w:val="-1"/>
        <w:w w:val="99"/>
        <w:sz w:val="20"/>
        <w:szCs w:val="20"/>
      </w:rPr>
    </w:lvl>
    <w:lvl w:ilvl="1">
      <w:start w:val="0"/>
      <w:numFmt w:val="bullet"/>
      <w:lvlText w:val="•"/>
      <w:lvlJc w:val="left"/>
      <w:pPr>
        <w:ind w:left="2792" w:hanging="360"/>
      </w:pPr>
      <w:rPr>
        <w:rFonts w:hint="default"/>
      </w:rPr>
    </w:lvl>
    <w:lvl w:ilvl="2">
      <w:start w:val="0"/>
      <w:numFmt w:val="bullet"/>
      <w:lvlText w:val="•"/>
      <w:lvlJc w:val="left"/>
      <w:pPr>
        <w:ind w:left="3805" w:hanging="360"/>
      </w:pPr>
      <w:rPr>
        <w:rFonts w:hint="default"/>
      </w:rPr>
    </w:lvl>
    <w:lvl w:ilvl="3">
      <w:start w:val="0"/>
      <w:numFmt w:val="bullet"/>
      <w:lvlText w:val="•"/>
      <w:lvlJc w:val="left"/>
      <w:pPr>
        <w:ind w:left="4817" w:hanging="360"/>
      </w:pPr>
      <w:rPr>
        <w:rFonts w:hint="default"/>
      </w:rPr>
    </w:lvl>
    <w:lvl w:ilvl="4">
      <w:start w:val="0"/>
      <w:numFmt w:val="bullet"/>
      <w:lvlText w:val="•"/>
      <w:lvlJc w:val="left"/>
      <w:pPr>
        <w:ind w:left="5830" w:hanging="360"/>
      </w:pPr>
      <w:rPr>
        <w:rFonts w:hint="default"/>
      </w:rPr>
    </w:lvl>
    <w:lvl w:ilvl="5">
      <w:start w:val="0"/>
      <w:numFmt w:val="bullet"/>
      <w:lvlText w:val="•"/>
      <w:lvlJc w:val="left"/>
      <w:pPr>
        <w:ind w:left="6843" w:hanging="360"/>
      </w:pPr>
      <w:rPr>
        <w:rFonts w:hint="default"/>
      </w:rPr>
    </w:lvl>
    <w:lvl w:ilvl="6">
      <w:start w:val="0"/>
      <w:numFmt w:val="bullet"/>
      <w:lvlText w:val="•"/>
      <w:lvlJc w:val="left"/>
      <w:pPr>
        <w:ind w:left="7855" w:hanging="360"/>
      </w:pPr>
      <w:rPr>
        <w:rFonts w:hint="default"/>
      </w:rPr>
    </w:lvl>
    <w:lvl w:ilvl="7">
      <w:start w:val="0"/>
      <w:numFmt w:val="bullet"/>
      <w:lvlText w:val="•"/>
      <w:lvlJc w:val="left"/>
      <w:pPr>
        <w:ind w:left="8868" w:hanging="360"/>
      </w:pPr>
      <w:rPr>
        <w:rFonts w:hint="default"/>
      </w:rPr>
    </w:lvl>
    <w:lvl w:ilvl="8">
      <w:start w:val="0"/>
      <w:numFmt w:val="bullet"/>
      <w:lvlText w:val="•"/>
      <w:lvlJc w:val="left"/>
      <w:pPr>
        <w:ind w:left="9881" w:hanging="360"/>
      </w:pPr>
      <w:rPr>
        <w:rFonts w:hint="default"/>
      </w:rPr>
    </w:lvl>
  </w:abstractNum>
  <w:abstractNum w:abstractNumId="16">
    <w:multiLevelType w:val="hybridMultilevel"/>
    <w:lvl w:ilvl="0">
      <w:start w:val="1"/>
      <w:numFmt w:val="decimal"/>
      <w:lvlText w:val="%1)"/>
      <w:lvlJc w:val="left"/>
      <w:pPr>
        <w:ind w:left="48" w:hanging="125"/>
        <w:jc w:val="left"/>
      </w:pPr>
      <w:rPr>
        <w:rFonts w:hint="default" w:ascii="Calibri" w:hAnsi="Calibri" w:eastAsia="Calibri" w:cs="Calibri"/>
        <w:spacing w:val="0"/>
        <w:w w:val="106"/>
        <w:sz w:val="11"/>
        <w:szCs w:val="11"/>
      </w:rPr>
    </w:lvl>
    <w:lvl w:ilvl="1">
      <w:start w:val="0"/>
      <w:numFmt w:val="bullet"/>
      <w:lvlText w:val="•"/>
      <w:lvlJc w:val="left"/>
      <w:pPr>
        <w:ind w:left="208" w:hanging="125"/>
      </w:pPr>
      <w:rPr>
        <w:rFonts w:hint="default"/>
      </w:rPr>
    </w:lvl>
    <w:lvl w:ilvl="2">
      <w:start w:val="0"/>
      <w:numFmt w:val="bullet"/>
      <w:lvlText w:val="•"/>
      <w:lvlJc w:val="left"/>
      <w:pPr>
        <w:ind w:left="376" w:hanging="125"/>
      </w:pPr>
      <w:rPr>
        <w:rFonts w:hint="default"/>
      </w:rPr>
    </w:lvl>
    <w:lvl w:ilvl="3">
      <w:start w:val="0"/>
      <w:numFmt w:val="bullet"/>
      <w:lvlText w:val="•"/>
      <w:lvlJc w:val="left"/>
      <w:pPr>
        <w:ind w:left="544" w:hanging="125"/>
      </w:pPr>
      <w:rPr>
        <w:rFonts w:hint="default"/>
      </w:rPr>
    </w:lvl>
    <w:lvl w:ilvl="4">
      <w:start w:val="0"/>
      <w:numFmt w:val="bullet"/>
      <w:lvlText w:val="•"/>
      <w:lvlJc w:val="left"/>
      <w:pPr>
        <w:ind w:left="712" w:hanging="125"/>
      </w:pPr>
      <w:rPr>
        <w:rFonts w:hint="default"/>
      </w:rPr>
    </w:lvl>
    <w:lvl w:ilvl="5">
      <w:start w:val="0"/>
      <w:numFmt w:val="bullet"/>
      <w:lvlText w:val="•"/>
      <w:lvlJc w:val="left"/>
      <w:pPr>
        <w:ind w:left="880" w:hanging="125"/>
      </w:pPr>
      <w:rPr>
        <w:rFonts w:hint="default"/>
      </w:rPr>
    </w:lvl>
    <w:lvl w:ilvl="6">
      <w:start w:val="0"/>
      <w:numFmt w:val="bullet"/>
      <w:lvlText w:val="•"/>
      <w:lvlJc w:val="left"/>
      <w:pPr>
        <w:ind w:left="1049" w:hanging="125"/>
      </w:pPr>
      <w:rPr>
        <w:rFonts w:hint="default"/>
      </w:rPr>
    </w:lvl>
    <w:lvl w:ilvl="7">
      <w:start w:val="0"/>
      <w:numFmt w:val="bullet"/>
      <w:lvlText w:val="•"/>
      <w:lvlJc w:val="left"/>
      <w:pPr>
        <w:ind w:left="1217" w:hanging="125"/>
      </w:pPr>
      <w:rPr>
        <w:rFonts w:hint="default"/>
      </w:rPr>
    </w:lvl>
    <w:lvl w:ilvl="8">
      <w:start w:val="0"/>
      <w:numFmt w:val="bullet"/>
      <w:lvlText w:val="•"/>
      <w:lvlJc w:val="left"/>
      <w:pPr>
        <w:ind w:left="1385" w:hanging="125"/>
      </w:pPr>
      <w:rPr>
        <w:rFonts w:hint="default"/>
      </w:rPr>
    </w:lvl>
  </w:abstractNum>
  <w:abstractNum w:abstractNumId="17">
    <w:multiLevelType w:val="hybridMultilevel"/>
    <w:lvl w:ilvl="0">
      <w:start w:val="0"/>
      <w:numFmt w:val="bullet"/>
      <w:lvlText w:val="-"/>
      <w:lvlJc w:val="left"/>
      <w:pPr>
        <w:ind w:left="1702" w:hanging="286"/>
      </w:pPr>
      <w:rPr>
        <w:rFonts w:hint="default" w:ascii="Arial" w:hAnsi="Arial" w:eastAsia="Arial" w:cs="Arial"/>
        <w:w w:val="99"/>
        <w:sz w:val="20"/>
        <w:szCs w:val="20"/>
      </w:rPr>
    </w:lvl>
    <w:lvl w:ilvl="1">
      <w:start w:val="0"/>
      <w:numFmt w:val="bullet"/>
      <w:lvlText w:val="-"/>
      <w:lvlJc w:val="left"/>
      <w:pPr>
        <w:ind w:left="1985" w:hanging="286"/>
      </w:pPr>
      <w:rPr>
        <w:rFonts w:hint="default" w:ascii="Arial" w:hAnsi="Arial" w:eastAsia="Arial" w:cs="Arial"/>
        <w:w w:val="99"/>
        <w:sz w:val="20"/>
        <w:szCs w:val="20"/>
      </w:rPr>
    </w:lvl>
    <w:lvl w:ilvl="2">
      <w:start w:val="0"/>
      <w:numFmt w:val="bullet"/>
      <w:lvlText w:val="•"/>
      <w:lvlJc w:val="left"/>
      <w:pPr>
        <w:ind w:left="3082" w:hanging="286"/>
      </w:pPr>
      <w:rPr>
        <w:rFonts w:hint="default"/>
      </w:rPr>
    </w:lvl>
    <w:lvl w:ilvl="3">
      <w:start w:val="0"/>
      <w:numFmt w:val="bullet"/>
      <w:lvlText w:val="•"/>
      <w:lvlJc w:val="left"/>
      <w:pPr>
        <w:ind w:left="4185" w:hanging="286"/>
      </w:pPr>
      <w:rPr>
        <w:rFonts w:hint="default"/>
      </w:rPr>
    </w:lvl>
    <w:lvl w:ilvl="4">
      <w:start w:val="0"/>
      <w:numFmt w:val="bullet"/>
      <w:lvlText w:val="•"/>
      <w:lvlJc w:val="left"/>
      <w:pPr>
        <w:ind w:left="5288" w:hanging="286"/>
      </w:pPr>
      <w:rPr>
        <w:rFonts w:hint="default"/>
      </w:rPr>
    </w:lvl>
    <w:lvl w:ilvl="5">
      <w:start w:val="0"/>
      <w:numFmt w:val="bullet"/>
      <w:lvlText w:val="•"/>
      <w:lvlJc w:val="left"/>
      <w:pPr>
        <w:ind w:left="6391" w:hanging="286"/>
      </w:pPr>
      <w:rPr>
        <w:rFonts w:hint="default"/>
      </w:rPr>
    </w:lvl>
    <w:lvl w:ilvl="6">
      <w:start w:val="0"/>
      <w:numFmt w:val="bullet"/>
      <w:lvlText w:val="•"/>
      <w:lvlJc w:val="left"/>
      <w:pPr>
        <w:ind w:left="7494" w:hanging="286"/>
      </w:pPr>
      <w:rPr>
        <w:rFonts w:hint="default"/>
      </w:rPr>
    </w:lvl>
    <w:lvl w:ilvl="7">
      <w:start w:val="0"/>
      <w:numFmt w:val="bullet"/>
      <w:lvlText w:val="•"/>
      <w:lvlJc w:val="left"/>
      <w:pPr>
        <w:ind w:left="8597" w:hanging="286"/>
      </w:pPr>
      <w:rPr>
        <w:rFonts w:hint="default"/>
      </w:rPr>
    </w:lvl>
    <w:lvl w:ilvl="8">
      <w:start w:val="0"/>
      <w:numFmt w:val="bullet"/>
      <w:lvlText w:val="•"/>
      <w:lvlJc w:val="left"/>
      <w:pPr>
        <w:ind w:left="9700" w:hanging="286"/>
      </w:pPr>
      <w:rPr>
        <w:rFonts w:hint="default"/>
      </w:rPr>
    </w:lvl>
  </w:abstractNum>
  <w:abstractNum w:abstractNumId="15">
    <w:multiLevelType w:val="hybridMultilevel"/>
    <w:lvl w:ilvl="0">
      <w:start w:val="0"/>
      <w:numFmt w:val="bullet"/>
      <w:lvlText w:val="-"/>
      <w:lvlJc w:val="left"/>
      <w:pPr>
        <w:ind w:left="1701" w:hanging="286"/>
      </w:pPr>
      <w:rPr>
        <w:rFonts w:hint="default" w:ascii="Arial" w:hAnsi="Arial" w:eastAsia="Arial" w:cs="Arial"/>
        <w:w w:val="99"/>
        <w:sz w:val="20"/>
        <w:szCs w:val="20"/>
      </w:rPr>
    </w:lvl>
    <w:lvl w:ilvl="1">
      <w:start w:val="0"/>
      <w:numFmt w:val="bullet"/>
      <w:lvlText w:val="-"/>
      <w:lvlJc w:val="left"/>
      <w:pPr>
        <w:ind w:left="1985" w:hanging="286"/>
      </w:pPr>
      <w:rPr>
        <w:rFonts w:hint="default" w:ascii="Arial" w:hAnsi="Arial" w:eastAsia="Arial" w:cs="Arial"/>
        <w:w w:val="99"/>
        <w:sz w:val="20"/>
        <w:szCs w:val="20"/>
      </w:rPr>
    </w:lvl>
    <w:lvl w:ilvl="2">
      <w:start w:val="0"/>
      <w:numFmt w:val="bullet"/>
      <w:lvlText w:val="•"/>
      <w:lvlJc w:val="left"/>
      <w:pPr>
        <w:ind w:left="2260" w:hanging="286"/>
      </w:pPr>
      <w:rPr>
        <w:rFonts w:hint="default"/>
      </w:rPr>
    </w:lvl>
    <w:lvl w:ilvl="3">
      <w:start w:val="0"/>
      <w:numFmt w:val="bullet"/>
      <w:lvlText w:val="•"/>
      <w:lvlJc w:val="left"/>
      <w:pPr>
        <w:ind w:left="3465" w:hanging="286"/>
      </w:pPr>
      <w:rPr>
        <w:rFonts w:hint="default"/>
      </w:rPr>
    </w:lvl>
    <w:lvl w:ilvl="4">
      <w:start w:val="0"/>
      <w:numFmt w:val="bullet"/>
      <w:lvlText w:val="•"/>
      <w:lvlJc w:val="left"/>
      <w:pPr>
        <w:ind w:left="4671" w:hanging="286"/>
      </w:pPr>
      <w:rPr>
        <w:rFonts w:hint="default"/>
      </w:rPr>
    </w:lvl>
    <w:lvl w:ilvl="5">
      <w:start w:val="0"/>
      <w:numFmt w:val="bullet"/>
      <w:lvlText w:val="•"/>
      <w:lvlJc w:val="left"/>
      <w:pPr>
        <w:ind w:left="5877" w:hanging="286"/>
      </w:pPr>
      <w:rPr>
        <w:rFonts w:hint="default"/>
      </w:rPr>
    </w:lvl>
    <w:lvl w:ilvl="6">
      <w:start w:val="0"/>
      <w:numFmt w:val="bullet"/>
      <w:lvlText w:val="•"/>
      <w:lvlJc w:val="left"/>
      <w:pPr>
        <w:ind w:left="7083" w:hanging="286"/>
      </w:pPr>
      <w:rPr>
        <w:rFonts w:hint="default"/>
      </w:rPr>
    </w:lvl>
    <w:lvl w:ilvl="7">
      <w:start w:val="0"/>
      <w:numFmt w:val="bullet"/>
      <w:lvlText w:val="•"/>
      <w:lvlJc w:val="left"/>
      <w:pPr>
        <w:ind w:left="8289" w:hanging="286"/>
      </w:pPr>
      <w:rPr>
        <w:rFonts w:hint="default"/>
      </w:rPr>
    </w:lvl>
    <w:lvl w:ilvl="8">
      <w:start w:val="0"/>
      <w:numFmt w:val="bullet"/>
      <w:lvlText w:val="•"/>
      <w:lvlJc w:val="left"/>
      <w:pPr>
        <w:ind w:left="9494" w:hanging="286"/>
      </w:pPr>
      <w:rPr>
        <w:rFonts w:hint="default"/>
      </w:rPr>
    </w:lvl>
  </w:abstractNum>
  <w:abstractNum w:abstractNumId="14">
    <w:multiLevelType w:val="hybridMultilevel"/>
    <w:lvl w:ilvl="0">
      <w:start w:val="0"/>
      <w:numFmt w:val="bullet"/>
      <w:lvlText w:val="-"/>
      <w:lvlJc w:val="left"/>
      <w:pPr>
        <w:ind w:left="1702" w:hanging="286"/>
      </w:pPr>
      <w:rPr>
        <w:rFonts w:hint="default" w:ascii="Arial" w:hAnsi="Arial" w:eastAsia="Arial" w:cs="Arial"/>
        <w:w w:val="99"/>
        <w:sz w:val="20"/>
        <w:szCs w:val="20"/>
      </w:rPr>
    </w:lvl>
    <w:lvl w:ilvl="1">
      <w:start w:val="0"/>
      <w:numFmt w:val="bullet"/>
      <w:lvlText w:val="•"/>
      <w:lvlJc w:val="left"/>
      <w:pPr>
        <w:ind w:left="2720" w:hanging="286"/>
      </w:pPr>
      <w:rPr>
        <w:rFonts w:hint="default"/>
      </w:rPr>
    </w:lvl>
    <w:lvl w:ilvl="2">
      <w:start w:val="0"/>
      <w:numFmt w:val="bullet"/>
      <w:lvlText w:val="•"/>
      <w:lvlJc w:val="left"/>
      <w:pPr>
        <w:ind w:left="3741" w:hanging="286"/>
      </w:pPr>
      <w:rPr>
        <w:rFonts w:hint="default"/>
      </w:rPr>
    </w:lvl>
    <w:lvl w:ilvl="3">
      <w:start w:val="0"/>
      <w:numFmt w:val="bullet"/>
      <w:lvlText w:val="•"/>
      <w:lvlJc w:val="left"/>
      <w:pPr>
        <w:ind w:left="4761" w:hanging="286"/>
      </w:pPr>
      <w:rPr>
        <w:rFonts w:hint="default"/>
      </w:rPr>
    </w:lvl>
    <w:lvl w:ilvl="4">
      <w:start w:val="0"/>
      <w:numFmt w:val="bullet"/>
      <w:lvlText w:val="•"/>
      <w:lvlJc w:val="left"/>
      <w:pPr>
        <w:ind w:left="5782" w:hanging="286"/>
      </w:pPr>
      <w:rPr>
        <w:rFonts w:hint="default"/>
      </w:rPr>
    </w:lvl>
    <w:lvl w:ilvl="5">
      <w:start w:val="0"/>
      <w:numFmt w:val="bullet"/>
      <w:lvlText w:val="•"/>
      <w:lvlJc w:val="left"/>
      <w:pPr>
        <w:ind w:left="6803" w:hanging="286"/>
      </w:pPr>
      <w:rPr>
        <w:rFonts w:hint="default"/>
      </w:rPr>
    </w:lvl>
    <w:lvl w:ilvl="6">
      <w:start w:val="0"/>
      <w:numFmt w:val="bullet"/>
      <w:lvlText w:val="•"/>
      <w:lvlJc w:val="left"/>
      <w:pPr>
        <w:ind w:left="7823" w:hanging="286"/>
      </w:pPr>
      <w:rPr>
        <w:rFonts w:hint="default"/>
      </w:rPr>
    </w:lvl>
    <w:lvl w:ilvl="7">
      <w:start w:val="0"/>
      <w:numFmt w:val="bullet"/>
      <w:lvlText w:val="•"/>
      <w:lvlJc w:val="left"/>
      <w:pPr>
        <w:ind w:left="8844" w:hanging="286"/>
      </w:pPr>
      <w:rPr>
        <w:rFonts w:hint="default"/>
      </w:rPr>
    </w:lvl>
    <w:lvl w:ilvl="8">
      <w:start w:val="0"/>
      <w:numFmt w:val="bullet"/>
      <w:lvlText w:val="•"/>
      <w:lvlJc w:val="left"/>
      <w:pPr>
        <w:ind w:left="9865" w:hanging="286"/>
      </w:pPr>
      <w:rPr>
        <w:rFonts w:hint="default"/>
      </w:rPr>
    </w:lvl>
  </w:abstractNum>
  <w:abstractNum w:abstractNumId="13">
    <w:multiLevelType w:val="hybridMultilevel"/>
    <w:lvl w:ilvl="0">
      <w:start w:val="4"/>
      <w:numFmt w:val="decimal"/>
      <w:lvlText w:val="%1"/>
      <w:lvlJc w:val="left"/>
      <w:pPr>
        <w:ind w:left="2266" w:hanging="1133"/>
        <w:jc w:val="left"/>
      </w:pPr>
      <w:rPr>
        <w:rFonts w:hint="default"/>
      </w:rPr>
    </w:lvl>
    <w:lvl w:ilvl="1">
      <w:start w:val="1"/>
      <w:numFmt w:val="decimal"/>
      <w:lvlText w:val="%1.%2"/>
      <w:lvlJc w:val="left"/>
      <w:pPr>
        <w:ind w:left="2266" w:hanging="1133"/>
        <w:jc w:val="left"/>
      </w:pPr>
      <w:rPr>
        <w:rFonts w:hint="default" w:ascii="Arial" w:hAnsi="Arial" w:eastAsia="Arial" w:cs="Arial"/>
        <w:w w:val="99"/>
        <w:sz w:val="32"/>
        <w:szCs w:val="32"/>
      </w:rPr>
    </w:lvl>
    <w:lvl w:ilvl="2">
      <w:start w:val="1"/>
      <w:numFmt w:val="decimal"/>
      <w:lvlText w:val="%1.%2.%3"/>
      <w:lvlJc w:val="left"/>
      <w:pPr>
        <w:ind w:left="2266" w:hanging="1133"/>
        <w:jc w:val="left"/>
      </w:pPr>
      <w:rPr>
        <w:rFonts w:hint="default" w:ascii="Arial" w:hAnsi="Arial" w:eastAsia="Arial" w:cs="Arial"/>
        <w:w w:val="100"/>
        <w:sz w:val="28"/>
        <w:szCs w:val="28"/>
      </w:rPr>
    </w:lvl>
    <w:lvl w:ilvl="3">
      <w:start w:val="1"/>
      <w:numFmt w:val="decimal"/>
      <w:lvlText w:val="%4."/>
      <w:lvlJc w:val="left"/>
      <w:pPr>
        <w:ind w:left="1853" w:hanging="360"/>
        <w:jc w:val="left"/>
      </w:pPr>
      <w:rPr>
        <w:rFonts w:hint="default" w:ascii="Arial" w:hAnsi="Arial" w:eastAsia="Arial" w:cs="Arial"/>
        <w:spacing w:val="-1"/>
        <w:w w:val="99"/>
        <w:sz w:val="20"/>
        <w:szCs w:val="20"/>
      </w:rPr>
    </w:lvl>
    <w:lvl w:ilvl="4">
      <w:start w:val="0"/>
      <w:numFmt w:val="bullet"/>
      <w:lvlText w:val="•"/>
      <w:lvlJc w:val="left"/>
      <w:pPr>
        <w:ind w:left="4671" w:hanging="360"/>
      </w:pPr>
      <w:rPr>
        <w:rFonts w:hint="default"/>
      </w:rPr>
    </w:lvl>
    <w:lvl w:ilvl="5">
      <w:start w:val="0"/>
      <w:numFmt w:val="bullet"/>
      <w:lvlText w:val="•"/>
      <w:lvlJc w:val="left"/>
      <w:pPr>
        <w:ind w:left="5877" w:hanging="360"/>
      </w:pPr>
      <w:rPr>
        <w:rFonts w:hint="default"/>
      </w:rPr>
    </w:lvl>
    <w:lvl w:ilvl="6">
      <w:start w:val="0"/>
      <w:numFmt w:val="bullet"/>
      <w:lvlText w:val="•"/>
      <w:lvlJc w:val="left"/>
      <w:pPr>
        <w:ind w:left="7083" w:hanging="360"/>
      </w:pPr>
      <w:rPr>
        <w:rFonts w:hint="default"/>
      </w:rPr>
    </w:lvl>
    <w:lvl w:ilvl="7">
      <w:start w:val="0"/>
      <w:numFmt w:val="bullet"/>
      <w:lvlText w:val="•"/>
      <w:lvlJc w:val="left"/>
      <w:pPr>
        <w:ind w:left="8289" w:hanging="360"/>
      </w:pPr>
      <w:rPr>
        <w:rFonts w:hint="default"/>
      </w:rPr>
    </w:lvl>
    <w:lvl w:ilvl="8">
      <w:start w:val="0"/>
      <w:numFmt w:val="bullet"/>
      <w:lvlText w:val="•"/>
      <w:lvlJc w:val="left"/>
      <w:pPr>
        <w:ind w:left="9494" w:hanging="360"/>
      </w:pPr>
      <w:rPr>
        <w:rFonts w:hint="default"/>
      </w:rPr>
    </w:lvl>
  </w:abstractNum>
  <w:abstractNum w:abstractNumId="12">
    <w:multiLevelType w:val="hybridMultilevel"/>
    <w:lvl w:ilvl="0">
      <w:start w:val="1"/>
      <w:numFmt w:val="decimal"/>
      <w:lvlText w:val="%1"/>
      <w:lvlJc w:val="left"/>
      <w:pPr>
        <w:ind w:left="1416" w:hanging="283"/>
        <w:jc w:val="left"/>
      </w:pPr>
      <w:rPr>
        <w:rFonts w:hint="default" w:ascii="Arial" w:hAnsi="Arial" w:eastAsia="Arial" w:cs="Arial"/>
        <w:w w:val="99"/>
        <w:sz w:val="36"/>
        <w:szCs w:val="36"/>
      </w:rPr>
    </w:lvl>
    <w:lvl w:ilvl="1">
      <w:start w:val="0"/>
      <w:numFmt w:val="bullet"/>
      <w:lvlText w:val="-"/>
      <w:lvlJc w:val="left"/>
      <w:pPr>
        <w:ind w:left="1702" w:hanging="286"/>
      </w:pPr>
      <w:rPr>
        <w:rFonts w:hint="default"/>
        <w:w w:val="99"/>
      </w:rPr>
    </w:lvl>
    <w:lvl w:ilvl="2">
      <w:start w:val="0"/>
      <w:numFmt w:val="bullet"/>
      <w:lvlText w:val="•"/>
      <w:lvlJc w:val="left"/>
      <w:pPr>
        <w:ind w:left="2834" w:hanging="286"/>
      </w:pPr>
      <w:rPr>
        <w:rFonts w:hint="default"/>
      </w:rPr>
    </w:lvl>
    <w:lvl w:ilvl="3">
      <w:start w:val="0"/>
      <w:numFmt w:val="bullet"/>
      <w:lvlText w:val="•"/>
      <w:lvlJc w:val="left"/>
      <w:pPr>
        <w:ind w:left="3968" w:hanging="286"/>
      </w:pPr>
      <w:rPr>
        <w:rFonts w:hint="default"/>
      </w:rPr>
    </w:lvl>
    <w:lvl w:ilvl="4">
      <w:start w:val="0"/>
      <w:numFmt w:val="bullet"/>
      <w:lvlText w:val="•"/>
      <w:lvlJc w:val="left"/>
      <w:pPr>
        <w:ind w:left="5102" w:hanging="286"/>
      </w:pPr>
      <w:rPr>
        <w:rFonts w:hint="default"/>
      </w:rPr>
    </w:lvl>
    <w:lvl w:ilvl="5">
      <w:start w:val="0"/>
      <w:numFmt w:val="bullet"/>
      <w:lvlText w:val="•"/>
      <w:lvlJc w:val="left"/>
      <w:pPr>
        <w:ind w:left="6236" w:hanging="286"/>
      </w:pPr>
      <w:rPr>
        <w:rFonts w:hint="default"/>
      </w:rPr>
    </w:lvl>
    <w:lvl w:ilvl="6">
      <w:start w:val="0"/>
      <w:numFmt w:val="bullet"/>
      <w:lvlText w:val="•"/>
      <w:lvlJc w:val="left"/>
      <w:pPr>
        <w:ind w:left="7370" w:hanging="286"/>
      </w:pPr>
      <w:rPr>
        <w:rFonts w:hint="default"/>
      </w:rPr>
    </w:lvl>
    <w:lvl w:ilvl="7">
      <w:start w:val="0"/>
      <w:numFmt w:val="bullet"/>
      <w:lvlText w:val="•"/>
      <w:lvlJc w:val="left"/>
      <w:pPr>
        <w:ind w:left="8504" w:hanging="286"/>
      </w:pPr>
      <w:rPr>
        <w:rFonts w:hint="default"/>
      </w:rPr>
    </w:lvl>
    <w:lvl w:ilvl="8">
      <w:start w:val="0"/>
      <w:numFmt w:val="bullet"/>
      <w:lvlText w:val="•"/>
      <w:lvlJc w:val="left"/>
      <w:pPr>
        <w:ind w:left="9638" w:hanging="286"/>
      </w:pPr>
      <w:rPr>
        <w:rFonts w:hint="default"/>
      </w:rPr>
    </w:lvl>
  </w:abstractNum>
  <w:abstractNum w:abstractNumId="11">
    <w:multiLevelType w:val="hybridMultilevel"/>
    <w:lvl w:ilvl="0">
      <w:start w:val="2"/>
      <w:numFmt w:val="upperLetter"/>
      <w:lvlText w:val="%1"/>
      <w:lvlJc w:val="left"/>
      <w:pPr>
        <w:ind w:left="1526" w:hanging="393"/>
        <w:jc w:val="left"/>
      </w:pPr>
      <w:rPr>
        <w:rFonts w:hint="default"/>
      </w:rPr>
    </w:lvl>
    <w:lvl w:ilvl="1">
      <w:start w:val="1"/>
      <w:numFmt w:val="decimal"/>
      <w:lvlText w:val="%1.%2"/>
      <w:lvlJc w:val="left"/>
      <w:pPr>
        <w:ind w:left="1526" w:hanging="393"/>
        <w:jc w:val="left"/>
      </w:pPr>
      <w:rPr>
        <w:rFonts w:hint="default" w:ascii="Arial" w:hAnsi="Arial" w:eastAsia="Arial" w:cs="Arial"/>
        <w:spacing w:val="-1"/>
        <w:w w:val="100"/>
        <w:sz w:val="22"/>
        <w:szCs w:val="22"/>
      </w:rPr>
    </w:lvl>
    <w:lvl w:ilvl="2">
      <w:start w:val="1"/>
      <w:numFmt w:val="decimal"/>
      <w:lvlText w:val="(%3)"/>
      <w:lvlJc w:val="left"/>
      <w:pPr>
        <w:ind w:left="1853" w:hanging="360"/>
        <w:jc w:val="left"/>
      </w:pPr>
      <w:rPr>
        <w:rFonts w:hint="default" w:ascii="Arial" w:hAnsi="Arial" w:eastAsia="Arial" w:cs="Arial"/>
        <w:w w:val="99"/>
        <w:sz w:val="20"/>
        <w:szCs w:val="20"/>
      </w:rPr>
    </w:lvl>
    <w:lvl w:ilvl="3">
      <w:start w:val="1"/>
      <w:numFmt w:val="lowerLetter"/>
      <w:lvlText w:val="(%4)"/>
      <w:lvlJc w:val="left"/>
      <w:pPr>
        <w:ind w:left="3284" w:hanging="526"/>
        <w:jc w:val="left"/>
      </w:pPr>
      <w:rPr>
        <w:rFonts w:hint="default" w:ascii="Arial" w:hAnsi="Arial" w:eastAsia="Arial" w:cs="Arial"/>
        <w:w w:val="99"/>
        <w:sz w:val="20"/>
        <w:szCs w:val="20"/>
      </w:rPr>
    </w:lvl>
    <w:lvl w:ilvl="4">
      <w:start w:val="0"/>
      <w:numFmt w:val="bullet"/>
      <w:lvlText w:val="•"/>
      <w:lvlJc w:val="left"/>
      <w:pPr>
        <w:ind w:left="5436" w:hanging="526"/>
      </w:pPr>
      <w:rPr>
        <w:rFonts w:hint="default"/>
      </w:rPr>
    </w:lvl>
    <w:lvl w:ilvl="5">
      <w:start w:val="0"/>
      <w:numFmt w:val="bullet"/>
      <w:lvlText w:val="•"/>
      <w:lvlJc w:val="left"/>
      <w:pPr>
        <w:ind w:left="6514" w:hanging="526"/>
      </w:pPr>
      <w:rPr>
        <w:rFonts w:hint="default"/>
      </w:rPr>
    </w:lvl>
    <w:lvl w:ilvl="6">
      <w:start w:val="0"/>
      <w:numFmt w:val="bullet"/>
      <w:lvlText w:val="•"/>
      <w:lvlJc w:val="left"/>
      <w:pPr>
        <w:ind w:left="7593" w:hanging="526"/>
      </w:pPr>
      <w:rPr>
        <w:rFonts w:hint="default"/>
      </w:rPr>
    </w:lvl>
    <w:lvl w:ilvl="7">
      <w:start w:val="0"/>
      <w:numFmt w:val="bullet"/>
      <w:lvlText w:val="•"/>
      <w:lvlJc w:val="left"/>
      <w:pPr>
        <w:ind w:left="8671" w:hanging="526"/>
      </w:pPr>
      <w:rPr>
        <w:rFonts w:hint="default"/>
      </w:rPr>
    </w:lvl>
    <w:lvl w:ilvl="8">
      <w:start w:val="0"/>
      <w:numFmt w:val="bullet"/>
      <w:lvlText w:val="•"/>
      <w:lvlJc w:val="left"/>
      <w:pPr>
        <w:ind w:left="9749" w:hanging="526"/>
      </w:pPr>
      <w:rPr>
        <w:rFonts w:hint="default"/>
      </w:rPr>
    </w:lvl>
  </w:abstractNum>
  <w:abstractNum w:abstractNumId="10">
    <w:multiLevelType w:val="hybridMultilevel"/>
    <w:lvl w:ilvl="0">
      <w:start w:val="1"/>
      <w:numFmt w:val="upperLetter"/>
      <w:lvlText w:val="%1"/>
      <w:lvlJc w:val="left"/>
      <w:pPr>
        <w:ind w:left="1985" w:hanging="853"/>
        <w:jc w:val="left"/>
      </w:pPr>
      <w:rPr>
        <w:rFonts w:hint="default"/>
      </w:rPr>
    </w:lvl>
    <w:lvl w:ilvl="1">
      <w:start w:val="1"/>
      <w:numFmt w:val="decimal"/>
      <w:lvlText w:val="%1.%2"/>
      <w:lvlJc w:val="left"/>
      <w:pPr>
        <w:ind w:left="1985" w:hanging="853"/>
        <w:jc w:val="left"/>
      </w:pPr>
      <w:rPr>
        <w:rFonts w:hint="default" w:ascii="Arial" w:hAnsi="Arial" w:eastAsia="Arial" w:cs="Arial"/>
        <w:spacing w:val="-1"/>
        <w:w w:val="100"/>
        <w:sz w:val="22"/>
        <w:szCs w:val="22"/>
      </w:rPr>
    </w:lvl>
    <w:lvl w:ilvl="2">
      <w:start w:val="1"/>
      <w:numFmt w:val="decimal"/>
      <w:lvlText w:val="%1.%2.%3"/>
      <w:lvlJc w:val="left"/>
      <w:pPr>
        <w:ind w:left="2266" w:hanging="1133"/>
        <w:jc w:val="left"/>
      </w:pPr>
      <w:rPr>
        <w:rFonts w:hint="default" w:ascii="Arial" w:hAnsi="Arial" w:eastAsia="Arial" w:cs="Arial"/>
        <w:spacing w:val="-1"/>
        <w:w w:val="100"/>
        <w:sz w:val="22"/>
        <w:szCs w:val="22"/>
      </w:rPr>
    </w:lvl>
    <w:lvl w:ilvl="3">
      <w:start w:val="0"/>
      <w:numFmt w:val="bullet"/>
      <w:lvlText w:val="•"/>
      <w:lvlJc w:val="left"/>
      <w:pPr>
        <w:ind w:left="4403" w:hanging="1133"/>
      </w:pPr>
      <w:rPr>
        <w:rFonts w:hint="default"/>
      </w:rPr>
    </w:lvl>
    <w:lvl w:ilvl="4">
      <w:start w:val="0"/>
      <w:numFmt w:val="bullet"/>
      <w:lvlText w:val="•"/>
      <w:lvlJc w:val="left"/>
      <w:pPr>
        <w:ind w:left="5475" w:hanging="1133"/>
      </w:pPr>
      <w:rPr>
        <w:rFonts w:hint="default"/>
      </w:rPr>
    </w:lvl>
    <w:lvl w:ilvl="5">
      <w:start w:val="0"/>
      <w:numFmt w:val="bullet"/>
      <w:lvlText w:val="•"/>
      <w:lvlJc w:val="left"/>
      <w:pPr>
        <w:ind w:left="6547" w:hanging="1133"/>
      </w:pPr>
      <w:rPr>
        <w:rFonts w:hint="default"/>
      </w:rPr>
    </w:lvl>
    <w:lvl w:ilvl="6">
      <w:start w:val="0"/>
      <w:numFmt w:val="bullet"/>
      <w:lvlText w:val="•"/>
      <w:lvlJc w:val="left"/>
      <w:pPr>
        <w:ind w:left="7619" w:hanging="1133"/>
      </w:pPr>
      <w:rPr>
        <w:rFonts w:hint="default"/>
      </w:rPr>
    </w:lvl>
    <w:lvl w:ilvl="7">
      <w:start w:val="0"/>
      <w:numFmt w:val="bullet"/>
      <w:lvlText w:val="•"/>
      <w:lvlJc w:val="left"/>
      <w:pPr>
        <w:ind w:left="8690" w:hanging="1133"/>
      </w:pPr>
      <w:rPr>
        <w:rFonts w:hint="default"/>
      </w:rPr>
    </w:lvl>
    <w:lvl w:ilvl="8">
      <w:start w:val="0"/>
      <w:numFmt w:val="bullet"/>
      <w:lvlText w:val="•"/>
      <w:lvlJc w:val="left"/>
      <w:pPr>
        <w:ind w:left="9762" w:hanging="1133"/>
      </w:pPr>
      <w:rPr>
        <w:rFonts w:hint="default"/>
      </w:rPr>
    </w:lvl>
  </w:abstractNum>
  <w:abstractNum w:abstractNumId="9">
    <w:multiLevelType w:val="hybridMultilevel"/>
    <w:lvl w:ilvl="0">
      <w:start w:val="8"/>
      <w:numFmt w:val="decimal"/>
      <w:lvlText w:val="%1"/>
      <w:lvlJc w:val="left"/>
      <w:pPr>
        <w:ind w:left="1985" w:hanging="852"/>
        <w:jc w:val="left"/>
      </w:pPr>
      <w:rPr>
        <w:rFonts w:hint="default"/>
      </w:rPr>
    </w:lvl>
    <w:lvl w:ilvl="1">
      <w:start w:val="6"/>
      <w:numFmt w:val="decimal"/>
      <w:lvlText w:val="%1.%2"/>
      <w:lvlJc w:val="left"/>
      <w:pPr>
        <w:ind w:left="1985" w:hanging="852"/>
        <w:jc w:val="left"/>
      </w:pPr>
      <w:rPr>
        <w:rFonts w:hint="default" w:ascii="Arial" w:hAnsi="Arial" w:eastAsia="Arial" w:cs="Arial"/>
        <w:w w:val="100"/>
        <w:sz w:val="22"/>
        <w:szCs w:val="22"/>
      </w:rPr>
    </w:lvl>
    <w:lvl w:ilvl="2">
      <w:start w:val="1"/>
      <w:numFmt w:val="decimal"/>
      <w:lvlText w:val="%1.%2.%3"/>
      <w:lvlJc w:val="left"/>
      <w:pPr>
        <w:ind w:left="2266" w:hanging="1133"/>
        <w:jc w:val="left"/>
      </w:pPr>
      <w:rPr>
        <w:rFonts w:hint="default" w:ascii="Arial" w:hAnsi="Arial" w:eastAsia="Arial" w:cs="Arial"/>
        <w:w w:val="100"/>
        <w:sz w:val="22"/>
        <w:szCs w:val="22"/>
      </w:rPr>
    </w:lvl>
    <w:lvl w:ilvl="3">
      <w:start w:val="0"/>
      <w:numFmt w:val="bullet"/>
      <w:lvlText w:val="•"/>
      <w:lvlJc w:val="left"/>
      <w:pPr>
        <w:ind w:left="4403" w:hanging="1133"/>
      </w:pPr>
      <w:rPr>
        <w:rFonts w:hint="default"/>
      </w:rPr>
    </w:lvl>
    <w:lvl w:ilvl="4">
      <w:start w:val="0"/>
      <w:numFmt w:val="bullet"/>
      <w:lvlText w:val="•"/>
      <w:lvlJc w:val="left"/>
      <w:pPr>
        <w:ind w:left="5475" w:hanging="1133"/>
      </w:pPr>
      <w:rPr>
        <w:rFonts w:hint="default"/>
      </w:rPr>
    </w:lvl>
    <w:lvl w:ilvl="5">
      <w:start w:val="0"/>
      <w:numFmt w:val="bullet"/>
      <w:lvlText w:val="•"/>
      <w:lvlJc w:val="left"/>
      <w:pPr>
        <w:ind w:left="6547" w:hanging="1133"/>
      </w:pPr>
      <w:rPr>
        <w:rFonts w:hint="default"/>
      </w:rPr>
    </w:lvl>
    <w:lvl w:ilvl="6">
      <w:start w:val="0"/>
      <w:numFmt w:val="bullet"/>
      <w:lvlText w:val="•"/>
      <w:lvlJc w:val="left"/>
      <w:pPr>
        <w:ind w:left="7619" w:hanging="1133"/>
      </w:pPr>
      <w:rPr>
        <w:rFonts w:hint="default"/>
      </w:rPr>
    </w:lvl>
    <w:lvl w:ilvl="7">
      <w:start w:val="0"/>
      <w:numFmt w:val="bullet"/>
      <w:lvlText w:val="•"/>
      <w:lvlJc w:val="left"/>
      <w:pPr>
        <w:ind w:left="8690" w:hanging="1133"/>
      </w:pPr>
      <w:rPr>
        <w:rFonts w:hint="default"/>
      </w:rPr>
    </w:lvl>
    <w:lvl w:ilvl="8">
      <w:start w:val="0"/>
      <w:numFmt w:val="bullet"/>
      <w:lvlText w:val="•"/>
      <w:lvlJc w:val="left"/>
      <w:pPr>
        <w:ind w:left="9762" w:hanging="1133"/>
      </w:pPr>
      <w:rPr>
        <w:rFonts w:hint="default"/>
      </w:rPr>
    </w:lvl>
  </w:abstractNum>
  <w:abstractNum w:abstractNumId="8">
    <w:multiLevelType w:val="hybridMultilevel"/>
    <w:lvl w:ilvl="0">
      <w:start w:val="8"/>
      <w:numFmt w:val="decimal"/>
      <w:lvlText w:val="%1"/>
      <w:lvlJc w:val="left"/>
      <w:pPr>
        <w:ind w:left="1985" w:hanging="852"/>
        <w:jc w:val="left"/>
      </w:pPr>
      <w:rPr>
        <w:rFonts w:hint="default"/>
      </w:rPr>
    </w:lvl>
    <w:lvl w:ilvl="1">
      <w:start w:val="1"/>
      <w:numFmt w:val="decimal"/>
      <w:lvlText w:val="%1.%2"/>
      <w:lvlJc w:val="left"/>
      <w:pPr>
        <w:ind w:left="1985" w:hanging="852"/>
        <w:jc w:val="left"/>
      </w:pPr>
      <w:rPr>
        <w:rFonts w:hint="default" w:ascii="Arial" w:hAnsi="Arial" w:eastAsia="Arial" w:cs="Arial"/>
        <w:w w:val="100"/>
        <w:sz w:val="22"/>
        <w:szCs w:val="22"/>
      </w:rPr>
    </w:lvl>
    <w:lvl w:ilvl="2">
      <w:start w:val="1"/>
      <w:numFmt w:val="decimal"/>
      <w:lvlText w:val="%1.%2.%3"/>
      <w:lvlJc w:val="left"/>
      <w:pPr>
        <w:ind w:left="2266" w:hanging="1133"/>
        <w:jc w:val="left"/>
      </w:pPr>
      <w:rPr>
        <w:rFonts w:hint="default" w:ascii="Arial" w:hAnsi="Arial" w:eastAsia="Arial" w:cs="Arial"/>
        <w:w w:val="100"/>
        <w:sz w:val="22"/>
        <w:szCs w:val="22"/>
      </w:rPr>
    </w:lvl>
    <w:lvl w:ilvl="3">
      <w:start w:val="0"/>
      <w:numFmt w:val="bullet"/>
      <w:lvlText w:val="•"/>
      <w:lvlJc w:val="left"/>
      <w:pPr>
        <w:ind w:left="4403" w:hanging="1133"/>
      </w:pPr>
      <w:rPr>
        <w:rFonts w:hint="default"/>
      </w:rPr>
    </w:lvl>
    <w:lvl w:ilvl="4">
      <w:start w:val="0"/>
      <w:numFmt w:val="bullet"/>
      <w:lvlText w:val="•"/>
      <w:lvlJc w:val="left"/>
      <w:pPr>
        <w:ind w:left="5475" w:hanging="1133"/>
      </w:pPr>
      <w:rPr>
        <w:rFonts w:hint="default"/>
      </w:rPr>
    </w:lvl>
    <w:lvl w:ilvl="5">
      <w:start w:val="0"/>
      <w:numFmt w:val="bullet"/>
      <w:lvlText w:val="•"/>
      <w:lvlJc w:val="left"/>
      <w:pPr>
        <w:ind w:left="6547" w:hanging="1133"/>
      </w:pPr>
      <w:rPr>
        <w:rFonts w:hint="default"/>
      </w:rPr>
    </w:lvl>
    <w:lvl w:ilvl="6">
      <w:start w:val="0"/>
      <w:numFmt w:val="bullet"/>
      <w:lvlText w:val="•"/>
      <w:lvlJc w:val="left"/>
      <w:pPr>
        <w:ind w:left="7619" w:hanging="1133"/>
      </w:pPr>
      <w:rPr>
        <w:rFonts w:hint="default"/>
      </w:rPr>
    </w:lvl>
    <w:lvl w:ilvl="7">
      <w:start w:val="0"/>
      <w:numFmt w:val="bullet"/>
      <w:lvlText w:val="•"/>
      <w:lvlJc w:val="left"/>
      <w:pPr>
        <w:ind w:left="8690" w:hanging="1133"/>
      </w:pPr>
      <w:rPr>
        <w:rFonts w:hint="default"/>
      </w:rPr>
    </w:lvl>
    <w:lvl w:ilvl="8">
      <w:start w:val="0"/>
      <w:numFmt w:val="bullet"/>
      <w:lvlText w:val="•"/>
      <w:lvlJc w:val="left"/>
      <w:pPr>
        <w:ind w:left="9762" w:hanging="1133"/>
      </w:pPr>
      <w:rPr>
        <w:rFonts w:hint="default"/>
      </w:rPr>
    </w:lvl>
  </w:abstractNum>
  <w:abstractNum w:abstractNumId="7">
    <w:multiLevelType w:val="hybridMultilevel"/>
    <w:lvl w:ilvl="0">
      <w:start w:val="7"/>
      <w:numFmt w:val="decimal"/>
      <w:lvlText w:val="%1"/>
      <w:lvlJc w:val="left"/>
      <w:pPr>
        <w:ind w:left="1985" w:hanging="852"/>
        <w:jc w:val="left"/>
      </w:pPr>
      <w:rPr>
        <w:rFonts w:hint="default"/>
      </w:rPr>
    </w:lvl>
    <w:lvl w:ilvl="1">
      <w:start w:val="3"/>
      <w:numFmt w:val="decimal"/>
      <w:lvlText w:val="%1.%2"/>
      <w:lvlJc w:val="left"/>
      <w:pPr>
        <w:ind w:left="1985" w:hanging="852"/>
        <w:jc w:val="left"/>
      </w:pPr>
      <w:rPr>
        <w:rFonts w:hint="default" w:ascii="Arial" w:hAnsi="Arial" w:eastAsia="Arial" w:cs="Arial"/>
        <w:w w:val="100"/>
        <w:sz w:val="22"/>
        <w:szCs w:val="22"/>
      </w:rPr>
    </w:lvl>
    <w:lvl w:ilvl="2">
      <w:start w:val="1"/>
      <w:numFmt w:val="decimal"/>
      <w:lvlText w:val="%1.%2.%3"/>
      <w:lvlJc w:val="left"/>
      <w:pPr>
        <w:ind w:left="2266" w:hanging="1133"/>
        <w:jc w:val="left"/>
      </w:pPr>
      <w:rPr>
        <w:rFonts w:hint="default" w:ascii="Arial" w:hAnsi="Arial" w:eastAsia="Arial" w:cs="Arial"/>
        <w:w w:val="100"/>
        <w:sz w:val="22"/>
        <w:szCs w:val="22"/>
      </w:rPr>
    </w:lvl>
    <w:lvl w:ilvl="3">
      <w:start w:val="0"/>
      <w:numFmt w:val="bullet"/>
      <w:lvlText w:val="•"/>
      <w:lvlJc w:val="left"/>
      <w:pPr>
        <w:ind w:left="4403" w:hanging="1133"/>
      </w:pPr>
      <w:rPr>
        <w:rFonts w:hint="default"/>
      </w:rPr>
    </w:lvl>
    <w:lvl w:ilvl="4">
      <w:start w:val="0"/>
      <w:numFmt w:val="bullet"/>
      <w:lvlText w:val="•"/>
      <w:lvlJc w:val="left"/>
      <w:pPr>
        <w:ind w:left="5475" w:hanging="1133"/>
      </w:pPr>
      <w:rPr>
        <w:rFonts w:hint="default"/>
      </w:rPr>
    </w:lvl>
    <w:lvl w:ilvl="5">
      <w:start w:val="0"/>
      <w:numFmt w:val="bullet"/>
      <w:lvlText w:val="•"/>
      <w:lvlJc w:val="left"/>
      <w:pPr>
        <w:ind w:left="6547" w:hanging="1133"/>
      </w:pPr>
      <w:rPr>
        <w:rFonts w:hint="default"/>
      </w:rPr>
    </w:lvl>
    <w:lvl w:ilvl="6">
      <w:start w:val="0"/>
      <w:numFmt w:val="bullet"/>
      <w:lvlText w:val="•"/>
      <w:lvlJc w:val="left"/>
      <w:pPr>
        <w:ind w:left="7619" w:hanging="1133"/>
      </w:pPr>
      <w:rPr>
        <w:rFonts w:hint="default"/>
      </w:rPr>
    </w:lvl>
    <w:lvl w:ilvl="7">
      <w:start w:val="0"/>
      <w:numFmt w:val="bullet"/>
      <w:lvlText w:val="•"/>
      <w:lvlJc w:val="left"/>
      <w:pPr>
        <w:ind w:left="8690" w:hanging="1133"/>
      </w:pPr>
      <w:rPr>
        <w:rFonts w:hint="default"/>
      </w:rPr>
    </w:lvl>
    <w:lvl w:ilvl="8">
      <w:start w:val="0"/>
      <w:numFmt w:val="bullet"/>
      <w:lvlText w:val="•"/>
      <w:lvlJc w:val="left"/>
      <w:pPr>
        <w:ind w:left="9762" w:hanging="1133"/>
      </w:pPr>
      <w:rPr>
        <w:rFonts w:hint="default"/>
      </w:rPr>
    </w:lvl>
  </w:abstractNum>
  <w:abstractNum w:abstractNumId="6">
    <w:multiLevelType w:val="hybridMultilevel"/>
    <w:lvl w:ilvl="0">
      <w:start w:val="7"/>
      <w:numFmt w:val="decimal"/>
      <w:lvlText w:val="%1"/>
      <w:lvlJc w:val="left"/>
      <w:pPr>
        <w:ind w:left="1985" w:hanging="852"/>
        <w:jc w:val="left"/>
      </w:pPr>
      <w:rPr>
        <w:rFonts w:hint="default"/>
      </w:rPr>
    </w:lvl>
    <w:lvl w:ilvl="1">
      <w:start w:val="2"/>
      <w:numFmt w:val="decimal"/>
      <w:lvlText w:val="%1.%2"/>
      <w:lvlJc w:val="left"/>
      <w:pPr>
        <w:ind w:left="1985" w:hanging="852"/>
        <w:jc w:val="left"/>
      </w:pPr>
      <w:rPr>
        <w:rFonts w:hint="default" w:ascii="Arial" w:hAnsi="Arial" w:eastAsia="Arial" w:cs="Arial"/>
        <w:w w:val="100"/>
        <w:sz w:val="22"/>
        <w:szCs w:val="22"/>
      </w:rPr>
    </w:lvl>
    <w:lvl w:ilvl="2">
      <w:start w:val="1"/>
      <w:numFmt w:val="decimal"/>
      <w:lvlText w:val="%1.%2.%3"/>
      <w:lvlJc w:val="left"/>
      <w:pPr>
        <w:ind w:left="2266" w:hanging="1133"/>
        <w:jc w:val="left"/>
      </w:pPr>
      <w:rPr>
        <w:rFonts w:hint="default" w:ascii="Arial" w:hAnsi="Arial" w:eastAsia="Arial" w:cs="Arial"/>
        <w:w w:val="100"/>
        <w:sz w:val="22"/>
        <w:szCs w:val="22"/>
      </w:rPr>
    </w:lvl>
    <w:lvl w:ilvl="3">
      <w:start w:val="0"/>
      <w:numFmt w:val="bullet"/>
      <w:lvlText w:val="•"/>
      <w:lvlJc w:val="left"/>
      <w:pPr>
        <w:ind w:left="4403" w:hanging="1133"/>
      </w:pPr>
      <w:rPr>
        <w:rFonts w:hint="default"/>
      </w:rPr>
    </w:lvl>
    <w:lvl w:ilvl="4">
      <w:start w:val="0"/>
      <w:numFmt w:val="bullet"/>
      <w:lvlText w:val="•"/>
      <w:lvlJc w:val="left"/>
      <w:pPr>
        <w:ind w:left="5475" w:hanging="1133"/>
      </w:pPr>
      <w:rPr>
        <w:rFonts w:hint="default"/>
      </w:rPr>
    </w:lvl>
    <w:lvl w:ilvl="5">
      <w:start w:val="0"/>
      <w:numFmt w:val="bullet"/>
      <w:lvlText w:val="•"/>
      <w:lvlJc w:val="left"/>
      <w:pPr>
        <w:ind w:left="6547" w:hanging="1133"/>
      </w:pPr>
      <w:rPr>
        <w:rFonts w:hint="default"/>
      </w:rPr>
    </w:lvl>
    <w:lvl w:ilvl="6">
      <w:start w:val="0"/>
      <w:numFmt w:val="bullet"/>
      <w:lvlText w:val="•"/>
      <w:lvlJc w:val="left"/>
      <w:pPr>
        <w:ind w:left="7619" w:hanging="1133"/>
      </w:pPr>
      <w:rPr>
        <w:rFonts w:hint="default"/>
      </w:rPr>
    </w:lvl>
    <w:lvl w:ilvl="7">
      <w:start w:val="0"/>
      <w:numFmt w:val="bullet"/>
      <w:lvlText w:val="•"/>
      <w:lvlJc w:val="left"/>
      <w:pPr>
        <w:ind w:left="8690" w:hanging="1133"/>
      </w:pPr>
      <w:rPr>
        <w:rFonts w:hint="default"/>
      </w:rPr>
    </w:lvl>
    <w:lvl w:ilvl="8">
      <w:start w:val="0"/>
      <w:numFmt w:val="bullet"/>
      <w:lvlText w:val="•"/>
      <w:lvlJc w:val="left"/>
      <w:pPr>
        <w:ind w:left="9762" w:hanging="1133"/>
      </w:pPr>
      <w:rPr>
        <w:rFonts w:hint="default"/>
      </w:rPr>
    </w:lvl>
  </w:abstractNum>
  <w:abstractNum w:abstractNumId="5">
    <w:multiLevelType w:val="hybridMultilevel"/>
    <w:lvl w:ilvl="0">
      <w:start w:val="0"/>
      <w:numFmt w:val="bullet"/>
      <w:lvlText w:val=""/>
      <w:lvlJc w:val="left"/>
      <w:pPr>
        <w:ind w:left="480" w:hanging="360"/>
      </w:pPr>
      <w:rPr>
        <w:rFonts w:hint="default" w:ascii="Symbol" w:hAnsi="Symbol" w:eastAsia="Symbol" w:cs="Symbol"/>
        <w:w w:val="100"/>
        <w:sz w:val="24"/>
        <w:szCs w:val="24"/>
      </w:rPr>
    </w:lvl>
    <w:lvl w:ilvl="1">
      <w:start w:val="0"/>
      <w:numFmt w:val="bullet"/>
      <w:lvlText w:val="-"/>
      <w:lvlJc w:val="left"/>
      <w:pPr>
        <w:ind w:left="1416" w:hanging="284"/>
      </w:pPr>
      <w:rPr>
        <w:rFonts w:hint="default" w:ascii="Arial" w:hAnsi="Arial" w:eastAsia="Arial" w:cs="Arial"/>
        <w:w w:val="99"/>
        <w:sz w:val="20"/>
        <w:szCs w:val="20"/>
      </w:rPr>
    </w:lvl>
    <w:lvl w:ilvl="2">
      <w:start w:val="0"/>
      <w:numFmt w:val="bullet"/>
      <w:lvlText w:val="•"/>
      <w:lvlJc w:val="left"/>
      <w:pPr>
        <w:ind w:left="1420" w:hanging="284"/>
      </w:pPr>
      <w:rPr>
        <w:rFonts w:hint="default"/>
      </w:rPr>
    </w:lvl>
    <w:lvl w:ilvl="3">
      <w:start w:val="0"/>
      <w:numFmt w:val="bullet"/>
      <w:lvlText w:val="•"/>
      <w:lvlJc w:val="left"/>
      <w:pPr>
        <w:ind w:left="1980" w:hanging="284"/>
      </w:pPr>
      <w:rPr>
        <w:rFonts w:hint="default"/>
      </w:rPr>
    </w:lvl>
    <w:lvl w:ilvl="4">
      <w:start w:val="0"/>
      <w:numFmt w:val="bullet"/>
      <w:lvlText w:val="•"/>
      <w:lvlJc w:val="left"/>
      <w:pPr>
        <w:ind w:left="2960" w:hanging="284"/>
      </w:pPr>
      <w:rPr>
        <w:rFonts w:hint="default"/>
      </w:rPr>
    </w:lvl>
    <w:lvl w:ilvl="5">
      <w:start w:val="0"/>
      <w:numFmt w:val="bullet"/>
      <w:lvlText w:val="•"/>
      <w:lvlJc w:val="left"/>
      <w:pPr>
        <w:ind w:left="3940" w:hanging="284"/>
      </w:pPr>
      <w:rPr>
        <w:rFonts w:hint="default"/>
      </w:rPr>
    </w:lvl>
    <w:lvl w:ilvl="6">
      <w:start w:val="0"/>
      <w:numFmt w:val="bullet"/>
      <w:lvlText w:val="•"/>
      <w:lvlJc w:val="left"/>
      <w:pPr>
        <w:ind w:left="4920" w:hanging="284"/>
      </w:pPr>
      <w:rPr>
        <w:rFonts w:hint="default"/>
      </w:rPr>
    </w:lvl>
    <w:lvl w:ilvl="7">
      <w:start w:val="0"/>
      <w:numFmt w:val="bullet"/>
      <w:lvlText w:val="•"/>
      <w:lvlJc w:val="left"/>
      <w:pPr>
        <w:ind w:left="5900" w:hanging="284"/>
      </w:pPr>
      <w:rPr>
        <w:rFonts w:hint="default"/>
      </w:rPr>
    </w:lvl>
    <w:lvl w:ilvl="8">
      <w:start w:val="0"/>
      <w:numFmt w:val="bullet"/>
      <w:lvlText w:val="•"/>
      <w:lvlJc w:val="left"/>
      <w:pPr>
        <w:ind w:left="6880" w:hanging="284"/>
      </w:pPr>
      <w:rPr>
        <w:rFonts w:hint="default"/>
      </w:rPr>
    </w:lvl>
  </w:abstractNum>
  <w:abstractNum w:abstractNumId="4">
    <w:multiLevelType w:val="hybridMultilevel"/>
    <w:lvl w:ilvl="0">
      <w:start w:val="5"/>
      <w:numFmt w:val="decimal"/>
      <w:lvlText w:val="%1"/>
      <w:lvlJc w:val="left"/>
      <w:pPr>
        <w:ind w:left="120" w:hanging="360"/>
        <w:jc w:val="left"/>
      </w:pPr>
      <w:rPr>
        <w:rFonts w:hint="default"/>
      </w:rPr>
    </w:lvl>
    <w:lvl w:ilvl="1">
      <w:start w:val="9"/>
      <w:numFmt w:val="decimal"/>
      <w:lvlText w:val="%1.%2"/>
      <w:lvlJc w:val="left"/>
      <w:pPr>
        <w:ind w:left="120" w:hanging="360"/>
        <w:jc w:val="left"/>
      </w:pPr>
      <w:rPr>
        <w:rFonts w:hint="default" w:ascii="Times New Roman" w:hAnsi="Times New Roman" w:eastAsia="Times New Roman" w:cs="Times New Roman"/>
        <w:spacing w:val="-5"/>
        <w:w w:val="99"/>
        <w:sz w:val="24"/>
        <w:szCs w:val="24"/>
      </w:rPr>
    </w:lvl>
    <w:lvl w:ilvl="2">
      <w:start w:val="1"/>
      <w:numFmt w:val="upperLetter"/>
      <w:lvlText w:val="%3."/>
      <w:lvlJc w:val="left"/>
      <w:pPr>
        <w:ind w:left="1560" w:hanging="720"/>
        <w:jc w:val="left"/>
      </w:pPr>
      <w:rPr>
        <w:rFonts w:hint="default" w:ascii="Times New Roman" w:hAnsi="Times New Roman" w:eastAsia="Times New Roman" w:cs="Times New Roman"/>
        <w:b/>
        <w:bCs/>
        <w:spacing w:val="-1"/>
        <w:w w:val="99"/>
        <w:sz w:val="24"/>
        <w:szCs w:val="24"/>
      </w:rPr>
    </w:lvl>
    <w:lvl w:ilvl="3">
      <w:start w:val="1"/>
      <w:numFmt w:val="decimal"/>
      <w:lvlText w:val="%4."/>
      <w:lvlJc w:val="left"/>
      <w:pPr>
        <w:ind w:left="1560" w:hanging="360"/>
        <w:jc w:val="left"/>
      </w:pPr>
      <w:rPr>
        <w:rFonts w:hint="default" w:ascii="Times New Roman" w:hAnsi="Times New Roman" w:eastAsia="Times New Roman" w:cs="Times New Roman"/>
        <w:i/>
        <w:spacing w:val="-6"/>
        <w:w w:val="99"/>
        <w:sz w:val="24"/>
        <w:szCs w:val="24"/>
      </w:rPr>
    </w:lvl>
    <w:lvl w:ilvl="4">
      <w:start w:val="0"/>
      <w:numFmt w:val="bullet"/>
      <w:lvlText w:val="•"/>
      <w:lvlJc w:val="left"/>
      <w:pPr>
        <w:ind w:left="4226" w:hanging="360"/>
      </w:pPr>
      <w:rPr>
        <w:rFonts w:hint="default"/>
      </w:rPr>
    </w:lvl>
    <w:lvl w:ilvl="5">
      <w:start w:val="0"/>
      <w:numFmt w:val="bullet"/>
      <w:lvlText w:val="•"/>
      <w:lvlJc w:val="left"/>
      <w:pPr>
        <w:ind w:left="5115" w:hanging="360"/>
      </w:pPr>
      <w:rPr>
        <w:rFonts w:hint="default"/>
      </w:rPr>
    </w:lvl>
    <w:lvl w:ilvl="6">
      <w:start w:val="0"/>
      <w:numFmt w:val="bullet"/>
      <w:lvlText w:val="•"/>
      <w:lvlJc w:val="left"/>
      <w:pPr>
        <w:ind w:left="6004" w:hanging="360"/>
      </w:pPr>
      <w:rPr>
        <w:rFonts w:hint="default"/>
      </w:rPr>
    </w:lvl>
    <w:lvl w:ilvl="7">
      <w:start w:val="0"/>
      <w:numFmt w:val="bullet"/>
      <w:lvlText w:val="•"/>
      <w:lvlJc w:val="left"/>
      <w:pPr>
        <w:ind w:left="6893" w:hanging="360"/>
      </w:pPr>
      <w:rPr>
        <w:rFonts w:hint="default"/>
      </w:rPr>
    </w:lvl>
    <w:lvl w:ilvl="8">
      <w:start w:val="0"/>
      <w:numFmt w:val="bullet"/>
      <w:lvlText w:val="•"/>
      <w:lvlJc w:val="left"/>
      <w:pPr>
        <w:ind w:left="7782" w:hanging="360"/>
      </w:pPr>
      <w:rPr>
        <w:rFonts w:hint="default"/>
      </w:rPr>
    </w:lvl>
  </w:abstractNum>
  <w:abstractNum w:abstractNumId="3">
    <w:multiLevelType w:val="hybridMultilevel"/>
    <w:lvl w:ilvl="0">
      <w:start w:val="3"/>
      <w:numFmt w:val="upperLetter"/>
      <w:lvlText w:val="%1-"/>
      <w:lvlJc w:val="left"/>
      <w:pPr>
        <w:ind w:left="361" w:hanging="242"/>
        <w:jc w:val="left"/>
      </w:pPr>
      <w:rPr>
        <w:rFonts w:hint="default"/>
        <w:spacing w:val="-1"/>
        <w:u w:val="single" w:color="000000"/>
      </w:rPr>
    </w:lvl>
    <w:lvl w:ilvl="1">
      <w:start w:val="0"/>
      <w:numFmt w:val="bullet"/>
      <w:lvlText w:val=""/>
      <w:lvlJc w:val="left"/>
      <w:pPr>
        <w:ind w:left="1200" w:hanging="360"/>
      </w:pPr>
      <w:rPr>
        <w:rFonts w:hint="default" w:ascii="Symbol" w:hAnsi="Symbol" w:eastAsia="Symbol" w:cs="Symbol"/>
        <w:w w:val="100"/>
        <w:sz w:val="24"/>
        <w:szCs w:val="24"/>
      </w:rPr>
    </w:lvl>
    <w:lvl w:ilvl="2">
      <w:start w:val="0"/>
      <w:numFmt w:val="bullet"/>
      <w:lvlText w:val="•"/>
      <w:lvlJc w:val="left"/>
      <w:pPr>
        <w:ind w:left="2131" w:hanging="360"/>
      </w:pPr>
      <w:rPr>
        <w:rFonts w:hint="default"/>
      </w:rPr>
    </w:lvl>
    <w:lvl w:ilvl="3">
      <w:start w:val="0"/>
      <w:numFmt w:val="bullet"/>
      <w:lvlText w:val="•"/>
      <w:lvlJc w:val="left"/>
      <w:pPr>
        <w:ind w:left="3062" w:hanging="360"/>
      </w:pPr>
      <w:rPr>
        <w:rFonts w:hint="default"/>
      </w:rPr>
    </w:lvl>
    <w:lvl w:ilvl="4">
      <w:start w:val="0"/>
      <w:numFmt w:val="bullet"/>
      <w:lvlText w:val="•"/>
      <w:lvlJc w:val="left"/>
      <w:pPr>
        <w:ind w:left="3993" w:hanging="360"/>
      </w:pPr>
      <w:rPr>
        <w:rFonts w:hint="default"/>
      </w:rPr>
    </w:lvl>
    <w:lvl w:ilvl="5">
      <w:start w:val="0"/>
      <w:numFmt w:val="bullet"/>
      <w:lvlText w:val="•"/>
      <w:lvlJc w:val="left"/>
      <w:pPr>
        <w:ind w:left="4924" w:hanging="360"/>
      </w:pPr>
      <w:rPr>
        <w:rFonts w:hint="default"/>
      </w:rPr>
    </w:lvl>
    <w:lvl w:ilvl="6">
      <w:start w:val="0"/>
      <w:numFmt w:val="bullet"/>
      <w:lvlText w:val="•"/>
      <w:lvlJc w:val="left"/>
      <w:pPr>
        <w:ind w:left="5855" w:hanging="360"/>
      </w:pPr>
      <w:rPr>
        <w:rFonts w:hint="default"/>
      </w:rPr>
    </w:lvl>
    <w:lvl w:ilvl="7">
      <w:start w:val="0"/>
      <w:numFmt w:val="bullet"/>
      <w:lvlText w:val="•"/>
      <w:lvlJc w:val="left"/>
      <w:pPr>
        <w:ind w:left="6786" w:hanging="360"/>
      </w:pPr>
      <w:rPr>
        <w:rFonts w:hint="default"/>
      </w:rPr>
    </w:lvl>
    <w:lvl w:ilvl="8">
      <w:start w:val="0"/>
      <w:numFmt w:val="bullet"/>
      <w:lvlText w:val="•"/>
      <w:lvlJc w:val="left"/>
      <w:pPr>
        <w:ind w:left="7717" w:hanging="360"/>
      </w:pPr>
      <w:rPr>
        <w:rFonts w:hint="default"/>
      </w:rPr>
    </w:lvl>
  </w:abstractNum>
  <w:abstractNum w:abstractNumId="2">
    <w:multiLevelType w:val="hybridMultilevel"/>
    <w:lvl w:ilvl="0">
      <w:start w:val="1"/>
      <w:numFmt w:val="upperLetter"/>
      <w:lvlText w:val="%1."/>
      <w:lvlJc w:val="left"/>
      <w:pPr>
        <w:ind w:left="1560" w:hanging="720"/>
        <w:jc w:val="left"/>
      </w:pPr>
      <w:rPr>
        <w:rFonts w:hint="default" w:ascii="Times New Roman" w:hAnsi="Times New Roman" w:eastAsia="Times New Roman" w:cs="Times New Roman"/>
        <w:b/>
        <w:bCs/>
        <w:spacing w:val="-1"/>
        <w:w w:val="99"/>
        <w:sz w:val="24"/>
        <w:szCs w:val="24"/>
      </w:rPr>
    </w:lvl>
    <w:lvl w:ilvl="1">
      <w:start w:val="1"/>
      <w:numFmt w:val="decimal"/>
      <w:lvlText w:val="%2."/>
      <w:lvlJc w:val="left"/>
      <w:pPr>
        <w:ind w:left="2280" w:hanging="360"/>
        <w:jc w:val="left"/>
      </w:pPr>
      <w:rPr>
        <w:rFonts w:hint="default" w:ascii="Times New Roman" w:hAnsi="Times New Roman" w:eastAsia="Times New Roman" w:cs="Times New Roman"/>
        <w:i/>
        <w:spacing w:val="-2"/>
        <w:w w:val="99"/>
        <w:sz w:val="24"/>
        <w:szCs w:val="24"/>
      </w:rPr>
    </w:lvl>
    <w:lvl w:ilvl="2">
      <w:start w:val="0"/>
      <w:numFmt w:val="bullet"/>
      <w:lvlText w:val="•"/>
      <w:lvlJc w:val="left"/>
      <w:pPr>
        <w:ind w:left="3084" w:hanging="360"/>
      </w:pPr>
      <w:rPr>
        <w:rFonts w:hint="default"/>
      </w:rPr>
    </w:lvl>
    <w:lvl w:ilvl="3">
      <w:start w:val="0"/>
      <w:numFmt w:val="bullet"/>
      <w:lvlText w:val="•"/>
      <w:lvlJc w:val="left"/>
      <w:pPr>
        <w:ind w:left="3888" w:hanging="360"/>
      </w:pPr>
      <w:rPr>
        <w:rFonts w:hint="default"/>
      </w:rPr>
    </w:lvl>
    <w:lvl w:ilvl="4">
      <w:start w:val="0"/>
      <w:numFmt w:val="bullet"/>
      <w:lvlText w:val="•"/>
      <w:lvlJc w:val="left"/>
      <w:pPr>
        <w:ind w:left="4693" w:hanging="360"/>
      </w:pPr>
      <w:rPr>
        <w:rFonts w:hint="default"/>
      </w:rPr>
    </w:lvl>
    <w:lvl w:ilvl="5">
      <w:start w:val="0"/>
      <w:numFmt w:val="bullet"/>
      <w:lvlText w:val="•"/>
      <w:lvlJc w:val="left"/>
      <w:pPr>
        <w:ind w:left="5497" w:hanging="360"/>
      </w:pPr>
      <w:rPr>
        <w:rFonts w:hint="default"/>
      </w:rPr>
    </w:lvl>
    <w:lvl w:ilvl="6">
      <w:start w:val="0"/>
      <w:numFmt w:val="bullet"/>
      <w:lvlText w:val="•"/>
      <w:lvlJc w:val="left"/>
      <w:pPr>
        <w:ind w:left="6302" w:hanging="360"/>
      </w:pPr>
      <w:rPr>
        <w:rFonts w:hint="default"/>
      </w:rPr>
    </w:lvl>
    <w:lvl w:ilvl="7">
      <w:start w:val="0"/>
      <w:numFmt w:val="bullet"/>
      <w:lvlText w:val="•"/>
      <w:lvlJc w:val="left"/>
      <w:pPr>
        <w:ind w:left="7106" w:hanging="360"/>
      </w:pPr>
      <w:rPr>
        <w:rFonts w:hint="default"/>
      </w:rPr>
    </w:lvl>
    <w:lvl w:ilvl="8">
      <w:start w:val="0"/>
      <w:numFmt w:val="bullet"/>
      <w:lvlText w:val="•"/>
      <w:lvlJc w:val="left"/>
      <w:pPr>
        <w:ind w:left="7911" w:hanging="360"/>
      </w:pPr>
      <w:rPr>
        <w:rFonts w:hint="default"/>
      </w:rPr>
    </w:lvl>
  </w:abstractNum>
  <w:abstractNum w:abstractNumId="1">
    <w:multiLevelType w:val="hybridMultilevel"/>
    <w:lvl w:ilvl="0">
      <w:start w:val="2"/>
      <w:numFmt w:val="decimal"/>
      <w:lvlText w:val="%1"/>
      <w:lvlJc w:val="left"/>
      <w:pPr>
        <w:ind w:left="140" w:hanging="600"/>
        <w:jc w:val="left"/>
      </w:pPr>
      <w:rPr>
        <w:rFonts w:hint="default"/>
      </w:rPr>
    </w:lvl>
    <w:lvl w:ilvl="1">
      <w:start w:val="106"/>
      <w:numFmt w:val="decimal"/>
      <w:lvlText w:val="%1.%2"/>
      <w:lvlJc w:val="left"/>
      <w:pPr>
        <w:ind w:left="140" w:hanging="600"/>
        <w:jc w:val="left"/>
      </w:pPr>
      <w:rPr>
        <w:rFonts w:hint="default" w:ascii="Times New Roman" w:hAnsi="Times New Roman" w:eastAsia="Times New Roman" w:cs="Times New Roman"/>
        <w:spacing w:val="-8"/>
        <w:w w:val="99"/>
        <w:sz w:val="24"/>
        <w:szCs w:val="24"/>
      </w:rPr>
    </w:lvl>
    <w:lvl w:ilvl="2">
      <w:start w:val="1"/>
      <w:numFmt w:val="upperRoman"/>
      <w:lvlText w:val="%3."/>
      <w:lvlJc w:val="left"/>
      <w:pPr>
        <w:ind w:left="840" w:hanging="720"/>
        <w:jc w:val="right"/>
      </w:pPr>
      <w:rPr>
        <w:rFonts w:hint="default" w:ascii="Times New Roman" w:hAnsi="Times New Roman" w:eastAsia="Times New Roman" w:cs="Times New Roman"/>
        <w:b/>
        <w:bCs/>
        <w:w w:val="99"/>
        <w:sz w:val="24"/>
        <w:szCs w:val="24"/>
      </w:rPr>
    </w:lvl>
    <w:lvl w:ilvl="3">
      <w:start w:val="1"/>
      <w:numFmt w:val="decimal"/>
      <w:lvlText w:val="%4"/>
      <w:lvlJc w:val="left"/>
      <w:pPr>
        <w:ind w:left="1699" w:hanging="567"/>
        <w:jc w:val="left"/>
      </w:pPr>
      <w:rPr>
        <w:rFonts w:hint="default" w:ascii="Arial" w:hAnsi="Arial" w:eastAsia="Arial" w:cs="Arial"/>
        <w:w w:val="100"/>
        <w:sz w:val="22"/>
        <w:szCs w:val="22"/>
      </w:rPr>
    </w:lvl>
    <w:lvl w:ilvl="4">
      <w:start w:val="1"/>
      <w:numFmt w:val="decimal"/>
      <w:lvlText w:val="%4.%5"/>
      <w:lvlJc w:val="left"/>
      <w:pPr>
        <w:ind w:left="1985" w:hanging="852"/>
        <w:jc w:val="left"/>
      </w:pPr>
      <w:rPr>
        <w:rFonts w:hint="default" w:ascii="Arial" w:hAnsi="Arial" w:eastAsia="Arial" w:cs="Arial"/>
        <w:w w:val="100"/>
        <w:sz w:val="22"/>
        <w:szCs w:val="22"/>
      </w:rPr>
    </w:lvl>
    <w:lvl w:ilvl="5">
      <w:start w:val="1"/>
      <w:numFmt w:val="decimal"/>
      <w:lvlText w:val="%4.%5.%6"/>
      <w:lvlJc w:val="left"/>
      <w:pPr>
        <w:ind w:left="2266" w:hanging="1133"/>
        <w:jc w:val="left"/>
      </w:pPr>
      <w:rPr>
        <w:rFonts w:hint="default" w:ascii="Arial" w:hAnsi="Arial" w:eastAsia="Arial" w:cs="Arial"/>
        <w:w w:val="100"/>
        <w:sz w:val="22"/>
        <w:szCs w:val="22"/>
      </w:rPr>
    </w:lvl>
    <w:lvl w:ilvl="6">
      <w:start w:val="0"/>
      <w:numFmt w:val="bullet"/>
      <w:lvlText w:val="•"/>
      <w:lvlJc w:val="left"/>
      <w:pPr>
        <w:ind w:left="4706" w:hanging="1133"/>
      </w:pPr>
      <w:rPr>
        <w:rFonts w:hint="default"/>
      </w:rPr>
    </w:lvl>
    <w:lvl w:ilvl="7">
      <w:start w:val="0"/>
      <w:numFmt w:val="bullet"/>
      <w:lvlText w:val="•"/>
      <w:lvlJc w:val="left"/>
      <w:pPr>
        <w:ind w:left="5930" w:hanging="1133"/>
      </w:pPr>
      <w:rPr>
        <w:rFonts w:hint="default"/>
      </w:rPr>
    </w:lvl>
    <w:lvl w:ilvl="8">
      <w:start w:val="0"/>
      <w:numFmt w:val="bullet"/>
      <w:lvlText w:val="•"/>
      <w:lvlJc w:val="left"/>
      <w:pPr>
        <w:ind w:left="7153" w:hanging="1133"/>
      </w:pPr>
      <w:rPr>
        <w:rFonts w:hint="default"/>
      </w:rPr>
    </w:lvl>
  </w:abstractNum>
  <w:abstractNum w:abstractNumId="0">
    <w:multiLevelType w:val="hybridMultilevel"/>
    <w:lvl w:ilvl="0">
      <w:start w:val="1"/>
      <w:numFmt w:val="upperRoman"/>
      <w:lvlText w:val="%1."/>
      <w:lvlJc w:val="left"/>
      <w:pPr>
        <w:ind w:left="651" w:hanging="540"/>
        <w:jc w:val="left"/>
      </w:pPr>
      <w:rPr>
        <w:rFonts w:hint="default" w:ascii="Times New Roman" w:hAnsi="Times New Roman" w:eastAsia="Times New Roman" w:cs="Times New Roman"/>
        <w:b/>
        <w:bCs/>
        <w:w w:val="99"/>
        <w:sz w:val="24"/>
        <w:szCs w:val="24"/>
      </w:rPr>
    </w:lvl>
    <w:lvl w:ilvl="1">
      <w:start w:val="1"/>
      <w:numFmt w:val="upperLetter"/>
      <w:lvlText w:val="%2."/>
      <w:lvlJc w:val="left"/>
      <w:pPr>
        <w:ind w:left="1191" w:hanging="540"/>
        <w:jc w:val="left"/>
      </w:pPr>
      <w:rPr>
        <w:rFonts w:hint="default" w:ascii="Times New Roman" w:hAnsi="Times New Roman" w:eastAsia="Times New Roman" w:cs="Times New Roman"/>
        <w:b/>
        <w:bCs/>
        <w:spacing w:val="-1"/>
        <w:w w:val="99"/>
        <w:sz w:val="24"/>
        <w:szCs w:val="24"/>
      </w:rPr>
    </w:lvl>
    <w:lvl w:ilvl="2">
      <w:start w:val="1"/>
      <w:numFmt w:val="decimal"/>
      <w:lvlText w:val="%3."/>
      <w:lvlJc w:val="left"/>
      <w:pPr>
        <w:ind w:left="1731" w:hanging="540"/>
        <w:jc w:val="left"/>
      </w:pPr>
      <w:rPr>
        <w:rFonts w:hint="default" w:ascii="Times New Roman" w:hAnsi="Times New Roman" w:eastAsia="Times New Roman" w:cs="Times New Roman"/>
        <w:spacing w:val="-3"/>
        <w:w w:val="99"/>
        <w:sz w:val="24"/>
        <w:szCs w:val="24"/>
      </w:rPr>
    </w:lvl>
    <w:lvl w:ilvl="3">
      <w:start w:val="0"/>
      <w:numFmt w:val="bullet"/>
      <w:lvlText w:val="•"/>
      <w:lvlJc w:val="left"/>
      <w:pPr>
        <w:ind w:left="2685" w:hanging="540"/>
      </w:pPr>
      <w:rPr>
        <w:rFonts w:hint="default"/>
      </w:rPr>
    </w:lvl>
    <w:lvl w:ilvl="4">
      <w:start w:val="0"/>
      <w:numFmt w:val="bullet"/>
      <w:lvlText w:val="•"/>
      <w:lvlJc w:val="left"/>
      <w:pPr>
        <w:ind w:left="3630" w:hanging="540"/>
      </w:pPr>
      <w:rPr>
        <w:rFonts w:hint="default"/>
      </w:rPr>
    </w:lvl>
    <w:lvl w:ilvl="5">
      <w:start w:val="0"/>
      <w:numFmt w:val="bullet"/>
      <w:lvlText w:val="•"/>
      <w:lvlJc w:val="left"/>
      <w:pPr>
        <w:ind w:left="4575" w:hanging="540"/>
      </w:pPr>
      <w:rPr>
        <w:rFonts w:hint="default"/>
      </w:rPr>
    </w:lvl>
    <w:lvl w:ilvl="6">
      <w:start w:val="0"/>
      <w:numFmt w:val="bullet"/>
      <w:lvlText w:val="•"/>
      <w:lvlJc w:val="left"/>
      <w:pPr>
        <w:ind w:left="5520" w:hanging="540"/>
      </w:pPr>
      <w:rPr>
        <w:rFonts w:hint="default"/>
      </w:rPr>
    </w:lvl>
    <w:lvl w:ilvl="7">
      <w:start w:val="0"/>
      <w:numFmt w:val="bullet"/>
      <w:lvlText w:val="•"/>
      <w:lvlJc w:val="left"/>
      <w:pPr>
        <w:ind w:left="6465" w:hanging="540"/>
      </w:pPr>
      <w:rPr>
        <w:rFonts w:hint="default"/>
      </w:rPr>
    </w:lvl>
    <w:lvl w:ilvl="8">
      <w:start w:val="0"/>
      <w:numFmt w:val="bullet"/>
      <w:lvlText w:val="•"/>
      <w:lvlJc w:val="left"/>
      <w:pPr>
        <w:ind w:left="7410" w:hanging="540"/>
      </w:pPr>
      <w:rPr>
        <w:rFonts w:hint="default"/>
      </w:rPr>
    </w:lvl>
  </w:abstract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7">
    <w:abstractNumId w:val="16"/>
  </w:num>
  <w:num w:numId="18">
    <w:abstractNumId w:val="17"/>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line="252" w:lineRule="exact"/>
      <w:ind w:left="2266" w:hanging="1133"/>
    </w:pPr>
    <w:rPr>
      <w:rFonts w:ascii="Arial" w:hAnsi="Arial" w:eastAsia="Arial" w:cs="Arial"/>
      <w:sz w:val="22"/>
      <w:szCs w:val="22"/>
    </w:rPr>
  </w:style>
  <w:style w:styleId="TOC2" w:type="paragraph">
    <w:name w:val="TOC 2"/>
    <w:basedOn w:val="Normal"/>
    <w:uiPriority w:val="1"/>
    <w:qFormat/>
    <w:pPr>
      <w:spacing w:line="252" w:lineRule="exact"/>
      <w:ind w:left="2265"/>
    </w:pPr>
    <w:rPr>
      <w:rFonts w:ascii="Arial" w:hAnsi="Arial" w:eastAsia="Arial" w:cs="Arial"/>
      <w:sz w:val="22"/>
      <w:szCs w:val="22"/>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before="56"/>
      <w:ind w:left="2265"/>
      <w:outlineLvl w:val="1"/>
    </w:pPr>
    <w:rPr>
      <w:rFonts w:ascii="Arial" w:hAnsi="Arial" w:eastAsia="Arial" w:cs="Arial"/>
      <w:sz w:val="36"/>
      <w:szCs w:val="36"/>
    </w:rPr>
  </w:style>
  <w:style w:styleId="Heading2" w:type="paragraph">
    <w:name w:val="Heading 2"/>
    <w:basedOn w:val="Normal"/>
    <w:uiPriority w:val="1"/>
    <w:qFormat/>
    <w:pPr>
      <w:ind w:left="2266" w:hanging="1133"/>
      <w:jc w:val="both"/>
      <w:outlineLvl w:val="2"/>
    </w:pPr>
    <w:rPr>
      <w:rFonts w:ascii="Arial" w:hAnsi="Arial" w:eastAsia="Arial" w:cs="Arial"/>
      <w:sz w:val="32"/>
      <w:szCs w:val="32"/>
    </w:rPr>
  </w:style>
  <w:style w:styleId="Heading3" w:type="paragraph">
    <w:name w:val="Heading 3"/>
    <w:basedOn w:val="Normal"/>
    <w:uiPriority w:val="1"/>
    <w:qFormat/>
    <w:pPr>
      <w:ind w:left="2266" w:hanging="1133"/>
      <w:jc w:val="both"/>
      <w:outlineLvl w:val="3"/>
    </w:pPr>
    <w:rPr>
      <w:rFonts w:ascii="Arial" w:hAnsi="Arial" w:eastAsia="Arial" w:cs="Arial"/>
      <w:sz w:val="28"/>
      <w:szCs w:val="28"/>
    </w:rPr>
  </w:style>
  <w:style w:styleId="Heading4" w:type="paragraph">
    <w:name w:val="Heading 4"/>
    <w:basedOn w:val="Normal"/>
    <w:uiPriority w:val="1"/>
    <w:qFormat/>
    <w:pPr>
      <w:ind w:left="1133"/>
      <w:outlineLvl w:val="4"/>
    </w:pPr>
    <w:rPr>
      <w:rFonts w:ascii="Arial" w:hAnsi="Arial" w:eastAsia="Arial" w:cs="Arial"/>
      <w:b/>
      <w:bCs/>
      <w:sz w:val="24"/>
      <w:szCs w:val="24"/>
    </w:rPr>
  </w:style>
  <w:style w:styleId="Heading5" w:type="paragraph">
    <w:name w:val="Heading 5"/>
    <w:basedOn w:val="Normal"/>
    <w:uiPriority w:val="1"/>
    <w:qFormat/>
    <w:pPr>
      <w:ind w:left="480"/>
      <w:outlineLvl w:val="5"/>
    </w:pPr>
    <w:rPr>
      <w:rFonts w:ascii="Times New Roman" w:hAnsi="Times New Roman" w:eastAsia="Times New Roman" w:cs="Times New Roman"/>
      <w:sz w:val="24"/>
      <w:szCs w:val="24"/>
    </w:rPr>
  </w:style>
  <w:style w:styleId="Heading6" w:type="paragraph">
    <w:name w:val="Heading 6"/>
    <w:basedOn w:val="Normal"/>
    <w:uiPriority w:val="1"/>
    <w:qFormat/>
    <w:pPr>
      <w:ind w:left="2834" w:hanging="1701"/>
      <w:jc w:val="both"/>
      <w:outlineLvl w:val="6"/>
    </w:pPr>
    <w:rPr>
      <w:rFonts w:ascii="Arial" w:hAnsi="Arial" w:eastAsia="Arial" w:cs="Arial"/>
      <w:sz w:val="22"/>
      <w:szCs w:val="22"/>
    </w:rPr>
  </w:style>
  <w:style w:styleId="Heading7" w:type="paragraph">
    <w:name w:val="Heading 7"/>
    <w:basedOn w:val="Normal"/>
    <w:uiPriority w:val="1"/>
    <w:qFormat/>
    <w:pPr>
      <w:ind w:left="1133"/>
      <w:outlineLvl w:val="7"/>
    </w:pPr>
    <w:rPr>
      <w:rFonts w:ascii="Arial" w:hAnsi="Arial" w:eastAsia="Arial" w:cs="Arial"/>
      <w:b/>
      <w:bCs/>
      <w:sz w:val="20"/>
      <w:szCs w:val="20"/>
    </w:rPr>
  </w:style>
  <w:style w:styleId="ListParagraph" w:type="paragraph">
    <w:name w:val="List Paragraph"/>
    <w:basedOn w:val="Normal"/>
    <w:uiPriority w:val="1"/>
    <w:qFormat/>
    <w:pPr>
      <w:spacing w:before="180"/>
      <w:ind w:left="1985" w:hanging="286"/>
    </w:pPr>
    <w:rPr>
      <w:rFonts w:ascii="Arial" w:hAnsi="Arial" w:eastAsia="Arial" w:cs="Arial"/>
    </w:rPr>
  </w:style>
  <w:style w:styleId="TableParagraph" w:type="paragraph">
    <w:name w:val="Table Paragraph"/>
    <w:basedOn w:val="Normal"/>
    <w:uiPriority w:val="1"/>
    <w:qFormat/>
    <w:pPr>
      <w:spacing w:line="206" w:lineRule="exact"/>
      <w:ind w:left="103"/>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yperlink" Target="http://www.5gaa.org/" TargetMode="External"/><Relationship Id="rId10" Type="http://schemas.openxmlformats.org/officeDocument/2006/relationships/hyperlink" Target="http://5gaa.org/news/5gaa-bmw-group-ford-and-groupe-psa-exhibit-first-european-demonstration-of-c-v2x-direct-communication-interoperability-between-multiple-automakers" TargetMode="External"/><Relationship Id="rId11" Type="http://schemas.openxmlformats.org/officeDocument/2006/relationships/hyperlink" Target="http://5gaa.org/news/5gaa-audi-ford-and-qualcomm-showcase-c-v2x-direct-communications-interoperability-to-improve-road-safety-2" TargetMode="External"/><Relationship Id="rId12" Type="http://schemas.openxmlformats.org/officeDocument/2006/relationships/hyperlink" Target="http://5gaa.org/news/5gaa-participates-in-testbed-visit-in-shanghai" TargetMode="External"/><Relationship Id="rId13" Type="http://schemas.openxmlformats.org/officeDocument/2006/relationships/hyperlink" Target="http://5gaa.org/news/5gaa-joins-3gpp" TargetMode="External"/><Relationship Id="rId14" Type="http://schemas.openxmlformats.org/officeDocument/2006/relationships/hyperlink" Target="https://www.gsma.com/iot/wp-content/uploads/2017/12/C-2VX-Enabling-Intelligent-Transport_2.pdf" TargetMode="External"/><Relationship Id="rId15" Type="http://schemas.openxmlformats.org/officeDocument/2006/relationships/header" Target="header5.xml"/><Relationship Id="rId16" Type="http://schemas.openxmlformats.org/officeDocument/2006/relationships/footer" Target="footer1.xml"/><Relationship Id="rId17" Type="http://schemas.openxmlformats.org/officeDocument/2006/relationships/header" Target="header6.xml"/><Relationship Id="rId18" Type="http://schemas.openxmlformats.org/officeDocument/2006/relationships/footer" Target="footer2.xml"/><Relationship Id="rId19" Type="http://schemas.openxmlformats.org/officeDocument/2006/relationships/hyperlink" Target="https://www.tbo.com/opinion/columns/Column-Florida-is-on-the-leading-edge-of-5G_168227409" TargetMode="External"/><Relationship Id="rId20" Type="http://schemas.openxmlformats.org/officeDocument/2006/relationships/header" Target="header7.xml"/><Relationship Id="rId21" Type="http://schemas.openxmlformats.org/officeDocument/2006/relationships/footer" Target="footer3.xml"/><Relationship Id="rId22" Type="http://schemas.openxmlformats.org/officeDocument/2006/relationships/header" Target="header8.xml"/><Relationship Id="rId23" Type="http://schemas.openxmlformats.org/officeDocument/2006/relationships/footer" Target="footer4.xml"/><Relationship Id="rId24" Type="http://schemas.openxmlformats.org/officeDocument/2006/relationships/hyperlink" Target="https://www.transportation.gov/sites/dot.gov/files/docs/policy-initiatives/automated-vehicles/320711/preparing-future-transportation-automated-vehicle-30.pdf" TargetMode="External"/><Relationship Id="rId25" Type="http://schemas.openxmlformats.org/officeDocument/2006/relationships/header" Target="header9.xml"/><Relationship Id="rId26" Type="http://schemas.openxmlformats.org/officeDocument/2006/relationships/footer" Target="footer5.xml"/><Relationship Id="rId27" Type="http://schemas.openxmlformats.org/officeDocument/2006/relationships/hyperlink" Target="http://www.3gpp.org/news-events/3gpp-news/1798-v2x_r14ietf%20ipwave" TargetMode="External"/><Relationship Id="rId28" Type="http://schemas.openxmlformats.org/officeDocument/2006/relationships/hyperlink" Target="https://www.ngmn.org/fileadmin/ngmn/content/downloads/Technical/2018/V2X_white_paper_v1_0.pdf" TargetMode="External"/><Relationship Id="rId29" Type="http://schemas.openxmlformats.org/officeDocument/2006/relationships/hyperlink" Target="http://www.3gpp.org/release-14" TargetMode="External"/><Relationship Id="rId30" Type="http://schemas.openxmlformats.org/officeDocument/2006/relationships/hyperlink" Target="http://www.3gpp.org/release-15" TargetMode="External"/><Relationship Id="rId31" Type="http://schemas.openxmlformats.org/officeDocument/2006/relationships/hyperlink" Target="http://www.3gpp.org/DynaReport/FeatureListFrameSet.htm" TargetMode="External"/><Relationship Id="rId32" Type="http://schemas.openxmlformats.org/officeDocument/2006/relationships/hyperlink" Target="http://5gaa.org/wp-content/uploads/2017/12/Final-report-for-5GAA-on-cellular-V2X-socio-economic-benefits-051217_FINAL.pdf" TargetMode="External"/><Relationship Id="rId33" Type="http://schemas.openxmlformats.org/officeDocument/2006/relationships/header" Target="header10.xml"/><Relationship Id="rId34" Type="http://schemas.openxmlformats.org/officeDocument/2006/relationships/hyperlink" Target="http://www.5gamericas.org/files/9615/2096/4441/2018_5G_Americas_White_Paper_Cellular_V2X_Communications_Towards_5G__Final_for_Distribution.pdf" TargetMode="External"/><Relationship Id="rId35" Type="http://schemas.openxmlformats.org/officeDocument/2006/relationships/header" Target="header11.xml"/><Relationship Id="rId36" Type="http://schemas.openxmlformats.org/officeDocument/2006/relationships/image" Target="media/image1.png"/><Relationship Id="rId37" Type="http://schemas.openxmlformats.org/officeDocument/2006/relationships/header" Target="header12.xml"/><Relationship Id="rId38" Type="http://schemas.openxmlformats.org/officeDocument/2006/relationships/image" Target="media/image2.jpeg"/><Relationship Id="rId39" Type="http://schemas.openxmlformats.org/officeDocument/2006/relationships/header" Target="header13.xml"/><Relationship Id="rId40" Type="http://schemas.openxmlformats.org/officeDocument/2006/relationships/image" Target="media/image3.png"/><Relationship Id="rId41" Type="http://schemas.openxmlformats.org/officeDocument/2006/relationships/header" Target="header14.xml"/><Relationship Id="rId42" Type="http://schemas.openxmlformats.org/officeDocument/2006/relationships/footer" Target="footer6.xml"/><Relationship Id="rId43" Type="http://schemas.openxmlformats.org/officeDocument/2006/relationships/image" Target="media/image4.jpeg"/><Relationship Id="rId44" Type="http://schemas.openxmlformats.org/officeDocument/2006/relationships/image" Target="media/image5.png"/><Relationship Id="rId45" Type="http://schemas.openxmlformats.org/officeDocument/2006/relationships/header" Target="header15.xml"/><Relationship Id="rId46" Type="http://schemas.openxmlformats.org/officeDocument/2006/relationships/footer" Target="footer7.xml"/><Relationship Id="rId47" Type="http://schemas.openxmlformats.org/officeDocument/2006/relationships/image" Target="media/image6.png"/><Relationship Id="rId48" Type="http://schemas.openxmlformats.org/officeDocument/2006/relationships/header" Target="header16.xml"/><Relationship Id="rId49" Type="http://schemas.openxmlformats.org/officeDocument/2006/relationships/footer" Target="footer8.xml"/><Relationship Id="rId50" Type="http://schemas.openxmlformats.org/officeDocument/2006/relationships/image" Target="media/image7.jpeg"/><Relationship Id="rId51" Type="http://schemas.openxmlformats.org/officeDocument/2006/relationships/header" Target="header17.xml"/><Relationship Id="rId52" Type="http://schemas.openxmlformats.org/officeDocument/2006/relationships/footer" Target="footer9.xml"/><Relationship Id="rId53" Type="http://schemas.openxmlformats.org/officeDocument/2006/relationships/hyperlink" Target="http://5gaa.org/wp-content/uploads/2017/12/5GAA-Road-safety-FINAL2017-12-05.pdf" TargetMode="External"/><Relationship Id="rId54" Type="http://schemas.openxmlformats.org/officeDocument/2006/relationships/header" Target="header18.xml"/><Relationship Id="rId55" Type="http://schemas.openxmlformats.org/officeDocument/2006/relationships/footer" Target="footer10.xml"/><Relationship Id="rId56" Type="http://schemas.openxmlformats.org/officeDocument/2006/relationships/header" Target="header19.xml"/><Relationship Id="rId57" Type="http://schemas.openxmlformats.org/officeDocument/2006/relationships/header" Target="header20.xml"/><Relationship Id="rId58" Type="http://schemas.openxmlformats.org/officeDocument/2006/relationships/hyperlink" Target="http://5gaa.org/wp-content/uploads/2017/12/5GAA_T-170219-whitepaper-EdgeComputing_5GAA.pdf" TargetMode="External"/><Relationship Id="rId59" Type="http://schemas.openxmlformats.org/officeDocument/2006/relationships/header" Target="header21.xml"/><Relationship Id="rId60" Type="http://schemas.openxmlformats.org/officeDocument/2006/relationships/header" Target="header22.xml"/><Relationship Id="rId61" Type="http://schemas.openxmlformats.org/officeDocument/2006/relationships/footer" Target="footer11.xml"/><Relationship Id="rId62" Type="http://schemas.openxmlformats.org/officeDocument/2006/relationships/hyperlink" Target="https://media.ford.com/content/fordmedia/fna/us/en/news/2018/03/15/ford-readies-north-americas-freshest-lineup-by-2020.html" TargetMode="External"/><Relationship Id="rId63" Type="http://schemas.openxmlformats.org/officeDocument/2006/relationships/hyperlink" Target="http://about.att.com/sites/internet-of-things/connected_car" TargetMode="External"/><Relationship Id="rId64" Type="http://schemas.openxmlformats.org/officeDocument/2006/relationships/hyperlink" Target="http://5gaa.org/wp-content/uploads/2018/06/5.-Daimler-view-on-V2X-5GAA-Policy-Debate.pdf" TargetMode="External"/><Relationship Id="rId65" Type="http://schemas.openxmlformats.org/officeDocument/2006/relationships/hyperlink" Target="https://techcrunch.com/2016/06/20/more-cars-than-phones-were-connected-to-cell-service-in-q1/" TargetMode="External"/><Relationship Id="rId66" Type="http://schemas.openxmlformats.org/officeDocument/2006/relationships/hyperlink" Target="https://www.gartner.com/newsroom/id/3460018" TargetMode="External"/><Relationship Id="rId67" Type="http://schemas.openxmlformats.org/officeDocument/2006/relationships/hyperlink" Target="https://newsroom.accenture.com/content/1101/files/Accenture_5G-Municipalities-Become-Smart-Cities.pdf" TargetMode="External"/><Relationship Id="rId68" Type="http://schemas.openxmlformats.org/officeDocument/2006/relationships/header" Target="header23.xml"/><Relationship Id="rId69" Type="http://schemas.openxmlformats.org/officeDocument/2006/relationships/footer" Target="footer12.xml"/><Relationship Id="rId70" Type="http://schemas.openxmlformats.org/officeDocument/2006/relationships/hyperlink" Target="https://www.tu-auto.com/c-v2xs-momentum-in-china-may-drive-connected-car-development/" TargetMode="External"/><Relationship Id="rId71" Type="http://schemas.openxmlformats.org/officeDocument/2006/relationships/header" Target="header24.xml"/><Relationship Id="rId72" Type="http://schemas.openxmlformats.org/officeDocument/2006/relationships/footer" Target="footer13.xml"/><Relationship Id="rId73" Type="http://schemas.openxmlformats.org/officeDocument/2006/relationships/header" Target="header25.xml"/><Relationship Id="rId74" Type="http://schemas.openxmlformats.org/officeDocument/2006/relationships/header" Target="header26.xml"/><Relationship Id="rId75" Type="http://schemas.openxmlformats.org/officeDocument/2006/relationships/hyperlink" Target="https://www.gpo.gov/fdsys/pkg/STATUTE-105/pdf/STATUTE-105-Pg1914.pdf" TargetMode="External"/><Relationship Id="rId76" Type="http://schemas.openxmlformats.org/officeDocument/2006/relationships/hyperlink" Target="https://ecfsapi.fcc.gov/file/1879770001.pdf" TargetMode="External"/><Relationship Id="rId77" Type="http://schemas.openxmlformats.org/officeDocument/2006/relationships/header" Target="header27.xml"/><Relationship Id="rId78" Type="http://schemas.openxmlformats.org/officeDocument/2006/relationships/hyperlink" Target="https://www.congress.gov/105/plaws/publ178/PLAW-105publ178.pdf" TargetMode="External"/><Relationship Id="rId79" Type="http://schemas.openxmlformats.org/officeDocument/2006/relationships/hyperlink" Target="https://rosap.ntl.bts.gov/view/dot/30826" TargetMode="External"/><Relationship Id="rId80" Type="http://schemas.openxmlformats.org/officeDocument/2006/relationships/hyperlink" Target="https://www.nhtsa.gov/press-releases/usdot-releases-2016-fatal-traffic-crash-data" TargetMode="External"/><Relationship Id="rId81" Type="http://schemas.openxmlformats.org/officeDocument/2006/relationships/hyperlink" Target="https://crashstats.nhtsa.dot.gov/Api/Public/ViewPublication/812580" TargetMode="External"/><Relationship Id="rId82" Type="http://schemas.openxmlformats.org/officeDocument/2006/relationships/hyperlink" Target="https://www.transportation.gov/connections/america%E2%80%99s-drivers-continue-spend-more-time-stuck-traffic-2016-data-shows" TargetMode="External"/><Relationship Id="rId83" Type="http://schemas.openxmlformats.org/officeDocument/2006/relationships/hyperlink" Target="https://www.epa.gov/sites/production/files/2018-01/documents/2018_complete_report.pdf" TargetMode="External"/><Relationship Id="rId84" Type="http://schemas.openxmlformats.org/officeDocument/2006/relationships/header" Target="header28.xml"/><Relationship Id="rId85" Type="http://schemas.openxmlformats.org/officeDocument/2006/relationships/hyperlink" Target="https://www.nadtc.org/news/blog/travel-patterns-of-american-adults-with-disabilities/" TargetMode="External"/><Relationship Id="rId86" Type="http://schemas.openxmlformats.org/officeDocument/2006/relationships/header" Target="header29.xml"/><Relationship Id="rId87" Type="http://schemas.openxmlformats.org/officeDocument/2006/relationships/footer" Target="footer14.xml"/><Relationship Id="rId88" Type="http://schemas.openxmlformats.org/officeDocument/2006/relationships/header" Target="header30.xml"/><Relationship Id="rId89" Type="http://schemas.openxmlformats.org/officeDocument/2006/relationships/footer" Target="footer15.xml"/><Relationship Id="rId90" Type="http://schemas.openxmlformats.org/officeDocument/2006/relationships/header" Target="header31.xml"/><Relationship Id="rId91" Type="http://schemas.openxmlformats.org/officeDocument/2006/relationships/footer" Target="footer16.xml"/><Relationship Id="rId92" Type="http://schemas.openxmlformats.org/officeDocument/2006/relationships/hyperlink" Target="https://www.qualcomm.com/news/onq/2018/11/01/2019-will-see-commercial-c-v2x-rollouts-throughout-world" TargetMode="External"/><Relationship Id="rId93" Type="http://schemas.openxmlformats.org/officeDocument/2006/relationships/hyperlink" Target="http://5gaa.org/wp-content/uploads/2018/02/5GAA_Timeline-for-deployment-of-LTE-V2X_FINAL.pdf" TargetMode="External"/><Relationship Id="rId94" Type="http://schemas.openxmlformats.org/officeDocument/2006/relationships/header" Target="header32.xml"/><Relationship Id="rId95" Type="http://schemas.openxmlformats.org/officeDocument/2006/relationships/footer" Target="footer17.xml"/><Relationship Id="rId96" Type="http://schemas.openxmlformats.org/officeDocument/2006/relationships/header" Target="header33.xml"/><Relationship Id="rId97" Type="http://schemas.openxmlformats.org/officeDocument/2006/relationships/footer" Target="footer18.xml"/><Relationship Id="rId98" Type="http://schemas.openxmlformats.org/officeDocument/2006/relationships/header" Target="header34.xml"/><Relationship Id="rId99" Type="http://schemas.openxmlformats.org/officeDocument/2006/relationships/footer" Target="footer19.xml"/><Relationship Id="rId100" Type="http://schemas.openxmlformats.org/officeDocument/2006/relationships/header" Target="header35.xml"/><Relationship Id="rId101" Type="http://schemas.openxmlformats.org/officeDocument/2006/relationships/footer" Target="footer20.xml"/><Relationship Id="rId102" Type="http://schemas.openxmlformats.org/officeDocument/2006/relationships/header" Target="header36.xml"/><Relationship Id="rId103" Type="http://schemas.openxmlformats.org/officeDocument/2006/relationships/footer" Target="footer21.xml"/><Relationship Id="rId104" Type="http://schemas.openxmlformats.org/officeDocument/2006/relationships/hyperlink" Target="http://5gaa.org/membership/our-members/" TargetMode="External"/><Relationship Id="rId105" Type="http://schemas.openxmlformats.org/officeDocument/2006/relationships/header" Target="header37.xml"/><Relationship Id="rId106" Type="http://schemas.openxmlformats.org/officeDocument/2006/relationships/footer" Target="footer22.xml"/><Relationship Id="rId107" Type="http://schemas.openxmlformats.org/officeDocument/2006/relationships/header" Target="header38.xml"/><Relationship Id="rId108" Type="http://schemas.openxmlformats.org/officeDocument/2006/relationships/footer" Target="footer23.xml"/><Relationship Id="rId109" Type="http://schemas.openxmlformats.org/officeDocument/2006/relationships/header" Target="header39.xml"/><Relationship Id="rId110" Type="http://schemas.openxmlformats.org/officeDocument/2006/relationships/footer" Target="footer24.xml"/><Relationship Id="rId111" Type="http://schemas.openxmlformats.org/officeDocument/2006/relationships/header" Target="header40.xml"/><Relationship Id="rId112" Type="http://schemas.openxmlformats.org/officeDocument/2006/relationships/footer" Target="footer25.xml"/><Relationship Id="rId113" Type="http://schemas.openxmlformats.org/officeDocument/2006/relationships/image" Target="media/image8.png"/><Relationship Id="rId114" Type="http://schemas.openxmlformats.org/officeDocument/2006/relationships/image" Target="media/image9.jpeg"/><Relationship Id="rId115" Type="http://schemas.openxmlformats.org/officeDocument/2006/relationships/image" Target="media/image10.png"/><Relationship Id="rId116" Type="http://schemas.openxmlformats.org/officeDocument/2006/relationships/header" Target="header41.xml"/><Relationship Id="rId117" Type="http://schemas.openxmlformats.org/officeDocument/2006/relationships/footer" Target="footer26.xml"/><Relationship Id="rId118" Type="http://schemas.openxmlformats.org/officeDocument/2006/relationships/header" Target="header42.xml"/><Relationship Id="rId119" Type="http://schemas.openxmlformats.org/officeDocument/2006/relationships/header" Target="header43.xml"/><Relationship Id="rId120" Type="http://schemas.openxmlformats.org/officeDocument/2006/relationships/hyperlink" Target="https://www.its.dot.gov/infographs/DoNotPass.htm" TargetMode="External"/><Relationship Id="rId121" Type="http://schemas.openxmlformats.org/officeDocument/2006/relationships/hyperlink" Target="https://www.its.dot.gov/infographs/intersection_movement.htm" TargetMode="External"/><Relationship Id="rId122" Type="http://schemas.openxmlformats.org/officeDocument/2006/relationships/header" Target="header44.xml"/><Relationship Id="rId123" Type="http://schemas.openxmlformats.org/officeDocument/2006/relationships/header" Target="header45.xml"/><Relationship Id="rId124" Type="http://schemas.openxmlformats.org/officeDocument/2006/relationships/header" Target="header46.xml"/><Relationship Id="rId125" Type="http://schemas.openxmlformats.org/officeDocument/2006/relationships/header" Target="header47.xml"/><Relationship Id="rId126" Type="http://schemas.openxmlformats.org/officeDocument/2006/relationships/footer" Target="footer27.xml"/><Relationship Id="rId127" Type="http://schemas.openxmlformats.org/officeDocument/2006/relationships/header" Target="header48.xml"/><Relationship Id="rId128" Type="http://schemas.openxmlformats.org/officeDocument/2006/relationships/footer" Target="footer28.xml"/><Relationship Id="rId129" Type="http://schemas.openxmlformats.org/officeDocument/2006/relationships/image" Target="media/image11.png"/><Relationship Id="rId130" Type="http://schemas.openxmlformats.org/officeDocument/2006/relationships/header" Target="header49.xml"/><Relationship Id="rId131" Type="http://schemas.openxmlformats.org/officeDocument/2006/relationships/header" Target="header50.xml"/><Relationship Id="rId132" Type="http://schemas.openxmlformats.org/officeDocument/2006/relationships/image" Target="media/image12.png"/><Relationship Id="rId133" Type="http://schemas.openxmlformats.org/officeDocument/2006/relationships/header" Target="header51.xml"/><Relationship Id="rId134" Type="http://schemas.openxmlformats.org/officeDocument/2006/relationships/header" Target="header52.xml"/><Relationship Id="rId135" Type="http://schemas.openxmlformats.org/officeDocument/2006/relationships/header" Target="header53.xml"/><Relationship Id="rId136" Type="http://schemas.openxmlformats.org/officeDocument/2006/relationships/header" Target="header54.xml"/><Relationship Id="rId137" Type="http://schemas.openxmlformats.org/officeDocument/2006/relationships/image" Target="media/image13.png"/><Relationship Id="rId138" Type="http://schemas.openxmlformats.org/officeDocument/2006/relationships/image" Target="media/image14.png"/><Relationship Id="rId139" Type="http://schemas.openxmlformats.org/officeDocument/2006/relationships/header" Target="header55.xml"/><Relationship Id="rId140" Type="http://schemas.openxmlformats.org/officeDocument/2006/relationships/header" Target="header56.xml"/><Relationship Id="rId141" Type="http://schemas.openxmlformats.org/officeDocument/2006/relationships/image" Target="media/image15.jpeg"/><Relationship Id="rId142" Type="http://schemas.openxmlformats.org/officeDocument/2006/relationships/image" Target="media/image16.png"/><Relationship Id="rId143" Type="http://schemas.openxmlformats.org/officeDocument/2006/relationships/image" Target="media/image17.png"/><Relationship Id="rId144" Type="http://schemas.openxmlformats.org/officeDocument/2006/relationships/header" Target="header57.xml"/><Relationship Id="rId145" Type="http://schemas.openxmlformats.org/officeDocument/2006/relationships/footer" Target="footer29.xml"/><Relationship Id="rId146" Type="http://schemas.openxmlformats.org/officeDocument/2006/relationships/image" Target="media/image18.jpeg"/><Relationship Id="rId147" Type="http://schemas.openxmlformats.org/officeDocument/2006/relationships/image" Target="media/image19.png"/><Relationship Id="rId148" Type="http://schemas.openxmlformats.org/officeDocument/2006/relationships/header" Target="header58.xml"/><Relationship Id="rId149" Type="http://schemas.openxmlformats.org/officeDocument/2006/relationships/footer" Target="footer30.xml"/><Relationship Id="rId150" Type="http://schemas.openxmlformats.org/officeDocument/2006/relationships/image" Target="media/image20.png"/><Relationship Id="rId151" Type="http://schemas.openxmlformats.org/officeDocument/2006/relationships/image" Target="media/image21.png"/><Relationship Id="rId152" Type="http://schemas.openxmlformats.org/officeDocument/2006/relationships/image" Target="media/image22.png"/><Relationship Id="rId153" Type="http://schemas.openxmlformats.org/officeDocument/2006/relationships/image" Target="media/image23.png"/><Relationship Id="rId154" Type="http://schemas.openxmlformats.org/officeDocument/2006/relationships/image" Target="media/image24.png"/><Relationship Id="rId155" Type="http://schemas.openxmlformats.org/officeDocument/2006/relationships/image" Target="media/image25.png"/><Relationship Id="rId156" Type="http://schemas.openxmlformats.org/officeDocument/2006/relationships/image" Target="media/image26.png"/><Relationship Id="rId157" Type="http://schemas.openxmlformats.org/officeDocument/2006/relationships/image" Target="media/image27.png"/><Relationship Id="rId158" Type="http://schemas.openxmlformats.org/officeDocument/2006/relationships/image" Target="media/image28.png"/><Relationship Id="rId159" Type="http://schemas.openxmlformats.org/officeDocument/2006/relationships/image" Target="media/image29.png"/><Relationship Id="rId160" Type="http://schemas.openxmlformats.org/officeDocument/2006/relationships/image" Target="media/image30.png"/><Relationship Id="rId161" Type="http://schemas.openxmlformats.org/officeDocument/2006/relationships/image" Target="media/image31.png"/><Relationship Id="rId162" Type="http://schemas.openxmlformats.org/officeDocument/2006/relationships/image" Target="media/image32.png"/><Relationship Id="rId163" Type="http://schemas.openxmlformats.org/officeDocument/2006/relationships/image" Target="media/image33.png"/><Relationship Id="rId164" Type="http://schemas.openxmlformats.org/officeDocument/2006/relationships/image" Target="media/image34.png"/><Relationship Id="rId165" Type="http://schemas.openxmlformats.org/officeDocument/2006/relationships/image" Target="media/image35.png"/><Relationship Id="rId166" Type="http://schemas.openxmlformats.org/officeDocument/2006/relationships/image" Target="media/image36.png"/><Relationship Id="rId167" Type="http://schemas.openxmlformats.org/officeDocument/2006/relationships/image" Target="media/image37.png"/><Relationship Id="rId168" Type="http://schemas.openxmlformats.org/officeDocument/2006/relationships/image" Target="media/image38.png"/><Relationship Id="rId169" Type="http://schemas.openxmlformats.org/officeDocument/2006/relationships/image" Target="media/image39.png"/><Relationship Id="rId170" Type="http://schemas.openxmlformats.org/officeDocument/2006/relationships/image" Target="media/image40.png"/><Relationship Id="rId171" Type="http://schemas.openxmlformats.org/officeDocument/2006/relationships/image" Target="media/image41.png"/><Relationship Id="rId172" Type="http://schemas.openxmlformats.org/officeDocument/2006/relationships/image" Target="media/image42.png"/><Relationship Id="rId173" Type="http://schemas.openxmlformats.org/officeDocument/2006/relationships/image" Target="media/image43.png"/><Relationship Id="rId174" Type="http://schemas.openxmlformats.org/officeDocument/2006/relationships/image" Target="media/image44.png"/><Relationship Id="rId175" Type="http://schemas.openxmlformats.org/officeDocument/2006/relationships/header" Target="header59.xml"/><Relationship Id="rId176" Type="http://schemas.openxmlformats.org/officeDocument/2006/relationships/image" Target="media/image45.jpeg"/><Relationship Id="rId177" Type="http://schemas.openxmlformats.org/officeDocument/2006/relationships/header" Target="header60.xml"/><Relationship Id="rId178" Type="http://schemas.openxmlformats.org/officeDocument/2006/relationships/image" Target="media/image46.png"/><Relationship Id="rId179" Type="http://schemas.openxmlformats.org/officeDocument/2006/relationships/image" Target="media/image47.png"/><Relationship Id="rId180" Type="http://schemas.openxmlformats.org/officeDocument/2006/relationships/header" Target="header61.xml"/><Relationship Id="rId181" Type="http://schemas.openxmlformats.org/officeDocument/2006/relationships/header" Target="header62.xml"/><Relationship Id="rId182" Type="http://schemas.openxmlformats.org/officeDocument/2006/relationships/image" Target="media/image48.png"/><Relationship Id="rId183" Type="http://schemas.openxmlformats.org/officeDocument/2006/relationships/image" Target="media/image49.png"/><Relationship Id="rId184" Type="http://schemas.openxmlformats.org/officeDocument/2006/relationships/image" Target="media/image50.png"/><Relationship Id="rId185" Type="http://schemas.openxmlformats.org/officeDocument/2006/relationships/header" Target="header63.xml"/><Relationship Id="rId186" Type="http://schemas.openxmlformats.org/officeDocument/2006/relationships/header" Target="header64.xml"/><Relationship Id="rId187" Type="http://schemas.openxmlformats.org/officeDocument/2006/relationships/image" Target="media/image51.png"/><Relationship Id="rId188" Type="http://schemas.openxmlformats.org/officeDocument/2006/relationships/header" Target="header65.xml"/><Relationship Id="rId189" Type="http://schemas.openxmlformats.org/officeDocument/2006/relationships/header" Target="header66.xml"/><Relationship Id="rId190" Type="http://schemas.openxmlformats.org/officeDocument/2006/relationships/header" Target="header67.xml"/><Relationship Id="rId191" Type="http://schemas.openxmlformats.org/officeDocument/2006/relationships/footer" Target="footer31.xml"/><Relationship Id="rId192" Type="http://schemas.openxmlformats.org/officeDocument/2006/relationships/header" Target="header68.xml"/><Relationship Id="rId193" Type="http://schemas.openxmlformats.org/officeDocument/2006/relationships/footer" Target="footer32.xml"/><Relationship Id="rId194" Type="http://schemas.openxmlformats.org/officeDocument/2006/relationships/header" Target="header69.xml"/><Relationship Id="rId195" Type="http://schemas.openxmlformats.org/officeDocument/2006/relationships/header" Target="header70.xml"/><Relationship Id="rId196" Type="http://schemas.openxmlformats.org/officeDocument/2006/relationships/image" Target="media/image52.png"/><Relationship Id="rId197" Type="http://schemas.openxmlformats.org/officeDocument/2006/relationships/image" Target="media/image53.png"/><Relationship Id="rId198" Type="http://schemas.openxmlformats.org/officeDocument/2006/relationships/image" Target="media/image54.png"/><Relationship Id="rId199" Type="http://schemas.openxmlformats.org/officeDocument/2006/relationships/image" Target="media/image55.png"/><Relationship Id="rId200" Type="http://schemas.openxmlformats.org/officeDocument/2006/relationships/image" Target="media/image56.png"/><Relationship Id="rId201" Type="http://schemas.openxmlformats.org/officeDocument/2006/relationships/image" Target="media/image57.png"/><Relationship Id="rId202" Type="http://schemas.openxmlformats.org/officeDocument/2006/relationships/image" Target="media/image58.png"/><Relationship Id="rId203" Type="http://schemas.openxmlformats.org/officeDocument/2006/relationships/image" Target="media/image59.png"/><Relationship Id="rId204" Type="http://schemas.openxmlformats.org/officeDocument/2006/relationships/image" Target="media/image60.png"/><Relationship Id="rId205" Type="http://schemas.openxmlformats.org/officeDocument/2006/relationships/image" Target="media/image61.png"/><Relationship Id="rId206" Type="http://schemas.openxmlformats.org/officeDocument/2006/relationships/image" Target="media/image62.png"/><Relationship Id="rId207" Type="http://schemas.openxmlformats.org/officeDocument/2006/relationships/header" Target="header71.xml"/><Relationship Id="rId208" Type="http://schemas.openxmlformats.org/officeDocument/2006/relationships/image" Target="media/image63.png"/><Relationship Id="rId209" Type="http://schemas.openxmlformats.org/officeDocument/2006/relationships/image" Target="media/image64.png"/><Relationship Id="rId210" Type="http://schemas.openxmlformats.org/officeDocument/2006/relationships/image" Target="media/image65.png"/><Relationship Id="rId211" Type="http://schemas.openxmlformats.org/officeDocument/2006/relationships/image" Target="media/image66.png"/><Relationship Id="rId212" Type="http://schemas.openxmlformats.org/officeDocument/2006/relationships/image" Target="media/image67.png"/><Relationship Id="rId213" Type="http://schemas.openxmlformats.org/officeDocument/2006/relationships/image" Target="media/image68.png"/><Relationship Id="rId214" Type="http://schemas.openxmlformats.org/officeDocument/2006/relationships/image" Target="media/image69.png"/><Relationship Id="rId215" Type="http://schemas.openxmlformats.org/officeDocument/2006/relationships/image" Target="media/image70.png"/><Relationship Id="rId216" Type="http://schemas.openxmlformats.org/officeDocument/2006/relationships/image" Target="media/image71.png"/><Relationship Id="rId217" Type="http://schemas.openxmlformats.org/officeDocument/2006/relationships/image" Target="media/image72.png"/><Relationship Id="rId218" Type="http://schemas.openxmlformats.org/officeDocument/2006/relationships/image" Target="media/image73.png"/><Relationship Id="rId219" Type="http://schemas.openxmlformats.org/officeDocument/2006/relationships/header" Target="header72.xml"/><Relationship Id="rId220" Type="http://schemas.openxmlformats.org/officeDocument/2006/relationships/image" Target="media/image74.png"/><Relationship Id="rId221" Type="http://schemas.openxmlformats.org/officeDocument/2006/relationships/image" Target="media/image75.png"/><Relationship Id="rId222" Type="http://schemas.openxmlformats.org/officeDocument/2006/relationships/image" Target="media/image76.png"/><Relationship Id="rId223" Type="http://schemas.openxmlformats.org/officeDocument/2006/relationships/image" Target="media/image77.png"/><Relationship Id="rId224" Type="http://schemas.openxmlformats.org/officeDocument/2006/relationships/image" Target="media/image78.png"/><Relationship Id="rId225" Type="http://schemas.openxmlformats.org/officeDocument/2006/relationships/image" Target="media/image79.png"/><Relationship Id="rId226" Type="http://schemas.openxmlformats.org/officeDocument/2006/relationships/image" Target="media/image80.png"/><Relationship Id="rId227" Type="http://schemas.openxmlformats.org/officeDocument/2006/relationships/image" Target="media/image81.png"/><Relationship Id="rId228" Type="http://schemas.openxmlformats.org/officeDocument/2006/relationships/header" Target="header73.xml"/><Relationship Id="rId229" Type="http://schemas.openxmlformats.org/officeDocument/2006/relationships/header" Target="header74.xml"/><Relationship Id="rId230" Type="http://schemas.openxmlformats.org/officeDocument/2006/relationships/image" Target="media/image82.png"/><Relationship Id="rId231" Type="http://schemas.openxmlformats.org/officeDocument/2006/relationships/image" Target="media/image83.png"/><Relationship Id="rId232" Type="http://schemas.openxmlformats.org/officeDocument/2006/relationships/image" Target="media/image84.png"/><Relationship Id="rId233" Type="http://schemas.openxmlformats.org/officeDocument/2006/relationships/image" Target="media/image85.png"/><Relationship Id="rId234" Type="http://schemas.openxmlformats.org/officeDocument/2006/relationships/image" Target="media/image86.png"/><Relationship Id="rId235" Type="http://schemas.openxmlformats.org/officeDocument/2006/relationships/header" Target="header75.xml"/><Relationship Id="rId236" Type="http://schemas.openxmlformats.org/officeDocument/2006/relationships/header" Target="header76.xml"/><Relationship Id="rId237" Type="http://schemas.openxmlformats.org/officeDocument/2006/relationships/header" Target="header77.xml"/><Relationship Id="rId238" Type="http://schemas.openxmlformats.org/officeDocument/2006/relationships/footer" Target="footer33.xml"/><Relationship Id="rId239" Type="http://schemas.openxmlformats.org/officeDocument/2006/relationships/header" Target="header78.xml"/><Relationship Id="rId240" Type="http://schemas.openxmlformats.org/officeDocument/2006/relationships/footer" Target="footer34.xml"/><Relationship Id="rId241" Type="http://schemas.openxmlformats.org/officeDocument/2006/relationships/image" Target="media/image87.png"/><Relationship Id="rId242" Type="http://schemas.openxmlformats.org/officeDocument/2006/relationships/image" Target="media/image88.png"/><Relationship Id="rId243" Type="http://schemas.openxmlformats.org/officeDocument/2006/relationships/image" Target="media/image89.png"/><Relationship Id="rId244" Type="http://schemas.openxmlformats.org/officeDocument/2006/relationships/image" Target="media/image90.png"/><Relationship Id="rId245" Type="http://schemas.openxmlformats.org/officeDocument/2006/relationships/image" Target="media/image91.png"/><Relationship Id="rId246" Type="http://schemas.openxmlformats.org/officeDocument/2006/relationships/image" Target="media/image92.png"/><Relationship Id="rId247" Type="http://schemas.openxmlformats.org/officeDocument/2006/relationships/image" Target="media/image93.png"/><Relationship Id="rId248" Type="http://schemas.openxmlformats.org/officeDocument/2006/relationships/image" Target="media/image94.png"/><Relationship Id="rId249" Type="http://schemas.openxmlformats.org/officeDocument/2006/relationships/image" Target="media/image95.png"/><Relationship Id="rId250" Type="http://schemas.openxmlformats.org/officeDocument/2006/relationships/image" Target="media/image96.png"/><Relationship Id="rId251" Type="http://schemas.openxmlformats.org/officeDocument/2006/relationships/image" Target="media/image97.png"/><Relationship Id="rId252" Type="http://schemas.openxmlformats.org/officeDocument/2006/relationships/image" Target="media/image98.png"/><Relationship Id="rId253" Type="http://schemas.openxmlformats.org/officeDocument/2006/relationships/image" Target="media/image99.png"/><Relationship Id="rId254" Type="http://schemas.openxmlformats.org/officeDocument/2006/relationships/image" Target="media/image100.png"/><Relationship Id="rId255" Type="http://schemas.openxmlformats.org/officeDocument/2006/relationships/image" Target="media/image101.png"/><Relationship Id="rId256" Type="http://schemas.openxmlformats.org/officeDocument/2006/relationships/image" Target="media/image102.png"/><Relationship Id="rId257" Type="http://schemas.openxmlformats.org/officeDocument/2006/relationships/header" Target="header79.xml"/><Relationship Id="rId258" Type="http://schemas.openxmlformats.org/officeDocument/2006/relationships/image" Target="media/image103.png"/><Relationship Id="rId259" Type="http://schemas.openxmlformats.org/officeDocument/2006/relationships/image" Target="media/image104.png"/><Relationship Id="rId260" Type="http://schemas.openxmlformats.org/officeDocument/2006/relationships/image" Target="media/image105.png"/><Relationship Id="rId261" Type="http://schemas.openxmlformats.org/officeDocument/2006/relationships/image" Target="media/image106.png"/><Relationship Id="rId262" Type="http://schemas.openxmlformats.org/officeDocument/2006/relationships/image" Target="media/image107.png"/><Relationship Id="rId263" Type="http://schemas.openxmlformats.org/officeDocument/2006/relationships/image" Target="media/image108.png"/><Relationship Id="rId264" Type="http://schemas.openxmlformats.org/officeDocument/2006/relationships/image" Target="media/image109.png"/><Relationship Id="rId265" Type="http://schemas.openxmlformats.org/officeDocument/2006/relationships/image" Target="media/image110.png"/><Relationship Id="rId266" Type="http://schemas.openxmlformats.org/officeDocument/2006/relationships/image" Target="media/image111.png"/><Relationship Id="rId267" Type="http://schemas.openxmlformats.org/officeDocument/2006/relationships/image" Target="media/image112.png"/><Relationship Id="rId268" Type="http://schemas.openxmlformats.org/officeDocument/2006/relationships/image" Target="media/image113.png"/><Relationship Id="rId269" Type="http://schemas.openxmlformats.org/officeDocument/2006/relationships/header" Target="header80.xml"/><Relationship Id="rId270" Type="http://schemas.openxmlformats.org/officeDocument/2006/relationships/image" Target="media/image114.png"/><Relationship Id="rId271" Type="http://schemas.openxmlformats.org/officeDocument/2006/relationships/image" Target="media/image115.png"/><Relationship Id="rId272" Type="http://schemas.openxmlformats.org/officeDocument/2006/relationships/image" Target="media/image116.png"/><Relationship Id="rId273" Type="http://schemas.openxmlformats.org/officeDocument/2006/relationships/image" Target="media/image117.png"/><Relationship Id="rId274" Type="http://schemas.openxmlformats.org/officeDocument/2006/relationships/image" Target="media/image118.png"/><Relationship Id="rId275" Type="http://schemas.openxmlformats.org/officeDocument/2006/relationships/image" Target="media/image119.png"/><Relationship Id="rId276" Type="http://schemas.openxmlformats.org/officeDocument/2006/relationships/image" Target="media/image120.png"/><Relationship Id="rId277" Type="http://schemas.openxmlformats.org/officeDocument/2006/relationships/header" Target="header81.xml"/><Relationship Id="rId278" Type="http://schemas.openxmlformats.org/officeDocument/2006/relationships/header" Target="header82.xml"/><Relationship Id="rId279" Type="http://schemas.openxmlformats.org/officeDocument/2006/relationships/header" Target="header83.xml"/><Relationship Id="rId280" Type="http://schemas.openxmlformats.org/officeDocument/2006/relationships/header" Target="header84.xml"/><Relationship Id="rId281" Type="http://schemas.openxmlformats.org/officeDocument/2006/relationships/header" Target="header85.xml"/><Relationship Id="rId282" Type="http://schemas.openxmlformats.org/officeDocument/2006/relationships/header" Target="header86.xml"/><Relationship Id="rId283" Type="http://schemas.openxmlformats.org/officeDocument/2006/relationships/header" Target="header87.xml"/><Relationship Id="rId284" Type="http://schemas.openxmlformats.org/officeDocument/2006/relationships/footer" Target="footer35.xml"/><Relationship Id="rId285" Type="http://schemas.openxmlformats.org/officeDocument/2006/relationships/header" Target="header88.xml"/><Relationship Id="rId286" Type="http://schemas.openxmlformats.org/officeDocument/2006/relationships/footer" Target="footer36.xml"/><Relationship Id="rId287" Type="http://schemas.openxmlformats.org/officeDocument/2006/relationships/header" Target="header89.xml"/><Relationship Id="rId288" Type="http://schemas.openxmlformats.org/officeDocument/2006/relationships/header" Target="header90.xml"/><Relationship Id="rId289" Type="http://schemas.openxmlformats.org/officeDocument/2006/relationships/image" Target="media/image121.png"/><Relationship Id="rId290" Type="http://schemas.openxmlformats.org/officeDocument/2006/relationships/header" Target="header91.xml"/><Relationship Id="rId291" Type="http://schemas.openxmlformats.org/officeDocument/2006/relationships/header" Target="header92.xml"/><Relationship Id="rId292" Type="http://schemas.openxmlformats.org/officeDocument/2006/relationships/header" Target="header93.xml"/><Relationship Id="rId293" Type="http://schemas.openxmlformats.org/officeDocument/2006/relationships/header" Target="header94.xml"/><Relationship Id="rId294" Type="http://schemas.openxmlformats.org/officeDocument/2006/relationships/image" Target="media/image122.png"/><Relationship Id="rId295" Type="http://schemas.openxmlformats.org/officeDocument/2006/relationships/image" Target="media/image123.png"/><Relationship Id="rId296" Type="http://schemas.openxmlformats.org/officeDocument/2006/relationships/image" Target="media/image124.png"/><Relationship Id="rId297" Type="http://schemas.openxmlformats.org/officeDocument/2006/relationships/image" Target="media/image125.png"/><Relationship Id="rId298" Type="http://schemas.openxmlformats.org/officeDocument/2006/relationships/image" Target="media/image126.png"/><Relationship Id="rId299" Type="http://schemas.openxmlformats.org/officeDocument/2006/relationships/image" Target="media/image127.png"/><Relationship Id="rId300" Type="http://schemas.openxmlformats.org/officeDocument/2006/relationships/header" Target="header95.xml"/><Relationship Id="rId301" Type="http://schemas.openxmlformats.org/officeDocument/2006/relationships/header" Target="header96.xml"/><Relationship Id="rId302" Type="http://schemas.openxmlformats.org/officeDocument/2006/relationships/image" Target="media/image128.png"/><Relationship Id="rId303" Type="http://schemas.openxmlformats.org/officeDocument/2006/relationships/header" Target="header97.xml"/><Relationship Id="rId304" Type="http://schemas.openxmlformats.org/officeDocument/2006/relationships/footer" Target="footer37.xml"/><Relationship Id="rId305" Type="http://schemas.openxmlformats.org/officeDocument/2006/relationships/header" Target="header98.xml"/><Relationship Id="rId306" Type="http://schemas.openxmlformats.org/officeDocument/2006/relationships/footer" Target="footer38.xml"/><Relationship Id="rId307" Type="http://schemas.openxmlformats.org/officeDocument/2006/relationships/image" Target="media/image129.jpeg"/><Relationship Id="rId308" Type="http://schemas.openxmlformats.org/officeDocument/2006/relationships/header" Target="header99.xml"/><Relationship Id="rId309" Type="http://schemas.openxmlformats.org/officeDocument/2006/relationships/header" Target="header100.xml"/><Relationship Id="rId310" Type="http://schemas.openxmlformats.org/officeDocument/2006/relationships/header" Target="header101.xml"/><Relationship Id="rId311" Type="http://schemas.openxmlformats.org/officeDocument/2006/relationships/header" Target="header102.xml"/><Relationship Id="rId312" Type="http://schemas.openxmlformats.org/officeDocument/2006/relationships/image" Target="media/image130.png"/><Relationship Id="rId313" Type="http://schemas.openxmlformats.org/officeDocument/2006/relationships/image" Target="media/image131.png"/><Relationship Id="rId314" Type="http://schemas.openxmlformats.org/officeDocument/2006/relationships/image" Target="media/image132.png"/><Relationship Id="rId315" Type="http://schemas.openxmlformats.org/officeDocument/2006/relationships/image" Target="media/image133.png"/><Relationship Id="rId316" Type="http://schemas.openxmlformats.org/officeDocument/2006/relationships/image" Target="media/image134.png"/><Relationship Id="rId317" Type="http://schemas.openxmlformats.org/officeDocument/2006/relationships/image" Target="media/image135.png"/><Relationship Id="rId318" Type="http://schemas.openxmlformats.org/officeDocument/2006/relationships/image" Target="media/image136.png"/><Relationship Id="rId319" Type="http://schemas.openxmlformats.org/officeDocument/2006/relationships/image" Target="media/image137.png"/><Relationship Id="rId320" Type="http://schemas.openxmlformats.org/officeDocument/2006/relationships/image" Target="media/image138.png"/><Relationship Id="rId321" Type="http://schemas.openxmlformats.org/officeDocument/2006/relationships/header" Target="header103.xml"/><Relationship Id="rId322" Type="http://schemas.openxmlformats.org/officeDocument/2006/relationships/header" Target="header104.xml"/><Relationship Id="rId323" Type="http://schemas.openxmlformats.org/officeDocument/2006/relationships/header" Target="header105.xml"/><Relationship Id="rId324" Type="http://schemas.openxmlformats.org/officeDocument/2006/relationships/header" Target="header106.xml"/><Relationship Id="rId325" Type="http://schemas.openxmlformats.org/officeDocument/2006/relationships/header" Target="header107.xml"/><Relationship Id="rId326" Type="http://schemas.openxmlformats.org/officeDocument/2006/relationships/footer" Target="footer39.xml"/><Relationship Id="rId327" Type="http://schemas.openxmlformats.org/officeDocument/2006/relationships/image" Target="media/image139.png"/><Relationship Id="rId328" Type="http://schemas.openxmlformats.org/officeDocument/2006/relationships/header" Target="header108.xml"/><Relationship Id="rId329" Type="http://schemas.openxmlformats.org/officeDocument/2006/relationships/footer" Target="footer40.xml"/><Relationship Id="rId330" Type="http://schemas.openxmlformats.org/officeDocument/2006/relationships/image" Target="media/image140.jpeg"/><Relationship Id="rId331" Type="http://schemas.openxmlformats.org/officeDocument/2006/relationships/image" Target="media/image141.jpeg"/><Relationship Id="rId332" Type="http://schemas.openxmlformats.org/officeDocument/2006/relationships/image" Target="media/image142.png"/><Relationship Id="rId333" Type="http://schemas.openxmlformats.org/officeDocument/2006/relationships/header" Target="header109.xml"/><Relationship Id="rId334" Type="http://schemas.openxmlformats.org/officeDocument/2006/relationships/header" Target="header110.xml"/><Relationship Id="rId335" Type="http://schemas.openxmlformats.org/officeDocument/2006/relationships/header" Target="header111.xml"/><Relationship Id="rId336" Type="http://schemas.openxmlformats.org/officeDocument/2006/relationships/image" Target="media/image143.png"/><Relationship Id="rId337" Type="http://schemas.openxmlformats.org/officeDocument/2006/relationships/image" Target="media/image144.jpeg"/><Relationship Id="rId338" Type="http://schemas.openxmlformats.org/officeDocument/2006/relationships/header" Target="header112.xml"/><Relationship Id="rId339" Type="http://schemas.openxmlformats.org/officeDocument/2006/relationships/image" Target="media/image145.jpeg"/><Relationship Id="rId340" Type="http://schemas.openxmlformats.org/officeDocument/2006/relationships/header" Target="header113.xml"/><Relationship Id="rId341" Type="http://schemas.openxmlformats.org/officeDocument/2006/relationships/image" Target="media/image146.png"/><Relationship Id="rId342" Type="http://schemas.openxmlformats.org/officeDocument/2006/relationships/image" Target="media/image147.png"/><Relationship Id="rId343" Type="http://schemas.openxmlformats.org/officeDocument/2006/relationships/header" Target="header114.xml"/><Relationship Id="rId344" Type="http://schemas.openxmlformats.org/officeDocument/2006/relationships/image" Target="media/image148.jpeg"/><Relationship Id="rId345" Type="http://schemas.openxmlformats.org/officeDocument/2006/relationships/header" Target="header115.xml"/><Relationship Id="rId346" Type="http://schemas.openxmlformats.org/officeDocument/2006/relationships/image" Target="media/image149.png"/><Relationship Id="rId347" Type="http://schemas.openxmlformats.org/officeDocument/2006/relationships/image" Target="media/image150.jpeg"/><Relationship Id="rId348" Type="http://schemas.openxmlformats.org/officeDocument/2006/relationships/header" Target="header116.xml"/><Relationship Id="rId349" Type="http://schemas.openxmlformats.org/officeDocument/2006/relationships/image" Target="media/image151.jpeg"/><Relationship Id="rId350" Type="http://schemas.openxmlformats.org/officeDocument/2006/relationships/image" Target="media/image152.png"/><Relationship Id="rId351" Type="http://schemas.openxmlformats.org/officeDocument/2006/relationships/image" Target="media/image153.png"/><Relationship Id="rId352" Type="http://schemas.openxmlformats.org/officeDocument/2006/relationships/header" Target="header117.xml"/><Relationship Id="rId353" Type="http://schemas.openxmlformats.org/officeDocument/2006/relationships/footer" Target="footer41.xml"/><Relationship Id="rId354" Type="http://schemas.openxmlformats.org/officeDocument/2006/relationships/image" Target="media/image154.png"/><Relationship Id="rId355" Type="http://schemas.openxmlformats.org/officeDocument/2006/relationships/header" Target="header118.xml"/><Relationship Id="rId356" Type="http://schemas.openxmlformats.org/officeDocument/2006/relationships/footer" Target="footer42.xml"/><Relationship Id="rId357" Type="http://schemas.openxmlformats.org/officeDocument/2006/relationships/image" Target="media/image155.jpeg"/><Relationship Id="rId358" Type="http://schemas.openxmlformats.org/officeDocument/2006/relationships/header" Target="header119.xml"/><Relationship Id="rId359" Type="http://schemas.openxmlformats.org/officeDocument/2006/relationships/image" Target="media/image156.png"/><Relationship Id="rId360" Type="http://schemas.openxmlformats.org/officeDocument/2006/relationships/image" Target="media/image157.jpeg"/><Relationship Id="rId361" Type="http://schemas.openxmlformats.org/officeDocument/2006/relationships/header" Target="header120.xml"/><Relationship Id="rId362" Type="http://schemas.openxmlformats.org/officeDocument/2006/relationships/image" Target="media/image158.jpeg"/><Relationship Id="rId363" Type="http://schemas.openxmlformats.org/officeDocument/2006/relationships/image" Target="media/image159.jpeg"/><Relationship Id="rId364" Type="http://schemas.openxmlformats.org/officeDocument/2006/relationships/header" Target="header121.xml"/><Relationship Id="rId365" Type="http://schemas.openxmlformats.org/officeDocument/2006/relationships/image" Target="media/image160.png"/><Relationship Id="rId366" Type="http://schemas.openxmlformats.org/officeDocument/2006/relationships/image" Target="media/image161.png"/><Relationship Id="rId367" Type="http://schemas.openxmlformats.org/officeDocument/2006/relationships/header" Target="header122.xml"/><Relationship Id="rId368" Type="http://schemas.openxmlformats.org/officeDocument/2006/relationships/image" Target="media/image162.png"/><Relationship Id="rId369" Type="http://schemas.openxmlformats.org/officeDocument/2006/relationships/header" Target="header123.xml"/><Relationship Id="rId370" Type="http://schemas.openxmlformats.org/officeDocument/2006/relationships/image" Target="media/image163.jpeg"/><Relationship Id="rId371" Type="http://schemas.openxmlformats.org/officeDocument/2006/relationships/image" Target="media/image164.png"/><Relationship Id="rId372" Type="http://schemas.openxmlformats.org/officeDocument/2006/relationships/header" Target="header124.xml"/><Relationship Id="rId373" Type="http://schemas.openxmlformats.org/officeDocument/2006/relationships/image" Target="media/image165.jpeg"/><Relationship Id="rId374" Type="http://schemas.openxmlformats.org/officeDocument/2006/relationships/image" Target="media/image166.png"/><Relationship Id="rId375" Type="http://schemas.openxmlformats.org/officeDocument/2006/relationships/header" Target="header125.xml"/><Relationship Id="rId376" Type="http://schemas.openxmlformats.org/officeDocument/2006/relationships/image" Target="media/image167.png"/><Relationship Id="rId377" Type="http://schemas.openxmlformats.org/officeDocument/2006/relationships/header" Target="header126.xml"/><Relationship Id="rId378" Type="http://schemas.openxmlformats.org/officeDocument/2006/relationships/image" Target="media/image168.jpeg"/><Relationship Id="rId379" Type="http://schemas.openxmlformats.org/officeDocument/2006/relationships/image" Target="media/image169.png"/><Relationship Id="rId380" Type="http://schemas.openxmlformats.org/officeDocument/2006/relationships/image" Target="media/image170.png"/><Relationship Id="rId381" Type="http://schemas.openxmlformats.org/officeDocument/2006/relationships/header" Target="header127.xml"/><Relationship Id="rId382" Type="http://schemas.openxmlformats.org/officeDocument/2006/relationships/footer" Target="footer43.xml"/><Relationship Id="rId383" Type="http://schemas.openxmlformats.org/officeDocument/2006/relationships/image" Target="media/image171.png"/><Relationship Id="rId384" Type="http://schemas.openxmlformats.org/officeDocument/2006/relationships/header" Target="header128.xml"/><Relationship Id="rId385" Type="http://schemas.openxmlformats.org/officeDocument/2006/relationships/footer" Target="footer44.xml"/><Relationship Id="rId386" Type="http://schemas.openxmlformats.org/officeDocument/2006/relationships/image" Target="media/image172.png"/><Relationship Id="rId387" Type="http://schemas.openxmlformats.org/officeDocument/2006/relationships/image" Target="media/image173.png"/><Relationship Id="rId388" Type="http://schemas.openxmlformats.org/officeDocument/2006/relationships/image" Target="media/image174.jpeg"/><Relationship Id="rId389" Type="http://schemas.openxmlformats.org/officeDocument/2006/relationships/header" Target="header129.xml"/><Relationship Id="rId390" Type="http://schemas.openxmlformats.org/officeDocument/2006/relationships/image" Target="media/image175.png"/><Relationship Id="rId391" Type="http://schemas.openxmlformats.org/officeDocument/2006/relationships/image" Target="media/image176.png"/><Relationship Id="rId392" Type="http://schemas.openxmlformats.org/officeDocument/2006/relationships/header" Target="header130.xml"/><Relationship Id="rId393" Type="http://schemas.openxmlformats.org/officeDocument/2006/relationships/image" Target="media/image177.jpeg"/><Relationship Id="rId394" Type="http://schemas.openxmlformats.org/officeDocument/2006/relationships/image" Target="media/image178.jpeg"/><Relationship Id="rId395" Type="http://schemas.openxmlformats.org/officeDocument/2006/relationships/header" Target="header131.xml"/><Relationship Id="rId396" Type="http://schemas.openxmlformats.org/officeDocument/2006/relationships/image" Target="media/image179.jpeg"/><Relationship Id="rId397" Type="http://schemas.openxmlformats.org/officeDocument/2006/relationships/header" Target="header132.xml"/><Relationship Id="rId398" Type="http://schemas.openxmlformats.org/officeDocument/2006/relationships/image" Target="media/image180.png"/><Relationship Id="rId399" Type="http://schemas.openxmlformats.org/officeDocument/2006/relationships/header" Target="header133.xml"/><Relationship Id="rId400" Type="http://schemas.openxmlformats.org/officeDocument/2006/relationships/image" Target="media/image181.png"/><Relationship Id="rId401" Type="http://schemas.openxmlformats.org/officeDocument/2006/relationships/image" Target="media/image182.png"/><Relationship Id="rId402" Type="http://schemas.openxmlformats.org/officeDocument/2006/relationships/image" Target="media/image183.jpeg"/><Relationship Id="rId403" Type="http://schemas.openxmlformats.org/officeDocument/2006/relationships/header" Target="header134.xml"/><Relationship Id="rId404" Type="http://schemas.openxmlformats.org/officeDocument/2006/relationships/image" Target="media/image184.png"/><Relationship Id="rId405" Type="http://schemas.openxmlformats.org/officeDocument/2006/relationships/image" Target="media/image185.png"/><Relationship Id="rId406" Type="http://schemas.openxmlformats.org/officeDocument/2006/relationships/header" Target="header135.xml"/><Relationship Id="rId407" Type="http://schemas.openxmlformats.org/officeDocument/2006/relationships/image" Target="media/image186.jpeg"/><Relationship Id="rId408" Type="http://schemas.openxmlformats.org/officeDocument/2006/relationships/image" Target="media/image187.jpeg"/><Relationship Id="rId409" Type="http://schemas.openxmlformats.org/officeDocument/2006/relationships/header" Target="header136.xml"/><Relationship Id="rId410" Type="http://schemas.openxmlformats.org/officeDocument/2006/relationships/image" Target="media/image188.png"/><Relationship Id="rId411" Type="http://schemas.openxmlformats.org/officeDocument/2006/relationships/header" Target="header137.xml"/><Relationship Id="rId412" Type="http://schemas.openxmlformats.org/officeDocument/2006/relationships/footer" Target="footer45.xml"/><Relationship Id="rId413" Type="http://schemas.openxmlformats.org/officeDocument/2006/relationships/header" Target="header138.xml"/><Relationship Id="rId414" Type="http://schemas.openxmlformats.org/officeDocument/2006/relationships/footer" Target="footer46.xml"/><Relationship Id="rId415" Type="http://schemas.openxmlformats.org/officeDocument/2006/relationships/header" Target="header139.xml"/><Relationship Id="rId416" Type="http://schemas.openxmlformats.org/officeDocument/2006/relationships/image" Target="media/image189.jpeg"/><Relationship Id="rId417" Type="http://schemas.openxmlformats.org/officeDocument/2006/relationships/header" Target="header140.xml"/><Relationship Id="rId418" Type="http://schemas.openxmlformats.org/officeDocument/2006/relationships/image" Target="media/image190.png"/><Relationship Id="rId419" Type="http://schemas.openxmlformats.org/officeDocument/2006/relationships/image" Target="media/image191.png"/><Relationship Id="rId420" Type="http://schemas.openxmlformats.org/officeDocument/2006/relationships/header" Target="header141.xml"/><Relationship Id="rId421" Type="http://schemas.openxmlformats.org/officeDocument/2006/relationships/header" Target="header142.xml"/><Relationship Id="rId422" Type="http://schemas.openxmlformats.org/officeDocument/2006/relationships/header" Target="header143.xml"/><Relationship Id="rId423" Type="http://schemas.openxmlformats.org/officeDocument/2006/relationships/header" Target="header144.xml"/><Relationship Id="rId424" Type="http://schemas.openxmlformats.org/officeDocument/2006/relationships/image" Target="media/image192.png"/><Relationship Id="rId425" Type="http://schemas.openxmlformats.org/officeDocument/2006/relationships/image" Target="media/image193.png"/><Relationship Id="rId426" Type="http://schemas.openxmlformats.org/officeDocument/2006/relationships/image" Target="media/image194.png"/><Relationship Id="rId427" Type="http://schemas.openxmlformats.org/officeDocument/2006/relationships/image" Target="media/image195.png"/><Relationship Id="rId428" Type="http://schemas.openxmlformats.org/officeDocument/2006/relationships/image" Target="media/image196.png"/><Relationship Id="rId429" Type="http://schemas.openxmlformats.org/officeDocument/2006/relationships/image" Target="media/image197.png"/><Relationship Id="rId430" Type="http://schemas.openxmlformats.org/officeDocument/2006/relationships/header" Target="header145.xml"/><Relationship Id="rId431" Type="http://schemas.openxmlformats.org/officeDocument/2006/relationships/image" Target="media/image198.png"/><Relationship Id="rId432" Type="http://schemas.openxmlformats.org/officeDocument/2006/relationships/image" Target="media/image199.png"/><Relationship Id="rId433" Type="http://schemas.openxmlformats.org/officeDocument/2006/relationships/image" Target="media/image200.png"/><Relationship Id="rId434" Type="http://schemas.openxmlformats.org/officeDocument/2006/relationships/image" Target="media/image201.png"/><Relationship Id="rId435" Type="http://schemas.openxmlformats.org/officeDocument/2006/relationships/image" Target="media/image202.png"/><Relationship Id="rId436" Type="http://schemas.openxmlformats.org/officeDocument/2006/relationships/image" Target="media/image203.png"/><Relationship Id="rId437" Type="http://schemas.openxmlformats.org/officeDocument/2006/relationships/image" Target="media/image204.png"/><Relationship Id="rId438" Type="http://schemas.openxmlformats.org/officeDocument/2006/relationships/image" Target="media/image205.png"/><Relationship Id="rId439" Type="http://schemas.openxmlformats.org/officeDocument/2006/relationships/image" Target="media/image206.png"/><Relationship Id="rId440" Type="http://schemas.openxmlformats.org/officeDocument/2006/relationships/image" Target="media/image207.png"/><Relationship Id="rId441" Type="http://schemas.openxmlformats.org/officeDocument/2006/relationships/image" Target="media/image208.png"/><Relationship Id="rId442" Type="http://schemas.openxmlformats.org/officeDocument/2006/relationships/image" Target="media/image209.png"/><Relationship Id="rId443" Type="http://schemas.openxmlformats.org/officeDocument/2006/relationships/header" Target="header146.xml"/><Relationship Id="rId444" Type="http://schemas.openxmlformats.org/officeDocument/2006/relationships/image" Target="media/image210.png"/><Relationship Id="rId445" Type="http://schemas.openxmlformats.org/officeDocument/2006/relationships/image" Target="media/image211.png"/><Relationship Id="rId446" Type="http://schemas.openxmlformats.org/officeDocument/2006/relationships/image" Target="media/image212.png"/><Relationship Id="rId447" Type="http://schemas.openxmlformats.org/officeDocument/2006/relationships/image" Target="media/image213.png"/><Relationship Id="rId448" Type="http://schemas.openxmlformats.org/officeDocument/2006/relationships/image" Target="media/image214.png"/><Relationship Id="rId449" Type="http://schemas.openxmlformats.org/officeDocument/2006/relationships/image" Target="media/image215.png"/><Relationship Id="rId450" Type="http://schemas.openxmlformats.org/officeDocument/2006/relationships/image" Target="media/image216.png"/><Relationship Id="rId451" Type="http://schemas.openxmlformats.org/officeDocument/2006/relationships/header" Target="header147.xml"/><Relationship Id="rId452" Type="http://schemas.openxmlformats.org/officeDocument/2006/relationships/footer" Target="footer47.xml"/><Relationship Id="rId453" Type="http://schemas.openxmlformats.org/officeDocument/2006/relationships/image" Target="media/image217.png"/><Relationship Id="rId454" Type="http://schemas.openxmlformats.org/officeDocument/2006/relationships/image" Target="media/image218.png"/><Relationship Id="rId455" Type="http://schemas.openxmlformats.org/officeDocument/2006/relationships/image" Target="media/image219.png"/><Relationship Id="rId456" Type="http://schemas.openxmlformats.org/officeDocument/2006/relationships/image" Target="media/image220.png"/><Relationship Id="rId457" Type="http://schemas.openxmlformats.org/officeDocument/2006/relationships/image" Target="media/image221.png"/><Relationship Id="rId458" Type="http://schemas.openxmlformats.org/officeDocument/2006/relationships/image" Target="media/image222.png"/><Relationship Id="rId459" Type="http://schemas.openxmlformats.org/officeDocument/2006/relationships/image" Target="media/image223.png"/><Relationship Id="rId460" Type="http://schemas.openxmlformats.org/officeDocument/2006/relationships/header" Target="header148.xml"/><Relationship Id="rId461" Type="http://schemas.openxmlformats.org/officeDocument/2006/relationships/footer" Target="footer48.xml"/><Relationship Id="rId462" Type="http://schemas.openxmlformats.org/officeDocument/2006/relationships/header" Target="header149.xml"/><Relationship Id="rId463" Type="http://schemas.openxmlformats.org/officeDocument/2006/relationships/image" Target="media/image224.png"/><Relationship Id="rId464" Type="http://schemas.openxmlformats.org/officeDocument/2006/relationships/header" Target="header150.xml"/><Relationship Id="rId465" Type="http://schemas.openxmlformats.org/officeDocument/2006/relationships/header" Target="header151.xml"/><Relationship Id="rId466" Type="http://schemas.openxmlformats.org/officeDocument/2006/relationships/header" Target="header152.xml"/><Relationship Id="rId467" Type="http://schemas.openxmlformats.org/officeDocument/2006/relationships/header" Target="header153.xml"/><Relationship Id="rId468" Type="http://schemas.openxmlformats.org/officeDocument/2006/relationships/header" Target="header154.xml"/><Relationship Id="rId469" Type="http://schemas.openxmlformats.org/officeDocument/2006/relationships/image" Target="media/image225.png"/><Relationship Id="rId470" Type="http://schemas.openxmlformats.org/officeDocument/2006/relationships/image" Target="media/image226.png"/><Relationship Id="rId471" Type="http://schemas.openxmlformats.org/officeDocument/2006/relationships/image" Target="media/image227.png"/><Relationship Id="rId472" Type="http://schemas.openxmlformats.org/officeDocument/2006/relationships/image" Target="media/image228.png"/><Relationship Id="rId473" Type="http://schemas.openxmlformats.org/officeDocument/2006/relationships/image" Target="media/image229.png"/><Relationship Id="rId474" Type="http://schemas.openxmlformats.org/officeDocument/2006/relationships/image" Target="media/image230.png"/><Relationship Id="rId475" Type="http://schemas.openxmlformats.org/officeDocument/2006/relationships/image" Target="media/image231.png"/><Relationship Id="rId476" Type="http://schemas.openxmlformats.org/officeDocument/2006/relationships/image" Target="media/image232.png"/><Relationship Id="rId477" Type="http://schemas.openxmlformats.org/officeDocument/2006/relationships/header" Target="header155.xml"/><Relationship Id="rId478" Type="http://schemas.openxmlformats.org/officeDocument/2006/relationships/image" Target="media/image233.png"/><Relationship Id="rId479" Type="http://schemas.openxmlformats.org/officeDocument/2006/relationships/header" Target="header156.xml"/><Relationship Id="rId480" Type="http://schemas.openxmlformats.org/officeDocument/2006/relationships/image" Target="media/image234.png"/><Relationship Id="rId481" Type="http://schemas.openxmlformats.org/officeDocument/2006/relationships/image" Target="media/image235.png"/><Relationship Id="rId482" Type="http://schemas.openxmlformats.org/officeDocument/2006/relationships/header" Target="header157.xml"/><Relationship Id="rId483" Type="http://schemas.openxmlformats.org/officeDocument/2006/relationships/footer" Target="footer49.xml"/><Relationship Id="rId484" Type="http://schemas.openxmlformats.org/officeDocument/2006/relationships/image" Target="media/image236.png"/><Relationship Id="rId485" Type="http://schemas.openxmlformats.org/officeDocument/2006/relationships/header" Target="header158.xml"/><Relationship Id="rId486" Type="http://schemas.openxmlformats.org/officeDocument/2006/relationships/footer" Target="footer50.xml"/><Relationship Id="rId487" Type="http://schemas.openxmlformats.org/officeDocument/2006/relationships/image" Target="media/image237.png"/><Relationship Id="rId488" Type="http://schemas.openxmlformats.org/officeDocument/2006/relationships/header" Target="header159.xml"/><Relationship Id="rId489" Type="http://schemas.openxmlformats.org/officeDocument/2006/relationships/header" Target="header160.xml"/><Relationship Id="rId490" Type="http://schemas.openxmlformats.org/officeDocument/2006/relationships/footer" Target="footer51.xml"/><Relationship Id="rId491" Type="http://schemas.openxmlformats.org/officeDocument/2006/relationships/hyperlink" Target="http://5gaa.org/wp-content/uploads/2018/05/3.-The-C-V2X-Proposition-Ford.pdf" TargetMode="External"/><Relationship Id="rId492" Type="http://schemas.openxmlformats.org/officeDocument/2006/relationships/hyperlink" Target="https://www.prnewswire.com/news-releases/panasonic-qualcomm-and-ford-demo-the-first-real-world-application-of-c-v2x-in-colorado-300697513.html" TargetMode="External"/><Relationship Id="rId493" Type="http://schemas.openxmlformats.org/officeDocument/2006/relationships/header" Target="header161.xml"/><Relationship Id="rId494" Type="http://schemas.openxmlformats.org/officeDocument/2006/relationships/footer" Target="footer52.xml"/><Relationship Id="rId495" Type="http://schemas.openxmlformats.org/officeDocument/2006/relationships/hyperlink" Target="https://www.qualcomm.com/news/releases/2018/06/01/panasonic-qualcomm-and-ford-join-forces-first-us-deployment-c-v2x-vehicle" TargetMode="External"/><Relationship Id="rId496" Type="http://schemas.openxmlformats.org/officeDocument/2006/relationships/hyperlink" Target="https://media.ford.com/content/fordmedia/feu/en/news/2018/07/11/-5gaa--bmw-group--ford-and-groupe-psa--exhibit-first-european-c-.html" TargetMode="External"/><Relationship Id="rId497" Type="http://schemas.openxmlformats.org/officeDocument/2006/relationships/hyperlink" Target="http://www.automotiveit.com/news/c-v2x-demos-incorporate-motorcycles-vehicles-and-infrastructure-communications-between-carmakers/" TargetMode="External"/><Relationship Id="rId498" Type="http://schemas.openxmlformats.org/officeDocument/2006/relationships/hyperlink" Target="https://media.ford.com/content/fordmedia/fap/cn/en/news/2018/03/29/Ford_and_Datang_Trial_C-V2X_Connected_Car_Technology_in_Shanghai_to_Support_Global_Connectivity_Initiative.html" TargetMode="External"/><Relationship Id="rId499" Type="http://schemas.openxmlformats.org/officeDocument/2006/relationships/header" Target="header162.xml"/><Relationship Id="rId500" Type="http://schemas.openxmlformats.org/officeDocument/2006/relationships/footer" Target="footer53.xml"/><Relationship Id="rId501" Type="http://schemas.openxmlformats.org/officeDocument/2006/relationships/hyperlink" Target="https://www.qualcomm.com/news/releases/2018/01/11/leading-automotive-telecom-and-its-companies-unveil-first-announced" TargetMode="External"/><Relationship Id="rId502" Type="http://schemas.openxmlformats.org/officeDocument/2006/relationships/hyperlink" Target="https://www.continental-corporation.com/en/press/press-releases/2017-12-18-cellular-v2x-116994" TargetMode="External"/><Relationship Id="rId503" Type="http://schemas.openxmlformats.org/officeDocument/2006/relationships/hyperlink" Target="https://www.qualcomm.com/news/releases/2017/10/31/att-ford-nokia-and-qualcomm-launch-cellular-v2x-connected-car-technology" TargetMode="External"/><Relationship Id="rId504" Type="http://schemas.openxmlformats.org/officeDocument/2006/relationships/header" Target="header163.xml"/><Relationship Id="rId505" Type="http://schemas.openxmlformats.org/officeDocument/2006/relationships/footer" Target="footer54.xml"/><Relationship Id="rId506" Type="http://schemas.openxmlformats.org/officeDocument/2006/relationships/hyperlink" Target="https://www.accesswire.com/478295/Rohde--Schwarz-Supports-3GPP-Cellular-V2X-Device-Testing-for-Vehicle-to-Vehicle-Connectivity" TargetMode="External"/><Relationship Id="rId507" Type="http://schemas.openxmlformats.org/officeDocument/2006/relationships/header" Target="header164.xml"/><Relationship Id="rId508" Type="http://schemas.openxmlformats.org/officeDocument/2006/relationships/footer" Target="footer55.xml"/><Relationship Id="rId509" Type="http://schemas.openxmlformats.org/officeDocument/2006/relationships/header" Target="header165.xml"/><Relationship Id="rId510" Type="http://schemas.openxmlformats.org/officeDocument/2006/relationships/footer" Target="footer56.xml"/><Relationship Id="rId511" Type="http://schemas.openxmlformats.org/officeDocument/2006/relationships/header" Target="header166.xml"/><Relationship Id="rId512" Type="http://schemas.openxmlformats.org/officeDocument/2006/relationships/footer" Target="footer57.xml"/><Relationship Id="rId513" Type="http://schemas.openxmlformats.org/officeDocument/2006/relationships/numbering" Target="numbering.xml"/></Relationships>

</file>

<file path=word/_rels/footer26.xml.rels><?xml version="1.0" encoding="UTF-8" standalone="yes"?>
<Relationships xmlns="http://schemas.openxmlformats.org/package/2006/relationships"><Relationship Id="rId1" Type="http://schemas.openxmlformats.org/officeDocument/2006/relationships/image" Target="media/image8.png"/></Relationships>

</file>

<file path=word/_rels/footer27.xml.rels><?xml version="1.0" encoding="UTF-8" standalone="yes"?>
<Relationships xmlns="http://schemas.openxmlformats.org/package/2006/relationships"><Relationship Id="rId1" Type="http://schemas.openxmlformats.org/officeDocument/2006/relationships/image" Target="media/image8.png"/></Relationships>

</file>

<file path=word/_rels/footer28.xml.rels><?xml version="1.0" encoding="UTF-8" standalone="yes"?>
<Relationships xmlns="http://schemas.openxmlformats.org/package/2006/relationships"><Relationship Id="rId1" Type="http://schemas.openxmlformats.org/officeDocument/2006/relationships/image" Target="media/image8.png"/></Relationships>

</file>

<file path=word/_rels/footer29.xml.rels><?xml version="1.0" encoding="UTF-8" standalone="yes"?>
<Relationships xmlns="http://schemas.openxmlformats.org/package/2006/relationships"><Relationship Id="rId1" Type="http://schemas.openxmlformats.org/officeDocument/2006/relationships/image" Target="media/image8.png"/></Relationships>

</file>

<file path=word/_rels/footer30.xml.rels><?xml version="1.0" encoding="UTF-8" standalone="yes"?>
<Relationships xmlns="http://schemas.openxmlformats.org/package/2006/relationships"><Relationship Id="rId1" Type="http://schemas.openxmlformats.org/officeDocument/2006/relationships/image" Target="media/image8.png"/></Relationships>

</file>

<file path=word/_rels/footer31.xml.rels><?xml version="1.0" encoding="UTF-8" standalone="yes"?>
<Relationships xmlns="http://schemas.openxmlformats.org/package/2006/relationships"><Relationship Id="rId1" Type="http://schemas.openxmlformats.org/officeDocument/2006/relationships/image" Target="media/image8.png"/></Relationships>

</file>

<file path=word/_rels/footer32.xml.rels><?xml version="1.0" encoding="UTF-8" standalone="yes"?>
<Relationships xmlns="http://schemas.openxmlformats.org/package/2006/relationships"><Relationship Id="rId1" Type="http://schemas.openxmlformats.org/officeDocument/2006/relationships/image" Target="media/image8.png"/></Relationships>

</file>

<file path=word/_rels/footer33.xml.rels><?xml version="1.0" encoding="UTF-8" standalone="yes"?>
<Relationships xmlns="http://schemas.openxmlformats.org/package/2006/relationships"><Relationship Id="rId1" Type="http://schemas.openxmlformats.org/officeDocument/2006/relationships/image" Target="media/image8.png"/></Relationships>

</file>

<file path=word/_rels/footer34.xml.rels><?xml version="1.0" encoding="UTF-8" standalone="yes"?>
<Relationships xmlns="http://schemas.openxmlformats.org/package/2006/relationships"><Relationship Id="rId1" Type="http://schemas.openxmlformats.org/officeDocument/2006/relationships/image" Target="media/image8.png"/></Relationships>

</file>

<file path=word/_rels/footer35.xml.rels><?xml version="1.0" encoding="UTF-8" standalone="yes"?>
<Relationships xmlns="http://schemas.openxmlformats.org/package/2006/relationships"><Relationship Id="rId1" Type="http://schemas.openxmlformats.org/officeDocument/2006/relationships/image" Target="media/image8.png"/></Relationships>

</file>

<file path=word/_rels/footer36.xml.rels><?xml version="1.0" encoding="UTF-8" standalone="yes"?>
<Relationships xmlns="http://schemas.openxmlformats.org/package/2006/relationships"><Relationship Id="rId1" Type="http://schemas.openxmlformats.org/officeDocument/2006/relationships/image" Target="media/image8.png"/></Relationships>

</file>

<file path=word/_rels/footer37.xml.rels><?xml version="1.0" encoding="UTF-8" standalone="yes"?>
<Relationships xmlns="http://schemas.openxmlformats.org/package/2006/relationships"><Relationship Id="rId1" Type="http://schemas.openxmlformats.org/officeDocument/2006/relationships/image" Target="media/image8.png"/></Relationships>

</file>

<file path=word/_rels/footer38.xml.rels><?xml version="1.0" encoding="UTF-8" standalone="yes"?>
<Relationships xmlns="http://schemas.openxmlformats.org/package/2006/relationships"><Relationship Id="rId1" Type="http://schemas.openxmlformats.org/officeDocument/2006/relationships/image" Target="media/image8.png"/></Relationships>

</file>

<file path=word/_rels/footer39.xml.rels><?xml version="1.0" encoding="UTF-8" standalone="yes"?>
<Relationships xmlns="http://schemas.openxmlformats.org/package/2006/relationships"><Relationship Id="rId1" Type="http://schemas.openxmlformats.org/officeDocument/2006/relationships/image" Target="media/image8.png"/></Relationships>

</file>

<file path=word/_rels/footer40.xml.rels><?xml version="1.0" encoding="UTF-8" standalone="yes"?>
<Relationships xmlns="http://schemas.openxmlformats.org/package/2006/relationships"><Relationship Id="rId1" Type="http://schemas.openxmlformats.org/officeDocument/2006/relationships/image" Target="media/image8.png"/></Relationships>

</file>

<file path=word/_rels/footer41.xml.rels><?xml version="1.0" encoding="UTF-8" standalone="yes"?>
<Relationships xmlns="http://schemas.openxmlformats.org/package/2006/relationships"><Relationship Id="rId1" Type="http://schemas.openxmlformats.org/officeDocument/2006/relationships/image" Target="media/image8.png"/></Relationships>

</file>

<file path=word/_rels/footer42.xml.rels><?xml version="1.0" encoding="UTF-8" standalone="yes"?>
<Relationships xmlns="http://schemas.openxmlformats.org/package/2006/relationships"><Relationship Id="rId1" Type="http://schemas.openxmlformats.org/officeDocument/2006/relationships/image" Target="media/image8.png"/></Relationships>

</file>

<file path=word/_rels/footer43.xml.rels><?xml version="1.0" encoding="UTF-8" standalone="yes"?>
<Relationships xmlns="http://schemas.openxmlformats.org/package/2006/relationships"><Relationship Id="rId1" Type="http://schemas.openxmlformats.org/officeDocument/2006/relationships/image" Target="media/image8.png"/></Relationships>

</file>

<file path=word/_rels/footer44.xml.rels><?xml version="1.0" encoding="UTF-8" standalone="yes"?>
<Relationships xmlns="http://schemas.openxmlformats.org/package/2006/relationships"><Relationship Id="rId1" Type="http://schemas.openxmlformats.org/officeDocument/2006/relationships/image" Target="media/image8.png"/></Relationships>

</file>

<file path=word/_rels/footer45.xml.rels><?xml version="1.0" encoding="UTF-8" standalone="yes"?>
<Relationships xmlns="http://schemas.openxmlformats.org/package/2006/relationships"><Relationship Id="rId1" Type="http://schemas.openxmlformats.org/officeDocument/2006/relationships/image" Target="media/image8.png"/></Relationships>

</file>

<file path=word/_rels/footer46.xml.rels><?xml version="1.0" encoding="UTF-8" standalone="yes"?>
<Relationships xmlns="http://schemas.openxmlformats.org/package/2006/relationships"><Relationship Id="rId1" Type="http://schemas.openxmlformats.org/officeDocument/2006/relationships/image" Target="media/image8.png"/></Relationships>

</file>

<file path=word/_rels/footer47.xml.rels><?xml version="1.0" encoding="UTF-8" standalone="yes"?>
<Relationships xmlns="http://schemas.openxmlformats.org/package/2006/relationships"><Relationship Id="rId1" Type="http://schemas.openxmlformats.org/officeDocument/2006/relationships/image" Target="media/image8.png"/></Relationships>

</file>

<file path=word/_rels/footer48.xml.rels><?xml version="1.0" encoding="UTF-8" standalone="yes"?>
<Relationships xmlns="http://schemas.openxmlformats.org/package/2006/relationships"><Relationship Id="rId1" Type="http://schemas.openxmlformats.org/officeDocument/2006/relationships/image" Target="media/image8.png"/></Relationships>

</file>

<file path=word/_rels/footer49.xml.rels><?xml version="1.0" encoding="UTF-8" standalone="yes"?>
<Relationships xmlns="http://schemas.openxmlformats.org/package/2006/relationships"><Relationship Id="rId1" Type="http://schemas.openxmlformats.org/officeDocument/2006/relationships/image" Target="media/image8.png"/></Relationships>

</file>

<file path=word/_rels/footer50.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Huffstickler, Karla</dc:creator>
  <dcterms:created xsi:type="dcterms:W3CDTF">2018-11-29T11:18:52Z</dcterms:created>
  <dcterms:modified xsi:type="dcterms:W3CDTF">2018-11-29T11:18:52Z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2018-11-21T00:00:00Z</vt:filetime>
  </property>
  <property fmtid="{D5CDD505-2E9C-101B-9397-08002B2CF9AE}" pid="3" name="Creator">
    <vt:lpwstr>Acrobat PDFMaker 10.1 for Word</vt:lpwstr>
  </property>
  <property fmtid="{D5CDD505-2E9C-101B-9397-08002B2CF9AE}" pid="4" name="LastSaved">
    <vt:filetime>2018-11-29T00:00:00Z</vt:filetime>
  </property>
</Properties>
</file>