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42894" w14:textId="77777777" w:rsidR="00532C62" w:rsidRDefault="00532C62" w:rsidP="00532C62">
      <w:r>
        <w:rPr>
          <w:noProof/>
        </w:rPr>
        <w:drawing>
          <wp:inline distT="0" distB="0" distL="0" distR="0" wp14:anchorId="379003AE" wp14:editId="2AE9F5AA">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5545BF42" w14:textId="77777777" w:rsidR="00532C62" w:rsidRPr="001409F1" w:rsidRDefault="00532C62" w:rsidP="00532C62">
      <w:pPr>
        <w:pStyle w:val="Title"/>
        <w:pBdr>
          <w:bottom w:val="single" w:sz="4" w:space="3" w:color="auto"/>
        </w:pBdr>
      </w:pPr>
      <w:bookmarkStart w:id="0" w:name="Citation"/>
      <w:r>
        <w:t xml:space="preserve">Radiocommunications (Low Interference Potential Devices) Class Licence Variation </w:t>
      </w:r>
      <w:r w:rsidR="004E3EB7">
        <w:t xml:space="preserve">2018 </w:t>
      </w:r>
      <w:r>
        <w:t>(No. 1)</w:t>
      </w:r>
      <w:bookmarkEnd w:id="0"/>
    </w:p>
    <w:p w14:paraId="6FC72CCD" w14:textId="77777777" w:rsidR="00532C62" w:rsidRDefault="00532C62" w:rsidP="00532C62">
      <w:pPr>
        <w:pBdr>
          <w:bottom w:val="single" w:sz="4" w:space="3" w:color="auto"/>
        </w:pBdr>
        <w:spacing w:before="480"/>
        <w:rPr>
          <w:rFonts w:ascii="Arial" w:hAnsi="Arial" w:cs="Arial"/>
          <w:i/>
          <w:sz w:val="28"/>
          <w:szCs w:val="28"/>
          <w:lang w:val="en-US"/>
        </w:rPr>
      </w:pPr>
      <w:r>
        <w:rPr>
          <w:rFonts w:ascii="Arial" w:hAnsi="Arial" w:cs="Arial"/>
          <w:i/>
          <w:sz w:val="28"/>
          <w:szCs w:val="28"/>
          <w:lang w:val="en-US"/>
        </w:rPr>
        <w:t>Radiocommunications Act 1992</w:t>
      </w:r>
    </w:p>
    <w:p w14:paraId="470EAEE8" w14:textId="77777777" w:rsidR="00532C62" w:rsidRPr="004C1976" w:rsidRDefault="00532C62" w:rsidP="00532C62">
      <w:pPr>
        <w:spacing w:before="360"/>
        <w:jc w:val="both"/>
      </w:pPr>
      <w:r>
        <w:t xml:space="preserve">The AUSTRALIAN COMMUNICATIONS AND MEDIA AUTHORITY makes this </w:t>
      </w:r>
      <w:r w:rsidR="00B6492F">
        <w:t xml:space="preserve">Variation </w:t>
      </w:r>
      <w:r>
        <w:t>under section 13</w:t>
      </w:r>
      <w:r w:rsidR="00A10F6A">
        <w:t>2</w:t>
      </w:r>
      <w:r>
        <w:t xml:space="preserve"> of the </w:t>
      </w:r>
      <w:r w:rsidRPr="004C1976">
        <w:rPr>
          <w:i/>
        </w:rPr>
        <w:t>Radiocommunications Act 1992</w:t>
      </w:r>
      <w:r>
        <w:t>.</w:t>
      </w:r>
    </w:p>
    <w:p w14:paraId="1958CCA1" w14:textId="77777777" w:rsidR="00532C62" w:rsidRDefault="00532C62" w:rsidP="00532C62">
      <w:pPr>
        <w:tabs>
          <w:tab w:val="right" w:pos="3686"/>
        </w:tabs>
        <w:spacing w:before="300" w:line="300" w:lineRule="exact"/>
      </w:pPr>
      <w:r>
        <w:t>Dated</w:t>
      </w:r>
      <w:bookmarkStart w:id="1" w:name="MadeDate"/>
      <w:bookmarkEnd w:id="1"/>
      <w:r w:rsidR="00E018D9">
        <w:t xml:space="preserve"> 21 June 2018</w:t>
      </w:r>
      <w:r w:rsidR="00E018D9">
        <w:tab/>
      </w:r>
    </w:p>
    <w:p w14:paraId="7EAF07DD" w14:textId="77777777" w:rsidR="00E018D9" w:rsidRDefault="00E018D9" w:rsidP="00E018D9">
      <w:pPr>
        <w:tabs>
          <w:tab w:val="right" w:pos="3686"/>
        </w:tabs>
        <w:jc w:val="right"/>
      </w:pPr>
    </w:p>
    <w:p w14:paraId="1BCD9F26" w14:textId="77777777" w:rsidR="00E018D9" w:rsidRDefault="00E018D9" w:rsidP="00E018D9">
      <w:pPr>
        <w:tabs>
          <w:tab w:val="right" w:pos="3686"/>
        </w:tabs>
        <w:jc w:val="right"/>
      </w:pPr>
    </w:p>
    <w:p w14:paraId="3A5F4401" w14:textId="77777777" w:rsidR="00E018D9" w:rsidRDefault="00E018D9" w:rsidP="00E018D9">
      <w:pPr>
        <w:tabs>
          <w:tab w:val="right" w:pos="3686"/>
        </w:tabs>
        <w:jc w:val="right"/>
      </w:pPr>
      <w:r>
        <w:t>Nerida O’Loughlin</w:t>
      </w:r>
    </w:p>
    <w:p w14:paraId="73C0B3FA" w14:textId="77777777" w:rsidR="00532C62" w:rsidRDefault="00E018D9" w:rsidP="00E018D9">
      <w:pPr>
        <w:tabs>
          <w:tab w:val="right" w:pos="3686"/>
        </w:tabs>
        <w:jc w:val="right"/>
      </w:pPr>
      <w:r>
        <w:t>[signed]</w:t>
      </w:r>
      <w:r w:rsidR="00532C62">
        <w:t xml:space="preserve"> </w:t>
      </w:r>
      <w:r w:rsidR="00532C62">
        <w:br/>
        <w:t>Member</w:t>
      </w:r>
    </w:p>
    <w:p w14:paraId="42C560F3" w14:textId="77777777" w:rsidR="00E018D9" w:rsidRDefault="00E018D9" w:rsidP="00E018D9">
      <w:pPr>
        <w:tabs>
          <w:tab w:val="right" w:pos="3686"/>
        </w:tabs>
        <w:jc w:val="right"/>
      </w:pPr>
    </w:p>
    <w:p w14:paraId="2925301B" w14:textId="77777777" w:rsidR="00E018D9" w:rsidRDefault="00E018D9" w:rsidP="00E018D9">
      <w:pPr>
        <w:tabs>
          <w:tab w:val="right" w:pos="3686"/>
        </w:tabs>
        <w:jc w:val="right"/>
      </w:pPr>
      <w:r>
        <w:t>James Cameron</w:t>
      </w:r>
    </w:p>
    <w:p w14:paraId="12B34FE2" w14:textId="77777777" w:rsidR="00532C62" w:rsidRDefault="00E018D9" w:rsidP="00E018D9">
      <w:pPr>
        <w:tabs>
          <w:tab w:val="right" w:pos="3686"/>
        </w:tabs>
        <w:jc w:val="right"/>
        <w:rPr>
          <w:strike/>
        </w:rPr>
      </w:pPr>
      <w:r>
        <w:t>[signed]</w:t>
      </w:r>
      <w:r w:rsidR="00532C62">
        <w:br/>
        <w:t>Member/</w:t>
      </w:r>
      <w:r w:rsidR="00532C62" w:rsidRPr="00E018D9">
        <w:rPr>
          <w:strike/>
        </w:rPr>
        <w:t>General Manager</w:t>
      </w:r>
    </w:p>
    <w:p w14:paraId="040C3CF0" w14:textId="77777777" w:rsidR="00E018D9" w:rsidRDefault="00E018D9" w:rsidP="00E018D9">
      <w:pPr>
        <w:tabs>
          <w:tab w:val="right" w:pos="3686"/>
        </w:tabs>
        <w:jc w:val="right"/>
        <w:rPr>
          <w:strike/>
        </w:rPr>
      </w:pPr>
    </w:p>
    <w:p w14:paraId="648A80A0" w14:textId="77777777" w:rsidR="00E018D9" w:rsidRDefault="00E018D9" w:rsidP="00E018D9">
      <w:pPr>
        <w:tabs>
          <w:tab w:val="right" w:pos="3686"/>
        </w:tabs>
        <w:jc w:val="right"/>
      </w:pPr>
    </w:p>
    <w:p w14:paraId="3075783B" w14:textId="77777777" w:rsidR="00532C62" w:rsidRDefault="00532C62" w:rsidP="00532C62">
      <w:pPr>
        <w:pBdr>
          <w:bottom w:val="single" w:sz="4" w:space="12" w:color="auto"/>
        </w:pBdr>
        <w:spacing w:line="240" w:lineRule="exact"/>
      </w:pPr>
      <w:bookmarkStart w:id="2" w:name="MinisterSign"/>
      <w:bookmarkStart w:id="3" w:name="Minister"/>
      <w:r>
        <w:t>Australian Communications and Media Authority</w:t>
      </w:r>
      <w:bookmarkEnd w:id="2"/>
      <w:bookmarkEnd w:id="3"/>
    </w:p>
    <w:p w14:paraId="25923DCF" w14:textId="77777777" w:rsidR="00532C62" w:rsidRDefault="00532C62" w:rsidP="00532C62">
      <w:pPr>
        <w:pStyle w:val="SigningPageBreak"/>
        <w:sectPr w:rsidR="00532C62" w:rsidSect="00532C62">
          <w:headerReference w:type="even" r:id="rId13"/>
          <w:headerReference w:type="default" r:id="rId14"/>
          <w:footerReference w:type="even" r:id="rId15"/>
          <w:footerReference w:type="default" r:id="rId16"/>
          <w:footerReference w:type="first" r:id="rId17"/>
          <w:pgSz w:w="11907" w:h="16839" w:code="9"/>
          <w:pgMar w:top="1440" w:right="1797" w:bottom="1440" w:left="1797" w:header="709" w:footer="709" w:gutter="0"/>
          <w:cols w:space="708"/>
          <w:titlePg/>
          <w:docGrid w:linePitch="360"/>
        </w:sectPr>
      </w:pPr>
    </w:p>
    <w:p w14:paraId="765A07E3" w14:textId="77777777" w:rsidR="00C600ED" w:rsidRDefault="00C600ED">
      <w:pPr>
        <w:spacing w:after="200" w:line="276" w:lineRule="auto"/>
        <w:rPr>
          <w:rStyle w:val="CharSectnoAm"/>
          <w:rFonts w:ascii="Arial" w:hAnsi="Arial"/>
          <w:b/>
        </w:rPr>
      </w:pPr>
      <w:r>
        <w:rPr>
          <w:rStyle w:val="CharSectnoAm"/>
        </w:rPr>
        <w:br w:type="page"/>
      </w:r>
    </w:p>
    <w:p w14:paraId="76ED798F" w14:textId="77777777" w:rsidR="00532C62" w:rsidRDefault="00532C62" w:rsidP="00C600ED">
      <w:pPr>
        <w:pStyle w:val="A1"/>
      </w:pPr>
      <w:r w:rsidRPr="00050501">
        <w:rPr>
          <w:rStyle w:val="CharSectnoAm"/>
        </w:rPr>
        <w:lastRenderedPageBreak/>
        <w:t>1</w:t>
      </w:r>
      <w:r>
        <w:tab/>
        <w:t xml:space="preserve">Name of </w:t>
      </w:r>
      <w:r w:rsidR="0042056E">
        <w:t>instrument</w:t>
      </w:r>
    </w:p>
    <w:p w14:paraId="0F5D6AF3" w14:textId="77777777" w:rsidR="00532C62" w:rsidRDefault="00532C62" w:rsidP="00532C62">
      <w:pPr>
        <w:pStyle w:val="A2"/>
      </w:pPr>
      <w:r>
        <w:tab/>
      </w:r>
      <w:r>
        <w:tab/>
        <w:t xml:space="preserve">This </w:t>
      </w:r>
      <w:r w:rsidR="00B6492F">
        <w:t xml:space="preserve">instrument </w:t>
      </w:r>
      <w:r>
        <w:t xml:space="preserve">is the </w:t>
      </w:r>
      <w:r w:rsidRPr="0023405B">
        <w:rPr>
          <w:i/>
        </w:rPr>
        <w:t xml:space="preserve">Radiocommunications (Low Interference Potential Devices) Class Licence Variation </w:t>
      </w:r>
      <w:r w:rsidR="00E66D4A" w:rsidRPr="0023405B">
        <w:rPr>
          <w:i/>
        </w:rPr>
        <w:t>201</w:t>
      </w:r>
      <w:r w:rsidR="00E66D4A">
        <w:rPr>
          <w:i/>
        </w:rPr>
        <w:t>8</w:t>
      </w:r>
      <w:r w:rsidR="00E66D4A" w:rsidRPr="0023405B">
        <w:rPr>
          <w:i/>
        </w:rPr>
        <w:t xml:space="preserve"> </w:t>
      </w:r>
      <w:r w:rsidRPr="0023405B">
        <w:rPr>
          <w:i/>
        </w:rPr>
        <w:t>(No. 1)</w:t>
      </w:r>
      <w:r w:rsidRPr="0023405B">
        <w:t>.</w:t>
      </w:r>
    </w:p>
    <w:p w14:paraId="0DDC9378" w14:textId="77777777" w:rsidR="00532C62" w:rsidRDefault="00532C62" w:rsidP="00532C62">
      <w:pPr>
        <w:pStyle w:val="A1"/>
      </w:pPr>
      <w:r w:rsidRPr="00050501">
        <w:rPr>
          <w:rStyle w:val="CharSectnoAm"/>
        </w:rPr>
        <w:t>2</w:t>
      </w:r>
      <w:r>
        <w:tab/>
        <w:t>Commencement</w:t>
      </w:r>
    </w:p>
    <w:p w14:paraId="621215FE" w14:textId="77777777" w:rsidR="00532C62" w:rsidRPr="00842B4F" w:rsidRDefault="00532C62" w:rsidP="00B6492F">
      <w:pPr>
        <w:pStyle w:val="A2"/>
      </w:pPr>
      <w:r>
        <w:tab/>
      </w:r>
      <w:r>
        <w:tab/>
        <w:t xml:space="preserve">This </w:t>
      </w:r>
      <w:r w:rsidR="00B6492F">
        <w:t xml:space="preserve">instrument </w:t>
      </w:r>
      <w:r>
        <w:t>commences</w:t>
      </w:r>
      <w:r w:rsidR="00B6492F">
        <w:t xml:space="preserve"> </w:t>
      </w:r>
      <w:r w:rsidR="00671410">
        <w:t xml:space="preserve">on </w:t>
      </w:r>
      <w:r w:rsidR="00B6492F">
        <w:t>the day after it is registered on the Federal Register of Legislation.</w:t>
      </w:r>
      <w:r>
        <w:tab/>
      </w:r>
    </w:p>
    <w:p w14:paraId="6AE2A257" w14:textId="77777777" w:rsidR="00A10F6A" w:rsidRPr="00A10F6A" w:rsidRDefault="00532C62" w:rsidP="00A10F6A">
      <w:pPr>
        <w:pStyle w:val="A4"/>
        <w:tabs>
          <w:tab w:val="left" w:pos="993"/>
        </w:tabs>
        <w:spacing w:before="120"/>
        <w:ind w:left="1843" w:hanging="2160"/>
        <w:rPr>
          <w:sz w:val="20"/>
          <w:szCs w:val="20"/>
        </w:rPr>
      </w:pPr>
      <w:r>
        <w:rPr>
          <w:i/>
          <w:sz w:val="20"/>
          <w:szCs w:val="20"/>
        </w:rPr>
        <w:tab/>
      </w:r>
      <w:r w:rsidRPr="00FE2967">
        <w:rPr>
          <w:i/>
          <w:sz w:val="20"/>
          <w:szCs w:val="20"/>
        </w:rPr>
        <w:t>Note</w:t>
      </w:r>
      <w:r w:rsidR="00A10F6A">
        <w:rPr>
          <w:i/>
          <w:sz w:val="20"/>
          <w:szCs w:val="20"/>
        </w:rPr>
        <w:t xml:space="preserve"> </w:t>
      </w:r>
      <w:r w:rsidR="00A10F6A">
        <w:rPr>
          <w:i/>
          <w:sz w:val="20"/>
          <w:szCs w:val="20"/>
        </w:rPr>
        <w:tab/>
      </w:r>
      <w:r w:rsidR="00A10F6A" w:rsidRPr="00A10F6A">
        <w:rPr>
          <w:sz w:val="20"/>
          <w:szCs w:val="20"/>
        </w:rPr>
        <w:t>All legislative instruments must be registered on the Federal Register of Legislati</w:t>
      </w:r>
      <w:r w:rsidR="0060573B">
        <w:rPr>
          <w:sz w:val="20"/>
          <w:szCs w:val="20"/>
        </w:rPr>
        <w:t>on</w:t>
      </w:r>
      <w:r w:rsidR="00A10F6A" w:rsidRPr="00A10F6A">
        <w:rPr>
          <w:sz w:val="20"/>
          <w:szCs w:val="20"/>
        </w:rPr>
        <w:t xml:space="preserve"> Instruments</w:t>
      </w:r>
      <w:r w:rsidR="00A10F6A">
        <w:rPr>
          <w:sz w:val="20"/>
          <w:szCs w:val="20"/>
        </w:rPr>
        <w:t xml:space="preserve"> required to be maintained under the </w:t>
      </w:r>
      <w:r w:rsidR="00A10F6A">
        <w:rPr>
          <w:i/>
          <w:sz w:val="20"/>
          <w:szCs w:val="20"/>
        </w:rPr>
        <w:t>Legislati</w:t>
      </w:r>
      <w:r w:rsidR="0060573B">
        <w:rPr>
          <w:i/>
          <w:sz w:val="20"/>
          <w:szCs w:val="20"/>
        </w:rPr>
        <w:t>on</w:t>
      </w:r>
      <w:r w:rsidR="00A10F6A">
        <w:rPr>
          <w:i/>
          <w:sz w:val="20"/>
          <w:szCs w:val="20"/>
        </w:rPr>
        <w:t xml:space="preserve"> Act 2003</w:t>
      </w:r>
      <w:r w:rsidR="00A10F6A">
        <w:rPr>
          <w:sz w:val="20"/>
          <w:szCs w:val="20"/>
        </w:rPr>
        <w:t>.</w:t>
      </w:r>
    </w:p>
    <w:p w14:paraId="137AC11E" w14:textId="77777777" w:rsidR="00747CE0" w:rsidRPr="00747CE0" w:rsidRDefault="00747CE0" w:rsidP="00747CE0">
      <w:pPr>
        <w:pStyle w:val="A1"/>
        <w:rPr>
          <w:lang w:val="en-US"/>
        </w:rPr>
      </w:pPr>
      <w:bookmarkStart w:id="4" w:name="_Toc444596033"/>
      <w:r w:rsidRPr="00747CE0">
        <w:t xml:space="preserve">3  </w:t>
      </w:r>
      <w:r>
        <w:tab/>
      </w:r>
      <w:r w:rsidRPr="00747CE0">
        <w:t>Authority</w:t>
      </w:r>
      <w:bookmarkEnd w:id="4"/>
    </w:p>
    <w:p w14:paraId="674F69BF" w14:textId="77777777" w:rsidR="00747CE0" w:rsidRPr="00747CE0" w:rsidRDefault="00747CE0" w:rsidP="00747CE0">
      <w:pPr>
        <w:pStyle w:val="A1"/>
        <w:rPr>
          <w:rFonts w:ascii="Times New Roman" w:hAnsi="Times New Roman"/>
          <w:b w:val="0"/>
          <w:lang w:val="en-US"/>
        </w:rPr>
      </w:pPr>
      <w:r>
        <w:t>               </w:t>
      </w:r>
      <w:r w:rsidRPr="00747CE0">
        <w:rPr>
          <w:rFonts w:ascii="Times New Roman" w:hAnsi="Times New Roman"/>
          <w:b w:val="0"/>
        </w:rPr>
        <w:t xml:space="preserve">This instrument is made under section </w:t>
      </w:r>
      <w:r>
        <w:rPr>
          <w:rFonts w:ascii="Times New Roman" w:hAnsi="Times New Roman"/>
          <w:b w:val="0"/>
        </w:rPr>
        <w:t xml:space="preserve">132 </w:t>
      </w:r>
      <w:r w:rsidRPr="00747CE0">
        <w:rPr>
          <w:rFonts w:ascii="Times New Roman" w:hAnsi="Times New Roman"/>
          <w:b w:val="0"/>
        </w:rPr>
        <w:t xml:space="preserve">of the </w:t>
      </w:r>
      <w:r w:rsidRPr="00747CE0">
        <w:rPr>
          <w:rFonts w:ascii="Times New Roman" w:hAnsi="Times New Roman"/>
          <w:b w:val="0"/>
          <w:i/>
          <w:iCs/>
        </w:rPr>
        <w:t>Radiocommunications Act 1992</w:t>
      </w:r>
      <w:r w:rsidRPr="00747CE0">
        <w:rPr>
          <w:rFonts w:ascii="Times New Roman" w:hAnsi="Times New Roman"/>
          <w:b w:val="0"/>
        </w:rPr>
        <w:t>.</w:t>
      </w:r>
    </w:p>
    <w:p w14:paraId="6C98BA06" w14:textId="77777777" w:rsidR="00532C62" w:rsidRDefault="00747CE0" w:rsidP="00532C62">
      <w:pPr>
        <w:pStyle w:val="A1"/>
      </w:pPr>
      <w:r>
        <w:t>4</w:t>
      </w:r>
      <w:r w:rsidR="00532C62">
        <w:tab/>
      </w:r>
      <w:r w:rsidR="0092002D">
        <w:t>Variation</w:t>
      </w:r>
      <w:r w:rsidR="00532C62">
        <w:t xml:space="preserve"> of </w:t>
      </w:r>
      <w:r w:rsidR="00532C62" w:rsidRPr="004C1976">
        <w:rPr>
          <w:i/>
        </w:rPr>
        <w:t>Radiocommunications (Low Interference Potential Devices) Class Licence 20</w:t>
      </w:r>
      <w:r w:rsidR="000415F9">
        <w:rPr>
          <w:i/>
        </w:rPr>
        <w:t>15</w:t>
      </w:r>
    </w:p>
    <w:p w14:paraId="3A2558C3" w14:textId="77777777" w:rsidR="00532C62" w:rsidRPr="004C1976" w:rsidRDefault="00532C62" w:rsidP="00532C62">
      <w:pPr>
        <w:pStyle w:val="A2"/>
      </w:pPr>
      <w:r>
        <w:tab/>
      </w:r>
      <w:r>
        <w:tab/>
        <w:t xml:space="preserve">Schedule 1 varies the </w:t>
      </w:r>
      <w:r w:rsidRPr="004C1976">
        <w:rPr>
          <w:i/>
        </w:rPr>
        <w:t>Radiocommunications (Low Interference Potential Devices) Class Licence 20</w:t>
      </w:r>
      <w:r w:rsidR="000B25DC">
        <w:rPr>
          <w:i/>
        </w:rPr>
        <w:t>15</w:t>
      </w:r>
      <w:r w:rsidR="005758DC">
        <w:t xml:space="preserve"> [</w:t>
      </w:r>
      <w:r w:rsidR="0078390A" w:rsidRPr="0078390A">
        <w:t>F2015L01438</w:t>
      </w:r>
      <w:r w:rsidR="005758DC">
        <w:t>]</w:t>
      </w:r>
      <w:r>
        <w:t>.</w:t>
      </w:r>
    </w:p>
    <w:p w14:paraId="45CB0FEC" w14:textId="77777777" w:rsidR="00532C62" w:rsidRDefault="00532C62" w:rsidP="00532C62">
      <w:pPr>
        <w:pStyle w:val="MainBodySectionBreak"/>
        <w:sectPr w:rsidR="00532C62" w:rsidSect="005758DC">
          <w:headerReference w:type="even" r:id="rId18"/>
          <w:headerReference w:type="default" r:id="rId19"/>
          <w:footerReference w:type="even" r:id="rId20"/>
          <w:footerReference w:type="default" r:id="rId21"/>
          <w:type w:val="continuous"/>
          <w:pgSz w:w="11907" w:h="16839" w:code="9"/>
          <w:pgMar w:top="1440" w:right="1797" w:bottom="1440" w:left="1797" w:header="709" w:footer="709" w:gutter="0"/>
          <w:cols w:space="708"/>
          <w:titlePg/>
          <w:docGrid w:linePitch="360"/>
        </w:sectPr>
      </w:pPr>
    </w:p>
    <w:p w14:paraId="1A2EBDD5" w14:textId="77777777" w:rsidR="003D2029" w:rsidRDefault="003D2029">
      <w:pPr>
        <w:spacing w:after="200" w:line="276" w:lineRule="auto"/>
        <w:rPr>
          <w:rStyle w:val="CharAmSchNo"/>
          <w:rFonts w:ascii="Arial" w:hAnsi="Arial"/>
          <w:b/>
          <w:sz w:val="32"/>
        </w:rPr>
      </w:pPr>
      <w:r>
        <w:rPr>
          <w:rStyle w:val="CharAmSchNo"/>
        </w:rPr>
        <w:br w:type="page"/>
      </w:r>
    </w:p>
    <w:p w14:paraId="0E3559D7" w14:textId="77777777" w:rsidR="002E29B6" w:rsidRDefault="00532C62" w:rsidP="00324560">
      <w:pPr>
        <w:pStyle w:val="AS"/>
        <w:rPr>
          <w:rStyle w:val="CharAmSchText"/>
        </w:rPr>
      </w:pPr>
      <w:r w:rsidRPr="00050501">
        <w:rPr>
          <w:rStyle w:val="CharAmSchNo"/>
        </w:rPr>
        <w:lastRenderedPageBreak/>
        <w:t>Schedule 1</w:t>
      </w:r>
      <w:r>
        <w:tab/>
      </w:r>
      <w:r w:rsidRPr="00050501">
        <w:rPr>
          <w:rStyle w:val="CharAmSchText"/>
        </w:rPr>
        <w:t>Variations</w:t>
      </w:r>
      <w:r w:rsidR="00324560">
        <w:rPr>
          <w:rStyle w:val="CharAmSchText"/>
        </w:rPr>
        <w:t xml:space="preserve"> </w:t>
      </w:r>
    </w:p>
    <w:p w14:paraId="2FC44F32" w14:textId="77777777" w:rsidR="00532C62" w:rsidRDefault="00532C62" w:rsidP="005758DC">
      <w:pPr>
        <w:pStyle w:val="ASref"/>
        <w:rPr>
          <w:b/>
        </w:rPr>
      </w:pPr>
      <w:r w:rsidRPr="00B6492F">
        <w:t xml:space="preserve">(section </w:t>
      </w:r>
      <w:r w:rsidR="00747CE0">
        <w:t>4</w:t>
      </w:r>
      <w:r w:rsidRPr="00B6492F">
        <w:t>)</w:t>
      </w:r>
    </w:p>
    <w:p w14:paraId="191EEC96" w14:textId="77777777" w:rsidR="0020011E" w:rsidRPr="0020011E" w:rsidRDefault="0020011E" w:rsidP="004A06A4">
      <w:pPr>
        <w:pStyle w:val="A1S"/>
        <w:spacing w:before="0"/>
        <w:ind w:left="0" w:firstLine="0"/>
      </w:pPr>
    </w:p>
    <w:p w14:paraId="5266EB8A" w14:textId="77777777" w:rsidR="00532C62" w:rsidRPr="00C47C11" w:rsidRDefault="00532C62" w:rsidP="0020011E">
      <w:pPr>
        <w:pStyle w:val="A1S"/>
        <w:spacing w:before="240"/>
      </w:pPr>
      <w:r>
        <w:t>[</w:t>
      </w:r>
      <w:r w:rsidR="004A06A4">
        <w:t>1</w:t>
      </w:r>
      <w:r>
        <w:t>]</w:t>
      </w:r>
      <w:r>
        <w:tab/>
        <w:t xml:space="preserve">Schedule 1, </w:t>
      </w:r>
      <w:r w:rsidR="004A06A4">
        <w:t xml:space="preserve">after </w:t>
      </w:r>
      <w:r>
        <w:t>item 2</w:t>
      </w:r>
      <w:r w:rsidR="000B25DC">
        <w:t>3</w:t>
      </w:r>
    </w:p>
    <w:p w14:paraId="5166FE0D" w14:textId="77777777" w:rsidR="0076066C" w:rsidRPr="00BD11AB" w:rsidRDefault="000B25DC" w:rsidP="0076066C">
      <w:pPr>
        <w:pStyle w:val="A2S"/>
        <w:spacing w:after="120"/>
      </w:pPr>
      <w:r>
        <w:t>insert</w:t>
      </w:r>
    </w:p>
    <w:tbl>
      <w:tblPr>
        <w:tblW w:w="8931" w:type="dxa"/>
        <w:tblInd w:w="-177" w:type="dxa"/>
        <w:tblLayout w:type="fixed"/>
        <w:tblCellMar>
          <w:left w:w="107" w:type="dxa"/>
          <w:right w:w="107" w:type="dxa"/>
        </w:tblCellMar>
        <w:tblLook w:val="0000" w:firstRow="0" w:lastRow="0" w:firstColumn="0" w:lastColumn="0" w:noHBand="0" w:noVBand="0"/>
      </w:tblPr>
      <w:tblGrid>
        <w:gridCol w:w="993"/>
        <w:gridCol w:w="1985"/>
        <w:gridCol w:w="1985"/>
        <w:gridCol w:w="1418"/>
        <w:gridCol w:w="2550"/>
      </w:tblGrid>
      <w:tr w:rsidR="004A06A4" w:rsidRPr="0024530F" w14:paraId="7E5FDBA8" w14:textId="77777777" w:rsidTr="00870AEB">
        <w:tc>
          <w:tcPr>
            <w:tcW w:w="993" w:type="dxa"/>
            <w:tcBorders>
              <w:top w:val="nil"/>
              <w:left w:val="nil"/>
              <w:bottom w:val="nil"/>
              <w:right w:val="nil"/>
            </w:tcBorders>
          </w:tcPr>
          <w:p w14:paraId="772D084B" w14:textId="77777777" w:rsidR="004A06A4" w:rsidRPr="0024530F" w:rsidRDefault="004A06A4" w:rsidP="00671410">
            <w:pPr>
              <w:tabs>
                <w:tab w:val="right" w:pos="284"/>
              </w:tabs>
              <w:spacing w:after="120"/>
              <w:ind w:right="113"/>
              <w:jc w:val="right"/>
            </w:pPr>
            <w:r>
              <w:rPr>
                <w:sz w:val="22"/>
                <w:szCs w:val="22"/>
              </w:rPr>
              <w:t>23</w:t>
            </w:r>
            <w:r w:rsidR="00671410">
              <w:rPr>
                <w:sz w:val="22"/>
                <w:szCs w:val="22"/>
              </w:rPr>
              <w:t>A</w:t>
            </w:r>
          </w:p>
        </w:tc>
        <w:tc>
          <w:tcPr>
            <w:tcW w:w="1985" w:type="dxa"/>
            <w:tcBorders>
              <w:top w:val="nil"/>
              <w:left w:val="nil"/>
              <w:bottom w:val="nil"/>
              <w:right w:val="nil"/>
            </w:tcBorders>
          </w:tcPr>
          <w:p w14:paraId="15A421B4" w14:textId="77777777" w:rsidR="004A06A4" w:rsidRPr="0024530F" w:rsidRDefault="004A06A4" w:rsidP="00870AEB">
            <w:pPr>
              <w:spacing w:after="120"/>
            </w:pPr>
            <w:r>
              <w:rPr>
                <w:sz w:val="22"/>
                <w:szCs w:val="22"/>
              </w:rPr>
              <w:t>All transmitters</w:t>
            </w:r>
          </w:p>
        </w:tc>
        <w:tc>
          <w:tcPr>
            <w:tcW w:w="1985" w:type="dxa"/>
            <w:tcBorders>
              <w:top w:val="nil"/>
              <w:left w:val="nil"/>
              <w:bottom w:val="nil"/>
              <w:right w:val="nil"/>
            </w:tcBorders>
          </w:tcPr>
          <w:p w14:paraId="54ADC4FD" w14:textId="77777777" w:rsidR="004A06A4" w:rsidRPr="0004329F" w:rsidRDefault="004A06A4" w:rsidP="00870AEB">
            <w:pPr>
              <w:ind w:left="317" w:hanging="289"/>
            </w:pPr>
            <w:r>
              <w:rPr>
                <w:sz w:val="22"/>
                <w:szCs w:val="22"/>
              </w:rPr>
              <w:t>122000-122250</w:t>
            </w:r>
          </w:p>
        </w:tc>
        <w:tc>
          <w:tcPr>
            <w:tcW w:w="1418" w:type="dxa"/>
            <w:tcBorders>
              <w:top w:val="nil"/>
              <w:left w:val="nil"/>
              <w:bottom w:val="nil"/>
              <w:right w:val="nil"/>
            </w:tcBorders>
          </w:tcPr>
          <w:p w14:paraId="296B0C82" w14:textId="77777777" w:rsidR="004A06A4" w:rsidRDefault="004A06A4" w:rsidP="00870AEB">
            <w:pPr>
              <w:spacing w:after="120"/>
              <w:ind w:right="113"/>
            </w:pPr>
            <w:r>
              <w:rPr>
                <w:sz w:val="22"/>
                <w:szCs w:val="22"/>
              </w:rPr>
              <w:t>See limitations</w:t>
            </w:r>
          </w:p>
          <w:p w14:paraId="0ACB8E9A" w14:textId="77777777" w:rsidR="004A06A4" w:rsidRPr="0024530F" w:rsidRDefault="004A06A4" w:rsidP="00870AEB">
            <w:pPr>
              <w:spacing w:after="120"/>
              <w:ind w:right="113"/>
            </w:pPr>
          </w:p>
        </w:tc>
        <w:tc>
          <w:tcPr>
            <w:tcW w:w="2550" w:type="dxa"/>
            <w:tcBorders>
              <w:top w:val="nil"/>
              <w:left w:val="nil"/>
              <w:bottom w:val="nil"/>
              <w:right w:val="nil"/>
            </w:tcBorders>
          </w:tcPr>
          <w:p w14:paraId="3E2A6657" w14:textId="77777777" w:rsidR="004A06A4" w:rsidRDefault="004A06A4" w:rsidP="004A06A4">
            <w:pPr>
              <w:pStyle w:val="TableText"/>
              <w:numPr>
                <w:ilvl w:val="0"/>
                <w:numId w:val="5"/>
              </w:numPr>
              <w:spacing w:before="0"/>
              <w:rPr>
                <w:szCs w:val="22"/>
              </w:rPr>
            </w:pPr>
            <w:r>
              <w:rPr>
                <w:szCs w:val="22"/>
              </w:rPr>
              <w:t>The</w:t>
            </w:r>
            <w:r w:rsidR="008B57E2">
              <w:rPr>
                <w:szCs w:val="22"/>
              </w:rPr>
              <w:t xml:space="preserve"> maximum radiated</w:t>
            </w:r>
            <w:r>
              <w:rPr>
                <w:szCs w:val="22"/>
              </w:rPr>
              <w:t xml:space="preserve"> power spectral density must not exceed 10 dBm per 250 MHz</w:t>
            </w:r>
          </w:p>
          <w:p w14:paraId="7BA4DA83" w14:textId="77777777" w:rsidR="008B57E2" w:rsidRPr="0024530F" w:rsidRDefault="008B57E2" w:rsidP="00346AF7">
            <w:pPr>
              <w:pStyle w:val="TableText"/>
              <w:numPr>
                <w:ilvl w:val="0"/>
                <w:numId w:val="5"/>
              </w:numPr>
              <w:spacing w:before="0"/>
            </w:pPr>
            <w:r>
              <w:t xml:space="preserve">The maximum radiated power spectral density must not exceed </w:t>
            </w:r>
            <w:r w:rsidR="00E001F3">
              <w:noBreakHyphen/>
            </w:r>
            <w:r>
              <w:t>48 dBm</w:t>
            </w:r>
            <w:r w:rsidR="00087A20">
              <w:t xml:space="preserve"> per </w:t>
            </w:r>
            <w:r>
              <w:t>MHz for elevation</w:t>
            </w:r>
            <w:r w:rsidR="00E001F3">
              <w:t>s</w:t>
            </w:r>
            <w:r>
              <w:t xml:space="preserve"> above 30</w:t>
            </w:r>
            <w:r w:rsidR="00346AF7">
              <w:t xml:space="preserve"> degrees.</w:t>
            </w:r>
          </w:p>
        </w:tc>
      </w:tr>
    </w:tbl>
    <w:p w14:paraId="3E7AB6D7" w14:textId="77777777" w:rsidR="00196663" w:rsidRDefault="00827C68" w:rsidP="00827C68">
      <w:pPr>
        <w:pStyle w:val="A2S"/>
        <w:spacing w:before="0"/>
        <w:ind w:left="992" w:hanging="992"/>
        <w:rPr>
          <w:rFonts w:ascii="Arial" w:hAnsi="Arial" w:cs="Arial"/>
          <w:b/>
          <w:i w:val="0"/>
        </w:rPr>
      </w:pPr>
      <w:r>
        <w:rPr>
          <w:rFonts w:ascii="Arial" w:hAnsi="Arial" w:cs="Arial"/>
          <w:b/>
          <w:i w:val="0"/>
        </w:rPr>
        <w:t>[2]</w:t>
      </w:r>
      <w:r>
        <w:rPr>
          <w:rFonts w:ascii="Arial" w:hAnsi="Arial" w:cs="Arial"/>
          <w:b/>
          <w:i w:val="0"/>
        </w:rPr>
        <w:tab/>
      </w:r>
      <w:r w:rsidR="00196663">
        <w:rPr>
          <w:rFonts w:ascii="Arial" w:hAnsi="Arial" w:cs="Arial"/>
          <w:b/>
          <w:i w:val="0"/>
        </w:rPr>
        <w:t>Schedule 1, item 33, Column 4 – Limitations</w:t>
      </w:r>
    </w:p>
    <w:p w14:paraId="04C524DC" w14:textId="77777777" w:rsidR="00196663" w:rsidRDefault="00196663" w:rsidP="00196663"/>
    <w:p w14:paraId="1A23BBBB" w14:textId="77777777" w:rsidR="00196663" w:rsidRPr="00196663" w:rsidRDefault="00196663" w:rsidP="00196663">
      <w:pPr>
        <w:rPr>
          <w:i/>
        </w:rPr>
      </w:pPr>
      <w:r>
        <w:tab/>
      </w:r>
      <w:r w:rsidR="0060573B">
        <w:rPr>
          <w:i/>
        </w:rPr>
        <w:t>omit</w:t>
      </w:r>
      <w:r w:rsidR="0060573B" w:rsidRPr="00196663">
        <w:rPr>
          <w:i/>
        </w:rPr>
        <w:t xml:space="preserve"> </w:t>
      </w:r>
      <w:r w:rsidR="0060573B">
        <w:rPr>
          <w:i/>
        </w:rPr>
        <w:t>sub-</w:t>
      </w:r>
      <w:r w:rsidRPr="00196663">
        <w:rPr>
          <w:i/>
        </w:rPr>
        <w:t>paragraph (b)(ii)</w:t>
      </w:r>
      <w:r w:rsidR="0060573B">
        <w:rPr>
          <w:i/>
        </w:rPr>
        <w:t xml:space="preserve"> and susbtitute </w:t>
      </w:r>
    </w:p>
    <w:p w14:paraId="67E5A410" w14:textId="77777777" w:rsidR="00196663" w:rsidRDefault="00196663" w:rsidP="00196663"/>
    <w:p w14:paraId="6FD3DD51" w14:textId="77777777" w:rsidR="00196663" w:rsidRPr="00196663" w:rsidRDefault="00196663" w:rsidP="00196663">
      <w:pPr>
        <w:rPr>
          <w:sz w:val="22"/>
          <w:szCs w:val="22"/>
        </w:rPr>
      </w:pPr>
      <w:r>
        <w:tab/>
      </w:r>
      <w:r w:rsidRPr="00196663">
        <w:rPr>
          <w:sz w:val="22"/>
          <w:szCs w:val="22"/>
        </w:rPr>
        <w:t xml:space="preserve">FCC Rules Title 47 Part 95 </w:t>
      </w:r>
      <w:r w:rsidR="00980C55">
        <w:rPr>
          <w:sz w:val="22"/>
          <w:szCs w:val="22"/>
        </w:rPr>
        <w:t>Sections 2573 and 2579</w:t>
      </w:r>
    </w:p>
    <w:p w14:paraId="2DDE4EA9" w14:textId="77777777" w:rsidR="00196663" w:rsidRDefault="00196663" w:rsidP="00827C68">
      <w:pPr>
        <w:pStyle w:val="A2S"/>
        <w:spacing w:before="0"/>
        <w:ind w:left="992" w:hanging="992"/>
        <w:rPr>
          <w:rFonts w:ascii="Arial" w:hAnsi="Arial" w:cs="Arial"/>
          <w:b/>
          <w:i w:val="0"/>
        </w:rPr>
      </w:pPr>
    </w:p>
    <w:p w14:paraId="447C61F7" w14:textId="77777777" w:rsidR="00196663" w:rsidRDefault="00196663" w:rsidP="00827C68">
      <w:pPr>
        <w:pStyle w:val="A2S"/>
        <w:spacing w:before="0"/>
        <w:ind w:left="992" w:hanging="992"/>
        <w:rPr>
          <w:rFonts w:ascii="Arial" w:hAnsi="Arial" w:cs="Arial"/>
          <w:b/>
          <w:i w:val="0"/>
        </w:rPr>
      </w:pPr>
    </w:p>
    <w:p w14:paraId="72C71FE3" w14:textId="77777777" w:rsidR="00827C68" w:rsidRPr="00842B4F" w:rsidRDefault="00196663" w:rsidP="00827C68">
      <w:pPr>
        <w:pStyle w:val="A2S"/>
        <w:spacing w:before="0"/>
        <w:ind w:left="992" w:hanging="992"/>
        <w:rPr>
          <w:rFonts w:ascii="Arial" w:hAnsi="Arial" w:cs="Arial"/>
          <w:b/>
          <w:i w:val="0"/>
        </w:rPr>
      </w:pPr>
      <w:r>
        <w:rPr>
          <w:rFonts w:ascii="Arial" w:hAnsi="Arial" w:cs="Arial"/>
          <w:b/>
          <w:i w:val="0"/>
        </w:rPr>
        <w:t xml:space="preserve">[3]          </w:t>
      </w:r>
      <w:r w:rsidR="00827C68">
        <w:rPr>
          <w:rFonts w:ascii="Arial" w:hAnsi="Arial" w:cs="Arial"/>
          <w:b/>
          <w:i w:val="0"/>
        </w:rPr>
        <w:t>Schedule 1, after item 34</w:t>
      </w:r>
    </w:p>
    <w:p w14:paraId="5C1F3B87" w14:textId="77777777" w:rsidR="00827C68" w:rsidRDefault="00827C68" w:rsidP="00827C68">
      <w:pPr>
        <w:spacing w:before="120"/>
        <w:ind w:left="992"/>
        <w:rPr>
          <w:i/>
        </w:rPr>
      </w:pPr>
      <w:r>
        <w:rPr>
          <w:i/>
        </w:rPr>
        <w:t>insert</w:t>
      </w:r>
    </w:p>
    <w:p w14:paraId="353B91D2" w14:textId="77777777" w:rsidR="00827C68" w:rsidRDefault="00827C68" w:rsidP="00827C68">
      <w:pPr>
        <w:spacing w:before="120"/>
        <w:ind w:left="992"/>
        <w:rPr>
          <w:i/>
        </w:rPr>
      </w:pPr>
    </w:p>
    <w:tbl>
      <w:tblPr>
        <w:tblW w:w="9003" w:type="dxa"/>
        <w:tblInd w:w="-177" w:type="dxa"/>
        <w:tblLayout w:type="fixed"/>
        <w:tblCellMar>
          <w:left w:w="107" w:type="dxa"/>
          <w:right w:w="107" w:type="dxa"/>
        </w:tblCellMar>
        <w:tblLook w:val="0000" w:firstRow="0" w:lastRow="0" w:firstColumn="0" w:lastColumn="0" w:noHBand="0" w:noVBand="0"/>
      </w:tblPr>
      <w:tblGrid>
        <w:gridCol w:w="1001"/>
        <w:gridCol w:w="2001"/>
        <w:gridCol w:w="2001"/>
        <w:gridCol w:w="1429"/>
        <w:gridCol w:w="2571"/>
      </w:tblGrid>
      <w:tr w:rsidR="00827C68" w:rsidRPr="0024530F" w14:paraId="0FAE63A9" w14:textId="77777777" w:rsidTr="0060573B">
        <w:trPr>
          <w:trHeight w:val="929"/>
        </w:trPr>
        <w:tc>
          <w:tcPr>
            <w:tcW w:w="1001" w:type="dxa"/>
            <w:tcBorders>
              <w:top w:val="nil"/>
              <w:left w:val="nil"/>
              <w:bottom w:val="nil"/>
              <w:right w:val="nil"/>
            </w:tcBorders>
          </w:tcPr>
          <w:p w14:paraId="4955EEB8" w14:textId="77777777" w:rsidR="00827C68" w:rsidRDefault="00827C68" w:rsidP="00AF41F0">
            <w:pPr>
              <w:tabs>
                <w:tab w:val="right" w:pos="284"/>
              </w:tabs>
              <w:spacing w:after="120"/>
              <w:ind w:right="113"/>
              <w:jc w:val="right"/>
              <w:rPr>
                <w:sz w:val="22"/>
                <w:szCs w:val="22"/>
              </w:rPr>
            </w:pPr>
            <w:r>
              <w:rPr>
                <w:sz w:val="22"/>
                <w:szCs w:val="22"/>
              </w:rPr>
              <w:t>34</w:t>
            </w:r>
            <w:r w:rsidR="00671410">
              <w:rPr>
                <w:sz w:val="22"/>
                <w:szCs w:val="22"/>
              </w:rPr>
              <w:t>A</w:t>
            </w:r>
          </w:p>
          <w:p w14:paraId="00B3E2FD" w14:textId="77777777" w:rsidR="00827C68" w:rsidRPr="0024530F" w:rsidRDefault="00827C68" w:rsidP="00AF41F0">
            <w:pPr>
              <w:tabs>
                <w:tab w:val="right" w:pos="284"/>
              </w:tabs>
              <w:spacing w:after="120"/>
              <w:ind w:right="113"/>
              <w:jc w:val="right"/>
            </w:pPr>
          </w:p>
        </w:tc>
        <w:tc>
          <w:tcPr>
            <w:tcW w:w="2001" w:type="dxa"/>
            <w:tcBorders>
              <w:top w:val="nil"/>
              <w:left w:val="nil"/>
              <w:bottom w:val="nil"/>
              <w:right w:val="nil"/>
            </w:tcBorders>
          </w:tcPr>
          <w:p w14:paraId="1017A4BB" w14:textId="77777777" w:rsidR="00827C68" w:rsidRDefault="00827C68" w:rsidP="00AF41F0">
            <w:pPr>
              <w:spacing w:after="120"/>
              <w:rPr>
                <w:sz w:val="22"/>
                <w:szCs w:val="22"/>
              </w:rPr>
            </w:pPr>
            <w:r>
              <w:rPr>
                <w:sz w:val="22"/>
                <w:szCs w:val="22"/>
              </w:rPr>
              <w:t>Medical endoscopy capsule transmitters</w:t>
            </w:r>
          </w:p>
          <w:p w14:paraId="761762D6" w14:textId="77777777" w:rsidR="00827C68" w:rsidRDefault="00827C68" w:rsidP="00AF41F0">
            <w:pPr>
              <w:spacing w:after="120"/>
              <w:rPr>
                <w:rStyle w:val="charpartno"/>
                <w:sz w:val="20"/>
                <w:szCs w:val="20"/>
              </w:rPr>
            </w:pPr>
            <w:r>
              <w:rPr>
                <w:rStyle w:val="charpartno"/>
                <w:sz w:val="20"/>
                <w:szCs w:val="20"/>
              </w:rPr>
              <w:t xml:space="preserve">(see Note 2 and </w:t>
            </w:r>
          </w:p>
          <w:p w14:paraId="7A37AD54" w14:textId="77777777" w:rsidR="00827C68" w:rsidRDefault="00827C68" w:rsidP="00AF41F0">
            <w:pPr>
              <w:spacing w:after="120"/>
              <w:rPr>
                <w:sz w:val="22"/>
                <w:szCs w:val="22"/>
              </w:rPr>
            </w:pPr>
            <w:r>
              <w:rPr>
                <w:rStyle w:val="charpartno"/>
                <w:sz w:val="20"/>
                <w:szCs w:val="20"/>
              </w:rPr>
              <w:t>Note 3)</w:t>
            </w:r>
          </w:p>
          <w:p w14:paraId="4501623B" w14:textId="77777777" w:rsidR="00827C68" w:rsidRDefault="00827C68" w:rsidP="00AF41F0">
            <w:pPr>
              <w:spacing w:after="120"/>
              <w:rPr>
                <w:sz w:val="22"/>
                <w:szCs w:val="22"/>
              </w:rPr>
            </w:pPr>
          </w:p>
          <w:p w14:paraId="61224EDE" w14:textId="77777777" w:rsidR="00827C68" w:rsidRPr="0024530F" w:rsidRDefault="00827C68" w:rsidP="00AF41F0">
            <w:pPr>
              <w:spacing w:after="120"/>
            </w:pPr>
          </w:p>
        </w:tc>
        <w:tc>
          <w:tcPr>
            <w:tcW w:w="2001" w:type="dxa"/>
            <w:tcBorders>
              <w:top w:val="nil"/>
              <w:left w:val="nil"/>
              <w:bottom w:val="nil"/>
              <w:right w:val="nil"/>
            </w:tcBorders>
          </w:tcPr>
          <w:p w14:paraId="7C3887E4" w14:textId="77777777" w:rsidR="00827C68" w:rsidRPr="0004329F" w:rsidRDefault="00827C68" w:rsidP="00AF41F0">
            <w:pPr>
              <w:ind w:left="317" w:hanging="289"/>
            </w:pPr>
            <w:r>
              <w:rPr>
                <w:sz w:val="22"/>
                <w:szCs w:val="22"/>
              </w:rPr>
              <w:t>430-440</w:t>
            </w:r>
          </w:p>
        </w:tc>
        <w:tc>
          <w:tcPr>
            <w:tcW w:w="1429" w:type="dxa"/>
            <w:tcBorders>
              <w:top w:val="nil"/>
              <w:left w:val="nil"/>
              <w:bottom w:val="nil"/>
              <w:right w:val="nil"/>
            </w:tcBorders>
          </w:tcPr>
          <w:p w14:paraId="1FC22F97" w14:textId="77777777" w:rsidR="00827C68" w:rsidRPr="0024530F" w:rsidRDefault="00910451" w:rsidP="00AF41F0">
            <w:pPr>
              <w:spacing w:after="120"/>
              <w:ind w:right="113"/>
            </w:pPr>
            <w:r>
              <w:rPr>
                <w:sz w:val="22"/>
                <w:szCs w:val="22"/>
              </w:rPr>
              <w:t>See limitations</w:t>
            </w:r>
          </w:p>
        </w:tc>
        <w:tc>
          <w:tcPr>
            <w:tcW w:w="2571" w:type="dxa"/>
            <w:tcBorders>
              <w:top w:val="nil"/>
              <w:left w:val="nil"/>
              <w:bottom w:val="nil"/>
              <w:right w:val="nil"/>
            </w:tcBorders>
          </w:tcPr>
          <w:p w14:paraId="77A86DC6" w14:textId="77777777" w:rsidR="00910451" w:rsidRDefault="00910451" w:rsidP="00910451">
            <w:pPr>
              <w:pStyle w:val="TableText"/>
              <w:spacing w:before="0"/>
              <w:rPr>
                <w:szCs w:val="22"/>
              </w:rPr>
            </w:pPr>
          </w:p>
          <w:p w14:paraId="13882E6F" w14:textId="77777777" w:rsidR="00910451" w:rsidRDefault="00910451" w:rsidP="00910451">
            <w:pPr>
              <w:pStyle w:val="TableText"/>
              <w:numPr>
                <w:ilvl w:val="0"/>
                <w:numId w:val="7"/>
              </w:numPr>
              <w:spacing w:before="0"/>
              <w:rPr>
                <w:szCs w:val="22"/>
              </w:rPr>
            </w:pPr>
            <w:r>
              <w:rPr>
                <w:szCs w:val="22"/>
              </w:rPr>
              <w:t xml:space="preserve">The maximum </w:t>
            </w:r>
            <w:r w:rsidR="00585D07">
              <w:rPr>
                <w:szCs w:val="22"/>
              </w:rPr>
              <w:t xml:space="preserve">effective </w:t>
            </w:r>
            <w:r>
              <w:rPr>
                <w:szCs w:val="22"/>
              </w:rPr>
              <w:t xml:space="preserve">radiated power spectral density must not exceed </w:t>
            </w:r>
            <w:r w:rsidR="00E001F3">
              <w:rPr>
                <w:szCs w:val="22"/>
              </w:rPr>
              <w:noBreakHyphen/>
            </w:r>
            <w:r>
              <w:rPr>
                <w:szCs w:val="22"/>
              </w:rPr>
              <w:t>50 dBm per 100 kHz</w:t>
            </w:r>
            <w:r w:rsidR="00E001F3">
              <w:rPr>
                <w:szCs w:val="22"/>
              </w:rPr>
              <w:t>.</w:t>
            </w:r>
          </w:p>
          <w:p w14:paraId="6A6A0235" w14:textId="77777777" w:rsidR="00910451" w:rsidRDefault="00910451" w:rsidP="00910451">
            <w:pPr>
              <w:pStyle w:val="TableText"/>
              <w:spacing w:before="0"/>
              <w:ind w:left="720"/>
              <w:rPr>
                <w:szCs w:val="22"/>
              </w:rPr>
            </w:pPr>
          </w:p>
          <w:p w14:paraId="7FE399B2" w14:textId="77777777" w:rsidR="00827C68" w:rsidRDefault="00910451" w:rsidP="00910451">
            <w:pPr>
              <w:pStyle w:val="TableText"/>
              <w:numPr>
                <w:ilvl w:val="0"/>
                <w:numId w:val="7"/>
              </w:numPr>
              <w:spacing w:before="0"/>
              <w:rPr>
                <w:szCs w:val="22"/>
              </w:rPr>
            </w:pPr>
            <w:r>
              <w:rPr>
                <w:szCs w:val="22"/>
              </w:rPr>
              <w:t xml:space="preserve">The </w:t>
            </w:r>
            <w:r w:rsidR="00600A31">
              <w:rPr>
                <w:szCs w:val="22"/>
              </w:rPr>
              <w:t>total</w:t>
            </w:r>
            <w:r w:rsidR="009F1F10">
              <w:rPr>
                <w:szCs w:val="22"/>
              </w:rPr>
              <w:t xml:space="preserve"> effective</w:t>
            </w:r>
            <w:r>
              <w:rPr>
                <w:szCs w:val="22"/>
              </w:rPr>
              <w:t xml:space="preserve"> radiated power must not exceed </w:t>
            </w:r>
            <w:r w:rsidR="00E001F3">
              <w:rPr>
                <w:szCs w:val="22"/>
              </w:rPr>
              <w:noBreakHyphen/>
            </w:r>
            <w:r>
              <w:rPr>
                <w:szCs w:val="22"/>
              </w:rPr>
              <w:t xml:space="preserve">40 dBm within </w:t>
            </w:r>
            <w:r w:rsidR="009F1F10">
              <w:rPr>
                <w:szCs w:val="22"/>
              </w:rPr>
              <w:t xml:space="preserve">a </w:t>
            </w:r>
            <w:r>
              <w:rPr>
                <w:szCs w:val="22"/>
              </w:rPr>
              <w:t>10 MHz measurement bandwidth</w:t>
            </w:r>
          </w:p>
          <w:p w14:paraId="598C37D3" w14:textId="77777777" w:rsidR="00910451" w:rsidRDefault="00910451" w:rsidP="00910451">
            <w:pPr>
              <w:pStyle w:val="ListParagraph"/>
              <w:rPr>
                <w:szCs w:val="22"/>
              </w:rPr>
            </w:pPr>
          </w:p>
          <w:p w14:paraId="734684B9" w14:textId="77777777" w:rsidR="00910451" w:rsidRDefault="00910451" w:rsidP="00910451">
            <w:pPr>
              <w:pStyle w:val="TableText"/>
              <w:numPr>
                <w:ilvl w:val="0"/>
                <w:numId w:val="7"/>
              </w:numPr>
              <w:spacing w:before="0"/>
              <w:rPr>
                <w:szCs w:val="22"/>
              </w:rPr>
            </w:pPr>
            <w:r>
              <w:rPr>
                <w:szCs w:val="22"/>
              </w:rPr>
              <w:t xml:space="preserve">Both limits are intended for measurement </w:t>
            </w:r>
            <w:r>
              <w:rPr>
                <w:szCs w:val="22"/>
              </w:rPr>
              <w:lastRenderedPageBreak/>
              <w:t>outside the patient’s body</w:t>
            </w:r>
          </w:p>
          <w:p w14:paraId="735E9CB3" w14:textId="77777777" w:rsidR="00827C68" w:rsidRPr="0024530F" w:rsidRDefault="00827C68" w:rsidP="00AF41F0">
            <w:pPr>
              <w:pStyle w:val="TableText"/>
              <w:spacing w:before="0"/>
            </w:pPr>
          </w:p>
        </w:tc>
      </w:tr>
    </w:tbl>
    <w:p w14:paraId="3031FBC6" w14:textId="77777777" w:rsidR="00BC328F" w:rsidRPr="00842B4F" w:rsidRDefault="00827C68" w:rsidP="00324560">
      <w:pPr>
        <w:pStyle w:val="A2S"/>
        <w:spacing w:before="0"/>
        <w:ind w:left="992" w:hanging="992"/>
        <w:rPr>
          <w:rFonts w:ascii="Arial" w:hAnsi="Arial" w:cs="Arial"/>
          <w:b/>
          <w:i w:val="0"/>
        </w:rPr>
      </w:pPr>
      <w:r>
        <w:rPr>
          <w:rFonts w:ascii="Arial" w:hAnsi="Arial" w:cs="Arial"/>
          <w:b/>
          <w:i w:val="0"/>
        </w:rPr>
        <w:lastRenderedPageBreak/>
        <w:t>[</w:t>
      </w:r>
      <w:r w:rsidR="00196663">
        <w:rPr>
          <w:rFonts w:ascii="Arial" w:hAnsi="Arial" w:cs="Arial"/>
          <w:b/>
          <w:i w:val="0"/>
        </w:rPr>
        <w:t>4</w:t>
      </w:r>
      <w:r w:rsidR="00BC328F">
        <w:rPr>
          <w:rFonts w:ascii="Arial" w:hAnsi="Arial" w:cs="Arial"/>
          <w:b/>
          <w:i w:val="0"/>
        </w:rPr>
        <w:t>]</w:t>
      </w:r>
      <w:r w:rsidR="00BC328F">
        <w:rPr>
          <w:rFonts w:ascii="Arial" w:hAnsi="Arial" w:cs="Arial"/>
          <w:b/>
          <w:i w:val="0"/>
        </w:rPr>
        <w:tab/>
        <w:t xml:space="preserve">Schedule 1, </w:t>
      </w:r>
      <w:r w:rsidR="008B57E2">
        <w:rPr>
          <w:rFonts w:ascii="Arial" w:hAnsi="Arial" w:cs="Arial"/>
          <w:b/>
          <w:i w:val="0"/>
        </w:rPr>
        <w:t xml:space="preserve">after </w:t>
      </w:r>
      <w:r w:rsidR="00BC328F">
        <w:rPr>
          <w:rFonts w:ascii="Arial" w:hAnsi="Arial" w:cs="Arial"/>
          <w:b/>
          <w:i w:val="0"/>
        </w:rPr>
        <w:t xml:space="preserve">item </w:t>
      </w:r>
      <w:r w:rsidR="008B57E2">
        <w:rPr>
          <w:rFonts w:ascii="Arial" w:hAnsi="Arial" w:cs="Arial"/>
          <w:b/>
          <w:i w:val="0"/>
        </w:rPr>
        <w:t>35</w:t>
      </w:r>
    </w:p>
    <w:p w14:paraId="0894A94F" w14:textId="77777777" w:rsidR="00BC328F" w:rsidRDefault="00304118" w:rsidP="00842B4F">
      <w:pPr>
        <w:spacing w:before="120"/>
        <w:ind w:left="992"/>
        <w:rPr>
          <w:i/>
        </w:rPr>
      </w:pPr>
      <w:r>
        <w:rPr>
          <w:i/>
        </w:rPr>
        <w:t>i</w:t>
      </w:r>
      <w:r w:rsidR="008B57E2">
        <w:rPr>
          <w:i/>
        </w:rPr>
        <w:t>nsert</w:t>
      </w:r>
    </w:p>
    <w:p w14:paraId="4A2FEF06" w14:textId="77777777" w:rsidR="003D6C15" w:rsidRDefault="003D6C15" w:rsidP="003D6C15">
      <w:pPr>
        <w:spacing w:before="120"/>
        <w:ind w:left="992"/>
        <w:rPr>
          <w:i/>
        </w:rPr>
      </w:pPr>
    </w:p>
    <w:tbl>
      <w:tblPr>
        <w:tblW w:w="8827" w:type="dxa"/>
        <w:tblInd w:w="-177" w:type="dxa"/>
        <w:tblLayout w:type="fixed"/>
        <w:tblCellMar>
          <w:left w:w="107" w:type="dxa"/>
          <w:right w:w="107" w:type="dxa"/>
        </w:tblCellMar>
        <w:tblLook w:val="0000" w:firstRow="0" w:lastRow="0" w:firstColumn="0" w:lastColumn="0" w:noHBand="0" w:noVBand="0"/>
      </w:tblPr>
      <w:tblGrid>
        <w:gridCol w:w="981"/>
        <w:gridCol w:w="1962"/>
        <w:gridCol w:w="1962"/>
        <w:gridCol w:w="1401"/>
        <w:gridCol w:w="2521"/>
      </w:tblGrid>
      <w:tr w:rsidR="003D6C15" w:rsidRPr="0024530F" w14:paraId="5AED99E1" w14:textId="77777777" w:rsidTr="0060573B">
        <w:trPr>
          <w:trHeight w:val="1495"/>
        </w:trPr>
        <w:tc>
          <w:tcPr>
            <w:tcW w:w="981" w:type="dxa"/>
            <w:tcBorders>
              <w:top w:val="nil"/>
              <w:left w:val="nil"/>
              <w:bottom w:val="nil"/>
              <w:right w:val="nil"/>
            </w:tcBorders>
          </w:tcPr>
          <w:p w14:paraId="2BF1A348" w14:textId="77777777" w:rsidR="003D6C15" w:rsidRPr="0024530F" w:rsidRDefault="003D6C15" w:rsidP="005D3907">
            <w:pPr>
              <w:tabs>
                <w:tab w:val="right" w:pos="284"/>
              </w:tabs>
              <w:spacing w:after="120"/>
              <w:ind w:right="113"/>
              <w:jc w:val="right"/>
            </w:pPr>
            <w:r>
              <w:rPr>
                <w:sz w:val="22"/>
                <w:szCs w:val="22"/>
              </w:rPr>
              <w:t>35</w:t>
            </w:r>
            <w:r w:rsidR="00671410">
              <w:rPr>
                <w:sz w:val="22"/>
                <w:szCs w:val="22"/>
              </w:rPr>
              <w:t>A</w:t>
            </w:r>
          </w:p>
        </w:tc>
        <w:tc>
          <w:tcPr>
            <w:tcW w:w="1962" w:type="dxa"/>
            <w:tcBorders>
              <w:top w:val="nil"/>
              <w:left w:val="nil"/>
              <w:bottom w:val="nil"/>
              <w:right w:val="nil"/>
            </w:tcBorders>
          </w:tcPr>
          <w:p w14:paraId="7011BC6C" w14:textId="77777777" w:rsidR="003D6C15" w:rsidRDefault="003D6C15" w:rsidP="00870AEB">
            <w:pPr>
              <w:spacing w:after="120"/>
              <w:rPr>
                <w:sz w:val="22"/>
                <w:szCs w:val="22"/>
              </w:rPr>
            </w:pPr>
            <w:r>
              <w:rPr>
                <w:sz w:val="22"/>
                <w:szCs w:val="22"/>
              </w:rPr>
              <w:t>Medical body area network transmitters</w:t>
            </w:r>
          </w:p>
          <w:p w14:paraId="73766F12" w14:textId="77777777" w:rsidR="003D6C15" w:rsidRPr="0024530F" w:rsidRDefault="00827C68" w:rsidP="0060573B">
            <w:pPr>
              <w:spacing w:after="120"/>
            </w:pPr>
            <w:r>
              <w:rPr>
                <w:rStyle w:val="charpartno"/>
                <w:sz w:val="20"/>
                <w:szCs w:val="20"/>
              </w:rPr>
              <w:t>(see Note 2)</w:t>
            </w:r>
          </w:p>
        </w:tc>
        <w:tc>
          <w:tcPr>
            <w:tcW w:w="1962" w:type="dxa"/>
            <w:tcBorders>
              <w:top w:val="nil"/>
              <w:left w:val="nil"/>
              <w:bottom w:val="nil"/>
              <w:right w:val="nil"/>
            </w:tcBorders>
          </w:tcPr>
          <w:p w14:paraId="218FFEDA" w14:textId="77777777" w:rsidR="003D6C15" w:rsidRPr="0004329F" w:rsidRDefault="003D6C15" w:rsidP="00870AEB">
            <w:pPr>
              <w:ind w:left="317" w:hanging="289"/>
            </w:pPr>
            <w:r>
              <w:rPr>
                <w:sz w:val="22"/>
                <w:szCs w:val="22"/>
              </w:rPr>
              <w:t xml:space="preserve">2483.5-2500 </w:t>
            </w:r>
          </w:p>
        </w:tc>
        <w:tc>
          <w:tcPr>
            <w:tcW w:w="1401" w:type="dxa"/>
            <w:tcBorders>
              <w:top w:val="nil"/>
              <w:left w:val="nil"/>
              <w:bottom w:val="nil"/>
              <w:right w:val="nil"/>
            </w:tcBorders>
          </w:tcPr>
          <w:p w14:paraId="2C30A7AB" w14:textId="77777777" w:rsidR="003D6C15" w:rsidRDefault="003D6C15" w:rsidP="00870AEB">
            <w:pPr>
              <w:spacing w:after="120"/>
              <w:ind w:right="113"/>
            </w:pPr>
            <w:r>
              <w:rPr>
                <w:sz w:val="22"/>
                <w:szCs w:val="22"/>
              </w:rPr>
              <w:t>See limitations</w:t>
            </w:r>
          </w:p>
          <w:p w14:paraId="619D26FB" w14:textId="77777777" w:rsidR="003D6C15" w:rsidRPr="0024530F" w:rsidRDefault="003D6C15" w:rsidP="00870AEB">
            <w:pPr>
              <w:spacing w:after="120"/>
              <w:ind w:right="113"/>
            </w:pPr>
          </w:p>
        </w:tc>
        <w:tc>
          <w:tcPr>
            <w:tcW w:w="2521" w:type="dxa"/>
            <w:tcBorders>
              <w:top w:val="nil"/>
              <w:left w:val="nil"/>
              <w:bottom w:val="nil"/>
              <w:right w:val="nil"/>
            </w:tcBorders>
          </w:tcPr>
          <w:p w14:paraId="64ED5F8C" w14:textId="77777777" w:rsidR="003D6C15" w:rsidRDefault="003D6C15" w:rsidP="00870AEB">
            <w:pPr>
              <w:pStyle w:val="TableText"/>
              <w:spacing w:before="0"/>
              <w:rPr>
                <w:szCs w:val="22"/>
              </w:rPr>
            </w:pPr>
            <w:r>
              <w:rPr>
                <w:szCs w:val="22"/>
              </w:rPr>
              <w:t xml:space="preserve">The transmitter must comply with ETSI </w:t>
            </w:r>
            <w:r w:rsidR="0042056E">
              <w:rPr>
                <w:szCs w:val="22"/>
              </w:rPr>
              <w:t>S</w:t>
            </w:r>
            <w:r>
              <w:rPr>
                <w:szCs w:val="22"/>
              </w:rPr>
              <w:t>tandard EN 303 203</w:t>
            </w:r>
          </w:p>
          <w:p w14:paraId="01775B13" w14:textId="77777777" w:rsidR="003D6C15" w:rsidRPr="0024530F" w:rsidRDefault="003D6C15" w:rsidP="0060573B">
            <w:pPr>
              <w:pStyle w:val="TableText"/>
              <w:spacing w:before="0"/>
            </w:pPr>
          </w:p>
        </w:tc>
      </w:tr>
      <w:tr w:rsidR="003D6C15" w:rsidRPr="0024530F" w14:paraId="0471382F" w14:textId="77777777" w:rsidTr="00671410">
        <w:trPr>
          <w:trHeight w:val="1199"/>
        </w:trPr>
        <w:tc>
          <w:tcPr>
            <w:tcW w:w="981" w:type="dxa"/>
            <w:tcBorders>
              <w:top w:val="nil"/>
              <w:left w:val="nil"/>
              <w:bottom w:val="nil"/>
              <w:right w:val="nil"/>
            </w:tcBorders>
          </w:tcPr>
          <w:p w14:paraId="68352C7F" w14:textId="77777777" w:rsidR="003D6C15" w:rsidRPr="0024530F" w:rsidRDefault="003D6C15" w:rsidP="00671410">
            <w:pPr>
              <w:tabs>
                <w:tab w:val="right" w:pos="284"/>
              </w:tabs>
              <w:spacing w:after="120"/>
              <w:ind w:right="113"/>
              <w:jc w:val="right"/>
            </w:pPr>
            <w:r>
              <w:rPr>
                <w:sz w:val="22"/>
                <w:szCs w:val="22"/>
              </w:rPr>
              <w:t>35</w:t>
            </w:r>
            <w:r w:rsidR="00671410">
              <w:rPr>
                <w:sz w:val="22"/>
                <w:szCs w:val="22"/>
              </w:rPr>
              <w:t>B</w:t>
            </w:r>
          </w:p>
        </w:tc>
        <w:tc>
          <w:tcPr>
            <w:tcW w:w="1962" w:type="dxa"/>
            <w:tcBorders>
              <w:top w:val="nil"/>
              <w:left w:val="nil"/>
              <w:bottom w:val="nil"/>
              <w:right w:val="nil"/>
            </w:tcBorders>
          </w:tcPr>
          <w:p w14:paraId="5AF8EEAF" w14:textId="77777777" w:rsidR="003D6C15" w:rsidRDefault="00027A09" w:rsidP="00870AEB">
            <w:pPr>
              <w:spacing w:after="120"/>
              <w:rPr>
                <w:sz w:val="22"/>
                <w:szCs w:val="22"/>
              </w:rPr>
            </w:pPr>
            <w:r>
              <w:rPr>
                <w:sz w:val="22"/>
                <w:szCs w:val="22"/>
              </w:rPr>
              <w:t>Low power active medical implant</w:t>
            </w:r>
          </w:p>
          <w:p w14:paraId="1AE994A8" w14:textId="77777777" w:rsidR="003D6C15" w:rsidRPr="0024530F" w:rsidRDefault="00827C68" w:rsidP="00870AEB">
            <w:pPr>
              <w:spacing w:after="120"/>
            </w:pPr>
            <w:r>
              <w:rPr>
                <w:rStyle w:val="charpartno"/>
                <w:sz w:val="20"/>
                <w:szCs w:val="20"/>
              </w:rPr>
              <w:t>(see Note 2)</w:t>
            </w:r>
          </w:p>
        </w:tc>
        <w:tc>
          <w:tcPr>
            <w:tcW w:w="1962" w:type="dxa"/>
            <w:tcBorders>
              <w:top w:val="nil"/>
              <w:left w:val="nil"/>
              <w:bottom w:val="nil"/>
              <w:right w:val="nil"/>
            </w:tcBorders>
          </w:tcPr>
          <w:p w14:paraId="0DF8A5C9" w14:textId="77777777" w:rsidR="003D6C15" w:rsidRPr="0004329F" w:rsidRDefault="003D6C15" w:rsidP="00870AEB">
            <w:pPr>
              <w:ind w:left="317" w:hanging="289"/>
            </w:pPr>
            <w:r>
              <w:rPr>
                <w:sz w:val="22"/>
                <w:szCs w:val="22"/>
              </w:rPr>
              <w:t xml:space="preserve">2483.5-2500 </w:t>
            </w:r>
          </w:p>
        </w:tc>
        <w:tc>
          <w:tcPr>
            <w:tcW w:w="1401" w:type="dxa"/>
            <w:tcBorders>
              <w:top w:val="nil"/>
              <w:left w:val="nil"/>
              <w:bottom w:val="nil"/>
              <w:right w:val="nil"/>
            </w:tcBorders>
          </w:tcPr>
          <w:p w14:paraId="16FCBEB4" w14:textId="77777777" w:rsidR="003D6C15" w:rsidRPr="0024530F" w:rsidRDefault="003D6C15" w:rsidP="00870AEB">
            <w:pPr>
              <w:spacing w:after="120"/>
              <w:ind w:right="113"/>
            </w:pPr>
            <w:r>
              <w:rPr>
                <w:sz w:val="22"/>
                <w:szCs w:val="22"/>
              </w:rPr>
              <w:t>See limitations</w:t>
            </w:r>
          </w:p>
        </w:tc>
        <w:tc>
          <w:tcPr>
            <w:tcW w:w="2521" w:type="dxa"/>
            <w:tcBorders>
              <w:top w:val="nil"/>
              <w:left w:val="nil"/>
              <w:bottom w:val="nil"/>
              <w:right w:val="nil"/>
            </w:tcBorders>
          </w:tcPr>
          <w:p w14:paraId="792CB915" w14:textId="77777777" w:rsidR="003D6C15" w:rsidRDefault="003D6C15" w:rsidP="00870AEB">
            <w:pPr>
              <w:pStyle w:val="TableText"/>
              <w:spacing w:before="0"/>
              <w:rPr>
                <w:szCs w:val="22"/>
              </w:rPr>
            </w:pPr>
            <w:r>
              <w:rPr>
                <w:szCs w:val="22"/>
              </w:rPr>
              <w:t xml:space="preserve">The transmitter must comply with ETSI </w:t>
            </w:r>
            <w:r w:rsidR="0042056E">
              <w:rPr>
                <w:szCs w:val="22"/>
              </w:rPr>
              <w:t>S</w:t>
            </w:r>
            <w:r>
              <w:rPr>
                <w:szCs w:val="22"/>
              </w:rPr>
              <w:t>tandard EN 3</w:t>
            </w:r>
            <w:r w:rsidR="00027A09">
              <w:rPr>
                <w:szCs w:val="22"/>
              </w:rPr>
              <w:t>01</w:t>
            </w:r>
            <w:r>
              <w:rPr>
                <w:szCs w:val="22"/>
              </w:rPr>
              <w:t xml:space="preserve"> </w:t>
            </w:r>
            <w:r w:rsidR="00027A09">
              <w:rPr>
                <w:szCs w:val="22"/>
              </w:rPr>
              <w:t>559</w:t>
            </w:r>
          </w:p>
          <w:p w14:paraId="43C55596" w14:textId="77777777" w:rsidR="003D6C15" w:rsidRPr="0024530F" w:rsidRDefault="003D6C15" w:rsidP="0060573B">
            <w:pPr>
              <w:pStyle w:val="TableText"/>
              <w:spacing w:before="0"/>
            </w:pPr>
          </w:p>
        </w:tc>
      </w:tr>
    </w:tbl>
    <w:p w14:paraId="06850AA4" w14:textId="77777777" w:rsidR="00BC328F" w:rsidRDefault="00BC328F" w:rsidP="00BC328F">
      <w:pPr>
        <w:rPr>
          <w:i/>
        </w:rPr>
      </w:pPr>
    </w:p>
    <w:p w14:paraId="38F5E575" w14:textId="77777777" w:rsidR="00BC328F" w:rsidRDefault="006B1E75" w:rsidP="00324560">
      <w:pPr>
        <w:ind w:left="992" w:hanging="992"/>
        <w:rPr>
          <w:rFonts w:ascii="Arial" w:hAnsi="Arial" w:cs="Arial"/>
          <w:b/>
        </w:rPr>
      </w:pPr>
      <w:r>
        <w:rPr>
          <w:rFonts w:ascii="Arial" w:hAnsi="Arial" w:cs="Arial"/>
          <w:b/>
        </w:rPr>
        <w:t>[</w:t>
      </w:r>
      <w:r w:rsidR="00196663">
        <w:rPr>
          <w:rFonts w:ascii="Arial" w:hAnsi="Arial" w:cs="Arial"/>
          <w:b/>
        </w:rPr>
        <w:t>5</w:t>
      </w:r>
      <w:r w:rsidR="00BC328F" w:rsidRPr="00BC328F">
        <w:rPr>
          <w:rFonts w:ascii="Arial" w:hAnsi="Arial" w:cs="Arial"/>
          <w:b/>
        </w:rPr>
        <w:t>]</w:t>
      </w:r>
      <w:r w:rsidR="00BC328F">
        <w:rPr>
          <w:rFonts w:ascii="Arial" w:hAnsi="Arial" w:cs="Arial"/>
          <w:b/>
        </w:rPr>
        <w:tab/>
        <w:t xml:space="preserve">Schedule 1, item </w:t>
      </w:r>
      <w:r w:rsidR="00027A09">
        <w:rPr>
          <w:rFonts w:ascii="Arial" w:hAnsi="Arial" w:cs="Arial"/>
          <w:b/>
        </w:rPr>
        <w:t>65</w:t>
      </w:r>
      <w:r w:rsidR="008D1C40">
        <w:rPr>
          <w:rFonts w:ascii="Arial" w:hAnsi="Arial" w:cs="Arial"/>
          <w:b/>
        </w:rPr>
        <w:t xml:space="preserve">, Column 1 </w:t>
      </w:r>
    </w:p>
    <w:p w14:paraId="4C7095F7" w14:textId="77777777" w:rsidR="00BC328F" w:rsidRPr="0042056E" w:rsidRDefault="00BC328F" w:rsidP="00842B4F">
      <w:pPr>
        <w:spacing w:before="120"/>
        <w:ind w:left="992" w:hanging="992"/>
      </w:pPr>
      <w:r w:rsidRPr="00BC328F">
        <w:rPr>
          <w:i/>
        </w:rPr>
        <w:tab/>
      </w:r>
      <w:r w:rsidR="0042056E">
        <w:rPr>
          <w:i/>
        </w:rPr>
        <w:t xml:space="preserve">omit </w:t>
      </w:r>
      <w:r w:rsidR="0042056E">
        <w:t>‘used indoor</w:t>
      </w:r>
      <w:r w:rsidR="00CD4915">
        <w:t>s</w:t>
      </w:r>
      <w:r w:rsidR="0042056E">
        <w:t>’</w:t>
      </w:r>
    </w:p>
    <w:p w14:paraId="1636041E" w14:textId="77777777" w:rsidR="00027A09" w:rsidRDefault="00027A09" w:rsidP="00842B4F">
      <w:pPr>
        <w:spacing w:before="120"/>
        <w:ind w:left="992" w:hanging="992"/>
        <w:rPr>
          <w:i/>
        </w:rPr>
      </w:pPr>
    </w:p>
    <w:p w14:paraId="3148AF24" w14:textId="77777777" w:rsidR="008D1C40" w:rsidRDefault="008D1C40" w:rsidP="008D1C40">
      <w:pPr>
        <w:ind w:left="992" w:hanging="992"/>
        <w:rPr>
          <w:rFonts w:ascii="Arial" w:hAnsi="Arial" w:cs="Arial"/>
          <w:b/>
        </w:rPr>
      </w:pPr>
      <w:r>
        <w:rPr>
          <w:rFonts w:ascii="Arial" w:hAnsi="Arial" w:cs="Arial"/>
          <w:b/>
        </w:rPr>
        <w:t>[</w:t>
      </w:r>
      <w:r w:rsidR="00196663">
        <w:rPr>
          <w:rFonts w:ascii="Arial" w:hAnsi="Arial" w:cs="Arial"/>
          <w:b/>
        </w:rPr>
        <w:t>6</w:t>
      </w:r>
      <w:r>
        <w:rPr>
          <w:rFonts w:ascii="Arial" w:hAnsi="Arial" w:cs="Arial"/>
          <w:b/>
        </w:rPr>
        <w:t>]</w:t>
      </w:r>
      <w:r>
        <w:rPr>
          <w:rFonts w:ascii="Arial" w:hAnsi="Arial" w:cs="Arial"/>
          <w:b/>
        </w:rPr>
        <w:tab/>
        <w:t>Schedule 1, item 65, Column 4</w:t>
      </w:r>
      <w:r w:rsidR="00A65098">
        <w:rPr>
          <w:rFonts w:ascii="Arial" w:hAnsi="Arial" w:cs="Arial"/>
          <w:b/>
        </w:rPr>
        <w:t xml:space="preserve"> – Limitations</w:t>
      </w:r>
    </w:p>
    <w:p w14:paraId="4C73D36A" w14:textId="77777777" w:rsidR="00A65098" w:rsidRDefault="00A65098" w:rsidP="00A65098">
      <w:pPr>
        <w:spacing w:before="120"/>
        <w:ind w:left="992" w:hanging="992"/>
        <w:rPr>
          <w:i/>
        </w:rPr>
      </w:pPr>
      <w:r w:rsidRPr="00BC328F">
        <w:rPr>
          <w:i/>
        </w:rPr>
        <w:tab/>
      </w:r>
      <w:r w:rsidR="0042056E">
        <w:rPr>
          <w:i/>
        </w:rPr>
        <w:t xml:space="preserve">omit </w:t>
      </w:r>
      <w:r w:rsidR="005D3907">
        <w:rPr>
          <w:i/>
        </w:rPr>
        <w:t>paragraphs (a) to (d) and</w:t>
      </w:r>
      <w:r w:rsidR="0042056E">
        <w:rPr>
          <w:i/>
        </w:rPr>
        <w:t xml:space="preserve"> </w:t>
      </w:r>
      <w:r>
        <w:rPr>
          <w:i/>
        </w:rPr>
        <w:t xml:space="preserve">substitute </w:t>
      </w:r>
    </w:p>
    <w:p w14:paraId="12827376" w14:textId="77777777" w:rsidR="00A65098" w:rsidRDefault="00A65098" w:rsidP="00A65098">
      <w:pPr>
        <w:spacing w:before="120"/>
        <w:ind w:left="992" w:hanging="992"/>
        <w:rPr>
          <w:i/>
        </w:rPr>
      </w:pPr>
    </w:p>
    <w:p w14:paraId="31942333" w14:textId="77777777" w:rsidR="00A65098" w:rsidRDefault="00A65098" w:rsidP="0060573B">
      <w:pPr>
        <w:pStyle w:val="TableText"/>
        <w:spacing w:before="0"/>
        <w:ind w:left="720"/>
        <w:rPr>
          <w:szCs w:val="22"/>
        </w:rPr>
      </w:pPr>
      <w:r>
        <w:rPr>
          <w:szCs w:val="22"/>
        </w:rPr>
        <w:t>The transmitter must comply with FCC Rules Title 47 Part 15 Section 255</w:t>
      </w:r>
      <w:r w:rsidR="0001559B">
        <w:rPr>
          <w:szCs w:val="22"/>
        </w:rPr>
        <w:t>.</w:t>
      </w:r>
    </w:p>
    <w:p w14:paraId="1B17313F" w14:textId="77777777" w:rsidR="00900559" w:rsidRDefault="00900559" w:rsidP="00571EAE">
      <w:pPr>
        <w:rPr>
          <w:szCs w:val="22"/>
        </w:rPr>
      </w:pPr>
      <w:r>
        <w:rPr>
          <w:i/>
        </w:rPr>
        <w:t xml:space="preserve"> </w:t>
      </w:r>
    </w:p>
    <w:p w14:paraId="63C90FEE" w14:textId="77777777" w:rsidR="00827C68" w:rsidRDefault="00827C68" w:rsidP="00A65098">
      <w:pPr>
        <w:pStyle w:val="TableText"/>
        <w:spacing w:before="0"/>
        <w:rPr>
          <w:szCs w:val="22"/>
        </w:rPr>
      </w:pPr>
    </w:p>
    <w:p w14:paraId="337519B1" w14:textId="77777777" w:rsidR="00827C68" w:rsidRDefault="00827C68" w:rsidP="00827C68">
      <w:pPr>
        <w:ind w:left="992" w:hanging="992"/>
        <w:rPr>
          <w:rFonts w:ascii="Arial" w:hAnsi="Arial" w:cs="Arial"/>
          <w:b/>
        </w:rPr>
      </w:pPr>
      <w:r>
        <w:rPr>
          <w:rFonts w:ascii="Arial" w:hAnsi="Arial" w:cs="Arial"/>
          <w:b/>
        </w:rPr>
        <w:t>[</w:t>
      </w:r>
      <w:r w:rsidR="00011F63">
        <w:rPr>
          <w:rFonts w:ascii="Arial" w:hAnsi="Arial" w:cs="Arial"/>
          <w:b/>
        </w:rPr>
        <w:t>7</w:t>
      </w:r>
      <w:r>
        <w:rPr>
          <w:rFonts w:ascii="Arial" w:hAnsi="Arial" w:cs="Arial"/>
          <w:b/>
        </w:rPr>
        <w:t>]</w:t>
      </w:r>
      <w:r>
        <w:rPr>
          <w:rFonts w:ascii="Arial" w:hAnsi="Arial" w:cs="Arial"/>
          <w:b/>
        </w:rPr>
        <w:tab/>
        <w:t xml:space="preserve">Schedule 1, </w:t>
      </w:r>
      <w:r w:rsidRPr="00257941">
        <w:rPr>
          <w:rFonts w:ascii="Arial" w:hAnsi="Arial" w:cs="Arial"/>
          <w:b/>
          <w:i/>
        </w:rPr>
        <w:t>Note 2</w:t>
      </w:r>
    </w:p>
    <w:p w14:paraId="2E677B49" w14:textId="77777777" w:rsidR="00827C68" w:rsidRDefault="00827C68" w:rsidP="00827C68">
      <w:pPr>
        <w:spacing w:before="120"/>
        <w:ind w:left="992" w:hanging="992"/>
        <w:rPr>
          <w:i/>
        </w:rPr>
      </w:pPr>
      <w:r w:rsidRPr="00BC328F">
        <w:rPr>
          <w:i/>
        </w:rPr>
        <w:tab/>
      </w:r>
      <w:r w:rsidR="00B73C01">
        <w:rPr>
          <w:i/>
        </w:rPr>
        <w:t xml:space="preserve">substitute  </w:t>
      </w:r>
    </w:p>
    <w:p w14:paraId="52F16D25" w14:textId="77777777" w:rsidR="00827C68" w:rsidRDefault="00827C68" w:rsidP="00827C68">
      <w:pPr>
        <w:spacing w:before="120"/>
        <w:ind w:left="992" w:hanging="992"/>
        <w:rPr>
          <w:i/>
        </w:rPr>
      </w:pPr>
    </w:p>
    <w:p w14:paraId="12F5052D" w14:textId="77777777" w:rsidR="00827C68" w:rsidRDefault="00B73C01" w:rsidP="00B73C01">
      <w:pPr>
        <w:pStyle w:val="TableText"/>
        <w:spacing w:before="0"/>
        <w:ind w:left="720" w:hanging="720"/>
        <w:rPr>
          <w:rFonts w:ascii="Helvetica Neue" w:hAnsi="Helvetica Neue"/>
          <w:color w:val="000000"/>
          <w:sz w:val="20"/>
          <w:szCs w:val="20"/>
        </w:rPr>
      </w:pPr>
      <w:r w:rsidRPr="00671410">
        <w:rPr>
          <w:rFonts w:ascii="Helvetica Neue" w:hAnsi="Helvetica Neue"/>
          <w:i/>
          <w:color w:val="000000"/>
          <w:sz w:val="20"/>
          <w:szCs w:val="20"/>
        </w:rPr>
        <w:t>Note 2</w:t>
      </w:r>
      <w:r>
        <w:rPr>
          <w:rFonts w:ascii="Helvetica Neue" w:hAnsi="Helvetica Neue"/>
          <w:color w:val="000000"/>
          <w:sz w:val="20"/>
          <w:szCs w:val="20"/>
        </w:rPr>
        <w:t xml:space="preserve"> </w:t>
      </w:r>
      <w:r>
        <w:rPr>
          <w:rFonts w:ascii="Helvetica Neue" w:hAnsi="Helvetica Neue"/>
          <w:color w:val="000000"/>
          <w:sz w:val="20"/>
          <w:szCs w:val="20"/>
        </w:rPr>
        <w:tab/>
      </w:r>
      <w:r w:rsidR="00827C68">
        <w:rPr>
          <w:rFonts w:ascii="Helvetica Neue" w:hAnsi="Helvetica Neue"/>
          <w:color w:val="000000"/>
          <w:sz w:val="20"/>
          <w:szCs w:val="20"/>
        </w:rPr>
        <w:t>The systems and associated medical implant communications systems transmitters mentioned in items 33, 34, 34</w:t>
      </w:r>
      <w:r w:rsidR="00671410">
        <w:rPr>
          <w:rFonts w:ascii="Helvetica Neue" w:hAnsi="Helvetica Neue"/>
          <w:color w:val="000000"/>
          <w:sz w:val="20"/>
          <w:szCs w:val="20"/>
        </w:rPr>
        <w:t>A</w:t>
      </w:r>
      <w:r w:rsidR="00827C68">
        <w:rPr>
          <w:rFonts w:ascii="Helvetica Neue" w:hAnsi="Helvetica Neue"/>
          <w:color w:val="000000"/>
          <w:sz w:val="20"/>
          <w:szCs w:val="20"/>
        </w:rPr>
        <w:t>, 35</w:t>
      </w:r>
      <w:r w:rsidR="00671410">
        <w:rPr>
          <w:rFonts w:ascii="Helvetica Neue" w:hAnsi="Helvetica Neue"/>
          <w:color w:val="000000"/>
          <w:sz w:val="20"/>
          <w:szCs w:val="20"/>
        </w:rPr>
        <w:t>A</w:t>
      </w:r>
      <w:r w:rsidR="00827C68">
        <w:rPr>
          <w:rFonts w:ascii="Helvetica Neue" w:hAnsi="Helvetica Neue"/>
          <w:color w:val="000000"/>
          <w:sz w:val="20"/>
          <w:szCs w:val="20"/>
        </w:rPr>
        <w:t xml:space="preserve"> and 35</w:t>
      </w:r>
      <w:r w:rsidR="00671410">
        <w:rPr>
          <w:rFonts w:ascii="Helvetica Neue" w:hAnsi="Helvetica Neue"/>
          <w:color w:val="000000"/>
          <w:sz w:val="20"/>
          <w:szCs w:val="20"/>
        </w:rPr>
        <w:t>B</w:t>
      </w:r>
      <w:r w:rsidR="00827C68">
        <w:rPr>
          <w:rFonts w:ascii="Helvetica Neue" w:hAnsi="Helvetica Neue"/>
          <w:color w:val="000000"/>
          <w:sz w:val="20"/>
          <w:szCs w:val="20"/>
        </w:rPr>
        <w:t xml:space="preserve"> are devices that require marketing approval from the Therapeutic Goods Administration.</w:t>
      </w:r>
    </w:p>
    <w:p w14:paraId="5CD455EE" w14:textId="77777777" w:rsidR="0001559B" w:rsidRDefault="0001559B" w:rsidP="00B73C01">
      <w:pPr>
        <w:pStyle w:val="TableText"/>
        <w:spacing w:before="0"/>
        <w:ind w:left="720" w:hanging="720"/>
        <w:rPr>
          <w:rFonts w:ascii="Helvetica Neue" w:hAnsi="Helvetica Neue"/>
          <w:color w:val="000000"/>
          <w:sz w:val="20"/>
          <w:szCs w:val="20"/>
        </w:rPr>
      </w:pPr>
    </w:p>
    <w:p w14:paraId="58F16958" w14:textId="77777777" w:rsidR="00827C68" w:rsidRDefault="00827C68" w:rsidP="00827C68">
      <w:pPr>
        <w:pStyle w:val="TableText"/>
        <w:spacing w:before="0"/>
        <w:rPr>
          <w:szCs w:val="22"/>
        </w:rPr>
      </w:pPr>
    </w:p>
    <w:p w14:paraId="406345A9" w14:textId="77777777" w:rsidR="00827C68" w:rsidRDefault="00827C68" w:rsidP="00827C68">
      <w:pPr>
        <w:ind w:left="992" w:hanging="992"/>
        <w:rPr>
          <w:rFonts w:ascii="Arial" w:hAnsi="Arial" w:cs="Arial"/>
          <w:b/>
        </w:rPr>
      </w:pPr>
      <w:r>
        <w:rPr>
          <w:rFonts w:ascii="Arial" w:hAnsi="Arial" w:cs="Arial"/>
          <w:b/>
        </w:rPr>
        <w:t>[</w:t>
      </w:r>
      <w:r w:rsidR="00011F63">
        <w:rPr>
          <w:rFonts w:ascii="Arial" w:hAnsi="Arial" w:cs="Arial"/>
          <w:b/>
        </w:rPr>
        <w:t>8</w:t>
      </w:r>
      <w:r>
        <w:rPr>
          <w:rFonts w:ascii="Arial" w:hAnsi="Arial" w:cs="Arial"/>
          <w:b/>
        </w:rPr>
        <w:t>]</w:t>
      </w:r>
      <w:r>
        <w:rPr>
          <w:rFonts w:ascii="Arial" w:hAnsi="Arial" w:cs="Arial"/>
          <w:b/>
        </w:rPr>
        <w:tab/>
        <w:t>Schedule 1,</w:t>
      </w:r>
      <w:r w:rsidRPr="00B73C01">
        <w:rPr>
          <w:rFonts w:ascii="Arial" w:hAnsi="Arial" w:cs="Arial"/>
          <w:b/>
        </w:rPr>
        <w:t xml:space="preserve"> </w:t>
      </w:r>
      <w:r w:rsidR="00B73C01" w:rsidRPr="00B73C01">
        <w:rPr>
          <w:rFonts w:ascii="Arial" w:hAnsi="Arial" w:cs="Arial"/>
          <w:b/>
        </w:rPr>
        <w:t xml:space="preserve">immediately following </w:t>
      </w:r>
      <w:r w:rsidR="00B73C01" w:rsidRPr="00671410">
        <w:rPr>
          <w:rFonts w:ascii="Arial" w:hAnsi="Arial" w:cs="Arial"/>
          <w:b/>
          <w:i/>
        </w:rPr>
        <w:t>Note 2</w:t>
      </w:r>
    </w:p>
    <w:p w14:paraId="3B74456D" w14:textId="77777777" w:rsidR="00827C68" w:rsidRDefault="00827C68" w:rsidP="00827C68">
      <w:pPr>
        <w:spacing w:before="120"/>
        <w:ind w:left="992" w:hanging="992"/>
        <w:rPr>
          <w:i/>
        </w:rPr>
      </w:pPr>
      <w:r w:rsidRPr="00BC328F">
        <w:rPr>
          <w:i/>
        </w:rPr>
        <w:tab/>
      </w:r>
      <w:r w:rsidR="00B73C01">
        <w:rPr>
          <w:i/>
        </w:rPr>
        <w:t xml:space="preserve">insert  </w:t>
      </w:r>
    </w:p>
    <w:p w14:paraId="7698490D" w14:textId="77777777" w:rsidR="00827C68" w:rsidRPr="00505327" w:rsidRDefault="00B73C01" w:rsidP="00B73C01">
      <w:pPr>
        <w:spacing w:before="120"/>
        <w:ind w:left="720" w:hanging="719"/>
        <w:rPr>
          <w:rFonts w:ascii="Helvetica Neue" w:hAnsi="Helvetica Neue"/>
          <w:color w:val="000000"/>
          <w:sz w:val="20"/>
          <w:szCs w:val="20"/>
        </w:rPr>
      </w:pPr>
      <w:r w:rsidRPr="00671410">
        <w:rPr>
          <w:rFonts w:ascii="Helvetica Neue" w:hAnsi="Helvetica Neue"/>
          <w:i/>
          <w:color w:val="000000"/>
          <w:sz w:val="20"/>
          <w:szCs w:val="20"/>
        </w:rPr>
        <w:t>Note 3</w:t>
      </w:r>
      <w:r>
        <w:rPr>
          <w:rFonts w:ascii="Helvetica Neue" w:hAnsi="Helvetica Neue"/>
          <w:color w:val="000000"/>
          <w:sz w:val="20"/>
          <w:szCs w:val="20"/>
        </w:rPr>
        <w:t xml:space="preserve"> </w:t>
      </w:r>
      <w:r>
        <w:rPr>
          <w:rFonts w:ascii="Helvetica Neue" w:hAnsi="Helvetica Neue"/>
          <w:color w:val="000000"/>
          <w:sz w:val="20"/>
          <w:szCs w:val="20"/>
        </w:rPr>
        <w:tab/>
      </w:r>
      <w:r w:rsidR="00827C68">
        <w:rPr>
          <w:rFonts w:ascii="Helvetica Neue" w:hAnsi="Helvetica Neue"/>
          <w:color w:val="000000"/>
          <w:sz w:val="20"/>
          <w:szCs w:val="20"/>
        </w:rPr>
        <w:t>A transmitter that compl</w:t>
      </w:r>
      <w:r>
        <w:rPr>
          <w:rFonts w:ascii="Helvetica Neue" w:hAnsi="Helvetica Neue"/>
          <w:color w:val="000000"/>
          <w:sz w:val="20"/>
          <w:szCs w:val="20"/>
        </w:rPr>
        <w:t>ies</w:t>
      </w:r>
      <w:r w:rsidR="00827C68">
        <w:rPr>
          <w:rFonts w:ascii="Helvetica Neue" w:hAnsi="Helvetica Neue"/>
          <w:color w:val="000000"/>
          <w:sz w:val="20"/>
          <w:szCs w:val="20"/>
        </w:rPr>
        <w:t xml:space="preserve"> with ETSI </w:t>
      </w:r>
      <w:r w:rsidR="00015EE1">
        <w:rPr>
          <w:rFonts w:ascii="Helvetica Neue" w:hAnsi="Helvetica Neue"/>
          <w:color w:val="000000"/>
          <w:sz w:val="20"/>
          <w:szCs w:val="20"/>
        </w:rPr>
        <w:t xml:space="preserve">Standard </w:t>
      </w:r>
      <w:r w:rsidR="00827C68">
        <w:rPr>
          <w:rFonts w:ascii="Helvetica Neue" w:hAnsi="Helvetica Neue"/>
          <w:color w:val="000000"/>
          <w:sz w:val="20"/>
          <w:szCs w:val="20"/>
        </w:rPr>
        <w:t>EN 303 5</w:t>
      </w:r>
      <w:r>
        <w:rPr>
          <w:rFonts w:ascii="Helvetica Neue" w:hAnsi="Helvetica Neue"/>
          <w:color w:val="000000"/>
          <w:sz w:val="20"/>
          <w:szCs w:val="20"/>
        </w:rPr>
        <w:t xml:space="preserve">20 will meet the requirement not to </w:t>
      </w:r>
      <w:r w:rsidR="00827C68">
        <w:rPr>
          <w:rFonts w:ascii="Helvetica Neue" w:hAnsi="Helvetica Neue"/>
          <w:color w:val="000000"/>
          <w:sz w:val="20"/>
          <w:szCs w:val="20"/>
        </w:rPr>
        <w:t>exceed the</w:t>
      </w:r>
      <w:r>
        <w:rPr>
          <w:rFonts w:ascii="Helvetica Neue" w:hAnsi="Helvetica Neue"/>
          <w:color w:val="000000"/>
          <w:sz w:val="20"/>
          <w:szCs w:val="20"/>
        </w:rPr>
        <w:t xml:space="preserve"> </w:t>
      </w:r>
      <w:r w:rsidR="004F66AE">
        <w:rPr>
          <w:rFonts w:ascii="Helvetica Neue" w:hAnsi="Helvetica Neue"/>
          <w:color w:val="000000"/>
          <w:sz w:val="20"/>
          <w:szCs w:val="20"/>
        </w:rPr>
        <w:t>L</w:t>
      </w:r>
      <w:r w:rsidR="006B0A78">
        <w:rPr>
          <w:rFonts w:ascii="Helvetica Neue" w:hAnsi="Helvetica Neue"/>
          <w:color w:val="000000"/>
          <w:sz w:val="20"/>
          <w:szCs w:val="20"/>
        </w:rPr>
        <w:t>imitations</w:t>
      </w:r>
      <w:r w:rsidR="004F66AE">
        <w:rPr>
          <w:rFonts w:ascii="Helvetica Neue" w:hAnsi="Helvetica Neue"/>
          <w:color w:val="000000"/>
          <w:sz w:val="20"/>
          <w:szCs w:val="20"/>
        </w:rPr>
        <w:t xml:space="preserve"> (Column 4)</w:t>
      </w:r>
      <w:r w:rsidR="00827C68">
        <w:rPr>
          <w:rFonts w:ascii="Helvetica Neue" w:hAnsi="Helvetica Neue"/>
          <w:color w:val="000000"/>
          <w:sz w:val="20"/>
          <w:szCs w:val="20"/>
        </w:rPr>
        <w:t xml:space="preserve"> specified </w:t>
      </w:r>
      <w:r>
        <w:rPr>
          <w:rFonts w:ascii="Helvetica Neue" w:hAnsi="Helvetica Neue"/>
          <w:color w:val="000000"/>
          <w:sz w:val="20"/>
          <w:szCs w:val="20"/>
        </w:rPr>
        <w:t xml:space="preserve">at </w:t>
      </w:r>
      <w:r w:rsidR="00827C68">
        <w:rPr>
          <w:rFonts w:ascii="Helvetica Neue" w:hAnsi="Helvetica Neue"/>
          <w:color w:val="000000"/>
          <w:sz w:val="20"/>
          <w:szCs w:val="20"/>
        </w:rPr>
        <w:t xml:space="preserve">item </w:t>
      </w:r>
      <w:r w:rsidR="0064413C">
        <w:rPr>
          <w:rFonts w:ascii="Helvetica Neue" w:hAnsi="Helvetica Neue"/>
          <w:color w:val="000000"/>
          <w:sz w:val="20"/>
          <w:szCs w:val="20"/>
        </w:rPr>
        <w:t>34</w:t>
      </w:r>
      <w:r w:rsidR="00A6082C">
        <w:rPr>
          <w:rFonts w:ascii="Helvetica Neue" w:hAnsi="Helvetica Neue"/>
          <w:color w:val="000000"/>
          <w:sz w:val="20"/>
          <w:szCs w:val="20"/>
        </w:rPr>
        <w:t>A</w:t>
      </w:r>
      <w:r w:rsidR="00827C68">
        <w:rPr>
          <w:rFonts w:ascii="Helvetica Neue" w:hAnsi="Helvetica Neue"/>
          <w:color w:val="000000"/>
          <w:sz w:val="20"/>
          <w:szCs w:val="20"/>
        </w:rPr>
        <w:t xml:space="preserve">. </w:t>
      </w:r>
    </w:p>
    <w:p w14:paraId="4B376B7D" w14:textId="77777777" w:rsidR="00015EE1" w:rsidRDefault="00015EE1" w:rsidP="00A65098">
      <w:pPr>
        <w:pStyle w:val="TableText"/>
        <w:spacing w:before="0"/>
        <w:rPr>
          <w:szCs w:val="22"/>
        </w:rPr>
      </w:pPr>
    </w:p>
    <w:p w14:paraId="28236650" w14:textId="77777777" w:rsidR="00A65098" w:rsidRDefault="00A65098" w:rsidP="00A65098">
      <w:pPr>
        <w:pStyle w:val="TableText"/>
        <w:spacing w:before="0"/>
        <w:rPr>
          <w:szCs w:val="22"/>
        </w:rPr>
      </w:pPr>
    </w:p>
    <w:p w14:paraId="7118E4F9" w14:textId="77777777" w:rsidR="00BC1DD1" w:rsidRDefault="00BC1DD1" w:rsidP="008D1C40">
      <w:pPr>
        <w:ind w:left="992" w:hanging="992"/>
        <w:rPr>
          <w:rFonts w:ascii="Arial" w:hAnsi="Arial" w:cs="Arial"/>
          <w:b/>
        </w:rPr>
      </w:pPr>
      <w:r>
        <w:rPr>
          <w:rFonts w:ascii="Arial" w:hAnsi="Arial" w:cs="Arial"/>
          <w:b/>
        </w:rPr>
        <w:t>[</w:t>
      </w:r>
      <w:r w:rsidR="00011F63">
        <w:rPr>
          <w:rFonts w:ascii="Arial" w:hAnsi="Arial" w:cs="Arial"/>
          <w:b/>
        </w:rPr>
        <w:t>9</w:t>
      </w:r>
      <w:r>
        <w:rPr>
          <w:rFonts w:ascii="Arial" w:hAnsi="Arial" w:cs="Arial"/>
          <w:b/>
        </w:rPr>
        <w:t>]</w:t>
      </w:r>
      <w:r>
        <w:rPr>
          <w:rFonts w:ascii="Arial" w:hAnsi="Arial" w:cs="Arial"/>
          <w:b/>
        </w:rPr>
        <w:tab/>
        <w:t xml:space="preserve">Schedule </w:t>
      </w:r>
      <w:r w:rsidR="00BD7295">
        <w:rPr>
          <w:rFonts w:ascii="Arial" w:hAnsi="Arial" w:cs="Arial"/>
          <w:b/>
        </w:rPr>
        <w:t>2</w:t>
      </w:r>
      <w:r>
        <w:rPr>
          <w:rFonts w:ascii="Arial" w:hAnsi="Arial" w:cs="Arial"/>
          <w:b/>
        </w:rPr>
        <w:t xml:space="preserve">, </w:t>
      </w:r>
      <w:r w:rsidR="000415F9">
        <w:rPr>
          <w:rFonts w:ascii="Arial" w:hAnsi="Arial" w:cs="Arial"/>
          <w:b/>
        </w:rPr>
        <w:t xml:space="preserve">after item </w:t>
      </w:r>
      <w:r w:rsidR="00D8731B">
        <w:rPr>
          <w:rFonts w:ascii="Arial" w:hAnsi="Arial" w:cs="Arial"/>
          <w:b/>
        </w:rPr>
        <w:t>5</w:t>
      </w:r>
    </w:p>
    <w:p w14:paraId="63152375" w14:textId="77777777" w:rsidR="000415F9" w:rsidRDefault="00BC1DD1" w:rsidP="001732CB">
      <w:pPr>
        <w:spacing w:before="120" w:after="120"/>
        <w:ind w:left="992" w:hanging="992"/>
        <w:rPr>
          <w:i/>
        </w:rPr>
      </w:pPr>
      <w:r w:rsidRPr="00BC328F">
        <w:tab/>
      </w:r>
      <w:r w:rsidR="000415F9">
        <w:rPr>
          <w:i/>
        </w:rPr>
        <w:t>i</w:t>
      </w:r>
      <w:r w:rsidR="000415F9" w:rsidRPr="00BC1DD1">
        <w:rPr>
          <w:i/>
        </w:rPr>
        <w:t>nsert</w:t>
      </w:r>
    </w:p>
    <w:tbl>
      <w:tblPr>
        <w:tblW w:w="8931" w:type="dxa"/>
        <w:tblInd w:w="-177" w:type="dxa"/>
        <w:tblLayout w:type="fixed"/>
        <w:tblCellMar>
          <w:left w:w="107" w:type="dxa"/>
          <w:right w:w="107" w:type="dxa"/>
        </w:tblCellMar>
        <w:tblLook w:val="0000" w:firstRow="0" w:lastRow="0" w:firstColumn="0" w:lastColumn="0" w:noHBand="0" w:noVBand="0"/>
      </w:tblPr>
      <w:tblGrid>
        <w:gridCol w:w="993"/>
        <w:gridCol w:w="1134"/>
        <w:gridCol w:w="1843"/>
        <w:gridCol w:w="3118"/>
        <w:gridCol w:w="1843"/>
      </w:tblGrid>
      <w:tr w:rsidR="000415F9" w:rsidRPr="0024530F" w14:paraId="57BC145A" w14:textId="77777777" w:rsidTr="00E76C83">
        <w:tc>
          <w:tcPr>
            <w:tcW w:w="993" w:type="dxa"/>
          </w:tcPr>
          <w:p w14:paraId="3CFE3B36" w14:textId="77777777" w:rsidR="000415F9" w:rsidRDefault="008F408E" w:rsidP="000A458C">
            <w:pPr>
              <w:tabs>
                <w:tab w:val="right" w:pos="284"/>
              </w:tabs>
              <w:spacing w:after="120"/>
              <w:ind w:right="113"/>
              <w:jc w:val="center"/>
            </w:pPr>
            <w:r>
              <w:lastRenderedPageBreak/>
              <w:t>5</w:t>
            </w:r>
            <w:r w:rsidR="000A458C">
              <w:t>A</w:t>
            </w:r>
          </w:p>
        </w:tc>
        <w:tc>
          <w:tcPr>
            <w:tcW w:w="1134" w:type="dxa"/>
          </w:tcPr>
          <w:p w14:paraId="00325C31" w14:textId="77777777" w:rsidR="000415F9" w:rsidRPr="0024530F" w:rsidRDefault="008F408E" w:rsidP="00EA368B">
            <w:pPr>
              <w:tabs>
                <w:tab w:val="right" w:pos="284"/>
              </w:tabs>
              <w:spacing w:after="120"/>
              <w:ind w:right="113"/>
              <w:jc w:val="center"/>
            </w:pPr>
            <w:r>
              <w:t>35</w:t>
            </w:r>
            <w:r w:rsidR="00671410">
              <w:t>A</w:t>
            </w:r>
          </w:p>
        </w:tc>
        <w:tc>
          <w:tcPr>
            <w:tcW w:w="1843" w:type="dxa"/>
          </w:tcPr>
          <w:p w14:paraId="2707618D" w14:textId="77777777" w:rsidR="000415F9" w:rsidRPr="0024530F" w:rsidRDefault="008F408E" w:rsidP="00FA4F88">
            <w:pPr>
              <w:spacing w:after="120"/>
            </w:pPr>
            <w:r>
              <w:rPr>
                <w:szCs w:val="22"/>
              </w:rPr>
              <w:t>EN 303 203</w:t>
            </w:r>
          </w:p>
        </w:tc>
        <w:tc>
          <w:tcPr>
            <w:tcW w:w="3118" w:type="dxa"/>
          </w:tcPr>
          <w:p w14:paraId="613615F8" w14:textId="77777777" w:rsidR="000415F9" w:rsidRPr="00AD4C31" w:rsidRDefault="000415F9" w:rsidP="00C97B0E">
            <w:pPr>
              <w:ind w:left="35" w:hanging="7"/>
              <w:rPr>
                <w:i/>
              </w:rPr>
            </w:pPr>
            <w:r w:rsidRPr="00AD4C31">
              <w:rPr>
                <w:i/>
                <w:sz w:val="22"/>
                <w:szCs w:val="22"/>
              </w:rPr>
              <w:t>Electromagnetic compat</w:t>
            </w:r>
            <w:r w:rsidR="00EA368B" w:rsidRPr="00AD4C31">
              <w:rPr>
                <w:i/>
                <w:sz w:val="22"/>
                <w:szCs w:val="22"/>
              </w:rPr>
              <w:t>i</w:t>
            </w:r>
            <w:r w:rsidRPr="00AD4C31">
              <w:rPr>
                <w:i/>
                <w:sz w:val="22"/>
                <w:szCs w:val="22"/>
              </w:rPr>
              <w:t>bility and Radio spectrum Matters</w:t>
            </w:r>
            <w:r w:rsidR="00EA368B" w:rsidRPr="00AD4C31">
              <w:rPr>
                <w:i/>
                <w:sz w:val="22"/>
                <w:szCs w:val="22"/>
              </w:rPr>
              <w:t xml:space="preserve"> (ERM); Short Range Devices (SRD);</w:t>
            </w:r>
            <w:r w:rsidR="008F408E">
              <w:rPr>
                <w:i/>
                <w:sz w:val="22"/>
                <w:szCs w:val="22"/>
              </w:rPr>
              <w:t xml:space="preserve"> Medical Body Area </w:t>
            </w:r>
            <w:r w:rsidR="00C97B0E">
              <w:rPr>
                <w:i/>
                <w:sz w:val="22"/>
                <w:szCs w:val="22"/>
              </w:rPr>
              <w:t>N</w:t>
            </w:r>
            <w:r w:rsidR="008F408E">
              <w:rPr>
                <w:i/>
                <w:sz w:val="22"/>
                <w:szCs w:val="22"/>
              </w:rPr>
              <w:t xml:space="preserve">etwork Systems (MBANSs) operating in the 2483.5 MHz to 2500 MHz range; </w:t>
            </w:r>
          </w:p>
        </w:tc>
        <w:tc>
          <w:tcPr>
            <w:tcW w:w="1843" w:type="dxa"/>
          </w:tcPr>
          <w:p w14:paraId="72F5B8B6" w14:textId="77777777" w:rsidR="000415F9" w:rsidRPr="0024530F" w:rsidRDefault="000415F9" w:rsidP="00EA368B">
            <w:pPr>
              <w:pStyle w:val="TableText"/>
              <w:ind w:left="253" w:hanging="253"/>
            </w:pPr>
            <w:r w:rsidRPr="00D24C44">
              <w:rPr>
                <w:szCs w:val="22"/>
              </w:rPr>
              <w:t xml:space="preserve">ETSI </w:t>
            </w:r>
          </w:p>
        </w:tc>
      </w:tr>
    </w:tbl>
    <w:p w14:paraId="6565B2CF" w14:textId="77777777" w:rsidR="00532C62" w:rsidRPr="00BD11AB" w:rsidRDefault="00532C62" w:rsidP="00E76C83">
      <w:pPr>
        <w:pStyle w:val="NoteEnd"/>
        <w:spacing w:before="480"/>
        <w:rPr>
          <w:rFonts w:ascii="Arial" w:hAnsi="Arial"/>
          <w:b/>
          <w:sz w:val="24"/>
        </w:rPr>
      </w:pPr>
    </w:p>
    <w:tbl>
      <w:tblPr>
        <w:tblW w:w="8931" w:type="dxa"/>
        <w:tblInd w:w="-177" w:type="dxa"/>
        <w:tblLayout w:type="fixed"/>
        <w:tblCellMar>
          <w:left w:w="107" w:type="dxa"/>
          <w:right w:w="107" w:type="dxa"/>
        </w:tblCellMar>
        <w:tblLook w:val="0000" w:firstRow="0" w:lastRow="0" w:firstColumn="0" w:lastColumn="0" w:noHBand="0" w:noVBand="0"/>
      </w:tblPr>
      <w:tblGrid>
        <w:gridCol w:w="993"/>
        <w:gridCol w:w="1134"/>
        <w:gridCol w:w="1843"/>
        <w:gridCol w:w="3118"/>
        <w:gridCol w:w="1843"/>
      </w:tblGrid>
      <w:tr w:rsidR="008F408E" w:rsidRPr="0024530F" w14:paraId="5DC9CA21" w14:textId="77777777" w:rsidTr="00870AEB">
        <w:tc>
          <w:tcPr>
            <w:tcW w:w="993" w:type="dxa"/>
          </w:tcPr>
          <w:p w14:paraId="0989A18B" w14:textId="77777777" w:rsidR="008F408E" w:rsidRDefault="008F408E" w:rsidP="008F408E">
            <w:pPr>
              <w:tabs>
                <w:tab w:val="right" w:pos="284"/>
              </w:tabs>
              <w:spacing w:after="120"/>
              <w:ind w:right="113"/>
              <w:jc w:val="center"/>
            </w:pPr>
            <w:r>
              <w:t>5B</w:t>
            </w:r>
          </w:p>
        </w:tc>
        <w:tc>
          <w:tcPr>
            <w:tcW w:w="1134" w:type="dxa"/>
          </w:tcPr>
          <w:p w14:paraId="00070C05" w14:textId="77777777" w:rsidR="008F408E" w:rsidRPr="0024530F" w:rsidRDefault="008F408E" w:rsidP="008F408E">
            <w:pPr>
              <w:tabs>
                <w:tab w:val="right" w:pos="284"/>
              </w:tabs>
              <w:spacing w:after="120"/>
              <w:ind w:right="113"/>
              <w:jc w:val="center"/>
            </w:pPr>
            <w:r>
              <w:t>35</w:t>
            </w:r>
            <w:r w:rsidR="00671410">
              <w:t>B</w:t>
            </w:r>
          </w:p>
        </w:tc>
        <w:tc>
          <w:tcPr>
            <w:tcW w:w="1843" w:type="dxa"/>
          </w:tcPr>
          <w:p w14:paraId="2964C9F9" w14:textId="77777777" w:rsidR="008F408E" w:rsidRPr="0024530F" w:rsidRDefault="008F408E" w:rsidP="008F408E">
            <w:pPr>
              <w:spacing w:after="120"/>
            </w:pPr>
            <w:r>
              <w:rPr>
                <w:szCs w:val="22"/>
              </w:rPr>
              <w:t>EN 301 559</w:t>
            </w:r>
          </w:p>
        </w:tc>
        <w:tc>
          <w:tcPr>
            <w:tcW w:w="3118" w:type="dxa"/>
          </w:tcPr>
          <w:p w14:paraId="1AA52B1B" w14:textId="77777777" w:rsidR="008F408E" w:rsidRPr="00AD4C31" w:rsidRDefault="008F408E" w:rsidP="0023405B">
            <w:pPr>
              <w:ind w:left="35" w:hanging="7"/>
              <w:rPr>
                <w:i/>
              </w:rPr>
            </w:pPr>
            <w:r w:rsidRPr="00AD4C31">
              <w:rPr>
                <w:i/>
                <w:sz w:val="22"/>
                <w:szCs w:val="22"/>
              </w:rPr>
              <w:t>Electromagnetic compatibility and Radio spectrum Matters (ERM); Short Range Devices (SRD);</w:t>
            </w:r>
            <w:r>
              <w:rPr>
                <w:i/>
                <w:sz w:val="22"/>
                <w:szCs w:val="22"/>
              </w:rPr>
              <w:t xml:space="preserve"> Low Power Active Medical Implants (LP-AMI) operating in the 2483.5 MHz to 2500 MHz range; </w:t>
            </w:r>
          </w:p>
        </w:tc>
        <w:tc>
          <w:tcPr>
            <w:tcW w:w="1843" w:type="dxa"/>
          </w:tcPr>
          <w:p w14:paraId="4D735D29" w14:textId="77777777" w:rsidR="008F408E" w:rsidRPr="0024530F" w:rsidRDefault="008F408E" w:rsidP="00870AEB">
            <w:pPr>
              <w:pStyle w:val="TableText"/>
              <w:ind w:left="253" w:hanging="253"/>
            </w:pPr>
            <w:r w:rsidRPr="00D24C44">
              <w:rPr>
                <w:szCs w:val="22"/>
              </w:rPr>
              <w:t xml:space="preserve">ETSI </w:t>
            </w:r>
          </w:p>
        </w:tc>
      </w:tr>
    </w:tbl>
    <w:p w14:paraId="215C44D5" w14:textId="77777777" w:rsidR="00493927" w:rsidRDefault="00493927" w:rsidP="00493927">
      <w:pPr>
        <w:ind w:left="992" w:hanging="992"/>
        <w:rPr>
          <w:rFonts w:ascii="Arial" w:hAnsi="Arial" w:cs="Arial"/>
          <w:b/>
        </w:rPr>
      </w:pPr>
    </w:p>
    <w:p w14:paraId="6BC967FB" w14:textId="77777777" w:rsidR="00493927" w:rsidRDefault="00493927" w:rsidP="00493927">
      <w:pPr>
        <w:ind w:left="992" w:hanging="992"/>
        <w:rPr>
          <w:rFonts w:ascii="Arial" w:hAnsi="Arial" w:cs="Arial"/>
          <w:b/>
        </w:rPr>
      </w:pPr>
      <w:r>
        <w:rPr>
          <w:rFonts w:ascii="Arial" w:hAnsi="Arial" w:cs="Arial"/>
          <w:b/>
        </w:rPr>
        <w:t>[1</w:t>
      </w:r>
      <w:r w:rsidR="00A73518">
        <w:rPr>
          <w:rFonts w:ascii="Arial" w:hAnsi="Arial" w:cs="Arial"/>
          <w:b/>
        </w:rPr>
        <w:t>0</w:t>
      </w:r>
      <w:r>
        <w:rPr>
          <w:rFonts w:ascii="Arial" w:hAnsi="Arial" w:cs="Arial"/>
          <w:b/>
        </w:rPr>
        <w:t>]</w:t>
      </w:r>
      <w:r>
        <w:rPr>
          <w:rFonts w:ascii="Arial" w:hAnsi="Arial" w:cs="Arial"/>
          <w:b/>
        </w:rPr>
        <w:tab/>
        <w:t>Schedule 2, item 1</w:t>
      </w:r>
      <w:r w:rsidR="00A34D75">
        <w:rPr>
          <w:rFonts w:ascii="Arial" w:hAnsi="Arial" w:cs="Arial"/>
          <w:b/>
        </w:rPr>
        <w:t>6</w:t>
      </w:r>
    </w:p>
    <w:p w14:paraId="28A708C3" w14:textId="77777777" w:rsidR="00493927" w:rsidRDefault="00493927" w:rsidP="00493927">
      <w:pPr>
        <w:spacing w:before="120" w:after="120"/>
        <w:ind w:left="992" w:hanging="992"/>
        <w:rPr>
          <w:i/>
        </w:rPr>
      </w:pPr>
      <w:r w:rsidRPr="00BC328F">
        <w:tab/>
      </w:r>
      <w:r w:rsidR="0060573B">
        <w:t>o</w:t>
      </w:r>
      <w:r w:rsidR="0060573B">
        <w:rPr>
          <w:i/>
        </w:rPr>
        <w:t>mit the item and substitute</w:t>
      </w:r>
    </w:p>
    <w:tbl>
      <w:tblPr>
        <w:tblW w:w="8931" w:type="dxa"/>
        <w:tblInd w:w="-177" w:type="dxa"/>
        <w:tblLayout w:type="fixed"/>
        <w:tblCellMar>
          <w:left w:w="107" w:type="dxa"/>
          <w:right w:w="107" w:type="dxa"/>
        </w:tblCellMar>
        <w:tblLook w:val="0000" w:firstRow="0" w:lastRow="0" w:firstColumn="0" w:lastColumn="0" w:noHBand="0" w:noVBand="0"/>
      </w:tblPr>
      <w:tblGrid>
        <w:gridCol w:w="993"/>
        <w:gridCol w:w="1134"/>
        <w:gridCol w:w="1843"/>
        <w:gridCol w:w="3118"/>
        <w:gridCol w:w="1843"/>
      </w:tblGrid>
      <w:tr w:rsidR="00493927" w:rsidRPr="0024530F" w14:paraId="01CA0AB1" w14:textId="77777777" w:rsidTr="00E9583D">
        <w:tc>
          <w:tcPr>
            <w:tcW w:w="993" w:type="dxa"/>
          </w:tcPr>
          <w:p w14:paraId="2B07EEFE" w14:textId="77777777" w:rsidR="00493927" w:rsidRDefault="00493927" w:rsidP="00493927">
            <w:pPr>
              <w:tabs>
                <w:tab w:val="right" w:pos="284"/>
              </w:tabs>
              <w:spacing w:after="120"/>
              <w:ind w:right="113"/>
              <w:jc w:val="center"/>
            </w:pPr>
            <w:r>
              <w:t>16</w:t>
            </w:r>
          </w:p>
        </w:tc>
        <w:tc>
          <w:tcPr>
            <w:tcW w:w="1134" w:type="dxa"/>
          </w:tcPr>
          <w:p w14:paraId="6A684B0E" w14:textId="77777777" w:rsidR="00493927" w:rsidRPr="0024530F" w:rsidRDefault="00493927" w:rsidP="00E9583D">
            <w:pPr>
              <w:tabs>
                <w:tab w:val="right" w:pos="284"/>
              </w:tabs>
              <w:spacing w:after="120"/>
              <w:ind w:right="113"/>
              <w:jc w:val="center"/>
            </w:pPr>
            <w:r>
              <w:t>33</w:t>
            </w:r>
          </w:p>
        </w:tc>
        <w:tc>
          <w:tcPr>
            <w:tcW w:w="1843" w:type="dxa"/>
          </w:tcPr>
          <w:p w14:paraId="3E144E8C" w14:textId="77777777" w:rsidR="00493927" w:rsidRPr="0024530F" w:rsidRDefault="00493927" w:rsidP="009F232F">
            <w:pPr>
              <w:spacing w:after="120"/>
            </w:pPr>
            <w:r>
              <w:rPr>
                <w:szCs w:val="22"/>
              </w:rPr>
              <w:t xml:space="preserve">Code of Federal Regulation Title 47 §95 </w:t>
            </w:r>
            <w:r w:rsidR="009F232F">
              <w:rPr>
                <w:szCs w:val="22"/>
              </w:rPr>
              <w:t>section 2573</w:t>
            </w:r>
          </w:p>
        </w:tc>
        <w:tc>
          <w:tcPr>
            <w:tcW w:w="3118" w:type="dxa"/>
          </w:tcPr>
          <w:p w14:paraId="2C16315E" w14:textId="77777777" w:rsidR="00493927" w:rsidRPr="00AD4C31" w:rsidRDefault="00493927" w:rsidP="009F232F">
            <w:pPr>
              <w:ind w:left="35" w:hanging="7"/>
              <w:rPr>
                <w:i/>
              </w:rPr>
            </w:pPr>
            <w:r>
              <w:rPr>
                <w:i/>
                <w:sz w:val="22"/>
                <w:szCs w:val="22"/>
              </w:rPr>
              <w:t xml:space="preserve">Part 95, </w:t>
            </w:r>
            <w:r w:rsidR="009F232F">
              <w:rPr>
                <w:i/>
                <w:sz w:val="22"/>
                <w:szCs w:val="22"/>
              </w:rPr>
              <w:t>Section 2573</w:t>
            </w:r>
            <w:r>
              <w:rPr>
                <w:i/>
                <w:sz w:val="22"/>
                <w:szCs w:val="22"/>
              </w:rPr>
              <w:t xml:space="preserve"> </w:t>
            </w:r>
            <w:r w:rsidR="009F232F">
              <w:rPr>
                <w:i/>
                <w:sz w:val="22"/>
                <w:szCs w:val="22"/>
              </w:rPr>
              <w:t>MedRadio authorized bandwidth</w:t>
            </w:r>
          </w:p>
        </w:tc>
        <w:tc>
          <w:tcPr>
            <w:tcW w:w="1843" w:type="dxa"/>
          </w:tcPr>
          <w:p w14:paraId="6A70BB30" w14:textId="77777777" w:rsidR="00493927" w:rsidRPr="0024530F" w:rsidRDefault="00493927" w:rsidP="00E9583D">
            <w:pPr>
              <w:pStyle w:val="TableText"/>
              <w:ind w:left="253" w:hanging="253"/>
            </w:pPr>
            <w:r>
              <w:rPr>
                <w:szCs w:val="22"/>
              </w:rPr>
              <w:t>FCC</w:t>
            </w:r>
            <w:r w:rsidRPr="00D24C44">
              <w:rPr>
                <w:szCs w:val="22"/>
              </w:rPr>
              <w:t xml:space="preserve"> </w:t>
            </w:r>
          </w:p>
        </w:tc>
      </w:tr>
    </w:tbl>
    <w:p w14:paraId="3F08CB25" w14:textId="77777777" w:rsidR="00671410" w:rsidRDefault="00671410" w:rsidP="00D8731B">
      <w:pPr>
        <w:ind w:left="992" w:hanging="992"/>
        <w:rPr>
          <w:rFonts w:ascii="Arial" w:hAnsi="Arial" w:cs="Arial"/>
          <w:b/>
        </w:rPr>
      </w:pPr>
    </w:p>
    <w:p w14:paraId="4F660FAD" w14:textId="77777777" w:rsidR="009F232F" w:rsidRDefault="009F232F" w:rsidP="009F232F">
      <w:pPr>
        <w:ind w:left="992" w:hanging="992"/>
        <w:rPr>
          <w:rFonts w:ascii="Arial" w:hAnsi="Arial" w:cs="Arial"/>
          <w:b/>
        </w:rPr>
      </w:pPr>
      <w:r>
        <w:rPr>
          <w:rFonts w:ascii="Arial" w:hAnsi="Arial" w:cs="Arial"/>
          <w:b/>
        </w:rPr>
        <w:t>[1</w:t>
      </w:r>
      <w:r w:rsidR="0078390A">
        <w:rPr>
          <w:rFonts w:ascii="Arial" w:hAnsi="Arial" w:cs="Arial"/>
          <w:b/>
        </w:rPr>
        <w:t>1</w:t>
      </w:r>
      <w:r>
        <w:rPr>
          <w:rFonts w:ascii="Arial" w:hAnsi="Arial" w:cs="Arial"/>
          <w:b/>
        </w:rPr>
        <w:t>]</w:t>
      </w:r>
      <w:r>
        <w:rPr>
          <w:rFonts w:ascii="Arial" w:hAnsi="Arial" w:cs="Arial"/>
          <w:b/>
        </w:rPr>
        <w:tab/>
        <w:t>Schedule 2, item 17</w:t>
      </w:r>
    </w:p>
    <w:p w14:paraId="19744A66" w14:textId="77777777" w:rsidR="009F232F" w:rsidRDefault="009F232F" w:rsidP="009F232F">
      <w:pPr>
        <w:spacing w:before="120" w:after="120"/>
        <w:ind w:left="992" w:hanging="992"/>
        <w:rPr>
          <w:i/>
        </w:rPr>
      </w:pPr>
      <w:r w:rsidRPr="00BC328F">
        <w:tab/>
      </w:r>
      <w:r w:rsidR="0060573B">
        <w:t>o</w:t>
      </w:r>
      <w:r w:rsidR="0060573B">
        <w:rPr>
          <w:i/>
        </w:rPr>
        <w:t>mit the item and substitute</w:t>
      </w:r>
    </w:p>
    <w:tbl>
      <w:tblPr>
        <w:tblW w:w="8931" w:type="dxa"/>
        <w:tblInd w:w="-177" w:type="dxa"/>
        <w:tblLayout w:type="fixed"/>
        <w:tblCellMar>
          <w:left w:w="107" w:type="dxa"/>
          <w:right w:w="107" w:type="dxa"/>
        </w:tblCellMar>
        <w:tblLook w:val="0000" w:firstRow="0" w:lastRow="0" w:firstColumn="0" w:lastColumn="0" w:noHBand="0" w:noVBand="0"/>
      </w:tblPr>
      <w:tblGrid>
        <w:gridCol w:w="993"/>
        <w:gridCol w:w="1134"/>
        <w:gridCol w:w="1843"/>
        <w:gridCol w:w="3118"/>
        <w:gridCol w:w="1843"/>
      </w:tblGrid>
      <w:tr w:rsidR="009F232F" w:rsidRPr="0024530F" w14:paraId="068F0CF5" w14:textId="77777777" w:rsidTr="00A75D09">
        <w:tc>
          <w:tcPr>
            <w:tcW w:w="993" w:type="dxa"/>
          </w:tcPr>
          <w:p w14:paraId="1D56E9C6" w14:textId="77777777" w:rsidR="009F232F" w:rsidRDefault="009F232F" w:rsidP="009F232F">
            <w:pPr>
              <w:tabs>
                <w:tab w:val="right" w:pos="284"/>
              </w:tabs>
              <w:spacing w:after="120"/>
              <w:ind w:right="113"/>
              <w:jc w:val="center"/>
            </w:pPr>
            <w:r>
              <w:t>17</w:t>
            </w:r>
          </w:p>
        </w:tc>
        <w:tc>
          <w:tcPr>
            <w:tcW w:w="1134" w:type="dxa"/>
          </w:tcPr>
          <w:p w14:paraId="2A5305AE" w14:textId="77777777" w:rsidR="009F232F" w:rsidRPr="0024530F" w:rsidRDefault="009F232F" w:rsidP="00A75D09">
            <w:pPr>
              <w:tabs>
                <w:tab w:val="right" w:pos="284"/>
              </w:tabs>
              <w:spacing w:after="120"/>
              <w:ind w:right="113"/>
              <w:jc w:val="center"/>
            </w:pPr>
            <w:r>
              <w:t>33</w:t>
            </w:r>
          </w:p>
        </w:tc>
        <w:tc>
          <w:tcPr>
            <w:tcW w:w="1843" w:type="dxa"/>
          </w:tcPr>
          <w:p w14:paraId="4E0DB941" w14:textId="77777777" w:rsidR="009F232F" w:rsidRPr="0024530F" w:rsidRDefault="009F232F" w:rsidP="009F232F">
            <w:pPr>
              <w:spacing w:after="120"/>
            </w:pPr>
            <w:r>
              <w:rPr>
                <w:szCs w:val="22"/>
              </w:rPr>
              <w:t>Code of Federal Regulation Title 47 §95 Section 2579</w:t>
            </w:r>
          </w:p>
        </w:tc>
        <w:tc>
          <w:tcPr>
            <w:tcW w:w="3118" w:type="dxa"/>
          </w:tcPr>
          <w:p w14:paraId="7F88D2AB" w14:textId="77777777" w:rsidR="009F232F" w:rsidRPr="00AD4C31" w:rsidRDefault="009F232F" w:rsidP="009F232F">
            <w:pPr>
              <w:ind w:left="35" w:hanging="7"/>
              <w:rPr>
                <w:i/>
              </w:rPr>
            </w:pPr>
            <w:r>
              <w:rPr>
                <w:i/>
                <w:sz w:val="22"/>
                <w:szCs w:val="22"/>
              </w:rPr>
              <w:t>Part 95, Section 2579 MedRadio unwanted emissions limits</w:t>
            </w:r>
          </w:p>
        </w:tc>
        <w:tc>
          <w:tcPr>
            <w:tcW w:w="1843" w:type="dxa"/>
          </w:tcPr>
          <w:p w14:paraId="3F06E514" w14:textId="77777777" w:rsidR="009F232F" w:rsidRPr="0024530F" w:rsidRDefault="009F232F" w:rsidP="00A75D09">
            <w:pPr>
              <w:pStyle w:val="TableText"/>
              <w:ind w:left="253" w:hanging="253"/>
            </w:pPr>
            <w:r>
              <w:rPr>
                <w:szCs w:val="22"/>
              </w:rPr>
              <w:t>FCC</w:t>
            </w:r>
            <w:r w:rsidRPr="00D24C44">
              <w:rPr>
                <w:szCs w:val="22"/>
              </w:rPr>
              <w:t xml:space="preserve"> </w:t>
            </w:r>
          </w:p>
        </w:tc>
      </w:tr>
    </w:tbl>
    <w:p w14:paraId="38F0BA91" w14:textId="77777777" w:rsidR="00493927" w:rsidRDefault="00493927" w:rsidP="00D8731B">
      <w:pPr>
        <w:ind w:left="992" w:hanging="992"/>
        <w:rPr>
          <w:rFonts w:ascii="Arial" w:hAnsi="Arial" w:cs="Arial"/>
          <w:b/>
        </w:rPr>
      </w:pPr>
    </w:p>
    <w:p w14:paraId="063222EC" w14:textId="77777777" w:rsidR="00D8731B" w:rsidRDefault="00D8731B" w:rsidP="00D8731B">
      <w:pPr>
        <w:ind w:left="992" w:hanging="992"/>
        <w:rPr>
          <w:rFonts w:ascii="Arial" w:hAnsi="Arial" w:cs="Arial"/>
          <w:b/>
        </w:rPr>
      </w:pPr>
      <w:r>
        <w:rPr>
          <w:rFonts w:ascii="Arial" w:hAnsi="Arial" w:cs="Arial"/>
          <w:b/>
        </w:rPr>
        <w:t>[</w:t>
      </w:r>
      <w:r w:rsidR="00196663">
        <w:rPr>
          <w:rFonts w:ascii="Arial" w:hAnsi="Arial" w:cs="Arial"/>
          <w:b/>
        </w:rPr>
        <w:t>1</w:t>
      </w:r>
      <w:r w:rsidR="00A73518">
        <w:rPr>
          <w:rFonts w:ascii="Arial" w:hAnsi="Arial" w:cs="Arial"/>
          <w:b/>
        </w:rPr>
        <w:t>2</w:t>
      </w:r>
      <w:r>
        <w:rPr>
          <w:rFonts w:ascii="Arial" w:hAnsi="Arial" w:cs="Arial"/>
          <w:b/>
        </w:rPr>
        <w:t>]</w:t>
      </w:r>
      <w:r>
        <w:rPr>
          <w:rFonts w:ascii="Arial" w:hAnsi="Arial" w:cs="Arial"/>
          <w:b/>
        </w:rPr>
        <w:tab/>
        <w:t>Schedule 2, after item 17</w:t>
      </w:r>
    </w:p>
    <w:p w14:paraId="4C726DD5" w14:textId="77777777" w:rsidR="00D8731B" w:rsidRDefault="00D8731B" w:rsidP="00D8731B">
      <w:pPr>
        <w:spacing w:before="120" w:after="120"/>
        <w:ind w:left="992" w:hanging="992"/>
        <w:rPr>
          <w:i/>
        </w:rPr>
      </w:pPr>
      <w:r w:rsidRPr="00BC328F">
        <w:tab/>
      </w:r>
      <w:r>
        <w:rPr>
          <w:i/>
        </w:rPr>
        <w:t>i</w:t>
      </w:r>
      <w:r w:rsidRPr="00BC1DD1">
        <w:rPr>
          <w:i/>
        </w:rPr>
        <w:t>nsert</w:t>
      </w:r>
    </w:p>
    <w:tbl>
      <w:tblPr>
        <w:tblW w:w="8931" w:type="dxa"/>
        <w:tblInd w:w="-177" w:type="dxa"/>
        <w:tblLayout w:type="fixed"/>
        <w:tblCellMar>
          <w:left w:w="107" w:type="dxa"/>
          <w:right w:w="107" w:type="dxa"/>
        </w:tblCellMar>
        <w:tblLook w:val="0000" w:firstRow="0" w:lastRow="0" w:firstColumn="0" w:lastColumn="0" w:noHBand="0" w:noVBand="0"/>
      </w:tblPr>
      <w:tblGrid>
        <w:gridCol w:w="993"/>
        <w:gridCol w:w="1134"/>
        <w:gridCol w:w="1843"/>
        <w:gridCol w:w="3118"/>
        <w:gridCol w:w="1843"/>
      </w:tblGrid>
      <w:tr w:rsidR="00D8731B" w:rsidRPr="0024530F" w14:paraId="17460FD2" w14:textId="77777777" w:rsidTr="00870AEB">
        <w:tc>
          <w:tcPr>
            <w:tcW w:w="993" w:type="dxa"/>
          </w:tcPr>
          <w:p w14:paraId="5CEC63C3" w14:textId="77777777" w:rsidR="00D8731B" w:rsidRDefault="00D8731B" w:rsidP="00870AEB">
            <w:pPr>
              <w:tabs>
                <w:tab w:val="right" w:pos="284"/>
              </w:tabs>
              <w:spacing w:after="120"/>
              <w:ind w:right="113"/>
              <w:jc w:val="center"/>
            </w:pPr>
            <w:r>
              <w:t>18</w:t>
            </w:r>
          </w:p>
        </w:tc>
        <w:tc>
          <w:tcPr>
            <w:tcW w:w="1134" w:type="dxa"/>
          </w:tcPr>
          <w:p w14:paraId="73BC1271" w14:textId="77777777" w:rsidR="00D8731B" w:rsidRPr="0024530F" w:rsidRDefault="00D8731B" w:rsidP="00870AEB">
            <w:pPr>
              <w:tabs>
                <w:tab w:val="right" w:pos="284"/>
              </w:tabs>
              <w:spacing w:after="120"/>
              <w:ind w:right="113"/>
              <w:jc w:val="center"/>
            </w:pPr>
            <w:r>
              <w:t>65</w:t>
            </w:r>
          </w:p>
        </w:tc>
        <w:tc>
          <w:tcPr>
            <w:tcW w:w="1843" w:type="dxa"/>
          </w:tcPr>
          <w:p w14:paraId="111C7AC1" w14:textId="77777777" w:rsidR="00D8731B" w:rsidRPr="0024530F" w:rsidRDefault="00D8731B" w:rsidP="00D8731B">
            <w:pPr>
              <w:spacing w:after="120"/>
            </w:pPr>
            <w:r>
              <w:rPr>
                <w:szCs w:val="22"/>
              </w:rPr>
              <w:t>Code of Federal Regulation Title 47 §15.255</w:t>
            </w:r>
          </w:p>
        </w:tc>
        <w:tc>
          <w:tcPr>
            <w:tcW w:w="3118" w:type="dxa"/>
          </w:tcPr>
          <w:p w14:paraId="0C9E01C7" w14:textId="77777777" w:rsidR="00D8731B" w:rsidRPr="00AD4C31" w:rsidRDefault="00D8731B" w:rsidP="00870AEB">
            <w:pPr>
              <w:ind w:left="35" w:hanging="7"/>
              <w:rPr>
                <w:i/>
              </w:rPr>
            </w:pPr>
            <w:r>
              <w:rPr>
                <w:i/>
                <w:sz w:val="22"/>
                <w:szCs w:val="22"/>
              </w:rPr>
              <w:t>Part 15, Section 255 Operation within the band 57-71 GHz</w:t>
            </w:r>
          </w:p>
        </w:tc>
        <w:tc>
          <w:tcPr>
            <w:tcW w:w="1843" w:type="dxa"/>
          </w:tcPr>
          <w:p w14:paraId="24B6E398" w14:textId="77777777" w:rsidR="00D8731B" w:rsidRPr="0024530F" w:rsidRDefault="00D8731B" w:rsidP="00870AEB">
            <w:pPr>
              <w:pStyle w:val="TableText"/>
              <w:ind w:left="253" w:hanging="253"/>
            </w:pPr>
            <w:r>
              <w:rPr>
                <w:szCs w:val="22"/>
              </w:rPr>
              <w:t>FCC</w:t>
            </w:r>
            <w:r w:rsidRPr="00D24C44">
              <w:rPr>
                <w:szCs w:val="22"/>
              </w:rPr>
              <w:t xml:space="preserve"> </w:t>
            </w:r>
          </w:p>
        </w:tc>
      </w:tr>
    </w:tbl>
    <w:p w14:paraId="75D99758" w14:textId="7E199150" w:rsidR="00A916FA" w:rsidRDefault="00A916FA" w:rsidP="002F7739">
      <w:pPr>
        <w:pStyle w:val="NoteEnd"/>
        <w:ind w:left="0" w:firstLine="0"/>
      </w:pPr>
    </w:p>
    <w:p w14:paraId="35E89702" w14:textId="77777777" w:rsidR="00A916FA" w:rsidRDefault="00A916FA">
      <w:pPr>
        <w:spacing w:after="200" w:line="276" w:lineRule="auto"/>
        <w:rPr>
          <w:sz w:val="22"/>
        </w:rPr>
      </w:pPr>
      <w:r>
        <w:br w:type="page"/>
      </w:r>
    </w:p>
    <w:p w14:paraId="77C53C9A" w14:textId="77777777" w:rsidR="00A916FA" w:rsidRDefault="00A916FA" w:rsidP="00A916FA">
      <w:pPr>
        <w:pStyle w:val="BodyText"/>
        <w:spacing w:line="260" w:lineRule="atLeast"/>
        <w:jc w:val="center"/>
        <w:rPr>
          <w:rFonts w:ascii="Arial" w:hAnsi="Arial" w:cs="Arial"/>
          <w:b/>
          <w:sz w:val="20"/>
          <w:szCs w:val="20"/>
        </w:rPr>
      </w:pPr>
      <w:r>
        <w:rPr>
          <w:rFonts w:ascii="Arial" w:hAnsi="Arial" w:cs="Arial"/>
          <w:b/>
          <w:sz w:val="20"/>
        </w:rPr>
        <w:lastRenderedPageBreak/>
        <w:t>EXPLANATORY STATEMENT</w:t>
      </w:r>
    </w:p>
    <w:p w14:paraId="64B2DEB9" w14:textId="77777777" w:rsidR="00A916FA" w:rsidRDefault="00A916FA" w:rsidP="00A916FA">
      <w:pPr>
        <w:pStyle w:val="BodyText"/>
        <w:spacing w:line="260" w:lineRule="atLeast"/>
        <w:jc w:val="center"/>
        <w:rPr>
          <w:rFonts w:ascii="Arial" w:hAnsi="Arial" w:cs="Arial"/>
          <w:b/>
          <w:sz w:val="20"/>
        </w:rPr>
      </w:pPr>
      <w:r>
        <w:rPr>
          <w:rFonts w:ascii="Arial" w:hAnsi="Arial" w:cs="Arial"/>
          <w:sz w:val="20"/>
        </w:rPr>
        <w:t>Approved by the Australian Communications and Media Authority</w:t>
      </w:r>
    </w:p>
    <w:p w14:paraId="3D1745EF" w14:textId="77777777" w:rsidR="00A916FA" w:rsidRDefault="00A916FA" w:rsidP="00A916FA">
      <w:pPr>
        <w:pStyle w:val="BodyText"/>
        <w:spacing w:line="260" w:lineRule="atLeast"/>
        <w:jc w:val="center"/>
        <w:rPr>
          <w:rFonts w:ascii="Arial" w:hAnsi="Arial" w:cs="Arial"/>
          <w:i/>
          <w:sz w:val="20"/>
        </w:rPr>
      </w:pPr>
      <w:bookmarkStart w:id="5" w:name="_GoBack"/>
      <w:bookmarkEnd w:id="5"/>
      <w:r>
        <w:rPr>
          <w:rFonts w:ascii="Arial" w:hAnsi="Arial" w:cs="Arial"/>
          <w:i/>
          <w:sz w:val="20"/>
        </w:rPr>
        <w:t>Radiocommunications Act 1992</w:t>
      </w:r>
    </w:p>
    <w:p w14:paraId="40E2BCCA" w14:textId="77777777" w:rsidR="00A916FA" w:rsidRDefault="00A916FA" w:rsidP="00A916FA">
      <w:pPr>
        <w:pStyle w:val="BodyText"/>
        <w:spacing w:line="260" w:lineRule="atLeast"/>
        <w:jc w:val="center"/>
        <w:rPr>
          <w:rFonts w:ascii="Arial" w:hAnsi="Arial" w:cs="Arial"/>
          <w:b/>
          <w:i/>
          <w:sz w:val="20"/>
        </w:rPr>
      </w:pPr>
      <w:r>
        <w:rPr>
          <w:rFonts w:ascii="Arial" w:hAnsi="Arial" w:cs="Arial"/>
          <w:b/>
          <w:i/>
          <w:sz w:val="20"/>
        </w:rPr>
        <w:t>Radiocommunications (Low Interference Potential Devices) Class Licence Variation 2018 (No. 1)</w:t>
      </w:r>
    </w:p>
    <w:p w14:paraId="5571587D" w14:textId="77777777" w:rsidR="00A916FA" w:rsidRDefault="00A916FA" w:rsidP="00A916FA">
      <w:pPr>
        <w:pStyle w:val="BodyText"/>
        <w:spacing w:line="260" w:lineRule="atLeast"/>
        <w:jc w:val="center"/>
        <w:rPr>
          <w:rFonts w:ascii="Arial" w:hAnsi="Arial" w:cs="Arial"/>
          <w:b/>
          <w:i/>
          <w:sz w:val="20"/>
        </w:rPr>
      </w:pPr>
    </w:p>
    <w:p w14:paraId="785C9BB5" w14:textId="77777777" w:rsidR="00A916FA" w:rsidRDefault="00A916FA" w:rsidP="00A916FA">
      <w:pPr>
        <w:pStyle w:val="indenta"/>
        <w:tabs>
          <w:tab w:val="left" w:pos="720"/>
        </w:tabs>
        <w:spacing w:before="120" w:after="120"/>
        <w:ind w:left="0" w:firstLine="0"/>
        <w:jc w:val="both"/>
        <w:rPr>
          <w:rFonts w:ascii="Arial" w:hAnsi="Arial" w:cs="Arial"/>
          <w:b/>
          <w:sz w:val="20"/>
        </w:rPr>
      </w:pPr>
      <w:r>
        <w:rPr>
          <w:rFonts w:ascii="Arial" w:hAnsi="Arial" w:cs="Arial"/>
          <w:b/>
          <w:sz w:val="20"/>
        </w:rPr>
        <w:t>Authority</w:t>
      </w:r>
    </w:p>
    <w:p w14:paraId="13CE68F7" w14:textId="77777777" w:rsidR="00A916FA" w:rsidRDefault="00A916FA" w:rsidP="00A916FA">
      <w:pPr>
        <w:pStyle w:val="BodyText"/>
        <w:spacing w:line="260" w:lineRule="atLeast"/>
        <w:rPr>
          <w:rFonts w:ascii="Arial" w:hAnsi="Arial" w:cs="Arial"/>
          <w:sz w:val="20"/>
        </w:rPr>
      </w:pPr>
      <w:r>
        <w:rPr>
          <w:rFonts w:ascii="Arial" w:hAnsi="Arial" w:cs="Arial"/>
          <w:sz w:val="20"/>
        </w:rPr>
        <w:t>The Australian Communications and Media Authority (</w:t>
      </w:r>
      <w:r>
        <w:rPr>
          <w:rFonts w:ascii="Arial" w:hAnsi="Arial" w:cs="Arial"/>
          <w:b/>
          <w:sz w:val="20"/>
        </w:rPr>
        <w:t>the ACMA</w:t>
      </w:r>
      <w:r>
        <w:rPr>
          <w:rFonts w:ascii="Arial" w:hAnsi="Arial" w:cs="Arial"/>
          <w:sz w:val="20"/>
        </w:rPr>
        <w:t xml:space="preserve">) has made the </w:t>
      </w:r>
      <w:r>
        <w:rPr>
          <w:rFonts w:ascii="Arial" w:hAnsi="Arial" w:cs="Arial"/>
          <w:i/>
          <w:sz w:val="20"/>
        </w:rPr>
        <w:t>Radiocommunications (Low Interference Potential Devices) Class Licence Variation 2018 (No. 1)</w:t>
      </w:r>
      <w:r>
        <w:rPr>
          <w:rFonts w:ascii="Arial" w:hAnsi="Arial" w:cs="Arial"/>
          <w:sz w:val="20"/>
        </w:rPr>
        <w:t xml:space="preserve"> (</w:t>
      </w:r>
      <w:r>
        <w:rPr>
          <w:rFonts w:ascii="Arial" w:hAnsi="Arial" w:cs="Arial"/>
          <w:b/>
          <w:sz w:val="20"/>
        </w:rPr>
        <w:t>the instrument</w:t>
      </w:r>
      <w:r>
        <w:rPr>
          <w:rFonts w:ascii="Arial" w:hAnsi="Arial" w:cs="Arial"/>
          <w:sz w:val="20"/>
        </w:rPr>
        <w:t xml:space="preserve">) under section 132 of the </w:t>
      </w:r>
      <w:r>
        <w:rPr>
          <w:rFonts w:ascii="Arial" w:hAnsi="Arial" w:cs="Arial"/>
          <w:i/>
          <w:sz w:val="20"/>
        </w:rPr>
        <w:t xml:space="preserve">Radiocommunications Act 1992 </w:t>
      </w:r>
      <w:r>
        <w:rPr>
          <w:rFonts w:ascii="Arial" w:hAnsi="Arial" w:cs="Arial"/>
          <w:sz w:val="20"/>
        </w:rPr>
        <w:t>(</w:t>
      </w:r>
      <w:r>
        <w:rPr>
          <w:rFonts w:ascii="Arial" w:hAnsi="Arial" w:cs="Arial"/>
          <w:b/>
          <w:sz w:val="20"/>
        </w:rPr>
        <w:t>the Act</w:t>
      </w:r>
      <w:r>
        <w:rPr>
          <w:rFonts w:ascii="Arial" w:hAnsi="Arial" w:cs="Arial"/>
          <w:sz w:val="20"/>
        </w:rPr>
        <w:t xml:space="preserve">) and subsection 33(3) of the </w:t>
      </w:r>
      <w:r>
        <w:rPr>
          <w:rFonts w:ascii="Arial" w:hAnsi="Arial" w:cs="Arial"/>
          <w:i/>
          <w:sz w:val="20"/>
        </w:rPr>
        <w:t>Acts Interpretation Act 1901</w:t>
      </w:r>
      <w:r>
        <w:rPr>
          <w:rFonts w:ascii="Arial" w:hAnsi="Arial" w:cs="Arial"/>
          <w:sz w:val="20"/>
        </w:rPr>
        <w:t xml:space="preserve"> (</w:t>
      </w:r>
      <w:r>
        <w:rPr>
          <w:rFonts w:ascii="Arial" w:hAnsi="Arial" w:cs="Arial"/>
          <w:b/>
          <w:sz w:val="20"/>
        </w:rPr>
        <w:t>the AIA</w:t>
      </w:r>
      <w:r>
        <w:rPr>
          <w:rFonts w:ascii="Arial" w:hAnsi="Arial" w:cs="Arial"/>
          <w:sz w:val="20"/>
        </w:rPr>
        <w:t xml:space="preserve">). </w:t>
      </w:r>
    </w:p>
    <w:p w14:paraId="709D8918" w14:textId="77777777" w:rsidR="00A916FA" w:rsidRDefault="00A916FA" w:rsidP="00A916FA">
      <w:pPr>
        <w:spacing w:before="120" w:after="120" w:line="260" w:lineRule="atLeast"/>
        <w:rPr>
          <w:rFonts w:ascii="Arial" w:hAnsi="Arial" w:cs="Arial"/>
          <w:sz w:val="20"/>
        </w:rPr>
      </w:pPr>
      <w:r>
        <w:rPr>
          <w:rFonts w:ascii="Arial" w:hAnsi="Arial" w:cs="Arial"/>
        </w:rPr>
        <w:t>Section 132 of the Act allows the ACMA, by legislative instrument, to issue class licences.</w:t>
      </w:r>
    </w:p>
    <w:p w14:paraId="66A154DA" w14:textId="77777777" w:rsidR="00A916FA" w:rsidRDefault="00A916FA" w:rsidP="00A916FA">
      <w:pPr>
        <w:spacing w:before="120" w:after="120" w:line="260" w:lineRule="atLeast"/>
        <w:rPr>
          <w:rFonts w:ascii="Arial" w:hAnsi="Arial" w:cs="Arial"/>
        </w:rPr>
      </w:pPr>
      <w:r>
        <w:rPr>
          <w:rFonts w:ascii="Arial" w:hAnsi="Arial" w:cs="Arial"/>
        </w:rPr>
        <w:t>Subsection 33(3) of the AIA relevantly provides that, where an Act confers a power to make, grant or issue an instrument of a legislative character, the power shall be construed as including a power exercisable in the like manner and subject to the like conditions (if any) to repeal, rescind, revoke, amend or vary any such instrument.</w:t>
      </w:r>
    </w:p>
    <w:p w14:paraId="56412834" w14:textId="77777777" w:rsidR="00A916FA" w:rsidRDefault="00A916FA" w:rsidP="00A916FA">
      <w:pPr>
        <w:spacing w:before="120" w:after="120" w:line="260" w:lineRule="atLeast"/>
        <w:rPr>
          <w:rFonts w:ascii="Arial" w:hAnsi="Arial" w:cs="Arial"/>
        </w:rPr>
      </w:pPr>
      <w:r>
        <w:rPr>
          <w:rFonts w:ascii="Arial" w:hAnsi="Arial" w:cs="Arial"/>
        </w:rPr>
        <w:t xml:space="preserve">Section 134 of the Act provides that, to avoid doubt, the power to vary a class licence in accordance with subsection 33(3) of the AIA includes the power to vary the class licence by including one or more further conditions; or revoking any conditions of the class licence. </w:t>
      </w:r>
    </w:p>
    <w:p w14:paraId="1CB03A25" w14:textId="77777777" w:rsidR="00A916FA" w:rsidRDefault="00A916FA" w:rsidP="00A916FA">
      <w:pPr>
        <w:spacing w:before="120" w:after="120" w:line="260" w:lineRule="atLeast"/>
        <w:rPr>
          <w:rFonts w:ascii="Arial" w:hAnsi="Arial" w:cs="Arial"/>
        </w:rPr>
      </w:pPr>
      <w:r>
        <w:rPr>
          <w:rFonts w:ascii="Arial" w:hAnsi="Arial" w:cs="Arial"/>
          <w:color w:val="000000"/>
        </w:rPr>
        <w:t>Section 136 of the Act requires the ACMA, before varying a class licence, to invite persons to make representations about the proposed variation and provide those persons with at least one month from the date of publication in which to make those representations</w:t>
      </w:r>
      <w:r>
        <w:rPr>
          <w:rFonts w:ascii="Arial" w:hAnsi="Arial" w:cs="Arial"/>
        </w:rPr>
        <w:t xml:space="preserve">.  Details about the consultation undertaken are set out below.  Section 136 also requires the ACMA, before varying a class licence, if the variation would affect spectrum allocated, to be allocated or to be re-allocated by issuing or re-issuing spectrum licences, to be satisfied that the variation would not result in unacceptable levels of interference to the operation of radiocommunications devices operated, or likely to be operated, under spectrum licences, and that the variation of the class licence would be in the public interest.  . There are no spectrum licences affected by the proposed variation. </w:t>
      </w:r>
    </w:p>
    <w:p w14:paraId="2FB35C75" w14:textId="77777777" w:rsidR="00A916FA" w:rsidRDefault="00A916FA" w:rsidP="00A916FA">
      <w:pPr>
        <w:spacing w:before="120" w:after="120" w:line="260" w:lineRule="atLeast"/>
        <w:rPr>
          <w:rFonts w:ascii="Arial" w:hAnsi="Arial" w:cs="Arial"/>
        </w:rPr>
      </w:pPr>
      <w:r>
        <w:rPr>
          <w:rFonts w:ascii="Arial" w:hAnsi="Arial" w:cs="Arial"/>
        </w:rPr>
        <w:t>Section 137 provides that the ACMA must not issue a class licence that is inconsistent with the spectrum plan or any relevant frequency band plans.  The ACMA has made the instrument in accordance with sections 132, 136 and 137 of the Act, and subsection 33(3) of the AIA.</w:t>
      </w:r>
    </w:p>
    <w:p w14:paraId="0EEEC521" w14:textId="77777777" w:rsidR="00A916FA" w:rsidRDefault="00A916FA" w:rsidP="00A916FA">
      <w:pPr>
        <w:pStyle w:val="indenta"/>
        <w:tabs>
          <w:tab w:val="left" w:pos="720"/>
        </w:tabs>
        <w:spacing w:before="120" w:after="120"/>
        <w:ind w:left="0" w:firstLine="0"/>
        <w:jc w:val="both"/>
        <w:rPr>
          <w:rFonts w:ascii="Arial" w:hAnsi="Arial" w:cs="Arial"/>
          <w:b/>
          <w:sz w:val="20"/>
        </w:rPr>
      </w:pPr>
      <w:r>
        <w:rPr>
          <w:rFonts w:ascii="Arial" w:hAnsi="Arial" w:cs="Arial"/>
          <w:b/>
          <w:sz w:val="20"/>
        </w:rPr>
        <w:t>Purpose and operation of the instrument</w:t>
      </w:r>
    </w:p>
    <w:p w14:paraId="790D478B" w14:textId="77777777" w:rsidR="00A916FA" w:rsidRDefault="00A916FA" w:rsidP="00A916FA">
      <w:pPr>
        <w:pStyle w:val="BodyText"/>
        <w:spacing w:before="120" w:line="260" w:lineRule="atLeast"/>
        <w:rPr>
          <w:rFonts w:ascii="Arial" w:hAnsi="Arial" w:cs="Arial"/>
          <w:sz w:val="20"/>
        </w:rPr>
      </w:pPr>
      <w:r>
        <w:rPr>
          <w:rFonts w:ascii="Arial" w:hAnsi="Arial" w:cs="Arial"/>
          <w:sz w:val="20"/>
        </w:rPr>
        <w:t xml:space="preserve">The instrument varies the </w:t>
      </w:r>
      <w:r>
        <w:rPr>
          <w:rFonts w:ascii="Arial" w:hAnsi="Arial" w:cs="Arial"/>
          <w:i/>
          <w:sz w:val="20"/>
        </w:rPr>
        <w:t xml:space="preserve">Radiocommunications (Low Interference Potential Devices) Class Licence 2015 </w:t>
      </w:r>
      <w:r>
        <w:rPr>
          <w:rFonts w:ascii="Arial" w:hAnsi="Arial" w:cs="Arial"/>
          <w:sz w:val="20"/>
        </w:rPr>
        <w:t>(</w:t>
      </w:r>
      <w:r>
        <w:rPr>
          <w:rFonts w:ascii="Arial" w:hAnsi="Arial" w:cs="Arial"/>
          <w:b/>
          <w:sz w:val="20"/>
        </w:rPr>
        <w:t>the</w:t>
      </w:r>
      <w:r>
        <w:rPr>
          <w:rFonts w:ascii="Arial" w:hAnsi="Arial" w:cs="Arial"/>
          <w:sz w:val="20"/>
        </w:rPr>
        <w:t xml:space="preserve"> </w:t>
      </w:r>
      <w:r>
        <w:rPr>
          <w:rFonts w:ascii="Arial" w:hAnsi="Arial" w:cs="Arial"/>
          <w:b/>
          <w:sz w:val="20"/>
        </w:rPr>
        <w:t>LIPD</w:t>
      </w:r>
      <w:r>
        <w:rPr>
          <w:rFonts w:ascii="Arial" w:hAnsi="Arial" w:cs="Arial"/>
          <w:sz w:val="20"/>
        </w:rPr>
        <w:t xml:space="preserve"> </w:t>
      </w:r>
      <w:r>
        <w:rPr>
          <w:rFonts w:ascii="Arial" w:hAnsi="Arial" w:cs="Arial"/>
          <w:b/>
          <w:sz w:val="20"/>
        </w:rPr>
        <w:t>Class</w:t>
      </w:r>
      <w:r>
        <w:rPr>
          <w:rFonts w:ascii="Arial" w:hAnsi="Arial" w:cs="Arial"/>
          <w:sz w:val="20"/>
        </w:rPr>
        <w:t xml:space="preserve"> </w:t>
      </w:r>
      <w:r>
        <w:rPr>
          <w:rFonts w:ascii="Arial" w:hAnsi="Arial" w:cs="Arial"/>
          <w:b/>
          <w:sz w:val="20"/>
        </w:rPr>
        <w:t>Licence</w:t>
      </w:r>
      <w:r>
        <w:rPr>
          <w:rFonts w:ascii="Arial" w:hAnsi="Arial" w:cs="Arial"/>
          <w:sz w:val="20"/>
        </w:rPr>
        <w:t>) to include new arrangements for all transmitters operating in the 122000-122250 MHz band and new arrangements for medical telemetry and telecommand transmitters operating in the 430</w:t>
      </w:r>
      <w:r>
        <w:rPr>
          <w:rFonts w:ascii="Arial" w:hAnsi="Arial" w:cs="Arial"/>
          <w:sz w:val="20"/>
        </w:rPr>
        <w:noBreakHyphen/>
        <w:t xml:space="preserve">440 MHz and 2483.5-2500 MHz bands.  The </w:t>
      </w:r>
      <w:r>
        <w:rPr>
          <w:rFonts w:ascii="Arial" w:hAnsi="Arial" w:cs="Arial"/>
          <w:sz w:val="20"/>
        </w:rPr>
        <w:lastRenderedPageBreak/>
        <w:t>instrument also removes the indoor restriction for digital communication transmitters in the 57000-66000 MHz band and updates references for medical implant communication transmitters operating in the 402-405 MHz band.   It is a general requirement of the Act</w:t>
      </w:r>
      <w:r>
        <w:rPr>
          <w:rFonts w:ascii="Arial" w:hAnsi="Arial" w:cs="Arial"/>
          <w:i/>
          <w:sz w:val="20"/>
        </w:rPr>
        <w:t xml:space="preserve"> </w:t>
      </w:r>
      <w:r>
        <w:rPr>
          <w:rFonts w:ascii="Arial" w:hAnsi="Arial" w:cs="Arial"/>
          <w:sz w:val="20"/>
        </w:rPr>
        <w:t xml:space="preserve">that the operation of all radiocommunications devices within Australia be authorised by a radiocommunications licence. </w:t>
      </w:r>
    </w:p>
    <w:p w14:paraId="0D7EA76B" w14:textId="77777777" w:rsidR="00A916FA" w:rsidRDefault="00A916FA" w:rsidP="00A916FA">
      <w:pPr>
        <w:pStyle w:val="BodyText"/>
        <w:spacing w:before="120" w:line="260" w:lineRule="atLeast"/>
        <w:rPr>
          <w:rFonts w:ascii="Arial" w:hAnsi="Arial" w:cs="Arial"/>
          <w:sz w:val="20"/>
        </w:rPr>
      </w:pPr>
      <w:r>
        <w:rPr>
          <w:rFonts w:ascii="Arial" w:hAnsi="Arial" w:cs="Arial"/>
          <w:sz w:val="20"/>
        </w:rPr>
        <w:t>A class licence is one type of licence available to authorise the operation of radiocommunications devices.  It is an effective and efficient means of spectrum management for services where a limited set of common frequencies are employed, and equipment is operated under a common set of conditions.  A class licence is not issued to an individual user, and does not involve the payment of licence fees</w:t>
      </w:r>
      <w:r>
        <w:rPr>
          <w:rFonts w:ascii="Arial" w:hAnsi="Arial" w:cs="Arial"/>
          <w:i/>
          <w:sz w:val="20"/>
        </w:rPr>
        <w:t>.</w:t>
      </w:r>
    </w:p>
    <w:p w14:paraId="4EE97A87" w14:textId="77777777" w:rsidR="00A916FA" w:rsidRDefault="00A916FA" w:rsidP="00A916FA">
      <w:pPr>
        <w:spacing w:before="120" w:after="120" w:line="260" w:lineRule="atLeast"/>
        <w:rPr>
          <w:rFonts w:ascii="Arial" w:hAnsi="Arial" w:cs="Arial"/>
          <w:sz w:val="20"/>
        </w:rPr>
      </w:pPr>
      <w:r>
        <w:rPr>
          <w:rFonts w:ascii="Arial" w:hAnsi="Arial" w:cs="Arial"/>
        </w:rPr>
        <w:t>The LIPD Class Licence</w:t>
      </w:r>
      <w:r>
        <w:rPr>
          <w:rStyle w:val="Emphasis"/>
          <w:rFonts w:ascii="Arial" w:hAnsi="Arial" w:cs="Arial"/>
        </w:rPr>
        <w:t xml:space="preserve"> </w:t>
      </w:r>
      <w:r>
        <w:rPr>
          <w:rFonts w:ascii="Arial" w:hAnsi="Arial" w:cs="Arial"/>
        </w:rPr>
        <w:t xml:space="preserve">authorises the operation of a wide range of low interference radiocommunications transmitters in various segments of the radiofrequency spectrum.  The LIPD Class Licence sets out the conditions under which these transmitters may be operated.  These transmitters do not require individual frequency coordination because of their low interference potential characteristics.  Examples of transmitters covered by the LIPD Class Licence include WiFi equipment, radio-frequency identification transmitters and personal alarms. A provision-by-provision description of the instrument is set out in the notes at </w:t>
      </w:r>
      <w:r>
        <w:rPr>
          <w:rFonts w:ascii="Arial" w:hAnsi="Arial" w:cs="Arial"/>
          <w:b/>
        </w:rPr>
        <w:t>Attachment A</w:t>
      </w:r>
      <w:r>
        <w:rPr>
          <w:rFonts w:ascii="Arial" w:hAnsi="Arial" w:cs="Arial"/>
        </w:rPr>
        <w:t>.</w:t>
      </w:r>
    </w:p>
    <w:p w14:paraId="6E0E71E5" w14:textId="77777777" w:rsidR="00A916FA" w:rsidRDefault="00A916FA" w:rsidP="00A916FA">
      <w:pPr>
        <w:spacing w:before="120" w:line="260" w:lineRule="atLeast"/>
        <w:rPr>
          <w:rFonts w:ascii="Arial" w:hAnsi="Arial" w:cs="Arial"/>
        </w:rPr>
      </w:pPr>
    </w:p>
    <w:p w14:paraId="3B344AC3" w14:textId="77777777" w:rsidR="00A916FA" w:rsidRDefault="00A916FA" w:rsidP="00A916FA">
      <w:pPr>
        <w:spacing w:before="120" w:after="120" w:line="260" w:lineRule="atLeast"/>
        <w:rPr>
          <w:rFonts w:ascii="Arial" w:hAnsi="Arial" w:cs="Arial"/>
          <w:i/>
        </w:rPr>
      </w:pPr>
      <w:r>
        <w:rPr>
          <w:rFonts w:ascii="Arial" w:hAnsi="Arial" w:cs="Arial"/>
        </w:rPr>
        <w:t xml:space="preserve">The instrument is a disallowable legislative instrument for the purposes of the </w:t>
      </w:r>
      <w:r>
        <w:rPr>
          <w:rFonts w:ascii="Arial" w:hAnsi="Arial" w:cs="Arial"/>
          <w:i/>
        </w:rPr>
        <w:t>Legislation Act 2003</w:t>
      </w:r>
      <w:r>
        <w:rPr>
          <w:rFonts w:ascii="Arial" w:hAnsi="Arial" w:cs="Arial"/>
        </w:rPr>
        <w:t xml:space="preserve"> (</w:t>
      </w:r>
      <w:r>
        <w:rPr>
          <w:rFonts w:ascii="Arial" w:hAnsi="Arial" w:cs="Arial"/>
          <w:b/>
        </w:rPr>
        <w:t>the LA</w:t>
      </w:r>
      <w:r>
        <w:rPr>
          <w:rFonts w:ascii="Arial" w:hAnsi="Arial" w:cs="Arial"/>
        </w:rPr>
        <w:t>)</w:t>
      </w:r>
      <w:r>
        <w:rPr>
          <w:rFonts w:ascii="Arial" w:hAnsi="Arial" w:cs="Arial"/>
          <w:i/>
        </w:rPr>
        <w:t>.</w:t>
      </w:r>
    </w:p>
    <w:p w14:paraId="6024FC52" w14:textId="77777777" w:rsidR="00A916FA" w:rsidRDefault="00A916FA" w:rsidP="00A916FA">
      <w:pPr>
        <w:pStyle w:val="BodyText"/>
        <w:spacing w:before="120" w:line="260" w:lineRule="atLeast"/>
        <w:rPr>
          <w:rFonts w:ascii="Arial" w:hAnsi="Arial" w:cs="Arial"/>
          <w:b/>
          <w:sz w:val="20"/>
        </w:rPr>
      </w:pPr>
      <w:r>
        <w:rPr>
          <w:rFonts w:ascii="Arial" w:hAnsi="Arial" w:cs="Arial"/>
          <w:b/>
          <w:sz w:val="20"/>
        </w:rPr>
        <w:t>Documents incorporated by reference</w:t>
      </w:r>
    </w:p>
    <w:p w14:paraId="05F0BBB2" w14:textId="77777777" w:rsidR="00A916FA" w:rsidRDefault="00A916FA" w:rsidP="00A916FA">
      <w:pPr>
        <w:pStyle w:val="BodyText"/>
        <w:spacing w:before="120" w:line="260" w:lineRule="atLeast"/>
        <w:rPr>
          <w:rFonts w:ascii="Arial" w:hAnsi="Arial" w:cs="Arial"/>
          <w:sz w:val="20"/>
        </w:rPr>
      </w:pPr>
      <w:r>
        <w:rPr>
          <w:rFonts w:ascii="Arial" w:hAnsi="Arial" w:cs="Arial"/>
          <w:sz w:val="20"/>
        </w:rPr>
        <w:t>The instrument inserts into the LIPD Class Licence references to documents and writing as in force from time to time as permitted by section 314A of the Act.  These documents are:</w:t>
      </w:r>
    </w:p>
    <w:p w14:paraId="7F5D5056" w14:textId="77777777" w:rsidR="00A916FA" w:rsidRDefault="00A916FA" w:rsidP="00A916FA">
      <w:pPr>
        <w:pStyle w:val="BodyText"/>
        <w:numPr>
          <w:ilvl w:val="0"/>
          <w:numId w:val="9"/>
        </w:numPr>
        <w:overflowPunct w:val="0"/>
        <w:autoSpaceDE w:val="0"/>
        <w:autoSpaceDN w:val="0"/>
        <w:adjustRightInd w:val="0"/>
        <w:spacing w:before="120" w:line="260" w:lineRule="atLeast"/>
        <w:rPr>
          <w:rFonts w:ascii="Arial" w:hAnsi="Arial" w:cs="Arial"/>
          <w:sz w:val="20"/>
        </w:rPr>
      </w:pPr>
      <w:r>
        <w:rPr>
          <w:rFonts w:ascii="Arial" w:hAnsi="Arial" w:cs="Arial"/>
          <w:sz w:val="20"/>
        </w:rPr>
        <w:t xml:space="preserve">ETSI Standard EN 303 203 </w:t>
      </w:r>
      <w:r>
        <w:rPr>
          <w:rFonts w:ascii="Arial" w:hAnsi="Arial" w:cs="Arial"/>
          <w:i/>
          <w:sz w:val="20"/>
        </w:rPr>
        <w:t>Electromagnetic compatibility and Radio spectrum Matters (ERM); Short Range Devices (SRD); Medical Body Area Network Systems (MBANSs) operating in the 2483.5 MHz to 2500 MHz range;</w:t>
      </w:r>
    </w:p>
    <w:p w14:paraId="39DFE7AE" w14:textId="77777777" w:rsidR="00A916FA" w:rsidRDefault="00A916FA" w:rsidP="00A916FA">
      <w:pPr>
        <w:pStyle w:val="BodyText"/>
        <w:numPr>
          <w:ilvl w:val="0"/>
          <w:numId w:val="9"/>
        </w:numPr>
        <w:overflowPunct w:val="0"/>
        <w:autoSpaceDE w:val="0"/>
        <w:autoSpaceDN w:val="0"/>
        <w:adjustRightInd w:val="0"/>
        <w:spacing w:before="120" w:line="260" w:lineRule="atLeast"/>
        <w:rPr>
          <w:rFonts w:ascii="Arial" w:hAnsi="Arial" w:cs="Arial"/>
          <w:sz w:val="20"/>
        </w:rPr>
      </w:pPr>
      <w:r>
        <w:rPr>
          <w:rFonts w:ascii="Arial" w:hAnsi="Arial" w:cs="Arial"/>
          <w:sz w:val="20"/>
        </w:rPr>
        <w:t xml:space="preserve">ETSI Standard EN 301 559 </w:t>
      </w:r>
      <w:r>
        <w:rPr>
          <w:rFonts w:ascii="Arial" w:hAnsi="Arial" w:cs="Arial"/>
          <w:i/>
          <w:sz w:val="20"/>
        </w:rPr>
        <w:t>Electromagnetic compatibility and Radio spectrum Matters (ERM); Short Range Devices (SRD); Low Power Active Medical Implants (LP-AMI) operating in the 2483.5 MHz to 2500 MHz range;</w:t>
      </w:r>
    </w:p>
    <w:p w14:paraId="5DC7E28A" w14:textId="77777777" w:rsidR="00A916FA" w:rsidRDefault="00A916FA" w:rsidP="00A916FA">
      <w:pPr>
        <w:pStyle w:val="BodyText"/>
        <w:numPr>
          <w:ilvl w:val="0"/>
          <w:numId w:val="9"/>
        </w:numPr>
        <w:overflowPunct w:val="0"/>
        <w:autoSpaceDE w:val="0"/>
        <w:autoSpaceDN w:val="0"/>
        <w:adjustRightInd w:val="0"/>
        <w:spacing w:before="120" w:line="260" w:lineRule="atLeast"/>
        <w:rPr>
          <w:rFonts w:ascii="Arial" w:hAnsi="Arial" w:cs="Arial"/>
          <w:sz w:val="20"/>
        </w:rPr>
      </w:pPr>
      <w:r>
        <w:rPr>
          <w:rFonts w:ascii="Arial" w:hAnsi="Arial" w:cs="Arial"/>
          <w:sz w:val="20"/>
        </w:rPr>
        <w:t xml:space="preserve">Code of Federal Regulation Title 47 §95, </w:t>
      </w:r>
      <w:r>
        <w:rPr>
          <w:rFonts w:ascii="Arial" w:hAnsi="Arial" w:cs="Arial"/>
          <w:i/>
          <w:sz w:val="20"/>
        </w:rPr>
        <w:t>Part 95,</w:t>
      </w:r>
      <w:r>
        <w:rPr>
          <w:rFonts w:ascii="Arial" w:hAnsi="Arial" w:cs="Arial"/>
          <w:sz w:val="20"/>
        </w:rPr>
        <w:t xml:space="preserve"> </w:t>
      </w:r>
      <w:r>
        <w:rPr>
          <w:rFonts w:ascii="Arial" w:hAnsi="Arial" w:cs="Arial"/>
          <w:i/>
          <w:sz w:val="20"/>
        </w:rPr>
        <w:t>Section 2573, MedRadio authorized bandwidths;</w:t>
      </w:r>
    </w:p>
    <w:p w14:paraId="584AAA4A" w14:textId="77777777" w:rsidR="00A916FA" w:rsidRDefault="00A916FA" w:rsidP="00A916FA">
      <w:pPr>
        <w:pStyle w:val="BodyText"/>
        <w:numPr>
          <w:ilvl w:val="0"/>
          <w:numId w:val="9"/>
        </w:numPr>
        <w:overflowPunct w:val="0"/>
        <w:autoSpaceDE w:val="0"/>
        <w:autoSpaceDN w:val="0"/>
        <w:adjustRightInd w:val="0"/>
        <w:spacing w:before="120" w:line="260" w:lineRule="atLeast"/>
        <w:rPr>
          <w:rFonts w:ascii="Arial" w:hAnsi="Arial" w:cs="Arial"/>
          <w:sz w:val="20"/>
        </w:rPr>
      </w:pPr>
      <w:r>
        <w:rPr>
          <w:rFonts w:ascii="Arial" w:hAnsi="Arial" w:cs="Arial"/>
          <w:sz w:val="20"/>
        </w:rPr>
        <w:t xml:space="preserve">Code of Federal Regulation Title 47 §95, </w:t>
      </w:r>
      <w:r>
        <w:rPr>
          <w:rFonts w:ascii="Arial" w:hAnsi="Arial" w:cs="Arial"/>
          <w:i/>
          <w:sz w:val="20"/>
        </w:rPr>
        <w:t>Part 95</w:t>
      </w:r>
      <w:r>
        <w:rPr>
          <w:rFonts w:ascii="Arial" w:hAnsi="Arial" w:cs="Arial"/>
          <w:sz w:val="20"/>
        </w:rPr>
        <w:t xml:space="preserve">, </w:t>
      </w:r>
      <w:r>
        <w:rPr>
          <w:rFonts w:ascii="Arial" w:hAnsi="Arial" w:cs="Arial"/>
          <w:i/>
          <w:sz w:val="20"/>
        </w:rPr>
        <w:t>Section 2579, MedRadio unwanted emission limits;</w:t>
      </w:r>
    </w:p>
    <w:p w14:paraId="4373B0C6" w14:textId="77777777" w:rsidR="00A916FA" w:rsidRDefault="00A916FA" w:rsidP="00A916FA">
      <w:pPr>
        <w:pStyle w:val="BodyText"/>
        <w:numPr>
          <w:ilvl w:val="0"/>
          <w:numId w:val="9"/>
        </w:numPr>
        <w:overflowPunct w:val="0"/>
        <w:autoSpaceDE w:val="0"/>
        <w:autoSpaceDN w:val="0"/>
        <w:adjustRightInd w:val="0"/>
        <w:spacing w:before="120" w:line="260" w:lineRule="atLeast"/>
        <w:rPr>
          <w:rFonts w:ascii="Arial" w:hAnsi="Arial" w:cs="Arial"/>
          <w:sz w:val="20"/>
        </w:rPr>
      </w:pPr>
      <w:r>
        <w:rPr>
          <w:rFonts w:ascii="Arial" w:hAnsi="Arial" w:cs="Arial"/>
          <w:sz w:val="20"/>
        </w:rPr>
        <w:t xml:space="preserve">Code of Federal Regulation Title 47 §15.255, </w:t>
      </w:r>
      <w:r>
        <w:rPr>
          <w:rFonts w:ascii="Arial" w:hAnsi="Arial" w:cs="Arial"/>
          <w:i/>
          <w:sz w:val="20"/>
        </w:rPr>
        <w:t>Part 15, Section 255 Operation within the band 57-71 GHz.</w:t>
      </w:r>
    </w:p>
    <w:p w14:paraId="4851783E" w14:textId="77777777" w:rsidR="00A916FA" w:rsidRDefault="00A916FA" w:rsidP="00A916FA">
      <w:pPr>
        <w:pStyle w:val="BodyText"/>
        <w:spacing w:before="120" w:line="260" w:lineRule="atLeast"/>
        <w:rPr>
          <w:rFonts w:ascii="Arial" w:hAnsi="Arial" w:cs="Arial"/>
          <w:sz w:val="20"/>
        </w:rPr>
      </w:pPr>
      <w:r>
        <w:rPr>
          <w:rFonts w:ascii="Arial" w:hAnsi="Arial" w:cs="Arial"/>
          <w:sz w:val="20"/>
        </w:rPr>
        <w:t xml:space="preserve">At the date of making the instrument, the ETSI Standards are available free of charge from the ETSI website: </w:t>
      </w:r>
      <w:hyperlink r:id="rId22" w:history="1">
        <w:r>
          <w:rPr>
            <w:rStyle w:val="Hyperlink"/>
            <w:rFonts w:ascii="Arial" w:hAnsi="Arial" w:cs="Arial"/>
            <w:sz w:val="20"/>
          </w:rPr>
          <w:t>www.etsi.org</w:t>
        </w:r>
      </w:hyperlink>
      <w:r>
        <w:rPr>
          <w:rFonts w:ascii="Arial" w:hAnsi="Arial" w:cs="Arial"/>
          <w:sz w:val="20"/>
        </w:rPr>
        <w:t xml:space="preserve">.  The Code of Federal Regulation is available free of charge from e-CFR website: </w:t>
      </w:r>
      <w:hyperlink r:id="rId23" w:history="1">
        <w:r>
          <w:rPr>
            <w:rStyle w:val="Hyperlink"/>
            <w:rFonts w:ascii="Arial" w:hAnsi="Arial" w:cs="Arial"/>
            <w:sz w:val="20"/>
          </w:rPr>
          <w:t>www.ecfr.gov</w:t>
        </w:r>
      </w:hyperlink>
      <w:r>
        <w:rPr>
          <w:rStyle w:val="Hyperlink"/>
          <w:rFonts w:ascii="Arial" w:hAnsi="Arial" w:cs="Arial"/>
          <w:sz w:val="20"/>
        </w:rPr>
        <w:t>.</w:t>
      </w:r>
    </w:p>
    <w:p w14:paraId="787EB3F8" w14:textId="77777777" w:rsidR="00A916FA" w:rsidRDefault="00A916FA" w:rsidP="00A916FA">
      <w:pPr>
        <w:pStyle w:val="BodyText"/>
        <w:spacing w:before="120" w:line="260" w:lineRule="atLeast"/>
        <w:rPr>
          <w:rFonts w:ascii="Arial" w:hAnsi="Arial" w:cs="Arial"/>
          <w:b/>
          <w:sz w:val="20"/>
        </w:rPr>
      </w:pPr>
      <w:r>
        <w:rPr>
          <w:rFonts w:ascii="Arial" w:hAnsi="Arial" w:cs="Arial"/>
          <w:b/>
          <w:sz w:val="20"/>
        </w:rPr>
        <w:t>Consultation</w:t>
      </w:r>
    </w:p>
    <w:p w14:paraId="2FCB1BF1" w14:textId="77777777" w:rsidR="00A916FA" w:rsidRDefault="00A916FA" w:rsidP="00A916FA">
      <w:pPr>
        <w:spacing w:before="120" w:after="120" w:line="260" w:lineRule="atLeast"/>
        <w:rPr>
          <w:rFonts w:ascii="Arial" w:hAnsi="Arial" w:cs="Arial"/>
          <w:color w:val="000000"/>
          <w:sz w:val="20"/>
        </w:rPr>
      </w:pPr>
      <w:r>
        <w:rPr>
          <w:rFonts w:ascii="Arial" w:hAnsi="Arial" w:cs="Arial"/>
          <w:color w:val="000000"/>
        </w:rPr>
        <w:lastRenderedPageBreak/>
        <w:t xml:space="preserve">Before the instrument was made, the ACMA was satisfied that consultation was undertaken to the extent appropriate and reasonably practicable, in accordance with section 17 of the </w:t>
      </w:r>
      <w:r>
        <w:rPr>
          <w:rFonts w:ascii="Arial" w:hAnsi="Arial" w:cs="Arial"/>
          <w:i/>
          <w:color w:val="000000"/>
        </w:rPr>
        <w:t>Legislation Act 2003</w:t>
      </w:r>
      <w:r>
        <w:rPr>
          <w:rFonts w:ascii="Arial" w:hAnsi="Arial" w:cs="Arial"/>
          <w:color w:val="000000"/>
        </w:rPr>
        <w:t>.</w:t>
      </w:r>
    </w:p>
    <w:p w14:paraId="1DFBC74B" w14:textId="77777777" w:rsidR="00A916FA" w:rsidRDefault="00A916FA" w:rsidP="00A916FA">
      <w:pPr>
        <w:spacing w:before="120" w:after="120" w:line="260" w:lineRule="atLeast"/>
        <w:rPr>
          <w:rFonts w:ascii="Arial" w:hAnsi="Arial" w:cs="Arial"/>
          <w:color w:val="000000"/>
        </w:rPr>
      </w:pPr>
      <w:r>
        <w:rPr>
          <w:rFonts w:ascii="Arial" w:hAnsi="Arial" w:cs="Arial"/>
          <w:color w:val="000000"/>
        </w:rPr>
        <w:t>Section 136 of the Act requires that a notice setting out particular details of the variation be published on the ACMA’s website, and in one, or more, other forms that are readily accessible by the public. The notice must allow for a</w:t>
      </w:r>
      <w:r>
        <w:rPr>
          <w:rFonts w:ascii="Arial" w:hAnsi="Arial" w:cs="Arial"/>
          <w:i/>
          <w:color w:val="000000"/>
        </w:rPr>
        <w:t xml:space="preserve"> </w:t>
      </w:r>
      <w:r>
        <w:rPr>
          <w:rFonts w:ascii="Arial" w:hAnsi="Arial" w:cs="Arial"/>
          <w:color w:val="000000"/>
        </w:rPr>
        <w:t>period of at least one month to be provided for public comment.  Section 136 also requires consultation with spectrum licensees if their licences would be affected by the instrument.  No spectrum licences are affected by the variation.</w:t>
      </w:r>
    </w:p>
    <w:p w14:paraId="5F193A72" w14:textId="77777777" w:rsidR="00A916FA" w:rsidRDefault="00A916FA" w:rsidP="00A916FA">
      <w:pPr>
        <w:spacing w:before="120" w:after="120" w:line="260" w:lineRule="atLeast"/>
        <w:rPr>
          <w:rFonts w:ascii="Arial" w:hAnsi="Arial" w:cs="Arial"/>
          <w:color w:val="000000"/>
        </w:rPr>
      </w:pPr>
      <w:r>
        <w:rPr>
          <w:rFonts w:ascii="Arial" w:hAnsi="Arial" w:cs="Arial"/>
          <w:color w:val="000000"/>
        </w:rPr>
        <w:t xml:space="preserve">On 22 November 2017, the ACMA published a notice on its website and in the </w:t>
      </w:r>
      <w:r>
        <w:rPr>
          <w:rFonts w:ascii="Arial" w:hAnsi="Arial" w:cs="Arial"/>
          <w:i/>
          <w:color w:val="000000"/>
        </w:rPr>
        <w:t>Government Gazette</w:t>
      </w:r>
      <w:r>
        <w:rPr>
          <w:rFonts w:ascii="Arial" w:hAnsi="Arial" w:cs="Arial"/>
          <w:color w:val="000000"/>
        </w:rPr>
        <w:t>,</w:t>
      </w:r>
      <w:r>
        <w:rPr>
          <w:rFonts w:ascii="Arial" w:hAnsi="Arial" w:cs="Arial"/>
          <w:i/>
          <w:color w:val="000000"/>
        </w:rPr>
        <w:t xml:space="preserve"> </w:t>
      </w:r>
      <w:r>
        <w:rPr>
          <w:rFonts w:ascii="Arial" w:hAnsi="Arial" w:cs="Arial"/>
          <w:color w:val="000000"/>
        </w:rPr>
        <w:t xml:space="preserve">inviting public comment on the draft variation instrument until 19 January 2018.  </w:t>
      </w:r>
    </w:p>
    <w:p w14:paraId="65E41C13" w14:textId="77777777" w:rsidR="00A916FA" w:rsidRDefault="00A916FA" w:rsidP="00A916FA">
      <w:pPr>
        <w:spacing w:before="120" w:after="120" w:line="260" w:lineRule="atLeast"/>
        <w:rPr>
          <w:rFonts w:ascii="Arial" w:hAnsi="Arial" w:cs="Arial"/>
        </w:rPr>
      </w:pPr>
      <w:r>
        <w:rPr>
          <w:rFonts w:ascii="Arial" w:hAnsi="Arial" w:cs="Arial"/>
          <w:color w:val="000000"/>
        </w:rPr>
        <w:t xml:space="preserve">Thirteen submissions were received in response to the invitation for public comment.  All submissions were supportive of the changes proposed in the draft variation instrument.  </w:t>
      </w:r>
    </w:p>
    <w:p w14:paraId="7B15FDFC" w14:textId="77777777" w:rsidR="00A916FA" w:rsidRDefault="00A916FA" w:rsidP="00A916FA">
      <w:pPr>
        <w:pStyle w:val="ACMAHeading3"/>
        <w:spacing w:before="120" w:after="120" w:line="260" w:lineRule="atLeast"/>
        <w:rPr>
          <w:rFonts w:cs="Arial"/>
          <w:sz w:val="20"/>
        </w:rPr>
      </w:pPr>
      <w:r>
        <w:rPr>
          <w:rFonts w:cs="Arial"/>
          <w:sz w:val="20"/>
        </w:rPr>
        <w:t>Regulation Impact Statement</w:t>
      </w:r>
    </w:p>
    <w:p w14:paraId="15BD9AC5" w14:textId="77777777" w:rsidR="00A916FA" w:rsidRDefault="00A916FA" w:rsidP="00A916FA">
      <w:pPr>
        <w:pStyle w:val="ListParagraph"/>
        <w:spacing w:before="80" w:after="120" w:line="280" w:lineRule="atLeast"/>
        <w:ind w:left="1"/>
        <w:rPr>
          <w:rFonts w:cs="Arial"/>
          <w:color w:val="000000"/>
          <w:sz w:val="20"/>
        </w:rPr>
      </w:pPr>
      <w:r>
        <w:rPr>
          <w:rFonts w:cs="Arial"/>
          <w:color w:val="000000"/>
        </w:rPr>
        <w:t>Prior to releasing the draft variation instrument for comment, the ACMA consulted with the Office of Best Practice Regulation (</w:t>
      </w:r>
      <w:r>
        <w:rPr>
          <w:rFonts w:cs="Arial"/>
          <w:b/>
          <w:color w:val="000000"/>
        </w:rPr>
        <w:t>the</w:t>
      </w:r>
      <w:r>
        <w:rPr>
          <w:rFonts w:cs="Arial"/>
          <w:color w:val="000000"/>
        </w:rPr>
        <w:t xml:space="preserve"> </w:t>
      </w:r>
      <w:r>
        <w:rPr>
          <w:rFonts w:cs="Arial"/>
          <w:b/>
          <w:color w:val="000000"/>
        </w:rPr>
        <w:t>OBPR</w:t>
      </w:r>
      <w:r>
        <w:rPr>
          <w:rFonts w:cs="Arial"/>
          <w:color w:val="000000"/>
        </w:rPr>
        <w:t>) on the requirement for a Regulation Impact Statement (</w:t>
      </w:r>
      <w:r>
        <w:rPr>
          <w:rFonts w:cs="Arial"/>
          <w:b/>
          <w:color w:val="000000"/>
        </w:rPr>
        <w:t>the RIS</w:t>
      </w:r>
      <w:r>
        <w:rPr>
          <w:rFonts w:cs="Arial"/>
          <w:color w:val="000000"/>
        </w:rPr>
        <w:t>) for the instrument.  The OBPR advised that the ACMA could self-assess the performance of the instrument and the regulatory change made by the instrument.  The ACMA considers that the instrument does not give rise to the need for a RIS because it is only likely to have minor and machinery impacts. The OBPR reference for this assessment is ID 22710.</w:t>
      </w:r>
    </w:p>
    <w:p w14:paraId="25E73289" w14:textId="77777777" w:rsidR="00A916FA" w:rsidRDefault="00A916FA" w:rsidP="00A916FA">
      <w:pPr>
        <w:pStyle w:val="ListParagraph"/>
        <w:spacing w:before="80" w:after="120" w:line="280" w:lineRule="atLeast"/>
        <w:ind w:left="1"/>
        <w:rPr>
          <w:rFonts w:cs="Arial"/>
          <w:color w:val="000000"/>
        </w:rPr>
      </w:pPr>
    </w:p>
    <w:p w14:paraId="318A89BD" w14:textId="77777777" w:rsidR="00A916FA" w:rsidRDefault="00A916FA" w:rsidP="00A916FA">
      <w:pPr>
        <w:pStyle w:val="ACMAHeading3"/>
        <w:spacing w:before="120" w:after="120" w:line="360" w:lineRule="auto"/>
        <w:rPr>
          <w:rFonts w:cs="Arial"/>
          <w:sz w:val="20"/>
        </w:rPr>
      </w:pPr>
      <w:r>
        <w:rPr>
          <w:rFonts w:cs="Arial"/>
          <w:sz w:val="20"/>
        </w:rPr>
        <w:t>Statement of Compatibility with Human Rights</w:t>
      </w:r>
    </w:p>
    <w:p w14:paraId="2AD2D494" w14:textId="77777777" w:rsidR="00A916FA" w:rsidRDefault="00A916FA" w:rsidP="00A916FA">
      <w:pPr>
        <w:spacing w:before="120" w:after="120" w:line="260" w:lineRule="atLeast"/>
        <w:rPr>
          <w:rFonts w:ascii="Arial" w:hAnsi="Arial" w:cs="Arial"/>
          <w:color w:val="000000"/>
          <w:sz w:val="20"/>
        </w:rPr>
      </w:pPr>
      <w:r>
        <w:rPr>
          <w:rFonts w:ascii="Arial" w:hAnsi="Arial" w:cs="Arial"/>
          <w:color w:val="000000"/>
        </w:rPr>
        <w:t xml:space="preserve">Subsection 9(1) of the </w:t>
      </w:r>
      <w:r>
        <w:rPr>
          <w:rFonts w:ascii="Arial" w:hAnsi="Arial" w:cs="Arial"/>
          <w:i/>
          <w:color w:val="000000"/>
        </w:rPr>
        <w:t>Human Rights (Parliamentary Scrutiny) Act 2011</w:t>
      </w:r>
      <w:r>
        <w:rPr>
          <w:rFonts w:ascii="Arial" w:hAnsi="Arial" w:cs="Arial"/>
          <w:color w:val="000000"/>
        </w:rPr>
        <w:t xml:space="preserve"> requires the rule-maker in relation to a legislative instrument to which section 42 (disallowance) of the LA applies to cause a statement of compatibility to be prepared in respect of that legislative instrument.</w:t>
      </w:r>
    </w:p>
    <w:p w14:paraId="7531FF17" w14:textId="77777777" w:rsidR="00A916FA" w:rsidRDefault="00A916FA" w:rsidP="00A916FA">
      <w:pPr>
        <w:spacing w:before="120" w:after="120" w:line="260" w:lineRule="atLeast"/>
        <w:rPr>
          <w:rFonts w:ascii="Arial" w:hAnsi="Arial" w:cs="Arial"/>
          <w:color w:val="000000"/>
        </w:rPr>
      </w:pPr>
      <w:r>
        <w:rPr>
          <w:rFonts w:ascii="Arial" w:hAnsi="Arial" w:cs="Arial"/>
          <w:color w:val="000000"/>
        </w:rPr>
        <w:t>The statement of compatibility set out below has been prepared to meet that requirement.</w:t>
      </w:r>
    </w:p>
    <w:p w14:paraId="1A140095" w14:textId="77777777" w:rsidR="00A916FA" w:rsidRDefault="00A916FA" w:rsidP="00A916FA">
      <w:pPr>
        <w:pStyle w:val="ListParagraph"/>
        <w:spacing w:before="80" w:after="120" w:line="280" w:lineRule="atLeast"/>
        <w:ind w:left="0"/>
        <w:rPr>
          <w:rFonts w:ascii="Arial" w:hAnsi="Arial" w:cs="Arial"/>
          <w:b/>
          <w:i/>
          <w:color w:val="000000"/>
        </w:rPr>
      </w:pPr>
      <w:r>
        <w:rPr>
          <w:rFonts w:cs="Arial"/>
          <w:b/>
          <w:i/>
          <w:color w:val="000000"/>
        </w:rPr>
        <w:t>Overview of the instrument</w:t>
      </w:r>
    </w:p>
    <w:p w14:paraId="0C6704E9" w14:textId="77777777" w:rsidR="00A916FA" w:rsidRDefault="00A916FA" w:rsidP="00A916FA">
      <w:pPr>
        <w:pStyle w:val="ListParagraph"/>
        <w:spacing w:before="240" w:after="120" w:line="280" w:lineRule="atLeast"/>
        <w:ind w:left="0"/>
        <w:rPr>
          <w:rFonts w:cs="Arial"/>
          <w:b/>
          <w:i/>
          <w:color w:val="000000"/>
        </w:rPr>
      </w:pPr>
      <w:r>
        <w:rPr>
          <w:rFonts w:cs="Arial"/>
        </w:rPr>
        <w:t>The instrument varies the LIPD Class Licence to include new arrangements for all transmitters operating in the 122000-122250 MHz band and new arrangements for medical telemetry and telecommand transmitters operating in the 430</w:t>
      </w:r>
      <w:r>
        <w:rPr>
          <w:rFonts w:cs="Arial"/>
        </w:rPr>
        <w:noBreakHyphen/>
        <w:t xml:space="preserve">440 MHz and 2483.5-2500 MHz bands.  The instrument also removes the indoor restriction for digital communication transmitters in the 57000-66000 MHz band and updates references for medical implant communication transmitters operating in the 402-405 MHz band.   </w:t>
      </w:r>
    </w:p>
    <w:p w14:paraId="67341BA2" w14:textId="77777777" w:rsidR="00A916FA" w:rsidRDefault="00A916FA" w:rsidP="00A916FA">
      <w:pPr>
        <w:pStyle w:val="ListParagraph"/>
        <w:spacing w:before="80" w:after="120" w:line="280" w:lineRule="atLeast"/>
        <w:ind w:left="1"/>
        <w:rPr>
          <w:rFonts w:cs="Arial"/>
          <w:b/>
          <w:i/>
          <w:color w:val="000000"/>
        </w:rPr>
      </w:pPr>
    </w:p>
    <w:p w14:paraId="55151082" w14:textId="77777777" w:rsidR="00A916FA" w:rsidRDefault="00A916FA" w:rsidP="00A916FA">
      <w:pPr>
        <w:pStyle w:val="ListParagraph"/>
        <w:spacing w:before="80" w:after="120" w:line="280" w:lineRule="atLeast"/>
        <w:ind w:left="1"/>
        <w:rPr>
          <w:rFonts w:cs="Arial"/>
          <w:b/>
          <w:i/>
          <w:color w:val="000000"/>
        </w:rPr>
      </w:pPr>
      <w:r>
        <w:rPr>
          <w:rFonts w:cs="Arial"/>
          <w:b/>
          <w:i/>
          <w:color w:val="000000"/>
        </w:rPr>
        <w:t>Human rights implications</w:t>
      </w:r>
    </w:p>
    <w:p w14:paraId="24273254" w14:textId="77777777" w:rsidR="00A916FA" w:rsidRDefault="00A916FA" w:rsidP="00A916FA">
      <w:pPr>
        <w:pStyle w:val="ListParagraph"/>
        <w:spacing w:before="80" w:after="120" w:line="280" w:lineRule="atLeast"/>
        <w:ind w:left="1"/>
        <w:rPr>
          <w:rFonts w:cs="Arial"/>
          <w:b/>
          <w:i/>
          <w:color w:val="000000"/>
        </w:rPr>
      </w:pPr>
    </w:p>
    <w:p w14:paraId="0EC297F6" w14:textId="77777777" w:rsidR="00A916FA" w:rsidRDefault="00A916FA" w:rsidP="00A916FA">
      <w:pPr>
        <w:pStyle w:val="ListParagraph"/>
        <w:spacing w:before="80" w:after="120" w:line="280" w:lineRule="atLeast"/>
        <w:ind w:left="1"/>
        <w:rPr>
          <w:rFonts w:cs="Arial"/>
          <w:color w:val="000000"/>
        </w:rPr>
      </w:pPr>
      <w:r>
        <w:rPr>
          <w:rFonts w:cs="Arial"/>
          <w:color w:val="000000"/>
        </w:rPr>
        <w:lastRenderedPageBreak/>
        <w:t>The ACMA has assessed whether the instrument is compatible with human rights, being the rights and freedoms recognised or declared by the international instruments listed in subsection 3(1) of the</w:t>
      </w:r>
      <w:r>
        <w:rPr>
          <w:rFonts w:cs="Arial"/>
          <w:i/>
          <w:color w:val="000000"/>
        </w:rPr>
        <w:t xml:space="preserve"> Human Rights (Parliamentary Scrutiny) Act 2011 </w:t>
      </w:r>
      <w:r>
        <w:rPr>
          <w:rFonts w:cs="Arial"/>
          <w:color w:val="000000"/>
        </w:rPr>
        <w:t xml:space="preserve">as they apply to Australia. </w:t>
      </w:r>
    </w:p>
    <w:p w14:paraId="5A4C6ADE" w14:textId="77777777" w:rsidR="00A916FA" w:rsidRDefault="00A916FA" w:rsidP="00A916FA">
      <w:pPr>
        <w:pStyle w:val="ListParagraph"/>
        <w:spacing w:before="80" w:after="120" w:line="280" w:lineRule="atLeast"/>
        <w:ind w:left="1"/>
        <w:rPr>
          <w:rFonts w:cs="Arial"/>
          <w:color w:val="000000"/>
        </w:rPr>
      </w:pPr>
    </w:p>
    <w:p w14:paraId="40ACB0D2" w14:textId="77777777" w:rsidR="00A916FA" w:rsidRDefault="00A916FA" w:rsidP="00A916FA">
      <w:pPr>
        <w:pStyle w:val="ListParagraph"/>
        <w:spacing w:before="80" w:after="120" w:line="280" w:lineRule="atLeast"/>
        <w:ind w:left="1"/>
        <w:rPr>
          <w:rFonts w:cs="Arial"/>
          <w:color w:val="000000"/>
        </w:rPr>
      </w:pPr>
      <w:r>
        <w:rPr>
          <w:rFonts w:cs="Arial"/>
          <w:color w:val="000000"/>
        </w:rPr>
        <w:t xml:space="preserve">Having considered the likely impact of the instrument and the nature of the applicable rights and freedoms, the ACMA has formed the view that the instrument does not engage any of those rights or freedoms.  </w:t>
      </w:r>
    </w:p>
    <w:p w14:paraId="3C0850E4" w14:textId="77777777" w:rsidR="00A916FA" w:rsidRDefault="00A916FA" w:rsidP="00A916FA">
      <w:pPr>
        <w:pStyle w:val="ListParagraph"/>
        <w:spacing w:before="80" w:after="120" w:line="280" w:lineRule="atLeast"/>
        <w:ind w:left="1"/>
        <w:rPr>
          <w:rFonts w:cs="Arial"/>
          <w:b/>
          <w:i/>
          <w:color w:val="000000"/>
        </w:rPr>
      </w:pPr>
    </w:p>
    <w:p w14:paraId="2614042F" w14:textId="77777777" w:rsidR="00A916FA" w:rsidRDefault="00A916FA" w:rsidP="00A916FA">
      <w:pPr>
        <w:pStyle w:val="ListParagraph"/>
        <w:spacing w:before="80" w:after="120" w:line="280" w:lineRule="atLeast"/>
        <w:ind w:left="1"/>
        <w:rPr>
          <w:rFonts w:cs="Arial"/>
          <w:b/>
          <w:i/>
          <w:color w:val="000000"/>
        </w:rPr>
      </w:pPr>
      <w:r>
        <w:rPr>
          <w:rFonts w:cs="Arial"/>
          <w:b/>
          <w:i/>
          <w:color w:val="000000"/>
        </w:rPr>
        <w:t>Conclusion</w:t>
      </w:r>
    </w:p>
    <w:p w14:paraId="68F1523E" w14:textId="77777777" w:rsidR="00A916FA" w:rsidRDefault="00A916FA" w:rsidP="00A916FA">
      <w:pPr>
        <w:pStyle w:val="ListParagraph"/>
        <w:spacing w:before="80" w:after="120" w:line="280" w:lineRule="atLeast"/>
        <w:ind w:left="1"/>
        <w:rPr>
          <w:rFonts w:cs="Arial"/>
          <w:b/>
          <w:i/>
          <w:color w:val="000000"/>
        </w:rPr>
      </w:pPr>
    </w:p>
    <w:p w14:paraId="0CED0631" w14:textId="77777777" w:rsidR="00A916FA" w:rsidRDefault="00A916FA" w:rsidP="00A916FA">
      <w:pPr>
        <w:pStyle w:val="ListParagraph"/>
        <w:spacing w:before="80" w:after="120" w:line="280" w:lineRule="atLeast"/>
        <w:ind w:left="1"/>
        <w:rPr>
          <w:rFonts w:cs="Arial"/>
          <w:color w:val="000000"/>
        </w:rPr>
      </w:pPr>
      <w:r>
        <w:rPr>
          <w:rFonts w:cs="Arial"/>
          <w:color w:val="000000"/>
        </w:rPr>
        <w:t>The instrument is compatible with human rights as it does not raise any human rights issues.</w:t>
      </w:r>
    </w:p>
    <w:p w14:paraId="7C134E54" w14:textId="77777777" w:rsidR="00A916FA" w:rsidRDefault="00A916FA" w:rsidP="00A916FA">
      <w:pPr>
        <w:pStyle w:val="ListParagraph"/>
        <w:spacing w:before="80" w:after="120" w:line="280" w:lineRule="atLeast"/>
        <w:ind w:left="1"/>
        <w:rPr>
          <w:rFonts w:cs="Arial"/>
          <w:color w:val="000000"/>
        </w:rPr>
      </w:pPr>
    </w:p>
    <w:p w14:paraId="0BB0E621" w14:textId="77777777" w:rsidR="00A916FA" w:rsidRDefault="00A916FA" w:rsidP="00A916FA">
      <w:pPr>
        <w:pStyle w:val="ListParagraph"/>
        <w:spacing w:before="80" w:after="120" w:line="280" w:lineRule="atLeast"/>
        <w:ind w:left="1"/>
        <w:rPr>
          <w:rFonts w:cs="Arial"/>
          <w:color w:val="000000"/>
        </w:rPr>
      </w:pPr>
    </w:p>
    <w:p w14:paraId="1C792BF9" w14:textId="77777777" w:rsidR="00A916FA" w:rsidRDefault="00A916FA" w:rsidP="00A916FA">
      <w:pPr>
        <w:pStyle w:val="RGPara"/>
        <w:spacing w:after="120"/>
        <w:jc w:val="left"/>
        <w:rPr>
          <w:rFonts w:ascii="Arial" w:hAnsi="Arial" w:cs="Arial"/>
          <w:b/>
          <w:sz w:val="20"/>
        </w:rPr>
      </w:pPr>
      <w:r>
        <w:rPr>
          <w:rFonts w:ascii="Arial" w:hAnsi="Arial" w:cs="Arial"/>
          <w:b/>
        </w:rPr>
        <w:br w:type="page"/>
      </w:r>
    </w:p>
    <w:p w14:paraId="6F98BAD5" w14:textId="77777777" w:rsidR="00A916FA" w:rsidRDefault="00A916FA" w:rsidP="00A916FA">
      <w:pPr>
        <w:spacing w:before="120" w:after="120" w:line="260" w:lineRule="atLeast"/>
        <w:rPr>
          <w:rFonts w:ascii="Arial" w:hAnsi="Arial" w:cs="Arial"/>
          <w:b/>
          <w:sz w:val="20"/>
        </w:rPr>
      </w:pPr>
      <w:r>
        <w:rPr>
          <w:rFonts w:ascii="Arial" w:hAnsi="Arial" w:cs="Arial"/>
          <w:b/>
        </w:rPr>
        <w:lastRenderedPageBreak/>
        <w:t>ATTACHMENT A</w:t>
      </w:r>
    </w:p>
    <w:p w14:paraId="5144733E" w14:textId="77777777" w:rsidR="00A916FA" w:rsidRDefault="00A916FA" w:rsidP="00A916FA">
      <w:pPr>
        <w:pStyle w:val="Heading5"/>
        <w:spacing w:before="120" w:after="120" w:line="260" w:lineRule="atLeast"/>
        <w:rPr>
          <w:rFonts w:ascii="Arial" w:hAnsi="Arial" w:cs="Arial"/>
          <w:bCs w:val="0"/>
          <w:i w:val="0"/>
          <w:iCs w:val="0"/>
          <w:sz w:val="20"/>
          <w:szCs w:val="20"/>
        </w:rPr>
      </w:pPr>
      <w:r>
        <w:rPr>
          <w:rFonts w:ascii="Arial" w:hAnsi="Arial" w:cs="Arial"/>
          <w:i w:val="0"/>
          <w:sz w:val="20"/>
          <w:szCs w:val="20"/>
        </w:rPr>
        <w:t xml:space="preserve">Details of the </w:t>
      </w:r>
      <w:r>
        <w:rPr>
          <w:rFonts w:ascii="Arial" w:hAnsi="Arial" w:cs="Arial"/>
          <w:sz w:val="20"/>
          <w:szCs w:val="20"/>
        </w:rPr>
        <w:t>Radiocommunications (Low Interference Potential Devices) Class Licence Variation 2018 (No.1)</w:t>
      </w:r>
    </w:p>
    <w:p w14:paraId="4A05E0B9" w14:textId="77777777" w:rsidR="00A916FA" w:rsidRDefault="00A916FA" w:rsidP="00A916FA">
      <w:pPr>
        <w:spacing w:before="120" w:after="120" w:line="260" w:lineRule="atLeast"/>
        <w:rPr>
          <w:rFonts w:ascii="Arial" w:hAnsi="Arial" w:cs="Arial"/>
          <w:b/>
          <w:sz w:val="20"/>
          <w:szCs w:val="20"/>
        </w:rPr>
      </w:pPr>
      <w:r>
        <w:rPr>
          <w:rFonts w:ascii="Arial" w:hAnsi="Arial" w:cs="Arial"/>
          <w:b/>
        </w:rPr>
        <w:t>Section 1</w:t>
      </w:r>
      <w:r>
        <w:rPr>
          <w:rFonts w:ascii="Arial" w:hAnsi="Arial" w:cs="Arial"/>
        </w:rPr>
        <w:tab/>
      </w:r>
      <w:r>
        <w:rPr>
          <w:rFonts w:ascii="Arial" w:hAnsi="Arial" w:cs="Arial"/>
          <w:b/>
        </w:rPr>
        <w:t>Name of instrument</w:t>
      </w:r>
    </w:p>
    <w:p w14:paraId="5E8AF2D2" w14:textId="77777777" w:rsidR="00A916FA" w:rsidRDefault="00A916FA" w:rsidP="00A916FA">
      <w:pPr>
        <w:spacing w:before="120" w:after="120" w:line="260" w:lineRule="atLeast"/>
        <w:rPr>
          <w:rFonts w:ascii="Arial" w:hAnsi="Arial" w:cs="Arial"/>
        </w:rPr>
      </w:pPr>
      <w:r>
        <w:rPr>
          <w:rFonts w:ascii="Arial" w:hAnsi="Arial" w:cs="Arial"/>
        </w:rPr>
        <w:t xml:space="preserve">This section provides for the instrument to be cited as the </w:t>
      </w:r>
      <w:r>
        <w:rPr>
          <w:rFonts w:ascii="Arial" w:hAnsi="Arial" w:cs="Arial"/>
          <w:i/>
        </w:rPr>
        <w:t>Radiocommunications (Low Interference Potential Devices) Class Licence Variation 2018 (No.1)</w:t>
      </w:r>
      <w:r>
        <w:rPr>
          <w:rFonts w:ascii="Arial" w:hAnsi="Arial" w:cs="Arial"/>
        </w:rPr>
        <w:t xml:space="preserve"> (</w:t>
      </w:r>
      <w:r>
        <w:rPr>
          <w:rFonts w:ascii="Arial" w:hAnsi="Arial" w:cs="Arial"/>
          <w:b/>
        </w:rPr>
        <w:t>the</w:t>
      </w:r>
      <w:r>
        <w:rPr>
          <w:rFonts w:ascii="Arial" w:hAnsi="Arial" w:cs="Arial"/>
        </w:rPr>
        <w:t xml:space="preserve"> </w:t>
      </w:r>
      <w:r>
        <w:rPr>
          <w:rFonts w:ascii="Arial" w:hAnsi="Arial" w:cs="Arial"/>
          <w:b/>
        </w:rPr>
        <w:t>instrument</w:t>
      </w:r>
      <w:r>
        <w:rPr>
          <w:rFonts w:ascii="Arial" w:hAnsi="Arial" w:cs="Arial"/>
        </w:rPr>
        <w:t>).</w:t>
      </w:r>
    </w:p>
    <w:p w14:paraId="1392456C" w14:textId="77777777" w:rsidR="00A916FA" w:rsidRDefault="00A916FA" w:rsidP="00A916FA">
      <w:pPr>
        <w:spacing w:before="120" w:after="120" w:line="260" w:lineRule="atLeast"/>
        <w:rPr>
          <w:rFonts w:ascii="Arial" w:hAnsi="Arial" w:cs="Arial"/>
        </w:rPr>
      </w:pPr>
      <w:r>
        <w:rPr>
          <w:rFonts w:ascii="Arial" w:hAnsi="Arial" w:cs="Arial"/>
          <w:b/>
        </w:rPr>
        <w:t>Section 2</w:t>
      </w:r>
      <w:r>
        <w:rPr>
          <w:rFonts w:ascii="Arial" w:hAnsi="Arial" w:cs="Arial"/>
        </w:rPr>
        <w:tab/>
      </w:r>
      <w:r>
        <w:rPr>
          <w:rFonts w:ascii="Arial" w:hAnsi="Arial" w:cs="Arial"/>
          <w:b/>
        </w:rPr>
        <w:t>Commencement</w:t>
      </w:r>
    </w:p>
    <w:p w14:paraId="6D7DFF9F" w14:textId="77777777" w:rsidR="00A916FA" w:rsidRDefault="00A916FA" w:rsidP="00A916FA">
      <w:pPr>
        <w:spacing w:before="120" w:after="120" w:line="260" w:lineRule="atLeast"/>
        <w:rPr>
          <w:rFonts w:ascii="Arial" w:hAnsi="Arial" w:cs="Arial"/>
        </w:rPr>
      </w:pPr>
      <w:r>
        <w:rPr>
          <w:rFonts w:ascii="Arial" w:hAnsi="Arial" w:cs="Arial"/>
        </w:rPr>
        <w:t>This section provides that the instrument commences at the start of the day after it is registered on the Federal Register of Legislation.</w:t>
      </w:r>
    </w:p>
    <w:p w14:paraId="15C46A3B" w14:textId="77777777" w:rsidR="00A916FA" w:rsidRDefault="00A916FA" w:rsidP="00A916FA">
      <w:pPr>
        <w:spacing w:before="120" w:after="120" w:line="260" w:lineRule="atLeast"/>
        <w:ind w:left="1440" w:hanging="1440"/>
        <w:rPr>
          <w:rFonts w:ascii="Arial" w:hAnsi="Arial" w:cs="Arial"/>
          <w:b/>
        </w:rPr>
      </w:pPr>
      <w:r>
        <w:rPr>
          <w:rFonts w:ascii="Arial" w:hAnsi="Arial" w:cs="Arial"/>
          <w:b/>
        </w:rPr>
        <w:t>Section 3</w:t>
      </w:r>
      <w:r>
        <w:rPr>
          <w:rFonts w:ascii="Arial" w:hAnsi="Arial" w:cs="Arial"/>
          <w:b/>
        </w:rPr>
        <w:tab/>
        <w:t>Authority</w:t>
      </w:r>
    </w:p>
    <w:p w14:paraId="2B2C0977" w14:textId="77777777" w:rsidR="00A916FA" w:rsidRDefault="00A916FA" w:rsidP="00A916FA">
      <w:pPr>
        <w:spacing w:before="120" w:after="120" w:line="260" w:lineRule="atLeast"/>
        <w:rPr>
          <w:rFonts w:ascii="Arial" w:hAnsi="Arial" w:cs="Arial"/>
        </w:rPr>
      </w:pPr>
      <w:r>
        <w:rPr>
          <w:rFonts w:ascii="Arial" w:hAnsi="Arial" w:cs="Arial"/>
        </w:rPr>
        <w:t xml:space="preserve">This section identifies the provision that authorises the making of the instrument, namely section 132 of the </w:t>
      </w:r>
      <w:r>
        <w:rPr>
          <w:rFonts w:ascii="Arial" w:hAnsi="Arial" w:cs="Arial"/>
          <w:i/>
        </w:rPr>
        <w:t>Radiocommunications Act 1991</w:t>
      </w:r>
      <w:r>
        <w:rPr>
          <w:rFonts w:ascii="Arial" w:hAnsi="Arial" w:cs="Arial"/>
        </w:rPr>
        <w:t xml:space="preserve"> (</w:t>
      </w:r>
      <w:r>
        <w:rPr>
          <w:rFonts w:ascii="Arial" w:hAnsi="Arial" w:cs="Arial"/>
          <w:b/>
        </w:rPr>
        <w:t>the Act</w:t>
      </w:r>
      <w:r>
        <w:rPr>
          <w:rFonts w:ascii="Arial" w:hAnsi="Arial" w:cs="Arial"/>
        </w:rPr>
        <w:t xml:space="preserve">).  </w:t>
      </w:r>
    </w:p>
    <w:p w14:paraId="5373DE44" w14:textId="77777777" w:rsidR="00A916FA" w:rsidRDefault="00A916FA" w:rsidP="00A916FA">
      <w:pPr>
        <w:spacing w:before="120" w:after="120" w:line="260" w:lineRule="atLeast"/>
        <w:ind w:left="1440" w:hanging="1440"/>
        <w:rPr>
          <w:rFonts w:ascii="Arial" w:hAnsi="Arial" w:cs="Arial"/>
        </w:rPr>
      </w:pPr>
      <w:r>
        <w:rPr>
          <w:rFonts w:ascii="Arial" w:hAnsi="Arial" w:cs="Arial"/>
          <w:b/>
        </w:rPr>
        <w:t>Section 4</w:t>
      </w:r>
      <w:r>
        <w:rPr>
          <w:rFonts w:ascii="Arial" w:hAnsi="Arial" w:cs="Arial"/>
        </w:rPr>
        <w:tab/>
      </w:r>
      <w:r>
        <w:rPr>
          <w:rFonts w:ascii="Arial" w:hAnsi="Arial" w:cs="Arial"/>
          <w:b/>
        </w:rPr>
        <w:t xml:space="preserve">Variation of </w:t>
      </w:r>
      <w:r>
        <w:rPr>
          <w:rFonts w:ascii="Arial" w:hAnsi="Arial" w:cs="Arial"/>
          <w:b/>
          <w:i/>
        </w:rPr>
        <w:t>Radiocommunications (Low Interference Potential Devices) Class Licence 2015</w:t>
      </w:r>
    </w:p>
    <w:p w14:paraId="1F22ADD9" w14:textId="77777777" w:rsidR="00A916FA" w:rsidRDefault="00A916FA" w:rsidP="00A916FA">
      <w:pPr>
        <w:spacing w:before="120" w:after="120" w:line="260" w:lineRule="atLeast"/>
        <w:rPr>
          <w:rFonts w:ascii="Arial" w:hAnsi="Arial" w:cs="Arial"/>
          <w:i/>
        </w:rPr>
      </w:pPr>
      <w:r>
        <w:rPr>
          <w:rFonts w:ascii="Arial" w:hAnsi="Arial" w:cs="Arial"/>
        </w:rPr>
        <w:t xml:space="preserve">This section provides that the </w:t>
      </w:r>
      <w:r>
        <w:rPr>
          <w:rFonts w:ascii="Arial" w:hAnsi="Arial" w:cs="Arial"/>
          <w:i/>
        </w:rPr>
        <w:t xml:space="preserve">Radiocommunications (Low Interference Potential Devices) Class Licence 2015 </w:t>
      </w:r>
      <w:r>
        <w:rPr>
          <w:rFonts w:ascii="Arial" w:hAnsi="Arial" w:cs="Arial"/>
        </w:rPr>
        <w:t>(</w:t>
      </w:r>
      <w:r>
        <w:rPr>
          <w:rFonts w:ascii="Arial" w:hAnsi="Arial" w:cs="Arial"/>
          <w:b/>
        </w:rPr>
        <w:t>the LIPD Class Licence</w:t>
      </w:r>
      <w:r>
        <w:rPr>
          <w:rFonts w:ascii="Arial" w:hAnsi="Arial" w:cs="Arial"/>
        </w:rPr>
        <w:t>) is varied as set out in Schedule 1 to the instrument</w:t>
      </w:r>
      <w:r>
        <w:rPr>
          <w:rFonts w:ascii="Arial" w:hAnsi="Arial" w:cs="Arial"/>
          <w:i/>
        </w:rPr>
        <w:t>.</w:t>
      </w:r>
    </w:p>
    <w:p w14:paraId="10741AD4" w14:textId="77777777" w:rsidR="00A916FA" w:rsidRDefault="00A916FA" w:rsidP="00A916FA">
      <w:pPr>
        <w:spacing w:before="120" w:after="120" w:line="260" w:lineRule="atLeast"/>
        <w:rPr>
          <w:rFonts w:ascii="Arial" w:hAnsi="Arial" w:cs="Arial"/>
          <w:b/>
        </w:rPr>
      </w:pPr>
    </w:p>
    <w:p w14:paraId="5135E4F2" w14:textId="77777777" w:rsidR="00A916FA" w:rsidRDefault="00A916FA" w:rsidP="00A916FA">
      <w:pPr>
        <w:spacing w:before="120" w:after="120" w:line="260" w:lineRule="atLeast"/>
        <w:rPr>
          <w:rFonts w:ascii="Arial" w:hAnsi="Arial" w:cs="Arial"/>
          <w:b/>
        </w:rPr>
      </w:pPr>
      <w:r>
        <w:rPr>
          <w:rFonts w:ascii="Arial" w:hAnsi="Arial" w:cs="Arial"/>
          <w:b/>
        </w:rPr>
        <w:t>Schedule 1</w:t>
      </w:r>
      <w:r>
        <w:rPr>
          <w:rFonts w:ascii="Arial" w:hAnsi="Arial" w:cs="Arial"/>
          <w:b/>
        </w:rPr>
        <w:tab/>
        <w:t>Variations</w:t>
      </w:r>
    </w:p>
    <w:p w14:paraId="1B9CFF05" w14:textId="77777777" w:rsidR="00A916FA" w:rsidRDefault="00A916FA" w:rsidP="00A916FA">
      <w:pPr>
        <w:pStyle w:val="BodyText"/>
        <w:tabs>
          <w:tab w:val="left" w:pos="360"/>
        </w:tabs>
        <w:spacing w:before="120" w:line="260" w:lineRule="atLeast"/>
        <w:rPr>
          <w:rFonts w:ascii="Arial" w:hAnsi="Arial" w:cs="Arial"/>
          <w:b/>
          <w:sz w:val="20"/>
        </w:rPr>
      </w:pPr>
      <w:r>
        <w:rPr>
          <w:rFonts w:ascii="Arial" w:hAnsi="Arial" w:cs="Arial"/>
          <w:b/>
          <w:sz w:val="20"/>
        </w:rPr>
        <w:t>Item 1  Schedule 1, after item 23</w:t>
      </w:r>
    </w:p>
    <w:p w14:paraId="70F013E4" w14:textId="77777777" w:rsidR="00A916FA" w:rsidRDefault="00A916FA" w:rsidP="00A916FA">
      <w:pPr>
        <w:pStyle w:val="BodyText"/>
        <w:tabs>
          <w:tab w:val="left" w:pos="360"/>
        </w:tabs>
        <w:spacing w:before="120" w:line="260" w:lineRule="atLeast"/>
        <w:rPr>
          <w:rFonts w:ascii="Arial" w:hAnsi="Arial" w:cs="Arial"/>
          <w:sz w:val="20"/>
        </w:rPr>
      </w:pPr>
      <w:r>
        <w:rPr>
          <w:rFonts w:ascii="Arial" w:hAnsi="Arial" w:cs="Arial"/>
          <w:sz w:val="20"/>
        </w:rPr>
        <w:t>A new item is inserted in Schedule 1 to the LIPD Class Licence to authorise the use of transmitters within the 122000-122250 MHz frequency band. The maximum radiated power spectral density is limited by paragraphs (a) and (b) of Column 4.  In paragraph (a) the maximum radiated power spectral density has been limited to 10 dBm per 250 MHz, while in paragraph (b) the maximum radiated power spectral density has been limited to minus 48 dBm per MHz for elevations above 30 degrees.</w:t>
      </w:r>
    </w:p>
    <w:p w14:paraId="4538110E" w14:textId="77777777" w:rsidR="00A916FA" w:rsidRDefault="00A916FA" w:rsidP="00A916FA">
      <w:pPr>
        <w:pStyle w:val="BodyText"/>
        <w:tabs>
          <w:tab w:val="left" w:pos="360"/>
        </w:tabs>
        <w:spacing w:before="120" w:line="260" w:lineRule="atLeast"/>
        <w:rPr>
          <w:rFonts w:ascii="Arial" w:hAnsi="Arial" w:cs="Arial"/>
          <w:b/>
          <w:sz w:val="20"/>
        </w:rPr>
      </w:pPr>
      <w:r>
        <w:rPr>
          <w:rFonts w:ascii="Arial" w:hAnsi="Arial" w:cs="Arial"/>
          <w:b/>
          <w:sz w:val="20"/>
        </w:rPr>
        <w:t>Item 2  Schedule 1, item 33, Column 4 - Limitations</w:t>
      </w:r>
    </w:p>
    <w:p w14:paraId="12F3306A" w14:textId="77777777" w:rsidR="00A916FA" w:rsidRDefault="00A916FA" w:rsidP="00A916FA">
      <w:pPr>
        <w:pStyle w:val="BodyText"/>
        <w:tabs>
          <w:tab w:val="left" w:pos="360"/>
        </w:tabs>
        <w:spacing w:before="120" w:line="260" w:lineRule="atLeast"/>
        <w:rPr>
          <w:rFonts w:ascii="Arial" w:hAnsi="Arial" w:cs="Arial"/>
          <w:sz w:val="20"/>
        </w:rPr>
      </w:pPr>
      <w:r>
        <w:rPr>
          <w:rFonts w:ascii="Arial" w:hAnsi="Arial" w:cs="Arial"/>
          <w:sz w:val="20"/>
        </w:rPr>
        <w:t>This item removes an outdated reference to the United States Federal Communications Commission (</w:t>
      </w:r>
      <w:r>
        <w:rPr>
          <w:rFonts w:ascii="Arial" w:hAnsi="Arial" w:cs="Arial"/>
          <w:b/>
          <w:sz w:val="20"/>
        </w:rPr>
        <w:t>FCC</w:t>
      </w:r>
      <w:r>
        <w:rPr>
          <w:rFonts w:ascii="Arial" w:hAnsi="Arial" w:cs="Arial"/>
          <w:sz w:val="20"/>
        </w:rPr>
        <w:t>) Rules contained in the US Code of Federal Regulation (</w:t>
      </w:r>
      <w:r>
        <w:rPr>
          <w:rFonts w:ascii="Arial" w:hAnsi="Arial" w:cs="Arial"/>
          <w:b/>
          <w:sz w:val="20"/>
        </w:rPr>
        <w:t>CFR</w:t>
      </w:r>
      <w:r>
        <w:rPr>
          <w:rFonts w:ascii="Arial" w:hAnsi="Arial" w:cs="Arial"/>
          <w:sz w:val="20"/>
        </w:rPr>
        <w:t>) Rules Title 47 Part 95 Section 627 and 635, and inserts new text referring to the FCC Rules Title 47 Part 95 Sections 2573 and 2579.</w:t>
      </w:r>
    </w:p>
    <w:p w14:paraId="1694FC52" w14:textId="77777777" w:rsidR="00A916FA" w:rsidRDefault="00A916FA" w:rsidP="00A916FA">
      <w:pPr>
        <w:pStyle w:val="BodyText"/>
        <w:tabs>
          <w:tab w:val="left" w:pos="360"/>
        </w:tabs>
        <w:spacing w:before="120" w:line="260" w:lineRule="atLeast"/>
        <w:rPr>
          <w:rFonts w:ascii="Arial" w:hAnsi="Arial" w:cs="Arial"/>
          <w:b/>
          <w:sz w:val="20"/>
        </w:rPr>
      </w:pPr>
      <w:r>
        <w:rPr>
          <w:rFonts w:ascii="Arial" w:hAnsi="Arial" w:cs="Arial"/>
          <w:b/>
          <w:sz w:val="20"/>
        </w:rPr>
        <w:t>Item 3  Schedule 1, after item 34</w:t>
      </w:r>
    </w:p>
    <w:p w14:paraId="6CA096E6" w14:textId="77777777" w:rsidR="00A916FA" w:rsidRDefault="00A916FA" w:rsidP="00A916FA">
      <w:pPr>
        <w:pStyle w:val="BodyText"/>
        <w:tabs>
          <w:tab w:val="left" w:pos="360"/>
        </w:tabs>
        <w:spacing w:before="120" w:line="260" w:lineRule="atLeast"/>
        <w:rPr>
          <w:rFonts w:ascii="Arial" w:hAnsi="Arial" w:cs="Arial"/>
          <w:sz w:val="20"/>
        </w:rPr>
      </w:pPr>
      <w:r>
        <w:rPr>
          <w:rFonts w:ascii="Arial" w:hAnsi="Arial" w:cs="Arial"/>
          <w:sz w:val="20"/>
        </w:rPr>
        <w:t xml:space="preserve">A new item 34A is inserted in Schedule 1 to the LIPD Class Licence to authorise the use of medical endoscopy capsule transmitters in the 430-440 MHz band. These are used for performing medical observation of the human gastrointestinal tract by swallowing a capsule camera and receiving images by an external dedicated recorder receiver.  The maximum effective radiated power spectral density is limited by paragraphs (a) and (b) of Column 4.  In paragraph (a) the maximum effective radiated power spectral density has been limited to minus 50 dBm per 100 kHz, while in paragraph (b) the total effective radiated power has been </w:t>
      </w:r>
      <w:r>
        <w:rPr>
          <w:rFonts w:ascii="Arial" w:hAnsi="Arial" w:cs="Arial"/>
          <w:sz w:val="20"/>
        </w:rPr>
        <w:lastRenderedPageBreak/>
        <w:t xml:space="preserve">limited to 40 dBm per 10 MHz measurement bandwidth. Paragraph (c) in Column 4 requires that these limits are to be measured outside the patient’s body. </w:t>
      </w:r>
    </w:p>
    <w:p w14:paraId="67C9EFD6" w14:textId="77777777" w:rsidR="00A916FA" w:rsidRDefault="00A916FA" w:rsidP="00A916FA">
      <w:pPr>
        <w:pStyle w:val="BodyText"/>
        <w:tabs>
          <w:tab w:val="left" w:pos="360"/>
        </w:tabs>
        <w:spacing w:before="120" w:line="260" w:lineRule="atLeast"/>
        <w:rPr>
          <w:rFonts w:ascii="Arial" w:hAnsi="Arial" w:cs="Arial"/>
          <w:b/>
          <w:sz w:val="20"/>
        </w:rPr>
      </w:pPr>
      <w:r>
        <w:rPr>
          <w:rFonts w:ascii="Arial" w:hAnsi="Arial" w:cs="Arial"/>
          <w:b/>
          <w:sz w:val="20"/>
        </w:rPr>
        <w:t>Item 4  Schedule 1, after item 35</w:t>
      </w:r>
    </w:p>
    <w:p w14:paraId="4902CF5D" w14:textId="77777777" w:rsidR="00A916FA" w:rsidRDefault="00A916FA" w:rsidP="00A916FA">
      <w:pPr>
        <w:pStyle w:val="BodyText"/>
        <w:tabs>
          <w:tab w:val="left" w:pos="360"/>
        </w:tabs>
        <w:spacing w:before="120" w:line="260" w:lineRule="atLeast"/>
        <w:rPr>
          <w:rFonts w:ascii="Arial" w:hAnsi="Arial" w:cs="Arial"/>
          <w:sz w:val="20"/>
        </w:rPr>
      </w:pPr>
      <w:r>
        <w:rPr>
          <w:rFonts w:ascii="Arial" w:hAnsi="Arial" w:cs="Arial"/>
          <w:sz w:val="20"/>
        </w:rPr>
        <w:t>This item inserts two new items in Schedule 1 to the LIPD Class licence.</w:t>
      </w:r>
    </w:p>
    <w:p w14:paraId="0BDA0ED6" w14:textId="77777777" w:rsidR="00A916FA" w:rsidRDefault="00A916FA" w:rsidP="00A916FA">
      <w:pPr>
        <w:rPr>
          <w:rFonts w:ascii="Arial" w:hAnsi="Arial" w:cs="Arial"/>
          <w:sz w:val="20"/>
        </w:rPr>
      </w:pPr>
      <w:r>
        <w:rPr>
          <w:rFonts w:ascii="Arial" w:hAnsi="Arial" w:cs="Arial"/>
        </w:rPr>
        <w:t>Item 35A authorises the use of medical body area network (</w:t>
      </w:r>
      <w:r>
        <w:rPr>
          <w:rFonts w:ascii="Arial" w:hAnsi="Arial" w:cs="Arial"/>
          <w:b/>
        </w:rPr>
        <w:t>MBAN</w:t>
      </w:r>
      <w:r>
        <w:rPr>
          <w:rFonts w:ascii="Arial" w:hAnsi="Arial" w:cs="Arial"/>
        </w:rPr>
        <w:t>) transmitters in the 2483.5-2500 MHz band.  These are used for transmission of non-voice data to and from medical devices for the purposes of monitoring, diagnosing and treating patients by medical professionals.  They are designed to be deployed indoors within healthcare facilities and patients’ homes.  The use of these transmitters must align with the international standard from the European Telecommunications Standards Institute (</w:t>
      </w:r>
      <w:r>
        <w:rPr>
          <w:rFonts w:ascii="Arial" w:hAnsi="Arial" w:cs="Arial"/>
          <w:b/>
        </w:rPr>
        <w:t>ETSI</w:t>
      </w:r>
      <w:r>
        <w:rPr>
          <w:rFonts w:ascii="Arial" w:hAnsi="Arial" w:cs="Arial"/>
        </w:rPr>
        <w:t>) Standard EN 303 203.  This Standard lists two values for the EIRP and duty cycle levels (defined as the ratio, expressed as a percentage of the maximum transmitter "on" time monitored over one hour, relative to a one hour period), and the limits are:</w:t>
      </w:r>
    </w:p>
    <w:p w14:paraId="4777D85F" w14:textId="77777777" w:rsidR="00A916FA" w:rsidRDefault="00A916FA" w:rsidP="00A916FA">
      <w:pPr>
        <w:rPr>
          <w:rFonts w:ascii="Arial" w:hAnsi="Arial" w:cs="Arial"/>
        </w:rPr>
      </w:pPr>
    </w:p>
    <w:p w14:paraId="5BB489EE" w14:textId="77777777" w:rsidR="00A916FA" w:rsidRDefault="00A916FA" w:rsidP="00A916FA">
      <w:pPr>
        <w:pStyle w:val="ListParagraph"/>
        <w:numPr>
          <w:ilvl w:val="0"/>
          <w:numId w:val="10"/>
        </w:numPr>
        <w:rPr>
          <w:rFonts w:ascii="Arial" w:hAnsi="Arial" w:cs="Arial"/>
        </w:rPr>
      </w:pPr>
      <w:r>
        <w:rPr>
          <w:rFonts w:cs="Arial"/>
        </w:rPr>
        <w:t xml:space="preserve">for MBANs operating within a healthcare facility, the maximum EIRP is 1 mW with no more than </w:t>
      </w:r>
      <w:r>
        <w:rPr>
          <w:rFonts w:cs="Arial"/>
        </w:rPr>
        <w:br/>
        <w:t>10 % duty cycle over a maximum emission bandwidth of 3 MHz; and</w:t>
      </w:r>
    </w:p>
    <w:p w14:paraId="381C4C00" w14:textId="77777777" w:rsidR="00A916FA" w:rsidRDefault="00A916FA" w:rsidP="00A916FA">
      <w:pPr>
        <w:pStyle w:val="ListParagraph"/>
        <w:numPr>
          <w:ilvl w:val="0"/>
          <w:numId w:val="10"/>
        </w:numPr>
        <w:rPr>
          <w:rFonts w:cs="Arial"/>
        </w:rPr>
      </w:pPr>
      <w:r>
        <w:rPr>
          <w:rFonts w:cs="Arial"/>
        </w:rPr>
        <w:t>for MBANs operating within a patient’s home, the maximum EIRP is 10 mW with no more than 2 % duty cycle over a maximum emission bandwidth of 3 MHz.</w:t>
      </w:r>
    </w:p>
    <w:p w14:paraId="309C5BFD" w14:textId="77777777" w:rsidR="00A916FA" w:rsidRDefault="00A916FA" w:rsidP="00A916FA">
      <w:pPr>
        <w:rPr>
          <w:rFonts w:cs="Arial"/>
        </w:rPr>
      </w:pPr>
    </w:p>
    <w:p w14:paraId="7981D764" w14:textId="77777777" w:rsidR="00A916FA" w:rsidRDefault="00A916FA" w:rsidP="00A916FA">
      <w:pPr>
        <w:pStyle w:val="BodyText"/>
        <w:tabs>
          <w:tab w:val="left" w:pos="360"/>
        </w:tabs>
        <w:spacing w:before="120" w:line="260" w:lineRule="atLeast"/>
        <w:rPr>
          <w:rFonts w:ascii="Arial" w:hAnsi="Arial" w:cs="Arial"/>
          <w:sz w:val="20"/>
        </w:rPr>
      </w:pPr>
      <w:r>
        <w:rPr>
          <w:rFonts w:ascii="Arial" w:hAnsi="Arial" w:cs="Arial"/>
          <w:sz w:val="20"/>
        </w:rPr>
        <w:t xml:space="preserve">Item 35B authorises the use of low power active medical implants in the 2483.5-2500 MHz band.  Active medical implant communication systems are intended to provide high-speed communication capability between individuals with implants, and medical practitioners, for the purpose of diagnosing and delivering therapy to individuals with various illnesses.  The use of these transmitters must conform to the international standard from ETSI Standard EN 301 559.  The maximum EIRP for these devices is limited by a compliance requirement with the ETSI Standard EN 301 559 which is specified in Column 4. The Standard limits the maximum EIRP to 10 mW and duty cycle to 10% in a period of one hour.  </w:t>
      </w:r>
    </w:p>
    <w:p w14:paraId="05311968" w14:textId="77777777" w:rsidR="00A916FA" w:rsidRDefault="00A916FA" w:rsidP="00A916FA">
      <w:pPr>
        <w:pStyle w:val="BodyText"/>
        <w:keepNext/>
        <w:keepLines/>
        <w:tabs>
          <w:tab w:val="left" w:pos="360"/>
        </w:tabs>
        <w:spacing w:before="120" w:line="260" w:lineRule="atLeast"/>
        <w:rPr>
          <w:rFonts w:ascii="Arial" w:hAnsi="Arial" w:cs="Arial"/>
          <w:b/>
          <w:sz w:val="20"/>
        </w:rPr>
      </w:pPr>
      <w:r>
        <w:rPr>
          <w:rFonts w:ascii="Arial" w:hAnsi="Arial" w:cs="Arial"/>
          <w:b/>
          <w:sz w:val="20"/>
        </w:rPr>
        <w:t>Item 5  Schedule 1, item 65, Column 1</w:t>
      </w:r>
    </w:p>
    <w:p w14:paraId="47A86AD8" w14:textId="77777777" w:rsidR="00A916FA" w:rsidRDefault="00A916FA" w:rsidP="00A916FA">
      <w:pPr>
        <w:pStyle w:val="BodyText"/>
        <w:keepNext/>
        <w:keepLines/>
        <w:tabs>
          <w:tab w:val="left" w:pos="360"/>
        </w:tabs>
        <w:spacing w:before="120" w:line="260" w:lineRule="atLeast"/>
        <w:rPr>
          <w:rFonts w:ascii="Arial" w:hAnsi="Arial" w:cs="Arial"/>
          <w:b/>
          <w:sz w:val="20"/>
        </w:rPr>
      </w:pPr>
      <w:r>
        <w:rPr>
          <w:rFonts w:ascii="Arial" w:hAnsi="Arial" w:cs="Arial"/>
          <w:b/>
          <w:sz w:val="20"/>
        </w:rPr>
        <w:t>Item 6  Schedule 1, item 65, Column 4 - Limitations</w:t>
      </w:r>
    </w:p>
    <w:p w14:paraId="2317C5EC" w14:textId="77777777" w:rsidR="00A916FA" w:rsidRDefault="00A916FA" w:rsidP="00A916FA">
      <w:pPr>
        <w:pStyle w:val="BodyText"/>
        <w:tabs>
          <w:tab w:val="left" w:pos="360"/>
        </w:tabs>
        <w:spacing w:before="120" w:line="260" w:lineRule="atLeast"/>
        <w:rPr>
          <w:rFonts w:ascii="Arial" w:hAnsi="Arial" w:cs="Arial"/>
          <w:sz w:val="20"/>
        </w:rPr>
      </w:pPr>
      <w:r>
        <w:rPr>
          <w:rFonts w:ascii="Arial" w:hAnsi="Arial" w:cs="Arial"/>
          <w:sz w:val="20"/>
        </w:rPr>
        <w:t xml:space="preserve">These two items effectively remove the indoor restriction from item 65. This item authorises the operation of digital communication transmitters in the 57000-66000 MHz frequency band.  This limitation was originally put in place to encourage the development of multi-gigabit millimetre-wave wireless radio local area networks, operating mostly indoors, in the 57000-66000 MHz band. However, international technological development is currently focused on other compatible services in this band, supporting outdoor wireless point-to-point and point-to-multipoint links, providing broadband connection to customers.. </w:t>
      </w:r>
    </w:p>
    <w:p w14:paraId="6210C653" w14:textId="77777777" w:rsidR="00A916FA" w:rsidRDefault="00A916FA" w:rsidP="00A916FA">
      <w:pPr>
        <w:pStyle w:val="BodyText"/>
        <w:tabs>
          <w:tab w:val="left" w:pos="360"/>
        </w:tabs>
        <w:spacing w:before="120" w:line="260" w:lineRule="atLeast"/>
        <w:rPr>
          <w:rFonts w:ascii="Arial" w:hAnsi="Arial" w:cs="Arial"/>
          <w:sz w:val="20"/>
        </w:rPr>
      </w:pPr>
      <w:r>
        <w:rPr>
          <w:rFonts w:ascii="Arial" w:hAnsi="Arial" w:cs="Arial"/>
          <w:sz w:val="20"/>
        </w:rPr>
        <w:t xml:space="preserve">These items also remove the other limitations on this class of radiocommunications transmitter, and insert a new limitation that requires that these transmitters must conform to the FCC Rules contained in the United States CFR Title 47 Part 15 Section 255 – </w:t>
      </w:r>
      <w:r>
        <w:rPr>
          <w:rFonts w:ascii="Arial" w:hAnsi="Arial" w:cs="Arial"/>
          <w:i/>
          <w:sz w:val="20"/>
        </w:rPr>
        <w:t>Operation within the band 57-71 GHz</w:t>
      </w:r>
      <w:r>
        <w:rPr>
          <w:rFonts w:ascii="Arial" w:hAnsi="Arial" w:cs="Arial"/>
          <w:sz w:val="20"/>
        </w:rPr>
        <w:t xml:space="preserve">.  </w:t>
      </w:r>
    </w:p>
    <w:p w14:paraId="389544F4" w14:textId="77777777" w:rsidR="00A916FA" w:rsidRDefault="00A916FA" w:rsidP="00A916FA">
      <w:pPr>
        <w:pStyle w:val="BodyText"/>
        <w:keepNext/>
        <w:keepLines/>
        <w:tabs>
          <w:tab w:val="left" w:pos="360"/>
        </w:tabs>
        <w:spacing w:before="120" w:line="260" w:lineRule="atLeast"/>
        <w:rPr>
          <w:rFonts w:ascii="Arial" w:hAnsi="Arial" w:cs="Arial"/>
          <w:b/>
          <w:sz w:val="20"/>
        </w:rPr>
      </w:pPr>
      <w:r>
        <w:rPr>
          <w:rFonts w:ascii="Arial" w:hAnsi="Arial" w:cs="Arial"/>
          <w:b/>
          <w:sz w:val="20"/>
        </w:rPr>
        <w:lastRenderedPageBreak/>
        <w:t xml:space="preserve">Item 7  Schedule 1, </w:t>
      </w:r>
      <w:r>
        <w:rPr>
          <w:rFonts w:ascii="Arial" w:hAnsi="Arial" w:cs="Arial"/>
          <w:b/>
          <w:i/>
          <w:sz w:val="20"/>
        </w:rPr>
        <w:t>Note 2</w:t>
      </w:r>
    </w:p>
    <w:p w14:paraId="51832692" w14:textId="77777777" w:rsidR="00A916FA" w:rsidRDefault="00A916FA" w:rsidP="00A916FA">
      <w:pPr>
        <w:pStyle w:val="BodyText"/>
        <w:tabs>
          <w:tab w:val="left" w:pos="360"/>
        </w:tabs>
        <w:spacing w:before="120" w:line="260" w:lineRule="atLeast"/>
        <w:rPr>
          <w:rFonts w:ascii="Arial" w:hAnsi="Arial" w:cs="Arial"/>
          <w:sz w:val="20"/>
        </w:rPr>
      </w:pPr>
      <w:r>
        <w:rPr>
          <w:rFonts w:ascii="Arial" w:hAnsi="Arial" w:cs="Arial"/>
          <w:sz w:val="20"/>
        </w:rPr>
        <w:t>This item removes replaces Note 2 to Schedule 1, the new text of which refers to items 33, 34, 34A, 35A and 35B.  The Note recognises that, at the time the instrument was made, the items listed require marketing approval from the Therapeutic Goods Administration.</w:t>
      </w:r>
    </w:p>
    <w:p w14:paraId="2F6B9864" w14:textId="77777777" w:rsidR="00A916FA" w:rsidRDefault="00A916FA" w:rsidP="00A916FA">
      <w:pPr>
        <w:pStyle w:val="BodyText"/>
        <w:keepNext/>
        <w:keepLines/>
        <w:tabs>
          <w:tab w:val="left" w:pos="360"/>
        </w:tabs>
        <w:spacing w:before="120" w:line="260" w:lineRule="atLeast"/>
        <w:rPr>
          <w:rFonts w:ascii="Arial" w:hAnsi="Arial" w:cs="Arial"/>
          <w:b/>
          <w:sz w:val="20"/>
        </w:rPr>
      </w:pPr>
      <w:r>
        <w:rPr>
          <w:rFonts w:ascii="Arial" w:hAnsi="Arial" w:cs="Arial"/>
          <w:b/>
          <w:sz w:val="20"/>
        </w:rPr>
        <w:t xml:space="preserve">Item 8  Schedule 1, immediately following </w:t>
      </w:r>
      <w:r>
        <w:rPr>
          <w:rFonts w:ascii="Arial" w:hAnsi="Arial" w:cs="Arial"/>
          <w:b/>
          <w:i/>
          <w:sz w:val="20"/>
        </w:rPr>
        <w:t>Note 2</w:t>
      </w:r>
    </w:p>
    <w:p w14:paraId="4DC1F6A4" w14:textId="77777777" w:rsidR="00A916FA" w:rsidRDefault="00A916FA" w:rsidP="00A916FA">
      <w:pPr>
        <w:pStyle w:val="BodyText"/>
        <w:tabs>
          <w:tab w:val="left" w:pos="360"/>
        </w:tabs>
        <w:spacing w:before="120" w:line="260" w:lineRule="atLeast"/>
        <w:rPr>
          <w:rFonts w:ascii="Arial" w:hAnsi="Arial" w:cs="Arial"/>
          <w:sz w:val="20"/>
        </w:rPr>
      </w:pPr>
      <w:r>
        <w:rPr>
          <w:rFonts w:ascii="Arial" w:hAnsi="Arial" w:cs="Arial"/>
          <w:sz w:val="20"/>
        </w:rPr>
        <w:t xml:space="preserve">This item inserts Note 3 into Schedule 1. The note states that a transmitter that complies with ETSI Standard EN 303 520 will meet the requirement not to exceed the Limitations (Column 4) specified at item 34A. </w:t>
      </w:r>
    </w:p>
    <w:p w14:paraId="251FC1E7" w14:textId="77777777" w:rsidR="00A916FA" w:rsidRDefault="00A916FA" w:rsidP="00A916FA">
      <w:pPr>
        <w:pStyle w:val="BodyText"/>
        <w:keepNext/>
        <w:keepLines/>
        <w:tabs>
          <w:tab w:val="left" w:pos="360"/>
        </w:tabs>
        <w:spacing w:before="120" w:line="260" w:lineRule="atLeast"/>
        <w:rPr>
          <w:rFonts w:ascii="Arial" w:hAnsi="Arial" w:cs="Arial"/>
          <w:b/>
          <w:sz w:val="20"/>
        </w:rPr>
      </w:pPr>
      <w:r>
        <w:rPr>
          <w:rFonts w:ascii="Arial" w:hAnsi="Arial" w:cs="Arial"/>
          <w:b/>
          <w:sz w:val="20"/>
        </w:rPr>
        <w:t>Item 9  Schedule 2, after item 5</w:t>
      </w:r>
    </w:p>
    <w:p w14:paraId="4E5E89F7" w14:textId="77777777" w:rsidR="00A916FA" w:rsidRDefault="00A916FA" w:rsidP="00A916FA">
      <w:pPr>
        <w:pStyle w:val="BodyText"/>
        <w:keepNext/>
        <w:keepLines/>
        <w:tabs>
          <w:tab w:val="left" w:pos="360"/>
        </w:tabs>
        <w:spacing w:before="120" w:line="260" w:lineRule="atLeast"/>
        <w:rPr>
          <w:rFonts w:ascii="Arial" w:hAnsi="Arial" w:cs="Arial"/>
          <w:sz w:val="20"/>
        </w:rPr>
      </w:pPr>
      <w:r>
        <w:rPr>
          <w:rFonts w:ascii="Arial" w:hAnsi="Arial" w:cs="Arial"/>
          <w:sz w:val="20"/>
        </w:rPr>
        <w:t>This item inserts two new items in the table titled “Instruments that apply to a transmitter” in Schedule 2 to the LIPD Class Licence, in relation to Medical Body Area Network Systems and Low Power Active Medical Implants transmitters.</w:t>
      </w:r>
    </w:p>
    <w:p w14:paraId="1BDFBAC6" w14:textId="77777777" w:rsidR="00A916FA" w:rsidRDefault="00A916FA" w:rsidP="00A916FA">
      <w:pPr>
        <w:pStyle w:val="BodyText"/>
        <w:keepNext/>
        <w:keepLines/>
        <w:tabs>
          <w:tab w:val="left" w:pos="360"/>
        </w:tabs>
        <w:spacing w:before="120" w:line="260" w:lineRule="atLeast"/>
        <w:rPr>
          <w:rFonts w:ascii="Arial" w:hAnsi="Arial" w:cs="Arial"/>
          <w:i/>
          <w:sz w:val="20"/>
        </w:rPr>
      </w:pPr>
      <w:r>
        <w:rPr>
          <w:rFonts w:ascii="Arial" w:hAnsi="Arial" w:cs="Arial"/>
          <w:sz w:val="20"/>
        </w:rPr>
        <w:t xml:space="preserve">The first new entry lists the ETSI Standard EN 303 203: </w:t>
      </w:r>
      <w:r>
        <w:rPr>
          <w:rFonts w:ascii="Arial" w:hAnsi="Arial" w:cs="Arial"/>
          <w:i/>
          <w:sz w:val="20"/>
        </w:rPr>
        <w:t>Electromagnetic compatibility and Radio spectrum Matters (ERM); Short Range Devices (SRD); Medical Body Area Network Systems (MBANSs) operating in the 2483.5 MHz to 2500 MHz range</w:t>
      </w:r>
      <w:r>
        <w:rPr>
          <w:rFonts w:ascii="Arial" w:hAnsi="Arial" w:cs="Arial"/>
          <w:sz w:val="20"/>
        </w:rPr>
        <w:t>.</w:t>
      </w:r>
    </w:p>
    <w:p w14:paraId="710D02F0" w14:textId="77777777" w:rsidR="00A916FA" w:rsidRDefault="00A916FA" w:rsidP="00A916FA">
      <w:pPr>
        <w:pStyle w:val="BodyText"/>
        <w:keepLines/>
        <w:tabs>
          <w:tab w:val="left" w:pos="360"/>
        </w:tabs>
        <w:spacing w:before="120" w:line="260" w:lineRule="atLeast"/>
        <w:rPr>
          <w:rFonts w:ascii="Arial" w:hAnsi="Arial" w:cs="Arial"/>
          <w:i/>
          <w:sz w:val="20"/>
        </w:rPr>
      </w:pPr>
      <w:r>
        <w:rPr>
          <w:rFonts w:ascii="Arial" w:hAnsi="Arial" w:cs="Arial"/>
          <w:sz w:val="20"/>
        </w:rPr>
        <w:t xml:space="preserve">The second new entry lists the ETSI Standard EN 301 559: </w:t>
      </w:r>
      <w:r>
        <w:rPr>
          <w:rFonts w:ascii="Arial" w:hAnsi="Arial" w:cs="Arial"/>
          <w:i/>
          <w:sz w:val="20"/>
        </w:rPr>
        <w:t>Electromagnetic compatibility and Radio spectrum Matters (ERM); Short Range Devices (SRD); Low Power Active Medical Implants (LP-AMI) operating in the 2483.5 MHz to 2500 MHz range.</w:t>
      </w:r>
    </w:p>
    <w:p w14:paraId="1B369632" w14:textId="77777777" w:rsidR="00A916FA" w:rsidRDefault="00A916FA" w:rsidP="00A916FA">
      <w:pPr>
        <w:pStyle w:val="BodyText"/>
        <w:keepNext/>
        <w:tabs>
          <w:tab w:val="left" w:pos="360"/>
        </w:tabs>
        <w:spacing w:before="120" w:line="260" w:lineRule="atLeast"/>
        <w:rPr>
          <w:rFonts w:ascii="Arial" w:hAnsi="Arial" w:cs="Arial"/>
          <w:b/>
          <w:sz w:val="20"/>
        </w:rPr>
      </w:pPr>
      <w:r>
        <w:rPr>
          <w:rFonts w:ascii="Arial" w:hAnsi="Arial" w:cs="Arial"/>
          <w:b/>
          <w:sz w:val="20"/>
        </w:rPr>
        <w:t>Item 10  Schedule 2, item 16</w:t>
      </w:r>
    </w:p>
    <w:p w14:paraId="182CA9F3" w14:textId="77777777" w:rsidR="00A916FA" w:rsidRDefault="00A916FA" w:rsidP="00A916FA">
      <w:pPr>
        <w:pStyle w:val="BodyText"/>
        <w:tabs>
          <w:tab w:val="left" w:pos="360"/>
        </w:tabs>
        <w:spacing w:before="120" w:line="260" w:lineRule="atLeast"/>
        <w:rPr>
          <w:rFonts w:ascii="Arial" w:hAnsi="Arial" w:cs="Arial"/>
          <w:sz w:val="20"/>
        </w:rPr>
      </w:pPr>
      <w:r>
        <w:rPr>
          <w:rFonts w:ascii="Arial" w:hAnsi="Arial" w:cs="Arial"/>
          <w:sz w:val="20"/>
        </w:rPr>
        <w:t xml:space="preserve">This item replaces an outdated reference in the table titled “Instruments that apply to a transmitter” in Schedule 2 to the LIPD Class Licence.  The FCC Rules contained in the United States CFR Title 47 Part 95 Section 2573 – </w:t>
      </w:r>
      <w:r>
        <w:rPr>
          <w:rFonts w:ascii="Arial" w:hAnsi="Arial" w:cs="Arial"/>
          <w:i/>
          <w:sz w:val="20"/>
        </w:rPr>
        <w:t>MedRadio authorised bandwidths</w:t>
      </w:r>
      <w:r>
        <w:rPr>
          <w:rFonts w:ascii="Arial" w:hAnsi="Arial" w:cs="Arial"/>
          <w:sz w:val="20"/>
        </w:rPr>
        <w:t xml:space="preserve"> apply to medical implant communication system transmitters.  </w:t>
      </w:r>
    </w:p>
    <w:p w14:paraId="04808215" w14:textId="77777777" w:rsidR="00A916FA" w:rsidRDefault="00A916FA" w:rsidP="00A916FA">
      <w:pPr>
        <w:pStyle w:val="BodyText"/>
        <w:tabs>
          <w:tab w:val="left" w:pos="360"/>
        </w:tabs>
        <w:spacing w:before="120" w:line="260" w:lineRule="atLeast"/>
        <w:rPr>
          <w:rFonts w:ascii="Arial" w:hAnsi="Arial" w:cs="Arial"/>
          <w:b/>
          <w:sz w:val="20"/>
        </w:rPr>
      </w:pPr>
      <w:r>
        <w:rPr>
          <w:rFonts w:ascii="Arial" w:hAnsi="Arial" w:cs="Arial"/>
          <w:b/>
          <w:sz w:val="20"/>
        </w:rPr>
        <w:t>Item 11  Schedule 2, item 17</w:t>
      </w:r>
    </w:p>
    <w:p w14:paraId="510B18F3" w14:textId="77777777" w:rsidR="00A916FA" w:rsidRDefault="00A916FA" w:rsidP="00A916FA">
      <w:pPr>
        <w:pStyle w:val="BodyText"/>
        <w:tabs>
          <w:tab w:val="left" w:pos="360"/>
        </w:tabs>
        <w:spacing w:before="120" w:line="260" w:lineRule="atLeast"/>
        <w:rPr>
          <w:rFonts w:ascii="Arial" w:hAnsi="Arial" w:cs="Arial"/>
          <w:sz w:val="20"/>
        </w:rPr>
      </w:pPr>
      <w:r>
        <w:rPr>
          <w:rFonts w:ascii="Arial" w:hAnsi="Arial" w:cs="Arial"/>
          <w:sz w:val="20"/>
        </w:rPr>
        <w:t xml:space="preserve">This item replaces an outdated reference in the table titled “Instruments that apply to a transmitter” in Schedule 2 to the LIPD Class Licence. The FCC Rules contained in the United States CFR Title 47 Part 95 Section 2579 – </w:t>
      </w:r>
      <w:r>
        <w:rPr>
          <w:rFonts w:ascii="Arial" w:hAnsi="Arial" w:cs="Arial"/>
          <w:i/>
          <w:sz w:val="20"/>
        </w:rPr>
        <w:t xml:space="preserve">MedRadio unwanted emission limits </w:t>
      </w:r>
      <w:r>
        <w:rPr>
          <w:rFonts w:ascii="Arial" w:hAnsi="Arial" w:cs="Arial"/>
          <w:sz w:val="20"/>
        </w:rPr>
        <w:t>apply to medical implant communication system transmitters.</w:t>
      </w:r>
    </w:p>
    <w:p w14:paraId="31C8FA65" w14:textId="77777777" w:rsidR="00A916FA" w:rsidRDefault="00A916FA" w:rsidP="00A916FA">
      <w:pPr>
        <w:pStyle w:val="BodyText"/>
        <w:tabs>
          <w:tab w:val="left" w:pos="360"/>
        </w:tabs>
        <w:spacing w:before="120" w:line="260" w:lineRule="atLeast"/>
        <w:rPr>
          <w:rFonts w:ascii="Arial" w:hAnsi="Arial" w:cs="Arial"/>
          <w:b/>
          <w:sz w:val="20"/>
        </w:rPr>
      </w:pPr>
      <w:r>
        <w:rPr>
          <w:rFonts w:ascii="Arial" w:hAnsi="Arial" w:cs="Arial"/>
          <w:b/>
          <w:sz w:val="20"/>
        </w:rPr>
        <w:t>Item 12  Schedule 2, immediately after item 17</w:t>
      </w:r>
    </w:p>
    <w:p w14:paraId="063ABF8C" w14:textId="77777777" w:rsidR="00A916FA" w:rsidRDefault="00A916FA" w:rsidP="00A916FA">
      <w:pPr>
        <w:pStyle w:val="BodyText"/>
        <w:tabs>
          <w:tab w:val="left" w:pos="360"/>
        </w:tabs>
        <w:spacing w:before="120" w:line="260" w:lineRule="atLeast"/>
        <w:rPr>
          <w:rFonts w:ascii="Arial" w:hAnsi="Arial" w:cs="Arial"/>
          <w:sz w:val="20"/>
        </w:rPr>
      </w:pPr>
      <w:r>
        <w:rPr>
          <w:rFonts w:ascii="Arial" w:hAnsi="Arial" w:cs="Arial"/>
          <w:sz w:val="20"/>
        </w:rPr>
        <w:t xml:space="preserve">This item inserts a new item in the table titled “Instruments that apply to a transmitter” in Schedule 2 to the LIPD Class Licence. The FCC Rules contained in the United States CFR Title 47 Part 15 Section 255 – </w:t>
      </w:r>
      <w:r>
        <w:rPr>
          <w:rFonts w:ascii="Arial" w:hAnsi="Arial" w:cs="Arial"/>
          <w:i/>
          <w:sz w:val="20"/>
        </w:rPr>
        <w:t>Operation within the band 57-71 GHz</w:t>
      </w:r>
      <w:r>
        <w:rPr>
          <w:rFonts w:ascii="Arial" w:hAnsi="Arial" w:cs="Arial"/>
          <w:sz w:val="20"/>
        </w:rPr>
        <w:t xml:space="preserve"> apply to data communication transmitters.  </w:t>
      </w:r>
    </w:p>
    <w:p w14:paraId="16D322F2" w14:textId="77777777" w:rsidR="00A916FA" w:rsidRDefault="00A916FA" w:rsidP="00A916FA">
      <w:pPr>
        <w:spacing w:before="120" w:after="120" w:line="260" w:lineRule="atLeast"/>
        <w:rPr>
          <w:rFonts w:ascii="Arial" w:hAnsi="Arial" w:cs="Arial"/>
          <w:sz w:val="20"/>
        </w:rPr>
      </w:pPr>
    </w:p>
    <w:p w14:paraId="418A9F99" w14:textId="77777777" w:rsidR="00AF7A53" w:rsidRDefault="00AF7A53" w:rsidP="002F7739">
      <w:pPr>
        <w:pStyle w:val="NoteEnd"/>
        <w:ind w:left="0" w:firstLine="0"/>
      </w:pPr>
    </w:p>
    <w:sectPr w:rsidR="00AF7A53" w:rsidSect="00842B4F">
      <w:headerReference w:type="even" r:id="rId24"/>
      <w:headerReference w:type="default" r:id="rId25"/>
      <w:footerReference w:type="even" r:id="rId26"/>
      <w:footerReference w:type="default" r:id="rId27"/>
      <w:footerReference w:type="first" r:id="rId28"/>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309CC" w14:textId="77777777" w:rsidR="00370571" w:rsidRDefault="00370571" w:rsidP="00BC328F">
      <w:r>
        <w:separator/>
      </w:r>
    </w:p>
  </w:endnote>
  <w:endnote w:type="continuationSeparator" w:id="0">
    <w:p w14:paraId="65FC99C9" w14:textId="77777777" w:rsidR="00370571" w:rsidRDefault="00370571" w:rsidP="00BC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6346" w14:textId="77777777" w:rsidR="00ED49CB" w:rsidRDefault="00ED49CB">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D49CB" w14:paraId="54A00480" w14:textId="77777777">
      <w:tc>
        <w:tcPr>
          <w:tcW w:w="1134" w:type="dxa"/>
        </w:tcPr>
        <w:p w14:paraId="055B6DF8" w14:textId="77777777" w:rsidR="00ED49CB" w:rsidRPr="003839ED" w:rsidRDefault="007E4D51" w:rsidP="00842B4F">
          <w:pPr>
            <w:spacing w:line="240" w:lineRule="exact"/>
            <w:rPr>
              <w:rFonts w:ascii="Arial" w:hAnsi="Arial" w:cs="Arial"/>
            </w:rPr>
          </w:pPr>
          <w:r w:rsidRPr="003839ED">
            <w:rPr>
              <w:rStyle w:val="PageNumber"/>
              <w:rFonts w:cs="Arial"/>
            </w:rPr>
            <w:fldChar w:fldCharType="begin"/>
          </w:r>
          <w:r w:rsidR="00ED49CB" w:rsidRPr="003839ED">
            <w:rPr>
              <w:rStyle w:val="PageNumber"/>
              <w:rFonts w:cs="Arial"/>
            </w:rPr>
            <w:instrText xml:space="preserve">PAGE  </w:instrText>
          </w:r>
          <w:r w:rsidRPr="003839ED">
            <w:rPr>
              <w:rStyle w:val="PageNumber"/>
              <w:rFonts w:cs="Arial"/>
            </w:rPr>
            <w:fldChar w:fldCharType="separate"/>
          </w:r>
          <w:r w:rsidR="00ED49CB">
            <w:rPr>
              <w:rStyle w:val="PageNumber"/>
              <w:rFonts w:cs="Arial"/>
              <w:noProof/>
            </w:rPr>
            <w:t>3</w:t>
          </w:r>
          <w:r w:rsidRPr="003839ED">
            <w:rPr>
              <w:rStyle w:val="PageNumber"/>
              <w:rFonts w:cs="Arial"/>
            </w:rPr>
            <w:fldChar w:fldCharType="end"/>
          </w:r>
        </w:p>
      </w:tc>
      <w:tc>
        <w:tcPr>
          <w:tcW w:w="6095" w:type="dxa"/>
        </w:tcPr>
        <w:p w14:paraId="1F966830" w14:textId="77777777" w:rsidR="00ED49CB" w:rsidRPr="004F5D6D" w:rsidRDefault="00C16EB8" w:rsidP="00842B4F">
          <w:pPr>
            <w:pStyle w:val="Footer"/>
            <w:spacing w:before="20" w:line="240" w:lineRule="exact"/>
          </w:pPr>
          <w:fldSimple w:instr=" REF  Citation\*charformat ">
            <w:r w:rsidR="000F6104">
              <w:t>Radiocommunications (Low Interference Potential Devices) Class Licence Variation 2018 (No. 1)</w:t>
            </w:r>
          </w:fldSimple>
        </w:p>
      </w:tc>
      <w:tc>
        <w:tcPr>
          <w:tcW w:w="1134" w:type="dxa"/>
        </w:tcPr>
        <w:p w14:paraId="6827A98A" w14:textId="77777777" w:rsidR="00ED49CB" w:rsidRPr="00451BF5" w:rsidRDefault="00ED49CB" w:rsidP="00842B4F">
          <w:pPr>
            <w:spacing w:line="240" w:lineRule="exact"/>
            <w:jc w:val="right"/>
            <w:rPr>
              <w:rStyle w:val="PageNumber"/>
            </w:rPr>
          </w:pPr>
        </w:p>
      </w:tc>
    </w:tr>
  </w:tbl>
  <w:p w14:paraId="19D97586" w14:textId="77777777" w:rsidR="00ED49CB" w:rsidRDefault="00ED49CB">
    <w:pPr>
      <w:pStyle w:val="FooterDraft"/>
      <w:ind w:right="360" w:firstLine="360"/>
    </w:pPr>
  </w:p>
  <w:p w14:paraId="467E530C" w14:textId="77777777" w:rsidR="00ED49CB" w:rsidRDefault="00ED49CB">
    <w:pPr>
      <w:pStyle w:val="FooterInf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51EDA" w14:textId="77777777" w:rsidR="00ED49CB" w:rsidRDefault="00ED49CB">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D49CB" w14:paraId="056011BF" w14:textId="77777777">
      <w:tc>
        <w:tcPr>
          <w:tcW w:w="1134" w:type="dxa"/>
        </w:tcPr>
        <w:p w14:paraId="3F1D4439" w14:textId="77777777" w:rsidR="00ED49CB" w:rsidRDefault="00ED49CB" w:rsidP="00842B4F">
          <w:pPr>
            <w:spacing w:line="240" w:lineRule="exact"/>
          </w:pPr>
        </w:p>
      </w:tc>
      <w:tc>
        <w:tcPr>
          <w:tcW w:w="6095" w:type="dxa"/>
        </w:tcPr>
        <w:p w14:paraId="60CF0CEE" w14:textId="77777777" w:rsidR="00ED49CB" w:rsidRPr="004F5D6D" w:rsidRDefault="007E4D51">
          <w:pPr>
            <w:pStyle w:val="FooterCitation"/>
          </w:pPr>
          <w:r w:rsidRPr="004F5D6D">
            <w:fldChar w:fldCharType="begin"/>
          </w:r>
          <w:r w:rsidR="00ED49CB">
            <w:instrText>REF Citation</w:instrText>
          </w:r>
          <w:r w:rsidRPr="004F5D6D">
            <w:fldChar w:fldCharType="separate"/>
          </w:r>
          <w:r w:rsidR="000F6104">
            <w:t>Radiocommunications (Low Interference Potential Devices) Class Licence Variation 2018 (No. 1)</w:t>
          </w:r>
          <w:r w:rsidRPr="004F5D6D">
            <w:fldChar w:fldCharType="end"/>
          </w:r>
        </w:p>
      </w:tc>
      <w:tc>
        <w:tcPr>
          <w:tcW w:w="1134" w:type="dxa"/>
        </w:tcPr>
        <w:p w14:paraId="022FF895" w14:textId="77777777" w:rsidR="00ED49CB" w:rsidRPr="003839ED" w:rsidRDefault="007E4D51" w:rsidP="00842B4F">
          <w:pPr>
            <w:spacing w:line="240" w:lineRule="exact"/>
            <w:jc w:val="right"/>
            <w:rPr>
              <w:rStyle w:val="PageNumber"/>
              <w:rFonts w:cs="Arial"/>
            </w:rPr>
          </w:pPr>
          <w:r w:rsidRPr="003839ED">
            <w:rPr>
              <w:rStyle w:val="PageNumber"/>
              <w:rFonts w:cs="Arial"/>
            </w:rPr>
            <w:fldChar w:fldCharType="begin"/>
          </w:r>
          <w:r w:rsidR="00ED49CB" w:rsidRPr="003839ED">
            <w:rPr>
              <w:rStyle w:val="PageNumber"/>
              <w:rFonts w:cs="Arial"/>
            </w:rPr>
            <w:instrText xml:space="preserve">PAGE  </w:instrText>
          </w:r>
          <w:r w:rsidRPr="003839ED">
            <w:rPr>
              <w:rStyle w:val="PageNumber"/>
              <w:rFonts w:cs="Arial"/>
            </w:rPr>
            <w:fldChar w:fldCharType="separate"/>
          </w:r>
          <w:r w:rsidR="00ED49CB">
            <w:rPr>
              <w:rStyle w:val="PageNumber"/>
              <w:rFonts w:cs="Arial"/>
              <w:noProof/>
            </w:rPr>
            <w:t>3</w:t>
          </w:r>
          <w:r w:rsidRPr="003839ED">
            <w:rPr>
              <w:rStyle w:val="PageNumber"/>
              <w:rFonts w:cs="Arial"/>
            </w:rPr>
            <w:fldChar w:fldCharType="end"/>
          </w:r>
        </w:p>
      </w:tc>
    </w:tr>
  </w:tbl>
  <w:p w14:paraId="519586E8" w14:textId="77777777" w:rsidR="00ED49CB" w:rsidRDefault="00ED49CB">
    <w:pPr>
      <w:pStyle w:val="FooterDraft"/>
    </w:pPr>
  </w:p>
  <w:p w14:paraId="70655DCB" w14:textId="77777777" w:rsidR="00ED49CB" w:rsidRDefault="00ED49CB">
    <w:pPr>
      <w:pStyle w:val="FooterInf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D49CB" w14:paraId="52B7D0F1" w14:textId="77777777" w:rsidTr="002E1590">
      <w:tc>
        <w:tcPr>
          <w:tcW w:w="1134" w:type="dxa"/>
        </w:tcPr>
        <w:p w14:paraId="5FD0F15F" w14:textId="77777777" w:rsidR="00ED49CB" w:rsidRDefault="00ED49CB" w:rsidP="002E1590">
          <w:pPr>
            <w:spacing w:line="240" w:lineRule="exact"/>
          </w:pPr>
        </w:p>
      </w:tc>
      <w:tc>
        <w:tcPr>
          <w:tcW w:w="6095" w:type="dxa"/>
        </w:tcPr>
        <w:p w14:paraId="6DC8AE23" w14:textId="77777777" w:rsidR="00B6492F" w:rsidRPr="00B6492F" w:rsidRDefault="00B6492F" w:rsidP="006D2D41">
          <w:pPr>
            <w:pStyle w:val="FooterCitation"/>
            <w:rPr>
              <w:b/>
              <w:i w:val="0"/>
              <w:sz w:val="32"/>
              <w:szCs w:val="32"/>
            </w:rPr>
          </w:pPr>
        </w:p>
      </w:tc>
      <w:tc>
        <w:tcPr>
          <w:tcW w:w="1134" w:type="dxa"/>
        </w:tcPr>
        <w:p w14:paraId="46CD72BF" w14:textId="77777777" w:rsidR="00ED49CB" w:rsidRPr="003839ED" w:rsidRDefault="00ED49CB" w:rsidP="002E1590">
          <w:pPr>
            <w:spacing w:line="240" w:lineRule="exact"/>
            <w:jc w:val="right"/>
            <w:rPr>
              <w:rStyle w:val="PageNumber"/>
              <w:rFonts w:cs="Arial"/>
            </w:rPr>
          </w:pPr>
        </w:p>
      </w:tc>
    </w:tr>
  </w:tbl>
  <w:p w14:paraId="70D7994C" w14:textId="77777777" w:rsidR="00ED49CB" w:rsidRPr="00974D8C" w:rsidRDefault="00ED49CB">
    <w:pPr>
      <w:pStyle w:val="FooterInf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6361B" w14:textId="77777777" w:rsidR="00ED49CB" w:rsidRDefault="00ED49CB">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D49CB" w14:paraId="7F0B4D1A" w14:textId="77777777">
      <w:tc>
        <w:tcPr>
          <w:tcW w:w="1134" w:type="dxa"/>
        </w:tcPr>
        <w:p w14:paraId="639659FC" w14:textId="77777777" w:rsidR="00ED49CB" w:rsidRPr="003839ED" w:rsidRDefault="007E4D51" w:rsidP="00842B4F">
          <w:pPr>
            <w:spacing w:line="240" w:lineRule="exact"/>
            <w:rPr>
              <w:rFonts w:ascii="Arial" w:hAnsi="Arial" w:cs="Arial"/>
            </w:rPr>
          </w:pPr>
          <w:r w:rsidRPr="003839ED">
            <w:rPr>
              <w:rStyle w:val="PageNumber"/>
              <w:rFonts w:cs="Arial"/>
            </w:rPr>
            <w:fldChar w:fldCharType="begin"/>
          </w:r>
          <w:r w:rsidR="00ED49CB" w:rsidRPr="003839ED">
            <w:rPr>
              <w:rStyle w:val="PageNumber"/>
              <w:rFonts w:cs="Arial"/>
            </w:rPr>
            <w:instrText xml:space="preserve">PAGE  </w:instrText>
          </w:r>
          <w:r w:rsidRPr="003839ED">
            <w:rPr>
              <w:rStyle w:val="PageNumber"/>
              <w:rFonts w:cs="Arial"/>
            </w:rPr>
            <w:fldChar w:fldCharType="separate"/>
          </w:r>
          <w:r w:rsidR="00ED49CB">
            <w:rPr>
              <w:rStyle w:val="PageNumber"/>
              <w:rFonts w:cs="Arial"/>
              <w:noProof/>
            </w:rPr>
            <w:t>2</w:t>
          </w:r>
          <w:r w:rsidRPr="003839ED">
            <w:rPr>
              <w:rStyle w:val="PageNumber"/>
              <w:rFonts w:cs="Arial"/>
            </w:rPr>
            <w:fldChar w:fldCharType="end"/>
          </w:r>
        </w:p>
      </w:tc>
      <w:tc>
        <w:tcPr>
          <w:tcW w:w="6095" w:type="dxa"/>
        </w:tcPr>
        <w:p w14:paraId="1A0710E2" w14:textId="77777777" w:rsidR="00ED49CB" w:rsidRPr="004F5D6D" w:rsidRDefault="00ED49CB" w:rsidP="00842B4F">
          <w:pPr>
            <w:pStyle w:val="Footer"/>
            <w:spacing w:before="20" w:line="240" w:lineRule="exact"/>
          </w:pPr>
          <w:r>
            <w:t>Radiocommunications (Low Interference Potential Devices) Class Licence Variation Notice 2013 (No. 1)</w:t>
          </w:r>
        </w:p>
      </w:tc>
      <w:tc>
        <w:tcPr>
          <w:tcW w:w="1134" w:type="dxa"/>
        </w:tcPr>
        <w:p w14:paraId="1C1F7D01" w14:textId="77777777" w:rsidR="00ED49CB" w:rsidRPr="00451BF5" w:rsidRDefault="00ED49CB" w:rsidP="00842B4F">
          <w:pPr>
            <w:spacing w:line="240" w:lineRule="exact"/>
            <w:jc w:val="right"/>
            <w:rPr>
              <w:rStyle w:val="PageNumber"/>
            </w:rPr>
          </w:pPr>
        </w:p>
      </w:tc>
    </w:tr>
  </w:tbl>
  <w:p w14:paraId="6F99D20F" w14:textId="77777777" w:rsidR="00ED49CB" w:rsidRDefault="00ED49CB">
    <w:pPr>
      <w:pStyle w:val="FooterDraft"/>
      <w:ind w:right="360" w:firstLine="360"/>
    </w:pPr>
  </w:p>
  <w:p w14:paraId="7B1C6DC6" w14:textId="77777777" w:rsidR="00ED49CB" w:rsidRDefault="00ED49CB">
    <w:pPr>
      <w:pStyle w:val="FooterInf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EC9D" w14:textId="77777777" w:rsidR="00ED49CB" w:rsidRDefault="00ED49CB">
    <w:pPr>
      <w:spacing w:line="200" w:lineRule="exact"/>
    </w:pPr>
  </w:p>
  <w:tbl>
    <w:tblPr>
      <w:tblW w:w="8363" w:type="dxa"/>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D49CB" w14:paraId="6E19EA3D" w14:textId="77777777" w:rsidTr="00B6492F">
      <w:tc>
        <w:tcPr>
          <w:tcW w:w="1134" w:type="dxa"/>
        </w:tcPr>
        <w:p w14:paraId="75502231" w14:textId="77777777" w:rsidR="00ED49CB" w:rsidRDefault="00ED49CB" w:rsidP="00842B4F">
          <w:pPr>
            <w:spacing w:line="240" w:lineRule="exact"/>
          </w:pPr>
        </w:p>
      </w:tc>
      <w:tc>
        <w:tcPr>
          <w:tcW w:w="6095" w:type="dxa"/>
        </w:tcPr>
        <w:p w14:paraId="1E3CA5DE" w14:textId="77777777" w:rsidR="00ED49CB" w:rsidRPr="004F5D6D" w:rsidRDefault="00ED49CB" w:rsidP="00671410">
          <w:pPr>
            <w:pStyle w:val="FooterCitation"/>
          </w:pPr>
          <w:r>
            <w:t>Radiocommunications (Low Interference Potential Devices) Class Licence Variation Notice 201</w:t>
          </w:r>
          <w:r w:rsidR="00671410">
            <w:t>8</w:t>
          </w:r>
          <w:r>
            <w:t xml:space="preserve"> (No. 1)</w:t>
          </w:r>
        </w:p>
      </w:tc>
      <w:tc>
        <w:tcPr>
          <w:tcW w:w="1134" w:type="dxa"/>
        </w:tcPr>
        <w:p w14:paraId="17B3F710" w14:textId="77777777" w:rsidR="00ED49CB" w:rsidRPr="003839ED" w:rsidRDefault="00ED49CB" w:rsidP="00842B4F">
          <w:pPr>
            <w:spacing w:line="240" w:lineRule="exact"/>
            <w:jc w:val="right"/>
            <w:rPr>
              <w:rStyle w:val="PageNumber"/>
              <w:rFonts w:cs="Arial"/>
            </w:rPr>
          </w:pPr>
          <w:r>
            <w:rPr>
              <w:rStyle w:val="PageNumber"/>
              <w:rFonts w:cs="Arial"/>
              <w:noProof/>
              <w:szCs w:val="22"/>
            </w:rPr>
            <w:t>2</w:t>
          </w:r>
        </w:p>
      </w:tc>
    </w:tr>
  </w:tbl>
  <w:p w14:paraId="733C26A9" w14:textId="77777777" w:rsidR="00ED49CB" w:rsidRDefault="00ED49CB">
    <w:pPr>
      <w:pStyle w:val="FooterInf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382D" w14:textId="77777777" w:rsidR="00ED49CB" w:rsidRDefault="00ED49CB" w:rsidP="00842B4F">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D49CB" w14:paraId="728C7D65" w14:textId="77777777">
      <w:tc>
        <w:tcPr>
          <w:tcW w:w="1134" w:type="dxa"/>
        </w:tcPr>
        <w:p w14:paraId="29B60A6A" w14:textId="77777777" w:rsidR="00ED49CB" w:rsidRPr="003D7214" w:rsidRDefault="007E4D51" w:rsidP="00842B4F">
          <w:pPr>
            <w:spacing w:line="240" w:lineRule="exact"/>
            <w:rPr>
              <w:rFonts w:ascii="Arial" w:hAnsi="Arial" w:cs="Arial"/>
            </w:rPr>
          </w:pPr>
          <w:r w:rsidRPr="003D7214">
            <w:rPr>
              <w:rStyle w:val="PageNumber"/>
              <w:rFonts w:cs="Arial"/>
            </w:rPr>
            <w:fldChar w:fldCharType="begin"/>
          </w:r>
          <w:r w:rsidR="00ED49CB" w:rsidRPr="003D7214">
            <w:rPr>
              <w:rStyle w:val="PageNumber"/>
              <w:rFonts w:cs="Arial"/>
            </w:rPr>
            <w:instrText xml:space="preserve">PAGE  </w:instrText>
          </w:r>
          <w:r w:rsidRPr="003D7214">
            <w:rPr>
              <w:rStyle w:val="PageNumber"/>
              <w:rFonts w:cs="Arial"/>
            </w:rPr>
            <w:fldChar w:fldCharType="separate"/>
          </w:r>
          <w:r w:rsidR="00ED49CB">
            <w:rPr>
              <w:rStyle w:val="PageNumber"/>
              <w:rFonts w:cs="Arial"/>
              <w:noProof/>
            </w:rPr>
            <w:t>3</w:t>
          </w:r>
          <w:r w:rsidRPr="003D7214">
            <w:rPr>
              <w:rStyle w:val="PageNumber"/>
              <w:rFonts w:cs="Arial"/>
            </w:rPr>
            <w:fldChar w:fldCharType="end"/>
          </w:r>
        </w:p>
      </w:tc>
      <w:tc>
        <w:tcPr>
          <w:tcW w:w="6095" w:type="dxa"/>
        </w:tcPr>
        <w:p w14:paraId="47BA45EC" w14:textId="77777777" w:rsidR="00ED49CB" w:rsidRPr="004F5D6D" w:rsidRDefault="00C16EB8" w:rsidP="00842B4F">
          <w:pPr>
            <w:pStyle w:val="Footer"/>
            <w:spacing w:before="20" w:line="240" w:lineRule="exact"/>
          </w:pPr>
          <w:fldSimple w:instr=" REF  Citation ">
            <w:r w:rsidR="000F6104">
              <w:t>Radiocommunications (Low Interference Potential Devices) Class Licence Variation 2018 (No. 1)</w:t>
            </w:r>
          </w:fldSimple>
        </w:p>
      </w:tc>
      <w:tc>
        <w:tcPr>
          <w:tcW w:w="1134" w:type="dxa"/>
        </w:tcPr>
        <w:p w14:paraId="5019382A" w14:textId="77777777" w:rsidR="00ED49CB" w:rsidRPr="00451BF5" w:rsidRDefault="00ED49CB" w:rsidP="00842B4F">
          <w:pPr>
            <w:spacing w:line="240" w:lineRule="exact"/>
            <w:jc w:val="right"/>
            <w:rPr>
              <w:rStyle w:val="PageNumber"/>
            </w:rPr>
          </w:pPr>
        </w:p>
      </w:tc>
    </w:tr>
  </w:tbl>
  <w:p w14:paraId="12B3793D" w14:textId="77777777" w:rsidR="00ED49CB" w:rsidRDefault="00ED49CB" w:rsidP="00842B4F">
    <w:pPr>
      <w:pStyle w:val="FooterDraft"/>
      <w:ind w:right="360" w:firstLine="360"/>
    </w:pPr>
  </w:p>
  <w:p w14:paraId="0A3EE238" w14:textId="77777777" w:rsidR="00ED49CB" w:rsidRDefault="00ED49CB" w:rsidP="00842B4F">
    <w:pPr>
      <w:pStyle w:val="FooterInf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B05E" w14:textId="77777777" w:rsidR="00ED49CB" w:rsidRDefault="00ED49CB" w:rsidP="00842B4F">
    <w:pPr>
      <w:spacing w:line="200" w:lineRule="exact"/>
    </w:pPr>
  </w:p>
  <w:tbl>
    <w:tblPr>
      <w:tblW w:w="8363" w:type="dxa"/>
      <w:tblBorders>
        <w:top w:val="single" w:sz="4" w:space="0" w:color="auto"/>
      </w:tblBorders>
      <w:tblLayout w:type="fixed"/>
      <w:tblLook w:val="01E0" w:firstRow="1" w:lastRow="1" w:firstColumn="1" w:lastColumn="1" w:noHBand="0" w:noVBand="0"/>
    </w:tblPr>
    <w:tblGrid>
      <w:gridCol w:w="1134"/>
      <w:gridCol w:w="6095"/>
      <w:gridCol w:w="1134"/>
    </w:tblGrid>
    <w:tr w:rsidR="00ED49CB" w14:paraId="5E40A0A5" w14:textId="77777777" w:rsidTr="00B6492F">
      <w:tc>
        <w:tcPr>
          <w:tcW w:w="1134" w:type="dxa"/>
        </w:tcPr>
        <w:p w14:paraId="1D79CD2F" w14:textId="77777777" w:rsidR="00ED49CB" w:rsidRDefault="00ED49CB" w:rsidP="00842B4F">
          <w:pPr>
            <w:spacing w:line="240" w:lineRule="exact"/>
          </w:pPr>
        </w:p>
      </w:tc>
      <w:tc>
        <w:tcPr>
          <w:tcW w:w="6095" w:type="dxa"/>
        </w:tcPr>
        <w:p w14:paraId="64C13F0A" w14:textId="77777777" w:rsidR="00ED49CB" w:rsidRPr="004F5D6D" w:rsidRDefault="00C16EB8" w:rsidP="00D8667D">
          <w:pPr>
            <w:pStyle w:val="FooterCitation"/>
          </w:pPr>
          <w:fldSimple w:instr=" REF  Citation ">
            <w:r w:rsidR="000F6104">
              <w:t>Radiocommunications (Low Interference Potential Devices) Class Licence Variation 2018 (No. 1)</w:t>
            </w:r>
          </w:fldSimple>
        </w:p>
      </w:tc>
      <w:tc>
        <w:tcPr>
          <w:tcW w:w="1134" w:type="dxa"/>
        </w:tcPr>
        <w:p w14:paraId="649C60F6" w14:textId="77777777" w:rsidR="00ED49CB" w:rsidRPr="003D7214" w:rsidRDefault="007E4D51" w:rsidP="00842B4F">
          <w:pPr>
            <w:spacing w:line="240" w:lineRule="exact"/>
            <w:jc w:val="right"/>
            <w:rPr>
              <w:rStyle w:val="PageNumber"/>
              <w:rFonts w:cs="Arial"/>
            </w:rPr>
          </w:pPr>
          <w:r w:rsidRPr="003D7214">
            <w:rPr>
              <w:rStyle w:val="PageNumber"/>
              <w:rFonts w:cs="Arial"/>
            </w:rPr>
            <w:fldChar w:fldCharType="begin"/>
          </w:r>
          <w:r w:rsidR="00ED49CB" w:rsidRPr="003D7214">
            <w:rPr>
              <w:rStyle w:val="PageNumber"/>
              <w:rFonts w:cs="Arial"/>
            </w:rPr>
            <w:instrText xml:space="preserve">PAGE  </w:instrText>
          </w:r>
          <w:r w:rsidRPr="003D7214">
            <w:rPr>
              <w:rStyle w:val="PageNumber"/>
              <w:rFonts w:cs="Arial"/>
            </w:rPr>
            <w:fldChar w:fldCharType="separate"/>
          </w:r>
          <w:r w:rsidR="00E018D9">
            <w:rPr>
              <w:rStyle w:val="PageNumber"/>
              <w:rFonts w:cs="Arial"/>
              <w:noProof/>
            </w:rPr>
            <w:t>5</w:t>
          </w:r>
          <w:r w:rsidRPr="003D7214">
            <w:rPr>
              <w:rStyle w:val="PageNumber"/>
              <w:rFonts w:cs="Arial"/>
            </w:rPr>
            <w:fldChar w:fldCharType="end"/>
          </w:r>
        </w:p>
      </w:tc>
    </w:tr>
  </w:tbl>
  <w:p w14:paraId="705FCDA1" w14:textId="77777777" w:rsidR="00ED49CB" w:rsidRDefault="00ED49CB" w:rsidP="00842B4F">
    <w:pPr>
      <w:pStyle w:val="FooterInf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1142" w14:textId="77777777" w:rsidR="00ED49CB" w:rsidRDefault="00ED49CB">
    <w:pPr>
      <w:pStyle w:val="FooterDraft"/>
    </w:pPr>
  </w:p>
  <w:p w14:paraId="4C32F455" w14:textId="77777777" w:rsidR="00ED49CB" w:rsidRPr="00974D8C" w:rsidRDefault="00ED49CB">
    <w:pPr>
      <w:pStyle w:val="FooterInf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73A27" w14:textId="77777777" w:rsidR="00370571" w:rsidRDefault="00370571" w:rsidP="00BC328F">
      <w:r>
        <w:separator/>
      </w:r>
    </w:p>
  </w:footnote>
  <w:footnote w:type="continuationSeparator" w:id="0">
    <w:p w14:paraId="251521B8" w14:textId="77777777" w:rsidR="00370571" w:rsidRDefault="00370571" w:rsidP="00BC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ED49CB" w:rsidRPr="003839ED" w14:paraId="2FBC36EA" w14:textId="77777777">
      <w:tc>
        <w:tcPr>
          <w:tcW w:w="8385" w:type="dxa"/>
        </w:tcPr>
        <w:p w14:paraId="46546BE6" w14:textId="77777777" w:rsidR="00ED49CB" w:rsidRDefault="00ED49CB">
          <w:pPr>
            <w:pStyle w:val="HeaderLiteEven"/>
          </w:pPr>
        </w:p>
      </w:tc>
    </w:tr>
    <w:tr w:rsidR="00ED49CB" w:rsidRPr="003839ED" w14:paraId="4E9A19A9" w14:textId="77777777">
      <w:tc>
        <w:tcPr>
          <w:tcW w:w="8385" w:type="dxa"/>
        </w:tcPr>
        <w:p w14:paraId="6293791C" w14:textId="77777777" w:rsidR="00ED49CB" w:rsidRDefault="00ED49CB">
          <w:pPr>
            <w:pStyle w:val="HeaderLiteEven"/>
          </w:pPr>
        </w:p>
      </w:tc>
    </w:tr>
    <w:tr w:rsidR="00ED49CB" w:rsidRPr="003839ED" w14:paraId="4839A542" w14:textId="77777777">
      <w:tc>
        <w:tcPr>
          <w:tcW w:w="8385" w:type="dxa"/>
        </w:tcPr>
        <w:p w14:paraId="08D75738" w14:textId="77777777" w:rsidR="00ED49CB" w:rsidRDefault="00ED49CB">
          <w:pPr>
            <w:pStyle w:val="HeaderBoldEven"/>
          </w:pPr>
        </w:p>
      </w:tc>
    </w:tr>
  </w:tbl>
  <w:p w14:paraId="6685AB5E" w14:textId="77777777" w:rsidR="00ED49CB" w:rsidRDefault="00ED49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ED49CB" w:rsidRPr="003839ED" w14:paraId="11E9845C" w14:textId="77777777">
      <w:tc>
        <w:tcPr>
          <w:tcW w:w="8385" w:type="dxa"/>
        </w:tcPr>
        <w:p w14:paraId="39231500" w14:textId="77777777" w:rsidR="00ED49CB" w:rsidRDefault="00ED49CB"/>
      </w:tc>
    </w:tr>
    <w:tr w:rsidR="00ED49CB" w:rsidRPr="003839ED" w14:paraId="542E42CC" w14:textId="77777777">
      <w:tc>
        <w:tcPr>
          <w:tcW w:w="8385" w:type="dxa"/>
        </w:tcPr>
        <w:p w14:paraId="46876B5A" w14:textId="77777777" w:rsidR="00ED49CB" w:rsidRDefault="00ED49CB"/>
      </w:tc>
    </w:tr>
    <w:tr w:rsidR="00ED49CB" w:rsidRPr="003839ED" w14:paraId="6888F116" w14:textId="77777777">
      <w:tc>
        <w:tcPr>
          <w:tcW w:w="8385" w:type="dxa"/>
        </w:tcPr>
        <w:p w14:paraId="0DC5638E" w14:textId="77777777" w:rsidR="00ED49CB" w:rsidRDefault="00ED49CB"/>
      </w:tc>
    </w:tr>
  </w:tbl>
  <w:p w14:paraId="6895C32A" w14:textId="77777777" w:rsidR="00ED49CB" w:rsidRDefault="00ED49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ED49CB" w14:paraId="14B28E6C" w14:textId="77777777">
      <w:trPr>
        <w:cantSplit/>
      </w:trPr>
      <w:tc>
        <w:tcPr>
          <w:tcW w:w="1494" w:type="dxa"/>
        </w:tcPr>
        <w:p w14:paraId="795B8A54" w14:textId="77777777" w:rsidR="00ED49CB" w:rsidRDefault="00ED49CB">
          <w:pPr>
            <w:pStyle w:val="HeaderLiteEven"/>
          </w:pPr>
        </w:p>
      </w:tc>
      <w:tc>
        <w:tcPr>
          <w:tcW w:w="6891" w:type="dxa"/>
          <w:vAlign w:val="bottom"/>
        </w:tcPr>
        <w:p w14:paraId="47D6C0E3" w14:textId="77777777" w:rsidR="00ED49CB" w:rsidRDefault="00ED49CB">
          <w:pPr>
            <w:pStyle w:val="HeaderLiteEven"/>
          </w:pPr>
        </w:p>
      </w:tc>
    </w:tr>
    <w:tr w:rsidR="00ED49CB" w14:paraId="306ED823" w14:textId="77777777">
      <w:trPr>
        <w:cantSplit/>
      </w:trPr>
      <w:tc>
        <w:tcPr>
          <w:tcW w:w="1494" w:type="dxa"/>
        </w:tcPr>
        <w:p w14:paraId="210E836D" w14:textId="77777777" w:rsidR="00ED49CB" w:rsidRDefault="00ED49CB">
          <w:pPr>
            <w:pStyle w:val="HeaderLiteEven"/>
          </w:pPr>
        </w:p>
      </w:tc>
      <w:tc>
        <w:tcPr>
          <w:tcW w:w="6891" w:type="dxa"/>
          <w:vAlign w:val="bottom"/>
        </w:tcPr>
        <w:p w14:paraId="44D4BD4C" w14:textId="77777777" w:rsidR="00ED49CB" w:rsidRDefault="00ED49CB">
          <w:pPr>
            <w:pStyle w:val="HeaderLiteEven"/>
          </w:pPr>
        </w:p>
      </w:tc>
    </w:tr>
    <w:tr w:rsidR="00ED49CB" w:rsidRPr="003839ED" w14:paraId="254E630D" w14:textId="77777777">
      <w:trPr>
        <w:cantSplit/>
      </w:trPr>
      <w:tc>
        <w:tcPr>
          <w:tcW w:w="8385" w:type="dxa"/>
          <w:gridSpan w:val="2"/>
        </w:tcPr>
        <w:p w14:paraId="27669427" w14:textId="77777777" w:rsidR="00ED49CB" w:rsidRPr="00050501" w:rsidRDefault="00ED49CB">
          <w:pPr>
            <w:pStyle w:val="HeaderBoldEven"/>
          </w:pPr>
          <w:r>
            <w:t xml:space="preserve">Section </w:t>
          </w:r>
          <w:r w:rsidR="007E4D51" w:rsidRPr="00050501">
            <w:fldChar w:fldCharType="begin"/>
          </w:r>
          <w:r w:rsidRPr="00050501">
            <w:instrText xml:space="preserve"> If </w:instrText>
          </w:r>
          <w:fldSimple w:instr=" STYLEREF CharSectnoAm \*Charformat ">
            <w:r w:rsidR="000F6104">
              <w:rPr>
                <w:noProof/>
              </w:rPr>
              <w:instrText>1</w:instrText>
            </w:r>
          </w:fldSimple>
          <w:r w:rsidRPr="00050501">
            <w:instrText xml:space="preserve"> &lt;&gt; "Error*" </w:instrText>
          </w:r>
          <w:fldSimple w:instr=" STYLEREF CharSectnoAm \*Charformat ">
            <w:r w:rsidR="000F6104">
              <w:rPr>
                <w:noProof/>
              </w:rPr>
              <w:instrText>1</w:instrText>
            </w:r>
          </w:fldSimple>
          <w:r w:rsidRPr="00050501">
            <w:instrText xml:space="preserve"> </w:instrText>
          </w:r>
          <w:r w:rsidR="007E4D51" w:rsidRPr="00050501">
            <w:fldChar w:fldCharType="separate"/>
          </w:r>
          <w:r w:rsidR="000F6104">
            <w:rPr>
              <w:noProof/>
            </w:rPr>
            <w:t>1</w:t>
          </w:r>
          <w:r w:rsidR="007E4D51" w:rsidRPr="00050501">
            <w:fldChar w:fldCharType="end"/>
          </w:r>
        </w:p>
      </w:tc>
    </w:tr>
  </w:tbl>
  <w:p w14:paraId="4B3ABD1E" w14:textId="77777777" w:rsidR="00ED49CB" w:rsidRDefault="00ED49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99" w:type="dxa"/>
      <w:tblInd w:w="80" w:type="dxa"/>
      <w:tblBorders>
        <w:bottom w:val="single" w:sz="4" w:space="0" w:color="auto"/>
      </w:tblBorders>
      <w:tblLook w:val="01E0" w:firstRow="1" w:lastRow="1" w:firstColumn="1" w:lastColumn="1" w:noHBand="0" w:noVBand="0"/>
    </w:tblPr>
    <w:tblGrid>
      <w:gridCol w:w="6914"/>
      <w:gridCol w:w="1485"/>
    </w:tblGrid>
    <w:tr w:rsidR="00ED49CB" w14:paraId="2FF48DAE" w14:textId="77777777">
      <w:trPr>
        <w:cantSplit/>
      </w:trPr>
      <w:tc>
        <w:tcPr>
          <w:tcW w:w="6914" w:type="dxa"/>
          <w:vAlign w:val="bottom"/>
        </w:tcPr>
        <w:p w14:paraId="7621D656" w14:textId="77777777" w:rsidR="00ED49CB" w:rsidRDefault="00ED49CB">
          <w:pPr>
            <w:pStyle w:val="HeaderLiteOdd"/>
          </w:pPr>
        </w:p>
      </w:tc>
      <w:tc>
        <w:tcPr>
          <w:tcW w:w="1485" w:type="dxa"/>
        </w:tcPr>
        <w:p w14:paraId="0B289BFA" w14:textId="77777777" w:rsidR="00ED49CB" w:rsidRDefault="00ED49CB">
          <w:pPr>
            <w:pStyle w:val="HeaderLiteOdd"/>
          </w:pPr>
        </w:p>
      </w:tc>
    </w:tr>
    <w:tr w:rsidR="00ED49CB" w14:paraId="4F70313D" w14:textId="77777777">
      <w:trPr>
        <w:cantSplit/>
      </w:trPr>
      <w:tc>
        <w:tcPr>
          <w:tcW w:w="6914" w:type="dxa"/>
          <w:vAlign w:val="bottom"/>
        </w:tcPr>
        <w:p w14:paraId="53EC071B" w14:textId="53F5C97E" w:rsidR="00ED49CB" w:rsidRPr="005758DC" w:rsidRDefault="005758DC" w:rsidP="0078390A">
          <w:pPr>
            <w:pStyle w:val="HeaderLiteOdd"/>
            <w:tabs>
              <w:tab w:val="clear" w:pos="3969"/>
              <w:tab w:val="center" w:pos="6698"/>
            </w:tabs>
            <w:jc w:val="left"/>
            <w:rPr>
              <w:b/>
            </w:rPr>
          </w:pPr>
          <w:r w:rsidRPr="005758DC">
            <w:rPr>
              <w:b/>
            </w:rPr>
            <w:t xml:space="preserve">Section </w:t>
          </w:r>
          <w:r>
            <w:rPr>
              <w:b/>
            </w:rPr>
            <w:fldChar w:fldCharType="begin"/>
          </w:r>
          <w:r>
            <w:rPr>
              <w:b/>
            </w:rPr>
            <w:instrText xml:space="preserve"> STYLEREF  "A1,Heading Amendment,1. Amendment"  \* MERGEFORMAT </w:instrText>
          </w:r>
          <w:r>
            <w:rPr>
              <w:b/>
            </w:rPr>
            <w:fldChar w:fldCharType="separate"/>
          </w:r>
          <w:r w:rsidR="00A916FA">
            <w:rPr>
              <w:b/>
              <w:noProof/>
            </w:rPr>
            <w:t>1</w:t>
          </w:r>
          <w:r w:rsidR="00A916FA">
            <w:rPr>
              <w:b/>
              <w:noProof/>
            </w:rPr>
            <w:tab/>
            <w:t>Name of instrument</w:t>
          </w:r>
          <w:r>
            <w:rPr>
              <w:b/>
            </w:rPr>
            <w:fldChar w:fldCharType="end"/>
          </w:r>
        </w:p>
      </w:tc>
      <w:tc>
        <w:tcPr>
          <w:tcW w:w="1485" w:type="dxa"/>
        </w:tcPr>
        <w:p w14:paraId="20D967CF" w14:textId="77777777" w:rsidR="00ED49CB" w:rsidRPr="005758DC" w:rsidRDefault="00ED49CB">
          <w:pPr>
            <w:pStyle w:val="HeaderLiteOdd"/>
            <w:rPr>
              <w:b/>
            </w:rPr>
          </w:pPr>
        </w:p>
      </w:tc>
    </w:tr>
    <w:tr w:rsidR="00ED49CB" w:rsidRPr="003839ED" w14:paraId="761326EA" w14:textId="77777777">
      <w:trPr>
        <w:cantSplit/>
      </w:trPr>
      <w:tc>
        <w:tcPr>
          <w:tcW w:w="8399" w:type="dxa"/>
          <w:gridSpan w:val="2"/>
        </w:tcPr>
        <w:p w14:paraId="1E1DBE1D" w14:textId="77777777" w:rsidR="00ED49CB" w:rsidRPr="00050501" w:rsidRDefault="00ED49CB" w:rsidP="00ED3874">
          <w:pPr>
            <w:pStyle w:val="HeaderBoldOdd"/>
          </w:pPr>
        </w:p>
      </w:tc>
    </w:tr>
  </w:tbl>
  <w:p w14:paraId="57C8CAAE" w14:textId="77777777" w:rsidR="00ED49CB" w:rsidRDefault="00ED49C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494"/>
      <w:gridCol w:w="6891"/>
    </w:tblGrid>
    <w:tr w:rsidR="00ED49CB" w14:paraId="26152332" w14:textId="77777777">
      <w:tc>
        <w:tcPr>
          <w:tcW w:w="1494" w:type="dxa"/>
        </w:tcPr>
        <w:p w14:paraId="61E0DC66" w14:textId="77777777" w:rsidR="00ED49CB" w:rsidRDefault="00ED49CB" w:rsidP="00842B4F">
          <w:pPr>
            <w:pStyle w:val="HeaderLiteEven"/>
          </w:pPr>
        </w:p>
      </w:tc>
      <w:tc>
        <w:tcPr>
          <w:tcW w:w="6891" w:type="dxa"/>
        </w:tcPr>
        <w:p w14:paraId="0A742DFE" w14:textId="77777777" w:rsidR="00ED49CB" w:rsidRDefault="00ED49CB" w:rsidP="00842B4F">
          <w:pPr>
            <w:pStyle w:val="HeaderLiteEven"/>
          </w:pPr>
        </w:p>
      </w:tc>
    </w:tr>
    <w:tr w:rsidR="00ED49CB" w14:paraId="60EFBCC9" w14:textId="77777777">
      <w:tc>
        <w:tcPr>
          <w:tcW w:w="1494" w:type="dxa"/>
        </w:tcPr>
        <w:p w14:paraId="13F3F84E" w14:textId="77777777" w:rsidR="00ED49CB" w:rsidRDefault="00ED49CB" w:rsidP="00842B4F">
          <w:pPr>
            <w:pStyle w:val="HeaderLiteEven"/>
          </w:pPr>
        </w:p>
      </w:tc>
      <w:tc>
        <w:tcPr>
          <w:tcW w:w="6891" w:type="dxa"/>
        </w:tcPr>
        <w:p w14:paraId="11897239" w14:textId="77777777" w:rsidR="00ED49CB" w:rsidRDefault="00ED49CB" w:rsidP="00842B4F">
          <w:pPr>
            <w:pStyle w:val="HeaderLiteEven"/>
          </w:pPr>
        </w:p>
      </w:tc>
    </w:tr>
    <w:tr w:rsidR="00ED49CB" w14:paraId="3CDF0CB6" w14:textId="77777777">
      <w:tc>
        <w:tcPr>
          <w:tcW w:w="8385" w:type="dxa"/>
          <w:gridSpan w:val="2"/>
          <w:tcBorders>
            <w:bottom w:val="single" w:sz="4" w:space="0" w:color="auto"/>
          </w:tcBorders>
        </w:tcPr>
        <w:p w14:paraId="682A612E" w14:textId="77777777" w:rsidR="00ED49CB" w:rsidRDefault="00ED49CB" w:rsidP="00842B4F">
          <w:pPr>
            <w:pStyle w:val="HeaderBoldEven"/>
          </w:pPr>
        </w:p>
      </w:tc>
    </w:tr>
  </w:tbl>
  <w:p w14:paraId="53F76447" w14:textId="77777777" w:rsidR="00ED49CB" w:rsidRDefault="00ED49CB" w:rsidP="00842B4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6863"/>
      <w:gridCol w:w="1450"/>
    </w:tblGrid>
    <w:tr w:rsidR="00ED49CB" w14:paraId="02D63C1E" w14:textId="77777777">
      <w:tc>
        <w:tcPr>
          <w:tcW w:w="6914" w:type="dxa"/>
        </w:tcPr>
        <w:p w14:paraId="1F890BCA" w14:textId="7BA32DEB" w:rsidR="00ED49CB" w:rsidRPr="005758DC" w:rsidRDefault="005758DC" w:rsidP="005758DC">
          <w:pPr>
            <w:pStyle w:val="HeaderLiteOdd"/>
            <w:tabs>
              <w:tab w:val="clear" w:pos="3969"/>
              <w:tab w:val="center" w:pos="4111"/>
            </w:tabs>
            <w:jc w:val="left"/>
            <w:rPr>
              <w:b/>
            </w:rPr>
          </w:pPr>
          <w:r w:rsidRPr="005758DC">
            <w:rPr>
              <w:b/>
            </w:rPr>
            <w:fldChar w:fldCharType="begin"/>
          </w:r>
          <w:r w:rsidRPr="005758DC">
            <w:rPr>
              <w:b/>
            </w:rPr>
            <w:instrText xml:space="preserve"> STYLEREF  "AS,Schedule title Amendment"  \* MERGEFORMAT </w:instrText>
          </w:r>
          <w:r w:rsidRPr="005758DC">
            <w:rPr>
              <w:b/>
            </w:rPr>
            <w:fldChar w:fldCharType="separate"/>
          </w:r>
          <w:r w:rsidR="00A916FA">
            <w:rPr>
              <w:b/>
              <w:noProof/>
            </w:rPr>
            <w:t>Schedule 1</w:t>
          </w:r>
          <w:r w:rsidR="00A916FA">
            <w:rPr>
              <w:b/>
              <w:noProof/>
            </w:rPr>
            <w:tab/>
            <w:t>Variations</w:t>
          </w:r>
          <w:r w:rsidRPr="005758DC">
            <w:rPr>
              <w:b/>
            </w:rPr>
            <w:fldChar w:fldCharType="end"/>
          </w:r>
        </w:p>
      </w:tc>
      <w:tc>
        <w:tcPr>
          <w:tcW w:w="1471" w:type="dxa"/>
        </w:tcPr>
        <w:p w14:paraId="67960F4F" w14:textId="77777777" w:rsidR="00ED49CB" w:rsidRDefault="00ED49CB" w:rsidP="00842B4F">
          <w:pPr>
            <w:pStyle w:val="HeaderLiteOdd"/>
          </w:pPr>
        </w:p>
      </w:tc>
    </w:tr>
    <w:tr w:rsidR="00ED49CB" w14:paraId="2CA496CF" w14:textId="77777777">
      <w:tc>
        <w:tcPr>
          <w:tcW w:w="6914" w:type="dxa"/>
        </w:tcPr>
        <w:p w14:paraId="6FCD0C62" w14:textId="77777777" w:rsidR="00ED49CB" w:rsidRPr="005758DC" w:rsidRDefault="00ED49CB" w:rsidP="00842B4F">
          <w:pPr>
            <w:pStyle w:val="HeaderLiteOdd"/>
            <w:rPr>
              <w:b/>
            </w:rPr>
          </w:pPr>
        </w:p>
      </w:tc>
      <w:tc>
        <w:tcPr>
          <w:tcW w:w="1471" w:type="dxa"/>
        </w:tcPr>
        <w:p w14:paraId="2861025E" w14:textId="77777777" w:rsidR="00ED49CB" w:rsidRDefault="00ED49CB" w:rsidP="00842B4F">
          <w:pPr>
            <w:pStyle w:val="HeaderLiteOdd"/>
          </w:pPr>
        </w:p>
      </w:tc>
    </w:tr>
    <w:tr w:rsidR="00ED49CB" w14:paraId="72F6E981" w14:textId="77777777">
      <w:tc>
        <w:tcPr>
          <w:tcW w:w="8385" w:type="dxa"/>
          <w:gridSpan w:val="2"/>
          <w:tcBorders>
            <w:bottom w:val="single" w:sz="4" w:space="0" w:color="auto"/>
          </w:tcBorders>
        </w:tcPr>
        <w:p w14:paraId="413A41B1" w14:textId="77777777" w:rsidR="00ED49CB" w:rsidRPr="005758DC" w:rsidRDefault="00ED49CB" w:rsidP="00842B4F">
          <w:pPr>
            <w:pStyle w:val="HeaderBoldOdd"/>
          </w:pPr>
        </w:p>
      </w:tc>
    </w:tr>
  </w:tbl>
  <w:p w14:paraId="056901A3" w14:textId="77777777" w:rsidR="00ED49CB" w:rsidRDefault="00ED49CB" w:rsidP="00842B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2E9"/>
    <w:multiLevelType w:val="hybridMultilevel"/>
    <w:tmpl w:val="09C4DF0E"/>
    <w:lvl w:ilvl="0" w:tplc="DA2E960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32E5533"/>
    <w:multiLevelType w:val="hybridMultilevel"/>
    <w:tmpl w:val="A0BE1C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32D60813"/>
    <w:multiLevelType w:val="hybridMultilevel"/>
    <w:tmpl w:val="6D805ABC"/>
    <w:lvl w:ilvl="0" w:tplc="66ECD810">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392820"/>
    <w:multiLevelType w:val="hybridMultilevel"/>
    <w:tmpl w:val="8370FD74"/>
    <w:lvl w:ilvl="0" w:tplc="261C7164">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 w15:restartNumberingAfterBreak="0">
    <w:nsid w:val="44DB3A6E"/>
    <w:multiLevelType w:val="hybridMultilevel"/>
    <w:tmpl w:val="2B34F220"/>
    <w:lvl w:ilvl="0" w:tplc="C6E28A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321BD7"/>
    <w:multiLevelType w:val="hybridMultilevel"/>
    <w:tmpl w:val="0CA0BC66"/>
    <w:lvl w:ilvl="0" w:tplc="90DA7CA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539D7A28"/>
    <w:multiLevelType w:val="hybridMultilevel"/>
    <w:tmpl w:val="6D805ABC"/>
    <w:lvl w:ilvl="0" w:tplc="66ECD810">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386D1B"/>
    <w:multiLevelType w:val="hybridMultilevel"/>
    <w:tmpl w:val="A924415C"/>
    <w:lvl w:ilvl="0" w:tplc="ACC0B7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99B6F2A"/>
    <w:multiLevelType w:val="hybridMultilevel"/>
    <w:tmpl w:val="A6B01772"/>
    <w:lvl w:ilvl="0" w:tplc="C8363354">
      <w:start w:val="1"/>
      <w:numFmt w:val="lowerLetter"/>
      <w:lvlText w:val="(%1)"/>
      <w:lvlJc w:val="left"/>
      <w:pPr>
        <w:ind w:left="1414" w:hanging="450"/>
      </w:pPr>
      <w:rPr>
        <w:rFonts w:hint="default"/>
        <w:b w:val="0"/>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9" w15:restartNumberingAfterBreak="0">
    <w:nsid w:val="7E717985"/>
    <w:multiLevelType w:val="hybridMultilevel"/>
    <w:tmpl w:val="6AF47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6"/>
  </w:num>
  <w:num w:numId="6">
    <w:abstractNumId w:val="2"/>
  </w:num>
  <w:num w:numId="7">
    <w:abstractNumId w:val="4"/>
  </w:num>
  <w:num w:numId="8">
    <w:abstractNumId w:val="7"/>
  </w:num>
  <w:num w:numId="9">
    <w:abstractNumId w:val="1"/>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C62"/>
    <w:rsid w:val="00006AC3"/>
    <w:rsid w:val="00011F63"/>
    <w:rsid w:val="0001559B"/>
    <w:rsid w:val="00015EE1"/>
    <w:rsid w:val="00017D36"/>
    <w:rsid w:val="00021B5A"/>
    <w:rsid w:val="00027A09"/>
    <w:rsid w:val="000415F9"/>
    <w:rsid w:val="0004329F"/>
    <w:rsid w:val="000643A8"/>
    <w:rsid w:val="000644F1"/>
    <w:rsid w:val="00071531"/>
    <w:rsid w:val="00071B6D"/>
    <w:rsid w:val="00077315"/>
    <w:rsid w:val="0008557F"/>
    <w:rsid w:val="00087A20"/>
    <w:rsid w:val="000A458C"/>
    <w:rsid w:val="000A7076"/>
    <w:rsid w:val="000B25DC"/>
    <w:rsid w:val="000F3857"/>
    <w:rsid w:val="000F6104"/>
    <w:rsid w:val="00116EB0"/>
    <w:rsid w:val="00117F2D"/>
    <w:rsid w:val="0013533F"/>
    <w:rsid w:val="00140FE5"/>
    <w:rsid w:val="00141B64"/>
    <w:rsid w:val="001446FE"/>
    <w:rsid w:val="001610BC"/>
    <w:rsid w:val="001732CB"/>
    <w:rsid w:val="00186660"/>
    <w:rsid w:val="00193CC0"/>
    <w:rsid w:val="00196663"/>
    <w:rsid w:val="001A33EA"/>
    <w:rsid w:val="001B0564"/>
    <w:rsid w:val="001B2750"/>
    <w:rsid w:val="001C56C1"/>
    <w:rsid w:val="001E3298"/>
    <w:rsid w:val="001E7383"/>
    <w:rsid w:val="001F1E33"/>
    <w:rsid w:val="001F6CC4"/>
    <w:rsid w:val="0020011E"/>
    <w:rsid w:val="00202E49"/>
    <w:rsid w:val="00206D2A"/>
    <w:rsid w:val="0023405B"/>
    <w:rsid w:val="00235A82"/>
    <w:rsid w:val="0025223E"/>
    <w:rsid w:val="00252BF9"/>
    <w:rsid w:val="00263ABB"/>
    <w:rsid w:val="002652A3"/>
    <w:rsid w:val="0027718D"/>
    <w:rsid w:val="00282C47"/>
    <w:rsid w:val="00296450"/>
    <w:rsid w:val="002B6C65"/>
    <w:rsid w:val="002C24AF"/>
    <w:rsid w:val="002C503E"/>
    <w:rsid w:val="002E1590"/>
    <w:rsid w:val="002E29B6"/>
    <w:rsid w:val="002F7739"/>
    <w:rsid w:val="00304118"/>
    <w:rsid w:val="003065AF"/>
    <w:rsid w:val="00324560"/>
    <w:rsid w:val="00346AF7"/>
    <w:rsid w:val="003470CB"/>
    <w:rsid w:val="003611DC"/>
    <w:rsid w:val="00370571"/>
    <w:rsid w:val="00380452"/>
    <w:rsid w:val="00382A29"/>
    <w:rsid w:val="003B1888"/>
    <w:rsid w:val="003D2029"/>
    <w:rsid w:val="003D342C"/>
    <w:rsid w:val="003D6C15"/>
    <w:rsid w:val="003E1425"/>
    <w:rsid w:val="003E3A46"/>
    <w:rsid w:val="003F648D"/>
    <w:rsid w:val="00400865"/>
    <w:rsid w:val="00405A56"/>
    <w:rsid w:val="00420370"/>
    <w:rsid w:val="0042056E"/>
    <w:rsid w:val="00441999"/>
    <w:rsid w:val="00446498"/>
    <w:rsid w:val="00455FA1"/>
    <w:rsid w:val="00480309"/>
    <w:rsid w:val="00481455"/>
    <w:rsid w:val="00493927"/>
    <w:rsid w:val="004A06A4"/>
    <w:rsid w:val="004B1CBF"/>
    <w:rsid w:val="004C72FC"/>
    <w:rsid w:val="004E3EB7"/>
    <w:rsid w:val="004F0138"/>
    <w:rsid w:val="004F66AE"/>
    <w:rsid w:val="00515CEB"/>
    <w:rsid w:val="00532C62"/>
    <w:rsid w:val="005624F2"/>
    <w:rsid w:val="00571EAE"/>
    <w:rsid w:val="005758DC"/>
    <w:rsid w:val="00581AD3"/>
    <w:rsid w:val="00585D07"/>
    <w:rsid w:val="005A3BB1"/>
    <w:rsid w:val="005B0E87"/>
    <w:rsid w:val="005C10B8"/>
    <w:rsid w:val="005D297B"/>
    <w:rsid w:val="005D3907"/>
    <w:rsid w:val="005E5242"/>
    <w:rsid w:val="005F01D8"/>
    <w:rsid w:val="005F48F4"/>
    <w:rsid w:val="00600A31"/>
    <w:rsid w:val="0060573B"/>
    <w:rsid w:val="006130A5"/>
    <w:rsid w:val="0061616A"/>
    <w:rsid w:val="006214F0"/>
    <w:rsid w:val="006330EC"/>
    <w:rsid w:val="0064413C"/>
    <w:rsid w:val="00654855"/>
    <w:rsid w:val="00657AD8"/>
    <w:rsid w:val="00671410"/>
    <w:rsid w:val="006760E6"/>
    <w:rsid w:val="006841C6"/>
    <w:rsid w:val="006B0A78"/>
    <w:rsid w:val="006B1E75"/>
    <w:rsid w:val="006C01C9"/>
    <w:rsid w:val="006D2D41"/>
    <w:rsid w:val="006E56A5"/>
    <w:rsid w:val="00701CD6"/>
    <w:rsid w:val="00707E29"/>
    <w:rsid w:val="007257DC"/>
    <w:rsid w:val="00725D46"/>
    <w:rsid w:val="00730DA9"/>
    <w:rsid w:val="007347C1"/>
    <w:rsid w:val="00747CE0"/>
    <w:rsid w:val="0076066C"/>
    <w:rsid w:val="0076168E"/>
    <w:rsid w:val="0077389F"/>
    <w:rsid w:val="00777B4F"/>
    <w:rsid w:val="0078390A"/>
    <w:rsid w:val="007856AF"/>
    <w:rsid w:val="007B0495"/>
    <w:rsid w:val="007B4432"/>
    <w:rsid w:val="007E4D51"/>
    <w:rsid w:val="007F71C5"/>
    <w:rsid w:val="008028C9"/>
    <w:rsid w:val="00807661"/>
    <w:rsid w:val="00824FD8"/>
    <w:rsid w:val="00827B72"/>
    <w:rsid w:val="00827C68"/>
    <w:rsid w:val="00842B4F"/>
    <w:rsid w:val="008464C1"/>
    <w:rsid w:val="00850CA7"/>
    <w:rsid w:val="00860F98"/>
    <w:rsid w:val="008625C2"/>
    <w:rsid w:val="00897580"/>
    <w:rsid w:val="008A3E11"/>
    <w:rsid w:val="008B57E2"/>
    <w:rsid w:val="008D1C40"/>
    <w:rsid w:val="008F408E"/>
    <w:rsid w:val="00900559"/>
    <w:rsid w:val="009011C6"/>
    <w:rsid w:val="00910451"/>
    <w:rsid w:val="0092002D"/>
    <w:rsid w:val="00924343"/>
    <w:rsid w:val="00933803"/>
    <w:rsid w:val="00965A73"/>
    <w:rsid w:val="00980C55"/>
    <w:rsid w:val="00992972"/>
    <w:rsid w:val="009A4F5F"/>
    <w:rsid w:val="009B3C86"/>
    <w:rsid w:val="009C407D"/>
    <w:rsid w:val="009F1F10"/>
    <w:rsid w:val="009F232F"/>
    <w:rsid w:val="00A001B2"/>
    <w:rsid w:val="00A10F6A"/>
    <w:rsid w:val="00A34824"/>
    <w:rsid w:val="00A34D75"/>
    <w:rsid w:val="00A3786D"/>
    <w:rsid w:val="00A4224C"/>
    <w:rsid w:val="00A6082C"/>
    <w:rsid w:val="00A65098"/>
    <w:rsid w:val="00A73518"/>
    <w:rsid w:val="00A77F06"/>
    <w:rsid w:val="00A834AE"/>
    <w:rsid w:val="00A916FA"/>
    <w:rsid w:val="00AA2AD8"/>
    <w:rsid w:val="00AB40A6"/>
    <w:rsid w:val="00AC5FED"/>
    <w:rsid w:val="00AD3223"/>
    <w:rsid w:val="00AD3A58"/>
    <w:rsid w:val="00AD4C31"/>
    <w:rsid w:val="00AE00AC"/>
    <w:rsid w:val="00AE044C"/>
    <w:rsid w:val="00AF7A53"/>
    <w:rsid w:val="00B05C43"/>
    <w:rsid w:val="00B05DAB"/>
    <w:rsid w:val="00B06A49"/>
    <w:rsid w:val="00B45A58"/>
    <w:rsid w:val="00B545B5"/>
    <w:rsid w:val="00B622DB"/>
    <w:rsid w:val="00B6492F"/>
    <w:rsid w:val="00B7226F"/>
    <w:rsid w:val="00B73C01"/>
    <w:rsid w:val="00B808DC"/>
    <w:rsid w:val="00B84645"/>
    <w:rsid w:val="00BB663B"/>
    <w:rsid w:val="00BC1DD1"/>
    <w:rsid w:val="00BC328F"/>
    <w:rsid w:val="00BD11D3"/>
    <w:rsid w:val="00BD7295"/>
    <w:rsid w:val="00BE2718"/>
    <w:rsid w:val="00BE5761"/>
    <w:rsid w:val="00C16EB8"/>
    <w:rsid w:val="00C17DA9"/>
    <w:rsid w:val="00C23AB1"/>
    <w:rsid w:val="00C378A5"/>
    <w:rsid w:val="00C600ED"/>
    <w:rsid w:val="00C7292A"/>
    <w:rsid w:val="00C74687"/>
    <w:rsid w:val="00C82545"/>
    <w:rsid w:val="00C84FFC"/>
    <w:rsid w:val="00C97B0E"/>
    <w:rsid w:val="00CB2EBA"/>
    <w:rsid w:val="00CB531D"/>
    <w:rsid w:val="00CB7A69"/>
    <w:rsid w:val="00CD4915"/>
    <w:rsid w:val="00CE039F"/>
    <w:rsid w:val="00D033AA"/>
    <w:rsid w:val="00D234B7"/>
    <w:rsid w:val="00D418FB"/>
    <w:rsid w:val="00D5229D"/>
    <w:rsid w:val="00D5325B"/>
    <w:rsid w:val="00D60E2C"/>
    <w:rsid w:val="00D64917"/>
    <w:rsid w:val="00D75E07"/>
    <w:rsid w:val="00D8667D"/>
    <w:rsid w:val="00D8731B"/>
    <w:rsid w:val="00D974EC"/>
    <w:rsid w:val="00DA55C8"/>
    <w:rsid w:val="00DB4464"/>
    <w:rsid w:val="00E001F3"/>
    <w:rsid w:val="00E018D9"/>
    <w:rsid w:val="00E05459"/>
    <w:rsid w:val="00E060C6"/>
    <w:rsid w:val="00E115AF"/>
    <w:rsid w:val="00E1404C"/>
    <w:rsid w:val="00E3165C"/>
    <w:rsid w:val="00E41697"/>
    <w:rsid w:val="00E43E06"/>
    <w:rsid w:val="00E45A2F"/>
    <w:rsid w:val="00E50D54"/>
    <w:rsid w:val="00E52466"/>
    <w:rsid w:val="00E57AD4"/>
    <w:rsid w:val="00E57DBB"/>
    <w:rsid w:val="00E66D4A"/>
    <w:rsid w:val="00E67C0B"/>
    <w:rsid w:val="00E7442C"/>
    <w:rsid w:val="00E76826"/>
    <w:rsid w:val="00E76C83"/>
    <w:rsid w:val="00EA0C04"/>
    <w:rsid w:val="00EA368B"/>
    <w:rsid w:val="00EA5AE1"/>
    <w:rsid w:val="00EC24C2"/>
    <w:rsid w:val="00EC37F7"/>
    <w:rsid w:val="00ED0ABB"/>
    <w:rsid w:val="00ED31DF"/>
    <w:rsid w:val="00ED3874"/>
    <w:rsid w:val="00ED49CB"/>
    <w:rsid w:val="00ED63D1"/>
    <w:rsid w:val="00EF2381"/>
    <w:rsid w:val="00F04789"/>
    <w:rsid w:val="00F1229F"/>
    <w:rsid w:val="00F34272"/>
    <w:rsid w:val="00F41F2A"/>
    <w:rsid w:val="00F6106B"/>
    <w:rsid w:val="00F74F7D"/>
    <w:rsid w:val="00F750C0"/>
    <w:rsid w:val="00F75478"/>
    <w:rsid w:val="00FA4AA6"/>
    <w:rsid w:val="00FB3DD5"/>
    <w:rsid w:val="00FB73DF"/>
    <w:rsid w:val="00FF7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A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C62"/>
    <w:pPr>
      <w:spacing w:after="0" w:line="240" w:lineRule="auto"/>
    </w:pPr>
    <w:rPr>
      <w:rFonts w:ascii="Times New Roman" w:eastAsia="Times New Roman" w:hAnsi="Times New Roman" w:cs="Times New Roman"/>
      <w:sz w:val="24"/>
      <w:szCs w:val="24"/>
      <w:lang w:eastAsia="en-AU"/>
    </w:rPr>
  </w:style>
  <w:style w:type="paragraph" w:styleId="Heading5">
    <w:name w:val="heading 5"/>
    <w:basedOn w:val="Normal"/>
    <w:next w:val="Normal"/>
    <w:link w:val="Heading5Char"/>
    <w:semiHidden/>
    <w:unhideWhenUsed/>
    <w:qFormat/>
    <w:rsid w:val="00A916FA"/>
    <w:pPr>
      <w:overflowPunct w:val="0"/>
      <w:autoSpaceDE w:val="0"/>
      <w:autoSpaceDN w:val="0"/>
      <w:adjustRightInd w:val="0"/>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532C62"/>
    <w:pPr>
      <w:spacing w:before="120" w:after="60"/>
    </w:pPr>
    <w:rPr>
      <w:rFonts w:ascii="Arial" w:hAnsi="Arial"/>
      <w:b/>
      <w:sz w:val="20"/>
    </w:rPr>
  </w:style>
  <w:style w:type="paragraph" w:customStyle="1" w:styleId="HeaderBoldOdd">
    <w:name w:val="HeaderBoldOdd"/>
    <w:basedOn w:val="Normal"/>
    <w:rsid w:val="00532C62"/>
    <w:pPr>
      <w:spacing w:before="120" w:after="60"/>
      <w:jc w:val="right"/>
    </w:pPr>
    <w:rPr>
      <w:rFonts w:ascii="Arial" w:hAnsi="Arial"/>
      <w:b/>
      <w:sz w:val="20"/>
    </w:rPr>
  </w:style>
  <w:style w:type="paragraph" w:customStyle="1" w:styleId="HeaderLiteEven">
    <w:name w:val="HeaderLiteEven"/>
    <w:basedOn w:val="Normal"/>
    <w:rsid w:val="00532C62"/>
    <w:pPr>
      <w:tabs>
        <w:tab w:val="center" w:pos="3969"/>
        <w:tab w:val="right" w:pos="8505"/>
      </w:tabs>
      <w:spacing w:before="60"/>
    </w:pPr>
    <w:rPr>
      <w:rFonts w:ascii="Arial" w:hAnsi="Arial"/>
      <w:sz w:val="18"/>
    </w:rPr>
  </w:style>
  <w:style w:type="paragraph" w:customStyle="1" w:styleId="HeaderLiteOdd">
    <w:name w:val="HeaderLiteOdd"/>
    <w:basedOn w:val="Normal"/>
    <w:rsid w:val="00532C62"/>
    <w:pPr>
      <w:tabs>
        <w:tab w:val="center" w:pos="3969"/>
        <w:tab w:val="right" w:pos="8505"/>
      </w:tabs>
      <w:spacing w:before="60"/>
      <w:jc w:val="right"/>
    </w:pPr>
    <w:rPr>
      <w:rFonts w:ascii="Arial" w:hAnsi="Arial"/>
      <w:sz w:val="18"/>
    </w:rPr>
  </w:style>
  <w:style w:type="paragraph" w:styleId="Footer">
    <w:name w:val="footer"/>
    <w:basedOn w:val="Normal"/>
    <w:link w:val="FooterChar"/>
    <w:rsid w:val="00532C62"/>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rsid w:val="00532C62"/>
    <w:rPr>
      <w:rFonts w:ascii="Arial" w:eastAsia="Times New Roman" w:hAnsi="Arial" w:cs="Times New Roman"/>
      <w:i/>
      <w:sz w:val="18"/>
      <w:szCs w:val="18"/>
      <w:lang w:eastAsia="en-AU"/>
    </w:rPr>
  </w:style>
  <w:style w:type="paragraph" w:customStyle="1" w:styleId="FooterDraft">
    <w:name w:val="FooterDraft"/>
    <w:basedOn w:val="Normal"/>
    <w:rsid w:val="00532C62"/>
    <w:pPr>
      <w:jc w:val="center"/>
    </w:pPr>
    <w:rPr>
      <w:rFonts w:ascii="Arial" w:hAnsi="Arial"/>
      <w:b/>
      <w:sz w:val="40"/>
    </w:rPr>
  </w:style>
  <w:style w:type="paragraph" w:customStyle="1" w:styleId="FooterInfo">
    <w:name w:val="FooterInfo"/>
    <w:basedOn w:val="Normal"/>
    <w:rsid w:val="00532C62"/>
    <w:rPr>
      <w:rFonts w:ascii="Arial" w:hAnsi="Arial"/>
      <w:sz w:val="12"/>
    </w:rPr>
  </w:style>
  <w:style w:type="paragraph" w:styleId="BodyText">
    <w:name w:val="Body Text"/>
    <w:basedOn w:val="Normal"/>
    <w:link w:val="BodyTextChar"/>
    <w:rsid w:val="00532C62"/>
    <w:pPr>
      <w:spacing w:after="120"/>
    </w:pPr>
  </w:style>
  <w:style w:type="character" w:customStyle="1" w:styleId="BodyTextChar">
    <w:name w:val="Body Text Char"/>
    <w:basedOn w:val="DefaultParagraphFont"/>
    <w:link w:val="BodyText"/>
    <w:rsid w:val="00532C62"/>
    <w:rPr>
      <w:rFonts w:ascii="Times New Roman" w:eastAsia="Times New Roman" w:hAnsi="Times New Roman" w:cs="Times New Roman"/>
      <w:sz w:val="24"/>
      <w:szCs w:val="24"/>
      <w:lang w:eastAsia="en-AU"/>
    </w:rPr>
  </w:style>
  <w:style w:type="paragraph" w:styleId="Header">
    <w:name w:val="header"/>
    <w:basedOn w:val="Normal"/>
    <w:link w:val="HeaderChar"/>
    <w:rsid w:val="00532C62"/>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532C62"/>
    <w:rPr>
      <w:rFonts w:ascii="Arial" w:eastAsia="Times New Roman" w:hAnsi="Arial" w:cs="Times New Roman"/>
      <w:sz w:val="16"/>
      <w:szCs w:val="24"/>
      <w:lang w:eastAsia="en-AU"/>
    </w:rPr>
  </w:style>
  <w:style w:type="character" w:styleId="PageNumber">
    <w:name w:val="page number"/>
    <w:basedOn w:val="DefaultParagraphFont"/>
    <w:rsid w:val="00532C62"/>
    <w:rPr>
      <w:rFonts w:ascii="Arial" w:hAnsi="Arial"/>
      <w:sz w:val="22"/>
    </w:rPr>
  </w:style>
  <w:style w:type="paragraph" w:styleId="Title">
    <w:name w:val="Title"/>
    <w:basedOn w:val="Normal"/>
    <w:next w:val="Normal"/>
    <w:link w:val="TitleChar"/>
    <w:qFormat/>
    <w:rsid w:val="00532C62"/>
    <w:pPr>
      <w:spacing w:before="480"/>
    </w:pPr>
    <w:rPr>
      <w:rFonts w:ascii="Arial" w:hAnsi="Arial" w:cs="Arial"/>
      <w:b/>
      <w:bCs/>
      <w:sz w:val="40"/>
      <w:szCs w:val="40"/>
    </w:rPr>
  </w:style>
  <w:style w:type="character" w:customStyle="1" w:styleId="TitleChar">
    <w:name w:val="Title Char"/>
    <w:basedOn w:val="DefaultParagraphFont"/>
    <w:link w:val="Title"/>
    <w:rsid w:val="00532C62"/>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532C6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532C6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532C62"/>
    <w:pPr>
      <w:tabs>
        <w:tab w:val="right" w:pos="794"/>
      </w:tabs>
      <w:spacing w:before="120" w:line="260" w:lineRule="exact"/>
      <w:ind w:left="964" w:hanging="964"/>
      <w:jc w:val="both"/>
    </w:pPr>
  </w:style>
  <w:style w:type="paragraph" w:customStyle="1" w:styleId="A2S">
    <w:name w:val="A2S"/>
    <w:aliases w:val="Schedule Inst Amendment"/>
    <w:basedOn w:val="Normal"/>
    <w:next w:val="Normal"/>
    <w:rsid w:val="00532C62"/>
    <w:pPr>
      <w:keepNext/>
      <w:spacing w:before="120" w:line="260" w:lineRule="exact"/>
      <w:ind w:left="964"/>
    </w:pPr>
    <w:rPr>
      <w:i/>
    </w:rPr>
  </w:style>
  <w:style w:type="paragraph" w:customStyle="1" w:styleId="A4">
    <w:name w:val="A4"/>
    <w:aliases w:val="(a) Amendment"/>
    <w:basedOn w:val="Normal"/>
    <w:rsid w:val="00532C62"/>
    <w:pPr>
      <w:tabs>
        <w:tab w:val="right" w:pos="1247"/>
      </w:tabs>
      <w:spacing w:before="60" w:line="260" w:lineRule="exact"/>
      <w:ind w:left="1531" w:hanging="1531"/>
      <w:jc w:val="both"/>
    </w:pPr>
  </w:style>
  <w:style w:type="paragraph" w:customStyle="1" w:styleId="ASref">
    <w:name w:val="AS ref"/>
    <w:basedOn w:val="Normal"/>
    <w:next w:val="A1S"/>
    <w:rsid w:val="00532C62"/>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532C62"/>
    <w:pPr>
      <w:keepNext/>
      <w:keepLines/>
      <w:spacing w:before="480"/>
      <w:ind w:left="2410" w:hanging="2410"/>
    </w:pPr>
    <w:rPr>
      <w:rFonts w:ascii="Arial" w:hAnsi="Arial"/>
      <w:b/>
      <w:sz w:val="32"/>
    </w:rPr>
  </w:style>
  <w:style w:type="character" w:customStyle="1" w:styleId="CharAmSchNo">
    <w:name w:val="CharAmSchNo"/>
    <w:basedOn w:val="DefaultParagraphFont"/>
    <w:rsid w:val="00532C62"/>
  </w:style>
  <w:style w:type="character" w:customStyle="1" w:styleId="CharAmSchText">
    <w:name w:val="CharAmSchText"/>
    <w:basedOn w:val="DefaultParagraphFont"/>
    <w:rsid w:val="00532C62"/>
  </w:style>
  <w:style w:type="paragraph" w:customStyle="1" w:styleId="MainBodySectionBreak">
    <w:name w:val="MainBody Section Break"/>
    <w:basedOn w:val="Normal"/>
    <w:next w:val="Normal"/>
    <w:rsid w:val="00532C62"/>
  </w:style>
  <w:style w:type="paragraph" w:customStyle="1" w:styleId="NoteEnd">
    <w:name w:val="Note End"/>
    <w:basedOn w:val="Normal"/>
    <w:rsid w:val="00532C62"/>
    <w:pPr>
      <w:keepLines/>
      <w:spacing w:before="120" w:line="240" w:lineRule="exact"/>
      <w:ind w:left="567" w:hanging="567"/>
      <w:jc w:val="both"/>
    </w:pPr>
    <w:rPr>
      <w:sz w:val="22"/>
    </w:rPr>
  </w:style>
  <w:style w:type="paragraph" w:customStyle="1" w:styleId="NotesSectionBreak">
    <w:name w:val="NotesSectionBreak"/>
    <w:basedOn w:val="Normal"/>
    <w:next w:val="Normal"/>
    <w:rsid w:val="00532C62"/>
  </w:style>
  <w:style w:type="paragraph" w:customStyle="1" w:styleId="P1">
    <w:name w:val="P1"/>
    <w:aliases w:val="(a)"/>
    <w:basedOn w:val="Normal"/>
    <w:rsid w:val="00532C62"/>
    <w:pPr>
      <w:keepLines/>
      <w:tabs>
        <w:tab w:val="right" w:pos="1191"/>
      </w:tabs>
      <w:spacing w:before="60" w:line="260" w:lineRule="exact"/>
      <w:ind w:left="1418" w:hanging="1418"/>
      <w:jc w:val="both"/>
    </w:pPr>
  </w:style>
  <w:style w:type="character" w:customStyle="1" w:styleId="CharAmSchPTNo">
    <w:name w:val="CharAmSchPTNo"/>
    <w:basedOn w:val="DefaultParagraphFont"/>
    <w:rsid w:val="00532C62"/>
  </w:style>
  <w:style w:type="character" w:customStyle="1" w:styleId="CharAmSchPTText">
    <w:name w:val="CharAmSchPTText"/>
    <w:basedOn w:val="DefaultParagraphFont"/>
    <w:rsid w:val="00532C62"/>
  </w:style>
  <w:style w:type="paragraph" w:customStyle="1" w:styleId="FooterCitation">
    <w:name w:val="FooterCitation"/>
    <w:basedOn w:val="Footer"/>
    <w:rsid w:val="00532C62"/>
    <w:pPr>
      <w:tabs>
        <w:tab w:val="clear" w:pos="3600"/>
        <w:tab w:val="clear" w:pos="7201"/>
        <w:tab w:val="center" w:pos="4153"/>
        <w:tab w:val="right" w:pos="8306"/>
      </w:tabs>
      <w:spacing w:before="20" w:line="240" w:lineRule="exact"/>
    </w:pPr>
    <w:rPr>
      <w:szCs w:val="24"/>
    </w:rPr>
  </w:style>
  <w:style w:type="paragraph" w:customStyle="1" w:styleId="SigningPageBreak">
    <w:name w:val="SigningPageBreak"/>
    <w:basedOn w:val="Normal"/>
    <w:next w:val="Normal"/>
    <w:rsid w:val="00532C62"/>
  </w:style>
  <w:style w:type="paragraph" w:customStyle="1" w:styleId="TableText">
    <w:name w:val="TableText"/>
    <w:basedOn w:val="Normal"/>
    <w:rsid w:val="00532C62"/>
    <w:pPr>
      <w:spacing w:before="60" w:after="60" w:line="240" w:lineRule="exact"/>
    </w:pPr>
    <w:rPr>
      <w:sz w:val="22"/>
    </w:rPr>
  </w:style>
  <w:style w:type="paragraph" w:customStyle="1" w:styleId="Zdefinition">
    <w:name w:val="Zdefinition"/>
    <w:basedOn w:val="Normal"/>
    <w:rsid w:val="00532C62"/>
    <w:pPr>
      <w:keepNext/>
      <w:spacing w:before="80" w:line="260" w:lineRule="exact"/>
      <w:ind w:left="964"/>
      <w:jc w:val="both"/>
    </w:pPr>
  </w:style>
  <w:style w:type="character" w:customStyle="1" w:styleId="CharSectnoAm">
    <w:name w:val="CharSectnoAm"/>
    <w:basedOn w:val="DefaultParagraphFont"/>
    <w:rsid w:val="00532C62"/>
  </w:style>
  <w:style w:type="paragraph" w:styleId="BalloonText">
    <w:name w:val="Balloon Text"/>
    <w:basedOn w:val="Normal"/>
    <w:link w:val="BalloonTextChar"/>
    <w:uiPriority w:val="99"/>
    <w:semiHidden/>
    <w:unhideWhenUsed/>
    <w:rsid w:val="00532C62"/>
    <w:rPr>
      <w:rFonts w:ascii="Tahoma" w:hAnsi="Tahoma" w:cs="Tahoma"/>
      <w:sz w:val="16"/>
      <w:szCs w:val="16"/>
    </w:rPr>
  </w:style>
  <w:style w:type="character" w:customStyle="1" w:styleId="BalloonTextChar">
    <w:name w:val="Balloon Text Char"/>
    <w:basedOn w:val="DefaultParagraphFont"/>
    <w:link w:val="BalloonText"/>
    <w:uiPriority w:val="99"/>
    <w:semiHidden/>
    <w:rsid w:val="00532C62"/>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532C62"/>
    <w:rPr>
      <w:sz w:val="16"/>
      <w:szCs w:val="16"/>
    </w:rPr>
  </w:style>
  <w:style w:type="paragraph" w:styleId="CommentText">
    <w:name w:val="annotation text"/>
    <w:basedOn w:val="Normal"/>
    <w:link w:val="CommentTextChar"/>
    <w:uiPriority w:val="99"/>
    <w:semiHidden/>
    <w:unhideWhenUsed/>
    <w:rsid w:val="00532C62"/>
    <w:rPr>
      <w:sz w:val="20"/>
      <w:szCs w:val="20"/>
    </w:rPr>
  </w:style>
  <w:style w:type="character" w:customStyle="1" w:styleId="CommentTextChar">
    <w:name w:val="Comment Text Char"/>
    <w:basedOn w:val="DefaultParagraphFont"/>
    <w:link w:val="CommentText"/>
    <w:uiPriority w:val="99"/>
    <w:semiHidden/>
    <w:rsid w:val="00532C6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32C62"/>
    <w:rPr>
      <w:b/>
      <w:bCs/>
    </w:rPr>
  </w:style>
  <w:style w:type="character" w:customStyle="1" w:styleId="CommentSubjectChar">
    <w:name w:val="Comment Subject Char"/>
    <w:basedOn w:val="CommentTextChar"/>
    <w:link w:val="CommentSubject"/>
    <w:uiPriority w:val="99"/>
    <w:semiHidden/>
    <w:rsid w:val="00532C62"/>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5A3BB1"/>
    <w:pPr>
      <w:ind w:left="720"/>
      <w:contextualSpacing/>
    </w:pPr>
  </w:style>
  <w:style w:type="paragraph" w:styleId="Revision">
    <w:name w:val="Revision"/>
    <w:hidden/>
    <w:uiPriority w:val="99"/>
    <w:semiHidden/>
    <w:rsid w:val="001B0564"/>
    <w:pPr>
      <w:spacing w:after="0" w:line="240" w:lineRule="auto"/>
    </w:pPr>
    <w:rPr>
      <w:rFonts w:ascii="Times New Roman" w:eastAsia="Times New Roman" w:hAnsi="Times New Roman" w:cs="Times New Roman"/>
      <w:sz w:val="24"/>
      <w:szCs w:val="24"/>
      <w:lang w:eastAsia="en-AU"/>
    </w:rPr>
  </w:style>
  <w:style w:type="paragraph" w:customStyle="1" w:styleId="P2">
    <w:name w:val="P2"/>
    <w:aliases w:val="(i)"/>
    <w:basedOn w:val="Normal"/>
    <w:rsid w:val="00EF2381"/>
    <w:pPr>
      <w:tabs>
        <w:tab w:val="right" w:pos="1758"/>
        <w:tab w:val="left" w:pos="2155"/>
      </w:tabs>
      <w:spacing w:before="60" w:line="260" w:lineRule="exact"/>
      <w:ind w:left="1985" w:hanging="1985"/>
      <w:jc w:val="both"/>
    </w:pPr>
    <w:rPr>
      <w:lang w:eastAsia="en-US"/>
    </w:rPr>
  </w:style>
  <w:style w:type="character" w:customStyle="1" w:styleId="charpartno">
    <w:name w:val="charpartno"/>
    <w:basedOn w:val="DefaultParagraphFont"/>
    <w:rsid w:val="00827C68"/>
  </w:style>
  <w:style w:type="character" w:customStyle="1" w:styleId="Heading5Char">
    <w:name w:val="Heading 5 Char"/>
    <w:basedOn w:val="DefaultParagraphFont"/>
    <w:link w:val="Heading5"/>
    <w:semiHidden/>
    <w:rsid w:val="00A916FA"/>
    <w:rPr>
      <w:rFonts w:ascii="Times New Roman" w:eastAsia="Times New Roman" w:hAnsi="Times New Roman" w:cs="Times New Roman"/>
      <w:b/>
      <w:bCs/>
      <w:i/>
      <w:iCs/>
      <w:sz w:val="26"/>
      <w:szCs w:val="26"/>
      <w:lang w:eastAsia="en-AU"/>
    </w:rPr>
  </w:style>
  <w:style w:type="character" w:styleId="Hyperlink">
    <w:name w:val="Hyperlink"/>
    <w:basedOn w:val="DefaultParagraphFont"/>
    <w:semiHidden/>
    <w:unhideWhenUsed/>
    <w:rsid w:val="00A916FA"/>
    <w:rPr>
      <w:color w:val="0000FF"/>
      <w:u w:val="single"/>
    </w:rPr>
  </w:style>
  <w:style w:type="character" w:styleId="Emphasis">
    <w:name w:val="Emphasis"/>
    <w:basedOn w:val="DefaultParagraphFont"/>
    <w:qFormat/>
    <w:rsid w:val="00A916FA"/>
    <w:rPr>
      <w:i/>
      <w:iCs w:val="0"/>
    </w:rPr>
  </w:style>
  <w:style w:type="paragraph" w:customStyle="1" w:styleId="ACMAHeading3">
    <w:name w:val="ACMA Heading 3"/>
    <w:next w:val="Normal"/>
    <w:uiPriority w:val="99"/>
    <w:rsid w:val="00A916FA"/>
    <w:pPr>
      <w:keepNext/>
      <w:suppressAutoHyphens/>
      <w:spacing w:before="240" w:after="0" w:line="240" w:lineRule="auto"/>
      <w:outlineLvl w:val="3"/>
    </w:pPr>
    <w:rPr>
      <w:rFonts w:ascii="Arial" w:eastAsia="Times New Roman" w:hAnsi="Arial" w:cs="Times New Roman"/>
      <w:b/>
      <w:sz w:val="24"/>
      <w:szCs w:val="20"/>
    </w:rPr>
  </w:style>
  <w:style w:type="paragraph" w:customStyle="1" w:styleId="indenta">
    <w:name w:val="indent(a)"/>
    <w:aliases w:val="a"/>
    <w:basedOn w:val="Normal"/>
    <w:rsid w:val="00A916FA"/>
    <w:pPr>
      <w:tabs>
        <w:tab w:val="right" w:pos="1531"/>
      </w:tabs>
      <w:spacing w:before="40" w:line="260" w:lineRule="atLeast"/>
      <w:ind w:left="1644" w:hanging="1644"/>
    </w:pPr>
    <w:rPr>
      <w:rFonts w:ascii="Times" w:hAnsi="Times"/>
      <w:sz w:val="22"/>
      <w:szCs w:val="20"/>
      <w:lang w:eastAsia="en-US"/>
    </w:rPr>
  </w:style>
  <w:style w:type="paragraph" w:customStyle="1" w:styleId="RGPara">
    <w:name w:val="RGPara"/>
    <w:aliases w:val="Readers Guide Para"/>
    <w:basedOn w:val="Normal"/>
    <w:rsid w:val="00A916FA"/>
    <w:pPr>
      <w:spacing w:before="120" w:line="260" w:lineRule="exact"/>
      <w:jc w:val="both"/>
    </w:pPr>
    <w:rPr>
      <w:rFonts w:ascii="Times" w:hAnsi="Time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604982">
      <w:bodyDiv w:val="1"/>
      <w:marLeft w:val="0"/>
      <w:marRight w:val="0"/>
      <w:marTop w:val="0"/>
      <w:marBottom w:val="0"/>
      <w:divBdr>
        <w:top w:val="none" w:sz="0" w:space="0" w:color="auto"/>
        <w:left w:val="none" w:sz="0" w:space="0" w:color="auto"/>
        <w:bottom w:val="none" w:sz="0" w:space="0" w:color="auto"/>
        <w:right w:val="none" w:sz="0" w:space="0" w:color="auto"/>
      </w:divBdr>
      <w:divsChild>
        <w:div w:id="1457599169">
          <w:marLeft w:val="0"/>
          <w:marRight w:val="0"/>
          <w:marTop w:val="0"/>
          <w:marBottom w:val="0"/>
          <w:divBdr>
            <w:top w:val="none" w:sz="0" w:space="0" w:color="auto"/>
            <w:left w:val="none" w:sz="0" w:space="0" w:color="auto"/>
            <w:bottom w:val="none" w:sz="0" w:space="0" w:color="auto"/>
            <w:right w:val="none" w:sz="0" w:space="0" w:color="auto"/>
          </w:divBdr>
          <w:divsChild>
            <w:div w:id="1324889381">
              <w:marLeft w:val="0"/>
              <w:marRight w:val="0"/>
              <w:marTop w:val="0"/>
              <w:marBottom w:val="0"/>
              <w:divBdr>
                <w:top w:val="none" w:sz="0" w:space="0" w:color="auto"/>
                <w:left w:val="none" w:sz="0" w:space="0" w:color="auto"/>
                <w:bottom w:val="none" w:sz="0" w:space="0" w:color="auto"/>
                <w:right w:val="none" w:sz="0" w:space="0" w:color="auto"/>
              </w:divBdr>
              <w:divsChild>
                <w:div w:id="345249922">
                  <w:marLeft w:val="0"/>
                  <w:marRight w:val="0"/>
                  <w:marTop w:val="0"/>
                  <w:marBottom w:val="0"/>
                  <w:divBdr>
                    <w:top w:val="none" w:sz="0" w:space="0" w:color="auto"/>
                    <w:left w:val="none" w:sz="0" w:space="0" w:color="auto"/>
                    <w:bottom w:val="none" w:sz="0" w:space="0" w:color="auto"/>
                    <w:right w:val="none" w:sz="0" w:space="0" w:color="auto"/>
                  </w:divBdr>
                  <w:divsChild>
                    <w:div w:id="1083912983">
                      <w:marLeft w:val="0"/>
                      <w:marRight w:val="0"/>
                      <w:marTop w:val="0"/>
                      <w:marBottom w:val="0"/>
                      <w:divBdr>
                        <w:top w:val="none" w:sz="0" w:space="0" w:color="auto"/>
                        <w:left w:val="none" w:sz="0" w:space="0" w:color="auto"/>
                        <w:bottom w:val="none" w:sz="0" w:space="0" w:color="auto"/>
                        <w:right w:val="none" w:sz="0" w:space="0" w:color="auto"/>
                      </w:divBdr>
                      <w:divsChild>
                        <w:div w:id="1701395235">
                          <w:marLeft w:val="0"/>
                          <w:marRight w:val="0"/>
                          <w:marTop w:val="0"/>
                          <w:marBottom w:val="0"/>
                          <w:divBdr>
                            <w:top w:val="none" w:sz="0" w:space="0" w:color="auto"/>
                            <w:left w:val="none" w:sz="0" w:space="0" w:color="auto"/>
                            <w:bottom w:val="none" w:sz="0" w:space="0" w:color="auto"/>
                            <w:right w:val="none" w:sz="0" w:space="0" w:color="auto"/>
                          </w:divBdr>
                          <w:divsChild>
                            <w:div w:id="1276712991">
                              <w:marLeft w:val="0"/>
                              <w:marRight w:val="0"/>
                              <w:marTop w:val="0"/>
                              <w:marBottom w:val="0"/>
                              <w:divBdr>
                                <w:top w:val="none" w:sz="0" w:space="0" w:color="auto"/>
                                <w:left w:val="none" w:sz="0" w:space="0" w:color="auto"/>
                                <w:bottom w:val="none" w:sz="0" w:space="0" w:color="auto"/>
                                <w:right w:val="none" w:sz="0" w:space="0" w:color="auto"/>
                              </w:divBdr>
                              <w:divsChild>
                                <w:div w:id="523832973">
                                  <w:marLeft w:val="0"/>
                                  <w:marRight w:val="0"/>
                                  <w:marTop w:val="0"/>
                                  <w:marBottom w:val="0"/>
                                  <w:divBdr>
                                    <w:top w:val="none" w:sz="0" w:space="0" w:color="auto"/>
                                    <w:left w:val="none" w:sz="0" w:space="0" w:color="auto"/>
                                    <w:bottom w:val="none" w:sz="0" w:space="0" w:color="auto"/>
                                    <w:right w:val="none" w:sz="0" w:space="0" w:color="auto"/>
                                  </w:divBdr>
                                  <w:divsChild>
                                    <w:div w:id="1069184219">
                                      <w:marLeft w:val="0"/>
                                      <w:marRight w:val="0"/>
                                      <w:marTop w:val="0"/>
                                      <w:marBottom w:val="0"/>
                                      <w:divBdr>
                                        <w:top w:val="none" w:sz="0" w:space="0" w:color="auto"/>
                                        <w:left w:val="none" w:sz="0" w:space="0" w:color="auto"/>
                                        <w:bottom w:val="none" w:sz="0" w:space="0" w:color="auto"/>
                                        <w:right w:val="none" w:sz="0" w:space="0" w:color="auto"/>
                                      </w:divBdr>
                                      <w:divsChild>
                                        <w:div w:id="1306275948">
                                          <w:marLeft w:val="0"/>
                                          <w:marRight w:val="0"/>
                                          <w:marTop w:val="0"/>
                                          <w:marBottom w:val="0"/>
                                          <w:divBdr>
                                            <w:top w:val="none" w:sz="0" w:space="0" w:color="auto"/>
                                            <w:left w:val="none" w:sz="0" w:space="0" w:color="auto"/>
                                            <w:bottom w:val="none" w:sz="0" w:space="0" w:color="auto"/>
                                            <w:right w:val="none" w:sz="0" w:space="0" w:color="auto"/>
                                          </w:divBdr>
                                          <w:divsChild>
                                            <w:div w:id="884636372">
                                              <w:marLeft w:val="0"/>
                                              <w:marRight w:val="0"/>
                                              <w:marTop w:val="0"/>
                                              <w:marBottom w:val="0"/>
                                              <w:divBdr>
                                                <w:top w:val="none" w:sz="0" w:space="0" w:color="auto"/>
                                                <w:left w:val="none" w:sz="0" w:space="0" w:color="auto"/>
                                                <w:bottom w:val="none" w:sz="0" w:space="0" w:color="auto"/>
                                                <w:right w:val="none" w:sz="0" w:space="0" w:color="auto"/>
                                              </w:divBdr>
                                              <w:divsChild>
                                                <w:div w:id="1950775035">
                                                  <w:marLeft w:val="0"/>
                                                  <w:marRight w:val="0"/>
                                                  <w:marTop w:val="0"/>
                                                  <w:marBottom w:val="0"/>
                                                  <w:divBdr>
                                                    <w:top w:val="none" w:sz="0" w:space="0" w:color="auto"/>
                                                    <w:left w:val="none" w:sz="0" w:space="0" w:color="auto"/>
                                                    <w:bottom w:val="none" w:sz="0" w:space="0" w:color="auto"/>
                                                    <w:right w:val="none" w:sz="0" w:space="0" w:color="auto"/>
                                                  </w:divBdr>
                                                  <w:divsChild>
                                                    <w:div w:id="1279338462">
                                                      <w:marLeft w:val="0"/>
                                                      <w:marRight w:val="0"/>
                                                      <w:marTop w:val="0"/>
                                                      <w:marBottom w:val="0"/>
                                                      <w:divBdr>
                                                        <w:top w:val="none" w:sz="0" w:space="0" w:color="auto"/>
                                                        <w:left w:val="none" w:sz="0" w:space="0" w:color="auto"/>
                                                        <w:bottom w:val="none" w:sz="0" w:space="0" w:color="auto"/>
                                                        <w:right w:val="none" w:sz="0" w:space="0" w:color="auto"/>
                                                      </w:divBdr>
                                                      <w:divsChild>
                                                        <w:div w:id="7483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160619">
      <w:bodyDiv w:val="1"/>
      <w:marLeft w:val="0"/>
      <w:marRight w:val="0"/>
      <w:marTop w:val="0"/>
      <w:marBottom w:val="0"/>
      <w:divBdr>
        <w:top w:val="none" w:sz="0" w:space="0" w:color="auto"/>
        <w:left w:val="none" w:sz="0" w:space="0" w:color="auto"/>
        <w:bottom w:val="none" w:sz="0" w:space="0" w:color="auto"/>
        <w:right w:val="none" w:sz="0" w:space="0" w:color="auto"/>
      </w:divBdr>
      <w:divsChild>
        <w:div w:id="583421379">
          <w:marLeft w:val="0"/>
          <w:marRight w:val="0"/>
          <w:marTop w:val="0"/>
          <w:marBottom w:val="0"/>
          <w:divBdr>
            <w:top w:val="none" w:sz="0" w:space="0" w:color="auto"/>
            <w:left w:val="none" w:sz="0" w:space="0" w:color="auto"/>
            <w:bottom w:val="none" w:sz="0" w:space="0" w:color="auto"/>
            <w:right w:val="none" w:sz="0" w:space="0" w:color="auto"/>
          </w:divBdr>
          <w:divsChild>
            <w:div w:id="2128308622">
              <w:marLeft w:val="0"/>
              <w:marRight w:val="0"/>
              <w:marTop w:val="0"/>
              <w:marBottom w:val="0"/>
              <w:divBdr>
                <w:top w:val="none" w:sz="0" w:space="0" w:color="auto"/>
                <w:left w:val="none" w:sz="0" w:space="0" w:color="auto"/>
                <w:bottom w:val="none" w:sz="0" w:space="0" w:color="auto"/>
                <w:right w:val="none" w:sz="0" w:space="0" w:color="auto"/>
              </w:divBdr>
              <w:divsChild>
                <w:div w:id="397673612">
                  <w:marLeft w:val="0"/>
                  <w:marRight w:val="0"/>
                  <w:marTop w:val="0"/>
                  <w:marBottom w:val="0"/>
                  <w:divBdr>
                    <w:top w:val="none" w:sz="0" w:space="0" w:color="auto"/>
                    <w:left w:val="none" w:sz="0" w:space="0" w:color="auto"/>
                    <w:bottom w:val="none" w:sz="0" w:space="0" w:color="auto"/>
                    <w:right w:val="none" w:sz="0" w:space="0" w:color="auto"/>
                  </w:divBdr>
                  <w:divsChild>
                    <w:div w:id="507793191">
                      <w:marLeft w:val="0"/>
                      <w:marRight w:val="0"/>
                      <w:marTop w:val="0"/>
                      <w:marBottom w:val="0"/>
                      <w:divBdr>
                        <w:top w:val="none" w:sz="0" w:space="0" w:color="auto"/>
                        <w:left w:val="none" w:sz="0" w:space="0" w:color="auto"/>
                        <w:bottom w:val="none" w:sz="0" w:space="0" w:color="auto"/>
                        <w:right w:val="none" w:sz="0" w:space="0" w:color="auto"/>
                      </w:divBdr>
                      <w:divsChild>
                        <w:div w:id="728112331">
                          <w:marLeft w:val="0"/>
                          <w:marRight w:val="0"/>
                          <w:marTop w:val="0"/>
                          <w:marBottom w:val="0"/>
                          <w:divBdr>
                            <w:top w:val="none" w:sz="0" w:space="0" w:color="auto"/>
                            <w:left w:val="none" w:sz="0" w:space="0" w:color="auto"/>
                            <w:bottom w:val="none" w:sz="0" w:space="0" w:color="auto"/>
                            <w:right w:val="none" w:sz="0" w:space="0" w:color="auto"/>
                          </w:divBdr>
                          <w:divsChild>
                            <w:div w:id="969676689">
                              <w:marLeft w:val="0"/>
                              <w:marRight w:val="0"/>
                              <w:marTop w:val="0"/>
                              <w:marBottom w:val="0"/>
                              <w:divBdr>
                                <w:top w:val="none" w:sz="0" w:space="0" w:color="auto"/>
                                <w:left w:val="none" w:sz="0" w:space="0" w:color="auto"/>
                                <w:bottom w:val="none" w:sz="0" w:space="0" w:color="auto"/>
                                <w:right w:val="none" w:sz="0" w:space="0" w:color="auto"/>
                              </w:divBdr>
                              <w:divsChild>
                                <w:div w:id="2089495236">
                                  <w:marLeft w:val="0"/>
                                  <w:marRight w:val="0"/>
                                  <w:marTop w:val="0"/>
                                  <w:marBottom w:val="0"/>
                                  <w:divBdr>
                                    <w:top w:val="none" w:sz="0" w:space="0" w:color="auto"/>
                                    <w:left w:val="none" w:sz="0" w:space="0" w:color="auto"/>
                                    <w:bottom w:val="none" w:sz="0" w:space="0" w:color="auto"/>
                                    <w:right w:val="none" w:sz="0" w:space="0" w:color="auto"/>
                                  </w:divBdr>
                                  <w:divsChild>
                                    <w:div w:id="142548647">
                                      <w:marLeft w:val="0"/>
                                      <w:marRight w:val="0"/>
                                      <w:marTop w:val="0"/>
                                      <w:marBottom w:val="0"/>
                                      <w:divBdr>
                                        <w:top w:val="none" w:sz="0" w:space="0" w:color="auto"/>
                                        <w:left w:val="none" w:sz="0" w:space="0" w:color="auto"/>
                                        <w:bottom w:val="none" w:sz="0" w:space="0" w:color="auto"/>
                                        <w:right w:val="none" w:sz="0" w:space="0" w:color="auto"/>
                                      </w:divBdr>
                                      <w:divsChild>
                                        <w:div w:id="434836078">
                                          <w:marLeft w:val="0"/>
                                          <w:marRight w:val="0"/>
                                          <w:marTop w:val="0"/>
                                          <w:marBottom w:val="0"/>
                                          <w:divBdr>
                                            <w:top w:val="none" w:sz="0" w:space="0" w:color="auto"/>
                                            <w:left w:val="none" w:sz="0" w:space="0" w:color="auto"/>
                                            <w:bottom w:val="none" w:sz="0" w:space="0" w:color="auto"/>
                                            <w:right w:val="none" w:sz="0" w:space="0" w:color="auto"/>
                                          </w:divBdr>
                                          <w:divsChild>
                                            <w:div w:id="1052539533">
                                              <w:marLeft w:val="0"/>
                                              <w:marRight w:val="0"/>
                                              <w:marTop w:val="0"/>
                                              <w:marBottom w:val="0"/>
                                              <w:divBdr>
                                                <w:top w:val="none" w:sz="0" w:space="0" w:color="auto"/>
                                                <w:left w:val="none" w:sz="0" w:space="0" w:color="auto"/>
                                                <w:bottom w:val="none" w:sz="0" w:space="0" w:color="auto"/>
                                                <w:right w:val="none" w:sz="0" w:space="0" w:color="auto"/>
                                              </w:divBdr>
                                              <w:divsChild>
                                                <w:div w:id="212273411">
                                                  <w:marLeft w:val="0"/>
                                                  <w:marRight w:val="0"/>
                                                  <w:marTop w:val="0"/>
                                                  <w:marBottom w:val="0"/>
                                                  <w:divBdr>
                                                    <w:top w:val="none" w:sz="0" w:space="0" w:color="auto"/>
                                                    <w:left w:val="none" w:sz="0" w:space="0" w:color="auto"/>
                                                    <w:bottom w:val="none" w:sz="0" w:space="0" w:color="auto"/>
                                                    <w:right w:val="none" w:sz="0" w:space="0" w:color="auto"/>
                                                  </w:divBdr>
                                                  <w:divsChild>
                                                    <w:div w:id="1049845226">
                                                      <w:marLeft w:val="0"/>
                                                      <w:marRight w:val="0"/>
                                                      <w:marTop w:val="0"/>
                                                      <w:marBottom w:val="0"/>
                                                      <w:divBdr>
                                                        <w:top w:val="none" w:sz="0" w:space="0" w:color="auto"/>
                                                        <w:left w:val="none" w:sz="0" w:space="0" w:color="auto"/>
                                                        <w:bottom w:val="none" w:sz="0" w:space="0" w:color="auto"/>
                                                        <w:right w:val="none" w:sz="0" w:space="0" w:color="auto"/>
                                                      </w:divBdr>
                                                      <w:divsChild>
                                                        <w:div w:id="6760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0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ecfr.gov" TargetMode="Externa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etsi.org"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UQVA7MFFXVNW-1492724726-469</_dlc_DocId>
    <_dlc_DocIdUrl xmlns="04b8ec43-391f-4ce4-8841-d6a482add564">
      <Url>http://collaboration/organisation/auth/Chair/Auth/_layouts/15/DocIdRedir.aspx?ID=UQVA7MFFXVNW-1492724726-469</Url>
      <Description>UQVA7MFFXVNW-1492724726-469</Description>
    </_dlc_DocIdUrl>
    <Category xmlns="3f364d92-07cb-4b3e-a872-160096f8dd54">(none)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ED60E87A37DD4FB76D81CDE0E41536" ma:contentTypeVersion="6" ma:contentTypeDescription="Create a new document." ma:contentTypeScope="" ma:versionID="63184fef7fe675da515023c66e38a6d0">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540A7-1F01-4080-BCC0-B9E440190CC5}">
  <ds:schemaRefs>
    <ds:schemaRef ds:uri="http://schemas.microsoft.com/sharepoint/events"/>
  </ds:schemaRefs>
</ds:datastoreItem>
</file>

<file path=customXml/itemProps2.xml><?xml version="1.0" encoding="utf-8"?>
<ds:datastoreItem xmlns:ds="http://schemas.openxmlformats.org/officeDocument/2006/customXml" ds:itemID="{73A2EA5E-8EB7-4A55-AD56-71B917B0B001}">
  <ds:schemaRefs>
    <ds:schemaRef ds:uri="http://schemas.microsoft.com/sharepoint/v3/contenttype/forms"/>
  </ds:schemaRefs>
</ds:datastoreItem>
</file>

<file path=customXml/itemProps3.xml><?xml version="1.0" encoding="utf-8"?>
<ds:datastoreItem xmlns:ds="http://schemas.openxmlformats.org/officeDocument/2006/customXml" ds:itemID="{8438FD72-3D64-46B2-A9AF-AABCEA33E37A}">
  <ds:schemaRefs>
    <ds:schemaRef ds:uri="http://schemas.microsoft.com/office/2006/metadata/properties"/>
    <ds:schemaRef ds:uri="http://schemas.microsoft.com/office/infopath/2007/PartnerControls"/>
    <ds:schemaRef ds:uri="04b8ec43-391f-4ce4-8841-d6a482add564"/>
    <ds:schemaRef ds:uri="3f364d92-07cb-4b3e-a872-160096f8dd54"/>
  </ds:schemaRefs>
</ds:datastoreItem>
</file>

<file path=customXml/itemProps4.xml><?xml version="1.0" encoding="utf-8"?>
<ds:datastoreItem xmlns:ds="http://schemas.openxmlformats.org/officeDocument/2006/customXml" ds:itemID="{7ED11AFB-E1A9-4960-B60B-B5C1B1056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B5F7E9-7408-4DAE-A2E0-06CF91BF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2018-05-16T05:56:00Z</dcterms:created>
  <dcterms:modified xsi:type="dcterms:W3CDTF">2018-09-25T01:52:00Z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5e029eae-1ad4-4f04-9b2d-c555c47bbd1c</vt:lpwstr>
  </property>
  <property fmtid="{D5CDD505-2E9C-101B-9397-08002B2CF9AE}" pid="3" name="ContentTypeId">
    <vt:lpwstr>0x0101009AED60E87A37DD4FB76D81CDE0E41536</vt:lpwstr>
  </property>
</Properties>
</file>