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C491" w14:textId="77777777" w:rsidR="008345AB" w:rsidRDefault="00AF385B" w:rsidP="008345AB">
      <w:pPr>
        <w:jc w:val="right"/>
        <w:rPr>
          <w:b/>
          <w:sz w:val="24"/>
        </w:rPr>
      </w:pPr>
      <w:bookmarkStart w:id="0" w:name="_GoBack"/>
      <w:bookmarkEnd w:id="0"/>
      <w:r>
        <w:rPr>
          <w:b/>
          <w:sz w:val="24"/>
        </w:rPr>
        <w:t>DA 18-841</w:t>
      </w:r>
    </w:p>
    <w:p w14:paraId="3D0CC61E" w14:textId="77777777" w:rsidR="008345AB" w:rsidRDefault="00AF385B" w:rsidP="008345AB">
      <w:pPr>
        <w:spacing w:before="60"/>
        <w:jc w:val="right"/>
        <w:rPr>
          <w:b/>
          <w:sz w:val="24"/>
        </w:rPr>
      </w:pPr>
      <w:r>
        <w:rPr>
          <w:b/>
          <w:sz w:val="24"/>
        </w:rPr>
        <w:t xml:space="preserve">Released:  </w:t>
      </w:r>
      <w:r>
        <w:rPr>
          <w:b/>
          <w:sz w:val="24"/>
        </w:rPr>
        <w:t>August 10, 2018</w:t>
      </w:r>
    </w:p>
    <w:p w14:paraId="2E1945C4" w14:textId="77777777" w:rsidR="008345AB" w:rsidRDefault="00AF385B" w:rsidP="008345AB">
      <w:pPr>
        <w:jc w:val="right"/>
        <w:rPr>
          <w:sz w:val="24"/>
        </w:rPr>
      </w:pPr>
    </w:p>
    <w:p w14:paraId="1A963404" w14:textId="77777777" w:rsidR="008345AB" w:rsidRPr="0089456E" w:rsidRDefault="00AF385B" w:rsidP="008345AB">
      <w:pPr>
        <w:suppressAutoHyphens/>
        <w:jc w:val="center"/>
        <w:rPr>
          <w:b/>
          <w:sz w:val="24"/>
          <w:szCs w:val="22"/>
        </w:rPr>
      </w:pPr>
      <w:r w:rsidRPr="0089456E">
        <w:rPr>
          <w:rFonts w:ascii="Times New Roman Bold" w:hAnsi="Times New Roman Bold"/>
          <w:b/>
          <w:caps/>
          <w:sz w:val="24"/>
          <w:szCs w:val="22"/>
        </w:rPr>
        <w:t xml:space="preserve">Wireless Telecommunications Bureau and Office of Engineering and Technology </w:t>
      </w:r>
      <w:r w:rsidRPr="0089456E">
        <w:rPr>
          <w:rFonts w:ascii="Times New Roman Bold" w:hAnsi="Times New Roman Bold"/>
          <w:b/>
          <w:caps/>
          <w:sz w:val="24"/>
          <w:szCs w:val="22"/>
        </w:rPr>
        <w:t xml:space="preserve">seek comment </w:t>
      </w:r>
      <w:r>
        <w:rPr>
          <w:rFonts w:ascii="Times New Roman Bold" w:hAnsi="Times New Roman Bold"/>
          <w:b/>
          <w:caps/>
          <w:sz w:val="24"/>
          <w:szCs w:val="22"/>
        </w:rPr>
        <w:t>PURSUANT</w:t>
      </w:r>
      <w:r>
        <w:rPr>
          <w:rFonts w:ascii="Times New Roman Bold" w:hAnsi="Times New Roman Bold"/>
          <w:b/>
          <w:caps/>
          <w:sz w:val="24"/>
          <w:szCs w:val="22"/>
        </w:rPr>
        <w:br/>
      </w:r>
      <w:r>
        <w:rPr>
          <w:rFonts w:ascii="Times New Roman Bold" w:hAnsi="Times New Roman Bold"/>
          <w:b/>
          <w:caps/>
          <w:sz w:val="24"/>
          <w:szCs w:val="22"/>
        </w:rPr>
        <w:t xml:space="preserve">TO </w:t>
      </w:r>
      <w:r>
        <w:rPr>
          <w:rFonts w:ascii="Times New Roman Bold" w:hAnsi="Times New Roman Bold"/>
          <w:b/>
          <w:caps/>
          <w:sz w:val="24"/>
          <w:szCs w:val="22"/>
        </w:rPr>
        <w:t xml:space="preserve">THE </w:t>
      </w:r>
      <w:r>
        <w:rPr>
          <w:rFonts w:ascii="Times New Roman Bold" w:hAnsi="Times New Roman Bold"/>
          <w:b/>
          <w:caps/>
          <w:sz w:val="24"/>
          <w:szCs w:val="22"/>
        </w:rPr>
        <w:t xml:space="preserve">SPECTRUM PIPELINE ACT </w:t>
      </w:r>
      <w:r>
        <w:rPr>
          <w:rFonts w:ascii="Times New Roman Bold" w:hAnsi="Times New Roman Bold"/>
          <w:b/>
          <w:caps/>
          <w:sz w:val="24"/>
          <w:szCs w:val="22"/>
        </w:rPr>
        <w:t>OF 2015</w:t>
      </w:r>
    </w:p>
    <w:p w14:paraId="0F563FB1" w14:textId="77777777" w:rsidR="008345AB" w:rsidRPr="0089456E" w:rsidRDefault="00AF385B" w:rsidP="008345AB">
      <w:pPr>
        <w:suppressAutoHyphens/>
        <w:jc w:val="center"/>
        <w:rPr>
          <w:sz w:val="24"/>
          <w:szCs w:val="22"/>
        </w:rPr>
      </w:pPr>
    </w:p>
    <w:p w14:paraId="7AD632A7" w14:textId="77777777" w:rsidR="008345AB" w:rsidRPr="0089456E" w:rsidRDefault="00AF385B" w:rsidP="008345AB">
      <w:pPr>
        <w:jc w:val="center"/>
        <w:rPr>
          <w:b/>
          <w:sz w:val="24"/>
        </w:rPr>
      </w:pPr>
      <w:r w:rsidRPr="0089456E">
        <w:rPr>
          <w:b/>
          <w:sz w:val="24"/>
        </w:rPr>
        <w:t>GN Docket Nos.</w:t>
      </w:r>
      <w:r w:rsidRPr="0089456E">
        <w:rPr>
          <w:b/>
          <w:sz w:val="24"/>
        </w:rPr>
        <w:t xml:space="preserve"> </w:t>
      </w:r>
      <w:r>
        <w:rPr>
          <w:b/>
          <w:sz w:val="24"/>
        </w:rPr>
        <w:t>14-177</w:t>
      </w:r>
      <w:r>
        <w:rPr>
          <w:b/>
          <w:sz w:val="24"/>
        </w:rPr>
        <w:t xml:space="preserve">, </w:t>
      </w:r>
      <w:r w:rsidRPr="0089456E">
        <w:rPr>
          <w:b/>
          <w:sz w:val="24"/>
        </w:rPr>
        <w:t>15-319</w:t>
      </w:r>
      <w:r>
        <w:rPr>
          <w:b/>
          <w:sz w:val="24"/>
        </w:rPr>
        <w:t>, 17-183</w:t>
      </w:r>
      <w:r>
        <w:rPr>
          <w:b/>
          <w:sz w:val="24"/>
        </w:rPr>
        <w:t>,</w:t>
      </w:r>
      <w:r w:rsidRPr="0089456E">
        <w:rPr>
          <w:b/>
          <w:sz w:val="24"/>
        </w:rPr>
        <w:t xml:space="preserve"> and</w:t>
      </w:r>
      <w:r w:rsidRPr="0089456E">
        <w:rPr>
          <w:b/>
          <w:sz w:val="24"/>
        </w:rPr>
        <w:t xml:space="preserve"> 17-258</w:t>
      </w:r>
    </w:p>
    <w:p w14:paraId="06622A35" w14:textId="77777777" w:rsidR="008345AB" w:rsidRPr="0089456E" w:rsidRDefault="00AF385B" w:rsidP="008345AB">
      <w:pPr>
        <w:rPr>
          <w:sz w:val="24"/>
        </w:rPr>
      </w:pPr>
      <w:bookmarkStart w:id="1" w:name="TOChere"/>
    </w:p>
    <w:bookmarkEnd w:id="1"/>
    <w:p w14:paraId="7EF9D857" w14:textId="77777777" w:rsidR="008345AB" w:rsidRPr="0089456E" w:rsidRDefault="00AF385B" w:rsidP="008345AB">
      <w:pPr>
        <w:rPr>
          <w:b/>
          <w:sz w:val="24"/>
        </w:rPr>
      </w:pPr>
      <w:r w:rsidRPr="0089456E">
        <w:rPr>
          <w:b/>
          <w:sz w:val="24"/>
        </w:rPr>
        <w:t xml:space="preserve">Comments Due:  </w:t>
      </w:r>
      <w:r>
        <w:rPr>
          <w:b/>
          <w:sz w:val="24"/>
        </w:rPr>
        <w:t>September 11,</w:t>
      </w:r>
      <w:r w:rsidRPr="0089456E">
        <w:rPr>
          <w:b/>
          <w:sz w:val="24"/>
        </w:rPr>
        <w:t xml:space="preserve"> 2018</w:t>
      </w:r>
    </w:p>
    <w:p w14:paraId="51ED7E6F" w14:textId="77777777" w:rsidR="008345AB" w:rsidRPr="0089456E" w:rsidRDefault="00AF385B" w:rsidP="008345AB">
      <w:pPr>
        <w:rPr>
          <w:b/>
          <w:sz w:val="24"/>
        </w:rPr>
      </w:pPr>
      <w:r w:rsidRPr="0089456E">
        <w:rPr>
          <w:b/>
          <w:sz w:val="24"/>
        </w:rPr>
        <w:t xml:space="preserve">Reply Comments Due:  </w:t>
      </w:r>
      <w:r>
        <w:rPr>
          <w:b/>
          <w:sz w:val="24"/>
        </w:rPr>
        <w:t>September 26,</w:t>
      </w:r>
      <w:r w:rsidRPr="0089456E">
        <w:rPr>
          <w:b/>
          <w:sz w:val="24"/>
        </w:rPr>
        <w:t xml:space="preserve"> 2018</w:t>
      </w:r>
    </w:p>
    <w:p w14:paraId="1F1859D8" w14:textId="77777777" w:rsidR="008345AB" w:rsidRPr="0089456E" w:rsidRDefault="00AF385B" w:rsidP="008345AB">
      <w:pPr>
        <w:rPr>
          <w:sz w:val="24"/>
        </w:rPr>
      </w:pPr>
    </w:p>
    <w:p w14:paraId="043B6E11" w14:textId="77777777" w:rsidR="008345AB" w:rsidRPr="0089456E" w:rsidRDefault="00AF385B" w:rsidP="00B24CD2">
      <w:pPr>
        <w:spacing w:after="120"/>
        <w:ind w:firstLine="720"/>
      </w:pPr>
      <w:r>
        <w:t>In 2015, the Commission adopted new rules for the</w:t>
      </w:r>
      <w:r w:rsidRPr="0089456E">
        <w:t xml:space="preserve"> </w:t>
      </w:r>
      <w:r w:rsidRPr="0089456E">
        <w:rPr>
          <w:szCs w:val="22"/>
        </w:rPr>
        <w:t xml:space="preserve">3550-3700 MHz band </w:t>
      </w:r>
      <w:r w:rsidRPr="0089456E">
        <w:t>(3.5 GHz Band)</w:t>
      </w:r>
      <w:r>
        <w:t xml:space="preserve">, </w:t>
      </w:r>
      <w:r>
        <w:t>opening</w:t>
      </w:r>
      <w:r>
        <w:t xml:space="preserve"> the path to new </w:t>
      </w:r>
      <w:r>
        <w:t>commercial</w:t>
      </w:r>
      <w:r>
        <w:t xml:space="preserve"> wireless use of this band.</w:t>
      </w:r>
      <w:r>
        <w:rPr>
          <w:rStyle w:val="FootnoteReference"/>
        </w:rPr>
        <w:footnoteReference w:id="2"/>
      </w:r>
      <w:r>
        <w:t xml:space="preserve">  </w:t>
      </w:r>
      <w:r w:rsidRPr="0089456E">
        <w:t xml:space="preserve">By this </w:t>
      </w:r>
      <w:r w:rsidRPr="0089456E">
        <w:rPr>
          <w:i/>
        </w:rPr>
        <w:t>Public Notice</w:t>
      </w:r>
      <w:r w:rsidRPr="0089456E">
        <w:t>, the Wireless Telecommunications Burea</w:t>
      </w:r>
      <w:r w:rsidRPr="0089456E">
        <w:t>u and the Office of Engineering and Technology of the Federal Communications Commission seek comment</w:t>
      </w:r>
      <w:r w:rsidRPr="003F3275">
        <w:t xml:space="preserve"> </w:t>
      </w:r>
      <w:r>
        <w:t xml:space="preserve">on the results of </w:t>
      </w:r>
      <w:r w:rsidRPr="0089456E">
        <w:t>th</w:t>
      </w:r>
      <w:r>
        <w:t>os</w:t>
      </w:r>
      <w:r w:rsidRPr="0089456E">
        <w:t>e rule changes</w:t>
      </w:r>
      <w:r>
        <w:t>,</w:t>
      </w:r>
      <w:r w:rsidRPr="0089456E">
        <w:t xml:space="preserve"> </w:t>
      </w:r>
      <w:r>
        <w:t xml:space="preserve">as directed by Congress in </w:t>
      </w:r>
      <w:r w:rsidRPr="0089456E">
        <w:t>the Spectrum Pipeline Act</w:t>
      </w:r>
      <w:r>
        <w:t>.</w:t>
      </w:r>
      <w:r>
        <w:rPr>
          <w:rStyle w:val="FootnoteReference"/>
        </w:rPr>
        <w:footnoteReference w:id="3"/>
      </w:r>
      <w:r w:rsidRPr="0089456E">
        <w:t xml:space="preserve"> </w:t>
      </w:r>
    </w:p>
    <w:p w14:paraId="76FA374C" w14:textId="77777777" w:rsidR="007113D2" w:rsidRPr="0089456E" w:rsidRDefault="00AF385B" w:rsidP="00B24CD2">
      <w:pPr>
        <w:spacing w:after="120"/>
        <w:ind w:firstLine="720"/>
      </w:pPr>
      <w:r w:rsidRPr="0089456E">
        <w:t>Pursuant to the Spectrum Pipeline Act, the Commission is requ</w:t>
      </w:r>
      <w:r w:rsidRPr="0089456E">
        <w:t>ired to give notice and provide an opportunity for public comment</w:t>
      </w:r>
      <w:r w:rsidRPr="0089456E">
        <w:t xml:space="preserve"> before submitting to Congress no later than </w:t>
      </w:r>
      <w:r>
        <w:t>November 2, 2018 a report containing</w:t>
      </w:r>
      <w:r>
        <w:t>:</w:t>
      </w:r>
    </w:p>
    <w:p w14:paraId="7828567E" w14:textId="77777777" w:rsidR="002D767B" w:rsidRPr="0089456E" w:rsidRDefault="00AF385B" w:rsidP="002D767B">
      <w:pPr>
        <w:numPr>
          <w:ilvl w:val="0"/>
          <w:numId w:val="12"/>
        </w:numPr>
        <w:spacing w:after="120"/>
      </w:pPr>
      <w:r w:rsidRPr="0089456E">
        <w:t xml:space="preserve">an analysis of the results of the </w:t>
      </w:r>
      <w:r>
        <w:t xml:space="preserve">2015 </w:t>
      </w:r>
      <w:r w:rsidRPr="0089456E">
        <w:t>rule changes relating to the frequencies between 3550 megahertz and 3</w:t>
      </w:r>
      <w:r w:rsidRPr="0089456E">
        <w:t>650 megahertz; and</w:t>
      </w:r>
    </w:p>
    <w:p w14:paraId="3E8B1197" w14:textId="77777777" w:rsidR="002D767B" w:rsidRPr="0089456E" w:rsidRDefault="00AF385B" w:rsidP="002D767B">
      <w:pPr>
        <w:numPr>
          <w:ilvl w:val="0"/>
          <w:numId w:val="12"/>
        </w:numPr>
        <w:spacing w:after="120"/>
      </w:pPr>
      <w:r w:rsidRPr="0089456E">
        <w:t xml:space="preserve">an analysis of proposals to promote and identify additional spectrum bands that can be shared between </w:t>
      </w:r>
      <w:r>
        <w:t>incumbent uses and new licensed</w:t>
      </w:r>
      <w:r w:rsidRPr="0089456E">
        <w:t xml:space="preserve"> and unlicensed services under such rules and identification of at least 1 gigahertz between 6 </w:t>
      </w:r>
      <w:r>
        <w:t>GHz</w:t>
      </w:r>
      <w:r>
        <w:t xml:space="preserve"> </w:t>
      </w:r>
      <w:r w:rsidRPr="0089456E">
        <w:t>and 5</w:t>
      </w:r>
      <w:r w:rsidRPr="0089456E">
        <w:t>7 GHz for such use.</w:t>
      </w:r>
      <w:r>
        <w:rPr>
          <w:rStyle w:val="FootnoteReference"/>
        </w:rPr>
        <w:footnoteReference w:id="4"/>
      </w:r>
    </w:p>
    <w:p w14:paraId="782EA465" w14:textId="77777777" w:rsidR="008345AB" w:rsidRPr="0089456E" w:rsidRDefault="00AF385B" w:rsidP="00B24CD2">
      <w:pPr>
        <w:spacing w:after="120"/>
        <w:ind w:firstLine="720"/>
      </w:pPr>
      <w:r w:rsidRPr="0089456E">
        <w:rPr>
          <w:i/>
          <w:color w:val="242021"/>
          <w:szCs w:val="22"/>
        </w:rPr>
        <w:t>Comments and Reply Comments</w:t>
      </w:r>
      <w:r w:rsidRPr="0089456E">
        <w:rPr>
          <w:color w:val="242021"/>
          <w:szCs w:val="22"/>
        </w:rPr>
        <w:t>:  Pursuant</w:t>
      </w:r>
      <w:r w:rsidRPr="0089456E">
        <w:rPr>
          <w:color w:val="242021"/>
          <w:spacing w:val="-1"/>
          <w:szCs w:val="22"/>
        </w:rPr>
        <w:t xml:space="preserve"> </w:t>
      </w:r>
      <w:r w:rsidRPr="0089456E">
        <w:rPr>
          <w:color w:val="242021"/>
          <w:szCs w:val="22"/>
        </w:rPr>
        <w:t>to Sections 1.415</w:t>
      </w:r>
      <w:r w:rsidRPr="0089456E">
        <w:rPr>
          <w:color w:val="242021"/>
          <w:spacing w:val="-1"/>
          <w:szCs w:val="22"/>
        </w:rPr>
        <w:t xml:space="preserve"> </w:t>
      </w:r>
      <w:r w:rsidRPr="0089456E">
        <w:rPr>
          <w:color w:val="242021"/>
          <w:szCs w:val="22"/>
        </w:rPr>
        <w:t>and 1.419</w:t>
      </w:r>
      <w:r w:rsidRPr="0089456E">
        <w:rPr>
          <w:color w:val="242021"/>
          <w:spacing w:val="-1"/>
          <w:szCs w:val="22"/>
        </w:rPr>
        <w:t xml:space="preserve"> </w:t>
      </w:r>
      <w:r w:rsidRPr="0089456E">
        <w:rPr>
          <w:color w:val="242021"/>
          <w:szCs w:val="22"/>
        </w:rPr>
        <w:t>of</w:t>
      </w:r>
      <w:r w:rsidRPr="0089456E">
        <w:rPr>
          <w:color w:val="242021"/>
          <w:spacing w:val="-1"/>
          <w:szCs w:val="22"/>
        </w:rPr>
        <w:t xml:space="preserve"> </w:t>
      </w:r>
      <w:r w:rsidRPr="0089456E">
        <w:rPr>
          <w:color w:val="242021"/>
          <w:szCs w:val="22"/>
        </w:rPr>
        <w:t>the</w:t>
      </w:r>
      <w:r w:rsidRPr="0089456E">
        <w:rPr>
          <w:color w:val="242021"/>
          <w:spacing w:val="-1"/>
          <w:szCs w:val="22"/>
        </w:rPr>
        <w:t xml:space="preserve"> </w:t>
      </w:r>
      <w:r w:rsidRPr="0089456E">
        <w:rPr>
          <w:color w:val="242021"/>
          <w:szCs w:val="22"/>
        </w:rPr>
        <w:t>Commission’s rules</w:t>
      </w:r>
      <w:r>
        <w:rPr>
          <w:color w:val="242021"/>
          <w:szCs w:val="22"/>
        </w:rPr>
        <w:t>, interested</w:t>
      </w:r>
      <w:r>
        <w:rPr>
          <w:color w:val="242021"/>
          <w:szCs w:val="22"/>
        </w:rPr>
        <w:t xml:space="preserve"> </w:t>
      </w:r>
      <w:r w:rsidRPr="0089456E">
        <w:rPr>
          <w:color w:val="242021"/>
          <w:szCs w:val="22"/>
        </w:rPr>
        <w:t>parties may file comments and reply comments on or before the dates indicated on the first</w:t>
      </w:r>
      <w:r w:rsidRPr="0089456E">
        <w:rPr>
          <w:color w:val="242021"/>
          <w:spacing w:val="-1"/>
          <w:szCs w:val="22"/>
        </w:rPr>
        <w:t xml:space="preserve"> </w:t>
      </w:r>
      <w:r w:rsidRPr="0089456E">
        <w:rPr>
          <w:color w:val="242021"/>
          <w:szCs w:val="22"/>
        </w:rPr>
        <w:t>page</w:t>
      </w:r>
      <w:r w:rsidRPr="0089456E">
        <w:rPr>
          <w:color w:val="242021"/>
          <w:spacing w:val="-1"/>
          <w:szCs w:val="22"/>
        </w:rPr>
        <w:t xml:space="preserve"> </w:t>
      </w:r>
      <w:r w:rsidRPr="0089456E">
        <w:rPr>
          <w:color w:val="242021"/>
          <w:szCs w:val="22"/>
        </w:rPr>
        <w:t>of</w:t>
      </w:r>
      <w:r w:rsidRPr="0089456E">
        <w:rPr>
          <w:color w:val="242021"/>
          <w:spacing w:val="-1"/>
          <w:szCs w:val="22"/>
        </w:rPr>
        <w:t xml:space="preserve"> </w:t>
      </w:r>
      <w:r w:rsidRPr="0089456E">
        <w:rPr>
          <w:color w:val="242021"/>
          <w:szCs w:val="22"/>
        </w:rPr>
        <w:t>this</w:t>
      </w:r>
      <w:r w:rsidRPr="0089456E">
        <w:rPr>
          <w:color w:val="242021"/>
          <w:spacing w:val="-1"/>
          <w:szCs w:val="22"/>
        </w:rPr>
        <w:t xml:space="preserve"> </w:t>
      </w:r>
      <w:r w:rsidRPr="0089456E">
        <w:rPr>
          <w:color w:val="242021"/>
          <w:szCs w:val="22"/>
        </w:rPr>
        <w:t>document.</w:t>
      </w:r>
      <w:r>
        <w:rPr>
          <w:rStyle w:val="FootnoteReference"/>
          <w:spacing w:val="-2"/>
          <w:szCs w:val="22"/>
        </w:rPr>
        <w:footnoteReference w:id="5"/>
      </w:r>
      <w:r w:rsidRPr="0089456E">
        <w:rPr>
          <w:color w:val="242021"/>
          <w:spacing w:val="-2"/>
          <w:szCs w:val="22"/>
        </w:rPr>
        <w:t xml:space="preserve"> </w:t>
      </w:r>
      <w:r w:rsidRPr="0089456E">
        <w:rPr>
          <w:color w:val="242021"/>
          <w:spacing w:val="54"/>
          <w:szCs w:val="22"/>
        </w:rPr>
        <w:t xml:space="preserve"> </w:t>
      </w:r>
      <w:r w:rsidRPr="0089456E">
        <w:rPr>
          <w:szCs w:val="22"/>
        </w:rPr>
        <w:t xml:space="preserve">All pleadings are to reference </w:t>
      </w:r>
      <w:r w:rsidRPr="0089456E">
        <w:rPr>
          <w:b/>
          <w:szCs w:val="22"/>
        </w:rPr>
        <w:t>GN Docket No</w:t>
      </w:r>
      <w:r w:rsidRPr="0089456E">
        <w:rPr>
          <w:b/>
          <w:szCs w:val="22"/>
        </w:rPr>
        <w:t>s</w:t>
      </w:r>
      <w:r w:rsidRPr="0089456E">
        <w:rPr>
          <w:b/>
          <w:szCs w:val="22"/>
        </w:rPr>
        <w:t xml:space="preserve">. </w:t>
      </w:r>
      <w:r w:rsidRPr="00EA60B7">
        <w:rPr>
          <w:b/>
          <w:szCs w:val="22"/>
        </w:rPr>
        <w:t>14-177</w:t>
      </w:r>
      <w:r>
        <w:rPr>
          <w:b/>
          <w:szCs w:val="22"/>
        </w:rPr>
        <w:t xml:space="preserve">, </w:t>
      </w:r>
      <w:r w:rsidRPr="0089456E">
        <w:rPr>
          <w:b/>
          <w:szCs w:val="22"/>
        </w:rPr>
        <w:t>1</w:t>
      </w:r>
      <w:r w:rsidRPr="0089456E">
        <w:rPr>
          <w:b/>
          <w:szCs w:val="22"/>
        </w:rPr>
        <w:t>5-319</w:t>
      </w:r>
      <w:r>
        <w:rPr>
          <w:b/>
          <w:szCs w:val="22"/>
        </w:rPr>
        <w:t>, 17-183,</w:t>
      </w:r>
      <w:r w:rsidRPr="0089456E">
        <w:rPr>
          <w:b/>
          <w:szCs w:val="22"/>
        </w:rPr>
        <w:t xml:space="preserve"> </w:t>
      </w:r>
      <w:r w:rsidRPr="0089456E">
        <w:rPr>
          <w:b/>
          <w:szCs w:val="22"/>
        </w:rPr>
        <w:lastRenderedPageBreak/>
        <w:t>and 17-258</w:t>
      </w:r>
      <w:r w:rsidRPr="0089456E">
        <w:rPr>
          <w:szCs w:val="22"/>
        </w:rPr>
        <w:t xml:space="preserve">.  Comments may be filed using the Commission’s Electronic Comment Filing System (ECFS).  </w:t>
      </w:r>
      <w:r w:rsidRPr="0089456E">
        <w:rPr>
          <w:i/>
          <w:szCs w:val="22"/>
        </w:rPr>
        <w:t>See Electronic Filing of Documents in Rulemaking Proceedings</w:t>
      </w:r>
      <w:r w:rsidRPr="0089456E">
        <w:rPr>
          <w:szCs w:val="22"/>
        </w:rPr>
        <w:t>, 63 FR 24121 (1998).</w:t>
      </w:r>
    </w:p>
    <w:p w14:paraId="3065AF07" w14:textId="77777777" w:rsidR="008345AB" w:rsidRPr="0089456E" w:rsidRDefault="00AF385B" w:rsidP="00B24CD2">
      <w:pPr>
        <w:widowControl/>
        <w:numPr>
          <w:ilvl w:val="0"/>
          <w:numId w:val="9"/>
        </w:numPr>
        <w:spacing w:after="120"/>
        <w:rPr>
          <w:szCs w:val="22"/>
        </w:rPr>
      </w:pPr>
      <w:r w:rsidRPr="0089456E">
        <w:rPr>
          <w:i/>
          <w:szCs w:val="22"/>
        </w:rPr>
        <w:t>Electronic Filers</w:t>
      </w:r>
      <w:r w:rsidRPr="0089456E">
        <w:rPr>
          <w:szCs w:val="22"/>
        </w:rPr>
        <w:t xml:space="preserve">:  Comments may be filed electronically using the Internet by accessing the ECFS:  http://apps.fcc.gov/ecfs/.  </w:t>
      </w:r>
    </w:p>
    <w:p w14:paraId="47F86E98" w14:textId="77777777" w:rsidR="008345AB" w:rsidRPr="0089456E" w:rsidRDefault="00AF385B" w:rsidP="00B24CD2">
      <w:pPr>
        <w:widowControl/>
        <w:numPr>
          <w:ilvl w:val="0"/>
          <w:numId w:val="10"/>
        </w:numPr>
        <w:spacing w:after="120"/>
        <w:rPr>
          <w:szCs w:val="22"/>
        </w:rPr>
      </w:pPr>
      <w:r w:rsidRPr="0089456E">
        <w:rPr>
          <w:i/>
          <w:szCs w:val="22"/>
        </w:rPr>
        <w:t>Paper Filers</w:t>
      </w:r>
      <w:r w:rsidRPr="0089456E">
        <w:rPr>
          <w:szCs w:val="22"/>
        </w:rPr>
        <w:t xml:space="preserve">:  Parties who choose to file by paper must file an original and one copy of each filing.  If more than one docket </w:t>
      </w:r>
      <w:r w:rsidRPr="0089456E">
        <w:rPr>
          <w:szCs w:val="22"/>
        </w:rPr>
        <w:t>or rulemaking number appears in the caption of this proceeding, filers must submit two additional copies for each additional docket or rulemaking number.</w:t>
      </w:r>
    </w:p>
    <w:p w14:paraId="20B788E6" w14:textId="77777777" w:rsidR="008345AB" w:rsidRPr="0089456E" w:rsidRDefault="00AF385B" w:rsidP="00B24CD2">
      <w:pPr>
        <w:spacing w:after="120"/>
        <w:ind w:left="720"/>
        <w:rPr>
          <w:szCs w:val="22"/>
        </w:rPr>
      </w:pPr>
      <w:r w:rsidRPr="0089456E">
        <w:rPr>
          <w:szCs w:val="22"/>
        </w:rPr>
        <w:t xml:space="preserve">Filings can be sent by hand or messenger delivery, by commercial overnight courier, or by first-class </w:t>
      </w:r>
      <w:r w:rsidRPr="0089456E">
        <w:rPr>
          <w:szCs w:val="22"/>
        </w:rPr>
        <w:t>or overnight U.S. Postal Service mail.  All filings must be addressed to the Commission’s Secretary, Office of the Secretary, Federal Communications Commission.</w:t>
      </w:r>
    </w:p>
    <w:p w14:paraId="3C0BA490" w14:textId="77777777" w:rsidR="008345AB" w:rsidRPr="0089456E" w:rsidRDefault="00AF385B" w:rsidP="00B24CD2">
      <w:pPr>
        <w:widowControl/>
        <w:numPr>
          <w:ilvl w:val="0"/>
          <w:numId w:val="11"/>
        </w:numPr>
        <w:spacing w:after="120"/>
        <w:rPr>
          <w:szCs w:val="22"/>
        </w:rPr>
      </w:pPr>
      <w:r w:rsidRPr="0089456E">
        <w:rPr>
          <w:szCs w:val="22"/>
        </w:rPr>
        <w:t xml:space="preserve">All hand-delivered or messenger-delivered paper filings for the Commission’s Secretary must be </w:t>
      </w:r>
      <w:r w:rsidRPr="0089456E">
        <w:rPr>
          <w:szCs w:val="22"/>
        </w:rPr>
        <w:t>delivered to FCC Headquarters at 445 12</w:t>
      </w:r>
      <w:r w:rsidRPr="0089456E">
        <w:rPr>
          <w:szCs w:val="22"/>
          <w:vertAlign w:val="superscript"/>
        </w:rPr>
        <w:t>th</w:t>
      </w:r>
      <w:r w:rsidRPr="0089456E">
        <w:rPr>
          <w:szCs w:val="22"/>
        </w:rPr>
        <w:t xml:space="preserve"> St., SW, Room TW-A325, Washington, DC 20554.  The filing hours are 8:00 a.m. to 7:00 p.m.  All hand deliveries must be held together with rubber bands or fasteners.  Any envelopes and boxes must be disposed of </w:t>
      </w:r>
      <w:r w:rsidRPr="0089456E">
        <w:rPr>
          <w:szCs w:val="22"/>
          <w:u w:val="single"/>
        </w:rPr>
        <w:t>befo</w:t>
      </w:r>
      <w:r w:rsidRPr="0089456E">
        <w:rPr>
          <w:szCs w:val="22"/>
          <w:u w:val="single"/>
        </w:rPr>
        <w:t>re</w:t>
      </w:r>
      <w:r w:rsidRPr="0089456E">
        <w:rPr>
          <w:szCs w:val="22"/>
        </w:rPr>
        <w:t xml:space="preserve"> entering the building.  </w:t>
      </w:r>
    </w:p>
    <w:p w14:paraId="25B50D51" w14:textId="77777777" w:rsidR="008345AB" w:rsidRPr="0089456E" w:rsidRDefault="00AF385B" w:rsidP="00B24CD2">
      <w:pPr>
        <w:widowControl/>
        <w:numPr>
          <w:ilvl w:val="0"/>
          <w:numId w:val="11"/>
        </w:numPr>
        <w:spacing w:after="120"/>
        <w:rPr>
          <w:szCs w:val="22"/>
        </w:rPr>
      </w:pPr>
      <w:r w:rsidRPr="0089456E">
        <w:rPr>
          <w:szCs w:val="22"/>
        </w:rPr>
        <w:t>Commercial overnight mail (other than U.S. Postal Service Express Mail and Priority Mail) must be sent to 9050 Junction Drive, Annapolis Junction, MD 20701.</w:t>
      </w:r>
    </w:p>
    <w:p w14:paraId="2DCCB092" w14:textId="77777777" w:rsidR="008345AB" w:rsidRPr="0089456E" w:rsidRDefault="00AF385B" w:rsidP="00B24CD2">
      <w:pPr>
        <w:widowControl/>
        <w:numPr>
          <w:ilvl w:val="0"/>
          <w:numId w:val="11"/>
        </w:numPr>
        <w:spacing w:after="120"/>
        <w:rPr>
          <w:szCs w:val="22"/>
        </w:rPr>
      </w:pPr>
      <w:r w:rsidRPr="0089456E">
        <w:rPr>
          <w:szCs w:val="22"/>
        </w:rPr>
        <w:t>U.S. Postal Service first-class, Express, and Priority mail must be add</w:t>
      </w:r>
      <w:r w:rsidRPr="0089456E">
        <w:rPr>
          <w:szCs w:val="22"/>
        </w:rPr>
        <w:t>ressed to 445 12</w:t>
      </w:r>
      <w:r w:rsidRPr="0089456E">
        <w:rPr>
          <w:szCs w:val="22"/>
          <w:vertAlign w:val="superscript"/>
        </w:rPr>
        <w:t>th</w:t>
      </w:r>
      <w:r w:rsidRPr="0089456E">
        <w:rPr>
          <w:szCs w:val="22"/>
        </w:rPr>
        <w:t xml:space="preserve"> Street, SW, Washington DC 20554.</w:t>
      </w:r>
    </w:p>
    <w:p w14:paraId="209EAA35" w14:textId="77777777" w:rsidR="008345AB" w:rsidRPr="0089456E" w:rsidRDefault="00AF385B" w:rsidP="00B24CD2">
      <w:pPr>
        <w:spacing w:after="120"/>
        <w:ind w:firstLine="720"/>
        <w:rPr>
          <w:szCs w:val="22"/>
        </w:rPr>
      </w:pPr>
      <w:r w:rsidRPr="0089456E">
        <w:rPr>
          <w:szCs w:val="22"/>
        </w:rPr>
        <w:t xml:space="preserve">Comments and reply comments filed in response to this </w:t>
      </w:r>
      <w:r w:rsidRPr="0089456E">
        <w:rPr>
          <w:i/>
          <w:szCs w:val="22"/>
        </w:rPr>
        <w:t>Public Notice</w:t>
      </w:r>
      <w:r w:rsidRPr="0089456E">
        <w:rPr>
          <w:szCs w:val="22"/>
        </w:rPr>
        <w:t xml:space="preserve"> will be available via ECFS.  These documents also will be available for public inspection during regular business hours in the FCC Refer</w:t>
      </w:r>
      <w:r w:rsidRPr="0089456E">
        <w:rPr>
          <w:szCs w:val="22"/>
        </w:rPr>
        <w:t>ence Information Center, Portals II, 445 12th Street S.W., Room CY-A257, Washington, D.C. 20554.</w:t>
      </w:r>
    </w:p>
    <w:p w14:paraId="01F46C94" w14:textId="77777777" w:rsidR="008345AB" w:rsidRPr="0089456E" w:rsidRDefault="00AF385B" w:rsidP="00B24CD2">
      <w:pPr>
        <w:spacing w:after="120"/>
        <w:ind w:firstLine="720"/>
        <w:rPr>
          <w:szCs w:val="22"/>
        </w:rPr>
      </w:pPr>
      <w:r w:rsidRPr="0089456E">
        <w:rPr>
          <w:i/>
          <w:szCs w:val="22"/>
        </w:rPr>
        <w:t>Ex Parte Presentations</w:t>
      </w:r>
      <w:r w:rsidRPr="0089456E">
        <w:rPr>
          <w:szCs w:val="22"/>
        </w:rPr>
        <w:t xml:space="preserve">:  This proceeding shall be treated as a “permit-but-disclose” proceeding in accordance with the Commission’s </w:t>
      </w:r>
      <w:r w:rsidRPr="0089456E">
        <w:rPr>
          <w:i/>
          <w:iCs/>
          <w:szCs w:val="22"/>
        </w:rPr>
        <w:t xml:space="preserve">ex parte </w:t>
      </w:r>
      <w:r w:rsidRPr="0089456E">
        <w:rPr>
          <w:szCs w:val="22"/>
        </w:rPr>
        <w:t>rules.</w:t>
      </w:r>
      <w:r>
        <w:rPr>
          <w:szCs w:val="22"/>
          <w:vertAlign w:val="superscript"/>
        </w:rPr>
        <w:footnoteReference w:id="6"/>
      </w:r>
      <w:r w:rsidRPr="0089456E">
        <w:rPr>
          <w:szCs w:val="22"/>
        </w:rPr>
        <w:t xml:space="preserve">  Persons m</w:t>
      </w:r>
      <w:r w:rsidRPr="0089456E">
        <w:rPr>
          <w:szCs w:val="22"/>
        </w:rPr>
        <w:t xml:space="preserve">aking </w:t>
      </w:r>
      <w:r w:rsidRPr="0089456E">
        <w:rPr>
          <w:i/>
          <w:szCs w:val="22"/>
        </w:rPr>
        <w:t xml:space="preserve">ex parte </w:t>
      </w:r>
      <w:r w:rsidRPr="0089456E">
        <w:rPr>
          <w:szCs w:val="22"/>
        </w:rPr>
        <w:t>presentations must file a copy of any written presentation or a memorandum summarizing any oral presentation within two business days after the presentation (unless a different deadline applicable to the Sunshine period applies).  Persons ma</w:t>
      </w:r>
      <w:r w:rsidRPr="0089456E">
        <w:rPr>
          <w:szCs w:val="22"/>
        </w:rPr>
        <w:t xml:space="preserve">king oral </w:t>
      </w:r>
      <w:r w:rsidRPr="0089456E">
        <w:rPr>
          <w:i/>
          <w:iCs/>
          <w:szCs w:val="22"/>
        </w:rPr>
        <w:t xml:space="preserve">ex parte </w:t>
      </w:r>
      <w:r w:rsidRPr="0089456E">
        <w:rPr>
          <w:szCs w:val="22"/>
        </w:rPr>
        <w:t xml:space="preserve">presentations are reminded that memoranda summarizing the presentation must (1) list all persons attending or otherwise participating in the meeting at which the </w:t>
      </w:r>
      <w:r w:rsidRPr="0089456E">
        <w:rPr>
          <w:i/>
          <w:iCs/>
          <w:szCs w:val="22"/>
        </w:rPr>
        <w:t xml:space="preserve">ex parte </w:t>
      </w:r>
      <w:r w:rsidRPr="0089456E">
        <w:rPr>
          <w:szCs w:val="22"/>
        </w:rPr>
        <w:t>presentation was made, and (2) summarize all data presented and ar</w:t>
      </w:r>
      <w:r w:rsidRPr="0089456E">
        <w:rPr>
          <w:szCs w:val="22"/>
        </w:rPr>
        <w:t>guments made during the presentation.  If the presentation consisted in whole or in part of the presentation of data or arguments already reflected in the presenter’s written comments, memoranda or other filings in the proceeding, the presenter may provide</w:t>
      </w:r>
      <w:r w:rsidRPr="0089456E">
        <w:rPr>
          <w:szCs w:val="22"/>
        </w:rPr>
        <w:t xml:space="preserve"> citations to such data or arguments in his or her prior comments, memoranda, or other filings (specifying the relevant page and/or paragraph numbers where such data or arguments can be found) in lieu of summarizing them in the memorandum.  Documents shown</w:t>
      </w:r>
      <w:r w:rsidRPr="0089456E">
        <w:rPr>
          <w:szCs w:val="22"/>
        </w:rPr>
        <w:t xml:space="preserve"> or given to Commission staff during </w:t>
      </w:r>
      <w:r w:rsidRPr="0089456E">
        <w:rPr>
          <w:i/>
          <w:iCs/>
          <w:szCs w:val="22"/>
        </w:rPr>
        <w:t xml:space="preserve">ex parte </w:t>
      </w:r>
      <w:r w:rsidRPr="0089456E">
        <w:rPr>
          <w:szCs w:val="22"/>
        </w:rPr>
        <w:t xml:space="preserve">meetings are deemed to be written </w:t>
      </w:r>
      <w:r w:rsidRPr="0089456E">
        <w:rPr>
          <w:i/>
          <w:iCs/>
          <w:szCs w:val="22"/>
        </w:rPr>
        <w:t>ex parte</w:t>
      </w:r>
      <w:r w:rsidRPr="0089456E">
        <w:rPr>
          <w:szCs w:val="22"/>
        </w:rPr>
        <w:t xml:space="preserve"> presentations and must be filed consistent with section 1.1206(b).</w:t>
      </w:r>
      <w:r>
        <w:rPr>
          <w:szCs w:val="22"/>
          <w:vertAlign w:val="superscript"/>
        </w:rPr>
        <w:footnoteReference w:id="7"/>
      </w:r>
      <w:r w:rsidRPr="0089456E">
        <w:rPr>
          <w:szCs w:val="22"/>
        </w:rPr>
        <w:t xml:space="preserve">  In proceedings governed by section 1.49(f)</w:t>
      </w:r>
      <w:r>
        <w:rPr>
          <w:szCs w:val="22"/>
          <w:vertAlign w:val="superscript"/>
        </w:rPr>
        <w:footnoteReference w:id="8"/>
      </w:r>
      <w:r w:rsidRPr="0089456E">
        <w:rPr>
          <w:szCs w:val="22"/>
        </w:rPr>
        <w:t xml:space="preserve"> or for which the Commission has made available a metho</w:t>
      </w:r>
      <w:r w:rsidRPr="0089456E">
        <w:rPr>
          <w:szCs w:val="22"/>
        </w:rPr>
        <w:t xml:space="preserve">d of electronic filing, written </w:t>
      </w:r>
      <w:r w:rsidRPr="0089456E">
        <w:rPr>
          <w:i/>
          <w:iCs/>
          <w:szCs w:val="22"/>
        </w:rPr>
        <w:t xml:space="preserve">ex parte </w:t>
      </w:r>
      <w:r w:rsidRPr="0089456E">
        <w:rPr>
          <w:szCs w:val="22"/>
        </w:rPr>
        <w:t xml:space="preserve">presentations and memoranda summarizing oral </w:t>
      </w:r>
      <w:r w:rsidRPr="0089456E">
        <w:rPr>
          <w:i/>
          <w:iCs/>
          <w:szCs w:val="22"/>
        </w:rPr>
        <w:t xml:space="preserve">ex parte </w:t>
      </w:r>
      <w:r w:rsidRPr="0089456E">
        <w:rPr>
          <w:szCs w:val="22"/>
        </w:rPr>
        <w:t xml:space="preserve">presentations, and all attachments thereto, must be filed through the electronic comment filing system available for that proceeding, and must be filed in their </w:t>
      </w:r>
      <w:r w:rsidRPr="0089456E">
        <w:rPr>
          <w:szCs w:val="22"/>
        </w:rPr>
        <w:t>native format (</w:t>
      </w:r>
      <w:r w:rsidRPr="0089456E">
        <w:rPr>
          <w:i/>
          <w:iCs/>
          <w:szCs w:val="22"/>
        </w:rPr>
        <w:t>e.g.</w:t>
      </w:r>
      <w:r w:rsidRPr="0089456E">
        <w:rPr>
          <w:i/>
          <w:szCs w:val="22"/>
        </w:rPr>
        <w:t>,</w:t>
      </w:r>
      <w:r w:rsidRPr="0089456E">
        <w:rPr>
          <w:szCs w:val="22"/>
        </w:rPr>
        <w:t xml:space="preserve"> .doc, .xml, .ppt, searchable .pdf).  Participants in this proceeding should familiarize themselves with the Commission’s </w:t>
      </w:r>
      <w:r w:rsidRPr="0089456E">
        <w:rPr>
          <w:i/>
          <w:iCs/>
          <w:szCs w:val="22"/>
        </w:rPr>
        <w:t xml:space="preserve">ex parte </w:t>
      </w:r>
      <w:r w:rsidRPr="0089456E">
        <w:rPr>
          <w:szCs w:val="22"/>
        </w:rPr>
        <w:t xml:space="preserve">rules.  We note that our </w:t>
      </w:r>
      <w:r w:rsidRPr="0089456E">
        <w:rPr>
          <w:i/>
          <w:iCs/>
          <w:szCs w:val="22"/>
        </w:rPr>
        <w:t>ex parte</w:t>
      </w:r>
      <w:r w:rsidRPr="0089456E">
        <w:rPr>
          <w:szCs w:val="22"/>
        </w:rPr>
        <w:t xml:space="preserve"> rules provide for a </w:t>
      </w:r>
      <w:r w:rsidRPr="0089456E">
        <w:rPr>
          <w:szCs w:val="22"/>
        </w:rPr>
        <w:lastRenderedPageBreak/>
        <w:t xml:space="preserve">conditional exception for all </w:t>
      </w:r>
      <w:r w:rsidRPr="0089456E">
        <w:rPr>
          <w:i/>
          <w:iCs/>
          <w:szCs w:val="22"/>
        </w:rPr>
        <w:t>ex parte</w:t>
      </w:r>
      <w:r w:rsidRPr="0089456E">
        <w:rPr>
          <w:szCs w:val="22"/>
        </w:rPr>
        <w:t xml:space="preserve"> presentation</w:t>
      </w:r>
      <w:r w:rsidRPr="0089456E">
        <w:rPr>
          <w:szCs w:val="22"/>
        </w:rPr>
        <w:t>s made by NTIA or Department of Defense representatives.</w:t>
      </w:r>
      <w:r>
        <w:rPr>
          <w:szCs w:val="22"/>
          <w:vertAlign w:val="superscript"/>
        </w:rPr>
        <w:footnoteReference w:id="9"/>
      </w:r>
      <w:r w:rsidRPr="0089456E">
        <w:rPr>
          <w:szCs w:val="22"/>
        </w:rPr>
        <w:t xml:space="preserve">  </w:t>
      </w:r>
    </w:p>
    <w:p w14:paraId="18F61B85" w14:textId="77777777" w:rsidR="008345AB" w:rsidRPr="0089456E" w:rsidRDefault="00AF385B" w:rsidP="00B24CD2">
      <w:pPr>
        <w:spacing w:after="120"/>
        <w:ind w:firstLine="720"/>
        <w:rPr>
          <w:szCs w:val="22"/>
        </w:rPr>
      </w:pPr>
      <w:r w:rsidRPr="0089456E">
        <w:rPr>
          <w:i/>
          <w:szCs w:val="22"/>
        </w:rPr>
        <w:t>People with Disabilities</w:t>
      </w:r>
      <w:r w:rsidRPr="0089456E">
        <w:rPr>
          <w:szCs w:val="22"/>
        </w:rPr>
        <w:t xml:space="preserve">:  To request materials in accessible formats for people with disabilities (braille, large print, electronic files, audio format), send an e-mail to fcc504@fcc.gov or call </w:t>
      </w:r>
      <w:r w:rsidRPr="0089456E">
        <w:rPr>
          <w:szCs w:val="22"/>
        </w:rPr>
        <w:t>the Consumer &amp; Governmental Affairs Bureau at 202-418-0530 (voice), 202-418-0432 (tty).</w:t>
      </w:r>
    </w:p>
    <w:p w14:paraId="348A882C" w14:textId="77777777" w:rsidR="008345AB" w:rsidRDefault="00AF385B" w:rsidP="00B24CD2">
      <w:pPr>
        <w:spacing w:after="120"/>
        <w:ind w:firstLine="720"/>
        <w:rPr>
          <w:b/>
          <w:szCs w:val="22"/>
        </w:rPr>
      </w:pPr>
      <w:r w:rsidRPr="0089456E">
        <w:rPr>
          <w:i/>
          <w:szCs w:val="22"/>
        </w:rPr>
        <w:t>Additional Information</w:t>
      </w:r>
      <w:r w:rsidRPr="0089456E">
        <w:rPr>
          <w:szCs w:val="22"/>
        </w:rPr>
        <w:t>:  For further information, contact Paul Powell, Assistant Division Chief, Wireless Telecommunications Bureau, Mobility Division at (202) 418-1613</w:t>
      </w:r>
      <w:r w:rsidRPr="0089456E">
        <w:rPr>
          <w:szCs w:val="22"/>
        </w:rPr>
        <w:t xml:space="preserve"> or paul.powell@fcc.gov, or Navid Golshahi, Electronics Engineer, Office of Engineering and Technology, Policy and Rules Division at (202) 418-2422 or navid.golshahi@fcc.gov.</w:t>
      </w:r>
    </w:p>
    <w:p w14:paraId="4196DC12" w14:textId="77777777" w:rsidR="008345AB" w:rsidRPr="00270B56" w:rsidRDefault="00AF385B" w:rsidP="00B24CD2">
      <w:pPr>
        <w:spacing w:after="120"/>
      </w:pPr>
    </w:p>
    <w:p w14:paraId="53858172" w14:textId="77777777" w:rsidR="00930ECF" w:rsidRPr="008345AB" w:rsidRDefault="00AF385B" w:rsidP="00B24CD2">
      <w:pPr>
        <w:spacing w:after="120"/>
      </w:pPr>
    </w:p>
    <w:sectPr w:rsidR="00930ECF" w:rsidRPr="008345AB" w:rsidSect="000E5884">
      <w:headerReference w:type="default" r:id="rId7"/>
      <w:footerReference w:type="even" r:id="rId8"/>
      <w:footerReference w:type="default" r:id="rId9"/>
      <w:headerReference w:type="first" r:id="rId10"/>
      <w:footerReference w:type="first" r:id="rId11"/>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497EF" w14:textId="77777777" w:rsidR="00000000" w:rsidRDefault="00AF385B">
      <w:r>
        <w:separator/>
      </w:r>
    </w:p>
  </w:endnote>
  <w:endnote w:type="continuationSeparator" w:id="0">
    <w:p w14:paraId="39DEA9C4" w14:textId="77777777" w:rsidR="00000000" w:rsidRDefault="00AF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AA56" w14:textId="77777777" w:rsidR="006F7393" w:rsidRDefault="00AF385B" w:rsidP="0055614C">
    <w:pPr>
      <w:pStyle w:val="Footer"/>
      <w:framePr w:wrap="around" w:vAnchor="text" w:hAnchor="margin" w:xAlign="center" w:y="1"/>
    </w:pPr>
    <w:r>
      <w:fldChar w:fldCharType="begin"/>
    </w:r>
    <w:r>
      <w:instrText xml:space="preserve">PAGE  </w:instrText>
    </w:r>
    <w:r>
      <w:fldChar w:fldCharType="end"/>
    </w:r>
  </w:p>
  <w:p w14:paraId="42D47963" w14:textId="77777777" w:rsidR="006F7393" w:rsidRDefault="00AF3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5AC" w14:textId="77777777" w:rsidR="006F7393" w:rsidRDefault="00AF385B" w:rsidP="00910F12">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p w14:paraId="67434FAC" w14:textId="77777777" w:rsidR="00FB6F64" w:rsidRDefault="00AF385B" w:rsidP="00910F1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B9BD" w14:textId="77777777" w:rsidR="003F3AE6" w:rsidRPr="00DB2063" w:rsidRDefault="00AF385B">
    <w:pPr>
      <w:pStyle w:val="Footer"/>
      <w:tabs>
        <w:tab w:val="clear" w:pos="8640"/>
      </w:tabs>
      <w:rPr>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3C343" w14:textId="77777777" w:rsidR="0066560F" w:rsidRDefault="00AF385B">
      <w:r>
        <w:separator/>
      </w:r>
    </w:p>
  </w:footnote>
  <w:footnote w:type="continuationSeparator" w:id="0">
    <w:p w14:paraId="10D94608" w14:textId="77777777" w:rsidR="0066560F" w:rsidRDefault="00AF385B">
      <w:pPr>
        <w:rPr>
          <w:sz w:val="20"/>
        </w:rPr>
      </w:pPr>
      <w:r>
        <w:rPr>
          <w:sz w:val="20"/>
        </w:rPr>
        <w:t xml:space="preserve">(Continued from previous page)  </w:t>
      </w:r>
      <w:r>
        <w:rPr>
          <w:sz w:val="20"/>
        </w:rPr>
        <w:separator/>
      </w:r>
    </w:p>
  </w:footnote>
  <w:footnote w:type="continuationNotice" w:id="1">
    <w:p w14:paraId="5F97427C" w14:textId="77777777" w:rsidR="0066560F" w:rsidRDefault="00AF385B" w:rsidP="00910F12">
      <w:pPr>
        <w:jc w:val="right"/>
        <w:rPr>
          <w:sz w:val="20"/>
        </w:rPr>
      </w:pPr>
      <w:r>
        <w:rPr>
          <w:sz w:val="20"/>
        </w:rPr>
        <w:t>(continued….)</w:t>
      </w:r>
    </w:p>
  </w:footnote>
  <w:footnote w:id="2">
    <w:p w14:paraId="24B2F4BC" w14:textId="77777777" w:rsidR="001054F6" w:rsidRPr="00075C0E" w:rsidRDefault="00AF385B" w:rsidP="00615C02">
      <w:pPr>
        <w:pStyle w:val="FootnoteText"/>
        <w:rPr>
          <w:i/>
          <w:iCs/>
        </w:rPr>
      </w:pPr>
      <w:r w:rsidRPr="00BD6294">
        <w:rPr>
          <w:rStyle w:val="FootnoteReference"/>
          <w:sz w:val="20"/>
        </w:rPr>
        <w:footnoteRef/>
      </w:r>
      <w:r w:rsidRPr="00BD6294">
        <w:t xml:space="preserve"> </w:t>
      </w:r>
      <w:r w:rsidRPr="00BD6294">
        <w:rPr>
          <w:i/>
        </w:rPr>
        <w:t xml:space="preserve">See Amendment of the Commission's Rules </w:t>
      </w:r>
      <w:r w:rsidRPr="00BD6294">
        <w:rPr>
          <w:i/>
          <w:snapToGrid w:val="0"/>
        </w:rPr>
        <w:t>with</w:t>
      </w:r>
      <w:r w:rsidRPr="00BD6294">
        <w:rPr>
          <w:i/>
        </w:rPr>
        <w:t xml:space="preserve"> Regard to Commercial Operations in the 3550-3650 MHz Band</w:t>
      </w:r>
      <w:r w:rsidRPr="00BD6294">
        <w:t>, Report and Order and Second Further Notice of Proposed Rulemaking, 30 FCC Rcd 3959 (2015) (</w:t>
      </w:r>
      <w:r w:rsidRPr="00BD6294">
        <w:rPr>
          <w:i/>
        </w:rPr>
        <w:t>3.5 GHz First Report &amp; Order</w:t>
      </w:r>
      <w:r>
        <w:rPr>
          <w:i/>
        </w:rPr>
        <w:t xml:space="preserve"> </w:t>
      </w:r>
      <w:r>
        <w:t xml:space="preserve">and </w:t>
      </w:r>
      <w:r>
        <w:rPr>
          <w:i/>
        </w:rPr>
        <w:t>Second FNPRM</w:t>
      </w:r>
      <w:r w:rsidRPr="00BD6294">
        <w:t xml:space="preserve">); 47 CFR §§ 96.1 </w:t>
      </w:r>
      <w:r w:rsidRPr="00BD6294">
        <w:rPr>
          <w:i/>
        </w:rPr>
        <w:t xml:space="preserve">et seq.  </w:t>
      </w:r>
      <w:r>
        <w:t>In t</w:t>
      </w:r>
      <w:r>
        <w:t>he</w:t>
      </w:r>
      <w:r>
        <w:t xml:space="preserve"> </w:t>
      </w:r>
      <w:r>
        <w:rPr>
          <w:i/>
        </w:rPr>
        <w:t xml:space="preserve">Second FNPRM, </w:t>
      </w:r>
      <w:r>
        <w:t>the</w:t>
      </w:r>
      <w:r>
        <w:t xml:space="preserve"> Commission </w:t>
      </w:r>
      <w:r>
        <w:t xml:space="preserve">sought comment </w:t>
      </w:r>
      <w:r>
        <w:t xml:space="preserve">on </w:t>
      </w:r>
      <w:r w:rsidRPr="002B0FD9">
        <w:t>a</w:t>
      </w:r>
      <w:r w:rsidRPr="002B0FD9">
        <w:t xml:space="preserve"> few focused issues </w:t>
      </w:r>
      <w:r>
        <w:t xml:space="preserve">and made additional rule changes in 2016.  </w:t>
      </w:r>
      <w:r w:rsidRPr="00615C02">
        <w:rPr>
          <w:i/>
          <w:iCs/>
        </w:rPr>
        <w:t>See Amen</w:t>
      </w:r>
      <w:r>
        <w:rPr>
          <w:i/>
          <w:iCs/>
        </w:rPr>
        <w:t xml:space="preserve">dment of the Commission’s Rules </w:t>
      </w:r>
      <w:r w:rsidRPr="00615C02">
        <w:rPr>
          <w:i/>
          <w:iCs/>
        </w:rPr>
        <w:t>with Regard to Commercial Operations in the</w:t>
      </w:r>
      <w:r>
        <w:rPr>
          <w:i/>
          <w:iCs/>
        </w:rPr>
        <w:t xml:space="preserve"> </w:t>
      </w:r>
      <w:r w:rsidRPr="00615C02">
        <w:rPr>
          <w:i/>
          <w:iCs/>
        </w:rPr>
        <w:t>3550-3650 MHz Band</w:t>
      </w:r>
      <w:r w:rsidRPr="00615C02">
        <w:t>, GN Docket No. 12-354, Order on</w:t>
      </w:r>
      <w:r>
        <w:t xml:space="preserve"> </w:t>
      </w:r>
      <w:r w:rsidRPr="00615C02">
        <w:t>Reconsideration and Second Report and Order, 31 FCC Rcd 5011 (2016)</w:t>
      </w:r>
      <w:r>
        <w:t>.</w:t>
      </w:r>
    </w:p>
  </w:footnote>
  <w:footnote w:id="3">
    <w:p w14:paraId="00638D5E" w14:textId="77777777" w:rsidR="006E1D33" w:rsidRDefault="00AF385B" w:rsidP="006E1D33">
      <w:pPr>
        <w:pStyle w:val="FootnoteText"/>
      </w:pPr>
      <w:r>
        <w:rPr>
          <w:rStyle w:val="FootnoteReference"/>
        </w:rPr>
        <w:footnoteRef/>
      </w:r>
      <w:r>
        <w:t xml:space="preserve"> T</w:t>
      </w:r>
      <w:r w:rsidRPr="0089456E">
        <w:t>he Spe</w:t>
      </w:r>
      <w:r w:rsidRPr="0089456E">
        <w:t>ctrum Pipeline Act of 2015</w:t>
      </w:r>
      <w:r>
        <w:t xml:space="preserve"> became public law on November 2, 2015</w:t>
      </w:r>
      <w:r>
        <w:t>,</w:t>
      </w:r>
      <w:r>
        <w:t xml:space="preserve"> and was later amended by the Ray Baum’s Act of 2018.</w:t>
      </w:r>
      <w:r w:rsidRPr="006E1D33">
        <w:t xml:space="preserve"> </w:t>
      </w:r>
      <w:r>
        <w:t xml:space="preserve"> </w:t>
      </w:r>
      <w:r>
        <w:rPr>
          <w:i/>
        </w:rPr>
        <w:t xml:space="preserve">See </w:t>
      </w:r>
      <w:r w:rsidRPr="00BD6294">
        <w:t>Spectrum Pipeline Act of 2015, Pub. L. No. 11</w:t>
      </w:r>
      <w:r>
        <w:t>4</w:t>
      </w:r>
      <w:r w:rsidRPr="00BD6294">
        <w:t>-74</w:t>
      </w:r>
      <w:r>
        <w:t xml:space="preserve">, </w:t>
      </w:r>
      <w:r w:rsidRPr="00BD6294">
        <w:t>§ 1008, 129 Stat. 621, 625 (2015)</w:t>
      </w:r>
      <w:r w:rsidRPr="00BD6294">
        <w:t xml:space="preserve"> (2015), as amended by the Ray Baum’s Act of 201</w:t>
      </w:r>
      <w:r w:rsidRPr="00BD6294">
        <w:t>8, Pub. L. 115–141</w:t>
      </w:r>
      <w:r>
        <w:t xml:space="preserve">, </w:t>
      </w:r>
      <w:r w:rsidRPr="00BD6294">
        <w:t>§ 614, 132 Stat. 1080, 1109</w:t>
      </w:r>
      <w:r>
        <w:t xml:space="preserve"> (2018)</w:t>
      </w:r>
      <w:r w:rsidRPr="00BD6294">
        <w:t xml:space="preserve">.  </w:t>
      </w:r>
    </w:p>
  </w:footnote>
  <w:footnote w:id="4">
    <w:p w14:paraId="0633040D" w14:textId="77777777" w:rsidR="007004CD" w:rsidRPr="00BD6294" w:rsidRDefault="00AF385B" w:rsidP="007004CD">
      <w:pPr>
        <w:pStyle w:val="FootnoteText"/>
      </w:pPr>
      <w:r w:rsidRPr="00BD6294">
        <w:rPr>
          <w:rStyle w:val="FootnoteReference"/>
          <w:sz w:val="20"/>
        </w:rPr>
        <w:footnoteRef/>
      </w:r>
      <w:r w:rsidRPr="00BD6294">
        <w:t xml:space="preserve"> </w:t>
      </w:r>
      <w:r w:rsidRPr="00127A87">
        <w:rPr>
          <w:i/>
        </w:rPr>
        <w:t>See</w:t>
      </w:r>
      <w:r>
        <w:t xml:space="preserve"> </w:t>
      </w:r>
      <w:r>
        <w:rPr>
          <w:i/>
        </w:rPr>
        <w:t>id.</w:t>
      </w:r>
      <w:r w:rsidRPr="00BD6294">
        <w:t xml:space="preserve">  </w:t>
      </w:r>
    </w:p>
  </w:footnote>
  <w:footnote w:id="5">
    <w:p w14:paraId="6E2F2357" w14:textId="77777777" w:rsidR="008345AB" w:rsidRPr="00BD6294" w:rsidRDefault="00AF385B" w:rsidP="008345AB">
      <w:pPr>
        <w:autoSpaceDE w:val="0"/>
        <w:autoSpaceDN w:val="0"/>
        <w:adjustRightInd w:val="0"/>
        <w:spacing w:after="120"/>
        <w:ind w:right="-20"/>
        <w:rPr>
          <w:color w:val="242021"/>
          <w:spacing w:val="1"/>
          <w:sz w:val="20"/>
        </w:rPr>
      </w:pPr>
      <w:r w:rsidRPr="00BD6294">
        <w:rPr>
          <w:rStyle w:val="FootnoteReference"/>
          <w:sz w:val="20"/>
        </w:rPr>
        <w:footnoteRef/>
      </w:r>
      <w:r w:rsidRPr="00BD6294">
        <w:rPr>
          <w:sz w:val="20"/>
        </w:rPr>
        <w:t xml:space="preserve"> </w:t>
      </w:r>
      <w:r w:rsidRPr="00BD6294">
        <w:rPr>
          <w:color w:val="242021"/>
          <w:sz w:val="20"/>
        </w:rPr>
        <w:t>47</w:t>
      </w:r>
      <w:r w:rsidRPr="00BD6294">
        <w:rPr>
          <w:color w:val="242021"/>
          <w:spacing w:val="-1"/>
          <w:sz w:val="20"/>
        </w:rPr>
        <w:t xml:space="preserve"> </w:t>
      </w:r>
      <w:r w:rsidRPr="00BD6294">
        <w:rPr>
          <w:color w:val="242021"/>
          <w:sz w:val="20"/>
        </w:rPr>
        <w:t>CFR</w:t>
      </w:r>
      <w:r w:rsidRPr="00BD6294">
        <w:rPr>
          <w:color w:val="242021"/>
          <w:spacing w:val="-4"/>
          <w:sz w:val="20"/>
        </w:rPr>
        <w:t xml:space="preserve"> </w:t>
      </w:r>
      <w:r w:rsidRPr="00BD6294">
        <w:rPr>
          <w:color w:val="242021"/>
          <w:spacing w:val="1"/>
          <w:sz w:val="20"/>
        </w:rPr>
        <w:t>§</w:t>
      </w:r>
      <w:r w:rsidRPr="00BD6294">
        <w:rPr>
          <w:color w:val="242021"/>
          <w:sz w:val="20"/>
        </w:rPr>
        <w:t>§</w:t>
      </w:r>
      <w:r w:rsidRPr="00BD6294">
        <w:rPr>
          <w:color w:val="242021"/>
          <w:spacing w:val="-1"/>
          <w:sz w:val="20"/>
        </w:rPr>
        <w:t xml:space="preserve"> </w:t>
      </w:r>
      <w:r w:rsidRPr="00BD6294">
        <w:rPr>
          <w:color w:val="242021"/>
          <w:spacing w:val="1"/>
          <w:sz w:val="20"/>
        </w:rPr>
        <w:t>1.415</w:t>
      </w:r>
      <w:r w:rsidRPr="00BD6294">
        <w:rPr>
          <w:color w:val="242021"/>
          <w:sz w:val="20"/>
        </w:rPr>
        <w:t>,</w:t>
      </w:r>
      <w:r w:rsidRPr="00BD6294">
        <w:rPr>
          <w:color w:val="242021"/>
          <w:spacing w:val="-4"/>
          <w:sz w:val="20"/>
        </w:rPr>
        <w:t xml:space="preserve"> </w:t>
      </w:r>
      <w:r w:rsidRPr="00BD6294">
        <w:rPr>
          <w:color w:val="242021"/>
          <w:spacing w:val="1"/>
          <w:sz w:val="20"/>
        </w:rPr>
        <w:t>1.419.</w:t>
      </w:r>
    </w:p>
    <w:p w14:paraId="216BA6CC" w14:textId="77777777" w:rsidR="008345AB" w:rsidRDefault="00AF385B" w:rsidP="008345AB">
      <w:pPr>
        <w:autoSpaceDE w:val="0"/>
        <w:autoSpaceDN w:val="0"/>
        <w:adjustRightInd w:val="0"/>
        <w:spacing w:after="120"/>
        <w:ind w:right="-20"/>
        <w:jc w:val="center"/>
      </w:pPr>
    </w:p>
  </w:footnote>
  <w:footnote w:id="6">
    <w:p w14:paraId="39EA99E1" w14:textId="77777777" w:rsidR="008345AB" w:rsidRPr="00BD6294" w:rsidRDefault="00AF385B" w:rsidP="008345AB">
      <w:pPr>
        <w:pStyle w:val="FootnoteText"/>
        <w:rPr>
          <w:i/>
          <w:iCs/>
        </w:rPr>
      </w:pPr>
      <w:r w:rsidRPr="00BD6294">
        <w:rPr>
          <w:rStyle w:val="FootnoteReference"/>
          <w:sz w:val="20"/>
        </w:rPr>
        <w:footnoteRef/>
      </w:r>
      <w:r w:rsidRPr="00BD6294">
        <w:t xml:space="preserve"> 47 CFR § 1.1200 </w:t>
      </w:r>
      <w:r w:rsidRPr="00BD6294">
        <w:rPr>
          <w:i/>
          <w:iCs/>
        </w:rPr>
        <w:t>et seq.</w:t>
      </w:r>
    </w:p>
  </w:footnote>
  <w:footnote w:id="7">
    <w:p w14:paraId="781E284C" w14:textId="77777777" w:rsidR="008345AB" w:rsidRPr="00BD6294" w:rsidRDefault="00AF385B" w:rsidP="008345AB">
      <w:pPr>
        <w:pStyle w:val="FootnoteText"/>
      </w:pPr>
      <w:r w:rsidRPr="00BD6294">
        <w:rPr>
          <w:rStyle w:val="FootnoteReference"/>
          <w:sz w:val="20"/>
        </w:rPr>
        <w:footnoteRef/>
      </w:r>
      <w:r w:rsidRPr="00BD6294">
        <w:t xml:space="preserve"> 47 CFR § 1.1206(b).</w:t>
      </w:r>
    </w:p>
  </w:footnote>
  <w:footnote w:id="8">
    <w:p w14:paraId="37FCEA77" w14:textId="77777777" w:rsidR="008345AB" w:rsidRPr="00BD6294" w:rsidRDefault="00AF385B" w:rsidP="008345AB">
      <w:pPr>
        <w:pStyle w:val="FootnoteText"/>
      </w:pPr>
      <w:r w:rsidRPr="00BD6294">
        <w:rPr>
          <w:rStyle w:val="FootnoteReference"/>
          <w:sz w:val="20"/>
        </w:rPr>
        <w:footnoteRef/>
      </w:r>
      <w:r w:rsidRPr="00BD6294">
        <w:t xml:space="preserve"> 47 CFR § 1.49(f).</w:t>
      </w:r>
    </w:p>
  </w:footnote>
  <w:footnote w:id="9">
    <w:p w14:paraId="7CBB9EA2" w14:textId="77777777" w:rsidR="008345AB" w:rsidRPr="00BD6294" w:rsidRDefault="00AF385B" w:rsidP="008345AB">
      <w:pPr>
        <w:pStyle w:val="FootnoteText"/>
        <w:rPr>
          <w:i/>
        </w:rPr>
      </w:pPr>
      <w:r w:rsidRPr="00BD6294">
        <w:rPr>
          <w:rStyle w:val="FootnoteReference"/>
          <w:sz w:val="20"/>
        </w:rPr>
        <w:footnoteRef/>
      </w:r>
      <w:r w:rsidRPr="00BD6294">
        <w:t xml:space="preserve"> </w:t>
      </w:r>
      <w:r w:rsidRPr="00BD6294">
        <w:rPr>
          <w:i/>
        </w:rPr>
        <w:t xml:space="preserve">See </w:t>
      </w:r>
      <w:r w:rsidRPr="00BD6294">
        <w:t xml:space="preserve">47 CFR §1.1204; </w:t>
      </w:r>
      <w:r w:rsidRPr="00BD6294">
        <w:rPr>
          <w:i/>
        </w:rPr>
        <w:t>s</w:t>
      </w:r>
      <w:r w:rsidRPr="00BD6294">
        <w:rPr>
          <w:i/>
        </w:rPr>
        <w:t xml:space="preserve">ee also </w:t>
      </w:r>
      <w:r w:rsidRPr="00BD6294">
        <w:rPr>
          <w:i/>
        </w:rPr>
        <w:t>3.5 GHz First Report &amp; Order</w:t>
      </w:r>
      <w:r w:rsidRPr="00BD6294">
        <w:t xml:space="preserve">, 30 FCC Rcd </w:t>
      </w:r>
      <w:r w:rsidRPr="00BD6294">
        <w:t xml:space="preserve">at 4090-91, para. </w:t>
      </w:r>
      <w:r w:rsidRPr="00BD6294">
        <w:t>447</w:t>
      </w:r>
      <w:r w:rsidRPr="00BD62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4EAB" w14:textId="77777777" w:rsidR="009838BC" w:rsidRPr="009838BC" w:rsidRDefault="00AF385B" w:rsidP="009838BC">
    <w:pPr>
      <w:tabs>
        <w:tab w:val="center" w:pos="4680"/>
        <w:tab w:val="right" w:pos="9360"/>
      </w:tabs>
    </w:pPr>
    <w:r w:rsidRPr="009838BC">
      <w:rPr>
        <w:b/>
      </w:rPr>
      <w:tab/>
      <w:t xml:space="preserve">Federal </w:t>
    </w:r>
    <w:r w:rsidRPr="009838BC">
      <w:rPr>
        <w:b/>
      </w:rPr>
      <w:t>Communications Commission</w:t>
    </w:r>
    <w:r w:rsidRPr="009838BC">
      <w:rPr>
        <w:b/>
      </w:rPr>
      <w:tab/>
    </w:r>
    <w:r>
      <w:rPr>
        <w:b/>
      </w:rPr>
      <w:t>DA 18-141</w:t>
    </w:r>
  </w:p>
  <w:p w14:paraId="7496BDD3" w14:textId="77777777" w:rsidR="009838BC" w:rsidRPr="009838BC" w:rsidRDefault="00AF385B" w:rsidP="009838BC">
    <w:pPr>
      <w:tabs>
        <w:tab w:val="left" w:pos="-720"/>
      </w:tabs>
      <w:suppressAutoHyphens/>
      <w:spacing w:line="19" w:lineRule="exact"/>
      <w:rPr>
        <w:spacing w:val="-2"/>
      </w:rPr>
    </w:pPr>
    <w:r>
      <w:rPr>
        <w:noProof/>
      </w:rPr>
      <w:pict w14:anchorId="06004590">
        <v:rect id="Rectangle 15" o:spid="_x0000_s2049" style="position:absolute;margin-left:0;margin-top:0;width:468pt;height:.95pt;z-index:-251658240;visibility:visible;mso-position-horizontal-relative:margin" o:allowincell="f" fillcolor="black" stroked="f" strokeweight=".05pt">
          <w10:wrap anchorx="margin"/>
        </v:rect>
      </w:pict>
    </w:r>
  </w:p>
  <w:p w14:paraId="55FD4156" w14:textId="77777777" w:rsidR="009838BC" w:rsidRPr="009838BC" w:rsidRDefault="00AF385B" w:rsidP="009838BC">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9472" w14:textId="77777777" w:rsidR="00AE7B2B" w:rsidRPr="00AE7B2B" w:rsidRDefault="00AF385B" w:rsidP="00AE7B2B">
    <w:pPr>
      <w:pStyle w:val="Header"/>
    </w:pPr>
    <w:r>
      <w:pict w14:anchorId="53794934">
        <v:shapetype id="_x0000_t202" coordsize="21600,21600" o:spt="202" path="m,l,21600r21600,l21600,xe">
          <v:stroke joinstyle="miter"/>
          <v:path gradientshapeok="t" o:connecttype="rect"/>
        </v:shapetype>
        <v:shape id="Text Box 58" o:spid="_x0000_s2050" type="#_x0000_t202" style="position:absolute;left:0;text-align:left;margin-left:47.6pt;margin-top:57.6pt;width:244.8pt;height:50.4pt;z-index:251660288;visibility:visible;mso-wrap-style:square;mso-width-percent:0;mso-height-percent:0;mso-wrap-distance-left:9pt;mso-wrap-distance-top:0;mso-wrap-distance-right:9pt;mso-wrap-distance-bottom:0;mso-width-percent:0;mso-height-percent:0;mso-width-relative:page;mso-height-relative:page;v-text-anchor:top" o:allowincell="f" stroked="f">
          <v:textbox>
            <w:txbxContent>
              <w:p w14:paraId="55B11CE7" w14:textId="77777777" w:rsidR="00AE7B2B" w:rsidRDefault="00AF385B" w:rsidP="00AE7B2B">
                <w:pPr>
                  <w:rPr>
                    <w:rFonts w:ascii="Arial Narrow" w:hAnsi="Arial Narrow"/>
                    <w:b/>
                  </w:rPr>
                </w:pPr>
                <w:r>
                  <w:rPr>
                    <w:rFonts w:ascii="Arial Narrow" w:hAnsi="Arial Narrow"/>
                    <w:b/>
                  </w:rPr>
                  <w:t>Federal Communications Commission</w:t>
                </w:r>
              </w:p>
              <w:p w14:paraId="06AEAF13" w14:textId="77777777" w:rsidR="00AE7B2B" w:rsidRDefault="00AF385B" w:rsidP="00AE7B2B">
                <w:pPr>
                  <w:rPr>
                    <w:rFonts w:ascii="Arial Narrow" w:hAnsi="Arial Narrow"/>
                    <w:b/>
                  </w:rPr>
                </w:pPr>
                <w:r>
                  <w:rPr>
                    <w:rFonts w:ascii="Arial Narrow" w:hAnsi="Arial Narrow"/>
                    <w:b/>
                  </w:rPr>
                  <w:t>445 12</w:t>
                </w:r>
                <w:r>
                  <w:rPr>
                    <w:rFonts w:ascii="Arial Narrow" w:hAnsi="Arial Narrow"/>
                    <w:b/>
                    <w:vertAlign w:val="superscript"/>
                  </w:rPr>
                  <w:t>th</w:t>
                </w:r>
                <w:r>
                  <w:rPr>
                    <w:rFonts w:ascii="Arial Narrow" w:hAnsi="Arial Narrow"/>
                    <w:b/>
                  </w:rPr>
                  <w:t xml:space="preserve"> St., S.W.</w:t>
                </w:r>
              </w:p>
              <w:p w14:paraId="767F279E" w14:textId="77777777" w:rsidR="00AE7B2B" w:rsidRDefault="00AF385B" w:rsidP="00AE7B2B">
                <w:pPr>
                  <w:rPr>
                    <w:rFonts w:ascii="Arial" w:hAnsi="Arial"/>
                    <w:sz w:val="24"/>
                  </w:rPr>
                </w:pPr>
                <w:r>
                  <w:rPr>
                    <w:rFonts w:ascii="Arial Narrow" w:hAnsi="Arial Narrow"/>
                    <w:b/>
                  </w:rPr>
                  <w:t>Washington, D.C.20554</w:t>
                </w:r>
              </w:p>
            </w:txbxContent>
          </v:textbox>
        </v:shape>
      </w:pict>
    </w:r>
    <w:r w:rsidRPr="00AE7B2B">
      <w:rPr>
        <w:noProof/>
      </w:rPr>
      <w:drawing>
        <wp:anchor distT="0" distB="0" distL="114300" distR="114300" simplePos="0" relativeHeight="251659264" behindDoc="0" locked="0" layoutInCell="0" allowOverlap="1" wp14:anchorId="6EFA29F4" wp14:editId="0E285C39">
          <wp:simplePos x="0" y="0"/>
          <wp:positionH relativeFrom="column">
            <wp:posOffset>0</wp:posOffset>
          </wp:positionH>
          <wp:positionV relativeFrom="paragraph">
            <wp:posOffset>0</wp:posOffset>
          </wp:positionV>
          <wp:extent cx="586740" cy="591185"/>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740" cy="591185"/>
                  </a:xfrm>
                  <a:prstGeom prst="rect">
                    <a:avLst/>
                  </a:prstGeom>
                  <a:noFill/>
                </pic:spPr>
              </pic:pic>
            </a:graphicData>
          </a:graphic>
          <wp14:sizeRelH relativeFrom="page">
            <wp14:pctWidth>0</wp14:pctWidth>
          </wp14:sizeRelH>
          <wp14:sizeRelV relativeFrom="page">
            <wp14:pctHeight>0</wp14:pctHeight>
          </wp14:sizeRelV>
        </wp:anchor>
      </w:drawing>
    </w:r>
    <w:r w:rsidRPr="00AE7B2B">
      <w:t>PUBLIC NOTICE</w:t>
    </w:r>
  </w:p>
  <w:p w14:paraId="14E0C5C3" w14:textId="77777777" w:rsidR="00AE7B2B" w:rsidRDefault="00AF385B" w:rsidP="00AE7B2B">
    <w:pPr>
      <w:pStyle w:val="Header"/>
    </w:pPr>
    <w:r>
      <w:pict w14:anchorId="3D669D72">
        <v:shape id="Text Box 56" o:spid="_x0000_s2051" type="#_x0000_t202" style="position:absolute;left:0;text-align:left;margin-left:298.5pt;margin-top:7.6pt;width:207.95pt;height:47.35pt;z-index:251661312;visibility:visible;mso-wrap-style:square;mso-width-percent:0;mso-height-percent:0;mso-wrap-distance-left:9pt;mso-wrap-distance-top:0;mso-wrap-distance-right:9pt;mso-wrap-distance-bottom:0;mso-width-percent:0;mso-height-percent:0;mso-width-relative:page;mso-height-relative:page;v-text-anchor:top" o:allowincell="f" stroked="f">
          <v:textbox inset=",0,,0">
            <w:txbxContent>
              <w:p w14:paraId="6A6F4D01" w14:textId="77777777" w:rsidR="00AE7B2B" w:rsidRDefault="00AF385B" w:rsidP="00AE7B2B">
                <w:pPr>
                  <w:jc w:val="right"/>
                  <w:rPr>
                    <w:rFonts w:ascii="Arial" w:hAnsi="Arial"/>
                    <w:sz w:val="16"/>
                  </w:rPr>
                </w:pPr>
                <w:r>
                  <w:rPr>
                    <w:rFonts w:ascii="Arial" w:hAnsi="Arial"/>
                    <w:sz w:val="16"/>
                  </w:rPr>
                  <w:tab/>
                  <w:t>News Media Information 202 / 418-0500</w:t>
                </w:r>
              </w:p>
              <w:p w14:paraId="4AEA16CC" w14:textId="77777777" w:rsidR="00AE7B2B" w:rsidRDefault="00AF385B" w:rsidP="00AE7B2B">
                <w:pPr>
                  <w:jc w:val="right"/>
                  <w:rPr>
                    <w:rFonts w:ascii="Arial" w:hAnsi="Arial"/>
                    <w:sz w:val="16"/>
                  </w:rPr>
                </w:pPr>
                <w:r>
                  <w:rPr>
                    <w:rFonts w:ascii="Arial" w:hAnsi="Arial"/>
                    <w:sz w:val="16"/>
                  </w:rPr>
                  <w:tab/>
                  <w:t>Fax-On-Demand 202 / 418-2830</w:t>
                </w:r>
              </w:p>
              <w:p w14:paraId="11797E7B" w14:textId="77777777" w:rsidR="00AE7B2B" w:rsidRDefault="00AF385B" w:rsidP="00AE7B2B">
                <w:pPr>
                  <w:jc w:val="right"/>
                  <w:rPr>
                    <w:rFonts w:ascii="Arial" w:hAnsi="Arial"/>
                    <w:sz w:val="16"/>
                  </w:rPr>
                </w:pPr>
                <w:r>
                  <w:rPr>
                    <w:rFonts w:ascii="Arial" w:hAnsi="Arial"/>
                    <w:sz w:val="16"/>
                  </w:rPr>
                  <w:tab/>
                  <w:t xml:space="preserve">TTY 202 / </w:t>
                </w:r>
                <w:r>
                  <w:rPr>
                    <w:rFonts w:ascii="Arial" w:hAnsi="Arial"/>
                    <w:sz w:val="16"/>
                  </w:rPr>
                  <w:t>418-2555</w:t>
                </w:r>
              </w:p>
              <w:p w14:paraId="7CF5FD83" w14:textId="77777777" w:rsidR="00AE7B2B" w:rsidRDefault="00AF385B" w:rsidP="00AE7B2B">
                <w:pPr>
                  <w:jc w:val="right"/>
                  <w:rPr>
                    <w:rFonts w:ascii="Arial" w:hAnsi="Arial"/>
                    <w:sz w:val="16"/>
                  </w:rPr>
                </w:pPr>
                <w:r>
                  <w:rPr>
                    <w:rFonts w:ascii="Arial" w:hAnsi="Arial"/>
                    <w:sz w:val="16"/>
                  </w:rPr>
                  <w:t>Internet: http://www.fcc.gov</w:t>
                </w:r>
              </w:p>
              <w:p w14:paraId="040B79B6" w14:textId="77777777" w:rsidR="00AE7B2B" w:rsidRDefault="00AF385B" w:rsidP="00AE7B2B">
                <w:pPr>
                  <w:jc w:val="right"/>
                  <w:rPr>
                    <w:rFonts w:ascii="Arial" w:hAnsi="Arial"/>
                    <w:sz w:val="16"/>
                  </w:rPr>
                </w:pPr>
                <w:r>
                  <w:rPr>
                    <w:rFonts w:ascii="Arial" w:hAnsi="Arial"/>
                    <w:sz w:val="16"/>
                  </w:rPr>
                  <w:tab/>
                  <w:t>ftp.fcc.gov</w:t>
                </w:r>
              </w:p>
            </w:txbxContent>
          </v:textbox>
        </v:shape>
      </w:pict>
    </w:r>
  </w:p>
  <w:p w14:paraId="0E0F967F" w14:textId="77777777" w:rsidR="006F7393" w:rsidRPr="002F7E87" w:rsidRDefault="00AF385B" w:rsidP="00F34844">
    <w:pPr>
      <w:pStyle w:val="Head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658"/>
    <w:multiLevelType w:val="hybridMultilevel"/>
    <w:tmpl w:val="A59E262C"/>
    <w:lvl w:ilvl="0" w:tplc="3BCA11F8">
      <w:start w:val="1"/>
      <w:numFmt w:val="bullet"/>
      <w:lvlText w:val=""/>
      <w:lvlJc w:val="left"/>
      <w:pPr>
        <w:tabs>
          <w:tab w:val="num" w:pos="720"/>
        </w:tabs>
        <w:ind w:left="720" w:hanging="360"/>
      </w:pPr>
      <w:rPr>
        <w:rFonts w:ascii="Wingdings" w:hAnsi="Wingdings" w:hint="default"/>
      </w:rPr>
    </w:lvl>
    <w:lvl w:ilvl="1" w:tplc="B246BB60">
      <w:start w:val="1"/>
      <w:numFmt w:val="decimal"/>
      <w:lvlText w:val="(%2)"/>
      <w:lvlJc w:val="left"/>
      <w:pPr>
        <w:tabs>
          <w:tab w:val="num" w:pos="1440"/>
        </w:tabs>
        <w:ind w:left="1440" w:hanging="360"/>
      </w:pPr>
      <w:rPr>
        <w:rFonts w:cs="Times New Roman" w:hint="default"/>
      </w:rPr>
    </w:lvl>
    <w:lvl w:ilvl="2" w:tplc="08B438F6">
      <w:start w:val="1"/>
      <w:numFmt w:val="lowerRoman"/>
      <w:lvlText w:val="%3."/>
      <w:lvlJc w:val="right"/>
      <w:pPr>
        <w:tabs>
          <w:tab w:val="num" w:pos="2160"/>
        </w:tabs>
        <w:ind w:left="2160" w:hanging="180"/>
      </w:pPr>
      <w:rPr>
        <w:rFonts w:cs="Times New Roman"/>
      </w:rPr>
    </w:lvl>
    <w:lvl w:ilvl="3" w:tplc="C28ADA24" w:tentative="1">
      <w:start w:val="1"/>
      <w:numFmt w:val="decimal"/>
      <w:lvlText w:val="%4."/>
      <w:lvlJc w:val="left"/>
      <w:pPr>
        <w:tabs>
          <w:tab w:val="num" w:pos="2880"/>
        </w:tabs>
        <w:ind w:left="2880" w:hanging="360"/>
      </w:pPr>
      <w:rPr>
        <w:rFonts w:cs="Times New Roman"/>
      </w:rPr>
    </w:lvl>
    <w:lvl w:ilvl="4" w:tplc="0EFAFA4E" w:tentative="1">
      <w:start w:val="1"/>
      <w:numFmt w:val="lowerLetter"/>
      <w:lvlText w:val="%5."/>
      <w:lvlJc w:val="left"/>
      <w:pPr>
        <w:tabs>
          <w:tab w:val="num" w:pos="3600"/>
        </w:tabs>
        <w:ind w:left="3600" w:hanging="360"/>
      </w:pPr>
      <w:rPr>
        <w:rFonts w:cs="Times New Roman"/>
      </w:rPr>
    </w:lvl>
    <w:lvl w:ilvl="5" w:tplc="07D025EE" w:tentative="1">
      <w:start w:val="1"/>
      <w:numFmt w:val="lowerRoman"/>
      <w:lvlText w:val="%6."/>
      <w:lvlJc w:val="right"/>
      <w:pPr>
        <w:tabs>
          <w:tab w:val="num" w:pos="4320"/>
        </w:tabs>
        <w:ind w:left="4320" w:hanging="180"/>
      </w:pPr>
      <w:rPr>
        <w:rFonts w:cs="Times New Roman"/>
      </w:rPr>
    </w:lvl>
    <w:lvl w:ilvl="6" w:tplc="6B7A8290" w:tentative="1">
      <w:start w:val="1"/>
      <w:numFmt w:val="decimal"/>
      <w:lvlText w:val="%7."/>
      <w:lvlJc w:val="left"/>
      <w:pPr>
        <w:tabs>
          <w:tab w:val="num" w:pos="5040"/>
        </w:tabs>
        <w:ind w:left="5040" w:hanging="360"/>
      </w:pPr>
      <w:rPr>
        <w:rFonts w:cs="Times New Roman"/>
      </w:rPr>
    </w:lvl>
    <w:lvl w:ilvl="7" w:tplc="664A96C4" w:tentative="1">
      <w:start w:val="1"/>
      <w:numFmt w:val="lowerLetter"/>
      <w:lvlText w:val="%8."/>
      <w:lvlJc w:val="left"/>
      <w:pPr>
        <w:tabs>
          <w:tab w:val="num" w:pos="5760"/>
        </w:tabs>
        <w:ind w:left="5760" w:hanging="360"/>
      </w:pPr>
      <w:rPr>
        <w:rFonts w:cs="Times New Roman"/>
      </w:rPr>
    </w:lvl>
    <w:lvl w:ilvl="8" w:tplc="7CAEC2B8" w:tentative="1">
      <w:start w:val="1"/>
      <w:numFmt w:val="lowerRoman"/>
      <w:lvlText w:val="%9."/>
      <w:lvlJc w:val="right"/>
      <w:pPr>
        <w:tabs>
          <w:tab w:val="num" w:pos="6480"/>
        </w:tabs>
        <w:ind w:left="6480" w:hanging="180"/>
      </w:pPr>
      <w:rPr>
        <w:rFonts w:cs="Times New Roman"/>
      </w:rPr>
    </w:lvl>
  </w:abstractNum>
  <w:abstractNum w:abstractNumId="1"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2" w15:restartNumberingAfterBreak="0">
    <w:nsid w:val="0EE9409C"/>
    <w:multiLevelType w:val="hybridMultilevel"/>
    <w:tmpl w:val="BA8C153E"/>
    <w:lvl w:ilvl="0" w:tplc="C0AE872A">
      <w:start w:val="1"/>
      <w:numFmt w:val="bullet"/>
      <w:lvlText w:val=""/>
      <w:lvlJc w:val="left"/>
      <w:pPr>
        <w:ind w:left="720" w:hanging="360"/>
      </w:pPr>
      <w:rPr>
        <w:rFonts w:ascii="Symbol" w:hAnsi="Symbol" w:hint="default"/>
      </w:rPr>
    </w:lvl>
    <w:lvl w:ilvl="1" w:tplc="C9C8B410" w:tentative="1">
      <w:start w:val="1"/>
      <w:numFmt w:val="bullet"/>
      <w:lvlText w:val="o"/>
      <w:lvlJc w:val="left"/>
      <w:pPr>
        <w:ind w:left="1440" w:hanging="360"/>
      </w:pPr>
      <w:rPr>
        <w:rFonts w:ascii="Courier New" w:hAnsi="Courier New" w:cs="Courier New" w:hint="default"/>
      </w:rPr>
    </w:lvl>
    <w:lvl w:ilvl="2" w:tplc="527CE0A6" w:tentative="1">
      <w:start w:val="1"/>
      <w:numFmt w:val="bullet"/>
      <w:lvlText w:val=""/>
      <w:lvlJc w:val="left"/>
      <w:pPr>
        <w:ind w:left="2160" w:hanging="360"/>
      </w:pPr>
      <w:rPr>
        <w:rFonts w:ascii="Wingdings" w:hAnsi="Wingdings" w:hint="default"/>
      </w:rPr>
    </w:lvl>
    <w:lvl w:ilvl="3" w:tplc="FC421F84" w:tentative="1">
      <w:start w:val="1"/>
      <w:numFmt w:val="bullet"/>
      <w:lvlText w:val=""/>
      <w:lvlJc w:val="left"/>
      <w:pPr>
        <w:ind w:left="2880" w:hanging="360"/>
      </w:pPr>
      <w:rPr>
        <w:rFonts w:ascii="Symbol" w:hAnsi="Symbol" w:hint="default"/>
      </w:rPr>
    </w:lvl>
    <w:lvl w:ilvl="4" w:tplc="8FFA106E" w:tentative="1">
      <w:start w:val="1"/>
      <w:numFmt w:val="bullet"/>
      <w:lvlText w:val="o"/>
      <w:lvlJc w:val="left"/>
      <w:pPr>
        <w:ind w:left="3600" w:hanging="360"/>
      </w:pPr>
      <w:rPr>
        <w:rFonts w:ascii="Courier New" w:hAnsi="Courier New" w:cs="Courier New" w:hint="default"/>
      </w:rPr>
    </w:lvl>
    <w:lvl w:ilvl="5" w:tplc="87FC54E4" w:tentative="1">
      <w:start w:val="1"/>
      <w:numFmt w:val="bullet"/>
      <w:lvlText w:val=""/>
      <w:lvlJc w:val="left"/>
      <w:pPr>
        <w:ind w:left="4320" w:hanging="360"/>
      </w:pPr>
      <w:rPr>
        <w:rFonts w:ascii="Wingdings" w:hAnsi="Wingdings" w:hint="default"/>
      </w:rPr>
    </w:lvl>
    <w:lvl w:ilvl="6" w:tplc="4512501C" w:tentative="1">
      <w:start w:val="1"/>
      <w:numFmt w:val="bullet"/>
      <w:lvlText w:val=""/>
      <w:lvlJc w:val="left"/>
      <w:pPr>
        <w:ind w:left="5040" w:hanging="360"/>
      </w:pPr>
      <w:rPr>
        <w:rFonts w:ascii="Symbol" w:hAnsi="Symbol" w:hint="default"/>
      </w:rPr>
    </w:lvl>
    <w:lvl w:ilvl="7" w:tplc="CA4C74A6" w:tentative="1">
      <w:start w:val="1"/>
      <w:numFmt w:val="bullet"/>
      <w:lvlText w:val="o"/>
      <w:lvlJc w:val="left"/>
      <w:pPr>
        <w:ind w:left="5760" w:hanging="360"/>
      </w:pPr>
      <w:rPr>
        <w:rFonts w:ascii="Courier New" w:hAnsi="Courier New" w:cs="Courier New" w:hint="default"/>
      </w:rPr>
    </w:lvl>
    <w:lvl w:ilvl="8" w:tplc="80C8219E" w:tentative="1">
      <w:start w:val="1"/>
      <w:numFmt w:val="bullet"/>
      <w:lvlText w:val=""/>
      <w:lvlJc w:val="left"/>
      <w:pPr>
        <w:ind w:left="6480" w:hanging="360"/>
      </w:pPr>
      <w:rPr>
        <w:rFonts w:ascii="Wingdings" w:hAnsi="Wingdings" w:hint="default"/>
      </w:rPr>
    </w:lvl>
  </w:abstractNum>
  <w:abstractNum w:abstractNumId="3" w15:restartNumberingAfterBreak="0">
    <w:nsid w:val="17846325"/>
    <w:multiLevelType w:val="hybridMultilevel"/>
    <w:tmpl w:val="D728A274"/>
    <w:lvl w:ilvl="0" w:tplc="31A8642E">
      <w:start w:val="1"/>
      <w:numFmt w:val="decimal"/>
      <w:lvlText w:val="(%1)"/>
      <w:lvlJc w:val="left"/>
      <w:pPr>
        <w:ind w:left="1080" w:hanging="360"/>
      </w:pPr>
      <w:rPr>
        <w:rFonts w:hint="default"/>
      </w:rPr>
    </w:lvl>
    <w:lvl w:ilvl="1" w:tplc="8D64DC20" w:tentative="1">
      <w:start w:val="1"/>
      <w:numFmt w:val="lowerLetter"/>
      <w:lvlText w:val="%2."/>
      <w:lvlJc w:val="left"/>
      <w:pPr>
        <w:ind w:left="1800" w:hanging="360"/>
      </w:pPr>
    </w:lvl>
    <w:lvl w:ilvl="2" w:tplc="766ED76A" w:tentative="1">
      <w:start w:val="1"/>
      <w:numFmt w:val="lowerRoman"/>
      <w:lvlText w:val="%3."/>
      <w:lvlJc w:val="right"/>
      <w:pPr>
        <w:ind w:left="2520" w:hanging="180"/>
      </w:pPr>
    </w:lvl>
    <w:lvl w:ilvl="3" w:tplc="A9E65A82" w:tentative="1">
      <w:start w:val="1"/>
      <w:numFmt w:val="decimal"/>
      <w:lvlText w:val="%4."/>
      <w:lvlJc w:val="left"/>
      <w:pPr>
        <w:ind w:left="3240" w:hanging="360"/>
      </w:pPr>
    </w:lvl>
    <w:lvl w:ilvl="4" w:tplc="A2C4CBE2" w:tentative="1">
      <w:start w:val="1"/>
      <w:numFmt w:val="lowerLetter"/>
      <w:lvlText w:val="%5."/>
      <w:lvlJc w:val="left"/>
      <w:pPr>
        <w:ind w:left="3960" w:hanging="360"/>
      </w:pPr>
    </w:lvl>
    <w:lvl w:ilvl="5" w:tplc="258A78FE" w:tentative="1">
      <w:start w:val="1"/>
      <w:numFmt w:val="lowerRoman"/>
      <w:lvlText w:val="%6."/>
      <w:lvlJc w:val="right"/>
      <w:pPr>
        <w:ind w:left="4680" w:hanging="180"/>
      </w:pPr>
    </w:lvl>
    <w:lvl w:ilvl="6" w:tplc="24DC73A2" w:tentative="1">
      <w:start w:val="1"/>
      <w:numFmt w:val="decimal"/>
      <w:lvlText w:val="%7."/>
      <w:lvlJc w:val="left"/>
      <w:pPr>
        <w:ind w:left="5400" w:hanging="360"/>
      </w:pPr>
    </w:lvl>
    <w:lvl w:ilvl="7" w:tplc="790C255A" w:tentative="1">
      <w:start w:val="1"/>
      <w:numFmt w:val="lowerLetter"/>
      <w:lvlText w:val="%8."/>
      <w:lvlJc w:val="left"/>
      <w:pPr>
        <w:ind w:left="6120" w:hanging="360"/>
      </w:pPr>
    </w:lvl>
    <w:lvl w:ilvl="8" w:tplc="5128F5B4" w:tentative="1">
      <w:start w:val="1"/>
      <w:numFmt w:val="lowerRoman"/>
      <w:lvlText w:val="%9."/>
      <w:lvlJc w:val="right"/>
      <w:pPr>
        <w:ind w:left="6840" w:hanging="180"/>
      </w:pPr>
    </w:lvl>
  </w:abstractNum>
  <w:abstractNum w:abstractNumId="4" w15:restartNumberingAfterBreak="0">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6"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15:restartNumberingAfterBreak="0">
    <w:nsid w:val="38333CB5"/>
    <w:multiLevelType w:val="hybridMultilevel"/>
    <w:tmpl w:val="7B9A5D02"/>
    <w:lvl w:ilvl="0" w:tplc="215AE7E6">
      <w:start w:val="1"/>
      <w:numFmt w:val="bullet"/>
      <w:lvlText w:val=""/>
      <w:lvlJc w:val="left"/>
      <w:pPr>
        <w:tabs>
          <w:tab w:val="num" w:pos="720"/>
        </w:tabs>
        <w:ind w:left="720" w:hanging="360"/>
      </w:pPr>
      <w:rPr>
        <w:rFonts w:ascii="Wingdings" w:hAnsi="Wingdings" w:hint="default"/>
      </w:rPr>
    </w:lvl>
    <w:lvl w:ilvl="1" w:tplc="DEF2A8E4" w:tentative="1">
      <w:start w:val="1"/>
      <w:numFmt w:val="bullet"/>
      <w:lvlText w:val="o"/>
      <w:lvlJc w:val="left"/>
      <w:pPr>
        <w:tabs>
          <w:tab w:val="num" w:pos="1440"/>
        </w:tabs>
        <w:ind w:left="1440" w:hanging="360"/>
      </w:pPr>
      <w:rPr>
        <w:rFonts w:ascii="Courier New" w:hAnsi="Courier New" w:hint="default"/>
      </w:rPr>
    </w:lvl>
    <w:lvl w:ilvl="2" w:tplc="B5F62FF0" w:tentative="1">
      <w:start w:val="1"/>
      <w:numFmt w:val="bullet"/>
      <w:lvlText w:val=""/>
      <w:lvlJc w:val="left"/>
      <w:pPr>
        <w:tabs>
          <w:tab w:val="num" w:pos="2160"/>
        </w:tabs>
        <w:ind w:left="2160" w:hanging="360"/>
      </w:pPr>
      <w:rPr>
        <w:rFonts w:ascii="Wingdings" w:hAnsi="Wingdings" w:hint="default"/>
      </w:rPr>
    </w:lvl>
    <w:lvl w:ilvl="3" w:tplc="65FCDF52" w:tentative="1">
      <w:start w:val="1"/>
      <w:numFmt w:val="bullet"/>
      <w:lvlText w:val=""/>
      <w:lvlJc w:val="left"/>
      <w:pPr>
        <w:tabs>
          <w:tab w:val="num" w:pos="2880"/>
        </w:tabs>
        <w:ind w:left="2880" w:hanging="360"/>
      </w:pPr>
      <w:rPr>
        <w:rFonts w:ascii="Symbol" w:hAnsi="Symbol" w:hint="default"/>
      </w:rPr>
    </w:lvl>
    <w:lvl w:ilvl="4" w:tplc="F600DFE2" w:tentative="1">
      <w:start w:val="1"/>
      <w:numFmt w:val="bullet"/>
      <w:lvlText w:val="o"/>
      <w:lvlJc w:val="left"/>
      <w:pPr>
        <w:tabs>
          <w:tab w:val="num" w:pos="3600"/>
        </w:tabs>
        <w:ind w:left="3600" w:hanging="360"/>
      </w:pPr>
      <w:rPr>
        <w:rFonts w:ascii="Courier New" w:hAnsi="Courier New" w:hint="default"/>
      </w:rPr>
    </w:lvl>
    <w:lvl w:ilvl="5" w:tplc="A49C9FF4" w:tentative="1">
      <w:start w:val="1"/>
      <w:numFmt w:val="bullet"/>
      <w:lvlText w:val=""/>
      <w:lvlJc w:val="left"/>
      <w:pPr>
        <w:tabs>
          <w:tab w:val="num" w:pos="4320"/>
        </w:tabs>
        <w:ind w:left="4320" w:hanging="360"/>
      </w:pPr>
      <w:rPr>
        <w:rFonts w:ascii="Wingdings" w:hAnsi="Wingdings" w:hint="default"/>
      </w:rPr>
    </w:lvl>
    <w:lvl w:ilvl="6" w:tplc="E6B435C4" w:tentative="1">
      <w:start w:val="1"/>
      <w:numFmt w:val="bullet"/>
      <w:lvlText w:val=""/>
      <w:lvlJc w:val="left"/>
      <w:pPr>
        <w:tabs>
          <w:tab w:val="num" w:pos="5040"/>
        </w:tabs>
        <w:ind w:left="5040" w:hanging="360"/>
      </w:pPr>
      <w:rPr>
        <w:rFonts w:ascii="Symbol" w:hAnsi="Symbol" w:hint="default"/>
      </w:rPr>
    </w:lvl>
    <w:lvl w:ilvl="7" w:tplc="2F9855DE" w:tentative="1">
      <w:start w:val="1"/>
      <w:numFmt w:val="bullet"/>
      <w:lvlText w:val="o"/>
      <w:lvlJc w:val="left"/>
      <w:pPr>
        <w:tabs>
          <w:tab w:val="num" w:pos="5760"/>
        </w:tabs>
        <w:ind w:left="5760" w:hanging="360"/>
      </w:pPr>
      <w:rPr>
        <w:rFonts w:ascii="Courier New" w:hAnsi="Courier New" w:hint="default"/>
      </w:rPr>
    </w:lvl>
    <w:lvl w:ilvl="8" w:tplc="B3CE6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1182925"/>
    <w:multiLevelType w:val="singleLevel"/>
    <w:tmpl w:val="32540B7E"/>
    <w:lvl w:ilvl="0">
      <w:start w:val="1"/>
      <w:numFmt w:val="decimal"/>
      <w:pStyle w:val="ParaNum"/>
      <w:lvlText w:val="%1."/>
      <w:lvlJc w:val="left"/>
      <w:pPr>
        <w:tabs>
          <w:tab w:val="num" w:pos="1080"/>
        </w:tabs>
        <w:ind w:left="0" w:firstLine="720"/>
      </w:pPr>
      <w:rPr>
        <w:b w:val="0"/>
      </w:rPr>
    </w:lvl>
  </w:abstractNum>
  <w:abstractNum w:abstractNumId="10" w15:restartNumberingAfterBreak="0">
    <w:nsid w:val="7A4F7EF8"/>
    <w:multiLevelType w:val="hybridMultilevel"/>
    <w:tmpl w:val="9E329466"/>
    <w:lvl w:ilvl="0" w:tplc="9F12E2FA">
      <w:start w:val="1"/>
      <w:numFmt w:val="bullet"/>
      <w:lvlText w:val=""/>
      <w:lvlJc w:val="left"/>
      <w:pPr>
        <w:ind w:left="1080" w:hanging="360"/>
      </w:pPr>
      <w:rPr>
        <w:rFonts w:ascii="Symbol" w:hAnsi="Symbol" w:hint="default"/>
      </w:rPr>
    </w:lvl>
    <w:lvl w:ilvl="1" w:tplc="52563032" w:tentative="1">
      <w:start w:val="1"/>
      <w:numFmt w:val="bullet"/>
      <w:lvlText w:val="o"/>
      <w:lvlJc w:val="left"/>
      <w:pPr>
        <w:ind w:left="1800" w:hanging="360"/>
      </w:pPr>
      <w:rPr>
        <w:rFonts w:ascii="Courier New" w:hAnsi="Courier New" w:cs="Courier New" w:hint="default"/>
      </w:rPr>
    </w:lvl>
    <w:lvl w:ilvl="2" w:tplc="6734B804" w:tentative="1">
      <w:start w:val="1"/>
      <w:numFmt w:val="bullet"/>
      <w:lvlText w:val=""/>
      <w:lvlJc w:val="left"/>
      <w:pPr>
        <w:ind w:left="2520" w:hanging="360"/>
      </w:pPr>
      <w:rPr>
        <w:rFonts w:ascii="Wingdings" w:hAnsi="Wingdings" w:hint="default"/>
      </w:rPr>
    </w:lvl>
    <w:lvl w:ilvl="3" w:tplc="29F4C060" w:tentative="1">
      <w:start w:val="1"/>
      <w:numFmt w:val="bullet"/>
      <w:lvlText w:val=""/>
      <w:lvlJc w:val="left"/>
      <w:pPr>
        <w:ind w:left="3240" w:hanging="360"/>
      </w:pPr>
      <w:rPr>
        <w:rFonts w:ascii="Symbol" w:hAnsi="Symbol" w:hint="default"/>
      </w:rPr>
    </w:lvl>
    <w:lvl w:ilvl="4" w:tplc="C72088AA" w:tentative="1">
      <w:start w:val="1"/>
      <w:numFmt w:val="bullet"/>
      <w:lvlText w:val="o"/>
      <w:lvlJc w:val="left"/>
      <w:pPr>
        <w:ind w:left="3960" w:hanging="360"/>
      </w:pPr>
      <w:rPr>
        <w:rFonts w:ascii="Courier New" w:hAnsi="Courier New" w:cs="Courier New" w:hint="default"/>
      </w:rPr>
    </w:lvl>
    <w:lvl w:ilvl="5" w:tplc="6AD4AFC6" w:tentative="1">
      <w:start w:val="1"/>
      <w:numFmt w:val="bullet"/>
      <w:lvlText w:val=""/>
      <w:lvlJc w:val="left"/>
      <w:pPr>
        <w:ind w:left="4680" w:hanging="360"/>
      </w:pPr>
      <w:rPr>
        <w:rFonts w:ascii="Wingdings" w:hAnsi="Wingdings" w:hint="default"/>
      </w:rPr>
    </w:lvl>
    <w:lvl w:ilvl="6" w:tplc="B0B6D8E4" w:tentative="1">
      <w:start w:val="1"/>
      <w:numFmt w:val="bullet"/>
      <w:lvlText w:val=""/>
      <w:lvlJc w:val="left"/>
      <w:pPr>
        <w:ind w:left="5400" w:hanging="360"/>
      </w:pPr>
      <w:rPr>
        <w:rFonts w:ascii="Symbol" w:hAnsi="Symbol" w:hint="default"/>
      </w:rPr>
    </w:lvl>
    <w:lvl w:ilvl="7" w:tplc="457ACECC" w:tentative="1">
      <w:start w:val="1"/>
      <w:numFmt w:val="bullet"/>
      <w:lvlText w:val="o"/>
      <w:lvlJc w:val="left"/>
      <w:pPr>
        <w:ind w:left="6120" w:hanging="360"/>
      </w:pPr>
      <w:rPr>
        <w:rFonts w:ascii="Courier New" w:hAnsi="Courier New" w:cs="Courier New" w:hint="default"/>
      </w:rPr>
    </w:lvl>
    <w:lvl w:ilvl="8" w:tplc="F14EE42C" w:tentative="1">
      <w:start w:val="1"/>
      <w:numFmt w:val="bullet"/>
      <w:lvlText w:val=""/>
      <w:lvlJc w:val="left"/>
      <w:pPr>
        <w:ind w:left="6840" w:hanging="360"/>
      </w:pPr>
      <w:rPr>
        <w:rFonts w:ascii="Wingdings" w:hAnsi="Wingdings" w:hint="default"/>
      </w:rPr>
    </w:lvl>
  </w:abstractNum>
  <w:abstractNum w:abstractNumId="11" w15:restartNumberingAfterBreak="0">
    <w:nsid w:val="7F0406EE"/>
    <w:multiLevelType w:val="hybridMultilevel"/>
    <w:tmpl w:val="749E4CE6"/>
    <w:lvl w:ilvl="0" w:tplc="F47CC514">
      <w:start w:val="1"/>
      <w:numFmt w:val="bullet"/>
      <w:lvlText w:val=""/>
      <w:lvlJc w:val="left"/>
      <w:pPr>
        <w:tabs>
          <w:tab w:val="num" w:pos="1440"/>
        </w:tabs>
        <w:ind w:left="1440" w:hanging="360"/>
      </w:pPr>
      <w:rPr>
        <w:rFonts w:ascii="Wingdings" w:hAnsi="Wingdings" w:hint="default"/>
      </w:rPr>
    </w:lvl>
    <w:lvl w:ilvl="1" w:tplc="22B8315C">
      <w:start w:val="1"/>
      <w:numFmt w:val="decimal"/>
      <w:lvlText w:val="(%2)"/>
      <w:lvlJc w:val="left"/>
      <w:pPr>
        <w:tabs>
          <w:tab w:val="num" w:pos="2160"/>
        </w:tabs>
        <w:ind w:left="2160" w:hanging="360"/>
      </w:pPr>
      <w:rPr>
        <w:rFonts w:cs="Times New Roman" w:hint="default"/>
      </w:rPr>
    </w:lvl>
    <w:lvl w:ilvl="2" w:tplc="E36070D2">
      <w:start w:val="1"/>
      <w:numFmt w:val="lowerRoman"/>
      <w:lvlText w:val="%3."/>
      <w:lvlJc w:val="right"/>
      <w:pPr>
        <w:tabs>
          <w:tab w:val="num" w:pos="2880"/>
        </w:tabs>
        <w:ind w:left="2880" w:hanging="180"/>
      </w:pPr>
      <w:rPr>
        <w:rFonts w:cs="Times New Roman"/>
      </w:rPr>
    </w:lvl>
    <w:lvl w:ilvl="3" w:tplc="90188CA8">
      <w:numFmt w:val="bullet"/>
      <w:lvlText w:val="-"/>
      <w:lvlJc w:val="left"/>
      <w:pPr>
        <w:tabs>
          <w:tab w:val="num" w:pos="1440"/>
        </w:tabs>
        <w:ind w:left="1440" w:hanging="360"/>
      </w:pPr>
      <w:rPr>
        <w:rFonts w:ascii="Times New Roman" w:eastAsia="Times New Roman" w:hAnsi="Times New Roman" w:hint="default"/>
      </w:rPr>
    </w:lvl>
    <w:lvl w:ilvl="4" w:tplc="8116D116">
      <w:start w:val="1"/>
      <w:numFmt w:val="lowerLetter"/>
      <w:lvlText w:val="%5."/>
      <w:lvlJc w:val="left"/>
      <w:pPr>
        <w:tabs>
          <w:tab w:val="num" w:pos="4320"/>
        </w:tabs>
        <w:ind w:left="4320" w:hanging="360"/>
      </w:pPr>
      <w:rPr>
        <w:rFonts w:cs="Times New Roman"/>
      </w:rPr>
    </w:lvl>
    <w:lvl w:ilvl="5" w:tplc="DE060E98" w:tentative="1">
      <w:start w:val="1"/>
      <w:numFmt w:val="lowerRoman"/>
      <w:lvlText w:val="%6."/>
      <w:lvlJc w:val="right"/>
      <w:pPr>
        <w:tabs>
          <w:tab w:val="num" w:pos="5040"/>
        </w:tabs>
        <w:ind w:left="5040" w:hanging="180"/>
      </w:pPr>
      <w:rPr>
        <w:rFonts w:cs="Times New Roman"/>
      </w:rPr>
    </w:lvl>
    <w:lvl w:ilvl="6" w:tplc="38CEAFE6" w:tentative="1">
      <w:start w:val="1"/>
      <w:numFmt w:val="decimal"/>
      <w:lvlText w:val="%7."/>
      <w:lvlJc w:val="left"/>
      <w:pPr>
        <w:tabs>
          <w:tab w:val="num" w:pos="5760"/>
        </w:tabs>
        <w:ind w:left="5760" w:hanging="360"/>
      </w:pPr>
      <w:rPr>
        <w:rFonts w:cs="Times New Roman"/>
      </w:rPr>
    </w:lvl>
    <w:lvl w:ilvl="7" w:tplc="A2ECBC30" w:tentative="1">
      <w:start w:val="1"/>
      <w:numFmt w:val="lowerLetter"/>
      <w:lvlText w:val="%8."/>
      <w:lvlJc w:val="left"/>
      <w:pPr>
        <w:tabs>
          <w:tab w:val="num" w:pos="6480"/>
        </w:tabs>
        <w:ind w:left="6480" w:hanging="360"/>
      </w:pPr>
      <w:rPr>
        <w:rFonts w:cs="Times New Roman"/>
      </w:rPr>
    </w:lvl>
    <w:lvl w:ilvl="8" w:tplc="29005B6C" w:tentative="1">
      <w:start w:val="1"/>
      <w:numFmt w:val="lowerRoman"/>
      <w:lvlText w:val="%9."/>
      <w:lvlJc w:val="right"/>
      <w:pPr>
        <w:tabs>
          <w:tab w:val="num" w:pos="7200"/>
        </w:tabs>
        <w:ind w:left="7200" w:hanging="180"/>
      </w:pPr>
      <w:rPr>
        <w:rFonts w:cs="Times New Roman"/>
      </w:rPr>
    </w:lvl>
  </w:abstractNum>
  <w:num w:numId="1">
    <w:abstractNumId w:val="4"/>
  </w:num>
  <w:num w:numId="2">
    <w:abstractNumId w:val="9"/>
  </w:num>
  <w:num w:numId="3">
    <w:abstractNumId w:val="6"/>
  </w:num>
  <w:num w:numId="4">
    <w:abstractNumId w:val="8"/>
  </w:num>
  <w:num w:numId="5">
    <w:abstractNumId w:val="5"/>
  </w:num>
  <w:num w:numId="6">
    <w:abstractNumId w:val="1"/>
  </w:num>
  <w:num w:numId="7">
    <w:abstractNumId w:val="10"/>
  </w:num>
  <w:num w:numId="8">
    <w:abstractNumId w:val="2"/>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1,2"/>
    </o:shapelayout>
  </w:hdrShapeDefaults>
  <w:footnotePr>
    <w:footnote w:id="-1"/>
    <w:footnote w:id="0"/>
    <w:footnote w:id="1"/>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F385B"/>
    <w:rsid w:val="00AF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584CB7F"/>
  <w15:docId w15:val="{E6FE4017-CA5D-409A-9C7A-122193DC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5AB"/>
    <w:pPr>
      <w:widowControl w:val="0"/>
      <w:snapToGrid w:val="0"/>
    </w:pPr>
    <w:rPr>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Footnote Text Char Char,Footnote Text Char Char Char Char,Footnote Text Char Char Char Char Char Char1,Footnote Text Char1 Char Char,Footnote Text Char1 Char Char Char Char,Footnote Text Char2,Footnote text,fn,fn Cha"/>
    <w:link w:val="FootnoteTextChar"/>
    <w:rsid w:val="000E3D42"/>
    <w:pPr>
      <w:spacing w:after="120"/>
    </w:p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uiPriority w:val="99"/>
    <w:rsid w:val="00F34844"/>
    <w:pPr>
      <w:tabs>
        <w:tab w:val="center" w:pos="4680"/>
        <w:tab w:val="right" w:pos="9360"/>
      </w:tabs>
      <w:ind w:firstLine="1080"/>
    </w:pPr>
    <w:rPr>
      <w:rFonts w:ascii="News Gothic MT" w:hAnsi="News Gothic MT"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Heading1Char">
    <w:name w:val="Heading 1 Char"/>
    <w:link w:val="Heading1"/>
    <w:rsid w:val="003D30E4"/>
    <w:rPr>
      <w:rFonts w:ascii="Times New Roman Bold" w:hAnsi="Times New Roman Bold"/>
      <w:b/>
      <w:caps/>
      <w:snapToGrid w:val="0"/>
      <w:kern w:val="28"/>
      <w:sz w:val="22"/>
    </w:rPr>
  </w:style>
  <w:style w:type="character" w:customStyle="1" w:styleId="FootnoteTextChar">
    <w:name w:val="Footnote Text Char"/>
    <w:aliases w:val="ALTS FOOTNOTE Char,FOOTNOTE Char,Footnote Text Char Char Char,Footnote Text Char Char Char Char Char,Footnote Text Char Char Char Char Char Char1 Char,Footnote Text Char1 Char Char Char,Footnote Text Char1 Char Char Char Char Char"/>
    <w:link w:val="FootnoteText"/>
    <w:rsid w:val="003D30E4"/>
  </w:style>
  <w:style w:type="character" w:customStyle="1" w:styleId="ParaNumChar">
    <w:name w:val="ParaNum Char"/>
    <w:link w:val="ParaNum"/>
    <w:locked/>
    <w:rsid w:val="003D30E4"/>
    <w:rPr>
      <w:snapToGrid w:val="0"/>
      <w:kern w:val="28"/>
      <w:sz w:val="22"/>
    </w:rPr>
  </w:style>
  <w:style w:type="character" w:styleId="CommentReference">
    <w:name w:val="annotation reference"/>
    <w:uiPriority w:val="99"/>
    <w:semiHidden/>
    <w:unhideWhenUsed/>
    <w:rsid w:val="003D30E4"/>
    <w:rPr>
      <w:sz w:val="16"/>
      <w:szCs w:val="16"/>
    </w:rPr>
  </w:style>
  <w:style w:type="paragraph" w:styleId="CommentText">
    <w:name w:val="annotation text"/>
    <w:basedOn w:val="Normal"/>
    <w:link w:val="CommentTextChar"/>
    <w:uiPriority w:val="99"/>
    <w:semiHidden/>
    <w:unhideWhenUsed/>
    <w:rsid w:val="003D30E4"/>
    <w:rPr>
      <w:sz w:val="20"/>
    </w:rPr>
  </w:style>
  <w:style w:type="character" w:customStyle="1" w:styleId="CommentTextChar">
    <w:name w:val="Comment Text Char"/>
    <w:link w:val="CommentText"/>
    <w:uiPriority w:val="99"/>
    <w:semiHidden/>
    <w:rsid w:val="003D30E4"/>
    <w:rPr>
      <w:snapToGrid w:val="0"/>
      <w:kern w:val="28"/>
    </w:rPr>
  </w:style>
  <w:style w:type="paragraph" w:styleId="BalloonText">
    <w:name w:val="Balloon Text"/>
    <w:basedOn w:val="Normal"/>
    <w:link w:val="BalloonTextChar"/>
    <w:uiPriority w:val="99"/>
    <w:semiHidden/>
    <w:unhideWhenUsed/>
    <w:rsid w:val="003D30E4"/>
    <w:rPr>
      <w:rFonts w:ascii="Segoe UI" w:hAnsi="Segoe UI" w:cs="Segoe UI"/>
      <w:sz w:val="18"/>
      <w:szCs w:val="18"/>
    </w:rPr>
  </w:style>
  <w:style w:type="character" w:customStyle="1" w:styleId="BalloonTextChar">
    <w:name w:val="Balloon Text Char"/>
    <w:link w:val="BalloonText"/>
    <w:uiPriority w:val="99"/>
    <w:semiHidden/>
    <w:rsid w:val="003D30E4"/>
    <w:rPr>
      <w:rFonts w:ascii="Segoe UI" w:hAnsi="Segoe UI" w:cs="Segoe UI"/>
      <w:snapToGrid w:val="0"/>
      <w:kern w:val="28"/>
      <w:sz w:val="18"/>
      <w:szCs w:val="18"/>
    </w:rPr>
  </w:style>
  <w:style w:type="paragraph" w:styleId="CommentSubject">
    <w:name w:val="annotation subject"/>
    <w:basedOn w:val="CommentText"/>
    <w:next w:val="CommentText"/>
    <w:link w:val="CommentSubjectChar"/>
    <w:uiPriority w:val="99"/>
    <w:semiHidden/>
    <w:unhideWhenUsed/>
    <w:rsid w:val="00991A03"/>
    <w:rPr>
      <w:b/>
      <w:bCs/>
    </w:rPr>
  </w:style>
  <w:style w:type="character" w:customStyle="1" w:styleId="CommentSubjectChar">
    <w:name w:val="Comment Subject Char"/>
    <w:link w:val="CommentSubject"/>
    <w:uiPriority w:val="99"/>
    <w:semiHidden/>
    <w:rsid w:val="00991A03"/>
    <w:rPr>
      <w:b/>
      <w:bCs/>
      <w:snapToGrid w:val="0"/>
      <w:kern w:val="28"/>
    </w:rPr>
  </w:style>
  <w:style w:type="character" w:customStyle="1" w:styleId="HeaderChar">
    <w:name w:val="Header Char"/>
    <w:basedOn w:val="DefaultParagraphFont"/>
    <w:link w:val="Header"/>
    <w:uiPriority w:val="99"/>
    <w:rsid w:val="00AE7B2B"/>
    <w:rPr>
      <w:rFonts w:ascii="News Gothic MT" w:hAnsi="News Gothic MT" w:cs="Arial"/>
      <w:b/>
      <w:kern w:val="28"/>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3</Pages>
  <Words>902</Words>
  <Characters>5142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Richard Kennedy</cp:lastModifiedBy>
  <cp:revision>2</cp:revision>
  <dcterms:created xsi:type="dcterms:W3CDTF">2018-08-13T21:25:00Z</dcterms:created>
  <dcterms:modified xsi:type="dcterms:W3CDTF">2018-08-13T21:25:00Z</dcterms:modified>
</cp:coreProperties>
</file>