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E799B" w14:textId="77777777" w:rsidR="00A6709A" w:rsidRDefault="00A6709A" w:rsidP="00A6709A">
      <w:pPr>
        <w:pStyle w:val="ACMAReportTitle"/>
      </w:pPr>
      <w:r>
        <w:t>Five-year spectrum outlook</w:t>
      </w:r>
    </w:p>
    <w:p w14:paraId="42ABF059" w14:textId="77777777" w:rsidR="00F06E14" w:rsidRPr="00A51D1A" w:rsidRDefault="00A6709A" w:rsidP="00A51D1A">
      <w:pPr>
        <w:pStyle w:val="ACMAReportTitle"/>
      </w:pPr>
      <w:r>
        <w:t>201</w:t>
      </w:r>
      <w:r w:rsidR="009F02BC">
        <w:t>8</w:t>
      </w:r>
      <w:r>
        <w:t>–2</w:t>
      </w:r>
      <w:r w:rsidR="009F02BC">
        <w:t>2</w:t>
      </w:r>
    </w:p>
    <w:p w14:paraId="59305348" w14:textId="77777777" w:rsidR="00F06E14" w:rsidRDefault="00A6709A" w:rsidP="00F06E14">
      <w:pPr>
        <w:pStyle w:val="ACMAReportSubTitle"/>
      </w:pPr>
      <w:r w:rsidRPr="00524B01">
        <w:t xml:space="preserve">The ACMA’s spectrum management </w:t>
      </w:r>
      <w:r>
        <w:br/>
      </w:r>
      <w:r w:rsidRPr="00524B01">
        <w:t>work progra</w:t>
      </w:r>
      <w:r w:rsidR="00883511">
        <w:t>m—</w:t>
      </w:r>
      <w:r w:rsidR="009F02BC">
        <w:t>consultation draft</w:t>
      </w:r>
    </w:p>
    <w:p w14:paraId="2DF7DFE7" w14:textId="77777777" w:rsidR="00F06E14" w:rsidRDefault="00F066BB" w:rsidP="00D47AEB">
      <w:pPr>
        <w:pStyle w:val="ACMAReportDate"/>
        <w:spacing w:after="720"/>
      </w:pPr>
      <w:r>
        <w:t>MAY</w:t>
      </w:r>
      <w:r w:rsidR="009F02BC">
        <w:t xml:space="preserve"> </w:t>
      </w:r>
      <w:r w:rsidR="00A6709A">
        <w:t>201</w:t>
      </w:r>
      <w:r w:rsidR="009F02BC">
        <w:t>8</w:t>
      </w:r>
    </w:p>
    <w:p w14:paraId="1955663B" w14:textId="77777777" w:rsidR="00C97736" w:rsidRPr="00D3165D" w:rsidRDefault="00D3165D" w:rsidP="00C7245A">
      <w:pPr>
        <w:rPr>
          <w:rFonts w:cs="Arial"/>
        </w:rPr>
        <w:sectPr w:rsidR="00C97736" w:rsidRPr="00D3165D" w:rsidSect="00760066">
          <w:headerReference w:type="even" r:id="rId8"/>
          <w:headerReference w:type="default" r:id="rId9"/>
          <w:footerReference w:type="even" r:id="rId10"/>
          <w:footerReference w:type="default" r:id="rId11"/>
          <w:headerReference w:type="first" r:id="rId12"/>
          <w:footerReference w:type="first" r:id="rId13"/>
          <w:pgSz w:w="11906" w:h="16838" w:code="9"/>
          <w:pgMar w:top="3924" w:right="1797" w:bottom="1440" w:left="1134" w:header="709" w:footer="454" w:gutter="0"/>
          <w:cols w:space="708"/>
          <w:docGrid w:linePitch="360"/>
        </w:sectPr>
      </w:pPr>
      <w:r>
        <w:rPr>
          <w:rFonts w:cs="Arial"/>
        </w:rPr>
        <w:tab/>
      </w:r>
    </w:p>
    <w:p w14:paraId="7C3F9995" w14:textId="77777777" w:rsidR="0005011A" w:rsidRPr="00F44F3A" w:rsidRDefault="0005011A" w:rsidP="00C7245A">
      <w:pPr>
        <w:pStyle w:val="ACMACorporateAddressHeader"/>
      </w:pPr>
      <w:r w:rsidRPr="00F44F3A">
        <w:lastRenderedPageBreak/>
        <w:t>Canberra</w:t>
      </w:r>
      <w:r w:rsidR="00D3165D">
        <w:tab/>
      </w:r>
    </w:p>
    <w:p w14:paraId="2EF3D327"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5AF859E8" w14:textId="77777777" w:rsidR="0005011A" w:rsidRPr="00FC07B9" w:rsidRDefault="0005011A" w:rsidP="00FC07B9">
      <w:pPr>
        <w:pStyle w:val="ACMACorporateAddresses"/>
      </w:pPr>
      <w:r w:rsidRPr="00FC07B9">
        <w:t>PO Box 78</w:t>
      </w:r>
      <w:r w:rsidRPr="00FC07B9">
        <w:br/>
        <w:t>Belconnen ACT 2616</w:t>
      </w:r>
    </w:p>
    <w:p w14:paraId="049DF1DA"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A53E022" w14:textId="77777777" w:rsidR="0005011A" w:rsidRPr="00F44F3A" w:rsidRDefault="0005011A" w:rsidP="00FC07B9">
      <w:pPr>
        <w:pStyle w:val="ACMACorporateAddressHeader"/>
      </w:pPr>
      <w:r w:rsidRPr="00F44F3A">
        <w:t>Melbourne</w:t>
      </w:r>
    </w:p>
    <w:p w14:paraId="3ECA4B13"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71AEDFC2"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5CCAF6BB"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71685B71" w14:textId="77777777" w:rsidR="0005011A" w:rsidRPr="00F44F3A" w:rsidRDefault="0005011A" w:rsidP="00FC07B9">
      <w:pPr>
        <w:pStyle w:val="ACMACorporateAddressHeader"/>
      </w:pPr>
      <w:r w:rsidRPr="00F44F3A">
        <w:t>Sydney</w:t>
      </w:r>
    </w:p>
    <w:p w14:paraId="4B88F363"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5FEE0830"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49BCF081"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7063613F" w14:textId="77777777" w:rsidR="00140318" w:rsidRPr="006D46E5" w:rsidRDefault="00140318" w:rsidP="00FC07B9">
      <w:pPr>
        <w:pStyle w:val="ACMACopyrightHeader"/>
      </w:pPr>
      <w:r w:rsidRPr="00140318">
        <w:t>Copyright notice</w:t>
      </w:r>
    </w:p>
    <w:p w14:paraId="2F96ACAB" w14:textId="77777777" w:rsidR="00140318" w:rsidRPr="006D46E5" w:rsidRDefault="00623FF9" w:rsidP="00623FF9">
      <w:pPr>
        <w:pStyle w:val="ACMACClogo"/>
      </w:pPr>
      <w:r w:rsidRPr="00623FF9">
        <w:rPr>
          <w:noProof/>
        </w:rPr>
        <w:drawing>
          <wp:inline distT="0" distB="0" distL="0" distR="0" wp14:anchorId="6CDBA15E" wp14:editId="40CA8E68">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426ADC7C" w14:textId="77777777" w:rsidR="00A140B6" w:rsidRDefault="00D30AEF" w:rsidP="00A140B6">
      <w:pPr>
        <w:pStyle w:val="ACMACorporateAddresses"/>
        <w:rPr>
          <w:rStyle w:val="Hyperlink"/>
        </w:rPr>
      </w:pPr>
      <w:hyperlink r:id="rId16" w:history="1">
        <w:r w:rsidR="00A140B6">
          <w:rPr>
            <w:rStyle w:val="Hyperlink"/>
          </w:rPr>
          <w:t>https://creativecommons.org/licenses/by/4.0//</w:t>
        </w:r>
      </w:hyperlink>
    </w:p>
    <w:p w14:paraId="18995C03" w14:textId="77777777" w:rsidR="00A140B6" w:rsidRPr="006D46E5" w:rsidRDefault="00A140B6" w:rsidP="00A140B6">
      <w:pPr>
        <w:pStyle w:val="ACMACorporateAddresses"/>
      </w:pPr>
      <w:r w:rsidRPr="006D46E5">
        <w:t xml:space="preserve">With the exception of coats of arms, logos, emblems, images, other third-party material or devices protected by a trademark, this content is </w:t>
      </w:r>
      <w:r>
        <w:t>made available</w:t>
      </w:r>
      <w:r w:rsidRPr="006D46E5">
        <w:t xml:space="preserve"> under the </w:t>
      </w:r>
      <w:r>
        <w:t xml:space="preserve">terms of the </w:t>
      </w:r>
      <w:r w:rsidRPr="006D46E5">
        <w:t xml:space="preserve">Creative Commons Attribution </w:t>
      </w:r>
      <w:r>
        <w:t>4</w:t>
      </w:r>
      <w:r w:rsidRPr="006D46E5">
        <w:t xml:space="preserve">.0 </w:t>
      </w:r>
      <w:r>
        <w:t>International (CC BY 4.0) licence</w:t>
      </w:r>
      <w:r w:rsidRPr="006D46E5">
        <w:t xml:space="preserve">. </w:t>
      </w:r>
    </w:p>
    <w:p w14:paraId="4E6BA632" w14:textId="77777777" w:rsidR="00A140B6" w:rsidRPr="006D46E5" w:rsidRDefault="00A140B6" w:rsidP="00A140B6">
      <w:pPr>
        <w:pStyle w:val="ACMACorporateAddresses"/>
      </w:pPr>
      <w:r>
        <w:t>We request attribution as</w:t>
      </w:r>
      <w:r w:rsidRPr="006D46E5">
        <w:t xml:space="preserve"> © Commonwealth of Australia (Australian Communic</w:t>
      </w:r>
      <w:r>
        <w:t>ations and Media Authority) 2018</w:t>
      </w:r>
      <w:r w:rsidRPr="006D46E5">
        <w:t>.</w:t>
      </w:r>
    </w:p>
    <w:p w14:paraId="12D3B478" w14:textId="77777777" w:rsidR="00140318" w:rsidRPr="006D46E5" w:rsidRDefault="00140318" w:rsidP="00FC07B9">
      <w:pPr>
        <w:pStyle w:val="ACMACorporateAddresses"/>
      </w:pPr>
      <w:r>
        <w:t>All other rights are reserved.</w:t>
      </w:r>
    </w:p>
    <w:p w14:paraId="5EBF0D13"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265758E" w14:textId="77777777" w:rsidR="00140318" w:rsidRPr="006D46E5" w:rsidRDefault="00140318" w:rsidP="00FC07B9">
      <w:pPr>
        <w:pStyle w:val="ACMACorporateAddresses"/>
      </w:pPr>
      <w:r w:rsidRPr="006D46E5">
        <w:t>Written enquiries may be sent to:</w:t>
      </w:r>
    </w:p>
    <w:p w14:paraId="695BB8C0"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7" w:history="1">
        <w:r w:rsidR="000A1400" w:rsidRPr="00826BEB">
          <w:rPr>
            <w:rStyle w:val="Hyperlink"/>
          </w:rPr>
          <w:t>info@acma.gov.au</w:t>
        </w:r>
      </w:hyperlink>
    </w:p>
    <w:p w14:paraId="7ECB9ABA" w14:textId="77777777" w:rsidR="00D16FE3" w:rsidRDefault="00D16FE3" w:rsidP="00D16FE3">
      <w:pPr>
        <w:pStyle w:val="ACMACorporateAddresses"/>
        <w:rPr>
          <w:rStyle w:val="Hyperlink"/>
        </w:rPr>
      </w:pPr>
    </w:p>
    <w:p w14:paraId="63FBD0DF" w14:textId="77777777" w:rsidR="00D16FE3" w:rsidRPr="00D16FE3" w:rsidRDefault="00D16FE3" w:rsidP="00D16FE3">
      <w:pPr>
        <w:pStyle w:val="ACMACorporateAddresses"/>
        <w:sectPr w:rsidR="00D16FE3" w:rsidRPr="00D16FE3" w:rsidSect="00760066">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4E88EC3A" w14:textId="77777777" w:rsidR="00870E53" w:rsidRDefault="002B2257">
      <w:pPr>
        <w:pStyle w:val="TOC1"/>
        <w:rPr>
          <w:rFonts w:asciiTheme="minorHAnsi" w:eastAsiaTheme="minorEastAsia" w:hAnsiTheme="minorHAnsi" w:cstheme="minorBidi"/>
          <w:b w:val="0"/>
          <w:spacing w:val="0"/>
          <w:sz w:val="22"/>
          <w:szCs w:val="22"/>
        </w:rPr>
      </w:pPr>
      <w:r>
        <w:rPr>
          <w:rFonts w:cs="Arial"/>
          <w:szCs w:val="26"/>
        </w:rPr>
        <w:lastRenderedPageBreak/>
        <w:fldChar w:fldCharType="begin"/>
      </w:r>
      <w:r>
        <w:rPr>
          <w:rFonts w:cs="Arial"/>
          <w:szCs w:val="26"/>
        </w:rPr>
        <w:instrText xml:space="preserve"> TOC \o "1-3" \h \z \u </w:instrText>
      </w:r>
      <w:r>
        <w:rPr>
          <w:rFonts w:cs="Arial"/>
          <w:szCs w:val="26"/>
        </w:rPr>
        <w:fldChar w:fldCharType="separate"/>
      </w:r>
      <w:hyperlink w:anchor="_Toc514156679" w:history="1">
        <w:r w:rsidR="00870E53" w:rsidRPr="00AF73E1">
          <w:rPr>
            <w:rStyle w:val="Hyperlink"/>
          </w:rPr>
          <w:t>Foreword</w:t>
        </w:r>
        <w:r w:rsidR="00870E53">
          <w:rPr>
            <w:webHidden/>
          </w:rPr>
          <w:tab/>
        </w:r>
        <w:r w:rsidR="00870E53">
          <w:rPr>
            <w:webHidden/>
          </w:rPr>
          <w:fldChar w:fldCharType="begin"/>
        </w:r>
        <w:r w:rsidR="00870E53">
          <w:rPr>
            <w:webHidden/>
          </w:rPr>
          <w:instrText xml:space="preserve"> PAGEREF _Toc514156679 \h </w:instrText>
        </w:r>
        <w:r w:rsidR="00870E53">
          <w:rPr>
            <w:webHidden/>
          </w:rPr>
        </w:r>
        <w:r w:rsidR="00870E53">
          <w:rPr>
            <w:webHidden/>
          </w:rPr>
          <w:fldChar w:fldCharType="separate"/>
        </w:r>
        <w:r w:rsidR="005012D4">
          <w:rPr>
            <w:webHidden/>
          </w:rPr>
          <w:t>1</w:t>
        </w:r>
        <w:r w:rsidR="00870E53">
          <w:rPr>
            <w:webHidden/>
          </w:rPr>
          <w:fldChar w:fldCharType="end"/>
        </w:r>
      </w:hyperlink>
    </w:p>
    <w:p w14:paraId="75DB5884" w14:textId="77777777" w:rsidR="00870E53" w:rsidRDefault="00D30AEF">
      <w:pPr>
        <w:pStyle w:val="TOC1"/>
        <w:rPr>
          <w:rFonts w:asciiTheme="minorHAnsi" w:eastAsiaTheme="minorEastAsia" w:hAnsiTheme="minorHAnsi" w:cstheme="minorBidi"/>
          <w:b w:val="0"/>
          <w:spacing w:val="0"/>
          <w:sz w:val="22"/>
          <w:szCs w:val="22"/>
        </w:rPr>
      </w:pPr>
      <w:hyperlink w:anchor="_Toc514156680" w:history="1">
        <w:r w:rsidR="00870E53" w:rsidRPr="00AF73E1">
          <w:rPr>
            <w:rStyle w:val="Hyperlink"/>
          </w:rPr>
          <w:t>At a glance—2018–19 work program</w:t>
        </w:r>
        <w:r w:rsidR="00870E53">
          <w:rPr>
            <w:webHidden/>
          </w:rPr>
          <w:tab/>
        </w:r>
        <w:r w:rsidR="00870E53">
          <w:rPr>
            <w:webHidden/>
          </w:rPr>
          <w:fldChar w:fldCharType="begin"/>
        </w:r>
        <w:r w:rsidR="00870E53">
          <w:rPr>
            <w:webHidden/>
          </w:rPr>
          <w:instrText xml:space="preserve"> PAGEREF _Toc514156680 \h </w:instrText>
        </w:r>
        <w:r w:rsidR="00870E53">
          <w:rPr>
            <w:webHidden/>
          </w:rPr>
        </w:r>
        <w:r w:rsidR="00870E53">
          <w:rPr>
            <w:webHidden/>
          </w:rPr>
          <w:fldChar w:fldCharType="separate"/>
        </w:r>
        <w:r w:rsidR="005012D4">
          <w:rPr>
            <w:webHidden/>
          </w:rPr>
          <w:t>2</w:t>
        </w:r>
        <w:r w:rsidR="00870E53">
          <w:rPr>
            <w:webHidden/>
          </w:rPr>
          <w:fldChar w:fldCharType="end"/>
        </w:r>
      </w:hyperlink>
    </w:p>
    <w:p w14:paraId="7ADFABEC" w14:textId="77777777" w:rsidR="00870E53" w:rsidRDefault="00D30AEF">
      <w:pPr>
        <w:pStyle w:val="TOC2"/>
        <w:rPr>
          <w:rFonts w:asciiTheme="minorHAnsi" w:eastAsiaTheme="minorEastAsia" w:hAnsiTheme="minorHAnsi" w:cstheme="minorBidi"/>
          <w:spacing w:val="0"/>
          <w:sz w:val="22"/>
          <w:szCs w:val="22"/>
        </w:rPr>
      </w:pPr>
      <w:hyperlink w:anchor="_Toc514156681" w:history="1">
        <w:r w:rsidR="00870E53" w:rsidRPr="00AF73E1">
          <w:rPr>
            <w:rStyle w:val="Hyperlink"/>
          </w:rPr>
          <w:t>Consultation and feedback</w:t>
        </w:r>
        <w:r w:rsidR="00870E53">
          <w:rPr>
            <w:webHidden/>
          </w:rPr>
          <w:tab/>
        </w:r>
        <w:r w:rsidR="00870E53">
          <w:rPr>
            <w:webHidden/>
          </w:rPr>
          <w:fldChar w:fldCharType="begin"/>
        </w:r>
        <w:r w:rsidR="00870E53">
          <w:rPr>
            <w:webHidden/>
          </w:rPr>
          <w:instrText xml:space="preserve"> PAGEREF _Toc514156681 \h </w:instrText>
        </w:r>
        <w:r w:rsidR="00870E53">
          <w:rPr>
            <w:webHidden/>
          </w:rPr>
        </w:r>
        <w:r w:rsidR="00870E53">
          <w:rPr>
            <w:webHidden/>
          </w:rPr>
          <w:fldChar w:fldCharType="separate"/>
        </w:r>
        <w:r w:rsidR="005012D4">
          <w:rPr>
            <w:webHidden/>
          </w:rPr>
          <w:t>6</w:t>
        </w:r>
        <w:r w:rsidR="00870E53">
          <w:rPr>
            <w:webHidden/>
          </w:rPr>
          <w:fldChar w:fldCharType="end"/>
        </w:r>
      </w:hyperlink>
    </w:p>
    <w:p w14:paraId="71D37331" w14:textId="77777777" w:rsidR="00870E53" w:rsidRDefault="00D30AEF">
      <w:pPr>
        <w:pStyle w:val="TOC3"/>
        <w:rPr>
          <w:rFonts w:asciiTheme="minorHAnsi" w:eastAsiaTheme="minorEastAsia" w:hAnsiTheme="minorHAnsi" w:cstheme="minorBidi"/>
        </w:rPr>
      </w:pPr>
      <w:hyperlink w:anchor="_Toc514156682" w:history="1">
        <w:r w:rsidR="00870E53" w:rsidRPr="00AF73E1">
          <w:rPr>
            <w:rStyle w:val="Hyperlink"/>
          </w:rPr>
          <w:t>Consultation question</w:t>
        </w:r>
        <w:r w:rsidR="00870E53">
          <w:rPr>
            <w:webHidden/>
          </w:rPr>
          <w:tab/>
        </w:r>
        <w:r w:rsidR="00870E53">
          <w:rPr>
            <w:webHidden/>
          </w:rPr>
          <w:fldChar w:fldCharType="begin"/>
        </w:r>
        <w:r w:rsidR="00870E53">
          <w:rPr>
            <w:webHidden/>
          </w:rPr>
          <w:instrText xml:space="preserve"> PAGEREF _Toc514156682 \h </w:instrText>
        </w:r>
        <w:r w:rsidR="00870E53">
          <w:rPr>
            <w:webHidden/>
          </w:rPr>
        </w:r>
        <w:r w:rsidR="00870E53">
          <w:rPr>
            <w:webHidden/>
          </w:rPr>
          <w:fldChar w:fldCharType="separate"/>
        </w:r>
        <w:r w:rsidR="005012D4">
          <w:rPr>
            <w:webHidden/>
          </w:rPr>
          <w:t>6</w:t>
        </w:r>
        <w:r w:rsidR="00870E53">
          <w:rPr>
            <w:webHidden/>
          </w:rPr>
          <w:fldChar w:fldCharType="end"/>
        </w:r>
      </w:hyperlink>
    </w:p>
    <w:p w14:paraId="57F725BF" w14:textId="77777777" w:rsidR="00870E53" w:rsidRDefault="00D30AEF">
      <w:pPr>
        <w:pStyle w:val="TOC1"/>
        <w:rPr>
          <w:rFonts w:asciiTheme="minorHAnsi" w:eastAsiaTheme="minorEastAsia" w:hAnsiTheme="minorHAnsi" w:cstheme="minorBidi"/>
          <w:b w:val="0"/>
          <w:spacing w:val="0"/>
          <w:sz w:val="22"/>
          <w:szCs w:val="22"/>
        </w:rPr>
      </w:pPr>
      <w:hyperlink w:anchor="_Toc514156683" w:history="1">
        <w:r w:rsidR="00870E53" w:rsidRPr="00AF73E1">
          <w:rPr>
            <w:rStyle w:val="Hyperlink"/>
            <w:rFonts w:eastAsiaTheme="majorEastAsia"/>
          </w:rPr>
          <w:t>Part 1—Five-year spectrum outlook</w:t>
        </w:r>
        <w:r w:rsidR="00870E53">
          <w:rPr>
            <w:webHidden/>
          </w:rPr>
          <w:tab/>
        </w:r>
        <w:r w:rsidR="00870E53">
          <w:rPr>
            <w:webHidden/>
          </w:rPr>
          <w:fldChar w:fldCharType="begin"/>
        </w:r>
        <w:r w:rsidR="00870E53">
          <w:rPr>
            <w:webHidden/>
          </w:rPr>
          <w:instrText xml:space="preserve"> PAGEREF _Toc514156683 \h </w:instrText>
        </w:r>
        <w:r w:rsidR="00870E53">
          <w:rPr>
            <w:webHidden/>
          </w:rPr>
        </w:r>
        <w:r w:rsidR="00870E53">
          <w:rPr>
            <w:webHidden/>
          </w:rPr>
          <w:fldChar w:fldCharType="separate"/>
        </w:r>
        <w:r w:rsidR="005012D4">
          <w:rPr>
            <w:webHidden/>
          </w:rPr>
          <w:t>7</w:t>
        </w:r>
        <w:r w:rsidR="00870E53">
          <w:rPr>
            <w:webHidden/>
          </w:rPr>
          <w:fldChar w:fldCharType="end"/>
        </w:r>
      </w:hyperlink>
    </w:p>
    <w:p w14:paraId="3F6FEF79" w14:textId="77777777" w:rsidR="00870E53" w:rsidRDefault="00D30AEF">
      <w:pPr>
        <w:pStyle w:val="TOC2"/>
        <w:rPr>
          <w:rFonts w:asciiTheme="minorHAnsi" w:eastAsiaTheme="minorEastAsia" w:hAnsiTheme="minorHAnsi" w:cstheme="minorBidi"/>
          <w:spacing w:val="0"/>
          <w:sz w:val="22"/>
          <w:szCs w:val="22"/>
        </w:rPr>
      </w:pPr>
      <w:hyperlink w:anchor="_Toc514156684" w:history="1">
        <w:r w:rsidR="00870E53" w:rsidRPr="00AF73E1">
          <w:rPr>
            <w:rStyle w:val="Hyperlink"/>
            <w:rFonts w:eastAsiaTheme="majorEastAsia"/>
          </w:rPr>
          <w:t>Introduction</w:t>
        </w:r>
        <w:r w:rsidR="00870E53">
          <w:rPr>
            <w:webHidden/>
          </w:rPr>
          <w:tab/>
        </w:r>
        <w:r w:rsidR="00870E53">
          <w:rPr>
            <w:webHidden/>
          </w:rPr>
          <w:fldChar w:fldCharType="begin"/>
        </w:r>
        <w:r w:rsidR="00870E53">
          <w:rPr>
            <w:webHidden/>
          </w:rPr>
          <w:instrText xml:space="preserve"> PAGEREF _Toc514156684 \h </w:instrText>
        </w:r>
        <w:r w:rsidR="00870E53">
          <w:rPr>
            <w:webHidden/>
          </w:rPr>
        </w:r>
        <w:r w:rsidR="00870E53">
          <w:rPr>
            <w:webHidden/>
          </w:rPr>
          <w:fldChar w:fldCharType="separate"/>
        </w:r>
        <w:r w:rsidR="005012D4">
          <w:rPr>
            <w:webHidden/>
          </w:rPr>
          <w:t>7</w:t>
        </w:r>
        <w:r w:rsidR="00870E53">
          <w:rPr>
            <w:webHidden/>
          </w:rPr>
          <w:fldChar w:fldCharType="end"/>
        </w:r>
      </w:hyperlink>
    </w:p>
    <w:p w14:paraId="4442BBB0" w14:textId="77777777" w:rsidR="00870E53" w:rsidRDefault="00D30AEF">
      <w:pPr>
        <w:pStyle w:val="TOC2"/>
        <w:rPr>
          <w:rFonts w:asciiTheme="minorHAnsi" w:eastAsiaTheme="minorEastAsia" w:hAnsiTheme="minorHAnsi" w:cstheme="minorBidi"/>
          <w:spacing w:val="0"/>
          <w:sz w:val="22"/>
          <w:szCs w:val="22"/>
        </w:rPr>
      </w:pPr>
      <w:hyperlink w:anchor="_Toc514156685" w:history="1">
        <w:r w:rsidR="00870E53" w:rsidRPr="00AF73E1">
          <w:rPr>
            <w:rStyle w:val="Hyperlink"/>
          </w:rPr>
          <w:t>Anticipated change drivers</w:t>
        </w:r>
        <w:r w:rsidR="00870E53">
          <w:rPr>
            <w:webHidden/>
          </w:rPr>
          <w:tab/>
        </w:r>
        <w:r w:rsidR="00870E53">
          <w:rPr>
            <w:webHidden/>
          </w:rPr>
          <w:fldChar w:fldCharType="begin"/>
        </w:r>
        <w:r w:rsidR="00870E53">
          <w:rPr>
            <w:webHidden/>
          </w:rPr>
          <w:instrText xml:space="preserve"> PAGEREF _Toc514156685 \h </w:instrText>
        </w:r>
        <w:r w:rsidR="00870E53">
          <w:rPr>
            <w:webHidden/>
          </w:rPr>
        </w:r>
        <w:r w:rsidR="00870E53">
          <w:rPr>
            <w:webHidden/>
          </w:rPr>
          <w:fldChar w:fldCharType="separate"/>
        </w:r>
        <w:r w:rsidR="005012D4">
          <w:rPr>
            <w:webHidden/>
          </w:rPr>
          <w:t>7</w:t>
        </w:r>
        <w:r w:rsidR="00870E53">
          <w:rPr>
            <w:webHidden/>
          </w:rPr>
          <w:fldChar w:fldCharType="end"/>
        </w:r>
      </w:hyperlink>
    </w:p>
    <w:p w14:paraId="4F273AC2" w14:textId="77777777" w:rsidR="00870E53" w:rsidRDefault="00D30AEF">
      <w:pPr>
        <w:pStyle w:val="TOC3"/>
        <w:rPr>
          <w:rFonts w:asciiTheme="minorHAnsi" w:eastAsiaTheme="minorEastAsia" w:hAnsiTheme="minorHAnsi" w:cstheme="minorBidi"/>
        </w:rPr>
      </w:pPr>
      <w:hyperlink w:anchor="_Toc514156686" w:history="1">
        <w:r w:rsidR="00870E53" w:rsidRPr="00AF73E1">
          <w:rPr>
            <w:rStyle w:val="Hyperlink"/>
          </w:rPr>
          <w:t>Wireless broadband, including 5G</w:t>
        </w:r>
        <w:r w:rsidR="00870E53">
          <w:rPr>
            <w:webHidden/>
          </w:rPr>
          <w:tab/>
        </w:r>
        <w:r w:rsidR="00870E53">
          <w:rPr>
            <w:webHidden/>
          </w:rPr>
          <w:fldChar w:fldCharType="begin"/>
        </w:r>
        <w:r w:rsidR="00870E53">
          <w:rPr>
            <w:webHidden/>
          </w:rPr>
          <w:instrText xml:space="preserve"> PAGEREF _Toc514156686 \h </w:instrText>
        </w:r>
        <w:r w:rsidR="00870E53">
          <w:rPr>
            <w:webHidden/>
          </w:rPr>
        </w:r>
        <w:r w:rsidR="00870E53">
          <w:rPr>
            <w:webHidden/>
          </w:rPr>
          <w:fldChar w:fldCharType="separate"/>
        </w:r>
        <w:r w:rsidR="005012D4">
          <w:rPr>
            <w:webHidden/>
          </w:rPr>
          <w:t>7</w:t>
        </w:r>
        <w:r w:rsidR="00870E53">
          <w:rPr>
            <w:webHidden/>
          </w:rPr>
          <w:fldChar w:fldCharType="end"/>
        </w:r>
      </w:hyperlink>
    </w:p>
    <w:p w14:paraId="2F060CEE" w14:textId="77777777" w:rsidR="00870E53" w:rsidRDefault="00D30AEF">
      <w:pPr>
        <w:pStyle w:val="TOC3"/>
        <w:rPr>
          <w:rFonts w:asciiTheme="minorHAnsi" w:eastAsiaTheme="minorEastAsia" w:hAnsiTheme="minorHAnsi" w:cstheme="minorBidi"/>
        </w:rPr>
      </w:pPr>
      <w:hyperlink w:anchor="_Toc514156687" w:history="1">
        <w:r w:rsidR="00870E53" w:rsidRPr="00AF73E1">
          <w:rPr>
            <w:rStyle w:val="Hyperlink"/>
          </w:rPr>
          <w:t>Machine-to-machine communications and the IoT</w:t>
        </w:r>
        <w:r w:rsidR="00870E53">
          <w:rPr>
            <w:webHidden/>
          </w:rPr>
          <w:tab/>
        </w:r>
        <w:r w:rsidR="00870E53">
          <w:rPr>
            <w:webHidden/>
          </w:rPr>
          <w:fldChar w:fldCharType="begin"/>
        </w:r>
        <w:r w:rsidR="00870E53">
          <w:rPr>
            <w:webHidden/>
          </w:rPr>
          <w:instrText xml:space="preserve"> PAGEREF _Toc514156687 \h </w:instrText>
        </w:r>
        <w:r w:rsidR="00870E53">
          <w:rPr>
            <w:webHidden/>
          </w:rPr>
        </w:r>
        <w:r w:rsidR="00870E53">
          <w:rPr>
            <w:webHidden/>
          </w:rPr>
          <w:fldChar w:fldCharType="separate"/>
        </w:r>
        <w:r w:rsidR="005012D4">
          <w:rPr>
            <w:webHidden/>
          </w:rPr>
          <w:t>10</w:t>
        </w:r>
        <w:r w:rsidR="00870E53">
          <w:rPr>
            <w:webHidden/>
          </w:rPr>
          <w:fldChar w:fldCharType="end"/>
        </w:r>
      </w:hyperlink>
    </w:p>
    <w:p w14:paraId="162AC1E2" w14:textId="77777777" w:rsidR="00870E53" w:rsidRDefault="00D30AEF">
      <w:pPr>
        <w:pStyle w:val="TOC3"/>
        <w:rPr>
          <w:rFonts w:asciiTheme="minorHAnsi" w:eastAsiaTheme="minorEastAsia" w:hAnsiTheme="minorHAnsi" w:cstheme="minorBidi"/>
        </w:rPr>
      </w:pPr>
      <w:hyperlink w:anchor="_Toc514156688" w:history="1">
        <w:r w:rsidR="00870E53" w:rsidRPr="00AF73E1">
          <w:rPr>
            <w:rStyle w:val="Hyperlink"/>
          </w:rPr>
          <w:t>Broadcasting</w:t>
        </w:r>
        <w:r w:rsidR="00870E53">
          <w:rPr>
            <w:webHidden/>
          </w:rPr>
          <w:tab/>
        </w:r>
        <w:r w:rsidR="00870E53">
          <w:rPr>
            <w:webHidden/>
          </w:rPr>
          <w:fldChar w:fldCharType="begin"/>
        </w:r>
        <w:r w:rsidR="00870E53">
          <w:rPr>
            <w:webHidden/>
          </w:rPr>
          <w:instrText xml:space="preserve"> PAGEREF _Toc514156688 \h </w:instrText>
        </w:r>
        <w:r w:rsidR="00870E53">
          <w:rPr>
            <w:webHidden/>
          </w:rPr>
        </w:r>
        <w:r w:rsidR="00870E53">
          <w:rPr>
            <w:webHidden/>
          </w:rPr>
          <w:fldChar w:fldCharType="separate"/>
        </w:r>
        <w:r w:rsidR="005012D4">
          <w:rPr>
            <w:webHidden/>
          </w:rPr>
          <w:t>11</w:t>
        </w:r>
        <w:r w:rsidR="00870E53">
          <w:rPr>
            <w:webHidden/>
          </w:rPr>
          <w:fldChar w:fldCharType="end"/>
        </w:r>
      </w:hyperlink>
    </w:p>
    <w:p w14:paraId="015CB028" w14:textId="77777777" w:rsidR="00870E53" w:rsidRDefault="00D30AEF">
      <w:pPr>
        <w:pStyle w:val="TOC3"/>
        <w:rPr>
          <w:rFonts w:asciiTheme="minorHAnsi" w:eastAsiaTheme="minorEastAsia" w:hAnsiTheme="minorHAnsi" w:cstheme="minorBidi"/>
        </w:rPr>
      </w:pPr>
      <w:hyperlink w:anchor="_Toc514156689" w:history="1">
        <w:r w:rsidR="00870E53" w:rsidRPr="00AF73E1">
          <w:rPr>
            <w:rStyle w:val="Hyperlink"/>
          </w:rPr>
          <w:t>Satellite communications</w:t>
        </w:r>
        <w:r w:rsidR="00870E53">
          <w:rPr>
            <w:webHidden/>
          </w:rPr>
          <w:tab/>
        </w:r>
        <w:r w:rsidR="00870E53">
          <w:rPr>
            <w:webHidden/>
          </w:rPr>
          <w:fldChar w:fldCharType="begin"/>
        </w:r>
        <w:r w:rsidR="00870E53">
          <w:rPr>
            <w:webHidden/>
          </w:rPr>
          <w:instrText xml:space="preserve"> PAGEREF _Toc514156689 \h </w:instrText>
        </w:r>
        <w:r w:rsidR="00870E53">
          <w:rPr>
            <w:webHidden/>
          </w:rPr>
        </w:r>
        <w:r w:rsidR="00870E53">
          <w:rPr>
            <w:webHidden/>
          </w:rPr>
          <w:fldChar w:fldCharType="separate"/>
        </w:r>
        <w:r w:rsidR="005012D4">
          <w:rPr>
            <w:webHidden/>
          </w:rPr>
          <w:t>12</w:t>
        </w:r>
        <w:r w:rsidR="00870E53">
          <w:rPr>
            <w:webHidden/>
          </w:rPr>
          <w:fldChar w:fldCharType="end"/>
        </w:r>
      </w:hyperlink>
    </w:p>
    <w:p w14:paraId="5BDE92B8" w14:textId="77777777" w:rsidR="00870E53" w:rsidRDefault="00D30AEF">
      <w:pPr>
        <w:pStyle w:val="TOC3"/>
        <w:rPr>
          <w:rFonts w:asciiTheme="minorHAnsi" w:eastAsiaTheme="minorEastAsia" w:hAnsiTheme="minorHAnsi" w:cstheme="minorBidi"/>
        </w:rPr>
      </w:pPr>
      <w:hyperlink w:anchor="_Toc514156690" w:history="1">
        <w:r w:rsidR="00870E53" w:rsidRPr="00AF73E1">
          <w:rPr>
            <w:rStyle w:val="Hyperlink"/>
          </w:rPr>
          <w:t>Government spectrum requirements</w:t>
        </w:r>
        <w:r w:rsidR="00870E53">
          <w:rPr>
            <w:webHidden/>
          </w:rPr>
          <w:tab/>
        </w:r>
        <w:r w:rsidR="00870E53">
          <w:rPr>
            <w:webHidden/>
          </w:rPr>
          <w:fldChar w:fldCharType="begin"/>
        </w:r>
        <w:r w:rsidR="00870E53">
          <w:rPr>
            <w:webHidden/>
          </w:rPr>
          <w:instrText xml:space="preserve"> PAGEREF _Toc514156690 \h </w:instrText>
        </w:r>
        <w:r w:rsidR="00870E53">
          <w:rPr>
            <w:webHidden/>
          </w:rPr>
        </w:r>
        <w:r w:rsidR="00870E53">
          <w:rPr>
            <w:webHidden/>
          </w:rPr>
          <w:fldChar w:fldCharType="separate"/>
        </w:r>
        <w:r w:rsidR="005012D4">
          <w:rPr>
            <w:webHidden/>
          </w:rPr>
          <w:t>12</w:t>
        </w:r>
        <w:r w:rsidR="00870E53">
          <w:rPr>
            <w:webHidden/>
          </w:rPr>
          <w:fldChar w:fldCharType="end"/>
        </w:r>
      </w:hyperlink>
    </w:p>
    <w:p w14:paraId="04AF92C9" w14:textId="77777777" w:rsidR="00870E53" w:rsidRDefault="00D30AEF">
      <w:pPr>
        <w:pStyle w:val="TOC3"/>
        <w:rPr>
          <w:rFonts w:asciiTheme="minorHAnsi" w:eastAsiaTheme="minorEastAsia" w:hAnsiTheme="minorHAnsi" w:cstheme="minorBidi"/>
        </w:rPr>
      </w:pPr>
      <w:hyperlink w:anchor="_Toc514156691" w:history="1">
        <w:r w:rsidR="00870E53" w:rsidRPr="00AF73E1">
          <w:rPr>
            <w:rStyle w:val="Hyperlink"/>
          </w:rPr>
          <w:t>Dynamic spectrum access</w:t>
        </w:r>
        <w:r w:rsidR="00870E53">
          <w:rPr>
            <w:webHidden/>
          </w:rPr>
          <w:tab/>
        </w:r>
        <w:r w:rsidR="00870E53">
          <w:rPr>
            <w:webHidden/>
          </w:rPr>
          <w:fldChar w:fldCharType="begin"/>
        </w:r>
        <w:r w:rsidR="00870E53">
          <w:rPr>
            <w:webHidden/>
          </w:rPr>
          <w:instrText xml:space="preserve"> PAGEREF _Toc514156691 \h </w:instrText>
        </w:r>
        <w:r w:rsidR="00870E53">
          <w:rPr>
            <w:webHidden/>
          </w:rPr>
        </w:r>
        <w:r w:rsidR="00870E53">
          <w:rPr>
            <w:webHidden/>
          </w:rPr>
          <w:fldChar w:fldCharType="separate"/>
        </w:r>
        <w:r w:rsidR="005012D4">
          <w:rPr>
            <w:webHidden/>
          </w:rPr>
          <w:t>13</w:t>
        </w:r>
        <w:r w:rsidR="00870E53">
          <w:rPr>
            <w:webHidden/>
          </w:rPr>
          <w:fldChar w:fldCharType="end"/>
        </w:r>
      </w:hyperlink>
    </w:p>
    <w:p w14:paraId="5E9EE436" w14:textId="77777777" w:rsidR="00870E53" w:rsidRDefault="00D30AEF">
      <w:pPr>
        <w:pStyle w:val="TOC3"/>
        <w:rPr>
          <w:rFonts w:asciiTheme="minorHAnsi" w:eastAsiaTheme="minorEastAsia" w:hAnsiTheme="minorHAnsi" w:cstheme="minorBidi"/>
        </w:rPr>
      </w:pPr>
      <w:hyperlink w:anchor="_Toc514156692" w:history="1">
        <w:r w:rsidR="00870E53" w:rsidRPr="00AF73E1">
          <w:rPr>
            <w:rStyle w:val="Hyperlink"/>
          </w:rPr>
          <w:t>Consultation question</w:t>
        </w:r>
        <w:r w:rsidR="00870E53">
          <w:rPr>
            <w:webHidden/>
          </w:rPr>
          <w:tab/>
        </w:r>
        <w:r w:rsidR="00870E53">
          <w:rPr>
            <w:webHidden/>
          </w:rPr>
          <w:fldChar w:fldCharType="begin"/>
        </w:r>
        <w:r w:rsidR="00870E53">
          <w:rPr>
            <w:webHidden/>
          </w:rPr>
          <w:instrText xml:space="preserve"> PAGEREF _Toc514156692 \h </w:instrText>
        </w:r>
        <w:r w:rsidR="00870E53">
          <w:rPr>
            <w:webHidden/>
          </w:rPr>
        </w:r>
        <w:r w:rsidR="00870E53">
          <w:rPr>
            <w:webHidden/>
          </w:rPr>
          <w:fldChar w:fldCharType="separate"/>
        </w:r>
        <w:r w:rsidR="005012D4">
          <w:rPr>
            <w:webHidden/>
          </w:rPr>
          <w:t>13</w:t>
        </w:r>
        <w:r w:rsidR="00870E53">
          <w:rPr>
            <w:webHidden/>
          </w:rPr>
          <w:fldChar w:fldCharType="end"/>
        </w:r>
      </w:hyperlink>
    </w:p>
    <w:p w14:paraId="10A5D87E" w14:textId="77777777" w:rsidR="00870E53" w:rsidRDefault="00D30AEF">
      <w:pPr>
        <w:pStyle w:val="TOC1"/>
        <w:rPr>
          <w:rFonts w:asciiTheme="minorHAnsi" w:eastAsiaTheme="minorEastAsia" w:hAnsiTheme="minorHAnsi" w:cstheme="minorBidi"/>
          <w:b w:val="0"/>
          <w:spacing w:val="0"/>
          <w:sz w:val="22"/>
          <w:szCs w:val="22"/>
        </w:rPr>
      </w:pPr>
      <w:hyperlink w:anchor="_Toc514156693" w:history="1">
        <w:r w:rsidR="00870E53" w:rsidRPr="00AF73E1">
          <w:rPr>
            <w:rStyle w:val="Hyperlink"/>
            <w:rFonts w:eastAsiaTheme="majorEastAsia"/>
          </w:rPr>
          <w:t>Part 2—Proposed 2018–19 spectrum work program</w:t>
        </w:r>
        <w:r w:rsidR="00870E53">
          <w:rPr>
            <w:webHidden/>
          </w:rPr>
          <w:tab/>
        </w:r>
        <w:r w:rsidR="00870E53">
          <w:rPr>
            <w:webHidden/>
          </w:rPr>
          <w:fldChar w:fldCharType="begin"/>
        </w:r>
        <w:r w:rsidR="00870E53">
          <w:rPr>
            <w:webHidden/>
          </w:rPr>
          <w:instrText xml:space="preserve"> PAGEREF _Toc514156693 \h </w:instrText>
        </w:r>
        <w:r w:rsidR="00870E53">
          <w:rPr>
            <w:webHidden/>
          </w:rPr>
        </w:r>
        <w:r w:rsidR="00870E53">
          <w:rPr>
            <w:webHidden/>
          </w:rPr>
          <w:fldChar w:fldCharType="separate"/>
        </w:r>
        <w:r w:rsidR="005012D4">
          <w:rPr>
            <w:webHidden/>
          </w:rPr>
          <w:t>14</w:t>
        </w:r>
        <w:r w:rsidR="00870E53">
          <w:rPr>
            <w:webHidden/>
          </w:rPr>
          <w:fldChar w:fldCharType="end"/>
        </w:r>
      </w:hyperlink>
    </w:p>
    <w:p w14:paraId="456F0A54" w14:textId="77777777" w:rsidR="00870E53" w:rsidRDefault="00D30AEF">
      <w:pPr>
        <w:pStyle w:val="TOC1"/>
        <w:rPr>
          <w:rFonts w:asciiTheme="minorHAnsi" w:eastAsiaTheme="minorEastAsia" w:hAnsiTheme="minorHAnsi" w:cstheme="minorBidi"/>
          <w:b w:val="0"/>
          <w:spacing w:val="0"/>
          <w:sz w:val="22"/>
          <w:szCs w:val="22"/>
        </w:rPr>
      </w:pPr>
      <w:hyperlink w:anchor="_Toc514156694" w:history="1">
        <w:r w:rsidR="00870E53" w:rsidRPr="00AF73E1">
          <w:rPr>
            <w:rStyle w:val="Hyperlink"/>
          </w:rPr>
          <w:t>Planning</w:t>
        </w:r>
        <w:r w:rsidR="00870E53">
          <w:rPr>
            <w:webHidden/>
          </w:rPr>
          <w:tab/>
        </w:r>
        <w:r w:rsidR="00870E53">
          <w:rPr>
            <w:webHidden/>
          </w:rPr>
          <w:fldChar w:fldCharType="begin"/>
        </w:r>
        <w:r w:rsidR="00870E53">
          <w:rPr>
            <w:webHidden/>
          </w:rPr>
          <w:instrText xml:space="preserve"> PAGEREF _Toc514156694 \h </w:instrText>
        </w:r>
        <w:r w:rsidR="00870E53">
          <w:rPr>
            <w:webHidden/>
          </w:rPr>
        </w:r>
        <w:r w:rsidR="00870E53">
          <w:rPr>
            <w:webHidden/>
          </w:rPr>
          <w:fldChar w:fldCharType="separate"/>
        </w:r>
        <w:r w:rsidR="005012D4">
          <w:rPr>
            <w:webHidden/>
          </w:rPr>
          <w:t>15</w:t>
        </w:r>
        <w:r w:rsidR="00870E53">
          <w:rPr>
            <w:webHidden/>
          </w:rPr>
          <w:fldChar w:fldCharType="end"/>
        </w:r>
      </w:hyperlink>
    </w:p>
    <w:p w14:paraId="4FEC06F7" w14:textId="77777777" w:rsidR="00870E53" w:rsidRDefault="00D30AEF">
      <w:pPr>
        <w:pStyle w:val="TOC2"/>
        <w:rPr>
          <w:rFonts w:asciiTheme="minorHAnsi" w:eastAsiaTheme="minorEastAsia" w:hAnsiTheme="minorHAnsi" w:cstheme="minorBidi"/>
          <w:spacing w:val="0"/>
          <w:sz w:val="22"/>
          <w:szCs w:val="22"/>
        </w:rPr>
      </w:pPr>
      <w:hyperlink w:anchor="_Toc514156695" w:history="1">
        <w:r w:rsidR="00870E53" w:rsidRPr="00AF73E1">
          <w:rPr>
            <w:rStyle w:val="Hyperlink"/>
          </w:rPr>
          <w:t>Major band (re)planning activities</w:t>
        </w:r>
        <w:r w:rsidR="00870E53">
          <w:rPr>
            <w:webHidden/>
          </w:rPr>
          <w:tab/>
        </w:r>
        <w:r w:rsidR="00870E53">
          <w:rPr>
            <w:webHidden/>
          </w:rPr>
          <w:fldChar w:fldCharType="begin"/>
        </w:r>
        <w:r w:rsidR="00870E53">
          <w:rPr>
            <w:webHidden/>
          </w:rPr>
          <w:instrText xml:space="preserve"> PAGEREF _Toc514156695 \h </w:instrText>
        </w:r>
        <w:r w:rsidR="00870E53">
          <w:rPr>
            <w:webHidden/>
          </w:rPr>
        </w:r>
        <w:r w:rsidR="00870E53">
          <w:rPr>
            <w:webHidden/>
          </w:rPr>
          <w:fldChar w:fldCharType="separate"/>
        </w:r>
        <w:r w:rsidR="005012D4">
          <w:rPr>
            <w:webHidden/>
          </w:rPr>
          <w:t>15</w:t>
        </w:r>
        <w:r w:rsidR="00870E53">
          <w:rPr>
            <w:webHidden/>
          </w:rPr>
          <w:fldChar w:fldCharType="end"/>
        </w:r>
      </w:hyperlink>
    </w:p>
    <w:p w14:paraId="2CD41264" w14:textId="77777777" w:rsidR="00870E53" w:rsidRDefault="00D30AEF">
      <w:pPr>
        <w:pStyle w:val="TOC2"/>
        <w:rPr>
          <w:rFonts w:asciiTheme="minorHAnsi" w:eastAsiaTheme="minorEastAsia" w:hAnsiTheme="minorHAnsi" w:cstheme="minorBidi"/>
          <w:spacing w:val="0"/>
          <w:sz w:val="22"/>
          <w:szCs w:val="22"/>
        </w:rPr>
      </w:pPr>
      <w:hyperlink w:anchor="_Toc514156696" w:history="1">
        <w:r w:rsidR="00870E53" w:rsidRPr="00AF73E1">
          <w:rPr>
            <w:rStyle w:val="Hyperlink"/>
          </w:rPr>
          <w:t>What has changed since last FYSO?</w:t>
        </w:r>
        <w:r w:rsidR="00870E53">
          <w:rPr>
            <w:webHidden/>
          </w:rPr>
          <w:tab/>
        </w:r>
        <w:r w:rsidR="00870E53">
          <w:rPr>
            <w:webHidden/>
          </w:rPr>
          <w:fldChar w:fldCharType="begin"/>
        </w:r>
        <w:r w:rsidR="00870E53">
          <w:rPr>
            <w:webHidden/>
          </w:rPr>
          <w:instrText xml:space="preserve"> PAGEREF _Toc514156696 \h </w:instrText>
        </w:r>
        <w:r w:rsidR="00870E53">
          <w:rPr>
            <w:webHidden/>
          </w:rPr>
        </w:r>
        <w:r w:rsidR="00870E53">
          <w:rPr>
            <w:webHidden/>
          </w:rPr>
          <w:fldChar w:fldCharType="separate"/>
        </w:r>
        <w:r w:rsidR="005012D4">
          <w:rPr>
            <w:webHidden/>
          </w:rPr>
          <w:t>16</w:t>
        </w:r>
        <w:r w:rsidR="00870E53">
          <w:rPr>
            <w:webHidden/>
          </w:rPr>
          <w:fldChar w:fldCharType="end"/>
        </w:r>
      </w:hyperlink>
    </w:p>
    <w:p w14:paraId="5ED245F1" w14:textId="77777777" w:rsidR="00870E53" w:rsidRDefault="00D30AEF">
      <w:pPr>
        <w:pStyle w:val="TOC3"/>
        <w:rPr>
          <w:rFonts w:asciiTheme="minorHAnsi" w:eastAsiaTheme="minorEastAsia" w:hAnsiTheme="minorHAnsi" w:cstheme="minorBidi"/>
        </w:rPr>
      </w:pPr>
      <w:hyperlink w:anchor="_Toc514156697" w:history="1">
        <w:r w:rsidR="00870E53" w:rsidRPr="00AF73E1">
          <w:rPr>
            <w:rStyle w:val="Hyperlink"/>
          </w:rPr>
          <w:t>Consultation question</w:t>
        </w:r>
        <w:r w:rsidR="00870E53">
          <w:rPr>
            <w:webHidden/>
          </w:rPr>
          <w:tab/>
        </w:r>
        <w:r w:rsidR="00870E53">
          <w:rPr>
            <w:webHidden/>
          </w:rPr>
          <w:fldChar w:fldCharType="begin"/>
        </w:r>
        <w:r w:rsidR="00870E53">
          <w:rPr>
            <w:webHidden/>
          </w:rPr>
          <w:instrText xml:space="preserve"> PAGEREF _Toc514156697 \h </w:instrText>
        </w:r>
        <w:r w:rsidR="00870E53">
          <w:rPr>
            <w:webHidden/>
          </w:rPr>
        </w:r>
        <w:r w:rsidR="00870E53">
          <w:rPr>
            <w:webHidden/>
          </w:rPr>
          <w:fldChar w:fldCharType="separate"/>
        </w:r>
        <w:r w:rsidR="005012D4">
          <w:rPr>
            <w:webHidden/>
          </w:rPr>
          <w:t>38</w:t>
        </w:r>
        <w:r w:rsidR="00870E53">
          <w:rPr>
            <w:webHidden/>
          </w:rPr>
          <w:fldChar w:fldCharType="end"/>
        </w:r>
      </w:hyperlink>
    </w:p>
    <w:p w14:paraId="43D2108F" w14:textId="77777777" w:rsidR="00870E53" w:rsidRDefault="00D30AEF">
      <w:pPr>
        <w:pStyle w:val="TOC2"/>
        <w:rPr>
          <w:rFonts w:asciiTheme="minorHAnsi" w:eastAsiaTheme="minorEastAsia" w:hAnsiTheme="minorHAnsi" w:cstheme="minorBidi"/>
          <w:spacing w:val="0"/>
          <w:sz w:val="22"/>
          <w:szCs w:val="22"/>
        </w:rPr>
      </w:pPr>
      <w:hyperlink w:anchor="_Toc514156698" w:history="1">
        <w:r w:rsidR="00870E53" w:rsidRPr="00AF73E1">
          <w:rPr>
            <w:rStyle w:val="Hyperlink"/>
          </w:rPr>
          <w:t>Optimising established planning frameworks</w:t>
        </w:r>
        <w:r w:rsidR="00870E53">
          <w:rPr>
            <w:webHidden/>
          </w:rPr>
          <w:tab/>
        </w:r>
        <w:r w:rsidR="00870E53">
          <w:rPr>
            <w:webHidden/>
          </w:rPr>
          <w:fldChar w:fldCharType="begin"/>
        </w:r>
        <w:r w:rsidR="00870E53">
          <w:rPr>
            <w:webHidden/>
          </w:rPr>
          <w:instrText xml:space="preserve"> PAGEREF _Toc514156698 \h </w:instrText>
        </w:r>
        <w:r w:rsidR="00870E53">
          <w:rPr>
            <w:webHidden/>
          </w:rPr>
        </w:r>
        <w:r w:rsidR="00870E53">
          <w:rPr>
            <w:webHidden/>
          </w:rPr>
          <w:fldChar w:fldCharType="separate"/>
        </w:r>
        <w:r w:rsidR="005012D4">
          <w:rPr>
            <w:webHidden/>
          </w:rPr>
          <w:t>38</w:t>
        </w:r>
        <w:r w:rsidR="00870E53">
          <w:rPr>
            <w:webHidden/>
          </w:rPr>
          <w:fldChar w:fldCharType="end"/>
        </w:r>
      </w:hyperlink>
    </w:p>
    <w:p w14:paraId="6CD207E7" w14:textId="77777777" w:rsidR="00870E53" w:rsidRDefault="00D30AEF">
      <w:pPr>
        <w:pStyle w:val="TOC3"/>
        <w:rPr>
          <w:rFonts w:asciiTheme="minorHAnsi" w:eastAsiaTheme="minorEastAsia" w:hAnsiTheme="minorHAnsi" w:cstheme="minorBidi"/>
        </w:rPr>
      </w:pPr>
      <w:hyperlink w:anchor="_Toc514156699" w:history="1">
        <w:r w:rsidR="00870E53" w:rsidRPr="00AF73E1">
          <w:rPr>
            <w:rStyle w:val="Hyperlink"/>
          </w:rPr>
          <w:t>Spectrum management advice and considering of out-of-policy requests</w:t>
        </w:r>
        <w:r w:rsidR="00870E53">
          <w:rPr>
            <w:webHidden/>
          </w:rPr>
          <w:tab/>
        </w:r>
        <w:r w:rsidR="00870E53">
          <w:rPr>
            <w:webHidden/>
          </w:rPr>
          <w:fldChar w:fldCharType="begin"/>
        </w:r>
        <w:r w:rsidR="00870E53">
          <w:rPr>
            <w:webHidden/>
          </w:rPr>
          <w:instrText xml:space="preserve"> PAGEREF _Toc514156699 \h </w:instrText>
        </w:r>
        <w:r w:rsidR="00870E53">
          <w:rPr>
            <w:webHidden/>
          </w:rPr>
        </w:r>
        <w:r w:rsidR="00870E53">
          <w:rPr>
            <w:webHidden/>
          </w:rPr>
          <w:fldChar w:fldCharType="separate"/>
        </w:r>
        <w:r w:rsidR="005012D4">
          <w:rPr>
            <w:webHidden/>
          </w:rPr>
          <w:t>38</w:t>
        </w:r>
        <w:r w:rsidR="00870E53">
          <w:rPr>
            <w:webHidden/>
          </w:rPr>
          <w:fldChar w:fldCharType="end"/>
        </w:r>
      </w:hyperlink>
    </w:p>
    <w:p w14:paraId="50860D79" w14:textId="77777777" w:rsidR="00870E53" w:rsidRDefault="00D30AEF">
      <w:pPr>
        <w:pStyle w:val="TOC3"/>
        <w:rPr>
          <w:rFonts w:asciiTheme="minorHAnsi" w:eastAsiaTheme="minorEastAsia" w:hAnsiTheme="minorHAnsi" w:cstheme="minorBidi"/>
        </w:rPr>
      </w:pPr>
      <w:hyperlink w:anchor="_Toc514156700" w:history="1">
        <w:r w:rsidR="00870E53" w:rsidRPr="00AF73E1">
          <w:rPr>
            <w:rStyle w:val="Hyperlink"/>
          </w:rPr>
          <w:t>Broadcasting</w:t>
        </w:r>
        <w:r w:rsidR="00870E53">
          <w:rPr>
            <w:webHidden/>
          </w:rPr>
          <w:tab/>
        </w:r>
        <w:r w:rsidR="00870E53">
          <w:rPr>
            <w:webHidden/>
          </w:rPr>
          <w:fldChar w:fldCharType="begin"/>
        </w:r>
        <w:r w:rsidR="00870E53">
          <w:rPr>
            <w:webHidden/>
          </w:rPr>
          <w:instrText xml:space="preserve"> PAGEREF _Toc514156700 \h </w:instrText>
        </w:r>
        <w:r w:rsidR="00870E53">
          <w:rPr>
            <w:webHidden/>
          </w:rPr>
        </w:r>
        <w:r w:rsidR="00870E53">
          <w:rPr>
            <w:webHidden/>
          </w:rPr>
          <w:fldChar w:fldCharType="separate"/>
        </w:r>
        <w:r w:rsidR="005012D4">
          <w:rPr>
            <w:webHidden/>
          </w:rPr>
          <w:t>38</w:t>
        </w:r>
        <w:r w:rsidR="00870E53">
          <w:rPr>
            <w:webHidden/>
          </w:rPr>
          <w:fldChar w:fldCharType="end"/>
        </w:r>
      </w:hyperlink>
    </w:p>
    <w:p w14:paraId="41BFABCE" w14:textId="77777777" w:rsidR="00870E53" w:rsidRDefault="00D30AEF">
      <w:pPr>
        <w:pStyle w:val="TOC3"/>
        <w:rPr>
          <w:rFonts w:asciiTheme="minorHAnsi" w:eastAsiaTheme="minorEastAsia" w:hAnsiTheme="minorHAnsi" w:cstheme="minorBidi"/>
        </w:rPr>
      </w:pPr>
      <w:hyperlink w:anchor="_Toc514156701" w:history="1">
        <w:r w:rsidR="00870E53" w:rsidRPr="00AF73E1">
          <w:rPr>
            <w:rStyle w:val="Hyperlink"/>
            <w:lang w:val="en"/>
          </w:rPr>
          <w:t xml:space="preserve">Satellite </w:t>
        </w:r>
        <w:r w:rsidR="00870E53" w:rsidRPr="00AF73E1">
          <w:rPr>
            <w:rStyle w:val="Hyperlink"/>
          </w:rPr>
          <w:t>planning</w:t>
        </w:r>
        <w:r w:rsidR="00870E53">
          <w:rPr>
            <w:webHidden/>
          </w:rPr>
          <w:tab/>
        </w:r>
        <w:r w:rsidR="00870E53">
          <w:rPr>
            <w:webHidden/>
          </w:rPr>
          <w:fldChar w:fldCharType="begin"/>
        </w:r>
        <w:r w:rsidR="00870E53">
          <w:rPr>
            <w:webHidden/>
          </w:rPr>
          <w:instrText xml:space="preserve"> PAGEREF _Toc514156701 \h </w:instrText>
        </w:r>
        <w:r w:rsidR="00870E53">
          <w:rPr>
            <w:webHidden/>
          </w:rPr>
        </w:r>
        <w:r w:rsidR="00870E53">
          <w:rPr>
            <w:webHidden/>
          </w:rPr>
          <w:fldChar w:fldCharType="separate"/>
        </w:r>
        <w:r w:rsidR="005012D4">
          <w:rPr>
            <w:webHidden/>
          </w:rPr>
          <w:t>40</w:t>
        </w:r>
        <w:r w:rsidR="00870E53">
          <w:rPr>
            <w:webHidden/>
          </w:rPr>
          <w:fldChar w:fldCharType="end"/>
        </w:r>
      </w:hyperlink>
    </w:p>
    <w:p w14:paraId="712ED74C" w14:textId="77777777" w:rsidR="00870E53" w:rsidRDefault="00D30AEF">
      <w:pPr>
        <w:pStyle w:val="TOC3"/>
        <w:rPr>
          <w:rFonts w:asciiTheme="minorHAnsi" w:eastAsiaTheme="minorEastAsia" w:hAnsiTheme="minorHAnsi" w:cstheme="minorBidi"/>
        </w:rPr>
      </w:pPr>
      <w:hyperlink w:anchor="_Toc514156702" w:history="1">
        <w:r w:rsidR="00870E53" w:rsidRPr="00AF73E1">
          <w:rPr>
            <w:rStyle w:val="Hyperlink"/>
          </w:rPr>
          <w:t>Low interference potential devices (LIPD)</w:t>
        </w:r>
        <w:r w:rsidR="00870E53">
          <w:rPr>
            <w:webHidden/>
          </w:rPr>
          <w:tab/>
        </w:r>
        <w:r w:rsidR="00870E53">
          <w:rPr>
            <w:webHidden/>
          </w:rPr>
          <w:fldChar w:fldCharType="begin"/>
        </w:r>
        <w:r w:rsidR="00870E53">
          <w:rPr>
            <w:webHidden/>
          </w:rPr>
          <w:instrText xml:space="preserve"> PAGEREF _Toc514156702 \h </w:instrText>
        </w:r>
        <w:r w:rsidR="00870E53">
          <w:rPr>
            <w:webHidden/>
          </w:rPr>
        </w:r>
        <w:r w:rsidR="00870E53">
          <w:rPr>
            <w:webHidden/>
          </w:rPr>
          <w:fldChar w:fldCharType="separate"/>
        </w:r>
        <w:r w:rsidR="005012D4">
          <w:rPr>
            <w:webHidden/>
          </w:rPr>
          <w:t>43</w:t>
        </w:r>
        <w:r w:rsidR="00870E53">
          <w:rPr>
            <w:webHidden/>
          </w:rPr>
          <w:fldChar w:fldCharType="end"/>
        </w:r>
      </w:hyperlink>
    </w:p>
    <w:p w14:paraId="2D067A2B" w14:textId="77777777" w:rsidR="00870E53" w:rsidRDefault="00D30AEF">
      <w:pPr>
        <w:pStyle w:val="TOC3"/>
        <w:rPr>
          <w:rFonts w:asciiTheme="minorHAnsi" w:eastAsiaTheme="minorEastAsia" w:hAnsiTheme="minorHAnsi" w:cstheme="minorBidi"/>
        </w:rPr>
      </w:pPr>
      <w:hyperlink w:anchor="_Toc514156703" w:history="1">
        <w:r w:rsidR="00870E53" w:rsidRPr="00AF73E1">
          <w:rPr>
            <w:rStyle w:val="Hyperlink"/>
          </w:rPr>
          <w:t>Amateur radio</w:t>
        </w:r>
        <w:r w:rsidR="00870E53">
          <w:rPr>
            <w:webHidden/>
          </w:rPr>
          <w:tab/>
        </w:r>
        <w:r w:rsidR="00870E53">
          <w:rPr>
            <w:webHidden/>
          </w:rPr>
          <w:fldChar w:fldCharType="begin"/>
        </w:r>
        <w:r w:rsidR="00870E53">
          <w:rPr>
            <w:webHidden/>
          </w:rPr>
          <w:instrText xml:space="preserve"> PAGEREF _Toc514156703 \h </w:instrText>
        </w:r>
        <w:r w:rsidR="00870E53">
          <w:rPr>
            <w:webHidden/>
          </w:rPr>
        </w:r>
        <w:r w:rsidR="00870E53">
          <w:rPr>
            <w:webHidden/>
          </w:rPr>
          <w:fldChar w:fldCharType="separate"/>
        </w:r>
        <w:r w:rsidR="005012D4">
          <w:rPr>
            <w:webHidden/>
          </w:rPr>
          <w:t>45</w:t>
        </w:r>
        <w:r w:rsidR="00870E53">
          <w:rPr>
            <w:webHidden/>
          </w:rPr>
          <w:fldChar w:fldCharType="end"/>
        </w:r>
      </w:hyperlink>
    </w:p>
    <w:p w14:paraId="6C898B53" w14:textId="77777777" w:rsidR="00870E53" w:rsidRDefault="00D30AEF">
      <w:pPr>
        <w:pStyle w:val="TOC3"/>
        <w:rPr>
          <w:rFonts w:asciiTheme="minorHAnsi" w:eastAsiaTheme="minorEastAsia" w:hAnsiTheme="minorHAnsi" w:cstheme="minorBidi"/>
        </w:rPr>
      </w:pPr>
      <w:hyperlink w:anchor="_Toc514156704" w:history="1">
        <w:r w:rsidR="00870E53" w:rsidRPr="00AF73E1">
          <w:rPr>
            <w:rStyle w:val="Hyperlink"/>
          </w:rPr>
          <w:t>Ongoing review of spectrum planning, assignment and coordination requirements</w:t>
        </w:r>
        <w:r w:rsidR="00870E53">
          <w:rPr>
            <w:webHidden/>
          </w:rPr>
          <w:tab/>
        </w:r>
        <w:r w:rsidR="00870E53">
          <w:rPr>
            <w:webHidden/>
          </w:rPr>
          <w:fldChar w:fldCharType="begin"/>
        </w:r>
        <w:r w:rsidR="00870E53">
          <w:rPr>
            <w:webHidden/>
          </w:rPr>
          <w:instrText xml:space="preserve"> PAGEREF _Toc514156704 \h </w:instrText>
        </w:r>
        <w:r w:rsidR="00870E53">
          <w:rPr>
            <w:webHidden/>
          </w:rPr>
        </w:r>
        <w:r w:rsidR="00870E53">
          <w:rPr>
            <w:webHidden/>
          </w:rPr>
          <w:fldChar w:fldCharType="separate"/>
        </w:r>
        <w:r w:rsidR="005012D4">
          <w:rPr>
            <w:webHidden/>
          </w:rPr>
          <w:t>46</w:t>
        </w:r>
        <w:r w:rsidR="00870E53">
          <w:rPr>
            <w:webHidden/>
          </w:rPr>
          <w:fldChar w:fldCharType="end"/>
        </w:r>
      </w:hyperlink>
    </w:p>
    <w:p w14:paraId="73B2E8D5" w14:textId="77777777" w:rsidR="00870E53" w:rsidRDefault="00D30AEF">
      <w:pPr>
        <w:pStyle w:val="TOC3"/>
        <w:rPr>
          <w:rFonts w:asciiTheme="minorHAnsi" w:eastAsiaTheme="minorEastAsia" w:hAnsiTheme="minorHAnsi" w:cstheme="minorBidi"/>
        </w:rPr>
      </w:pPr>
      <w:hyperlink w:anchor="_Toc514156705" w:history="1">
        <w:r w:rsidR="00870E53" w:rsidRPr="00AF73E1">
          <w:rPr>
            <w:rStyle w:val="Hyperlink"/>
          </w:rPr>
          <w:t>Consultation question</w:t>
        </w:r>
        <w:r w:rsidR="00870E53">
          <w:rPr>
            <w:webHidden/>
          </w:rPr>
          <w:tab/>
        </w:r>
        <w:r w:rsidR="00870E53">
          <w:rPr>
            <w:webHidden/>
          </w:rPr>
          <w:fldChar w:fldCharType="begin"/>
        </w:r>
        <w:r w:rsidR="00870E53">
          <w:rPr>
            <w:webHidden/>
          </w:rPr>
          <w:instrText xml:space="preserve"> PAGEREF _Toc514156705 \h </w:instrText>
        </w:r>
        <w:r w:rsidR="00870E53">
          <w:rPr>
            <w:webHidden/>
          </w:rPr>
        </w:r>
        <w:r w:rsidR="00870E53">
          <w:rPr>
            <w:webHidden/>
          </w:rPr>
          <w:fldChar w:fldCharType="separate"/>
        </w:r>
        <w:r w:rsidR="005012D4">
          <w:rPr>
            <w:webHidden/>
          </w:rPr>
          <w:t>46</w:t>
        </w:r>
        <w:r w:rsidR="00870E53">
          <w:rPr>
            <w:webHidden/>
          </w:rPr>
          <w:fldChar w:fldCharType="end"/>
        </w:r>
      </w:hyperlink>
    </w:p>
    <w:p w14:paraId="319B32FC" w14:textId="77777777" w:rsidR="00870E53" w:rsidRDefault="00D30AEF" w:rsidP="00870E53">
      <w:pPr>
        <w:pStyle w:val="TOC1"/>
        <w:keepNext/>
        <w:keepLines/>
        <w:rPr>
          <w:rFonts w:asciiTheme="minorHAnsi" w:eastAsiaTheme="minorEastAsia" w:hAnsiTheme="minorHAnsi" w:cstheme="minorBidi"/>
          <w:b w:val="0"/>
          <w:spacing w:val="0"/>
          <w:sz w:val="22"/>
          <w:szCs w:val="22"/>
        </w:rPr>
      </w:pPr>
      <w:hyperlink w:anchor="_Toc514156706" w:history="1">
        <w:r w:rsidR="00870E53" w:rsidRPr="00AF73E1">
          <w:rPr>
            <w:rStyle w:val="Hyperlink"/>
          </w:rPr>
          <w:t>The forward allocation work plan</w:t>
        </w:r>
        <w:r w:rsidR="00870E53">
          <w:rPr>
            <w:webHidden/>
          </w:rPr>
          <w:tab/>
        </w:r>
        <w:r w:rsidR="00870E53">
          <w:rPr>
            <w:webHidden/>
          </w:rPr>
          <w:fldChar w:fldCharType="begin"/>
        </w:r>
        <w:r w:rsidR="00870E53">
          <w:rPr>
            <w:webHidden/>
          </w:rPr>
          <w:instrText xml:space="preserve"> PAGEREF _Toc514156706 \h </w:instrText>
        </w:r>
        <w:r w:rsidR="00870E53">
          <w:rPr>
            <w:webHidden/>
          </w:rPr>
        </w:r>
        <w:r w:rsidR="00870E53">
          <w:rPr>
            <w:webHidden/>
          </w:rPr>
          <w:fldChar w:fldCharType="separate"/>
        </w:r>
        <w:r w:rsidR="005012D4">
          <w:rPr>
            <w:webHidden/>
          </w:rPr>
          <w:t>47</w:t>
        </w:r>
        <w:r w:rsidR="00870E53">
          <w:rPr>
            <w:webHidden/>
          </w:rPr>
          <w:fldChar w:fldCharType="end"/>
        </w:r>
      </w:hyperlink>
    </w:p>
    <w:p w14:paraId="29FFADE9" w14:textId="77777777" w:rsidR="00870E53" w:rsidRDefault="00D30AEF" w:rsidP="00870E53">
      <w:pPr>
        <w:pStyle w:val="TOC2"/>
        <w:keepNext/>
        <w:keepLines/>
        <w:rPr>
          <w:rFonts w:asciiTheme="minorHAnsi" w:eastAsiaTheme="minorEastAsia" w:hAnsiTheme="minorHAnsi" w:cstheme="minorBidi"/>
          <w:spacing w:val="0"/>
          <w:sz w:val="22"/>
          <w:szCs w:val="22"/>
        </w:rPr>
      </w:pPr>
      <w:hyperlink w:anchor="_Toc514156707" w:history="1">
        <w:r w:rsidR="00870E53" w:rsidRPr="00AF73E1">
          <w:rPr>
            <w:rStyle w:val="Hyperlink"/>
            <w:rFonts w:eastAsiaTheme="majorEastAsia"/>
          </w:rPr>
          <w:t>Purpose of the allocation work plan</w:t>
        </w:r>
        <w:r w:rsidR="00870E53">
          <w:rPr>
            <w:webHidden/>
          </w:rPr>
          <w:tab/>
        </w:r>
        <w:r w:rsidR="00870E53">
          <w:rPr>
            <w:webHidden/>
          </w:rPr>
          <w:fldChar w:fldCharType="begin"/>
        </w:r>
        <w:r w:rsidR="00870E53">
          <w:rPr>
            <w:webHidden/>
          </w:rPr>
          <w:instrText xml:space="preserve"> PAGEREF _Toc514156707 \h </w:instrText>
        </w:r>
        <w:r w:rsidR="00870E53">
          <w:rPr>
            <w:webHidden/>
          </w:rPr>
        </w:r>
        <w:r w:rsidR="00870E53">
          <w:rPr>
            <w:webHidden/>
          </w:rPr>
          <w:fldChar w:fldCharType="separate"/>
        </w:r>
        <w:r w:rsidR="005012D4">
          <w:rPr>
            <w:webHidden/>
          </w:rPr>
          <w:t>47</w:t>
        </w:r>
        <w:r w:rsidR="00870E53">
          <w:rPr>
            <w:webHidden/>
          </w:rPr>
          <w:fldChar w:fldCharType="end"/>
        </w:r>
      </w:hyperlink>
    </w:p>
    <w:p w14:paraId="50BF9E9B" w14:textId="77777777" w:rsidR="00870E53" w:rsidRDefault="00D30AEF" w:rsidP="00870E53">
      <w:pPr>
        <w:pStyle w:val="TOC2"/>
        <w:keepNext/>
        <w:keepLines/>
        <w:rPr>
          <w:rFonts w:asciiTheme="minorHAnsi" w:eastAsiaTheme="minorEastAsia" w:hAnsiTheme="minorHAnsi" w:cstheme="minorBidi"/>
          <w:spacing w:val="0"/>
          <w:sz w:val="22"/>
          <w:szCs w:val="22"/>
        </w:rPr>
      </w:pPr>
      <w:hyperlink w:anchor="_Toc514156708" w:history="1">
        <w:r w:rsidR="00870E53" w:rsidRPr="00AF73E1">
          <w:rPr>
            <w:rStyle w:val="Hyperlink"/>
          </w:rPr>
          <w:t>Feedback</w:t>
        </w:r>
        <w:r w:rsidR="00870E53">
          <w:rPr>
            <w:webHidden/>
          </w:rPr>
          <w:tab/>
        </w:r>
        <w:r w:rsidR="00870E53">
          <w:rPr>
            <w:webHidden/>
          </w:rPr>
          <w:fldChar w:fldCharType="begin"/>
        </w:r>
        <w:r w:rsidR="00870E53">
          <w:rPr>
            <w:webHidden/>
          </w:rPr>
          <w:instrText xml:space="preserve"> PAGEREF _Toc514156708 \h </w:instrText>
        </w:r>
        <w:r w:rsidR="00870E53">
          <w:rPr>
            <w:webHidden/>
          </w:rPr>
        </w:r>
        <w:r w:rsidR="00870E53">
          <w:rPr>
            <w:webHidden/>
          </w:rPr>
          <w:fldChar w:fldCharType="separate"/>
        </w:r>
        <w:r w:rsidR="005012D4">
          <w:rPr>
            <w:webHidden/>
          </w:rPr>
          <w:t>47</w:t>
        </w:r>
        <w:r w:rsidR="00870E53">
          <w:rPr>
            <w:webHidden/>
          </w:rPr>
          <w:fldChar w:fldCharType="end"/>
        </w:r>
      </w:hyperlink>
    </w:p>
    <w:p w14:paraId="62348DC7" w14:textId="77777777" w:rsidR="00870E53" w:rsidRDefault="00D30AEF" w:rsidP="00870E53">
      <w:pPr>
        <w:pStyle w:val="TOC2"/>
        <w:keepNext/>
        <w:keepLines/>
        <w:rPr>
          <w:rFonts w:asciiTheme="minorHAnsi" w:eastAsiaTheme="minorEastAsia" w:hAnsiTheme="minorHAnsi" w:cstheme="minorBidi"/>
          <w:spacing w:val="0"/>
          <w:sz w:val="22"/>
          <w:szCs w:val="22"/>
        </w:rPr>
      </w:pPr>
      <w:hyperlink w:anchor="_Toc514156709" w:history="1">
        <w:r w:rsidR="00870E53" w:rsidRPr="00AF73E1">
          <w:rPr>
            <w:rStyle w:val="Hyperlink"/>
          </w:rPr>
          <w:t>What we’re proposing</w:t>
        </w:r>
        <w:r w:rsidR="00870E53">
          <w:rPr>
            <w:webHidden/>
          </w:rPr>
          <w:tab/>
        </w:r>
        <w:r w:rsidR="00870E53">
          <w:rPr>
            <w:webHidden/>
          </w:rPr>
          <w:fldChar w:fldCharType="begin"/>
        </w:r>
        <w:r w:rsidR="00870E53">
          <w:rPr>
            <w:webHidden/>
          </w:rPr>
          <w:instrText xml:space="preserve"> PAGEREF _Toc514156709 \h </w:instrText>
        </w:r>
        <w:r w:rsidR="00870E53">
          <w:rPr>
            <w:webHidden/>
          </w:rPr>
        </w:r>
        <w:r w:rsidR="00870E53">
          <w:rPr>
            <w:webHidden/>
          </w:rPr>
          <w:fldChar w:fldCharType="separate"/>
        </w:r>
        <w:r w:rsidR="005012D4">
          <w:rPr>
            <w:webHidden/>
          </w:rPr>
          <w:t>54</w:t>
        </w:r>
        <w:r w:rsidR="00870E53">
          <w:rPr>
            <w:webHidden/>
          </w:rPr>
          <w:fldChar w:fldCharType="end"/>
        </w:r>
      </w:hyperlink>
    </w:p>
    <w:p w14:paraId="152FF399" w14:textId="77777777" w:rsidR="00870E53" w:rsidRDefault="00D30AEF" w:rsidP="00870E53">
      <w:pPr>
        <w:pStyle w:val="TOC2"/>
        <w:keepNext/>
        <w:keepLines/>
        <w:rPr>
          <w:rFonts w:asciiTheme="minorHAnsi" w:eastAsiaTheme="minorEastAsia" w:hAnsiTheme="minorHAnsi" w:cstheme="minorBidi"/>
          <w:spacing w:val="0"/>
          <w:sz w:val="22"/>
          <w:szCs w:val="22"/>
        </w:rPr>
      </w:pPr>
      <w:hyperlink w:anchor="_Toc514156710" w:history="1">
        <w:r w:rsidR="00870E53" w:rsidRPr="00AF73E1">
          <w:rPr>
            <w:rStyle w:val="Hyperlink"/>
            <w:rFonts w:eastAsiaTheme="majorEastAsia"/>
          </w:rPr>
          <w:t>Allocation scenarios for comment</w:t>
        </w:r>
        <w:r w:rsidR="00870E53">
          <w:rPr>
            <w:webHidden/>
          </w:rPr>
          <w:tab/>
        </w:r>
        <w:r w:rsidR="00870E53">
          <w:rPr>
            <w:webHidden/>
          </w:rPr>
          <w:fldChar w:fldCharType="begin"/>
        </w:r>
        <w:r w:rsidR="00870E53">
          <w:rPr>
            <w:webHidden/>
          </w:rPr>
          <w:instrText xml:space="preserve"> PAGEREF _Toc514156710 \h </w:instrText>
        </w:r>
        <w:r w:rsidR="00870E53">
          <w:rPr>
            <w:webHidden/>
          </w:rPr>
        </w:r>
        <w:r w:rsidR="00870E53">
          <w:rPr>
            <w:webHidden/>
          </w:rPr>
          <w:fldChar w:fldCharType="separate"/>
        </w:r>
        <w:r w:rsidR="005012D4">
          <w:rPr>
            <w:webHidden/>
          </w:rPr>
          <w:t>56</w:t>
        </w:r>
        <w:r w:rsidR="00870E53">
          <w:rPr>
            <w:webHidden/>
          </w:rPr>
          <w:fldChar w:fldCharType="end"/>
        </w:r>
      </w:hyperlink>
    </w:p>
    <w:p w14:paraId="6BA0E210" w14:textId="77777777" w:rsidR="00870E53" w:rsidRDefault="00D30AEF" w:rsidP="00870E53">
      <w:pPr>
        <w:pStyle w:val="TOC3"/>
        <w:keepNext/>
        <w:keepLines/>
        <w:rPr>
          <w:rFonts w:asciiTheme="minorHAnsi" w:eastAsiaTheme="minorEastAsia" w:hAnsiTheme="minorHAnsi" w:cstheme="minorBidi"/>
        </w:rPr>
      </w:pPr>
      <w:hyperlink w:anchor="_Toc514156711" w:history="1">
        <w:r w:rsidR="00870E53" w:rsidRPr="00AF73E1">
          <w:rPr>
            <w:rStyle w:val="Hyperlink"/>
          </w:rPr>
          <w:t>Consultation question</w:t>
        </w:r>
        <w:r w:rsidR="00870E53">
          <w:rPr>
            <w:webHidden/>
          </w:rPr>
          <w:tab/>
        </w:r>
        <w:r w:rsidR="00870E53">
          <w:rPr>
            <w:webHidden/>
          </w:rPr>
          <w:fldChar w:fldCharType="begin"/>
        </w:r>
        <w:r w:rsidR="00870E53">
          <w:rPr>
            <w:webHidden/>
          </w:rPr>
          <w:instrText xml:space="preserve"> PAGEREF _Toc514156711 \h </w:instrText>
        </w:r>
        <w:r w:rsidR="00870E53">
          <w:rPr>
            <w:webHidden/>
          </w:rPr>
        </w:r>
        <w:r w:rsidR="00870E53">
          <w:rPr>
            <w:webHidden/>
          </w:rPr>
          <w:fldChar w:fldCharType="separate"/>
        </w:r>
        <w:r w:rsidR="005012D4">
          <w:rPr>
            <w:webHidden/>
          </w:rPr>
          <w:t>59</w:t>
        </w:r>
        <w:r w:rsidR="00870E53">
          <w:rPr>
            <w:webHidden/>
          </w:rPr>
          <w:fldChar w:fldCharType="end"/>
        </w:r>
      </w:hyperlink>
    </w:p>
    <w:p w14:paraId="160D6378" w14:textId="77777777" w:rsidR="00870E53" w:rsidRDefault="00D30AEF">
      <w:pPr>
        <w:pStyle w:val="TOC1"/>
        <w:rPr>
          <w:rFonts w:asciiTheme="minorHAnsi" w:eastAsiaTheme="minorEastAsia" w:hAnsiTheme="minorHAnsi" w:cstheme="minorBidi"/>
          <w:b w:val="0"/>
          <w:spacing w:val="0"/>
          <w:sz w:val="22"/>
          <w:szCs w:val="22"/>
        </w:rPr>
      </w:pPr>
      <w:hyperlink w:anchor="_Toc514156712" w:history="1">
        <w:r w:rsidR="00870E53" w:rsidRPr="00AF73E1">
          <w:rPr>
            <w:rStyle w:val="Hyperlink"/>
          </w:rPr>
          <w:t>Spectrum review implementation</w:t>
        </w:r>
        <w:r w:rsidR="00870E53">
          <w:rPr>
            <w:webHidden/>
          </w:rPr>
          <w:tab/>
        </w:r>
        <w:r w:rsidR="00870E53">
          <w:rPr>
            <w:webHidden/>
          </w:rPr>
          <w:fldChar w:fldCharType="begin"/>
        </w:r>
        <w:r w:rsidR="00870E53">
          <w:rPr>
            <w:webHidden/>
          </w:rPr>
          <w:instrText xml:space="preserve"> PAGEREF _Toc514156712 \h </w:instrText>
        </w:r>
        <w:r w:rsidR="00870E53">
          <w:rPr>
            <w:webHidden/>
          </w:rPr>
        </w:r>
        <w:r w:rsidR="00870E53">
          <w:rPr>
            <w:webHidden/>
          </w:rPr>
          <w:fldChar w:fldCharType="separate"/>
        </w:r>
        <w:r w:rsidR="005012D4">
          <w:rPr>
            <w:webHidden/>
          </w:rPr>
          <w:t>60</w:t>
        </w:r>
        <w:r w:rsidR="00870E53">
          <w:rPr>
            <w:webHidden/>
          </w:rPr>
          <w:fldChar w:fldCharType="end"/>
        </w:r>
      </w:hyperlink>
    </w:p>
    <w:p w14:paraId="1AADBC8D" w14:textId="77777777" w:rsidR="00870E53" w:rsidRDefault="00D30AEF">
      <w:pPr>
        <w:pStyle w:val="TOC2"/>
        <w:rPr>
          <w:rFonts w:asciiTheme="minorHAnsi" w:eastAsiaTheme="minorEastAsia" w:hAnsiTheme="minorHAnsi" w:cstheme="minorBidi"/>
          <w:spacing w:val="0"/>
          <w:sz w:val="22"/>
          <w:szCs w:val="22"/>
        </w:rPr>
      </w:pPr>
      <w:hyperlink w:anchor="_Toc514156713" w:history="1">
        <w:r w:rsidR="00870E53" w:rsidRPr="00AF73E1">
          <w:rPr>
            <w:rStyle w:val="Hyperlink"/>
          </w:rPr>
          <w:t>The reform context</w:t>
        </w:r>
        <w:r w:rsidR="00870E53">
          <w:rPr>
            <w:webHidden/>
          </w:rPr>
          <w:tab/>
        </w:r>
        <w:r w:rsidR="00870E53">
          <w:rPr>
            <w:webHidden/>
          </w:rPr>
          <w:fldChar w:fldCharType="begin"/>
        </w:r>
        <w:r w:rsidR="00870E53">
          <w:rPr>
            <w:webHidden/>
          </w:rPr>
          <w:instrText xml:space="preserve"> PAGEREF _Toc514156713 \h </w:instrText>
        </w:r>
        <w:r w:rsidR="00870E53">
          <w:rPr>
            <w:webHidden/>
          </w:rPr>
        </w:r>
        <w:r w:rsidR="00870E53">
          <w:rPr>
            <w:webHidden/>
          </w:rPr>
          <w:fldChar w:fldCharType="separate"/>
        </w:r>
        <w:r w:rsidR="005012D4">
          <w:rPr>
            <w:webHidden/>
          </w:rPr>
          <w:t>60</w:t>
        </w:r>
        <w:r w:rsidR="00870E53">
          <w:rPr>
            <w:webHidden/>
          </w:rPr>
          <w:fldChar w:fldCharType="end"/>
        </w:r>
      </w:hyperlink>
    </w:p>
    <w:p w14:paraId="16272B6B" w14:textId="77777777" w:rsidR="00870E53" w:rsidRDefault="00D30AEF">
      <w:pPr>
        <w:pStyle w:val="TOC2"/>
        <w:rPr>
          <w:rFonts w:asciiTheme="minorHAnsi" w:eastAsiaTheme="minorEastAsia" w:hAnsiTheme="minorHAnsi" w:cstheme="minorBidi"/>
          <w:spacing w:val="0"/>
          <w:sz w:val="22"/>
          <w:szCs w:val="22"/>
        </w:rPr>
      </w:pPr>
      <w:hyperlink w:anchor="_Toc514156714" w:history="1">
        <w:r w:rsidR="00870E53" w:rsidRPr="00AF73E1">
          <w:rPr>
            <w:rStyle w:val="Hyperlink"/>
          </w:rPr>
          <w:t>Feedback on ACMA approach to implementing the spectrum review</w:t>
        </w:r>
        <w:r w:rsidR="00870E53">
          <w:rPr>
            <w:webHidden/>
          </w:rPr>
          <w:tab/>
        </w:r>
        <w:r w:rsidR="00870E53">
          <w:rPr>
            <w:webHidden/>
          </w:rPr>
          <w:fldChar w:fldCharType="begin"/>
        </w:r>
        <w:r w:rsidR="00870E53">
          <w:rPr>
            <w:webHidden/>
          </w:rPr>
          <w:instrText xml:space="preserve"> PAGEREF _Toc514156714 \h </w:instrText>
        </w:r>
        <w:r w:rsidR="00870E53">
          <w:rPr>
            <w:webHidden/>
          </w:rPr>
        </w:r>
        <w:r w:rsidR="00870E53">
          <w:rPr>
            <w:webHidden/>
          </w:rPr>
          <w:fldChar w:fldCharType="separate"/>
        </w:r>
        <w:r w:rsidR="005012D4">
          <w:rPr>
            <w:webHidden/>
          </w:rPr>
          <w:t>60</w:t>
        </w:r>
        <w:r w:rsidR="00870E53">
          <w:rPr>
            <w:webHidden/>
          </w:rPr>
          <w:fldChar w:fldCharType="end"/>
        </w:r>
      </w:hyperlink>
    </w:p>
    <w:p w14:paraId="77B95234" w14:textId="77777777" w:rsidR="00870E53" w:rsidRDefault="00D30AEF">
      <w:pPr>
        <w:pStyle w:val="TOC2"/>
        <w:rPr>
          <w:rFonts w:asciiTheme="minorHAnsi" w:eastAsiaTheme="minorEastAsia" w:hAnsiTheme="minorHAnsi" w:cstheme="minorBidi"/>
          <w:spacing w:val="0"/>
          <w:sz w:val="22"/>
          <w:szCs w:val="22"/>
        </w:rPr>
      </w:pPr>
      <w:hyperlink w:anchor="_Toc514156715" w:history="1">
        <w:r w:rsidR="00870E53" w:rsidRPr="00AF73E1">
          <w:rPr>
            <w:rStyle w:val="Hyperlink"/>
          </w:rPr>
          <w:t>What’s changed from the planned activity?</w:t>
        </w:r>
        <w:r w:rsidR="00870E53">
          <w:rPr>
            <w:webHidden/>
          </w:rPr>
          <w:tab/>
        </w:r>
        <w:r w:rsidR="00870E53">
          <w:rPr>
            <w:webHidden/>
          </w:rPr>
          <w:fldChar w:fldCharType="begin"/>
        </w:r>
        <w:r w:rsidR="00870E53">
          <w:rPr>
            <w:webHidden/>
          </w:rPr>
          <w:instrText xml:space="preserve"> PAGEREF _Toc514156715 \h </w:instrText>
        </w:r>
        <w:r w:rsidR="00870E53">
          <w:rPr>
            <w:webHidden/>
          </w:rPr>
        </w:r>
        <w:r w:rsidR="00870E53">
          <w:rPr>
            <w:webHidden/>
          </w:rPr>
          <w:fldChar w:fldCharType="separate"/>
        </w:r>
        <w:r w:rsidR="005012D4">
          <w:rPr>
            <w:webHidden/>
          </w:rPr>
          <w:t>61</w:t>
        </w:r>
        <w:r w:rsidR="00870E53">
          <w:rPr>
            <w:webHidden/>
          </w:rPr>
          <w:fldChar w:fldCharType="end"/>
        </w:r>
      </w:hyperlink>
    </w:p>
    <w:p w14:paraId="1B9386C9" w14:textId="77777777" w:rsidR="00870E53" w:rsidRDefault="00D30AEF">
      <w:pPr>
        <w:pStyle w:val="TOC3"/>
        <w:rPr>
          <w:rFonts w:asciiTheme="minorHAnsi" w:eastAsiaTheme="minorEastAsia" w:hAnsiTheme="minorHAnsi" w:cstheme="minorBidi"/>
        </w:rPr>
      </w:pPr>
      <w:hyperlink w:anchor="_Toc514156716" w:history="1">
        <w:r w:rsidR="00870E53" w:rsidRPr="00AF73E1">
          <w:rPr>
            <w:rStyle w:val="Hyperlink"/>
          </w:rPr>
          <w:t>Thematic review of sunsetting instruments</w:t>
        </w:r>
        <w:r w:rsidR="00870E53">
          <w:rPr>
            <w:webHidden/>
          </w:rPr>
          <w:tab/>
        </w:r>
        <w:r w:rsidR="00870E53">
          <w:rPr>
            <w:webHidden/>
          </w:rPr>
          <w:fldChar w:fldCharType="begin"/>
        </w:r>
        <w:r w:rsidR="00870E53">
          <w:rPr>
            <w:webHidden/>
          </w:rPr>
          <w:instrText xml:space="preserve"> PAGEREF _Toc514156716 \h </w:instrText>
        </w:r>
        <w:r w:rsidR="00870E53">
          <w:rPr>
            <w:webHidden/>
          </w:rPr>
        </w:r>
        <w:r w:rsidR="00870E53">
          <w:rPr>
            <w:webHidden/>
          </w:rPr>
          <w:fldChar w:fldCharType="separate"/>
        </w:r>
        <w:r w:rsidR="005012D4">
          <w:rPr>
            <w:webHidden/>
          </w:rPr>
          <w:t>61</w:t>
        </w:r>
        <w:r w:rsidR="00870E53">
          <w:rPr>
            <w:webHidden/>
          </w:rPr>
          <w:fldChar w:fldCharType="end"/>
        </w:r>
      </w:hyperlink>
    </w:p>
    <w:p w14:paraId="05A68419" w14:textId="77777777" w:rsidR="00870E53" w:rsidRDefault="00D30AEF">
      <w:pPr>
        <w:pStyle w:val="TOC2"/>
        <w:rPr>
          <w:rFonts w:asciiTheme="minorHAnsi" w:eastAsiaTheme="minorEastAsia" w:hAnsiTheme="minorHAnsi" w:cstheme="minorBidi"/>
          <w:spacing w:val="0"/>
          <w:sz w:val="22"/>
          <w:szCs w:val="22"/>
        </w:rPr>
      </w:pPr>
      <w:hyperlink w:anchor="_Toc514156717" w:history="1">
        <w:r w:rsidR="00870E53" w:rsidRPr="00AF73E1">
          <w:rPr>
            <w:rStyle w:val="Hyperlink"/>
          </w:rPr>
          <w:t>Progress achieved</w:t>
        </w:r>
        <w:r w:rsidR="00870E53">
          <w:rPr>
            <w:webHidden/>
          </w:rPr>
          <w:tab/>
        </w:r>
        <w:r w:rsidR="00870E53">
          <w:rPr>
            <w:webHidden/>
          </w:rPr>
          <w:fldChar w:fldCharType="begin"/>
        </w:r>
        <w:r w:rsidR="00870E53">
          <w:rPr>
            <w:webHidden/>
          </w:rPr>
          <w:instrText xml:space="preserve"> PAGEREF _Toc514156717 \h </w:instrText>
        </w:r>
        <w:r w:rsidR="00870E53">
          <w:rPr>
            <w:webHidden/>
          </w:rPr>
        </w:r>
        <w:r w:rsidR="00870E53">
          <w:rPr>
            <w:webHidden/>
          </w:rPr>
          <w:fldChar w:fldCharType="separate"/>
        </w:r>
        <w:r w:rsidR="005012D4">
          <w:rPr>
            <w:webHidden/>
          </w:rPr>
          <w:t>61</w:t>
        </w:r>
        <w:r w:rsidR="00870E53">
          <w:rPr>
            <w:webHidden/>
          </w:rPr>
          <w:fldChar w:fldCharType="end"/>
        </w:r>
      </w:hyperlink>
    </w:p>
    <w:p w14:paraId="60265399" w14:textId="77777777" w:rsidR="00870E53" w:rsidRDefault="00D30AEF">
      <w:pPr>
        <w:pStyle w:val="TOC2"/>
        <w:rPr>
          <w:rFonts w:asciiTheme="minorHAnsi" w:eastAsiaTheme="minorEastAsia" w:hAnsiTheme="minorHAnsi" w:cstheme="minorBidi"/>
          <w:spacing w:val="0"/>
          <w:sz w:val="22"/>
          <w:szCs w:val="22"/>
        </w:rPr>
      </w:pPr>
      <w:hyperlink w:anchor="_Toc514156718" w:history="1">
        <w:r w:rsidR="00870E53" w:rsidRPr="00AF73E1">
          <w:rPr>
            <w:rStyle w:val="Hyperlink"/>
          </w:rPr>
          <w:t>New/ongoing activities planned for 2018–19</w:t>
        </w:r>
        <w:r w:rsidR="00870E53">
          <w:rPr>
            <w:webHidden/>
          </w:rPr>
          <w:tab/>
        </w:r>
        <w:r w:rsidR="00870E53">
          <w:rPr>
            <w:webHidden/>
          </w:rPr>
          <w:fldChar w:fldCharType="begin"/>
        </w:r>
        <w:r w:rsidR="00870E53">
          <w:rPr>
            <w:webHidden/>
          </w:rPr>
          <w:instrText xml:space="preserve"> PAGEREF _Toc514156718 \h </w:instrText>
        </w:r>
        <w:r w:rsidR="00870E53">
          <w:rPr>
            <w:webHidden/>
          </w:rPr>
        </w:r>
        <w:r w:rsidR="00870E53">
          <w:rPr>
            <w:webHidden/>
          </w:rPr>
          <w:fldChar w:fldCharType="separate"/>
        </w:r>
        <w:r w:rsidR="005012D4">
          <w:rPr>
            <w:webHidden/>
          </w:rPr>
          <w:t>62</w:t>
        </w:r>
        <w:r w:rsidR="00870E53">
          <w:rPr>
            <w:webHidden/>
          </w:rPr>
          <w:fldChar w:fldCharType="end"/>
        </w:r>
      </w:hyperlink>
    </w:p>
    <w:p w14:paraId="39620E57" w14:textId="77777777" w:rsidR="00870E53" w:rsidRDefault="00D30AEF">
      <w:pPr>
        <w:pStyle w:val="TOC3"/>
        <w:rPr>
          <w:rFonts w:asciiTheme="minorHAnsi" w:eastAsiaTheme="minorEastAsia" w:hAnsiTheme="minorHAnsi" w:cstheme="minorBidi"/>
        </w:rPr>
      </w:pPr>
      <w:hyperlink w:anchor="_Toc514156719" w:history="1">
        <w:r w:rsidR="00870E53" w:rsidRPr="00AF73E1">
          <w:rPr>
            <w:rStyle w:val="Hyperlink"/>
          </w:rPr>
          <w:t>Annual work program</w:t>
        </w:r>
        <w:r w:rsidR="00870E53">
          <w:rPr>
            <w:webHidden/>
          </w:rPr>
          <w:tab/>
        </w:r>
        <w:r w:rsidR="00870E53">
          <w:rPr>
            <w:webHidden/>
          </w:rPr>
          <w:fldChar w:fldCharType="begin"/>
        </w:r>
        <w:r w:rsidR="00870E53">
          <w:rPr>
            <w:webHidden/>
          </w:rPr>
          <w:instrText xml:space="preserve"> PAGEREF _Toc514156719 \h </w:instrText>
        </w:r>
        <w:r w:rsidR="00870E53">
          <w:rPr>
            <w:webHidden/>
          </w:rPr>
        </w:r>
        <w:r w:rsidR="00870E53">
          <w:rPr>
            <w:webHidden/>
          </w:rPr>
          <w:fldChar w:fldCharType="separate"/>
        </w:r>
        <w:r w:rsidR="005012D4">
          <w:rPr>
            <w:webHidden/>
          </w:rPr>
          <w:t>62</w:t>
        </w:r>
        <w:r w:rsidR="00870E53">
          <w:rPr>
            <w:webHidden/>
          </w:rPr>
          <w:fldChar w:fldCharType="end"/>
        </w:r>
      </w:hyperlink>
    </w:p>
    <w:p w14:paraId="01CCFFD1" w14:textId="77777777" w:rsidR="00870E53" w:rsidRDefault="00D30AEF">
      <w:pPr>
        <w:pStyle w:val="TOC3"/>
        <w:rPr>
          <w:rFonts w:asciiTheme="minorHAnsi" w:eastAsiaTheme="minorEastAsia" w:hAnsiTheme="minorHAnsi" w:cstheme="minorBidi"/>
        </w:rPr>
      </w:pPr>
      <w:hyperlink w:anchor="_Toc514156720" w:history="1">
        <w:r w:rsidR="00870E53" w:rsidRPr="00AF73E1">
          <w:rPr>
            <w:rStyle w:val="Hyperlink"/>
          </w:rPr>
          <w:t>Licensing</w:t>
        </w:r>
        <w:r w:rsidR="00870E53">
          <w:rPr>
            <w:webHidden/>
          </w:rPr>
          <w:tab/>
        </w:r>
        <w:r w:rsidR="00870E53">
          <w:rPr>
            <w:webHidden/>
          </w:rPr>
          <w:fldChar w:fldCharType="begin"/>
        </w:r>
        <w:r w:rsidR="00870E53">
          <w:rPr>
            <w:webHidden/>
          </w:rPr>
          <w:instrText xml:space="preserve"> PAGEREF _Toc514156720 \h </w:instrText>
        </w:r>
        <w:r w:rsidR="00870E53">
          <w:rPr>
            <w:webHidden/>
          </w:rPr>
        </w:r>
        <w:r w:rsidR="00870E53">
          <w:rPr>
            <w:webHidden/>
          </w:rPr>
          <w:fldChar w:fldCharType="separate"/>
        </w:r>
        <w:r w:rsidR="005012D4">
          <w:rPr>
            <w:webHidden/>
          </w:rPr>
          <w:t>62</w:t>
        </w:r>
        <w:r w:rsidR="00870E53">
          <w:rPr>
            <w:webHidden/>
          </w:rPr>
          <w:fldChar w:fldCharType="end"/>
        </w:r>
      </w:hyperlink>
    </w:p>
    <w:p w14:paraId="307EB118" w14:textId="77777777" w:rsidR="00870E53" w:rsidRDefault="00D30AEF">
      <w:pPr>
        <w:pStyle w:val="TOC3"/>
        <w:rPr>
          <w:rFonts w:asciiTheme="minorHAnsi" w:eastAsiaTheme="minorEastAsia" w:hAnsiTheme="minorHAnsi" w:cstheme="minorBidi"/>
        </w:rPr>
      </w:pPr>
      <w:hyperlink w:anchor="_Toc514156721" w:history="1">
        <w:r w:rsidR="00870E53" w:rsidRPr="00AF73E1">
          <w:rPr>
            <w:rStyle w:val="Hyperlink"/>
          </w:rPr>
          <w:t>Pricing</w:t>
        </w:r>
        <w:r w:rsidR="00870E53">
          <w:rPr>
            <w:webHidden/>
          </w:rPr>
          <w:tab/>
        </w:r>
        <w:r w:rsidR="00870E53">
          <w:rPr>
            <w:webHidden/>
          </w:rPr>
          <w:fldChar w:fldCharType="begin"/>
        </w:r>
        <w:r w:rsidR="00870E53">
          <w:rPr>
            <w:webHidden/>
          </w:rPr>
          <w:instrText xml:space="preserve"> PAGEREF _Toc514156721 \h </w:instrText>
        </w:r>
        <w:r w:rsidR="00870E53">
          <w:rPr>
            <w:webHidden/>
          </w:rPr>
        </w:r>
        <w:r w:rsidR="00870E53">
          <w:rPr>
            <w:webHidden/>
          </w:rPr>
          <w:fldChar w:fldCharType="separate"/>
        </w:r>
        <w:r w:rsidR="005012D4">
          <w:rPr>
            <w:webHidden/>
          </w:rPr>
          <w:t>62</w:t>
        </w:r>
        <w:r w:rsidR="00870E53">
          <w:rPr>
            <w:webHidden/>
          </w:rPr>
          <w:fldChar w:fldCharType="end"/>
        </w:r>
      </w:hyperlink>
    </w:p>
    <w:p w14:paraId="075CBA18" w14:textId="77777777" w:rsidR="00870E53" w:rsidRDefault="00D30AEF">
      <w:pPr>
        <w:pStyle w:val="TOC3"/>
        <w:rPr>
          <w:rFonts w:asciiTheme="minorHAnsi" w:eastAsiaTheme="minorEastAsia" w:hAnsiTheme="minorHAnsi" w:cstheme="minorBidi"/>
        </w:rPr>
      </w:pPr>
      <w:hyperlink w:anchor="_Toc514156722" w:history="1">
        <w:r w:rsidR="00870E53" w:rsidRPr="00AF73E1">
          <w:rPr>
            <w:rStyle w:val="Hyperlink"/>
          </w:rPr>
          <w:t>Planning</w:t>
        </w:r>
        <w:r w:rsidR="00870E53">
          <w:rPr>
            <w:webHidden/>
          </w:rPr>
          <w:tab/>
        </w:r>
        <w:r w:rsidR="00870E53">
          <w:rPr>
            <w:webHidden/>
          </w:rPr>
          <w:fldChar w:fldCharType="begin"/>
        </w:r>
        <w:r w:rsidR="00870E53">
          <w:rPr>
            <w:webHidden/>
          </w:rPr>
          <w:instrText xml:space="preserve"> PAGEREF _Toc514156722 \h </w:instrText>
        </w:r>
        <w:r w:rsidR="00870E53">
          <w:rPr>
            <w:webHidden/>
          </w:rPr>
        </w:r>
        <w:r w:rsidR="00870E53">
          <w:rPr>
            <w:webHidden/>
          </w:rPr>
          <w:fldChar w:fldCharType="separate"/>
        </w:r>
        <w:r w:rsidR="005012D4">
          <w:rPr>
            <w:webHidden/>
          </w:rPr>
          <w:t>62</w:t>
        </w:r>
        <w:r w:rsidR="00870E53">
          <w:rPr>
            <w:webHidden/>
          </w:rPr>
          <w:fldChar w:fldCharType="end"/>
        </w:r>
      </w:hyperlink>
    </w:p>
    <w:p w14:paraId="0B5BE312" w14:textId="77777777" w:rsidR="00870E53" w:rsidRDefault="00D30AEF">
      <w:pPr>
        <w:pStyle w:val="TOC3"/>
        <w:rPr>
          <w:rFonts w:asciiTheme="minorHAnsi" w:eastAsiaTheme="minorEastAsia" w:hAnsiTheme="minorHAnsi" w:cstheme="minorBidi"/>
        </w:rPr>
      </w:pPr>
      <w:hyperlink w:anchor="_Toc514156723" w:history="1">
        <w:r w:rsidR="00870E53" w:rsidRPr="00AF73E1">
          <w:rPr>
            <w:rStyle w:val="Hyperlink"/>
          </w:rPr>
          <w:t>Equipment rules</w:t>
        </w:r>
        <w:r w:rsidR="00870E53">
          <w:rPr>
            <w:webHidden/>
          </w:rPr>
          <w:tab/>
        </w:r>
        <w:r w:rsidR="00870E53">
          <w:rPr>
            <w:webHidden/>
          </w:rPr>
          <w:fldChar w:fldCharType="begin"/>
        </w:r>
        <w:r w:rsidR="00870E53">
          <w:rPr>
            <w:webHidden/>
          </w:rPr>
          <w:instrText xml:space="preserve"> PAGEREF _Toc514156723 \h </w:instrText>
        </w:r>
        <w:r w:rsidR="00870E53">
          <w:rPr>
            <w:webHidden/>
          </w:rPr>
        </w:r>
        <w:r w:rsidR="00870E53">
          <w:rPr>
            <w:webHidden/>
          </w:rPr>
          <w:fldChar w:fldCharType="separate"/>
        </w:r>
        <w:r w:rsidR="005012D4">
          <w:rPr>
            <w:webHidden/>
          </w:rPr>
          <w:t>62</w:t>
        </w:r>
        <w:r w:rsidR="00870E53">
          <w:rPr>
            <w:webHidden/>
          </w:rPr>
          <w:fldChar w:fldCharType="end"/>
        </w:r>
      </w:hyperlink>
    </w:p>
    <w:p w14:paraId="5F22CD6E" w14:textId="77777777" w:rsidR="00870E53" w:rsidRDefault="00D30AEF">
      <w:pPr>
        <w:pStyle w:val="TOC3"/>
        <w:rPr>
          <w:rFonts w:asciiTheme="minorHAnsi" w:eastAsiaTheme="minorEastAsia" w:hAnsiTheme="minorHAnsi" w:cstheme="minorBidi"/>
        </w:rPr>
      </w:pPr>
      <w:hyperlink w:anchor="_Toc514156724" w:history="1">
        <w:r w:rsidR="00870E53" w:rsidRPr="00AF73E1">
          <w:rPr>
            <w:rStyle w:val="Hyperlink"/>
          </w:rPr>
          <w:t>Accreditation arrangements</w:t>
        </w:r>
        <w:r w:rsidR="00870E53">
          <w:rPr>
            <w:webHidden/>
          </w:rPr>
          <w:tab/>
        </w:r>
        <w:r w:rsidR="00870E53">
          <w:rPr>
            <w:webHidden/>
          </w:rPr>
          <w:fldChar w:fldCharType="begin"/>
        </w:r>
        <w:r w:rsidR="00870E53">
          <w:rPr>
            <w:webHidden/>
          </w:rPr>
          <w:instrText xml:space="preserve"> PAGEREF _Toc514156724 \h </w:instrText>
        </w:r>
        <w:r w:rsidR="00870E53">
          <w:rPr>
            <w:webHidden/>
          </w:rPr>
        </w:r>
        <w:r w:rsidR="00870E53">
          <w:rPr>
            <w:webHidden/>
          </w:rPr>
          <w:fldChar w:fldCharType="separate"/>
        </w:r>
        <w:r w:rsidR="005012D4">
          <w:rPr>
            <w:webHidden/>
          </w:rPr>
          <w:t>62</w:t>
        </w:r>
        <w:r w:rsidR="00870E53">
          <w:rPr>
            <w:webHidden/>
          </w:rPr>
          <w:fldChar w:fldCharType="end"/>
        </w:r>
      </w:hyperlink>
    </w:p>
    <w:p w14:paraId="552FCF06" w14:textId="77777777" w:rsidR="00870E53" w:rsidRDefault="00D30AEF">
      <w:pPr>
        <w:pStyle w:val="TOC3"/>
        <w:rPr>
          <w:rFonts w:asciiTheme="minorHAnsi" w:eastAsiaTheme="minorEastAsia" w:hAnsiTheme="minorHAnsi" w:cstheme="minorBidi"/>
        </w:rPr>
      </w:pPr>
      <w:hyperlink w:anchor="_Toc514156725" w:history="1">
        <w:r w:rsidR="00870E53" w:rsidRPr="00AF73E1">
          <w:rPr>
            <w:rStyle w:val="Hyperlink"/>
          </w:rPr>
          <w:t>Consultation question</w:t>
        </w:r>
        <w:r w:rsidR="00870E53">
          <w:rPr>
            <w:webHidden/>
          </w:rPr>
          <w:tab/>
        </w:r>
        <w:r w:rsidR="00870E53">
          <w:rPr>
            <w:webHidden/>
          </w:rPr>
          <w:fldChar w:fldCharType="begin"/>
        </w:r>
        <w:r w:rsidR="00870E53">
          <w:rPr>
            <w:webHidden/>
          </w:rPr>
          <w:instrText xml:space="preserve"> PAGEREF _Toc514156725 \h </w:instrText>
        </w:r>
        <w:r w:rsidR="00870E53">
          <w:rPr>
            <w:webHidden/>
          </w:rPr>
        </w:r>
        <w:r w:rsidR="00870E53">
          <w:rPr>
            <w:webHidden/>
          </w:rPr>
          <w:fldChar w:fldCharType="separate"/>
        </w:r>
        <w:r w:rsidR="005012D4">
          <w:rPr>
            <w:webHidden/>
          </w:rPr>
          <w:t>62</w:t>
        </w:r>
        <w:r w:rsidR="00870E53">
          <w:rPr>
            <w:webHidden/>
          </w:rPr>
          <w:fldChar w:fldCharType="end"/>
        </w:r>
      </w:hyperlink>
    </w:p>
    <w:p w14:paraId="2625FFC2" w14:textId="77777777" w:rsidR="00870E53" w:rsidRDefault="00D30AEF">
      <w:pPr>
        <w:pStyle w:val="TOC1"/>
        <w:rPr>
          <w:rFonts w:asciiTheme="minorHAnsi" w:eastAsiaTheme="minorEastAsia" w:hAnsiTheme="minorHAnsi" w:cstheme="minorBidi"/>
          <w:b w:val="0"/>
          <w:spacing w:val="0"/>
          <w:sz w:val="22"/>
          <w:szCs w:val="22"/>
        </w:rPr>
      </w:pPr>
      <w:hyperlink w:anchor="_Toc514156726" w:history="1">
        <w:r w:rsidR="00870E53" w:rsidRPr="00AF73E1">
          <w:rPr>
            <w:rStyle w:val="Hyperlink"/>
          </w:rPr>
          <w:t>Licensing and licensing systems</w:t>
        </w:r>
        <w:r w:rsidR="00870E53">
          <w:rPr>
            <w:webHidden/>
          </w:rPr>
          <w:tab/>
        </w:r>
        <w:r w:rsidR="00870E53">
          <w:rPr>
            <w:webHidden/>
          </w:rPr>
          <w:fldChar w:fldCharType="begin"/>
        </w:r>
        <w:r w:rsidR="00870E53">
          <w:rPr>
            <w:webHidden/>
          </w:rPr>
          <w:instrText xml:space="preserve"> PAGEREF _Toc514156726 \h </w:instrText>
        </w:r>
        <w:r w:rsidR="00870E53">
          <w:rPr>
            <w:webHidden/>
          </w:rPr>
        </w:r>
        <w:r w:rsidR="00870E53">
          <w:rPr>
            <w:webHidden/>
          </w:rPr>
          <w:fldChar w:fldCharType="separate"/>
        </w:r>
        <w:r w:rsidR="005012D4">
          <w:rPr>
            <w:webHidden/>
          </w:rPr>
          <w:t>63</w:t>
        </w:r>
        <w:r w:rsidR="00870E53">
          <w:rPr>
            <w:webHidden/>
          </w:rPr>
          <w:fldChar w:fldCharType="end"/>
        </w:r>
      </w:hyperlink>
    </w:p>
    <w:p w14:paraId="1AD18281" w14:textId="77777777" w:rsidR="00870E53" w:rsidRDefault="00D30AEF">
      <w:pPr>
        <w:pStyle w:val="TOC2"/>
        <w:rPr>
          <w:rFonts w:asciiTheme="minorHAnsi" w:eastAsiaTheme="minorEastAsia" w:hAnsiTheme="minorHAnsi" w:cstheme="minorBidi"/>
          <w:spacing w:val="0"/>
          <w:sz w:val="22"/>
          <w:szCs w:val="22"/>
        </w:rPr>
      </w:pPr>
      <w:hyperlink w:anchor="_Toc514156727" w:history="1">
        <w:r w:rsidR="00870E53" w:rsidRPr="00AF73E1">
          <w:rPr>
            <w:rStyle w:val="Hyperlink"/>
          </w:rPr>
          <w:t>Progress achieved</w:t>
        </w:r>
        <w:r w:rsidR="00870E53">
          <w:rPr>
            <w:webHidden/>
          </w:rPr>
          <w:tab/>
        </w:r>
        <w:r w:rsidR="00870E53">
          <w:rPr>
            <w:webHidden/>
          </w:rPr>
          <w:fldChar w:fldCharType="begin"/>
        </w:r>
        <w:r w:rsidR="00870E53">
          <w:rPr>
            <w:webHidden/>
          </w:rPr>
          <w:instrText xml:space="preserve"> PAGEREF _Toc514156727 \h </w:instrText>
        </w:r>
        <w:r w:rsidR="00870E53">
          <w:rPr>
            <w:webHidden/>
          </w:rPr>
        </w:r>
        <w:r w:rsidR="00870E53">
          <w:rPr>
            <w:webHidden/>
          </w:rPr>
          <w:fldChar w:fldCharType="separate"/>
        </w:r>
        <w:r w:rsidR="005012D4">
          <w:rPr>
            <w:webHidden/>
          </w:rPr>
          <w:t>63</w:t>
        </w:r>
        <w:r w:rsidR="00870E53">
          <w:rPr>
            <w:webHidden/>
          </w:rPr>
          <w:fldChar w:fldCharType="end"/>
        </w:r>
      </w:hyperlink>
    </w:p>
    <w:p w14:paraId="72885E36" w14:textId="77777777" w:rsidR="00870E53" w:rsidRDefault="00D30AEF">
      <w:pPr>
        <w:pStyle w:val="TOC3"/>
        <w:rPr>
          <w:rFonts w:asciiTheme="minorHAnsi" w:eastAsiaTheme="minorEastAsia" w:hAnsiTheme="minorHAnsi" w:cstheme="minorBidi"/>
        </w:rPr>
      </w:pPr>
      <w:hyperlink w:anchor="_Toc514156728" w:history="1">
        <w:r w:rsidR="00870E53" w:rsidRPr="00AF73E1">
          <w:rPr>
            <w:rStyle w:val="Hyperlink"/>
          </w:rPr>
          <w:t>Body scanners in airports</w:t>
        </w:r>
        <w:r w:rsidR="00870E53">
          <w:rPr>
            <w:webHidden/>
          </w:rPr>
          <w:tab/>
        </w:r>
        <w:r w:rsidR="00870E53">
          <w:rPr>
            <w:webHidden/>
          </w:rPr>
          <w:fldChar w:fldCharType="begin"/>
        </w:r>
        <w:r w:rsidR="00870E53">
          <w:rPr>
            <w:webHidden/>
          </w:rPr>
          <w:instrText xml:space="preserve"> PAGEREF _Toc514156728 \h </w:instrText>
        </w:r>
        <w:r w:rsidR="00870E53">
          <w:rPr>
            <w:webHidden/>
          </w:rPr>
        </w:r>
        <w:r w:rsidR="00870E53">
          <w:rPr>
            <w:webHidden/>
          </w:rPr>
          <w:fldChar w:fldCharType="separate"/>
        </w:r>
        <w:r w:rsidR="005012D4">
          <w:rPr>
            <w:webHidden/>
          </w:rPr>
          <w:t>63</w:t>
        </w:r>
        <w:r w:rsidR="00870E53">
          <w:rPr>
            <w:webHidden/>
          </w:rPr>
          <w:fldChar w:fldCharType="end"/>
        </w:r>
      </w:hyperlink>
    </w:p>
    <w:p w14:paraId="7493252A" w14:textId="77777777" w:rsidR="00870E53" w:rsidRDefault="00D30AEF">
      <w:pPr>
        <w:pStyle w:val="TOC3"/>
        <w:rPr>
          <w:rFonts w:asciiTheme="minorHAnsi" w:eastAsiaTheme="minorEastAsia" w:hAnsiTheme="minorHAnsi" w:cstheme="minorBidi"/>
        </w:rPr>
      </w:pPr>
      <w:hyperlink w:anchor="_Toc514156729" w:history="1">
        <w:r w:rsidR="00870E53" w:rsidRPr="00AF73E1">
          <w:rPr>
            <w:rStyle w:val="Hyperlink"/>
          </w:rPr>
          <w:t>Licensing processing system</w:t>
        </w:r>
        <w:r w:rsidR="00870E53">
          <w:rPr>
            <w:webHidden/>
          </w:rPr>
          <w:tab/>
        </w:r>
        <w:r w:rsidR="00870E53">
          <w:rPr>
            <w:webHidden/>
          </w:rPr>
          <w:fldChar w:fldCharType="begin"/>
        </w:r>
        <w:r w:rsidR="00870E53">
          <w:rPr>
            <w:webHidden/>
          </w:rPr>
          <w:instrText xml:space="preserve"> PAGEREF _Toc514156729 \h </w:instrText>
        </w:r>
        <w:r w:rsidR="00870E53">
          <w:rPr>
            <w:webHidden/>
          </w:rPr>
        </w:r>
        <w:r w:rsidR="00870E53">
          <w:rPr>
            <w:webHidden/>
          </w:rPr>
          <w:fldChar w:fldCharType="separate"/>
        </w:r>
        <w:r w:rsidR="005012D4">
          <w:rPr>
            <w:webHidden/>
          </w:rPr>
          <w:t>63</w:t>
        </w:r>
        <w:r w:rsidR="00870E53">
          <w:rPr>
            <w:webHidden/>
          </w:rPr>
          <w:fldChar w:fldCharType="end"/>
        </w:r>
      </w:hyperlink>
    </w:p>
    <w:p w14:paraId="4C05BDA9" w14:textId="77777777" w:rsidR="00870E53" w:rsidRDefault="00D30AEF">
      <w:pPr>
        <w:pStyle w:val="TOC2"/>
        <w:rPr>
          <w:rFonts w:asciiTheme="minorHAnsi" w:eastAsiaTheme="minorEastAsia" w:hAnsiTheme="minorHAnsi" w:cstheme="minorBidi"/>
          <w:spacing w:val="0"/>
          <w:sz w:val="22"/>
          <w:szCs w:val="22"/>
        </w:rPr>
      </w:pPr>
      <w:hyperlink w:anchor="_Toc514156730" w:history="1">
        <w:r w:rsidR="00870E53" w:rsidRPr="00AF73E1">
          <w:rPr>
            <w:rStyle w:val="Hyperlink"/>
          </w:rPr>
          <w:t>New/ongoing activities planned for 2018–19 year</w:t>
        </w:r>
        <w:r w:rsidR="00870E53">
          <w:rPr>
            <w:webHidden/>
          </w:rPr>
          <w:tab/>
        </w:r>
        <w:r w:rsidR="00870E53">
          <w:rPr>
            <w:webHidden/>
          </w:rPr>
          <w:fldChar w:fldCharType="begin"/>
        </w:r>
        <w:r w:rsidR="00870E53">
          <w:rPr>
            <w:webHidden/>
          </w:rPr>
          <w:instrText xml:space="preserve"> PAGEREF _Toc514156730 \h </w:instrText>
        </w:r>
        <w:r w:rsidR="00870E53">
          <w:rPr>
            <w:webHidden/>
          </w:rPr>
        </w:r>
        <w:r w:rsidR="00870E53">
          <w:rPr>
            <w:webHidden/>
          </w:rPr>
          <w:fldChar w:fldCharType="separate"/>
        </w:r>
        <w:r w:rsidR="005012D4">
          <w:rPr>
            <w:webHidden/>
          </w:rPr>
          <w:t>63</w:t>
        </w:r>
        <w:r w:rsidR="00870E53">
          <w:rPr>
            <w:webHidden/>
          </w:rPr>
          <w:fldChar w:fldCharType="end"/>
        </w:r>
      </w:hyperlink>
    </w:p>
    <w:p w14:paraId="1349CA8C" w14:textId="77777777" w:rsidR="00870E53" w:rsidRDefault="00D30AEF">
      <w:pPr>
        <w:pStyle w:val="TOC3"/>
        <w:rPr>
          <w:rFonts w:asciiTheme="minorHAnsi" w:eastAsiaTheme="minorEastAsia" w:hAnsiTheme="minorHAnsi" w:cstheme="minorBidi"/>
        </w:rPr>
      </w:pPr>
      <w:hyperlink w:anchor="_Toc514156731" w:history="1">
        <w:r w:rsidR="00870E53" w:rsidRPr="00AF73E1">
          <w:rPr>
            <w:rStyle w:val="Hyperlink"/>
          </w:rPr>
          <w:t>Renew arrangements for amateur certificates of proficiency</w:t>
        </w:r>
        <w:r w:rsidR="00870E53">
          <w:rPr>
            <w:webHidden/>
          </w:rPr>
          <w:tab/>
        </w:r>
        <w:r w:rsidR="00870E53">
          <w:rPr>
            <w:webHidden/>
          </w:rPr>
          <w:fldChar w:fldCharType="begin"/>
        </w:r>
        <w:r w:rsidR="00870E53">
          <w:rPr>
            <w:webHidden/>
          </w:rPr>
          <w:instrText xml:space="preserve"> PAGEREF _Toc514156731 \h </w:instrText>
        </w:r>
        <w:r w:rsidR="00870E53">
          <w:rPr>
            <w:webHidden/>
          </w:rPr>
        </w:r>
        <w:r w:rsidR="00870E53">
          <w:rPr>
            <w:webHidden/>
          </w:rPr>
          <w:fldChar w:fldCharType="separate"/>
        </w:r>
        <w:r w:rsidR="005012D4">
          <w:rPr>
            <w:webHidden/>
          </w:rPr>
          <w:t>63</w:t>
        </w:r>
        <w:r w:rsidR="00870E53">
          <w:rPr>
            <w:webHidden/>
          </w:rPr>
          <w:fldChar w:fldCharType="end"/>
        </w:r>
      </w:hyperlink>
    </w:p>
    <w:p w14:paraId="10EC21A6" w14:textId="77777777" w:rsidR="00870E53" w:rsidRDefault="00D30AEF">
      <w:pPr>
        <w:pStyle w:val="TOC3"/>
        <w:rPr>
          <w:rFonts w:asciiTheme="minorHAnsi" w:eastAsiaTheme="minorEastAsia" w:hAnsiTheme="minorHAnsi" w:cstheme="minorBidi"/>
        </w:rPr>
      </w:pPr>
      <w:hyperlink w:anchor="_Toc514156732" w:history="1">
        <w:r w:rsidR="00870E53" w:rsidRPr="00AF73E1">
          <w:rPr>
            <w:rStyle w:val="Hyperlink"/>
          </w:rPr>
          <w:t>Consideration of changes to amateur licence conditions</w:t>
        </w:r>
        <w:r w:rsidR="00870E53">
          <w:rPr>
            <w:webHidden/>
          </w:rPr>
          <w:tab/>
        </w:r>
        <w:r w:rsidR="00870E53">
          <w:rPr>
            <w:webHidden/>
          </w:rPr>
          <w:fldChar w:fldCharType="begin"/>
        </w:r>
        <w:r w:rsidR="00870E53">
          <w:rPr>
            <w:webHidden/>
          </w:rPr>
          <w:instrText xml:space="preserve"> PAGEREF _Toc514156732 \h </w:instrText>
        </w:r>
        <w:r w:rsidR="00870E53">
          <w:rPr>
            <w:webHidden/>
          </w:rPr>
        </w:r>
        <w:r w:rsidR="00870E53">
          <w:rPr>
            <w:webHidden/>
          </w:rPr>
          <w:fldChar w:fldCharType="separate"/>
        </w:r>
        <w:r w:rsidR="005012D4">
          <w:rPr>
            <w:webHidden/>
          </w:rPr>
          <w:t>63</w:t>
        </w:r>
        <w:r w:rsidR="00870E53">
          <w:rPr>
            <w:webHidden/>
          </w:rPr>
          <w:fldChar w:fldCharType="end"/>
        </w:r>
      </w:hyperlink>
    </w:p>
    <w:p w14:paraId="4DD3870A" w14:textId="77777777" w:rsidR="00870E53" w:rsidRDefault="00D30AEF">
      <w:pPr>
        <w:pStyle w:val="TOC3"/>
        <w:rPr>
          <w:rFonts w:asciiTheme="minorHAnsi" w:eastAsiaTheme="minorEastAsia" w:hAnsiTheme="minorHAnsi" w:cstheme="minorBidi"/>
        </w:rPr>
      </w:pPr>
      <w:hyperlink w:anchor="_Toc514156733" w:history="1">
        <w:r w:rsidR="00870E53" w:rsidRPr="00AF73E1">
          <w:rPr>
            <w:rStyle w:val="Hyperlink"/>
          </w:rPr>
          <w:t>Enabling trials of mobile phone jammers in prisons</w:t>
        </w:r>
        <w:r w:rsidR="00870E53">
          <w:rPr>
            <w:webHidden/>
          </w:rPr>
          <w:tab/>
        </w:r>
        <w:r w:rsidR="00870E53">
          <w:rPr>
            <w:webHidden/>
          </w:rPr>
          <w:fldChar w:fldCharType="begin"/>
        </w:r>
        <w:r w:rsidR="00870E53">
          <w:rPr>
            <w:webHidden/>
          </w:rPr>
          <w:instrText xml:space="preserve"> PAGEREF _Toc514156733 \h </w:instrText>
        </w:r>
        <w:r w:rsidR="00870E53">
          <w:rPr>
            <w:webHidden/>
          </w:rPr>
        </w:r>
        <w:r w:rsidR="00870E53">
          <w:rPr>
            <w:webHidden/>
          </w:rPr>
          <w:fldChar w:fldCharType="separate"/>
        </w:r>
        <w:r w:rsidR="005012D4">
          <w:rPr>
            <w:webHidden/>
          </w:rPr>
          <w:t>63</w:t>
        </w:r>
        <w:r w:rsidR="00870E53">
          <w:rPr>
            <w:webHidden/>
          </w:rPr>
          <w:fldChar w:fldCharType="end"/>
        </w:r>
      </w:hyperlink>
    </w:p>
    <w:p w14:paraId="46F06B24" w14:textId="77777777" w:rsidR="00870E53" w:rsidRDefault="00D30AEF">
      <w:pPr>
        <w:pStyle w:val="TOC3"/>
        <w:rPr>
          <w:rFonts w:asciiTheme="minorHAnsi" w:eastAsiaTheme="minorEastAsia" w:hAnsiTheme="minorHAnsi" w:cstheme="minorBidi"/>
        </w:rPr>
      </w:pPr>
      <w:hyperlink w:anchor="_Toc514156734" w:history="1">
        <w:r w:rsidR="00870E53" w:rsidRPr="00AF73E1">
          <w:rPr>
            <w:rStyle w:val="Hyperlink"/>
          </w:rPr>
          <w:t>Consider changes to VHF marine radio channels and their use</w:t>
        </w:r>
        <w:r w:rsidR="00870E53">
          <w:rPr>
            <w:webHidden/>
          </w:rPr>
          <w:tab/>
        </w:r>
        <w:r w:rsidR="00870E53">
          <w:rPr>
            <w:webHidden/>
          </w:rPr>
          <w:fldChar w:fldCharType="begin"/>
        </w:r>
        <w:r w:rsidR="00870E53">
          <w:rPr>
            <w:webHidden/>
          </w:rPr>
          <w:instrText xml:space="preserve"> PAGEREF _Toc514156734 \h </w:instrText>
        </w:r>
        <w:r w:rsidR="00870E53">
          <w:rPr>
            <w:webHidden/>
          </w:rPr>
        </w:r>
        <w:r w:rsidR="00870E53">
          <w:rPr>
            <w:webHidden/>
          </w:rPr>
          <w:fldChar w:fldCharType="separate"/>
        </w:r>
        <w:r w:rsidR="005012D4">
          <w:rPr>
            <w:webHidden/>
          </w:rPr>
          <w:t>64</w:t>
        </w:r>
        <w:r w:rsidR="00870E53">
          <w:rPr>
            <w:webHidden/>
          </w:rPr>
          <w:fldChar w:fldCharType="end"/>
        </w:r>
      </w:hyperlink>
    </w:p>
    <w:p w14:paraId="104B1C1F" w14:textId="77777777" w:rsidR="00870E53" w:rsidRDefault="00D30AEF">
      <w:pPr>
        <w:pStyle w:val="TOC3"/>
        <w:rPr>
          <w:rFonts w:asciiTheme="minorHAnsi" w:eastAsiaTheme="minorEastAsia" w:hAnsiTheme="minorHAnsi" w:cstheme="minorBidi"/>
        </w:rPr>
      </w:pPr>
      <w:hyperlink w:anchor="_Toc514156735" w:history="1">
        <w:r w:rsidR="00870E53" w:rsidRPr="00AF73E1">
          <w:rPr>
            <w:rStyle w:val="Hyperlink"/>
          </w:rPr>
          <w:t>400 MHz band</w:t>
        </w:r>
        <w:r w:rsidR="00870E53">
          <w:rPr>
            <w:webHidden/>
          </w:rPr>
          <w:tab/>
        </w:r>
        <w:r w:rsidR="00870E53">
          <w:rPr>
            <w:webHidden/>
          </w:rPr>
          <w:fldChar w:fldCharType="begin"/>
        </w:r>
        <w:r w:rsidR="00870E53">
          <w:rPr>
            <w:webHidden/>
          </w:rPr>
          <w:instrText xml:space="preserve"> PAGEREF _Toc514156735 \h </w:instrText>
        </w:r>
        <w:r w:rsidR="00870E53">
          <w:rPr>
            <w:webHidden/>
          </w:rPr>
        </w:r>
        <w:r w:rsidR="00870E53">
          <w:rPr>
            <w:webHidden/>
          </w:rPr>
          <w:fldChar w:fldCharType="separate"/>
        </w:r>
        <w:r w:rsidR="005012D4">
          <w:rPr>
            <w:webHidden/>
          </w:rPr>
          <w:t>64</w:t>
        </w:r>
        <w:r w:rsidR="00870E53">
          <w:rPr>
            <w:webHidden/>
          </w:rPr>
          <w:fldChar w:fldCharType="end"/>
        </w:r>
      </w:hyperlink>
    </w:p>
    <w:p w14:paraId="2C829526" w14:textId="77777777" w:rsidR="00870E53" w:rsidRDefault="00D30AEF">
      <w:pPr>
        <w:pStyle w:val="TOC3"/>
        <w:rPr>
          <w:rFonts w:asciiTheme="minorHAnsi" w:eastAsiaTheme="minorEastAsia" w:hAnsiTheme="minorHAnsi" w:cstheme="minorBidi"/>
        </w:rPr>
      </w:pPr>
      <w:hyperlink w:anchor="_Toc514156736" w:history="1">
        <w:r w:rsidR="00870E53" w:rsidRPr="00AF73E1">
          <w:rPr>
            <w:rStyle w:val="Hyperlink"/>
          </w:rPr>
          <w:t>Drone regulation</w:t>
        </w:r>
        <w:r w:rsidR="00870E53">
          <w:rPr>
            <w:webHidden/>
          </w:rPr>
          <w:tab/>
        </w:r>
        <w:r w:rsidR="00870E53">
          <w:rPr>
            <w:webHidden/>
          </w:rPr>
          <w:fldChar w:fldCharType="begin"/>
        </w:r>
        <w:r w:rsidR="00870E53">
          <w:rPr>
            <w:webHidden/>
          </w:rPr>
          <w:instrText xml:space="preserve"> PAGEREF _Toc514156736 \h </w:instrText>
        </w:r>
        <w:r w:rsidR="00870E53">
          <w:rPr>
            <w:webHidden/>
          </w:rPr>
        </w:r>
        <w:r w:rsidR="00870E53">
          <w:rPr>
            <w:webHidden/>
          </w:rPr>
          <w:fldChar w:fldCharType="separate"/>
        </w:r>
        <w:r w:rsidR="005012D4">
          <w:rPr>
            <w:webHidden/>
          </w:rPr>
          <w:t>64</w:t>
        </w:r>
        <w:r w:rsidR="00870E53">
          <w:rPr>
            <w:webHidden/>
          </w:rPr>
          <w:fldChar w:fldCharType="end"/>
        </w:r>
      </w:hyperlink>
    </w:p>
    <w:p w14:paraId="28A09C03" w14:textId="77777777" w:rsidR="00870E53" w:rsidRDefault="00D30AEF">
      <w:pPr>
        <w:pStyle w:val="TOC1"/>
        <w:rPr>
          <w:rFonts w:asciiTheme="minorHAnsi" w:eastAsiaTheme="minorEastAsia" w:hAnsiTheme="minorHAnsi" w:cstheme="minorBidi"/>
          <w:b w:val="0"/>
          <w:spacing w:val="0"/>
          <w:sz w:val="22"/>
          <w:szCs w:val="22"/>
        </w:rPr>
      </w:pPr>
      <w:hyperlink w:anchor="_Toc514156737" w:history="1">
        <w:r w:rsidR="00870E53" w:rsidRPr="00AF73E1">
          <w:rPr>
            <w:rStyle w:val="Hyperlink"/>
          </w:rPr>
          <w:t>Pricing</w:t>
        </w:r>
        <w:r w:rsidR="00870E53">
          <w:rPr>
            <w:webHidden/>
          </w:rPr>
          <w:tab/>
        </w:r>
        <w:r w:rsidR="00870E53">
          <w:rPr>
            <w:webHidden/>
          </w:rPr>
          <w:fldChar w:fldCharType="begin"/>
        </w:r>
        <w:r w:rsidR="00870E53">
          <w:rPr>
            <w:webHidden/>
          </w:rPr>
          <w:instrText xml:space="preserve"> PAGEREF _Toc514156737 \h </w:instrText>
        </w:r>
        <w:r w:rsidR="00870E53">
          <w:rPr>
            <w:webHidden/>
          </w:rPr>
        </w:r>
        <w:r w:rsidR="00870E53">
          <w:rPr>
            <w:webHidden/>
          </w:rPr>
          <w:fldChar w:fldCharType="separate"/>
        </w:r>
        <w:r w:rsidR="005012D4">
          <w:rPr>
            <w:webHidden/>
          </w:rPr>
          <w:t>65</w:t>
        </w:r>
        <w:r w:rsidR="00870E53">
          <w:rPr>
            <w:webHidden/>
          </w:rPr>
          <w:fldChar w:fldCharType="end"/>
        </w:r>
      </w:hyperlink>
    </w:p>
    <w:p w14:paraId="348DE453" w14:textId="77777777" w:rsidR="00870E53" w:rsidRDefault="00D30AEF">
      <w:pPr>
        <w:pStyle w:val="TOC2"/>
        <w:rPr>
          <w:rFonts w:asciiTheme="minorHAnsi" w:eastAsiaTheme="minorEastAsia" w:hAnsiTheme="minorHAnsi" w:cstheme="minorBidi"/>
          <w:spacing w:val="0"/>
          <w:sz w:val="22"/>
          <w:szCs w:val="22"/>
        </w:rPr>
      </w:pPr>
      <w:hyperlink w:anchor="_Toc514156738" w:history="1">
        <w:r w:rsidR="00870E53" w:rsidRPr="00AF73E1">
          <w:rPr>
            <w:rStyle w:val="Hyperlink"/>
          </w:rPr>
          <w:t>Progress achieved</w:t>
        </w:r>
        <w:r w:rsidR="00870E53">
          <w:rPr>
            <w:webHidden/>
          </w:rPr>
          <w:tab/>
        </w:r>
        <w:r w:rsidR="00870E53">
          <w:rPr>
            <w:webHidden/>
          </w:rPr>
          <w:fldChar w:fldCharType="begin"/>
        </w:r>
        <w:r w:rsidR="00870E53">
          <w:rPr>
            <w:webHidden/>
          </w:rPr>
          <w:instrText xml:space="preserve"> PAGEREF _Toc514156738 \h </w:instrText>
        </w:r>
        <w:r w:rsidR="00870E53">
          <w:rPr>
            <w:webHidden/>
          </w:rPr>
        </w:r>
        <w:r w:rsidR="00870E53">
          <w:rPr>
            <w:webHidden/>
          </w:rPr>
          <w:fldChar w:fldCharType="separate"/>
        </w:r>
        <w:r w:rsidR="005012D4">
          <w:rPr>
            <w:webHidden/>
          </w:rPr>
          <w:t>65</w:t>
        </w:r>
        <w:r w:rsidR="00870E53">
          <w:rPr>
            <w:webHidden/>
          </w:rPr>
          <w:fldChar w:fldCharType="end"/>
        </w:r>
      </w:hyperlink>
    </w:p>
    <w:p w14:paraId="427D17B3" w14:textId="77777777" w:rsidR="00870E53" w:rsidRDefault="00D30AEF">
      <w:pPr>
        <w:pStyle w:val="TOC3"/>
        <w:rPr>
          <w:rFonts w:asciiTheme="minorHAnsi" w:eastAsiaTheme="minorEastAsia" w:hAnsiTheme="minorHAnsi" w:cstheme="minorBidi"/>
        </w:rPr>
      </w:pPr>
      <w:hyperlink w:anchor="_Toc514156739" w:history="1">
        <w:r w:rsidR="00870E53" w:rsidRPr="00AF73E1">
          <w:rPr>
            <w:rStyle w:val="Hyperlink"/>
          </w:rPr>
          <w:t>Scientific-assigned licences</w:t>
        </w:r>
        <w:r w:rsidR="00870E53">
          <w:rPr>
            <w:webHidden/>
          </w:rPr>
          <w:tab/>
        </w:r>
        <w:r w:rsidR="00870E53">
          <w:rPr>
            <w:webHidden/>
          </w:rPr>
          <w:fldChar w:fldCharType="begin"/>
        </w:r>
        <w:r w:rsidR="00870E53">
          <w:rPr>
            <w:webHidden/>
          </w:rPr>
          <w:instrText xml:space="preserve"> PAGEREF _Toc514156739 \h </w:instrText>
        </w:r>
        <w:r w:rsidR="00870E53">
          <w:rPr>
            <w:webHidden/>
          </w:rPr>
        </w:r>
        <w:r w:rsidR="00870E53">
          <w:rPr>
            <w:webHidden/>
          </w:rPr>
          <w:fldChar w:fldCharType="separate"/>
        </w:r>
        <w:r w:rsidR="005012D4">
          <w:rPr>
            <w:webHidden/>
          </w:rPr>
          <w:t>65</w:t>
        </w:r>
        <w:r w:rsidR="00870E53">
          <w:rPr>
            <w:webHidden/>
          </w:rPr>
          <w:fldChar w:fldCharType="end"/>
        </w:r>
      </w:hyperlink>
    </w:p>
    <w:p w14:paraId="5402F5CF" w14:textId="77777777" w:rsidR="00870E53" w:rsidRDefault="00D30AEF">
      <w:pPr>
        <w:pStyle w:val="TOC3"/>
        <w:rPr>
          <w:rFonts w:asciiTheme="minorHAnsi" w:eastAsiaTheme="minorEastAsia" w:hAnsiTheme="minorHAnsi" w:cstheme="minorBidi"/>
        </w:rPr>
      </w:pPr>
      <w:hyperlink w:anchor="_Toc514156740" w:history="1">
        <w:r w:rsidR="00870E53" w:rsidRPr="00AF73E1">
          <w:rPr>
            <w:rStyle w:val="Hyperlink"/>
          </w:rPr>
          <w:t>Spectrum licence taxes</w:t>
        </w:r>
        <w:r w:rsidR="00870E53">
          <w:rPr>
            <w:webHidden/>
          </w:rPr>
          <w:tab/>
        </w:r>
        <w:r w:rsidR="00870E53">
          <w:rPr>
            <w:webHidden/>
          </w:rPr>
          <w:fldChar w:fldCharType="begin"/>
        </w:r>
        <w:r w:rsidR="00870E53">
          <w:rPr>
            <w:webHidden/>
          </w:rPr>
          <w:instrText xml:space="preserve"> PAGEREF _Toc514156740 \h </w:instrText>
        </w:r>
        <w:r w:rsidR="00870E53">
          <w:rPr>
            <w:webHidden/>
          </w:rPr>
        </w:r>
        <w:r w:rsidR="00870E53">
          <w:rPr>
            <w:webHidden/>
          </w:rPr>
          <w:fldChar w:fldCharType="separate"/>
        </w:r>
        <w:r w:rsidR="005012D4">
          <w:rPr>
            <w:webHidden/>
          </w:rPr>
          <w:t>65</w:t>
        </w:r>
        <w:r w:rsidR="00870E53">
          <w:rPr>
            <w:webHidden/>
          </w:rPr>
          <w:fldChar w:fldCharType="end"/>
        </w:r>
      </w:hyperlink>
    </w:p>
    <w:p w14:paraId="109CE07E" w14:textId="77777777" w:rsidR="00870E53" w:rsidRDefault="00D30AEF">
      <w:pPr>
        <w:pStyle w:val="TOC3"/>
        <w:rPr>
          <w:rFonts w:asciiTheme="minorHAnsi" w:eastAsiaTheme="minorEastAsia" w:hAnsiTheme="minorHAnsi" w:cstheme="minorBidi"/>
        </w:rPr>
      </w:pPr>
      <w:hyperlink w:anchor="_Toc514156741" w:history="1">
        <w:r w:rsidR="00870E53" w:rsidRPr="00AF73E1">
          <w:rPr>
            <w:rStyle w:val="Hyperlink"/>
          </w:rPr>
          <w:t>Apparatus licence taxes</w:t>
        </w:r>
        <w:r w:rsidR="00870E53">
          <w:rPr>
            <w:webHidden/>
          </w:rPr>
          <w:tab/>
        </w:r>
        <w:r w:rsidR="00870E53">
          <w:rPr>
            <w:webHidden/>
          </w:rPr>
          <w:fldChar w:fldCharType="begin"/>
        </w:r>
        <w:r w:rsidR="00870E53">
          <w:rPr>
            <w:webHidden/>
          </w:rPr>
          <w:instrText xml:space="preserve"> PAGEREF _Toc514156741 \h </w:instrText>
        </w:r>
        <w:r w:rsidR="00870E53">
          <w:rPr>
            <w:webHidden/>
          </w:rPr>
        </w:r>
        <w:r w:rsidR="00870E53">
          <w:rPr>
            <w:webHidden/>
          </w:rPr>
          <w:fldChar w:fldCharType="separate"/>
        </w:r>
        <w:r w:rsidR="005012D4">
          <w:rPr>
            <w:webHidden/>
          </w:rPr>
          <w:t>65</w:t>
        </w:r>
        <w:r w:rsidR="00870E53">
          <w:rPr>
            <w:webHidden/>
          </w:rPr>
          <w:fldChar w:fldCharType="end"/>
        </w:r>
      </w:hyperlink>
    </w:p>
    <w:p w14:paraId="6D5CF087" w14:textId="77777777" w:rsidR="00870E53" w:rsidRDefault="00D30AEF">
      <w:pPr>
        <w:pStyle w:val="TOC3"/>
        <w:rPr>
          <w:rFonts w:asciiTheme="minorHAnsi" w:eastAsiaTheme="minorEastAsia" w:hAnsiTheme="minorHAnsi" w:cstheme="minorBidi"/>
        </w:rPr>
      </w:pPr>
      <w:hyperlink w:anchor="_Toc514156742" w:history="1">
        <w:r w:rsidR="00870E53" w:rsidRPr="00AF73E1">
          <w:rPr>
            <w:rStyle w:val="Hyperlink"/>
          </w:rPr>
          <w:t>400 MHz monitoring framework and opportunity-cost pricing</w:t>
        </w:r>
        <w:r w:rsidR="00870E53">
          <w:rPr>
            <w:webHidden/>
          </w:rPr>
          <w:tab/>
        </w:r>
        <w:r w:rsidR="00870E53">
          <w:rPr>
            <w:webHidden/>
          </w:rPr>
          <w:fldChar w:fldCharType="begin"/>
        </w:r>
        <w:r w:rsidR="00870E53">
          <w:rPr>
            <w:webHidden/>
          </w:rPr>
          <w:instrText xml:space="preserve"> PAGEREF _Toc514156742 \h </w:instrText>
        </w:r>
        <w:r w:rsidR="00870E53">
          <w:rPr>
            <w:webHidden/>
          </w:rPr>
        </w:r>
        <w:r w:rsidR="00870E53">
          <w:rPr>
            <w:webHidden/>
          </w:rPr>
          <w:fldChar w:fldCharType="separate"/>
        </w:r>
        <w:r w:rsidR="005012D4">
          <w:rPr>
            <w:webHidden/>
          </w:rPr>
          <w:t>65</w:t>
        </w:r>
        <w:r w:rsidR="00870E53">
          <w:rPr>
            <w:webHidden/>
          </w:rPr>
          <w:fldChar w:fldCharType="end"/>
        </w:r>
      </w:hyperlink>
    </w:p>
    <w:p w14:paraId="21845212" w14:textId="77777777" w:rsidR="00870E53" w:rsidRDefault="00D30AEF">
      <w:pPr>
        <w:pStyle w:val="TOC2"/>
        <w:rPr>
          <w:rFonts w:asciiTheme="minorHAnsi" w:eastAsiaTheme="minorEastAsia" w:hAnsiTheme="minorHAnsi" w:cstheme="minorBidi"/>
          <w:spacing w:val="0"/>
          <w:sz w:val="22"/>
          <w:szCs w:val="22"/>
        </w:rPr>
      </w:pPr>
      <w:hyperlink w:anchor="_Toc514156743" w:history="1">
        <w:r w:rsidR="00870E53" w:rsidRPr="00AF73E1">
          <w:rPr>
            <w:rStyle w:val="Hyperlink"/>
          </w:rPr>
          <w:t>New/ongoing activities planned for 2018–19</w:t>
        </w:r>
        <w:r w:rsidR="00870E53">
          <w:rPr>
            <w:webHidden/>
          </w:rPr>
          <w:tab/>
        </w:r>
        <w:r w:rsidR="00870E53">
          <w:rPr>
            <w:webHidden/>
          </w:rPr>
          <w:fldChar w:fldCharType="begin"/>
        </w:r>
        <w:r w:rsidR="00870E53">
          <w:rPr>
            <w:webHidden/>
          </w:rPr>
          <w:instrText xml:space="preserve"> PAGEREF _Toc514156743 \h </w:instrText>
        </w:r>
        <w:r w:rsidR="00870E53">
          <w:rPr>
            <w:webHidden/>
          </w:rPr>
        </w:r>
        <w:r w:rsidR="00870E53">
          <w:rPr>
            <w:webHidden/>
          </w:rPr>
          <w:fldChar w:fldCharType="separate"/>
        </w:r>
        <w:r w:rsidR="005012D4">
          <w:rPr>
            <w:webHidden/>
          </w:rPr>
          <w:t>65</w:t>
        </w:r>
        <w:r w:rsidR="00870E53">
          <w:rPr>
            <w:webHidden/>
          </w:rPr>
          <w:fldChar w:fldCharType="end"/>
        </w:r>
      </w:hyperlink>
    </w:p>
    <w:p w14:paraId="6C4D4D16" w14:textId="77777777" w:rsidR="00870E53" w:rsidRDefault="00D30AEF">
      <w:pPr>
        <w:pStyle w:val="TOC1"/>
        <w:rPr>
          <w:rFonts w:asciiTheme="minorHAnsi" w:eastAsiaTheme="minorEastAsia" w:hAnsiTheme="minorHAnsi" w:cstheme="minorBidi"/>
          <w:b w:val="0"/>
          <w:spacing w:val="0"/>
          <w:sz w:val="22"/>
          <w:szCs w:val="22"/>
        </w:rPr>
      </w:pPr>
      <w:hyperlink w:anchor="_Toc514156744" w:history="1">
        <w:r w:rsidR="00870E53" w:rsidRPr="00AF73E1">
          <w:rPr>
            <w:rStyle w:val="Hyperlink"/>
          </w:rPr>
          <w:t>Compliance and enforcement</w:t>
        </w:r>
        <w:r w:rsidR="00870E53">
          <w:rPr>
            <w:webHidden/>
          </w:rPr>
          <w:tab/>
        </w:r>
        <w:r w:rsidR="00870E53">
          <w:rPr>
            <w:webHidden/>
          </w:rPr>
          <w:fldChar w:fldCharType="begin"/>
        </w:r>
        <w:r w:rsidR="00870E53">
          <w:rPr>
            <w:webHidden/>
          </w:rPr>
          <w:instrText xml:space="preserve"> PAGEREF _Toc514156744 \h </w:instrText>
        </w:r>
        <w:r w:rsidR="00870E53">
          <w:rPr>
            <w:webHidden/>
          </w:rPr>
        </w:r>
        <w:r w:rsidR="00870E53">
          <w:rPr>
            <w:webHidden/>
          </w:rPr>
          <w:fldChar w:fldCharType="separate"/>
        </w:r>
        <w:r w:rsidR="005012D4">
          <w:rPr>
            <w:webHidden/>
          </w:rPr>
          <w:t>67</w:t>
        </w:r>
        <w:r w:rsidR="00870E53">
          <w:rPr>
            <w:webHidden/>
          </w:rPr>
          <w:fldChar w:fldCharType="end"/>
        </w:r>
      </w:hyperlink>
    </w:p>
    <w:p w14:paraId="6C9328F2" w14:textId="77777777" w:rsidR="00870E53" w:rsidRDefault="00D30AEF">
      <w:pPr>
        <w:pStyle w:val="TOC2"/>
        <w:rPr>
          <w:rFonts w:asciiTheme="minorHAnsi" w:eastAsiaTheme="minorEastAsia" w:hAnsiTheme="minorHAnsi" w:cstheme="minorBidi"/>
          <w:spacing w:val="0"/>
          <w:sz w:val="22"/>
          <w:szCs w:val="22"/>
        </w:rPr>
      </w:pPr>
      <w:hyperlink w:anchor="_Toc514156745" w:history="1">
        <w:r w:rsidR="00870E53" w:rsidRPr="00AF73E1">
          <w:rPr>
            <w:rStyle w:val="Hyperlink"/>
          </w:rPr>
          <w:t>Priority Compliance Areas</w:t>
        </w:r>
        <w:r w:rsidR="00870E53">
          <w:rPr>
            <w:webHidden/>
          </w:rPr>
          <w:tab/>
        </w:r>
        <w:r w:rsidR="00870E53">
          <w:rPr>
            <w:webHidden/>
          </w:rPr>
          <w:fldChar w:fldCharType="begin"/>
        </w:r>
        <w:r w:rsidR="00870E53">
          <w:rPr>
            <w:webHidden/>
          </w:rPr>
          <w:instrText xml:space="preserve"> PAGEREF _Toc514156745 \h </w:instrText>
        </w:r>
        <w:r w:rsidR="00870E53">
          <w:rPr>
            <w:webHidden/>
          </w:rPr>
        </w:r>
        <w:r w:rsidR="00870E53">
          <w:rPr>
            <w:webHidden/>
          </w:rPr>
          <w:fldChar w:fldCharType="separate"/>
        </w:r>
        <w:r w:rsidR="005012D4">
          <w:rPr>
            <w:webHidden/>
          </w:rPr>
          <w:t>67</w:t>
        </w:r>
        <w:r w:rsidR="00870E53">
          <w:rPr>
            <w:webHidden/>
          </w:rPr>
          <w:fldChar w:fldCharType="end"/>
        </w:r>
      </w:hyperlink>
    </w:p>
    <w:p w14:paraId="6496B1BD" w14:textId="77777777" w:rsidR="00870E53" w:rsidRDefault="00D30AEF">
      <w:pPr>
        <w:pStyle w:val="TOC2"/>
        <w:rPr>
          <w:rFonts w:asciiTheme="minorHAnsi" w:eastAsiaTheme="minorEastAsia" w:hAnsiTheme="minorHAnsi" w:cstheme="minorBidi"/>
          <w:spacing w:val="0"/>
          <w:sz w:val="22"/>
          <w:szCs w:val="22"/>
        </w:rPr>
      </w:pPr>
      <w:hyperlink w:anchor="_Toc514156746" w:history="1">
        <w:r w:rsidR="00870E53" w:rsidRPr="00AF73E1">
          <w:rPr>
            <w:rStyle w:val="Hyperlink"/>
          </w:rPr>
          <w:t>Progress achieved</w:t>
        </w:r>
        <w:r w:rsidR="00870E53">
          <w:rPr>
            <w:webHidden/>
          </w:rPr>
          <w:tab/>
        </w:r>
        <w:r w:rsidR="00870E53">
          <w:rPr>
            <w:webHidden/>
          </w:rPr>
          <w:fldChar w:fldCharType="begin"/>
        </w:r>
        <w:r w:rsidR="00870E53">
          <w:rPr>
            <w:webHidden/>
          </w:rPr>
          <w:instrText xml:space="preserve"> PAGEREF _Toc514156746 \h </w:instrText>
        </w:r>
        <w:r w:rsidR="00870E53">
          <w:rPr>
            <w:webHidden/>
          </w:rPr>
        </w:r>
        <w:r w:rsidR="00870E53">
          <w:rPr>
            <w:webHidden/>
          </w:rPr>
          <w:fldChar w:fldCharType="separate"/>
        </w:r>
        <w:r w:rsidR="005012D4">
          <w:rPr>
            <w:webHidden/>
          </w:rPr>
          <w:t>67</w:t>
        </w:r>
        <w:r w:rsidR="00870E53">
          <w:rPr>
            <w:webHidden/>
          </w:rPr>
          <w:fldChar w:fldCharType="end"/>
        </w:r>
      </w:hyperlink>
    </w:p>
    <w:p w14:paraId="042D9A2C" w14:textId="77777777" w:rsidR="00870E53" w:rsidRDefault="00D30AEF">
      <w:pPr>
        <w:pStyle w:val="TOC3"/>
        <w:rPr>
          <w:rFonts w:asciiTheme="minorHAnsi" w:eastAsiaTheme="minorEastAsia" w:hAnsiTheme="minorHAnsi" w:cstheme="minorBidi"/>
        </w:rPr>
      </w:pPr>
      <w:hyperlink w:anchor="_Toc514156747" w:history="1">
        <w:r w:rsidR="00870E53" w:rsidRPr="00AF73E1">
          <w:rPr>
            <w:rStyle w:val="Hyperlink"/>
          </w:rPr>
          <w:t>Commonwealth Games preparation—compliance program</w:t>
        </w:r>
        <w:r w:rsidR="00870E53">
          <w:rPr>
            <w:webHidden/>
          </w:rPr>
          <w:tab/>
        </w:r>
        <w:r w:rsidR="00870E53">
          <w:rPr>
            <w:webHidden/>
          </w:rPr>
          <w:fldChar w:fldCharType="begin"/>
        </w:r>
        <w:r w:rsidR="00870E53">
          <w:rPr>
            <w:webHidden/>
          </w:rPr>
          <w:instrText xml:space="preserve"> PAGEREF _Toc514156747 \h </w:instrText>
        </w:r>
        <w:r w:rsidR="00870E53">
          <w:rPr>
            <w:webHidden/>
          </w:rPr>
        </w:r>
        <w:r w:rsidR="00870E53">
          <w:rPr>
            <w:webHidden/>
          </w:rPr>
          <w:fldChar w:fldCharType="separate"/>
        </w:r>
        <w:r w:rsidR="005012D4">
          <w:rPr>
            <w:webHidden/>
          </w:rPr>
          <w:t>67</w:t>
        </w:r>
        <w:r w:rsidR="00870E53">
          <w:rPr>
            <w:webHidden/>
          </w:rPr>
          <w:fldChar w:fldCharType="end"/>
        </w:r>
      </w:hyperlink>
    </w:p>
    <w:p w14:paraId="64803CC9" w14:textId="77777777" w:rsidR="00870E53" w:rsidRDefault="00D30AEF">
      <w:pPr>
        <w:pStyle w:val="TOC3"/>
        <w:rPr>
          <w:rFonts w:asciiTheme="minorHAnsi" w:eastAsiaTheme="minorEastAsia" w:hAnsiTheme="minorHAnsi" w:cstheme="minorBidi"/>
        </w:rPr>
      </w:pPr>
      <w:hyperlink w:anchor="_Toc514156748" w:history="1">
        <w:r w:rsidR="00870E53" w:rsidRPr="00AF73E1">
          <w:rPr>
            <w:rStyle w:val="Hyperlink"/>
          </w:rPr>
          <w:t>Audit of mobile handset compliance—technical standards audit program</w:t>
        </w:r>
        <w:r w:rsidR="00870E53">
          <w:rPr>
            <w:webHidden/>
          </w:rPr>
          <w:tab/>
        </w:r>
        <w:r w:rsidR="00870E53">
          <w:rPr>
            <w:webHidden/>
          </w:rPr>
          <w:fldChar w:fldCharType="begin"/>
        </w:r>
        <w:r w:rsidR="00870E53">
          <w:rPr>
            <w:webHidden/>
          </w:rPr>
          <w:instrText xml:space="preserve"> PAGEREF _Toc514156748 \h </w:instrText>
        </w:r>
        <w:r w:rsidR="00870E53">
          <w:rPr>
            <w:webHidden/>
          </w:rPr>
        </w:r>
        <w:r w:rsidR="00870E53">
          <w:rPr>
            <w:webHidden/>
          </w:rPr>
          <w:fldChar w:fldCharType="separate"/>
        </w:r>
        <w:r w:rsidR="005012D4">
          <w:rPr>
            <w:webHidden/>
          </w:rPr>
          <w:t>67</w:t>
        </w:r>
        <w:r w:rsidR="00870E53">
          <w:rPr>
            <w:webHidden/>
          </w:rPr>
          <w:fldChar w:fldCharType="end"/>
        </w:r>
      </w:hyperlink>
    </w:p>
    <w:p w14:paraId="26A8CAB4" w14:textId="77777777" w:rsidR="00870E53" w:rsidRDefault="00D30AEF">
      <w:pPr>
        <w:pStyle w:val="TOC2"/>
        <w:rPr>
          <w:rFonts w:asciiTheme="minorHAnsi" w:eastAsiaTheme="minorEastAsia" w:hAnsiTheme="minorHAnsi" w:cstheme="minorBidi"/>
          <w:spacing w:val="0"/>
          <w:sz w:val="22"/>
          <w:szCs w:val="22"/>
        </w:rPr>
      </w:pPr>
      <w:hyperlink w:anchor="_Toc514156749" w:history="1">
        <w:r w:rsidR="00870E53" w:rsidRPr="00AF73E1">
          <w:rPr>
            <w:rStyle w:val="Hyperlink"/>
          </w:rPr>
          <w:t>New/ongoing activities planned for 2018–19</w:t>
        </w:r>
        <w:r w:rsidR="00870E53">
          <w:rPr>
            <w:webHidden/>
          </w:rPr>
          <w:tab/>
        </w:r>
        <w:r w:rsidR="00870E53">
          <w:rPr>
            <w:webHidden/>
          </w:rPr>
          <w:fldChar w:fldCharType="begin"/>
        </w:r>
        <w:r w:rsidR="00870E53">
          <w:rPr>
            <w:webHidden/>
          </w:rPr>
          <w:instrText xml:space="preserve"> PAGEREF _Toc514156749 \h </w:instrText>
        </w:r>
        <w:r w:rsidR="00870E53">
          <w:rPr>
            <w:webHidden/>
          </w:rPr>
        </w:r>
        <w:r w:rsidR="00870E53">
          <w:rPr>
            <w:webHidden/>
          </w:rPr>
          <w:fldChar w:fldCharType="separate"/>
        </w:r>
        <w:r w:rsidR="005012D4">
          <w:rPr>
            <w:webHidden/>
          </w:rPr>
          <w:t>68</w:t>
        </w:r>
        <w:r w:rsidR="00870E53">
          <w:rPr>
            <w:webHidden/>
          </w:rPr>
          <w:fldChar w:fldCharType="end"/>
        </w:r>
      </w:hyperlink>
    </w:p>
    <w:p w14:paraId="34753382" w14:textId="77777777" w:rsidR="00870E53" w:rsidRDefault="00D30AEF">
      <w:pPr>
        <w:pStyle w:val="TOC3"/>
        <w:rPr>
          <w:rFonts w:asciiTheme="minorHAnsi" w:eastAsiaTheme="minorEastAsia" w:hAnsiTheme="minorHAnsi" w:cstheme="minorBidi"/>
        </w:rPr>
      </w:pPr>
      <w:hyperlink w:anchor="_Toc514156750" w:history="1">
        <w:r w:rsidR="00870E53" w:rsidRPr="00AF73E1">
          <w:rPr>
            <w:rStyle w:val="Hyperlink"/>
          </w:rPr>
          <w:t>Audit of mobile handset compliance—technical standards audit program</w:t>
        </w:r>
        <w:r w:rsidR="00870E53">
          <w:rPr>
            <w:webHidden/>
          </w:rPr>
          <w:tab/>
        </w:r>
        <w:r w:rsidR="00870E53">
          <w:rPr>
            <w:webHidden/>
          </w:rPr>
          <w:fldChar w:fldCharType="begin"/>
        </w:r>
        <w:r w:rsidR="00870E53">
          <w:rPr>
            <w:webHidden/>
          </w:rPr>
          <w:instrText xml:space="preserve"> PAGEREF _Toc514156750 \h </w:instrText>
        </w:r>
        <w:r w:rsidR="00870E53">
          <w:rPr>
            <w:webHidden/>
          </w:rPr>
        </w:r>
        <w:r w:rsidR="00870E53">
          <w:rPr>
            <w:webHidden/>
          </w:rPr>
          <w:fldChar w:fldCharType="separate"/>
        </w:r>
        <w:r w:rsidR="005012D4">
          <w:rPr>
            <w:webHidden/>
          </w:rPr>
          <w:t>68</w:t>
        </w:r>
        <w:r w:rsidR="00870E53">
          <w:rPr>
            <w:webHidden/>
          </w:rPr>
          <w:fldChar w:fldCharType="end"/>
        </w:r>
      </w:hyperlink>
    </w:p>
    <w:p w14:paraId="0F45CD15" w14:textId="77777777" w:rsidR="00870E53" w:rsidRDefault="00D30AEF">
      <w:pPr>
        <w:pStyle w:val="TOC3"/>
        <w:rPr>
          <w:rFonts w:asciiTheme="minorHAnsi" w:eastAsiaTheme="minorEastAsia" w:hAnsiTheme="minorHAnsi" w:cstheme="minorBidi"/>
        </w:rPr>
      </w:pPr>
      <w:hyperlink w:anchor="_Toc514156751" w:history="1">
        <w:r w:rsidR="00870E53" w:rsidRPr="00AF73E1">
          <w:rPr>
            <w:rStyle w:val="Hyperlink"/>
          </w:rPr>
          <w:t>Priority Compliance Areas</w:t>
        </w:r>
        <w:r w:rsidR="00870E53">
          <w:rPr>
            <w:webHidden/>
          </w:rPr>
          <w:tab/>
        </w:r>
        <w:r w:rsidR="00870E53">
          <w:rPr>
            <w:webHidden/>
          </w:rPr>
          <w:fldChar w:fldCharType="begin"/>
        </w:r>
        <w:r w:rsidR="00870E53">
          <w:rPr>
            <w:webHidden/>
          </w:rPr>
          <w:instrText xml:space="preserve"> PAGEREF _Toc514156751 \h </w:instrText>
        </w:r>
        <w:r w:rsidR="00870E53">
          <w:rPr>
            <w:webHidden/>
          </w:rPr>
        </w:r>
        <w:r w:rsidR="00870E53">
          <w:rPr>
            <w:webHidden/>
          </w:rPr>
          <w:fldChar w:fldCharType="separate"/>
        </w:r>
        <w:r w:rsidR="005012D4">
          <w:rPr>
            <w:webHidden/>
          </w:rPr>
          <w:t>68</w:t>
        </w:r>
        <w:r w:rsidR="00870E53">
          <w:rPr>
            <w:webHidden/>
          </w:rPr>
          <w:fldChar w:fldCharType="end"/>
        </w:r>
      </w:hyperlink>
    </w:p>
    <w:p w14:paraId="03D963B7" w14:textId="77777777" w:rsidR="00870E53" w:rsidRDefault="00D30AEF">
      <w:pPr>
        <w:pStyle w:val="TOC1"/>
        <w:rPr>
          <w:rFonts w:asciiTheme="minorHAnsi" w:eastAsiaTheme="minorEastAsia" w:hAnsiTheme="minorHAnsi" w:cstheme="minorBidi"/>
          <w:b w:val="0"/>
          <w:spacing w:val="0"/>
          <w:sz w:val="22"/>
          <w:szCs w:val="22"/>
        </w:rPr>
      </w:pPr>
      <w:hyperlink w:anchor="_Toc514156752" w:history="1">
        <w:r w:rsidR="00870E53" w:rsidRPr="00AF73E1">
          <w:rPr>
            <w:rStyle w:val="Hyperlink"/>
          </w:rPr>
          <w:t>International engagement</w:t>
        </w:r>
        <w:r w:rsidR="00870E53">
          <w:rPr>
            <w:webHidden/>
          </w:rPr>
          <w:tab/>
        </w:r>
        <w:r w:rsidR="00870E53">
          <w:rPr>
            <w:webHidden/>
          </w:rPr>
          <w:fldChar w:fldCharType="begin"/>
        </w:r>
        <w:r w:rsidR="00870E53">
          <w:rPr>
            <w:webHidden/>
          </w:rPr>
          <w:instrText xml:space="preserve"> PAGEREF _Toc514156752 \h </w:instrText>
        </w:r>
        <w:r w:rsidR="00870E53">
          <w:rPr>
            <w:webHidden/>
          </w:rPr>
        </w:r>
        <w:r w:rsidR="00870E53">
          <w:rPr>
            <w:webHidden/>
          </w:rPr>
          <w:fldChar w:fldCharType="separate"/>
        </w:r>
        <w:r w:rsidR="005012D4">
          <w:rPr>
            <w:webHidden/>
          </w:rPr>
          <w:t>69</w:t>
        </w:r>
        <w:r w:rsidR="00870E53">
          <w:rPr>
            <w:webHidden/>
          </w:rPr>
          <w:fldChar w:fldCharType="end"/>
        </w:r>
      </w:hyperlink>
    </w:p>
    <w:p w14:paraId="45D32917" w14:textId="77777777" w:rsidR="00870E53" w:rsidRDefault="00D30AEF">
      <w:pPr>
        <w:pStyle w:val="TOC3"/>
        <w:rPr>
          <w:rFonts w:asciiTheme="minorHAnsi" w:eastAsiaTheme="minorEastAsia" w:hAnsiTheme="minorHAnsi" w:cstheme="minorBidi"/>
        </w:rPr>
      </w:pPr>
      <w:hyperlink w:anchor="_Toc514156753" w:history="1">
        <w:r w:rsidR="00870E53" w:rsidRPr="00AF73E1">
          <w:rPr>
            <w:rStyle w:val="Hyperlink"/>
          </w:rPr>
          <w:t>Progress achieved</w:t>
        </w:r>
        <w:r w:rsidR="00870E53">
          <w:rPr>
            <w:webHidden/>
          </w:rPr>
          <w:tab/>
        </w:r>
        <w:r w:rsidR="00870E53">
          <w:rPr>
            <w:webHidden/>
          </w:rPr>
          <w:fldChar w:fldCharType="begin"/>
        </w:r>
        <w:r w:rsidR="00870E53">
          <w:rPr>
            <w:webHidden/>
          </w:rPr>
          <w:instrText xml:space="preserve"> PAGEREF _Toc514156753 \h </w:instrText>
        </w:r>
        <w:r w:rsidR="00870E53">
          <w:rPr>
            <w:webHidden/>
          </w:rPr>
        </w:r>
        <w:r w:rsidR="00870E53">
          <w:rPr>
            <w:webHidden/>
          </w:rPr>
          <w:fldChar w:fldCharType="separate"/>
        </w:r>
        <w:r w:rsidR="005012D4">
          <w:rPr>
            <w:webHidden/>
          </w:rPr>
          <w:t>69</w:t>
        </w:r>
        <w:r w:rsidR="00870E53">
          <w:rPr>
            <w:webHidden/>
          </w:rPr>
          <w:fldChar w:fldCharType="end"/>
        </w:r>
      </w:hyperlink>
    </w:p>
    <w:p w14:paraId="50DC2761" w14:textId="77777777" w:rsidR="00870E53" w:rsidRDefault="00D30AEF">
      <w:pPr>
        <w:pStyle w:val="TOC3"/>
        <w:rPr>
          <w:rFonts w:asciiTheme="minorHAnsi" w:eastAsiaTheme="minorEastAsia" w:hAnsiTheme="minorHAnsi" w:cstheme="minorBidi"/>
        </w:rPr>
      </w:pPr>
      <w:hyperlink w:anchor="_Toc514156754" w:history="1">
        <w:r w:rsidR="00870E53" w:rsidRPr="00AF73E1">
          <w:rPr>
            <w:rStyle w:val="Hyperlink"/>
          </w:rPr>
          <w:t>New/ongoing activities planned for 2018–19</w:t>
        </w:r>
        <w:r w:rsidR="00870E53">
          <w:rPr>
            <w:webHidden/>
          </w:rPr>
          <w:tab/>
        </w:r>
        <w:r w:rsidR="00870E53">
          <w:rPr>
            <w:webHidden/>
          </w:rPr>
          <w:fldChar w:fldCharType="begin"/>
        </w:r>
        <w:r w:rsidR="00870E53">
          <w:rPr>
            <w:webHidden/>
          </w:rPr>
          <w:instrText xml:space="preserve"> PAGEREF _Toc514156754 \h </w:instrText>
        </w:r>
        <w:r w:rsidR="00870E53">
          <w:rPr>
            <w:webHidden/>
          </w:rPr>
        </w:r>
        <w:r w:rsidR="00870E53">
          <w:rPr>
            <w:webHidden/>
          </w:rPr>
          <w:fldChar w:fldCharType="separate"/>
        </w:r>
        <w:r w:rsidR="005012D4">
          <w:rPr>
            <w:webHidden/>
          </w:rPr>
          <w:t>70</w:t>
        </w:r>
        <w:r w:rsidR="00870E53">
          <w:rPr>
            <w:webHidden/>
          </w:rPr>
          <w:fldChar w:fldCharType="end"/>
        </w:r>
      </w:hyperlink>
    </w:p>
    <w:p w14:paraId="28DF8DC8" w14:textId="77777777" w:rsidR="00870E53" w:rsidRDefault="00D30AEF">
      <w:pPr>
        <w:pStyle w:val="TOC3"/>
        <w:rPr>
          <w:rFonts w:asciiTheme="minorHAnsi" w:eastAsiaTheme="minorEastAsia" w:hAnsiTheme="minorHAnsi" w:cstheme="minorBidi"/>
        </w:rPr>
      </w:pPr>
      <w:hyperlink w:anchor="_Toc514156755" w:history="1">
        <w:r w:rsidR="00870E53" w:rsidRPr="00AF73E1">
          <w:rPr>
            <w:rStyle w:val="Hyperlink"/>
          </w:rPr>
          <w:t>Consultation question</w:t>
        </w:r>
        <w:r w:rsidR="00870E53">
          <w:rPr>
            <w:webHidden/>
          </w:rPr>
          <w:tab/>
        </w:r>
        <w:r w:rsidR="00870E53">
          <w:rPr>
            <w:webHidden/>
          </w:rPr>
          <w:fldChar w:fldCharType="begin"/>
        </w:r>
        <w:r w:rsidR="00870E53">
          <w:rPr>
            <w:webHidden/>
          </w:rPr>
          <w:instrText xml:space="preserve"> PAGEREF _Toc514156755 \h </w:instrText>
        </w:r>
        <w:r w:rsidR="00870E53">
          <w:rPr>
            <w:webHidden/>
          </w:rPr>
        </w:r>
        <w:r w:rsidR="00870E53">
          <w:rPr>
            <w:webHidden/>
          </w:rPr>
          <w:fldChar w:fldCharType="separate"/>
        </w:r>
        <w:r w:rsidR="005012D4">
          <w:rPr>
            <w:webHidden/>
          </w:rPr>
          <w:t>70</w:t>
        </w:r>
        <w:r w:rsidR="00870E53">
          <w:rPr>
            <w:webHidden/>
          </w:rPr>
          <w:fldChar w:fldCharType="end"/>
        </w:r>
      </w:hyperlink>
    </w:p>
    <w:p w14:paraId="234EE775" w14:textId="77777777" w:rsidR="00870E53" w:rsidRDefault="00D30AEF">
      <w:pPr>
        <w:pStyle w:val="TOC1"/>
        <w:rPr>
          <w:rFonts w:asciiTheme="minorHAnsi" w:eastAsiaTheme="minorEastAsia" w:hAnsiTheme="minorHAnsi" w:cstheme="minorBidi"/>
          <w:b w:val="0"/>
          <w:spacing w:val="0"/>
          <w:sz w:val="22"/>
          <w:szCs w:val="22"/>
        </w:rPr>
      </w:pPr>
      <w:hyperlink w:anchor="_Toc514156756" w:history="1">
        <w:r w:rsidR="00870E53" w:rsidRPr="00AF73E1">
          <w:rPr>
            <w:rStyle w:val="Hyperlink"/>
          </w:rPr>
          <w:t>Appendix A—Sunsetting instruments</w:t>
        </w:r>
        <w:r w:rsidR="00870E53">
          <w:rPr>
            <w:webHidden/>
          </w:rPr>
          <w:tab/>
        </w:r>
        <w:r w:rsidR="00870E53">
          <w:rPr>
            <w:webHidden/>
          </w:rPr>
          <w:fldChar w:fldCharType="begin"/>
        </w:r>
        <w:r w:rsidR="00870E53">
          <w:rPr>
            <w:webHidden/>
          </w:rPr>
          <w:instrText xml:space="preserve"> PAGEREF _Toc514156756 \h </w:instrText>
        </w:r>
        <w:r w:rsidR="00870E53">
          <w:rPr>
            <w:webHidden/>
          </w:rPr>
        </w:r>
        <w:r w:rsidR="00870E53">
          <w:rPr>
            <w:webHidden/>
          </w:rPr>
          <w:fldChar w:fldCharType="separate"/>
        </w:r>
        <w:r w:rsidR="005012D4">
          <w:rPr>
            <w:webHidden/>
          </w:rPr>
          <w:t>71</w:t>
        </w:r>
        <w:r w:rsidR="00870E53">
          <w:rPr>
            <w:webHidden/>
          </w:rPr>
          <w:fldChar w:fldCharType="end"/>
        </w:r>
      </w:hyperlink>
    </w:p>
    <w:p w14:paraId="25123704" w14:textId="77777777" w:rsidR="00870E53" w:rsidRDefault="00D30AEF">
      <w:pPr>
        <w:pStyle w:val="TOC2"/>
        <w:rPr>
          <w:rFonts w:asciiTheme="minorHAnsi" w:eastAsiaTheme="minorEastAsia" w:hAnsiTheme="minorHAnsi" w:cstheme="minorBidi"/>
          <w:spacing w:val="0"/>
          <w:sz w:val="22"/>
          <w:szCs w:val="22"/>
        </w:rPr>
      </w:pPr>
      <w:hyperlink w:anchor="_Toc514156757" w:history="1">
        <w:r w:rsidR="00870E53" w:rsidRPr="00AF73E1">
          <w:rPr>
            <w:rStyle w:val="Hyperlink"/>
          </w:rPr>
          <w:t>Instruments previously due to sunset on 1 October 2018</w:t>
        </w:r>
        <w:r w:rsidR="00870E53">
          <w:rPr>
            <w:webHidden/>
          </w:rPr>
          <w:tab/>
        </w:r>
        <w:r w:rsidR="00870E53">
          <w:rPr>
            <w:webHidden/>
          </w:rPr>
          <w:fldChar w:fldCharType="begin"/>
        </w:r>
        <w:r w:rsidR="00870E53">
          <w:rPr>
            <w:webHidden/>
          </w:rPr>
          <w:instrText xml:space="preserve"> PAGEREF _Toc514156757 \h </w:instrText>
        </w:r>
        <w:r w:rsidR="00870E53">
          <w:rPr>
            <w:webHidden/>
          </w:rPr>
        </w:r>
        <w:r w:rsidR="00870E53">
          <w:rPr>
            <w:webHidden/>
          </w:rPr>
          <w:fldChar w:fldCharType="separate"/>
        </w:r>
        <w:r w:rsidR="005012D4">
          <w:rPr>
            <w:webHidden/>
          </w:rPr>
          <w:t>71</w:t>
        </w:r>
        <w:r w:rsidR="00870E53">
          <w:rPr>
            <w:webHidden/>
          </w:rPr>
          <w:fldChar w:fldCharType="end"/>
        </w:r>
      </w:hyperlink>
    </w:p>
    <w:p w14:paraId="46D5612E" w14:textId="77777777" w:rsidR="00870E53" w:rsidRDefault="00D30AEF">
      <w:pPr>
        <w:pStyle w:val="TOC2"/>
        <w:rPr>
          <w:rFonts w:asciiTheme="minorHAnsi" w:eastAsiaTheme="minorEastAsia" w:hAnsiTheme="minorHAnsi" w:cstheme="minorBidi"/>
          <w:spacing w:val="0"/>
          <w:sz w:val="22"/>
          <w:szCs w:val="22"/>
        </w:rPr>
      </w:pPr>
      <w:hyperlink w:anchor="_Toc514156758" w:history="1">
        <w:r w:rsidR="00870E53" w:rsidRPr="00AF73E1">
          <w:rPr>
            <w:rStyle w:val="Hyperlink"/>
          </w:rPr>
          <w:t>Thematic review of sunsetting instruments</w:t>
        </w:r>
        <w:r w:rsidR="00870E53">
          <w:rPr>
            <w:webHidden/>
          </w:rPr>
          <w:tab/>
        </w:r>
        <w:r w:rsidR="00870E53">
          <w:rPr>
            <w:webHidden/>
          </w:rPr>
          <w:fldChar w:fldCharType="begin"/>
        </w:r>
        <w:r w:rsidR="00870E53">
          <w:rPr>
            <w:webHidden/>
          </w:rPr>
          <w:instrText xml:space="preserve"> PAGEREF _Toc514156758 \h </w:instrText>
        </w:r>
        <w:r w:rsidR="00870E53">
          <w:rPr>
            <w:webHidden/>
          </w:rPr>
        </w:r>
        <w:r w:rsidR="00870E53">
          <w:rPr>
            <w:webHidden/>
          </w:rPr>
          <w:fldChar w:fldCharType="separate"/>
        </w:r>
        <w:r w:rsidR="005012D4">
          <w:rPr>
            <w:webHidden/>
          </w:rPr>
          <w:t>71</w:t>
        </w:r>
        <w:r w:rsidR="00870E53">
          <w:rPr>
            <w:webHidden/>
          </w:rPr>
          <w:fldChar w:fldCharType="end"/>
        </w:r>
      </w:hyperlink>
    </w:p>
    <w:p w14:paraId="02FDFB8E" w14:textId="77777777" w:rsidR="00870E53" w:rsidRDefault="00D30AEF">
      <w:pPr>
        <w:pStyle w:val="TOC1"/>
        <w:rPr>
          <w:rFonts w:asciiTheme="minorHAnsi" w:eastAsiaTheme="minorEastAsia" w:hAnsiTheme="minorHAnsi" w:cstheme="minorBidi"/>
          <w:b w:val="0"/>
          <w:spacing w:val="0"/>
          <w:sz w:val="22"/>
          <w:szCs w:val="22"/>
        </w:rPr>
      </w:pPr>
      <w:hyperlink w:anchor="_Toc514156759" w:history="1">
        <w:r w:rsidR="00870E53" w:rsidRPr="00AF73E1">
          <w:rPr>
            <w:rStyle w:val="Hyperlink"/>
          </w:rPr>
          <w:t>Invitation to comment</w:t>
        </w:r>
        <w:r w:rsidR="00870E53">
          <w:rPr>
            <w:webHidden/>
          </w:rPr>
          <w:tab/>
        </w:r>
        <w:r w:rsidR="00870E53">
          <w:rPr>
            <w:webHidden/>
          </w:rPr>
          <w:fldChar w:fldCharType="begin"/>
        </w:r>
        <w:r w:rsidR="00870E53">
          <w:rPr>
            <w:webHidden/>
          </w:rPr>
          <w:instrText xml:space="preserve"> PAGEREF _Toc514156759 \h </w:instrText>
        </w:r>
        <w:r w:rsidR="00870E53">
          <w:rPr>
            <w:webHidden/>
          </w:rPr>
        </w:r>
        <w:r w:rsidR="00870E53">
          <w:rPr>
            <w:webHidden/>
          </w:rPr>
          <w:fldChar w:fldCharType="separate"/>
        </w:r>
        <w:r w:rsidR="005012D4">
          <w:rPr>
            <w:webHidden/>
          </w:rPr>
          <w:t>73</w:t>
        </w:r>
        <w:r w:rsidR="00870E53">
          <w:rPr>
            <w:webHidden/>
          </w:rPr>
          <w:fldChar w:fldCharType="end"/>
        </w:r>
      </w:hyperlink>
    </w:p>
    <w:p w14:paraId="64A821E5" w14:textId="77777777" w:rsidR="00870E53" w:rsidRDefault="00D30AEF">
      <w:pPr>
        <w:pStyle w:val="TOC2"/>
        <w:rPr>
          <w:rFonts w:asciiTheme="minorHAnsi" w:eastAsiaTheme="minorEastAsia" w:hAnsiTheme="minorHAnsi" w:cstheme="minorBidi"/>
          <w:spacing w:val="0"/>
          <w:sz w:val="22"/>
          <w:szCs w:val="22"/>
        </w:rPr>
      </w:pPr>
      <w:hyperlink w:anchor="_Toc514156760" w:history="1">
        <w:r w:rsidR="00870E53" w:rsidRPr="00AF73E1">
          <w:rPr>
            <w:rStyle w:val="Hyperlink"/>
          </w:rPr>
          <w:t>Making a submission</w:t>
        </w:r>
        <w:r w:rsidR="00870E53">
          <w:rPr>
            <w:webHidden/>
          </w:rPr>
          <w:tab/>
        </w:r>
        <w:r w:rsidR="00870E53">
          <w:rPr>
            <w:webHidden/>
          </w:rPr>
          <w:fldChar w:fldCharType="begin"/>
        </w:r>
        <w:r w:rsidR="00870E53">
          <w:rPr>
            <w:webHidden/>
          </w:rPr>
          <w:instrText xml:space="preserve"> PAGEREF _Toc514156760 \h </w:instrText>
        </w:r>
        <w:r w:rsidR="00870E53">
          <w:rPr>
            <w:webHidden/>
          </w:rPr>
        </w:r>
        <w:r w:rsidR="00870E53">
          <w:rPr>
            <w:webHidden/>
          </w:rPr>
          <w:fldChar w:fldCharType="separate"/>
        </w:r>
        <w:r w:rsidR="005012D4">
          <w:rPr>
            <w:webHidden/>
          </w:rPr>
          <w:t>73</w:t>
        </w:r>
        <w:r w:rsidR="00870E53">
          <w:rPr>
            <w:webHidden/>
          </w:rPr>
          <w:fldChar w:fldCharType="end"/>
        </w:r>
      </w:hyperlink>
    </w:p>
    <w:p w14:paraId="21292796" w14:textId="77777777" w:rsidR="000A4A51" w:rsidRDefault="002B2257">
      <w:pPr>
        <w:rPr>
          <w:rFonts w:cs="Arial"/>
          <w:noProof/>
          <w:spacing w:val="-14"/>
          <w:sz w:val="28"/>
          <w:szCs w:val="26"/>
        </w:rPr>
      </w:pPr>
      <w:r>
        <w:rPr>
          <w:rFonts w:cs="Arial"/>
          <w:noProof/>
          <w:spacing w:val="-14"/>
          <w:sz w:val="28"/>
          <w:szCs w:val="26"/>
        </w:rPr>
        <w:fldChar w:fldCharType="end"/>
      </w:r>
    </w:p>
    <w:p w14:paraId="42E0645B" w14:textId="77777777" w:rsidR="00947E20" w:rsidRDefault="00947E20">
      <w:pPr>
        <w:rPr>
          <w:rFonts w:cs="Arial"/>
          <w:noProof/>
          <w:spacing w:val="-14"/>
          <w:sz w:val="28"/>
          <w:szCs w:val="26"/>
        </w:rPr>
        <w:sectPr w:rsidR="00947E20" w:rsidSect="00760066">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p>
    <w:p w14:paraId="3576E01C" w14:textId="77777777" w:rsidR="009D6C71" w:rsidRPr="009174F3" w:rsidRDefault="00835321" w:rsidP="001B50D7">
      <w:pPr>
        <w:pStyle w:val="Heading1"/>
      </w:pPr>
      <w:bookmarkStart w:id="0" w:name="_Toc509581790"/>
      <w:bookmarkStart w:id="1" w:name="_Toc509585106"/>
      <w:bookmarkStart w:id="2" w:name="_Toc509585642"/>
      <w:bookmarkStart w:id="3" w:name="_Toc510104922"/>
      <w:bookmarkStart w:id="4" w:name="_Toc510105719"/>
      <w:bookmarkStart w:id="5" w:name="_Toc510795062"/>
      <w:bookmarkStart w:id="6" w:name="_Toc511716263"/>
      <w:bookmarkStart w:id="7" w:name="_Toc511719074"/>
      <w:bookmarkStart w:id="8" w:name="_Toc514156679"/>
      <w:r>
        <w:lastRenderedPageBreak/>
        <w:t>Foreword</w:t>
      </w:r>
      <w:bookmarkEnd w:id="0"/>
      <w:bookmarkEnd w:id="1"/>
      <w:bookmarkEnd w:id="2"/>
      <w:bookmarkEnd w:id="3"/>
      <w:bookmarkEnd w:id="4"/>
      <w:bookmarkEnd w:id="5"/>
      <w:bookmarkEnd w:id="6"/>
      <w:bookmarkEnd w:id="7"/>
      <w:bookmarkEnd w:id="8"/>
      <w:r w:rsidR="009D6C71" w:rsidRPr="009174F3">
        <w:t xml:space="preserve"> </w:t>
      </w:r>
    </w:p>
    <w:p w14:paraId="2C805EFA" w14:textId="77777777" w:rsidR="003A06EE" w:rsidRDefault="00BD5B28" w:rsidP="00BD5B28">
      <w:r w:rsidRPr="00A30CFC">
        <w:t>Spectrum is a critical input to Australian communications and media industries</w:t>
      </w:r>
      <w:r w:rsidR="00A140B6">
        <w:t xml:space="preserve"> as more and more </w:t>
      </w:r>
      <w:r w:rsidRPr="00A30CFC">
        <w:t>services</w:t>
      </w:r>
      <w:r w:rsidR="005D78F5">
        <w:t xml:space="preserve"> and activities are rely</w:t>
      </w:r>
      <w:r w:rsidR="00A140B6">
        <w:t>ing</w:t>
      </w:r>
      <w:r w:rsidR="005D78F5">
        <w:t xml:space="preserve"> on wireless connectivity</w:t>
      </w:r>
      <w:r w:rsidRPr="00A30CFC">
        <w:t xml:space="preserve">. </w:t>
      </w:r>
      <w:r w:rsidR="00B33B81">
        <w:t xml:space="preserve">The Australian Communications and Media Authority (ACMA) needs </w:t>
      </w:r>
      <w:r w:rsidR="00AA1CF5">
        <w:t xml:space="preserve">an accurate </w:t>
      </w:r>
      <w:r w:rsidR="00B33B81">
        <w:t>u</w:t>
      </w:r>
      <w:r w:rsidR="0065583E">
        <w:t xml:space="preserve">nderstanding </w:t>
      </w:r>
      <w:r w:rsidR="00B33B81">
        <w:t xml:space="preserve">of </w:t>
      </w:r>
      <w:r w:rsidR="00AA1CF5">
        <w:t>c</w:t>
      </w:r>
      <w:r w:rsidR="006F2B02">
        <w:t xml:space="preserve">hanges </w:t>
      </w:r>
      <w:r w:rsidR="00B33B81">
        <w:t xml:space="preserve">in </w:t>
      </w:r>
      <w:r w:rsidR="0065583E">
        <w:t>technology and market demand</w:t>
      </w:r>
      <w:r w:rsidR="00AA1CF5">
        <w:t>, both for new and existing spectrum uses,</w:t>
      </w:r>
      <w:r w:rsidR="0065583E">
        <w:t xml:space="preserve"> </w:t>
      </w:r>
      <w:r w:rsidR="00B33B81">
        <w:t xml:space="preserve">to </w:t>
      </w:r>
      <w:r w:rsidR="0065583E">
        <w:t xml:space="preserve">inform the way </w:t>
      </w:r>
      <w:r w:rsidR="00A140B6">
        <w:t xml:space="preserve">we </w:t>
      </w:r>
      <w:r w:rsidR="00B33B81">
        <w:t>p</w:t>
      </w:r>
      <w:r w:rsidR="0065583E">
        <w:t>lan and make spectrum available.</w:t>
      </w:r>
      <w:r w:rsidR="00AA1CF5">
        <w:t xml:space="preserve"> We rely heavily on spectrum users themselves to keep us informed.</w:t>
      </w:r>
    </w:p>
    <w:p w14:paraId="53C85743" w14:textId="77777777" w:rsidR="00EE7A0D" w:rsidRDefault="00835321" w:rsidP="0022550C">
      <w:r>
        <w:t>The</w:t>
      </w:r>
      <w:r w:rsidR="00E14131">
        <w:t xml:space="preserve"> </w:t>
      </w:r>
      <w:r>
        <w:t>ACMA has co</w:t>
      </w:r>
      <w:r w:rsidR="00B33B81">
        <w:t xml:space="preserve">nsulted annually with industry about </w:t>
      </w:r>
      <w:r>
        <w:t xml:space="preserve">its spectrum management priorities through its </w:t>
      </w:r>
      <w:r w:rsidR="00E14131">
        <w:t>f</w:t>
      </w:r>
      <w:r>
        <w:t>ive</w:t>
      </w:r>
      <w:r w:rsidR="00E14131">
        <w:t>-y</w:t>
      </w:r>
      <w:r>
        <w:t xml:space="preserve">ear </w:t>
      </w:r>
      <w:r w:rsidR="00E14131">
        <w:t>s</w:t>
      </w:r>
      <w:r>
        <w:t xml:space="preserve">pectrum </w:t>
      </w:r>
      <w:r w:rsidR="00E14131">
        <w:t>o</w:t>
      </w:r>
      <w:r>
        <w:t>utlook (FYSO) since 2008</w:t>
      </w:r>
      <w:r w:rsidR="00E14131">
        <w:t>–</w:t>
      </w:r>
      <w:r>
        <w:t xml:space="preserve">09. </w:t>
      </w:r>
      <w:r w:rsidR="003A06EE">
        <w:t>Last year</w:t>
      </w:r>
      <w:r w:rsidR="00A140B6">
        <w:t>,</w:t>
      </w:r>
      <w:r w:rsidR="003A06EE">
        <w:t xml:space="preserve"> we took steps </w:t>
      </w:r>
      <w:r w:rsidR="00380438">
        <w:t>to align the FYSO with the Spectrum Review’s recommendation for a spectrum work program</w:t>
      </w:r>
      <w:r w:rsidR="003A06EE">
        <w:t xml:space="preserve">. The work program </w:t>
      </w:r>
      <w:r w:rsidR="00A140B6">
        <w:t>will</w:t>
      </w:r>
      <w:r w:rsidR="003A06EE">
        <w:t xml:space="preserve"> </w:t>
      </w:r>
      <w:r w:rsidR="00172EB0" w:rsidRPr="00A30CFC">
        <w:t>cover at least five financial years</w:t>
      </w:r>
      <w:r w:rsidR="005D3500">
        <w:t xml:space="preserve">, </w:t>
      </w:r>
      <w:r w:rsidR="003A06EE">
        <w:t xml:space="preserve">be </w:t>
      </w:r>
      <w:r w:rsidR="00172EB0" w:rsidRPr="00A30CFC">
        <w:t>updated and published each financial year</w:t>
      </w:r>
      <w:r w:rsidR="005D3500">
        <w:t xml:space="preserve"> after consultation with </w:t>
      </w:r>
      <w:r w:rsidR="00172EB0">
        <w:t xml:space="preserve">the minister, and </w:t>
      </w:r>
      <w:r w:rsidR="003A06EE">
        <w:t xml:space="preserve">reflect </w:t>
      </w:r>
      <w:r w:rsidR="005D3500">
        <w:t xml:space="preserve">consideration of </w:t>
      </w:r>
      <w:r w:rsidR="00172EB0">
        <w:t xml:space="preserve">submissions </w:t>
      </w:r>
      <w:r w:rsidR="005D3500">
        <w:t xml:space="preserve">from stakeholders </w:t>
      </w:r>
      <w:r w:rsidR="00172EB0">
        <w:t xml:space="preserve">prior to </w:t>
      </w:r>
      <w:r w:rsidR="005D3500">
        <w:t>finalising t</w:t>
      </w:r>
      <w:r w:rsidR="00172EB0">
        <w:t xml:space="preserve">he </w:t>
      </w:r>
      <w:r w:rsidR="00172EB0" w:rsidRPr="00A30CFC">
        <w:t xml:space="preserve">work program. </w:t>
      </w:r>
    </w:p>
    <w:p w14:paraId="47C89941" w14:textId="77777777" w:rsidR="0065583E" w:rsidRDefault="0065583E" w:rsidP="005759E7">
      <w:pPr>
        <w:spacing w:after="80"/>
        <w:rPr>
          <w:rFonts w:cs="Arial"/>
          <w:szCs w:val="20"/>
        </w:rPr>
      </w:pPr>
      <w:r>
        <w:rPr>
          <w:rFonts w:cs="Arial"/>
          <w:szCs w:val="20"/>
        </w:rPr>
        <w:t>This year’s work program is informed by feedback we received in response to the key initiatives outlined in the 2017</w:t>
      </w:r>
      <w:r w:rsidR="00A140B6">
        <w:rPr>
          <w:rFonts w:cs="Arial"/>
          <w:szCs w:val="20"/>
        </w:rPr>
        <w:t>–</w:t>
      </w:r>
      <w:r>
        <w:rPr>
          <w:rFonts w:cs="Arial"/>
          <w:szCs w:val="20"/>
        </w:rPr>
        <w:t>21 work program</w:t>
      </w:r>
      <w:r w:rsidR="00813DA8">
        <w:rPr>
          <w:rFonts w:cs="Arial"/>
          <w:szCs w:val="20"/>
        </w:rPr>
        <w:t>,</w:t>
      </w:r>
      <w:r>
        <w:rPr>
          <w:rFonts w:cs="Arial"/>
          <w:szCs w:val="20"/>
        </w:rPr>
        <w:t xml:space="preserve"> including the approach to developing an annual work program, a forward allocation work program and </w:t>
      </w:r>
      <w:r w:rsidR="00A140B6">
        <w:rPr>
          <w:rFonts w:cs="Arial"/>
          <w:szCs w:val="20"/>
        </w:rPr>
        <w:t>our</w:t>
      </w:r>
      <w:r>
        <w:rPr>
          <w:rFonts w:cs="Arial"/>
          <w:szCs w:val="20"/>
        </w:rPr>
        <w:t xml:space="preserve"> planned approach to implementation of the Spectrum Review recommendations. Changes to this year’s FYSO are intended to further improve its utility to stakeholders. As a response to the feedback we received</w:t>
      </w:r>
      <w:r w:rsidR="006B2FAC">
        <w:rPr>
          <w:rFonts w:cs="Arial"/>
          <w:szCs w:val="20"/>
        </w:rPr>
        <w:t xml:space="preserve"> on last year’s work program</w:t>
      </w:r>
      <w:r>
        <w:rPr>
          <w:rFonts w:cs="Arial"/>
          <w:szCs w:val="20"/>
        </w:rPr>
        <w:t>, in this year’s FYSO we have</w:t>
      </w:r>
      <w:r w:rsidR="005B64B6">
        <w:rPr>
          <w:rFonts w:cs="Arial"/>
          <w:szCs w:val="20"/>
        </w:rPr>
        <w:t xml:space="preserve"> provided:</w:t>
      </w:r>
    </w:p>
    <w:p w14:paraId="75AC2C60" w14:textId="77777777" w:rsidR="005B64B6" w:rsidRDefault="005B64B6" w:rsidP="005759E7">
      <w:pPr>
        <w:pStyle w:val="ListBullet"/>
      </w:pPr>
      <w:r>
        <w:t>a summary work program so that key work</w:t>
      </w:r>
      <w:r w:rsidR="003E413E">
        <w:t xml:space="preserve"> </w:t>
      </w:r>
      <w:r>
        <w:t>streams, activities and proposed timelines for engagement can be more easily referenced. This will make it easier for stakeholders to track the ACMA’s progress on activities</w:t>
      </w:r>
    </w:p>
    <w:p w14:paraId="692F4FF1" w14:textId="77777777" w:rsidR="00882E17" w:rsidRDefault="00882E17" w:rsidP="005759E7">
      <w:pPr>
        <w:pStyle w:val="ListBullet"/>
      </w:pPr>
      <w:r>
        <w:t>a holistic treatment of all m</w:t>
      </w:r>
      <w:r w:rsidRPr="00FC654E">
        <w:t xml:space="preserve">ajor band </w:t>
      </w:r>
      <w:r>
        <w:t>(re)</w:t>
      </w:r>
      <w:r w:rsidRPr="00FC654E">
        <w:t xml:space="preserve">planning </w:t>
      </w:r>
      <w:r>
        <w:t xml:space="preserve">activities </w:t>
      </w:r>
      <w:r w:rsidRPr="00FC654E">
        <w:t xml:space="preserve">to support the establishment of new </w:t>
      </w:r>
      <w:r>
        <w:t xml:space="preserve">spectrum </w:t>
      </w:r>
      <w:r w:rsidRPr="00FC654E">
        <w:t>uses</w:t>
      </w:r>
      <w:r>
        <w:t>. This replaces the previous focus on replanning activities driven by the ACMA’s mobile broadband strategy</w:t>
      </w:r>
    </w:p>
    <w:p w14:paraId="571AAE23" w14:textId="77777777" w:rsidR="006B2FAC" w:rsidRDefault="00882E17" w:rsidP="005759E7">
      <w:pPr>
        <w:pStyle w:val="ListBullet"/>
      </w:pPr>
      <w:r>
        <w:t>m</w:t>
      </w:r>
      <w:r w:rsidR="005B64B6">
        <w:t xml:space="preserve">ore comprehensive attention to the wide set of existing spectrum uses where </w:t>
      </w:r>
      <w:r w:rsidR="0043599E">
        <w:t xml:space="preserve">annual </w:t>
      </w:r>
      <w:r w:rsidR="005B64B6">
        <w:t xml:space="preserve">planning </w:t>
      </w:r>
      <w:r w:rsidR="0043599E">
        <w:t xml:space="preserve">activity is directed to optimising </w:t>
      </w:r>
      <w:r w:rsidR="005B64B6">
        <w:t>use within existing regulatory framewo</w:t>
      </w:r>
      <w:r w:rsidR="0043599E">
        <w:t xml:space="preserve">rks. </w:t>
      </w:r>
      <w:r w:rsidR="006B2FAC">
        <w:t xml:space="preserve">Separately, we continue to adopt a </w:t>
      </w:r>
      <w:r w:rsidR="001801F4">
        <w:t>five</w:t>
      </w:r>
      <w:r w:rsidR="006B2FAC">
        <w:t>-year planning horizon to track where there are new or changed spectrum uses under consideration and development both in Australia and internationally, with updates on relevant band planning activity provided</w:t>
      </w:r>
      <w:r w:rsidR="0078141C">
        <w:t xml:space="preserve"> in the work program</w:t>
      </w:r>
    </w:p>
    <w:p w14:paraId="35974989" w14:textId="77777777" w:rsidR="006B2FAC" w:rsidRDefault="006B2FAC" w:rsidP="005759E7">
      <w:pPr>
        <w:pStyle w:val="ListBullet"/>
      </w:pPr>
      <w:r>
        <w:t>revised allocation scenarios in response to the strong feedback we received</w:t>
      </w:r>
    </w:p>
    <w:p w14:paraId="07ECD7ED" w14:textId="77777777" w:rsidR="006B2FAC" w:rsidRDefault="006B2FAC" w:rsidP="005759E7">
      <w:pPr>
        <w:pStyle w:val="ListBulletLast"/>
      </w:pPr>
      <w:r>
        <w:t xml:space="preserve">revised timing for the Spectrum Review implementation work, reflecting the ongoing development and drafting of the Radiocommunications Bill legislative reform package by the </w:t>
      </w:r>
      <w:r w:rsidRPr="00B72C4A">
        <w:t>Department of Communications and the Arts</w:t>
      </w:r>
      <w:r w:rsidR="00B72C4A">
        <w:t xml:space="preserve"> (DoCA)</w:t>
      </w:r>
      <w:r>
        <w:t xml:space="preserve">. </w:t>
      </w:r>
    </w:p>
    <w:p w14:paraId="242459B2" w14:textId="77777777" w:rsidR="00310564" w:rsidRPr="00B72C4A" w:rsidRDefault="00B47C14">
      <w:pPr>
        <w:spacing w:after="0" w:line="240" w:lineRule="auto"/>
      </w:pPr>
      <w:r>
        <w:t>In Part 1 of the FYSO</w:t>
      </w:r>
      <w:r w:rsidR="001801F4">
        <w:t>,</w:t>
      </w:r>
      <w:r>
        <w:t xml:space="preserve"> we provide an overview of the technology, market, and policy drivers likely to </w:t>
      </w:r>
      <w:r w:rsidR="00C919C5">
        <w:t xml:space="preserve">shape the </w:t>
      </w:r>
      <w:r>
        <w:t>demand for</w:t>
      </w:r>
      <w:r w:rsidR="001801F4">
        <w:t>,</w:t>
      </w:r>
      <w:r>
        <w:t xml:space="preserve"> and supply of</w:t>
      </w:r>
      <w:r w:rsidR="001801F4">
        <w:t>,</w:t>
      </w:r>
      <w:r>
        <w:t xml:space="preserve"> spectrum over the next five years. In Part 2</w:t>
      </w:r>
      <w:r w:rsidR="001801F4">
        <w:t>,</w:t>
      </w:r>
      <w:r>
        <w:t xml:space="preserve"> we provide detailed information about the ACMA’s planned work priorities</w:t>
      </w:r>
      <w:r w:rsidR="006B2FAC">
        <w:t xml:space="preserve">, with a focus on the </w:t>
      </w:r>
      <w:r>
        <w:t>2018</w:t>
      </w:r>
      <w:r w:rsidR="001801F4">
        <w:t>–</w:t>
      </w:r>
      <w:r>
        <w:t>19 financial year</w:t>
      </w:r>
      <w:r w:rsidR="006B2FAC">
        <w:t xml:space="preserve"> </w:t>
      </w:r>
      <w:r>
        <w:t>and beyond</w:t>
      </w:r>
      <w:r w:rsidR="001801F4">
        <w:t>,</w:t>
      </w:r>
      <w:r>
        <w:t xml:space="preserve"> where relevant</w:t>
      </w:r>
      <w:r w:rsidR="006B2FAC">
        <w:t xml:space="preserve"> to spectrum planning, forward allocation and </w:t>
      </w:r>
      <w:r>
        <w:t xml:space="preserve">Spectrum </w:t>
      </w:r>
      <w:r w:rsidRPr="00B72C4A">
        <w:t xml:space="preserve">Review </w:t>
      </w:r>
      <w:r w:rsidR="006B2FAC" w:rsidRPr="00B72C4A">
        <w:t xml:space="preserve">implementation, </w:t>
      </w:r>
      <w:r w:rsidRPr="00B72C4A">
        <w:t>noting that each of these work streams reflect multi-year activities.</w:t>
      </w:r>
      <w:bookmarkStart w:id="9" w:name="_Toc348105635"/>
      <w:bookmarkStart w:id="10" w:name="_Toc442879668"/>
      <w:bookmarkStart w:id="11" w:name="_Toc510795063"/>
    </w:p>
    <w:p w14:paraId="2191B6CA" w14:textId="77777777" w:rsidR="009116B7" w:rsidRPr="006D46E5" w:rsidRDefault="003F692F" w:rsidP="00B72C4A">
      <w:pPr>
        <w:pStyle w:val="Heading1"/>
      </w:pPr>
      <w:bookmarkStart w:id="12" w:name="_Toc511716264"/>
      <w:bookmarkStart w:id="13" w:name="_Toc511719075"/>
      <w:bookmarkStart w:id="14" w:name="_Toc514156680"/>
      <w:r>
        <w:lastRenderedPageBreak/>
        <w:t>At a glance</w:t>
      </w:r>
      <w:r w:rsidR="001801F4" w:rsidRPr="005759E7">
        <w:t>—</w:t>
      </w:r>
      <w:r w:rsidR="009116B7">
        <w:t>2018</w:t>
      </w:r>
      <w:r w:rsidR="001801F4">
        <w:t>–</w:t>
      </w:r>
      <w:r w:rsidR="009116B7">
        <w:t xml:space="preserve">19 </w:t>
      </w:r>
      <w:r w:rsidR="001801F4">
        <w:t>w</w:t>
      </w:r>
      <w:r w:rsidR="009116B7">
        <w:t>ork program</w:t>
      </w:r>
      <w:bookmarkEnd w:id="9"/>
      <w:bookmarkEnd w:id="10"/>
      <w:bookmarkEnd w:id="11"/>
      <w:bookmarkEnd w:id="12"/>
      <w:bookmarkEnd w:id="13"/>
      <w:bookmarkEnd w:id="14"/>
    </w:p>
    <w:p w14:paraId="6E1E34E7" w14:textId="77777777" w:rsidR="009116B7" w:rsidRDefault="009116B7" w:rsidP="0027128C">
      <w:pPr>
        <w:rPr>
          <w:rFonts w:cs="Arial"/>
        </w:rPr>
      </w:pPr>
      <w:r>
        <w:rPr>
          <w:rFonts w:cs="Arial"/>
        </w:rPr>
        <w:t>Here are the key activities proposed for 2018</w:t>
      </w:r>
      <w:r w:rsidR="001801F4">
        <w:rPr>
          <w:rFonts w:cs="Arial"/>
        </w:rPr>
        <w:t>–</w:t>
      </w:r>
      <w:r>
        <w:rPr>
          <w:rFonts w:cs="Arial"/>
        </w:rPr>
        <w:t>19. Opportunities for consultation and engagement with the ACMA are highlighted in the timelines to provide stakeholders with information for their planning purposes.</w:t>
      </w:r>
    </w:p>
    <w:p w14:paraId="17E073BD" w14:textId="77777777" w:rsidR="00CC0240" w:rsidRDefault="00CC0240" w:rsidP="00CC0240">
      <w:pPr>
        <w:spacing w:after="80"/>
      </w:pPr>
      <w:r w:rsidRPr="00125FC9">
        <w:t>Please note that</w:t>
      </w:r>
      <w:r>
        <w:t xml:space="preserve"> the </w:t>
      </w:r>
      <w:r w:rsidRPr="00125FC9">
        <w:t>following abbreviations</w:t>
      </w:r>
      <w:r>
        <w:t xml:space="preserve"> are used throughout:</w:t>
      </w:r>
    </w:p>
    <w:p w14:paraId="18C4C9D7" w14:textId="77777777" w:rsidR="00CC0240" w:rsidRPr="00CC0240" w:rsidRDefault="00CC0240" w:rsidP="00CC0240">
      <w:pPr>
        <w:pStyle w:val="ListBullet"/>
      </w:pPr>
      <w:r>
        <w:t>Quarter 1 (</w:t>
      </w:r>
      <w:r w:rsidRPr="00CC0240">
        <w:t>Q1): 1 July – 30 September</w:t>
      </w:r>
    </w:p>
    <w:p w14:paraId="50800F14" w14:textId="77777777" w:rsidR="00CC0240" w:rsidRPr="00CC0240" w:rsidRDefault="00CC0240" w:rsidP="00CC0240">
      <w:pPr>
        <w:pStyle w:val="ListBullet"/>
      </w:pPr>
      <w:r w:rsidRPr="00CC0240">
        <w:t>Quarter 2 (Q2): 1 October – 31 December</w:t>
      </w:r>
    </w:p>
    <w:p w14:paraId="5BCF412A" w14:textId="77777777" w:rsidR="00CC0240" w:rsidRPr="00CC0240" w:rsidRDefault="00CC0240" w:rsidP="00CC0240">
      <w:pPr>
        <w:pStyle w:val="ListBullet"/>
      </w:pPr>
      <w:r w:rsidRPr="00CC0240">
        <w:t>Quarter 3 (Q3): 1 January – 31 March</w:t>
      </w:r>
    </w:p>
    <w:p w14:paraId="3903CC5D" w14:textId="77777777" w:rsidR="00CC0240" w:rsidRPr="00CC0240" w:rsidRDefault="00CC0240" w:rsidP="005759E7">
      <w:pPr>
        <w:pStyle w:val="ListBulletLast"/>
      </w:pPr>
      <w:r>
        <w:t>Quarter 4 (Q4): 1 April – 30 June.</w:t>
      </w:r>
    </w:p>
    <w:p w14:paraId="61C3D909" w14:textId="77777777" w:rsidR="009116B7" w:rsidRPr="00F57787" w:rsidRDefault="009116B7" w:rsidP="00F57787">
      <w:pPr>
        <w:pStyle w:val="ACMATableHeader"/>
      </w:pPr>
      <w:r w:rsidRPr="00F57787">
        <w:t>Planning</w:t>
      </w:r>
      <w:r w:rsidR="001801F4" w:rsidRPr="00F57787">
        <w:t>—</w:t>
      </w:r>
      <w:r w:rsidRPr="00F57787">
        <w:t>establishing new planning frameworks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1685"/>
        <w:gridCol w:w="2406"/>
        <w:gridCol w:w="3570"/>
      </w:tblGrid>
      <w:tr w:rsidR="009116B7" w:rsidRPr="006D46E5" w14:paraId="6D18D054" w14:textId="77777777" w:rsidTr="0037046B">
        <w:trPr>
          <w:cantSplit/>
          <w:tblHeader/>
        </w:trPr>
        <w:tc>
          <w:tcPr>
            <w:tcW w:w="1100" w:type="pct"/>
            <w:shd w:val="clear" w:color="auto" w:fill="404040" w:themeFill="text1" w:themeFillTint="BF"/>
          </w:tcPr>
          <w:p w14:paraId="316A1286" w14:textId="77777777" w:rsidR="009116B7" w:rsidRDefault="009116B7">
            <w:pPr>
              <w:pStyle w:val="TableHeading"/>
              <w:rPr>
                <w:rFonts w:cs="Arial"/>
                <w:color w:val="FFFFFF" w:themeColor="background1"/>
              </w:rPr>
            </w:pPr>
            <w:r>
              <w:rPr>
                <w:rFonts w:cs="Arial"/>
                <w:color w:val="FFFFFF" w:themeColor="background1"/>
              </w:rPr>
              <w:t>Planning stage</w:t>
            </w:r>
          </w:p>
        </w:tc>
        <w:tc>
          <w:tcPr>
            <w:tcW w:w="1570" w:type="pct"/>
            <w:shd w:val="clear" w:color="auto" w:fill="404040" w:themeFill="text1" w:themeFillTint="BF"/>
          </w:tcPr>
          <w:p w14:paraId="4D5579DE" w14:textId="77777777" w:rsidR="009116B7" w:rsidRPr="006D46E5" w:rsidRDefault="009116B7">
            <w:pPr>
              <w:pStyle w:val="TableHeading"/>
              <w:rPr>
                <w:rFonts w:cs="Arial"/>
                <w:color w:val="FFFFFF" w:themeColor="background1"/>
              </w:rPr>
            </w:pPr>
            <w:r>
              <w:rPr>
                <w:rFonts w:cs="Arial"/>
                <w:color w:val="FFFFFF" w:themeColor="background1"/>
              </w:rPr>
              <w:t>Project priorities</w:t>
            </w:r>
          </w:p>
        </w:tc>
        <w:tc>
          <w:tcPr>
            <w:tcW w:w="2330" w:type="pct"/>
            <w:shd w:val="clear" w:color="auto" w:fill="404040" w:themeFill="text1" w:themeFillTint="BF"/>
          </w:tcPr>
          <w:p w14:paraId="633115A9" w14:textId="77777777" w:rsidR="009116B7" w:rsidRPr="006D46E5" w:rsidRDefault="009116B7">
            <w:pPr>
              <w:pStyle w:val="TableHeading"/>
              <w:rPr>
                <w:rFonts w:cs="Arial"/>
                <w:color w:val="FFFFFF" w:themeColor="background1"/>
              </w:rPr>
            </w:pPr>
            <w:r>
              <w:rPr>
                <w:rFonts w:cs="Arial"/>
                <w:color w:val="FFFFFF" w:themeColor="background1"/>
              </w:rPr>
              <w:t>Proposed timelines</w:t>
            </w:r>
          </w:p>
        </w:tc>
      </w:tr>
      <w:tr w:rsidR="009116B7" w:rsidRPr="006D46E5" w14:paraId="17E8203C" w14:textId="77777777" w:rsidTr="005423CD">
        <w:tc>
          <w:tcPr>
            <w:tcW w:w="1100" w:type="pct"/>
          </w:tcPr>
          <w:p w14:paraId="6BFD21D8" w14:textId="77777777" w:rsidR="009116B7" w:rsidRPr="005759E7" w:rsidRDefault="009116B7" w:rsidP="0027128C">
            <w:pPr>
              <w:pStyle w:val="TableBody"/>
              <w:rPr>
                <w:rFonts w:cs="Arial"/>
                <w:szCs w:val="20"/>
              </w:rPr>
            </w:pPr>
            <w:r w:rsidRPr="005759E7">
              <w:rPr>
                <w:rFonts w:cs="Arial"/>
                <w:szCs w:val="20"/>
              </w:rPr>
              <w:t>Monitoring</w:t>
            </w:r>
          </w:p>
        </w:tc>
        <w:tc>
          <w:tcPr>
            <w:tcW w:w="1570" w:type="pct"/>
          </w:tcPr>
          <w:p w14:paraId="69085B12" w14:textId="77777777" w:rsidR="009116B7" w:rsidRPr="005759E7" w:rsidRDefault="009116B7" w:rsidP="005759E7">
            <w:pPr>
              <w:pStyle w:val="TableBody"/>
              <w:spacing w:after="120"/>
              <w:rPr>
                <w:rFonts w:cs="Arial"/>
                <w:szCs w:val="20"/>
              </w:rPr>
            </w:pPr>
            <w:r w:rsidRPr="005759E7">
              <w:rPr>
                <w:rFonts w:cs="Arial"/>
                <w:szCs w:val="20"/>
              </w:rPr>
              <w:t>600 MHz (617</w:t>
            </w:r>
            <w:r w:rsidR="00C94652" w:rsidRPr="005759E7">
              <w:rPr>
                <w:rFonts w:cs="Arial"/>
                <w:szCs w:val="20"/>
              </w:rPr>
              <w:t>–</w:t>
            </w:r>
            <w:r w:rsidRPr="005759E7">
              <w:rPr>
                <w:rFonts w:cs="Arial"/>
                <w:szCs w:val="20"/>
              </w:rPr>
              <w:t>698)</w:t>
            </w:r>
          </w:p>
          <w:p w14:paraId="009AA845" w14:textId="77777777" w:rsidR="009116B7" w:rsidRPr="005759E7" w:rsidRDefault="009116B7" w:rsidP="005759E7">
            <w:pPr>
              <w:pStyle w:val="TableBody"/>
              <w:spacing w:after="120"/>
              <w:rPr>
                <w:rFonts w:cs="Arial"/>
                <w:szCs w:val="20"/>
              </w:rPr>
            </w:pPr>
            <w:r w:rsidRPr="005759E7">
              <w:rPr>
                <w:rFonts w:cs="Arial"/>
                <w:szCs w:val="20"/>
              </w:rPr>
              <w:t>3.3 GHz (3300</w:t>
            </w:r>
            <w:r w:rsidR="00C94652" w:rsidRPr="005759E7">
              <w:rPr>
                <w:rFonts w:cs="Arial"/>
                <w:szCs w:val="20"/>
              </w:rPr>
              <w:t>–</w:t>
            </w:r>
            <w:r w:rsidRPr="005759E7">
              <w:rPr>
                <w:rFonts w:cs="Arial"/>
                <w:szCs w:val="20"/>
              </w:rPr>
              <w:t>3400)</w:t>
            </w:r>
          </w:p>
          <w:p w14:paraId="483613AA" w14:textId="77777777" w:rsidR="009116B7" w:rsidRPr="005759E7" w:rsidRDefault="009116B7" w:rsidP="005759E7">
            <w:pPr>
              <w:pStyle w:val="TableBody"/>
              <w:spacing w:after="120"/>
              <w:rPr>
                <w:rFonts w:cs="Arial"/>
                <w:szCs w:val="20"/>
              </w:rPr>
            </w:pPr>
            <w:r w:rsidRPr="005759E7">
              <w:rPr>
                <w:rFonts w:cs="Arial"/>
                <w:szCs w:val="20"/>
              </w:rPr>
              <w:t>3.8 GHz (3700</w:t>
            </w:r>
            <w:r w:rsidR="00C94652" w:rsidRPr="005759E7">
              <w:rPr>
                <w:rFonts w:cs="Arial"/>
                <w:szCs w:val="20"/>
              </w:rPr>
              <w:t>–</w:t>
            </w:r>
            <w:r w:rsidRPr="005759E7">
              <w:rPr>
                <w:rFonts w:cs="Arial"/>
                <w:szCs w:val="20"/>
              </w:rPr>
              <w:t>4200)</w:t>
            </w:r>
          </w:p>
          <w:p w14:paraId="5D9D4E3A" w14:textId="77777777" w:rsidR="009116B7" w:rsidRPr="005759E7" w:rsidRDefault="009116B7" w:rsidP="005759E7">
            <w:pPr>
              <w:pStyle w:val="TableBody"/>
              <w:spacing w:after="120"/>
              <w:rPr>
                <w:rFonts w:cs="Arial"/>
                <w:szCs w:val="20"/>
              </w:rPr>
            </w:pPr>
            <w:r w:rsidRPr="005759E7">
              <w:rPr>
                <w:rFonts w:cs="Arial"/>
                <w:szCs w:val="20"/>
              </w:rPr>
              <w:t>4.5 G</w:t>
            </w:r>
            <w:r w:rsidR="00786A4A">
              <w:rPr>
                <w:rFonts w:cs="Arial"/>
                <w:szCs w:val="20"/>
              </w:rPr>
              <w:t>H</w:t>
            </w:r>
            <w:r w:rsidRPr="005759E7">
              <w:rPr>
                <w:rFonts w:cs="Arial"/>
                <w:szCs w:val="20"/>
              </w:rPr>
              <w:t>z (4400</w:t>
            </w:r>
            <w:r w:rsidR="00C94652" w:rsidRPr="005759E7">
              <w:rPr>
                <w:rFonts w:cs="Arial"/>
                <w:szCs w:val="20"/>
              </w:rPr>
              <w:t>–</w:t>
            </w:r>
            <w:r w:rsidRPr="005759E7">
              <w:rPr>
                <w:rFonts w:cs="Arial"/>
                <w:szCs w:val="20"/>
              </w:rPr>
              <w:t>4500)</w:t>
            </w:r>
          </w:p>
          <w:p w14:paraId="76CEFAD5" w14:textId="77777777" w:rsidR="009116B7" w:rsidRPr="005759E7" w:rsidRDefault="009116B7" w:rsidP="005759E7">
            <w:pPr>
              <w:pStyle w:val="TableBody"/>
              <w:spacing w:after="120"/>
              <w:rPr>
                <w:rFonts w:cs="Arial"/>
                <w:szCs w:val="20"/>
              </w:rPr>
            </w:pPr>
            <w:r w:rsidRPr="005759E7">
              <w:rPr>
                <w:rFonts w:cs="Arial"/>
                <w:szCs w:val="20"/>
              </w:rPr>
              <w:t>4.8 GHz (4800</w:t>
            </w:r>
            <w:r w:rsidR="00C94652" w:rsidRPr="005759E7">
              <w:rPr>
                <w:rFonts w:cs="Arial"/>
                <w:szCs w:val="20"/>
              </w:rPr>
              <w:t>–</w:t>
            </w:r>
            <w:r w:rsidRPr="005759E7">
              <w:rPr>
                <w:rFonts w:cs="Arial"/>
                <w:szCs w:val="20"/>
              </w:rPr>
              <w:t>4990)</w:t>
            </w:r>
          </w:p>
          <w:p w14:paraId="7D79AF91" w14:textId="77777777" w:rsidR="009116B7" w:rsidRPr="005759E7" w:rsidRDefault="009116B7" w:rsidP="005759E7">
            <w:pPr>
              <w:pStyle w:val="TableBody"/>
              <w:spacing w:after="120"/>
              <w:rPr>
                <w:rFonts w:cs="Arial"/>
                <w:szCs w:val="20"/>
              </w:rPr>
            </w:pPr>
            <w:r w:rsidRPr="005759E7">
              <w:rPr>
                <w:rFonts w:cs="Arial"/>
                <w:szCs w:val="20"/>
              </w:rPr>
              <w:t>Bands under study at WRC-19 agenda items 1.16 and 1.13</w:t>
            </w:r>
          </w:p>
          <w:p w14:paraId="405146FC" w14:textId="77777777" w:rsidR="009116B7" w:rsidRPr="005759E7" w:rsidRDefault="009116B7" w:rsidP="00BE6916">
            <w:pPr>
              <w:pStyle w:val="TableBody"/>
              <w:spacing w:after="120"/>
              <w:rPr>
                <w:rFonts w:cs="Arial"/>
                <w:szCs w:val="20"/>
              </w:rPr>
            </w:pPr>
            <w:r w:rsidRPr="005759E7">
              <w:rPr>
                <w:rFonts w:cs="Arial"/>
                <w:szCs w:val="20"/>
              </w:rPr>
              <w:t>5G bands considered internationally other than under WRC-19 1.13</w:t>
            </w:r>
          </w:p>
          <w:p w14:paraId="091D0E63" w14:textId="77777777" w:rsidR="00842CA1" w:rsidRPr="005759E7" w:rsidRDefault="00842CA1">
            <w:pPr>
              <w:pStyle w:val="TableBody"/>
              <w:rPr>
                <w:rFonts w:cs="Arial"/>
                <w:szCs w:val="20"/>
              </w:rPr>
            </w:pPr>
            <w:r w:rsidRPr="005759E7">
              <w:rPr>
                <w:rFonts w:cs="Arial"/>
                <w:szCs w:val="20"/>
              </w:rPr>
              <w:t>40</w:t>
            </w:r>
            <w:r w:rsidR="00C94652" w:rsidRPr="005759E7">
              <w:rPr>
                <w:rFonts w:cs="Arial"/>
                <w:szCs w:val="20"/>
              </w:rPr>
              <w:t>–</w:t>
            </w:r>
            <w:r w:rsidRPr="005759E7">
              <w:rPr>
                <w:rFonts w:cs="Arial"/>
                <w:szCs w:val="20"/>
              </w:rPr>
              <w:t xml:space="preserve">50 GHz </w:t>
            </w:r>
          </w:p>
        </w:tc>
        <w:tc>
          <w:tcPr>
            <w:tcW w:w="2330" w:type="pct"/>
          </w:tcPr>
          <w:p w14:paraId="3ABDA177" w14:textId="77777777" w:rsidR="009116B7" w:rsidRPr="005759E7" w:rsidRDefault="00F57787">
            <w:pPr>
              <w:pStyle w:val="TableBody"/>
              <w:rPr>
                <w:rFonts w:cs="Arial"/>
                <w:szCs w:val="20"/>
              </w:rPr>
            </w:pPr>
            <w:r w:rsidRPr="005759E7">
              <w:rPr>
                <w:rFonts w:cs="Arial"/>
                <w:szCs w:val="20"/>
              </w:rPr>
              <w:t>Continue to</w:t>
            </w:r>
            <w:r w:rsidR="009116B7" w:rsidRPr="005759E7">
              <w:rPr>
                <w:rFonts w:cs="Arial"/>
                <w:szCs w:val="20"/>
              </w:rPr>
              <w:t xml:space="preserve"> monitor domestic and international developments in these bands to identify usage trends</w:t>
            </w:r>
          </w:p>
        </w:tc>
      </w:tr>
      <w:tr w:rsidR="009116B7" w:rsidRPr="006D46E5" w14:paraId="074A1618" w14:textId="77777777" w:rsidTr="005423CD">
        <w:tc>
          <w:tcPr>
            <w:tcW w:w="1100" w:type="pct"/>
            <w:shd w:val="clear" w:color="auto" w:fill="F2F2F2" w:themeFill="background1" w:themeFillShade="F2"/>
          </w:tcPr>
          <w:p w14:paraId="3F2954A5" w14:textId="77777777" w:rsidR="009116B7" w:rsidRPr="005759E7" w:rsidRDefault="009116B7" w:rsidP="0027128C">
            <w:pPr>
              <w:pStyle w:val="TableBody"/>
              <w:rPr>
                <w:rFonts w:cs="Arial"/>
                <w:szCs w:val="20"/>
              </w:rPr>
            </w:pPr>
            <w:r w:rsidRPr="005759E7">
              <w:rPr>
                <w:rFonts w:cs="Arial"/>
                <w:szCs w:val="20"/>
              </w:rPr>
              <w:t>Initial investigation</w:t>
            </w:r>
          </w:p>
        </w:tc>
        <w:tc>
          <w:tcPr>
            <w:tcW w:w="1570" w:type="pct"/>
            <w:shd w:val="clear" w:color="auto" w:fill="F2F2F2" w:themeFill="background1" w:themeFillShade="F2"/>
          </w:tcPr>
          <w:p w14:paraId="2FA11648" w14:textId="77777777" w:rsidR="009116B7" w:rsidRPr="005759E7" w:rsidRDefault="009116B7" w:rsidP="005759E7">
            <w:pPr>
              <w:pStyle w:val="TableBody"/>
              <w:spacing w:after="120"/>
              <w:rPr>
                <w:rFonts w:cs="Arial"/>
                <w:szCs w:val="20"/>
              </w:rPr>
            </w:pPr>
            <w:r w:rsidRPr="005759E7">
              <w:rPr>
                <w:rFonts w:cs="Arial"/>
                <w:szCs w:val="20"/>
              </w:rPr>
              <w:t>2</w:t>
            </w:r>
            <w:r w:rsidR="00A403B2">
              <w:rPr>
                <w:rFonts w:cs="Arial"/>
                <w:szCs w:val="20"/>
              </w:rPr>
              <w:t xml:space="preserve"> </w:t>
            </w:r>
            <w:r w:rsidRPr="005759E7">
              <w:rPr>
                <w:rFonts w:cs="Arial"/>
                <w:szCs w:val="20"/>
              </w:rPr>
              <w:t>GHz (1980</w:t>
            </w:r>
            <w:r w:rsidR="00C94652" w:rsidRPr="005759E7">
              <w:rPr>
                <w:rFonts w:cs="Arial"/>
                <w:szCs w:val="20"/>
              </w:rPr>
              <w:t>–</w:t>
            </w:r>
            <w:r w:rsidRPr="005759E7">
              <w:rPr>
                <w:rFonts w:cs="Arial"/>
                <w:szCs w:val="20"/>
              </w:rPr>
              <w:t>2010 and 2170</w:t>
            </w:r>
            <w:r w:rsidR="00C94652" w:rsidRPr="005759E7">
              <w:rPr>
                <w:rFonts w:cs="Arial"/>
                <w:szCs w:val="20"/>
              </w:rPr>
              <w:t>–</w:t>
            </w:r>
            <w:r w:rsidRPr="005759E7">
              <w:rPr>
                <w:rFonts w:cs="Arial"/>
                <w:szCs w:val="20"/>
              </w:rPr>
              <w:t>2200 MHz)</w:t>
            </w:r>
          </w:p>
          <w:p w14:paraId="51E0A7EA" w14:textId="77777777" w:rsidR="00842CA1" w:rsidRPr="005759E7" w:rsidRDefault="009116B7" w:rsidP="002B2257">
            <w:pPr>
              <w:pStyle w:val="TableBody"/>
              <w:spacing w:after="400"/>
              <w:rPr>
                <w:rFonts w:cs="Arial"/>
                <w:szCs w:val="20"/>
              </w:rPr>
            </w:pPr>
            <w:r w:rsidRPr="005759E7">
              <w:rPr>
                <w:rFonts w:cs="Arial"/>
                <w:szCs w:val="20"/>
              </w:rPr>
              <w:t>28 GHz (27.5</w:t>
            </w:r>
            <w:r w:rsidR="00C94652" w:rsidRPr="005759E7">
              <w:rPr>
                <w:rFonts w:cs="Arial"/>
                <w:szCs w:val="20"/>
              </w:rPr>
              <w:t>–</w:t>
            </w:r>
            <w:r w:rsidRPr="005759E7">
              <w:rPr>
                <w:rFonts w:cs="Arial"/>
                <w:szCs w:val="20"/>
              </w:rPr>
              <w:t>29.5</w:t>
            </w:r>
            <w:r w:rsidR="00786A4A">
              <w:rPr>
                <w:rFonts w:cs="Arial"/>
                <w:szCs w:val="20"/>
              </w:rPr>
              <w:t> </w:t>
            </w:r>
            <w:r w:rsidRPr="005759E7">
              <w:rPr>
                <w:rFonts w:cs="Arial"/>
                <w:szCs w:val="20"/>
              </w:rPr>
              <w:t>GHz)</w:t>
            </w:r>
          </w:p>
          <w:p w14:paraId="32969B18" w14:textId="77777777" w:rsidR="00842CA1" w:rsidRPr="005759E7" w:rsidRDefault="00842CA1">
            <w:pPr>
              <w:spacing w:after="0" w:line="240" w:lineRule="auto"/>
              <w:rPr>
                <w:szCs w:val="20"/>
              </w:rPr>
            </w:pPr>
            <w:r w:rsidRPr="005759E7">
              <w:rPr>
                <w:szCs w:val="20"/>
              </w:rPr>
              <w:t>Extended MSS L band</w:t>
            </w:r>
          </w:p>
          <w:p w14:paraId="56C8AE73" w14:textId="77777777" w:rsidR="009116B7" w:rsidRPr="005759E7" w:rsidRDefault="00842CA1">
            <w:pPr>
              <w:pStyle w:val="TableBody"/>
              <w:rPr>
                <w:rFonts w:cs="Arial"/>
                <w:szCs w:val="20"/>
              </w:rPr>
            </w:pPr>
            <w:r w:rsidRPr="005759E7">
              <w:rPr>
                <w:szCs w:val="20"/>
              </w:rPr>
              <w:t>(1518</w:t>
            </w:r>
            <w:r w:rsidR="00C94652" w:rsidRPr="005759E7">
              <w:rPr>
                <w:szCs w:val="20"/>
              </w:rPr>
              <w:t>–</w:t>
            </w:r>
            <w:r w:rsidRPr="005759E7">
              <w:rPr>
                <w:szCs w:val="20"/>
              </w:rPr>
              <w:t>1525 and 1668</w:t>
            </w:r>
            <w:r w:rsidR="00C94652" w:rsidRPr="005759E7">
              <w:rPr>
                <w:szCs w:val="20"/>
              </w:rPr>
              <w:t>–</w:t>
            </w:r>
            <w:r w:rsidRPr="005759E7">
              <w:rPr>
                <w:szCs w:val="20"/>
              </w:rPr>
              <w:t>1675 MHz)</w:t>
            </w:r>
          </w:p>
        </w:tc>
        <w:tc>
          <w:tcPr>
            <w:tcW w:w="2330" w:type="pct"/>
            <w:shd w:val="clear" w:color="auto" w:fill="F2F2F2" w:themeFill="background1" w:themeFillShade="F2"/>
          </w:tcPr>
          <w:p w14:paraId="6BD95D99" w14:textId="77777777" w:rsidR="009116B7" w:rsidRPr="005759E7" w:rsidRDefault="009116B7" w:rsidP="005759E7">
            <w:pPr>
              <w:pStyle w:val="TableBody"/>
              <w:spacing w:after="120"/>
              <w:rPr>
                <w:rFonts w:cs="Arial"/>
                <w:szCs w:val="20"/>
              </w:rPr>
            </w:pPr>
            <w:r w:rsidRPr="005759E7">
              <w:rPr>
                <w:rFonts w:cs="Arial"/>
                <w:szCs w:val="20"/>
              </w:rPr>
              <w:t>Further consideration of work on this band deferred until 2019</w:t>
            </w:r>
            <w:r w:rsidR="00C94652" w:rsidRPr="005759E7">
              <w:rPr>
                <w:rFonts w:cs="Arial"/>
                <w:szCs w:val="20"/>
              </w:rPr>
              <w:t>–</w:t>
            </w:r>
            <w:r w:rsidRPr="005759E7">
              <w:rPr>
                <w:rFonts w:cs="Arial"/>
                <w:szCs w:val="20"/>
              </w:rPr>
              <w:t xml:space="preserve">20 </w:t>
            </w:r>
          </w:p>
          <w:p w14:paraId="0CE89F09" w14:textId="77777777" w:rsidR="009116B7" w:rsidRPr="005759E7" w:rsidRDefault="009116B7" w:rsidP="005759E7">
            <w:pPr>
              <w:pStyle w:val="TableBody"/>
              <w:spacing w:after="120"/>
              <w:rPr>
                <w:rFonts w:cs="Arial"/>
                <w:szCs w:val="20"/>
              </w:rPr>
            </w:pPr>
            <w:r w:rsidRPr="005759E7">
              <w:rPr>
                <w:rFonts w:cs="Arial"/>
                <w:szCs w:val="20"/>
              </w:rPr>
              <w:t>Q1</w:t>
            </w:r>
            <w:r w:rsidR="00DA7873">
              <w:rPr>
                <w:rFonts w:cs="Arial"/>
                <w:szCs w:val="20"/>
              </w:rPr>
              <w:t>:</w:t>
            </w:r>
            <w:r w:rsidRPr="005759E7">
              <w:rPr>
                <w:rFonts w:cs="Arial"/>
                <w:szCs w:val="20"/>
              </w:rPr>
              <w:t xml:space="preserve"> </w:t>
            </w:r>
            <w:r w:rsidR="00F57787" w:rsidRPr="005759E7">
              <w:rPr>
                <w:rFonts w:cs="Arial"/>
                <w:szCs w:val="20"/>
              </w:rPr>
              <w:t>C</w:t>
            </w:r>
            <w:r w:rsidRPr="005759E7">
              <w:rPr>
                <w:rFonts w:cs="Arial"/>
                <w:szCs w:val="20"/>
              </w:rPr>
              <w:t>onsult on proposals for apparatus licensed fixed wireless broadband use outside metro areas</w:t>
            </w:r>
          </w:p>
          <w:p w14:paraId="5329D7D6" w14:textId="77777777" w:rsidR="00842CA1" w:rsidRPr="005759E7" w:rsidRDefault="00727C16" w:rsidP="00786A4A">
            <w:pPr>
              <w:pStyle w:val="TableBody"/>
              <w:rPr>
                <w:rFonts w:cs="Arial"/>
                <w:szCs w:val="20"/>
              </w:rPr>
            </w:pPr>
            <w:r w:rsidRPr="005759E7">
              <w:rPr>
                <w:szCs w:val="20"/>
              </w:rPr>
              <w:t>Q3</w:t>
            </w:r>
            <w:r w:rsidR="00C94652" w:rsidRPr="005759E7">
              <w:rPr>
                <w:szCs w:val="20"/>
              </w:rPr>
              <w:t>–</w:t>
            </w:r>
            <w:r w:rsidRPr="005759E7">
              <w:rPr>
                <w:szCs w:val="20"/>
              </w:rPr>
              <w:t>4</w:t>
            </w:r>
            <w:r w:rsidR="00DA7873">
              <w:rPr>
                <w:szCs w:val="20"/>
              </w:rPr>
              <w:t>:</w:t>
            </w:r>
            <w:r w:rsidRPr="005759E7">
              <w:rPr>
                <w:szCs w:val="20"/>
              </w:rPr>
              <w:t xml:space="preserve"> </w:t>
            </w:r>
            <w:r w:rsidR="00F57787" w:rsidRPr="005759E7">
              <w:rPr>
                <w:szCs w:val="20"/>
              </w:rPr>
              <w:t>R</w:t>
            </w:r>
            <w:r w:rsidR="00842CA1" w:rsidRPr="005759E7">
              <w:rPr>
                <w:szCs w:val="20"/>
              </w:rPr>
              <w:t>eview of the extended MSS L band</w:t>
            </w:r>
            <w:r w:rsidRPr="005759E7">
              <w:rPr>
                <w:szCs w:val="20"/>
              </w:rPr>
              <w:t>, simultaneously with</w:t>
            </w:r>
            <w:r w:rsidR="00842CA1" w:rsidRPr="005759E7">
              <w:rPr>
                <w:szCs w:val="20"/>
              </w:rPr>
              <w:t xml:space="preserve"> the 1.5</w:t>
            </w:r>
            <w:r w:rsidR="00786A4A">
              <w:rPr>
                <w:szCs w:val="20"/>
              </w:rPr>
              <w:t> </w:t>
            </w:r>
            <w:r w:rsidR="00842CA1" w:rsidRPr="005759E7">
              <w:rPr>
                <w:szCs w:val="20"/>
              </w:rPr>
              <w:t>GHz band</w:t>
            </w:r>
            <w:r w:rsidRPr="005759E7">
              <w:rPr>
                <w:szCs w:val="20"/>
              </w:rPr>
              <w:t xml:space="preserve"> preliminary replanning noted below</w:t>
            </w:r>
          </w:p>
        </w:tc>
      </w:tr>
      <w:tr w:rsidR="009116B7" w:rsidRPr="006D46E5" w14:paraId="34971CC5" w14:textId="77777777" w:rsidTr="005423CD">
        <w:tc>
          <w:tcPr>
            <w:tcW w:w="1100" w:type="pct"/>
            <w:shd w:val="clear" w:color="auto" w:fill="auto"/>
          </w:tcPr>
          <w:p w14:paraId="403E5908" w14:textId="77777777" w:rsidR="009116B7" w:rsidRPr="005759E7" w:rsidRDefault="009116B7" w:rsidP="0027128C">
            <w:pPr>
              <w:pStyle w:val="TableBody"/>
              <w:rPr>
                <w:rFonts w:cs="Arial"/>
                <w:szCs w:val="20"/>
              </w:rPr>
            </w:pPr>
            <w:r w:rsidRPr="005759E7">
              <w:rPr>
                <w:rFonts w:cs="Arial"/>
                <w:szCs w:val="20"/>
              </w:rPr>
              <w:t>Preliminary replanning</w:t>
            </w:r>
          </w:p>
        </w:tc>
        <w:tc>
          <w:tcPr>
            <w:tcW w:w="1570" w:type="pct"/>
            <w:shd w:val="clear" w:color="auto" w:fill="auto"/>
          </w:tcPr>
          <w:p w14:paraId="32EA583B" w14:textId="77777777" w:rsidR="009116B7" w:rsidRPr="005759E7" w:rsidRDefault="009116B7" w:rsidP="005759E7">
            <w:pPr>
              <w:pStyle w:val="TableBody"/>
              <w:spacing w:after="360"/>
              <w:rPr>
                <w:rFonts w:cs="Arial"/>
                <w:szCs w:val="20"/>
              </w:rPr>
            </w:pPr>
            <w:r w:rsidRPr="005759E7">
              <w:rPr>
                <w:rFonts w:cs="Arial"/>
                <w:szCs w:val="20"/>
              </w:rPr>
              <w:t>26 GHz (24.25</w:t>
            </w:r>
            <w:r w:rsidR="00F57787" w:rsidRPr="005759E7">
              <w:rPr>
                <w:rFonts w:cs="Arial"/>
                <w:szCs w:val="20"/>
              </w:rPr>
              <w:t>–</w:t>
            </w:r>
            <w:r w:rsidRPr="005759E7">
              <w:rPr>
                <w:rFonts w:cs="Arial"/>
                <w:szCs w:val="20"/>
              </w:rPr>
              <w:t>27.5 GHz)</w:t>
            </w:r>
          </w:p>
          <w:p w14:paraId="63479E7B" w14:textId="77777777" w:rsidR="009116B7" w:rsidRPr="005759E7" w:rsidRDefault="009116B7">
            <w:pPr>
              <w:pStyle w:val="TableBody"/>
              <w:rPr>
                <w:rFonts w:cs="Arial"/>
                <w:szCs w:val="20"/>
              </w:rPr>
            </w:pPr>
            <w:r w:rsidRPr="005759E7">
              <w:rPr>
                <w:rFonts w:cs="Arial"/>
                <w:szCs w:val="20"/>
              </w:rPr>
              <w:t>1.5 GHz (1427</w:t>
            </w:r>
            <w:r w:rsidR="00F57787" w:rsidRPr="005759E7">
              <w:rPr>
                <w:rFonts w:cs="Arial"/>
                <w:szCs w:val="20"/>
              </w:rPr>
              <w:t>–</w:t>
            </w:r>
            <w:r w:rsidRPr="005759E7">
              <w:rPr>
                <w:rFonts w:cs="Arial"/>
                <w:szCs w:val="20"/>
              </w:rPr>
              <w:t>1518 MHz)</w:t>
            </w:r>
          </w:p>
        </w:tc>
        <w:tc>
          <w:tcPr>
            <w:tcW w:w="2330" w:type="pct"/>
            <w:shd w:val="clear" w:color="auto" w:fill="auto"/>
          </w:tcPr>
          <w:p w14:paraId="4D97C6B9" w14:textId="77777777" w:rsidR="009116B7" w:rsidRPr="005759E7" w:rsidRDefault="009116B7" w:rsidP="005759E7">
            <w:pPr>
              <w:pStyle w:val="TableBody"/>
              <w:spacing w:after="120"/>
              <w:rPr>
                <w:rFonts w:cs="Arial"/>
                <w:szCs w:val="20"/>
              </w:rPr>
            </w:pPr>
            <w:r w:rsidRPr="005759E7">
              <w:rPr>
                <w:rFonts w:cs="Arial"/>
                <w:szCs w:val="20"/>
              </w:rPr>
              <w:t>Q1</w:t>
            </w:r>
            <w:r w:rsidR="00DA7873">
              <w:rPr>
                <w:rFonts w:cs="Arial"/>
                <w:szCs w:val="20"/>
              </w:rPr>
              <w:t>:</w:t>
            </w:r>
            <w:r w:rsidRPr="005759E7">
              <w:rPr>
                <w:rFonts w:cs="Arial"/>
                <w:szCs w:val="20"/>
              </w:rPr>
              <w:t xml:space="preserve"> Consult on detailed frequency,</w:t>
            </w:r>
            <w:r w:rsidR="00FC6AAE" w:rsidRPr="005759E7">
              <w:rPr>
                <w:rFonts w:cs="Arial"/>
                <w:szCs w:val="20"/>
              </w:rPr>
              <w:t xml:space="preserve"> </w:t>
            </w:r>
            <w:r w:rsidRPr="005759E7">
              <w:rPr>
                <w:rFonts w:cs="Arial"/>
                <w:szCs w:val="20"/>
              </w:rPr>
              <w:t xml:space="preserve">area and licensing configuration options </w:t>
            </w:r>
          </w:p>
          <w:p w14:paraId="52AF9294" w14:textId="77777777" w:rsidR="009116B7" w:rsidRPr="005759E7" w:rsidRDefault="009116B7">
            <w:pPr>
              <w:pStyle w:val="TableBody"/>
              <w:rPr>
                <w:rFonts w:cs="Arial"/>
                <w:szCs w:val="20"/>
              </w:rPr>
            </w:pPr>
            <w:r w:rsidRPr="005759E7">
              <w:rPr>
                <w:rFonts w:cs="Arial"/>
                <w:szCs w:val="20"/>
              </w:rPr>
              <w:t>Q3</w:t>
            </w:r>
            <w:r w:rsidR="00DA7873">
              <w:rPr>
                <w:rFonts w:cs="Arial"/>
                <w:szCs w:val="20"/>
              </w:rPr>
              <w:t>–</w:t>
            </w:r>
            <w:r w:rsidRPr="005759E7">
              <w:rPr>
                <w:rFonts w:cs="Arial"/>
                <w:szCs w:val="20"/>
              </w:rPr>
              <w:t>4</w:t>
            </w:r>
            <w:r w:rsidR="00DA7873">
              <w:rPr>
                <w:rFonts w:cs="Arial"/>
                <w:szCs w:val="20"/>
              </w:rPr>
              <w:t>:</w:t>
            </w:r>
            <w:r w:rsidRPr="005759E7">
              <w:rPr>
                <w:rFonts w:cs="Arial"/>
                <w:szCs w:val="20"/>
              </w:rPr>
              <w:t xml:space="preserve"> Recommence consideration of band for mobile broadband use</w:t>
            </w:r>
          </w:p>
        </w:tc>
      </w:tr>
      <w:tr w:rsidR="009116B7" w:rsidRPr="006D46E5" w14:paraId="59749CA1" w14:textId="77777777" w:rsidTr="005423CD">
        <w:tc>
          <w:tcPr>
            <w:tcW w:w="1100" w:type="pct"/>
            <w:shd w:val="clear" w:color="auto" w:fill="F2F2F2" w:themeFill="background1" w:themeFillShade="F2"/>
          </w:tcPr>
          <w:p w14:paraId="243785B7" w14:textId="77777777" w:rsidR="009116B7" w:rsidRPr="005759E7" w:rsidRDefault="009116B7" w:rsidP="00205F9D">
            <w:pPr>
              <w:pStyle w:val="TableBody"/>
              <w:rPr>
                <w:rFonts w:cs="Arial"/>
                <w:szCs w:val="20"/>
              </w:rPr>
            </w:pPr>
            <w:r w:rsidRPr="005759E7">
              <w:rPr>
                <w:rFonts w:cs="Arial"/>
                <w:szCs w:val="20"/>
              </w:rPr>
              <w:lastRenderedPageBreak/>
              <w:t>Re</w:t>
            </w:r>
            <w:r w:rsidR="002B2257">
              <w:rPr>
                <w:rFonts w:cs="Arial"/>
                <w:szCs w:val="20"/>
              </w:rPr>
              <w:t>-</w:t>
            </w:r>
            <w:r w:rsidR="00205F9D">
              <w:rPr>
                <w:rFonts w:cs="Arial"/>
                <w:szCs w:val="20"/>
              </w:rPr>
              <w:t>planning</w:t>
            </w:r>
          </w:p>
        </w:tc>
        <w:tc>
          <w:tcPr>
            <w:tcW w:w="1570" w:type="pct"/>
            <w:shd w:val="clear" w:color="auto" w:fill="F2F2F2" w:themeFill="background1" w:themeFillShade="F2"/>
          </w:tcPr>
          <w:p w14:paraId="01117049" w14:textId="77777777" w:rsidR="009116B7" w:rsidRPr="005759E7" w:rsidRDefault="009116B7" w:rsidP="002B2257">
            <w:pPr>
              <w:pStyle w:val="TableBody"/>
              <w:spacing w:after="1080"/>
              <w:rPr>
                <w:rFonts w:cs="Arial"/>
                <w:szCs w:val="20"/>
              </w:rPr>
            </w:pPr>
            <w:r w:rsidRPr="005759E7">
              <w:rPr>
                <w:rFonts w:cs="Arial"/>
                <w:szCs w:val="20"/>
              </w:rPr>
              <w:t>3.6 GHz</w:t>
            </w:r>
            <w:r w:rsidR="00205F9D">
              <w:rPr>
                <w:rFonts w:cs="Arial"/>
                <w:szCs w:val="20"/>
              </w:rPr>
              <w:t xml:space="preserve"> </w:t>
            </w:r>
            <w:r w:rsidR="001A5088">
              <w:rPr>
                <w:rFonts w:cs="Arial"/>
                <w:szCs w:val="20"/>
              </w:rPr>
              <w:t xml:space="preserve">with </w:t>
            </w:r>
            <w:r w:rsidR="00205F9D">
              <w:rPr>
                <w:rFonts w:cs="Arial"/>
                <w:szCs w:val="20"/>
              </w:rPr>
              <w:t>5.6 GHz</w:t>
            </w:r>
          </w:p>
          <w:p w14:paraId="150D59D8" w14:textId="77777777" w:rsidR="009116B7" w:rsidRPr="005759E7" w:rsidRDefault="009116B7" w:rsidP="002B2257">
            <w:pPr>
              <w:pStyle w:val="TableBody"/>
              <w:spacing w:after="560"/>
              <w:rPr>
                <w:rFonts w:cs="Arial"/>
                <w:szCs w:val="20"/>
              </w:rPr>
            </w:pPr>
            <w:r w:rsidRPr="005759E7">
              <w:rPr>
                <w:rFonts w:cs="Arial"/>
                <w:szCs w:val="20"/>
              </w:rPr>
              <w:t>850 MHz expansion band (809</w:t>
            </w:r>
            <w:r w:rsidR="00F57787" w:rsidRPr="005759E7">
              <w:rPr>
                <w:rFonts w:cs="Arial"/>
                <w:szCs w:val="20"/>
              </w:rPr>
              <w:t>–</w:t>
            </w:r>
            <w:r w:rsidRPr="005759E7">
              <w:rPr>
                <w:rFonts w:cs="Arial"/>
                <w:szCs w:val="20"/>
              </w:rPr>
              <w:t>824 MHz and 854</w:t>
            </w:r>
            <w:r w:rsidR="00F57787" w:rsidRPr="005759E7">
              <w:rPr>
                <w:rFonts w:cs="Arial"/>
                <w:szCs w:val="20"/>
              </w:rPr>
              <w:t>–</w:t>
            </w:r>
            <w:r w:rsidRPr="005759E7">
              <w:rPr>
                <w:rFonts w:cs="Arial"/>
                <w:szCs w:val="20"/>
              </w:rPr>
              <w:t>869 MHz)</w:t>
            </w:r>
          </w:p>
          <w:p w14:paraId="3C3C6539" w14:textId="77777777" w:rsidR="00E064B5" w:rsidRDefault="00E064B5">
            <w:pPr>
              <w:pStyle w:val="TableBody"/>
              <w:rPr>
                <w:rFonts w:cs="Arial"/>
                <w:szCs w:val="20"/>
              </w:rPr>
            </w:pPr>
          </w:p>
          <w:p w14:paraId="7404120F" w14:textId="77777777" w:rsidR="00E064B5" w:rsidRDefault="00E064B5">
            <w:pPr>
              <w:pStyle w:val="TableBody"/>
              <w:rPr>
                <w:rFonts w:cs="Arial"/>
                <w:szCs w:val="20"/>
              </w:rPr>
            </w:pPr>
          </w:p>
          <w:p w14:paraId="5B35C395" w14:textId="77777777" w:rsidR="009116B7" w:rsidRPr="005759E7" w:rsidRDefault="009116B7">
            <w:pPr>
              <w:pStyle w:val="TableBody"/>
              <w:rPr>
                <w:rFonts w:cs="Arial"/>
                <w:szCs w:val="20"/>
              </w:rPr>
            </w:pPr>
            <w:r w:rsidRPr="005759E7">
              <w:rPr>
                <w:rFonts w:cs="Arial"/>
                <w:szCs w:val="20"/>
              </w:rPr>
              <w:t>900 MHz (890</w:t>
            </w:r>
            <w:r w:rsidR="00F57787" w:rsidRPr="005759E7">
              <w:rPr>
                <w:rFonts w:cs="Arial"/>
                <w:szCs w:val="20"/>
              </w:rPr>
              <w:t>–</w:t>
            </w:r>
            <w:r w:rsidRPr="005759E7">
              <w:rPr>
                <w:rFonts w:cs="Arial"/>
                <w:szCs w:val="20"/>
              </w:rPr>
              <w:t>915 M</w:t>
            </w:r>
            <w:r w:rsidR="00CE2B49" w:rsidRPr="005759E7">
              <w:rPr>
                <w:rFonts w:cs="Arial"/>
                <w:szCs w:val="20"/>
              </w:rPr>
              <w:t>H</w:t>
            </w:r>
            <w:r w:rsidRPr="005759E7">
              <w:rPr>
                <w:rFonts w:cs="Arial"/>
                <w:szCs w:val="20"/>
              </w:rPr>
              <w:t>z and 935</w:t>
            </w:r>
            <w:r w:rsidR="00F57787" w:rsidRPr="005759E7">
              <w:rPr>
                <w:rFonts w:cs="Arial"/>
                <w:szCs w:val="20"/>
              </w:rPr>
              <w:t>–</w:t>
            </w:r>
            <w:r w:rsidRPr="005759E7">
              <w:rPr>
                <w:rFonts w:cs="Arial"/>
                <w:szCs w:val="20"/>
              </w:rPr>
              <w:t>960 MHz)</w:t>
            </w:r>
          </w:p>
        </w:tc>
        <w:tc>
          <w:tcPr>
            <w:tcW w:w="2330" w:type="pct"/>
            <w:shd w:val="clear" w:color="auto" w:fill="F2F2F2" w:themeFill="background1" w:themeFillShade="F2"/>
          </w:tcPr>
          <w:p w14:paraId="389D07F7" w14:textId="77777777" w:rsidR="00842CA1" w:rsidRPr="005759E7" w:rsidRDefault="001540D8" w:rsidP="005759E7">
            <w:pPr>
              <w:pStyle w:val="TableBody"/>
              <w:spacing w:after="120"/>
              <w:rPr>
                <w:rFonts w:cs="Arial"/>
                <w:szCs w:val="20"/>
              </w:rPr>
            </w:pPr>
            <w:r>
              <w:rPr>
                <w:rFonts w:cs="Arial"/>
                <w:szCs w:val="20"/>
              </w:rPr>
              <w:t>2018–</w:t>
            </w:r>
            <w:r w:rsidR="00803392">
              <w:rPr>
                <w:rFonts w:cs="Arial"/>
                <w:szCs w:val="20"/>
              </w:rPr>
              <w:t xml:space="preserve">19: </w:t>
            </w:r>
            <w:r w:rsidR="00F57787" w:rsidRPr="005759E7">
              <w:rPr>
                <w:rFonts w:cs="Arial"/>
                <w:szCs w:val="20"/>
              </w:rPr>
              <w:t>F</w:t>
            </w:r>
            <w:r w:rsidR="00842CA1" w:rsidRPr="005759E7">
              <w:rPr>
                <w:rFonts w:cs="Arial"/>
                <w:szCs w:val="20"/>
              </w:rPr>
              <w:t>inalise proposed arrangements for transition of site</w:t>
            </w:r>
            <w:r w:rsidR="00F57787" w:rsidRPr="005759E7">
              <w:rPr>
                <w:rFonts w:cs="Arial"/>
                <w:szCs w:val="20"/>
              </w:rPr>
              <w:t>-</w:t>
            </w:r>
            <w:r w:rsidR="00842CA1" w:rsidRPr="005759E7">
              <w:rPr>
                <w:rFonts w:cs="Arial"/>
                <w:szCs w:val="20"/>
              </w:rPr>
              <w:t>based point</w:t>
            </w:r>
            <w:r w:rsidR="00F57787" w:rsidRPr="005759E7">
              <w:rPr>
                <w:rFonts w:cs="Arial"/>
                <w:szCs w:val="20"/>
              </w:rPr>
              <w:t>-</w:t>
            </w:r>
            <w:r w:rsidR="00842CA1" w:rsidRPr="005759E7">
              <w:rPr>
                <w:rFonts w:cs="Arial"/>
                <w:szCs w:val="20"/>
              </w:rPr>
              <w:t>to</w:t>
            </w:r>
            <w:r w:rsidR="00F57787" w:rsidRPr="005759E7">
              <w:rPr>
                <w:rFonts w:cs="Arial"/>
                <w:szCs w:val="20"/>
              </w:rPr>
              <w:t>-</w:t>
            </w:r>
            <w:r w:rsidR="00842CA1" w:rsidRPr="005759E7">
              <w:rPr>
                <w:rFonts w:cs="Arial"/>
                <w:szCs w:val="20"/>
              </w:rPr>
              <w:t xml:space="preserve">multipoint uses outside of metropolitan areas from the 3.6 GHz to </w:t>
            </w:r>
            <w:r w:rsidR="000B3A6E">
              <w:rPr>
                <w:rFonts w:cs="Arial"/>
                <w:szCs w:val="20"/>
              </w:rPr>
              <w:t>the</w:t>
            </w:r>
            <w:r w:rsidR="00842CA1" w:rsidRPr="005759E7">
              <w:rPr>
                <w:rFonts w:cs="Arial"/>
                <w:szCs w:val="20"/>
              </w:rPr>
              <w:t xml:space="preserve"> 5.6 GHz band </w:t>
            </w:r>
          </w:p>
          <w:p w14:paraId="7B476A97" w14:textId="77777777" w:rsidR="009116B7" w:rsidRPr="005759E7" w:rsidRDefault="009116B7" w:rsidP="005759E7">
            <w:pPr>
              <w:pStyle w:val="TableBody"/>
              <w:spacing w:after="120"/>
              <w:rPr>
                <w:rFonts w:cs="Arial"/>
                <w:szCs w:val="20"/>
              </w:rPr>
            </w:pPr>
            <w:r w:rsidRPr="005759E7">
              <w:rPr>
                <w:rFonts w:cs="Arial"/>
                <w:szCs w:val="20"/>
              </w:rPr>
              <w:t>Decision paper outlined transition milestones for incumbent services</w:t>
            </w:r>
            <w:r w:rsidR="005C5E04">
              <w:rPr>
                <w:rFonts w:cs="Arial"/>
                <w:szCs w:val="20"/>
              </w:rPr>
              <w:t xml:space="preserve"> making way for new mobile broadband</w:t>
            </w:r>
            <w:r w:rsidR="00AA2C3D">
              <w:rPr>
                <w:rFonts w:cs="Arial"/>
                <w:szCs w:val="20"/>
              </w:rPr>
              <w:t>.</w:t>
            </w:r>
            <w:r w:rsidRPr="005759E7">
              <w:rPr>
                <w:rFonts w:cs="Arial"/>
                <w:szCs w:val="20"/>
              </w:rPr>
              <w:t xml:space="preserve"> </w:t>
            </w:r>
            <w:r w:rsidR="005C5E04">
              <w:rPr>
                <w:rFonts w:cs="Arial"/>
                <w:szCs w:val="20"/>
              </w:rPr>
              <w:t xml:space="preserve">Allocation timeframes tied to </w:t>
            </w:r>
            <w:r w:rsidR="00A277D5">
              <w:rPr>
                <w:rFonts w:cs="Arial"/>
                <w:szCs w:val="20"/>
              </w:rPr>
              <w:t xml:space="preserve">those of the </w:t>
            </w:r>
            <w:r w:rsidR="005C5E04">
              <w:rPr>
                <w:rFonts w:cs="Arial"/>
                <w:szCs w:val="20"/>
              </w:rPr>
              <w:t>900 MHz band</w:t>
            </w:r>
            <w:r w:rsidR="00A277D5">
              <w:rPr>
                <w:rFonts w:cs="Arial"/>
                <w:szCs w:val="20"/>
              </w:rPr>
              <w:t xml:space="preserve"> (assuming 900 MHz is ultimately reallocated)</w:t>
            </w:r>
          </w:p>
          <w:p w14:paraId="7DD11737" w14:textId="77777777" w:rsidR="009116B7" w:rsidRPr="005759E7" w:rsidRDefault="00F57787" w:rsidP="00836444">
            <w:pPr>
              <w:pStyle w:val="TableBody"/>
              <w:rPr>
                <w:rFonts w:cs="Arial"/>
                <w:szCs w:val="20"/>
              </w:rPr>
            </w:pPr>
            <w:r w:rsidRPr="005759E7">
              <w:rPr>
                <w:rFonts w:cs="Arial"/>
                <w:szCs w:val="20"/>
              </w:rPr>
              <w:t>C</w:t>
            </w:r>
            <w:r w:rsidR="009116B7" w:rsidRPr="005759E7">
              <w:rPr>
                <w:rFonts w:cs="Arial"/>
                <w:szCs w:val="20"/>
              </w:rPr>
              <w:t>onsidering options for timing</w:t>
            </w:r>
            <w:r w:rsidR="007A3263">
              <w:rPr>
                <w:rFonts w:cs="Arial"/>
                <w:szCs w:val="20"/>
              </w:rPr>
              <w:t xml:space="preserve"> of band reorganisation, including potential</w:t>
            </w:r>
            <w:r w:rsidR="009116B7" w:rsidRPr="005759E7">
              <w:rPr>
                <w:rFonts w:cs="Arial"/>
                <w:szCs w:val="20"/>
              </w:rPr>
              <w:t xml:space="preserve"> clearance and reallocation </w:t>
            </w:r>
            <w:r w:rsidR="007A3263">
              <w:rPr>
                <w:rFonts w:cs="Arial"/>
                <w:szCs w:val="20"/>
              </w:rPr>
              <w:t>processes</w:t>
            </w:r>
          </w:p>
        </w:tc>
      </w:tr>
    </w:tbl>
    <w:p w14:paraId="69A9ABDF" w14:textId="77777777" w:rsidR="0058077F" w:rsidRDefault="0058077F" w:rsidP="005759E7">
      <w:pPr>
        <w:pStyle w:val="ACMASpaceaftertable"/>
        <w:rPr>
          <w:b/>
          <w:bCs/>
          <w:color w:val="323232"/>
          <w:szCs w:val="20"/>
        </w:rPr>
      </w:pPr>
    </w:p>
    <w:p w14:paraId="2D336C9E" w14:textId="77777777" w:rsidR="009116B7" w:rsidRDefault="009116B7" w:rsidP="0058077F">
      <w:pPr>
        <w:pStyle w:val="ACMATableHeader"/>
      </w:pPr>
      <w:r>
        <w:t>Planning</w:t>
      </w:r>
      <w:r w:rsidR="00E6326B">
        <w:t>—</w:t>
      </w:r>
      <w:r w:rsidRPr="00E6326B">
        <w:t>optimising</w:t>
      </w:r>
      <w:r>
        <w:t xml:space="preserve"> established planning frameworks.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Caption w:val="Table title to go here"/>
        <w:tblDescription w:val="Table description to go here"/>
      </w:tblPr>
      <w:tblGrid>
        <w:gridCol w:w="1840"/>
        <w:gridCol w:w="4531"/>
        <w:gridCol w:w="1290"/>
      </w:tblGrid>
      <w:tr w:rsidR="001178EE" w:rsidRPr="006D46E5" w14:paraId="1437F7ED" w14:textId="77777777" w:rsidTr="00BE6916">
        <w:trPr>
          <w:tblHeader/>
        </w:trPr>
        <w:tc>
          <w:tcPr>
            <w:tcW w:w="1201" w:type="pct"/>
            <w:shd w:val="clear" w:color="auto" w:fill="404040" w:themeFill="text1" w:themeFillTint="BF"/>
          </w:tcPr>
          <w:p w14:paraId="28DAC4BD" w14:textId="77777777" w:rsidR="001178EE" w:rsidRDefault="001178EE" w:rsidP="0058077F">
            <w:pPr>
              <w:pStyle w:val="TableHeading"/>
              <w:rPr>
                <w:rFonts w:cs="Arial"/>
                <w:color w:val="FFFFFF" w:themeColor="background1"/>
              </w:rPr>
            </w:pPr>
            <w:r>
              <w:rPr>
                <w:rFonts w:cs="Arial"/>
                <w:color w:val="FFFFFF" w:themeColor="background1"/>
              </w:rPr>
              <w:t>Planning area</w:t>
            </w:r>
          </w:p>
        </w:tc>
        <w:tc>
          <w:tcPr>
            <w:tcW w:w="2957" w:type="pct"/>
            <w:shd w:val="clear" w:color="auto" w:fill="404040" w:themeFill="text1" w:themeFillTint="BF"/>
          </w:tcPr>
          <w:p w14:paraId="6BBA4A3E" w14:textId="77777777" w:rsidR="001178EE" w:rsidRPr="006D46E5" w:rsidRDefault="001178EE" w:rsidP="0058077F">
            <w:pPr>
              <w:pStyle w:val="TableHeading"/>
              <w:rPr>
                <w:rFonts w:cs="Arial"/>
                <w:color w:val="FFFFFF" w:themeColor="background1"/>
              </w:rPr>
            </w:pPr>
            <w:r>
              <w:rPr>
                <w:rFonts w:cs="Arial"/>
                <w:color w:val="FFFFFF" w:themeColor="background1"/>
              </w:rPr>
              <w:t>Project priorities</w:t>
            </w:r>
          </w:p>
        </w:tc>
        <w:tc>
          <w:tcPr>
            <w:tcW w:w="842" w:type="pct"/>
            <w:shd w:val="clear" w:color="auto" w:fill="404040" w:themeFill="text1" w:themeFillTint="BF"/>
          </w:tcPr>
          <w:p w14:paraId="64BF2694" w14:textId="77777777" w:rsidR="001178EE" w:rsidRPr="006D46E5" w:rsidRDefault="001178EE" w:rsidP="0058077F">
            <w:pPr>
              <w:pStyle w:val="TableHeading"/>
              <w:rPr>
                <w:rFonts w:cs="Arial"/>
                <w:color w:val="FFFFFF" w:themeColor="background1"/>
              </w:rPr>
            </w:pPr>
            <w:r>
              <w:rPr>
                <w:rFonts w:cs="Arial"/>
                <w:color w:val="FFFFFF" w:themeColor="background1"/>
              </w:rPr>
              <w:t>Proposed timelines</w:t>
            </w:r>
          </w:p>
        </w:tc>
      </w:tr>
      <w:tr w:rsidR="001178EE" w:rsidRPr="006D46E5" w14:paraId="5F79024F" w14:textId="77777777" w:rsidTr="00BE6916">
        <w:tc>
          <w:tcPr>
            <w:tcW w:w="1201" w:type="pct"/>
            <w:shd w:val="clear" w:color="auto" w:fill="auto"/>
          </w:tcPr>
          <w:p w14:paraId="422EF1C0" w14:textId="77777777" w:rsidR="001178EE" w:rsidRPr="005759E7" w:rsidRDefault="001178EE" w:rsidP="005759E7">
            <w:pPr>
              <w:pStyle w:val="TableBody"/>
              <w:rPr>
                <w:rFonts w:cs="Arial"/>
                <w:szCs w:val="20"/>
              </w:rPr>
            </w:pPr>
            <w:r w:rsidRPr="005759E7">
              <w:rPr>
                <w:rFonts w:cs="Arial"/>
                <w:szCs w:val="20"/>
              </w:rPr>
              <w:t>Broadcasting</w:t>
            </w:r>
            <w:r w:rsidR="00E6326B" w:rsidRPr="005759E7">
              <w:rPr>
                <w:rFonts w:cs="Arial"/>
                <w:szCs w:val="20"/>
              </w:rPr>
              <w:t xml:space="preserve"> a</w:t>
            </w:r>
            <w:r w:rsidR="002E1886" w:rsidRPr="005759E7">
              <w:rPr>
                <w:rFonts w:cs="Arial"/>
                <w:szCs w:val="20"/>
              </w:rPr>
              <w:t>nalog</w:t>
            </w:r>
            <w:r w:rsidR="00E6326B" w:rsidRPr="005759E7">
              <w:rPr>
                <w:rFonts w:cs="Arial"/>
                <w:szCs w:val="20"/>
              </w:rPr>
              <w:t xml:space="preserve"> </w:t>
            </w:r>
            <w:r w:rsidR="002E1886" w:rsidRPr="005759E7">
              <w:rPr>
                <w:rFonts w:cs="Arial"/>
                <w:szCs w:val="20"/>
              </w:rPr>
              <w:t>and digital radio</w:t>
            </w:r>
          </w:p>
        </w:tc>
        <w:tc>
          <w:tcPr>
            <w:tcW w:w="2957" w:type="pct"/>
            <w:shd w:val="clear" w:color="auto" w:fill="auto"/>
          </w:tcPr>
          <w:p w14:paraId="1DFD2480" w14:textId="77777777" w:rsidR="002E1886" w:rsidRPr="005759E7" w:rsidRDefault="00EC5388" w:rsidP="005759E7">
            <w:pPr>
              <w:pStyle w:val="TableBody"/>
              <w:spacing w:after="120"/>
              <w:rPr>
                <w:rFonts w:cs="Arial"/>
                <w:szCs w:val="20"/>
              </w:rPr>
            </w:pPr>
            <w:r>
              <w:rPr>
                <w:rFonts w:cs="Arial"/>
                <w:szCs w:val="20"/>
              </w:rPr>
              <w:t xml:space="preserve">Make final decisions on </w:t>
            </w:r>
            <w:r w:rsidR="002E1886" w:rsidRPr="005759E7">
              <w:rPr>
                <w:rFonts w:cs="Arial"/>
                <w:szCs w:val="20"/>
              </w:rPr>
              <w:t>Licence Area Plan variations for AM to FM conversion in Burnie, Devonport, Queenstown</w:t>
            </w:r>
            <w:r w:rsidR="00DF0E95">
              <w:rPr>
                <w:rFonts w:cs="Arial"/>
                <w:szCs w:val="20"/>
              </w:rPr>
              <w:t xml:space="preserve">, </w:t>
            </w:r>
            <w:r w:rsidR="002E1886" w:rsidRPr="005759E7">
              <w:rPr>
                <w:rFonts w:cs="Arial"/>
                <w:szCs w:val="20"/>
              </w:rPr>
              <w:t>Scottsdale</w:t>
            </w:r>
            <w:r>
              <w:rPr>
                <w:rFonts w:cs="Arial"/>
                <w:szCs w:val="20"/>
              </w:rPr>
              <w:t xml:space="preserve"> and Bathurst</w:t>
            </w:r>
          </w:p>
          <w:p w14:paraId="136DFC7F" w14:textId="77777777" w:rsidR="00123BF1" w:rsidRDefault="00EC5388" w:rsidP="00CB2B01">
            <w:pPr>
              <w:pStyle w:val="TableBody"/>
              <w:spacing w:after="120"/>
              <w:rPr>
                <w:rFonts w:cs="Arial"/>
                <w:szCs w:val="20"/>
              </w:rPr>
            </w:pPr>
            <w:r>
              <w:rPr>
                <w:rFonts w:cs="Arial"/>
                <w:szCs w:val="20"/>
              </w:rPr>
              <w:t xml:space="preserve">Consult on </w:t>
            </w:r>
            <w:r w:rsidR="002E1886" w:rsidRPr="005759E7">
              <w:rPr>
                <w:rFonts w:cs="Arial"/>
                <w:szCs w:val="20"/>
              </w:rPr>
              <w:t>proposals for AM to FM conversion for Lithgow, Bega, Cooma, Goulburn and Nowra</w:t>
            </w:r>
          </w:p>
          <w:p w14:paraId="7D7C5E3D" w14:textId="77777777" w:rsidR="00123BF1" w:rsidRPr="005759E7" w:rsidRDefault="00DF0E95" w:rsidP="00EC5388">
            <w:pPr>
              <w:pStyle w:val="TableBody"/>
              <w:rPr>
                <w:rFonts w:cs="Arial"/>
                <w:szCs w:val="20"/>
              </w:rPr>
            </w:pPr>
            <w:r w:rsidRPr="00DF0E95">
              <w:rPr>
                <w:rFonts w:cs="Arial"/>
                <w:szCs w:val="20"/>
              </w:rPr>
              <w:t>Decide on extension of the determination of the low power open narrowcasting (LPON) sub-band</w:t>
            </w:r>
          </w:p>
        </w:tc>
        <w:tc>
          <w:tcPr>
            <w:tcW w:w="842" w:type="pct"/>
            <w:shd w:val="clear" w:color="auto" w:fill="auto"/>
          </w:tcPr>
          <w:p w14:paraId="27383CA7" w14:textId="77777777" w:rsidR="001178EE" w:rsidRPr="005759E7" w:rsidRDefault="001178EE" w:rsidP="008B6F4A">
            <w:pPr>
              <w:pStyle w:val="TableBody"/>
              <w:spacing w:after="800"/>
              <w:rPr>
                <w:rFonts w:cs="Arial"/>
                <w:szCs w:val="20"/>
              </w:rPr>
            </w:pPr>
            <w:r w:rsidRPr="005759E7">
              <w:rPr>
                <w:rFonts w:cs="Arial"/>
                <w:szCs w:val="20"/>
              </w:rPr>
              <w:t xml:space="preserve">Q1 </w:t>
            </w:r>
          </w:p>
          <w:p w14:paraId="337B9B20" w14:textId="77777777" w:rsidR="00123BF1" w:rsidRDefault="001178EE" w:rsidP="008B6F4A">
            <w:pPr>
              <w:pStyle w:val="TableBody"/>
              <w:spacing w:after="360"/>
              <w:rPr>
                <w:rFonts w:cs="Arial"/>
                <w:szCs w:val="20"/>
              </w:rPr>
            </w:pPr>
            <w:r w:rsidRPr="005759E7">
              <w:rPr>
                <w:rFonts w:cs="Arial"/>
                <w:szCs w:val="20"/>
              </w:rPr>
              <w:t>Q</w:t>
            </w:r>
            <w:r w:rsidR="00EC5388">
              <w:rPr>
                <w:rFonts w:cs="Arial"/>
                <w:szCs w:val="20"/>
              </w:rPr>
              <w:t>2</w:t>
            </w:r>
            <w:r w:rsidRPr="005759E7">
              <w:rPr>
                <w:rFonts w:cs="Arial"/>
                <w:szCs w:val="20"/>
              </w:rPr>
              <w:t xml:space="preserve"> </w:t>
            </w:r>
          </w:p>
          <w:p w14:paraId="27FAE6E7" w14:textId="77777777" w:rsidR="00123BF1" w:rsidRPr="005759E7" w:rsidRDefault="00123BF1" w:rsidP="00CB2B01">
            <w:pPr>
              <w:pStyle w:val="TableBody"/>
              <w:rPr>
                <w:rFonts w:cs="Arial"/>
                <w:szCs w:val="20"/>
              </w:rPr>
            </w:pPr>
            <w:r>
              <w:rPr>
                <w:rFonts w:cs="Arial"/>
                <w:szCs w:val="20"/>
              </w:rPr>
              <w:t>Q</w:t>
            </w:r>
            <w:r w:rsidR="00DF0E95">
              <w:rPr>
                <w:rFonts w:cs="Arial"/>
                <w:szCs w:val="20"/>
              </w:rPr>
              <w:t>2</w:t>
            </w:r>
          </w:p>
        </w:tc>
      </w:tr>
      <w:tr w:rsidR="001178EE" w:rsidRPr="006D46E5" w14:paraId="5BCC5D1B" w14:textId="77777777" w:rsidTr="00BE6916">
        <w:tc>
          <w:tcPr>
            <w:tcW w:w="1201" w:type="pct"/>
            <w:shd w:val="clear" w:color="auto" w:fill="F2F2F2" w:themeFill="background1" w:themeFillShade="F2"/>
          </w:tcPr>
          <w:p w14:paraId="405A7B19" w14:textId="77777777" w:rsidR="002E1886" w:rsidRPr="005759E7" w:rsidRDefault="002E1886" w:rsidP="0058077F">
            <w:pPr>
              <w:pStyle w:val="TableBody"/>
              <w:ind w:right="176"/>
              <w:jc w:val="both"/>
              <w:rPr>
                <w:rFonts w:cs="Arial"/>
                <w:szCs w:val="20"/>
              </w:rPr>
            </w:pPr>
            <w:r w:rsidRPr="005759E7">
              <w:rPr>
                <w:rFonts w:cs="Arial"/>
                <w:szCs w:val="20"/>
              </w:rPr>
              <w:t>Satellite</w:t>
            </w:r>
          </w:p>
        </w:tc>
        <w:tc>
          <w:tcPr>
            <w:tcW w:w="2957" w:type="pct"/>
            <w:shd w:val="clear" w:color="auto" w:fill="F2F2F2" w:themeFill="background1" w:themeFillShade="F2"/>
          </w:tcPr>
          <w:p w14:paraId="6A314539" w14:textId="77777777" w:rsidR="001178EE" w:rsidRPr="005759E7" w:rsidRDefault="002E1886" w:rsidP="00DA7873">
            <w:pPr>
              <w:pStyle w:val="TableBody"/>
              <w:rPr>
                <w:rFonts w:cs="Arial"/>
                <w:szCs w:val="20"/>
              </w:rPr>
            </w:pPr>
            <w:r w:rsidRPr="005759E7">
              <w:rPr>
                <w:rFonts w:cs="Arial"/>
                <w:szCs w:val="20"/>
              </w:rPr>
              <w:t xml:space="preserve">Earth </w:t>
            </w:r>
            <w:r w:rsidR="00E6326B" w:rsidRPr="005759E7">
              <w:rPr>
                <w:rFonts w:cs="Arial"/>
                <w:szCs w:val="20"/>
              </w:rPr>
              <w:t>s</w:t>
            </w:r>
            <w:r w:rsidRPr="005759E7">
              <w:rPr>
                <w:rFonts w:cs="Arial"/>
                <w:szCs w:val="20"/>
              </w:rPr>
              <w:t>tations</w:t>
            </w:r>
            <w:r w:rsidR="00E6326B" w:rsidRPr="005759E7">
              <w:rPr>
                <w:rFonts w:cs="Arial"/>
                <w:szCs w:val="20"/>
              </w:rPr>
              <w:t>—c</w:t>
            </w:r>
            <w:r w:rsidRPr="005759E7">
              <w:rPr>
                <w:rFonts w:cs="Arial"/>
                <w:szCs w:val="20"/>
              </w:rPr>
              <w:t>odify frequency co-ordination of earth stations with point</w:t>
            </w:r>
            <w:r w:rsidR="00E6326B" w:rsidRPr="005759E7">
              <w:rPr>
                <w:rFonts w:cs="Arial"/>
                <w:szCs w:val="20"/>
              </w:rPr>
              <w:t>-</w:t>
            </w:r>
            <w:r w:rsidRPr="005759E7">
              <w:rPr>
                <w:rFonts w:cs="Arial"/>
                <w:szCs w:val="20"/>
              </w:rPr>
              <w:t>to</w:t>
            </w:r>
            <w:r w:rsidR="00E6326B" w:rsidRPr="005759E7">
              <w:rPr>
                <w:rFonts w:cs="Arial"/>
                <w:szCs w:val="20"/>
              </w:rPr>
              <w:t>-</w:t>
            </w:r>
            <w:r w:rsidRPr="005759E7">
              <w:rPr>
                <w:rFonts w:cs="Arial"/>
                <w:szCs w:val="20"/>
              </w:rPr>
              <w:t xml:space="preserve">point links (in the </w:t>
            </w:r>
            <w:r w:rsidR="00DA7873" w:rsidRPr="005759E7">
              <w:rPr>
                <w:rFonts w:cs="Arial"/>
                <w:szCs w:val="20"/>
              </w:rPr>
              <w:t>6</w:t>
            </w:r>
            <w:r w:rsidR="00DA7873">
              <w:rPr>
                <w:rFonts w:cs="Arial"/>
                <w:szCs w:val="20"/>
              </w:rPr>
              <w:t> </w:t>
            </w:r>
            <w:r w:rsidRPr="005759E7">
              <w:rPr>
                <w:rFonts w:cs="Arial"/>
                <w:szCs w:val="20"/>
              </w:rPr>
              <w:t>and 6.7 GHz bands)</w:t>
            </w:r>
          </w:p>
        </w:tc>
        <w:tc>
          <w:tcPr>
            <w:tcW w:w="842" w:type="pct"/>
            <w:shd w:val="clear" w:color="auto" w:fill="F2F2F2" w:themeFill="background1" w:themeFillShade="F2"/>
          </w:tcPr>
          <w:p w14:paraId="7F397F0F" w14:textId="77777777" w:rsidR="001178EE" w:rsidRPr="005759E7" w:rsidRDefault="001178EE" w:rsidP="0058077F">
            <w:pPr>
              <w:pStyle w:val="TableBody"/>
              <w:rPr>
                <w:rFonts w:cs="Arial"/>
                <w:szCs w:val="20"/>
              </w:rPr>
            </w:pPr>
            <w:r w:rsidRPr="005759E7">
              <w:rPr>
                <w:rFonts w:cs="Arial"/>
                <w:szCs w:val="20"/>
              </w:rPr>
              <w:t xml:space="preserve">Q1 </w:t>
            </w:r>
          </w:p>
        </w:tc>
      </w:tr>
      <w:tr w:rsidR="001178EE" w:rsidRPr="006D46E5" w14:paraId="2BBF65E2" w14:textId="77777777" w:rsidTr="00BE6916">
        <w:tc>
          <w:tcPr>
            <w:tcW w:w="1201" w:type="pct"/>
            <w:shd w:val="clear" w:color="auto" w:fill="auto"/>
          </w:tcPr>
          <w:p w14:paraId="4A1CBBFC" w14:textId="77777777" w:rsidR="001178EE" w:rsidRPr="005759E7" w:rsidRDefault="002E1886" w:rsidP="0058077F">
            <w:pPr>
              <w:pStyle w:val="TableBody"/>
              <w:ind w:right="176"/>
              <w:rPr>
                <w:rFonts w:cs="Arial"/>
                <w:szCs w:val="20"/>
              </w:rPr>
            </w:pPr>
            <w:r w:rsidRPr="005759E7">
              <w:rPr>
                <w:rFonts w:cs="Arial"/>
                <w:szCs w:val="20"/>
              </w:rPr>
              <w:t>Satellite</w:t>
            </w:r>
          </w:p>
        </w:tc>
        <w:tc>
          <w:tcPr>
            <w:tcW w:w="2957" w:type="pct"/>
            <w:shd w:val="clear" w:color="auto" w:fill="auto"/>
          </w:tcPr>
          <w:p w14:paraId="4B6490F5" w14:textId="77777777" w:rsidR="001178EE" w:rsidRPr="005759E7" w:rsidRDefault="002E1886" w:rsidP="0058077F">
            <w:pPr>
              <w:pStyle w:val="TableBody"/>
              <w:ind w:right="176"/>
              <w:rPr>
                <w:rFonts w:cs="Arial"/>
                <w:szCs w:val="20"/>
              </w:rPr>
            </w:pPr>
            <w:r w:rsidRPr="005759E7">
              <w:rPr>
                <w:rFonts w:cs="Arial"/>
                <w:szCs w:val="20"/>
              </w:rPr>
              <w:t>Space objects</w:t>
            </w:r>
            <w:r w:rsidR="00E6326B" w:rsidRPr="005759E7">
              <w:rPr>
                <w:rFonts w:cs="Arial"/>
                <w:szCs w:val="20"/>
              </w:rPr>
              <w:t>:</w:t>
            </w:r>
          </w:p>
          <w:p w14:paraId="6C19DBBF" w14:textId="77777777" w:rsidR="002E1886" w:rsidRPr="005759E7" w:rsidRDefault="002E1886" w:rsidP="005759E7">
            <w:pPr>
              <w:pStyle w:val="TableBody"/>
              <w:spacing w:after="120"/>
              <w:ind w:right="176"/>
              <w:rPr>
                <w:rFonts w:cs="Arial"/>
                <w:szCs w:val="20"/>
              </w:rPr>
            </w:pPr>
            <w:r w:rsidRPr="005759E7">
              <w:rPr>
                <w:rFonts w:cs="Arial"/>
                <w:szCs w:val="20"/>
              </w:rPr>
              <w:t>Finalise changes to Radiocommunications (Communication with Space Object) Class Licence 2015 and Radiocommunications (Foreign Space Objects) Determination 2014</w:t>
            </w:r>
          </w:p>
          <w:p w14:paraId="371018F0" w14:textId="77777777" w:rsidR="002E1886" w:rsidRPr="005759E7" w:rsidRDefault="002E1886" w:rsidP="0058077F">
            <w:pPr>
              <w:pStyle w:val="TableBody"/>
              <w:rPr>
                <w:rFonts w:cs="Arial"/>
                <w:szCs w:val="20"/>
              </w:rPr>
            </w:pPr>
            <w:r w:rsidRPr="005759E7">
              <w:rPr>
                <w:rFonts w:cs="Arial"/>
                <w:szCs w:val="20"/>
              </w:rPr>
              <w:t>Consider feasibility of inclusion of 10.7</w:t>
            </w:r>
            <w:r w:rsidR="00E6326B" w:rsidRPr="005759E7">
              <w:rPr>
                <w:rFonts w:cs="Arial"/>
                <w:szCs w:val="20"/>
              </w:rPr>
              <w:t>–</w:t>
            </w:r>
            <w:r w:rsidRPr="005759E7">
              <w:rPr>
                <w:rFonts w:cs="Arial"/>
                <w:szCs w:val="20"/>
              </w:rPr>
              <w:t>11.7 GHz in Communications Space Objects Class Licence</w:t>
            </w:r>
          </w:p>
        </w:tc>
        <w:tc>
          <w:tcPr>
            <w:tcW w:w="842" w:type="pct"/>
            <w:shd w:val="clear" w:color="auto" w:fill="auto"/>
          </w:tcPr>
          <w:p w14:paraId="7F996E0C" w14:textId="77777777" w:rsidR="001178EE" w:rsidRPr="005759E7" w:rsidRDefault="001178EE" w:rsidP="00CB2B01">
            <w:pPr>
              <w:pStyle w:val="TableBody"/>
              <w:spacing w:before="200" w:after="840"/>
              <w:rPr>
                <w:rFonts w:cs="Arial"/>
                <w:szCs w:val="20"/>
              </w:rPr>
            </w:pPr>
            <w:r w:rsidRPr="005759E7">
              <w:rPr>
                <w:rFonts w:cs="Arial"/>
                <w:szCs w:val="20"/>
              </w:rPr>
              <w:t>Q</w:t>
            </w:r>
            <w:r w:rsidR="00DE646F">
              <w:rPr>
                <w:rFonts w:cs="Arial"/>
                <w:szCs w:val="20"/>
              </w:rPr>
              <w:t>1</w:t>
            </w:r>
            <w:r w:rsidRPr="005759E7">
              <w:rPr>
                <w:rFonts w:cs="Arial"/>
                <w:szCs w:val="20"/>
              </w:rPr>
              <w:t xml:space="preserve"> </w:t>
            </w:r>
          </w:p>
          <w:p w14:paraId="3C1FD1C6" w14:textId="77777777" w:rsidR="001178EE" w:rsidRPr="005759E7" w:rsidRDefault="001178EE" w:rsidP="0058077F">
            <w:pPr>
              <w:pStyle w:val="TableBody"/>
              <w:rPr>
                <w:rFonts w:cs="Arial"/>
                <w:szCs w:val="20"/>
              </w:rPr>
            </w:pPr>
            <w:r w:rsidRPr="005759E7">
              <w:rPr>
                <w:rFonts w:cs="Arial"/>
                <w:szCs w:val="20"/>
              </w:rPr>
              <w:t xml:space="preserve">Q4 </w:t>
            </w:r>
          </w:p>
        </w:tc>
      </w:tr>
      <w:tr w:rsidR="001178EE" w:rsidRPr="006D46E5" w14:paraId="1DDD9111" w14:textId="77777777" w:rsidTr="00BE6916">
        <w:tc>
          <w:tcPr>
            <w:tcW w:w="1201" w:type="pct"/>
            <w:shd w:val="clear" w:color="auto" w:fill="F2F2F2" w:themeFill="background1" w:themeFillShade="F2"/>
          </w:tcPr>
          <w:p w14:paraId="68B4577B" w14:textId="77777777" w:rsidR="001178EE" w:rsidRPr="005759E7" w:rsidRDefault="002E1886" w:rsidP="0058077F">
            <w:pPr>
              <w:pStyle w:val="TableBody"/>
              <w:ind w:right="176"/>
              <w:rPr>
                <w:rFonts w:cs="Arial"/>
                <w:szCs w:val="20"/>
              </w:rPr>
            </w:pPr>
            <w:r w:rsidRPr="005759E7">
              <w:rPr>
                <w:rFonts w:cs="Arial"/>
                <w:szCs w:val="20"/>
              </w:rPr>
              <w:t>Satellite</w:t>
            </w:r>
          </w:p>
        </w:tc>
        <w:tc>
          <w:tcPr>
            <w:tcW w:w="2957" w:type="pct"/>
            <w:shd w:val="clear" w:color="auto" w:fill="F2F2F2" w:themeFill="background1" w:themeFillShade="F2"/>
          </w:tcPr>
          <w:p w14:paraId="698CF55A" w14:textId="77777777" w:rsidR="001178EE" w:rsidRPr="005759E7" w:rsidRDefault="002E1886" w:rsidP="0058077F">
            <w:pPr>
              <w:pStyle w:val="TableBody"/>
              <w:ind w:right="176"/>
              <w:rPr>
                <w:rFonts w:cs="Arial"/>
                <w:szCs w:val="20"/>
              </w:rPr>
            </w:pPr>
            <w:r w:rsidRPr="005759E7">
              <w:rPr>
                <w:rFonts w:cs="Arial"/>
                <w:szCs w:val="20"/>
              </w:rPr>
              <w:t>ESIMs</w:t>
            </w:r>
            <w:r w:rsidR="00E6326B" w:rsidRPr="005759E7">
              <w:rPr>
                <w:rFonts w:cs="Arial"/>
                <w:szCs w:val="20"/>
              </w:rPr>
              <w:t>—r</w:t>
            </w:r>
            <w:r w:rsidRPr="005759E7">
              <w:rPr>
                <w:rFonts w:cs="Arial"/>
                <w:szCs w:val="20"/>
              </w:rPr>
              <w:t xml:space="preserve">eview regulatory arrangements for </w:t>
            </w:r>
            <w:r w:rsidR="00CD459E">
              <w:rPr>
                <w:rFonts w:cs="Arial"/>
                <w:szCs w:val="20"/>
              </w:rPr>
              <w:t>e</w:t>
            </w:r>
            <w:r w:rsidRPr="005759E7">
              <w:rPr>
                <w:rFonts w:cs="Arial"/>
                <w:szCs w:val="20"/>
              </w:rPr>
              <w:t xml:space="preserve">arth </w:t>
            </w:r>
            <w:r w:rsidR="00CD459E">
              <w:rPr>
                <w:rFonts w:cs="Arial"/>
                <w:szCs w:val="20"/>
              </w:rPr>
              <w:t>s</w:t>
            </w:r>
            <w:r w:rsidRPr="005759E7">
              <w:rPr>
                <w:rFonts w:cs="Arial"/>
                <w:szCs w:val="20"/>
              </w:rPr>
              <w:t xml:space="preserve">tations </w:t>
            </w:r>
            <w:r w:rsidR="00CD459E">
              <w:rPr>
                <w:rFonts w:cs="Arial"/>
                <w:szCs w:val="20"/>
              </w:rPr>
              <w:t>i</w:t>
            </w:r>
            <w:r w:rsidRPr="005759E7">
              <w:rPr>
                <w:rFonts w:cs="Arial"/>
                <w:szCs w:val="20"/>
              </w:rPr>
              <w:t xml:space="preserve">n </w:t>
            </w:r>
            <w:r w:rsidR="00CD459E">
              <w:rPr>
                <w:rFonts w:cs="Arial"/>
                <w:szCs w:val="20"/>
              </w:rPr>
              <w:t>m</w:t>
            </w:r>
            <w:r w:rsidRPr="005759E7">
              <w:rPr>
                <w:rFonts w:cs="Arial"/>
                <w:szCs w:val="20"/>
              </w:rPr>
              <w:t>otion (ESIM) in Ku band</w:t>
            </w:r>
          </w:p>
        </w:tc>
        <w:tc>
          <w:tcPr>
            <w:tcW w:w="842" w:type="pct"/>
            <w:shd w:val="clear" w:color="auto" w:fill="F2F2F2" w:themeFill="background1" w:themeFillShade="F2"/>
          </w:tcPr>
          <w:p w14:paraId="5FAD7E92" w14:textId="77777777" w:rsidR="001178EE" w:rsidRPr="005759E7" w:rsidRDefault="001178EE" w:rsidP="0058077F">
            <w:pPr>
              <w:pStyle w:val="TableBody"/>
              <w:rPr>
                <w:rFonts w:cs="Arial"/>
                <w:szCs w:val="20"/>
              </w:rPr>
            </w:pPr>
            <w:r w:rsidRPr="005759E7">
              <w:rPr>
                <w:rFonts w:cs="Arial"/>
                <w:szCs w:val="20"/>
              </w:rPr>
              <w:t xml:space="preserve">Q2 </w:t>
            </w:r>
          </w:p>
        </w:tc>
      </w:tr>
      <w:tr w:rsidR="001178EE" w:rsidRPr="006D46E5" w14:paraId="769B1653" w14:textId="77777777" w:rsidTr="00BE6916">
        <w:tc>
          <w:tcPr>
            <w:tcW w:w="1201" w:type="pct"/>
            <w:shd w:val="clear" w:color="auto" w:fill="auto"/>
          </w:tcPr>
          <w:p w14:paraId="5812ED79" w14:textId="77777777" w:rsidR="001178EE" w:rsidRPr="005759E7" w:rsidRDefault="002E1886" w:rsidP="0058077F">
            <w:pPr>
              <w:pStyle w:val="TableBody"/>
              <w:ind w:right="176"/>
              <w:rPr>
                <w:rFonts w:cs="Arial"/>
                <w:szCs w:val="20"/>
              </w:rPr>
            </w:pPr>
            <w:r w:rsidRPr="005759E7">
              <w:rPr>
                <w:rFonts w:cs="Arial"/>
                <w:szCs w:val="20"/>
              </w:rPr>
              <w:t>Satellite</w:t>
            </w:r>
          </w:p>
        </w:tc>
        <w:tc>
          <w:tcPr>
            <w:tcW w:w="2957" w:type="pct"/>
            <w:shd w:val="clear" w:color="auto" w:fill="auto"/>
          </w:tcPr>
          <w:p w14:paraId="692D32EA" w14:textId="77777777" w:rsidR="001178EE" w:rsidRPr="005759E7" w:rsidRDefault="002E1886" w:rsidP="0058077F">
            <w:pPr>
              <w:pStyle w:val="TableBody"/>
              <w:ind w:right="176"/>
              <w:rPr>
                <w:rFonts w:cs="Arial"/>
                <w:szCs w:val="20"/>
              </w:rPr>
            </w:pPr>
            <w:r w:rsidRPr="005759E7">
              <w:rPr>
                <w:rFonts w:cs="Arial"/>
                <w:szCs w:val="20"/>
              </w:rPr>
              <w:t>Regulatory arrangements</w:t>
            </w:r>
            <w:r w:rsidR="00E6326B" w:rsidRPr="005759E7">
              <w:rPr>
                <w:rFonts w:cs="Arial"/>
                <w:szCs w:val="20"/>
              </w:rPr>
              <w:t>:</w:t>
            </w:r>
          </w:p>
          <w:p w14:paraId="060733CC" w14:textId="77777777" w:rsidR="002E1886" w:rsidRPr="005759E7" w:rsidRDefault="002E1886" w:rsidP="005759E7">
            <w:pPr>
              <w:pStyle w:val="TableBody"/>
              <w:spacing w:after="120"/>
              <w:ind w:right="176"/>
              <w:rPr>
                <w:rFonts w:cs="Arial"/>
                <w:szCs w:val="20"/>
              </w:rPr>
            </w:pPr>
            <w:r w:rsidRPr="005759E7">
              <w:rPr>
                <w:rFonts w:cs="Arial"/>
                <w:szCs w:val="20"/>
              </w:rPr>
              <w:t>General review of licensing procedures for space-based communications systems</w:t>
            </w:r>
          </w:p>
          <w:p w14:paraId="5D5AC517" w14:textId="77777777" w:rsidR="002E1886" w:rsidRPr="005759E7" w:rsidRDefault="002E1886" w:rsidP="0058077F">
            <w:pPr>
              <w:pStyle w:val="TableBody"/>
              <w:ind w:right="176"/>
              <w:rPr>
                <w:rFonts w:cs="Arial"/>
                <w:szCs w:val="20"/>
              </w:rPr>
            </w:pPr>
            <w:r w:rsidRPr="005759E7">
              <w:rPr>
                <w:rFonts w:cs="Arial"/>
                <w:szCs w:val="20"/>
              </w:rPr>
              <w:t>Commence update of regulatory arrangements for small satellites</w:t>
            </w:r>
          </w:p>
        </w:tc>
        <w:tc>
          <w:tcPr>
            <w:tcW w:w="842" w:type="pct"/>
            <w:shd w:val="clear" w:color="auto" w:fill="auto"/>
          </w:tcPr>
          <w:p w14:paraId="7E47F518" w14:textId="77777777" w:rsidR="002E1886" w:rsidRPr="005759E7" w:rsidRDefault="001178EE" w:rsidP="00CB2B01">
            <w:pPr>
              <w:pStyle w:val="TableBody"/>
              <w:spacing w:before="120" w:after="440"/>
              <w:rPr>
                <w:rFonts w:cs="Arial"/>
                <w:szCs w:val="20"/>
              </w:rPr>
            </w:pPr>
            <w:r w:rsidRPr="005759E7">
              <w:rPr>
                <w:rFonts w:cs="Arial"/>
                <w:szCs w:val="20"/>
              </w:rPr>
              <w:t xml:space="preserve">Q2 </w:t>
            </w:r>
          </w:p>
          <w:p w14:paraId="29928F95" w14:textId="77777777" w:rsidR="001178EE" w:rsidRPr="005759E7" w:rsidRDefault="002E1886" w:rsidP="0058077F">
            <w:pPr>
              <w:pStyle w:val="TableBody"/>
              <w:rPr>
                <w:rFonts w:cs="Arial"/>
                <w:szCs w:val="20"/>
              </w:rPr>
            </w:pPr>
            <w:r w:rsidRPr="005759E7">
              <w:rPr>
                <w:rFonts w:cs="Arial"/>
                <w:szCs w:val="20"/>
              </w:rPr>
              <w:t>Q2</w:t>
            </w:r>
          </w:p>
        </w:tc>
      </w:tr>
      <w:tr w:rsidR="001178EE" w:rsidRPr="006D46E5" w14:paraId="0D068AC6" w14:textId="77777777" w:rsidTr="00BE6916">
        <w:tc>
          <w:tcPr>
            <w:tcW w:w="1201" w:type="pct"/>
            <w:shd w:val="clear" w:color="auto" w:fill="F2F2F2" w:themeFill="background1" w:themeFillShade="F2"/>
          </w:tcPr>
          <w:p w14:paraId="36B46E21" w14:textId="77777777" w:rsidR="001178EE" w:rsidRPr="005759E7" w:rsidRDefault="001178EE" w:rsidP="0058077F">
            <w:pPr>
              <w:pStyle w:val="TableBody"/>
              <w:ind w:right="176"/>
              <w:rPr>
                <w:rFonts w:cs="Arial"/>
                <w:szCs w:val="20"/>
              </w:rPr>
            </w:pPr>
            <w:r w:rsidRPr="005759E7">
              <w:rPr>
                <w:rFonts w:cs="Arial"/>
                <w:szCs w:val="20"/>
              </w:rPr>
              <w:lastRenderedPageBreak/>
              <w:t>Satellite</w:t>
            </w:r>
          </w:p>
        </w:tc>
        <w:tc>
          <w:tcPr>
            <w:tcW w:w="2957" w:type="pct"/>
            <w:shd w:val="clear" w:color="auto" w:fill="F2F2F2" w:themeFill="background1" w:themeFillShade="F2"/>
          </w:tcPr>
          <w:p w14:paraId="42F1CB1E" w14:textId="77777777" w:rsidR="001178EE" w:rsidRPr="005759E7" w:rsidRDefault="002E1886" w:rsidP="005759E7">
            <w:pPr>
              <w:pStyle w:val="TableBody"/>
              <w:rPr>
                <w:rFonts w:cs="Arial"/>
                <w:szCs w:val="20"/>
              </w:rPr>
            </w:pPr>
            <w:r w:rsidRPr="005759E7">
              <w:rPr>
                <w:rFonts w:cs="Arial"/>
                <w:szCs w:val="20"/>
              </w:rPr>
              <w:t>Consider applications for test and demonstration purposes in the 2 GHz band</w:t>
            </w:r>
          </w:p>
        </w:tc>
        <w:tc>
          <w:tcPr>
            <w:tcW w:w="842" w:type="pct"/>
            <w:shd w:val="clear" w:color="auto" w:fill="F2F2F2" w:themeFill="background1" w:themeFillShade="F2"/>
          </w:tcPr>
          <w:p w14:paraId="510A23A6" w14:textId="77777777" w:rsidR="001178EE" w:rsidRPr="005759E7" w:rsidRDefault="002E1886" w:rsidP="0058077F">
            <w:pPr>
              <w:pStyle w:val="TableBody"/>
              <w:rPr>
                <w:rFonts w:cs="Arial"/>
                <w:szCs w:val="20"/>
              </w:rPr>
            </w:pPr>
            <w:r w:rsidRPr="005759E7">
              <w:rPr>
                <w:rFonts w:cs="Arial"/>
                <w:szCs w:val="20"/>
              </w:rPr>
              <w:t>Ongoing</w:t>
            </w:r>
          </w:p>
        </w:tc>
      </w:tr>
      <w:tr w:rsidR="001178EE" w:rsidRPr="006D46E5" w14:paraId="641C4919" w14:textId="77777777" w:rsidTr="00BE6916">
        <w:tc>
          <w:tcPr>
            <w:tcW w:w="1201" w:type="pct"/>
            <w:shd w:val="clear" w:color="auto" w:fill="auto"/>
          </w:tcPr>
          <w:p w14:paraId="4F067DE2" w14:textId="77777777" w:rsidR="001178EE" w:rsidRPr="005759E7" w:rsidRDefault="001178EE" w:rsidP="0058077F">
            <w:pPr>
              <w:pStyle w:val="TableBody"/>
              <w:ind w:right="176"/>
              <w:rPr>
                <w:rFonts w:cs="Arial"/>
                <w:szCs w:val="20"/>
              </w:rPr>
            </w:pPr>
            <w:r w:rsidRPr="005759E7">
              <w:rPr>
                <w:rFonts w:cs="Arial"/>
                <w:szCs w:val="20"/>
              </w:rPr>
              <w:t>Satellite</w:t>
            </w:r>
          </w:p>
        </w:tc>
        <w:tc>
          <w:tcPr>
            <w:tcW w:w="2957" w:type="pct"/>
            <w:shd w:val="clear" w:color="auto" w:fill="auto"/>
          </w:tcPr>
          <w:p w14:paraId="47182A88" w14:textId="77777777" w:rsidR="001178EE" w:rsidRPr="005759E7" w:rsidRDefault="002E1886" w:rsidP="0058077F">
            <w:pPr>
              <w:pStyle w:val="TableBody"/>
              <w:ind w:right="176"/>
              <w:rPr>
                <w:rFonts w:cs="Arial"/>
                <w:szCs w:val="20"/>
              </w:rPr>
            </w:pPr>
            <w:r w:rsidRPr="005759E7">
              <w:rPr>
                <w:rFonts w:cs="Arial"/>
                <w:szCs w:val="20"/>
              </w:rPr>
              <w:t>Manage filing and coordination of Australian satellite systems</w:t>
            </w:r>
          </w:p>
        </w:tc>
        <w:tc>
          <w:tcPr>
            <w:tcW w:w="842" w:type="pct"/>
            <w:shd w:val="clear" w:color="auto" w:fill="auto"/>
          </w:tcPr>
          <w:p w14:paraId="05247EAC" w14:textId="77777777" w:rsidR="001178EE" w:rsidRPr="005759E7" w:rsidRDefault="001178EE" w:rsidP="0058077F">
            <w:pPr>
              <w:pStyle w:val="TableBody"/>
              <w:rPr>
                <w:rFonts w:cs="Arial"/>
                <w:szCs w:val="20"/>
              </w:rPr>
            </w:pPr>
            <w:r w:rsidRPr="005759E7">
              <w:rPr>
                <w:rFonts w:cs="Arial"/>
                <w:szCs w:val="20"/>
              </w:rPr>
              <w:t xml:space="preserve">Ongoing </w:t>
            </w:r>
          </w:p>
        </w:tc>
      </w:tr>
      <w:tr w:rsidR="001178EE" w:rsidRPr="006D46E5" w14:paraId="6B87238D" w14:textId="77777777" w:rsidTr="00BE6916">
        <w:tc>
          <w:tcPr>
            <w:tcW w:w="1201" w:type="pct"/>
            <w:shd w:val="clear" w:color="auto" w:fill="F2F2F2" w:themeFill="background1" w:themeFillShade="F2"/>
          </w:tcPr>
          <w:p w14:paraId="2C2D4243" w14:textId="77777777" w:rsidR="001178EE" w:rsidRPr="005759E7" w:rsidRDefault="001178EE" w:rsidP="0027128C">
            <w:pPr>
              <w:pStyle w:val="TableBody"/>
              <w:ind w:right="176"/>
              <w:rPr>
                <w:rFonts w:cs="Arial"/>
                <w:szCs w:val="20"/>
              </w:rPr>
            </w:pPr>
            <w:r w:rsidRPr="005759E7">
              <w:rPr>
                <w:rFonts w:cs="Arial"/>
                <w:szCs w:val="20"/>
              </w:rPr>
              <w:t>Low interference potential devices (LIPD)</w:t>
            </w:r>
          </w:p>
        </w:tc>
        <w:tc>
          <w:tcPr>
            <w:tcW w:w="2957" w:type="pct"/>
            <w:shd w:val="clear" w:color="auto" w:fill="F2F2F2" w:themeFill="background1" w:themeFillShade="F2"/>
          </w:tcPr>
          <w:p w14:paraId="5F53D9AE" w14:textId="77777777" w:rsidR="001178EE" w:rsidRPr="005759E7" w:rsidRDefault="002E1886" w:rsidP="007835D5">
            <w:pPr>
              <w:pStyle w:val="TableBody"/>
              <w:ind w:right="176"/>
              <w:rPr>
                <w:rFonts w:cs="Arial"/>
                <w:szCs w:val="20"/>
              </w:rPr>
            </w:pPr>
            <w:r w:rsidRPr="005759E7">
              <w:rPr>
                <w:rFonts w:cs="Arial"/>
                <w:szCs w:val="20"/>
              </w:rPr>
              <w:t>Finalise consultation</w:t>
            </w:r>
            <w:r w:rsidR="007835D5" w:rsidRPr="005759E7">
              <w:rPr>
                <w:rFonts w:cs="Arial"/>
                <w:szCs w:val="20"/>
              </w:rPr>
              <w:t xml:space="preserve">, which </w:t>
            </w:r>
            <w:r w:rsidRPr="005759E7">
              <w:rPr>
                <w:rFonts w:cs="Arial"/>
                <w:szCs w:val="20"/>
              </w:rPr>
              <w:t xml:space="preserve">commenced late 2017 </w:t>
            </w:r>
            <w:r w:rsidR="00121983" w:rsidRPr="005759E7">
              <w:rPr>
                <w:rFonts w:cs="Arial"/>
                <w:szCs w:val="20"/>
              </w:rPr>
              <w:t>by Q4 2017</w:t>
            </w:r>
            <w:r w:rsidR="00E6326B" w:rsidRPr="005759E7">
              <w:rPr>
                <w:rFonts w:cs="Arial"/>
                <w:szCs w:val="20"/>
              </w:rPr>
              <w:t>–</w:t>
            </w:r>
            <w:r w:rsidR="00121983" w:rsidRPr="005759E7">
              <w:rPr>
                <w:rFonts w:cs="Arial"/>
                <w:szCs w:val="20"/>
              </w:rPr>
              <w:t>18</w:t>
            </w:r>
            <w:r w:rsidR="007835D5" w:rsidRPr="005759E7">
              <w:rPr>
                <w:rFonts w:cs="Arial"/>
                <w:szCs w:val="20"/>
              </w:rPr>
              <w:t>. F</w:t>
            </w:r>
            <w:r w:rsidR="00135353" w:rsidRPr="005759E7">
              <w:rPr>
                <w:rFonts w:cs="Arial"/>
                <w:szCs w:val="20"/>
              </w:rPr>
              <w:t>urther reviews of</w:t>
            </w:r>
            <w:r w:rsidRPr="005759E7">
              <w:rPr>
                <w:rFonts w:cs="Arial"/>
                <w:szCs w:val="20"/>
              </w:rPr>
              <w:t xml:space="preserve"> LIPD regulatory arrangements </w:t>
            </w:r>
            <w:r w:rsidR="00135353" w:rsidRPr="005759E7">
              <w:rPr>
                <w:rFonts w:cs="Arial"/>
                <w:szCs w:val="20"/>
              </w:rPr>
              <w:t>subject to considerations of requests from industry</w:t>
            </w:r>
            <w:r w:rsidR="00447762">
              <w:rPr>
                <w:rFonts w:cs="Arial"/>
                <w:szCs w:val="20"/>
              </w:rPr>
              <w:t xml:space="preserve"> </w:t>
            </w:r>
          </w:p>
        </w:tc>
        <w:tc>
          <w:tcPr>
            <w:tcW w:w="842" w:type="pct"/>
            <w:shd w:val="clear" w:color="auto" w:fill="F2F2F2" w:themeFill="background1" w:themeFillShade="F2"/>
          </w:tcPr>
          <w:p w14:paraId="2ED2E425" w14:textId="77777777" w:rsidR="001178EE" w:rsidRPr="005759E7" w:rsidRDefault="00B02C86" w:rsidP="002E1886">
            <w:pPr>
              <w:pStyle w:val="TableBody"/>
              <w:rPr>
                <w:rFonts w:cs="Arial"/>
                <w:szCs w:val="20"/>
              </w:rPr>
            </w:pPr>
            <w:r w:rsidRPr="005759E7">
              <w:rPr>
                <w:rFonts w:cs="Arial"/>
                <w:szCs w:val="20"/>
              </w:rPr>
              <w:t xml:space="preserve">Ongoing </w:t>
            </w:r>
          </w:p>
        </w:tc>
      </w:tr>
      <w:tr w:rsidR="001178EE" w:rsidRPr="006D46E5" w14:paraId="5C921178" w14:textId="77777777" w:rsidTr="00BE6916">
        <w:tc>
          <w:tcPr>
            <w:tcW w:w="1201" w:type="pct"/>
            <w:shd w:val="clear" w:color="auto" w:fill="auto"/>
          </w:tcPr>
          <w:p w14:paraId="3A6BB655" w14:textId="77777777" w:rsidR="001178EE" w:rsidRPr="005759E7" w:rsidRDefault="001178EE" w:rsidP="0027128C">
            <w:pPr>
              <w:pStyle w:val="TableBody"/>
              <w:ind w:right="176"/>
              <w:rPr>
                <w:rFonts w:cs="Arial"/>
                <w:szCs w:val="20"/>
              </w:rPr>
            </w:pPr>
            <w:r w:rsidRPr="005759E7">
              <w:rPr>
                <w:rFonts w:cs="Arial"/>
                <w:szCs w:val="20"/>
              </w:rPr>
              <w:t>Internet of Things (IoT)</w:t>
            </w:r>
          </w:p>
        </w:tc>
        <w:tc>
          <w:tcPr>
            <w:tcW w:w="2957" w:type="pct"/>
            <w:shd w:val="clear" w:color="auto" w:fill="auto"/>
          </w:tcPr>
          <w:p w14:paraId="513EBA1D" w14:textId="77777777" w:rsidR="001178EE" w:rsidRPr="005759E7" w:rsidRDefault="002E1886" w:rsidP="00440EAF">
            <w:pPr>
              <w:pStyle w:val="TableBody"/>
              <w:ind w:right="176"/>
              <w:rPr>
                <w:rFonts w:cs="Arial"/>
                <w:szCs w:val="20"/>
              </w:rPr>
            </w:pPr>
            <w:r w:rsidRPr="005759E7">
              <w:rPr>
                <w:rFonts w:cs="Arial"/>
                <w:szCs w:val="20"/>
              </w:rPr>
              <w:t>Facilitation of early access to the 928</w:t>
            </w:r>
            <w:r w:rsidR="007835D5" w:rsidRPr="005759E7">
              <w:rPr>
                <w:rFonts w:cs="Arial"/>
                <w:szCs w:val="20"/>
              </w:rPr>
              <w:t>–</w:t>
            </w:r>
            <w:r w:rsidRPr="005759E7">
              <w:rPr>
                <w:rFonts w:cs="Arial"/>
                <w:szCs w:val="20"/>
              </w:rPr>
              <w:t xml:space="preserve">935 MHz band </w:t>
            </w:r>
            <w:r w:rsidRPr="002B2257">
              <w:rPr>
                <w:rFonts w:cs="Arial"/>
                <w:szCs w:val="20"/>
              </w:rPr>
              <w:t>for low power wide area</w:t>
            </w:r>
            <w:r w:rsidRPr="005759E7">
              <w:rPr>
                <w:rFonts w:cs="Arial"/>
                <w:szCs w:val="20"/>
              </w:rPr>
              <w:t xml:space="preserve"> IoT applications</w:t>
            </w:r>
          </w:p>
        </w:tc>
        <w:tc>
          <w:tcPr>
            <w:tcW w:w="842" w:type="pct"/>
            <w:shd w:val="clear" w:color="auto" w:fill="auto"/>
          </w:tcPr>
          <w:p w14:paraId="6E76BF34" w14:textId="77777777" w:rsidR="001178EE" w:rsidRPr="005759E7" w:rsidRDefault="001178EE" w:rsidP="002E1886">
            <w:pPr>
              <w:pStyle w:val="TableBody"/>
              <w:rPr>
                <w:rFonts w:cs="Arial"/>
                <w:szCs w:val="20"/>
              </w:rPr>
            </w:pPr>
            <w:r w:rsidRPr="005759E7">
              <w:rPr>
                <w:rFonts w:cs="Arial"/>
                <w:szCs w:val="20"/>
              </w:rPr>
              <w:t xml:space="preserve">Ongoing </w:t>
            </w:r>
          </w:p>
        </w:tc>
      </w:tr>
    </w:tbl>
    <w:p w14:paraId="6AB511DE" w14:textId="77777777" w:rsidR="0058077F" w:rsidRDefault="0058077F" w:rsidP="005759E7">
      <w:pPr>
        <w:pStyle w:val="ACMASpaceaftertable"/>
      </w:pPr>
    </w:p>
    <w:p w14:paraId="3F7B535B" w14:textId="77777777" w:rsidR="00201FB7" w:rsidRDefault="00CB2B01" w:rsidP="00201FB7">
      <w:pPr>
        <w:pStyle w:val="ACMATableHeader"/>
      </w:pPr>
      <w:r>
        <w:t>Major price-based allocations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2527"/>
        <w:gridCol w:w="5134"/>
      </w:tblGrid>
      <w:tr w:rsidR="009116B7" w:rsidRPr="006D46E5" w14:paraId="54E3427B" w14:textId="77777777" w:rsidTr="00BE6916">
        <w:tc>
          <w:tcPr>
            <w:tcW w:w="1649" w:type="pct"/>
            <w:shd w:val="clear" w:color="auto" w:fill="404040" w:themeFill="text1" w:themeFillTint="BF"/>
          </w:tcPr>
          <w:p w14:paraId="79399E80" w14:textId="77777777" w:rsidR="009116B7" w:rsidRPr="006D46E5" w:rsidRDefault="009116B7">
            <w:pPr>
              <w:pStyle w:val="TableHeading"/>
              <w:rPr>
                <w:rFonts w:cs="Arial"/>
                <w:color w:val="FFFFFF" w:themeColor="background1"/>
              </w:rPr>
            </w:pPr>
            <w:r>
              <w:rPr>
                <w:rFonts w:cs="Arial"/>
                <w:color w:val="FFFFFF" w:themeColor="background1"/>
              </w:rPr>
              <w:t>Project priorities</w:t>
            </w:r>
          </w:p>
        </w:tc>
        <w:tc>
          <w:tcPr>
            <w:tcW w:w="3351" w:type="pct"/>
            <w:shd w:val="clear" w:color="auto" w:fill="404040" w:themeFill="text1" w:themeFillTint="BF"/>
          </w:tcPr>
          <w:p w14:paraId="3282898A" w14:textId="77777777" w:rsidR="009116B7" w:rsidRPr="006D46E5" w:rsidRDefault="009116B7">
            <w:pPr>
              <w:pStyle w:val="TableHeading"/>
              <w:rPr>
                <w:rFonts w:cs="Arial"/>
                <w:color w:val="FFFFFF" w:themeColor="background1"/>
              </w:rPr>
            </w:pPr>
            <w:r>
              <w:rPr>
                <w:rFonts w:cs="Arial"/>
                <w:color w:val="FFFFFF" w:themeColor="background1"/>
              </w:rPr>
              <w:t>Proposed timelines</w:t>
            </w:r>
          </w:p>
        </w:tc>
      </w:tr>
      <w:tr w:rsidR="009116B7" w:rsidRPr="006D46E5" w14:paraId="35888D53" w14:textId="77777777" w:rsidTr="00BE6916">
        <w:tc>
          <w:tcPr>
            <w:tcW w:w="1649" w:type="pct"/>
          </w:tcPr>
          <w:p w14:paraId="2D7A503C" w14:textId="77777777" w:rsidR="009116B7" w:rsidRPr="005759E7" w:rsidRDefault="009116B7" w:rsidP="0027128C">
            <w:pPr>
              <w:pStyle w:val="TableBody"/>
              <w:rPr>
                <w:rFonts w:cs="Arial"/>
                <w:szCs w:val="20"/>
              </w:rPr>
            </w:pPr>
            <w:r w:rsidRPr="005759E7">
              <w:rPr>
                <w:rFonts w:cs="Arial"/>
                <w:szCs w:val="20"/>
              </w:rPr>
              <w:t>3.6 GHz</w:t>
            </w:r>
          </w:p>
        </w:tc>
        <w:tc>
          <w:tcPr>
            <w:tcW w:w="3351" w:type="pct"/>
          </w:tcPr>
          <w:p w14:paraId="4864E8AF" w14:textId="77777777" w:rsidR="009116B7" w:rsidRPr="005759E7" w:rsidRDefault="00147B0D" w:rsidP="00CB2B01">
            <w:pPr>
              <w:pStyle w:val="TableBody"/>
              <w:spacing w:after="120"/>
              <w:rPr>
                <w:rFonts w:cs="Arial"/>
                <w:szCs w:val="20"/>
              </w:rPr>
            </w:pPr>
            <w:r>
              <w:rPr>
                <w:rFonts w:cs="Arial"/>
                <w:szCs w:val="20"/>
              </w:rPr>
              <w:t>Q4</w:t>
            </w:r>
            <w:r w:rsidR="00CB2B01">
              <w:rPr>
                <w:rFonts w:cs="Arial"/>
                <w:szCs w:val="20"/>
              </w:rPr>
              <w:t xml:space="preserve"> 2017–</w:t>
            </w:r>
            <w:r w:rsidR="00A5154C">
              <w:rPr>
                <w:rFonts w:cs="Arial"/>
                <w:szCs w:val="20"/>
              </w:rPr>
              <w:t xml:space="preserve">18: </w:t>
            </w:r>
            <w:r w:rsidR="00D456EC" w:rsidRPr="005759E7">
              <w:rPr>
                <w:rFonts w:cs="Arial"/>
                <w:szCs w:val="20"/>
              </w:rPr>
              <w:t>F</w:t>
            </w:r>
            <w:r w:rsidR="009116B7" w:rsidRPr="005759E7">
              <w:rPr>
                <w:rFonts w:cs="Arial"/>
                <w:szCs w:val="20"/>
              </w:rPr>
              <w:t>inal applicant information pack released</w:t>
            </w:r>
          </w:p>
          <w:p w14:paraId="623F6813" w14:textId="77777777" w:rsidR="009116B7" w:rsidRPr="005759E7" w:rsidRDefault="009116B7" w:rsidP="00DA7873">
            <w:pPr>
              <w:pStyle w:val="TableBody"/>
              <w:rPr>
                <w:rFonts w:cs="Arial"/>
                <w:szCs w:val="20"/>
              </w:rPr>
            </w:pPr>
            <w:r w:rsidRPr="005759E7">
              <w:rPr>
                <w:rFonts w:cs="Arial"/>
                <w:szCs w:val="20"/>
              </w:rPr>
              <w:t xml:space="preserve">Q2 </w:t>
            </w:r>
            <w:r w:rsidR="00CB2B01">
              <w:rPr>
                <w:rFonts w:cs="Arial"/>
                <w:szCs w:val="20"/>
              </w:rPr>
              <w:t>2018–</w:t>
            </w:r>
            <w:r w:rsidR="00A5154C">
              <w:rPr>
                <w:rFonts w:cs="Arial"/>
                <w:szCs w:val="20"/>
              </w:rPr>
              <w:t xml:space="preserve">19 </w:t>
            </w:r>
            <w:r w:rsidRPr="005759E7">
              <w:rPr>
                <w:rFonts w:cs="Arial"/>
                <w:szCs w:val="20"/>
              </w:rPr>
              <w:t>(October)</w:t>
            </w:r>
            <w:r w:rsidR="00D456EC" w:rsidRPr="005759E7">
              <w:rPr>
                <w:rFonts w:cs="Arial"/>
                <w:szCs w:val="20"/>
              </w:rPr>
              <w:t>:</w:t>
            </w:r>
            <w:r w:rsidRPr="005759E7">
              <w:rPr>
                <w:rFonts w:cs="Arial"/>
                <w:szCs w:val="20"/>
              </w:rPr>
              <w:t xml:space="preserve"> </w:t>
            </w:r>
            <w:r w:rsidR="00D456EC" w:rsidRPr="005759E7">
              <w:rPr>
                <w:rFonts w:cs="Arial"/>
                <w:szCs w:val="20"/>
              </w:rPr>
              <w:t>A</w:t>
            </w:r>
            <w:r w:rsidRPr="005759E7">
              <w:rPr>
                <w:rFonts w:cs="Arial"/>
                <w:szCs w:val="20"/>
              </w:rPr>
              <w:t xml:space="preserve">uction </w:t>
            </w:r>
            <w:r w:rsidR="00DA7873" w:rsidRPr="005759E7">
              <w:rPr>
                <w:rFonts w:cs="Arial"/>
                <w:szCs w:val="20"/>
              </w:rPr>
              <w:t>commence</w:t>
            </w:r>
            <w:r w:rsidR="00DA7873">
              <w:rPr>
                <w:rFonts w:cs="Arial"/>
                <w:szCs w:val="20"/>
              </w:rPr>
              <w:t>s</w:t>
            </w:r>
          </w:p>
        </w:tc>
      </w:tr>
      <w:tr w:rsidR="009116B7" w:rsidRPr="006D46E5" w14:paraId="30B39954" w14:textId="77777777" w:rsidTr="00BE6916">
        <w:tc>
          <w:tcPr>
            <w:tcW w:w="1649" w:type="pct"/>
            <w:shd w:val="clear" w:color="auto" w:fill="F2F2F2" w:themeFill="background1" w:themeFillShade="F2"/>
          </w:tcPr>
          <w:p w14:paraId="52A27C9F" w14:textId="77777777" w:rsidR="009116B7" w:rsidRPr="005759E7" w:rsidRDefault="009116B7" w:rsidP="001A5088">
            <w:pPr>
              <w:pStyle w:val="TableBody"/>
              <w:rPr>
                <w:rFonts w:cs="Arial"/>
                <w:szCs w:val="20"/>
              </w:rPr>
            </w:pPr>
            <w:r w:rsidRPr="005759E7">
              <w:rPr>
                <w:rFonts w:cs="Arial"/>
                <w:szCs w:val="20"/>
              </w:rPr>
              <w:t>26 GHz</w:t>
            </w:r>
          </w:p>
        </w:tc>
        <w:tc>
          <w:tcPr>
            <w:tcW w:w="3351" w:type="pct"/>
            <w:shd w:val="clear" w:color="auto" w:fill="F2F2F2" w:themeFill="background1" w:themeFillShade="F2"/>
          </w:tcPr>
          <w:p w14:paraId="3E93C6F0" w14:textId="77777777" w:rsidR="009116B7" w:rsidRPr="005759E7" w:rsidRDefault="009116B7" w:rsidP="00CB2B01">
            <w:pPr>
              <w:pStyle w:val="TableBody"/>
              <w:spacing w:after="120"/>
              <w:rPr>
                <w:rFonts w:cs="Arial"/>
                <w:szCs w:val="20"/>
              </w:rPr>
            </w:pPr>
            <w:r w:rsidRPr="005759E7">
              <w:rPr>
                <w:rFonts w:cs="Arial"/>
                <w:szCs w:val="20"/>
              </w:rPr>
              <w:t>Q</w:t>
            </w:r>
            <w:r w:rsidR="00E74B57">
              <w:rPr>
                <w:rFonts w:cs="Arial"/>
                <w:szCs w:val="20"/>
              </w:rPr>
              <w:t>2</w:t>
            </w:r>
            <w:r w:rsidR="00CB2B01">
              <w:rPr>
                <w:rFonts w:cs="Arial"/>
                <w:szCs w:val="20"/>
              </w:rPr>
              <w:t xml:space="preserve"> 2018–</w:t>
            </w:r>
            <w:r w:rsidR="00A5154C">
              <w:rPr>
                <w:rFonts w:cs="Arial"/>
                <w:szCs w:val="20"/>
              </w:rPr>
              <w:t>19</w:t>
            </w:r>
            <w:r w:rsidR="00D456EC" w:rsidRPr="005759E7">
              <w:rPr>
                <w:rFonts w:cs="Arial"/>
                <w:szCs w:val="20"/>
              </w:rPr>
              <w:t>:</w:t>
            </w:r>
            <w:r w:rsidRPr="005759E7">
              <w:rPr>
                <w:rFonts w:cs="Arial"/>
                <w:szCs w:val="20"/>
              </w:rPr>
              <w:t xml:space="preserve"> ACMA planning decision*</w:t>
            </w:r>
          </w:p>
          <w:p w14:paraId="4643C399" w14:textId="77777777" w:rsidR="009116B7" w:rsidRPr="005759E7" w:rsidRDefault="009116B7" w:rsidP="001A5088">
            <w:pPr>
              <w:pStyle w:val="TableBody"/>
              <w:rPr>
                <w:rFonts w:cs="Arial"/>
                <w:szCs w:val="20"/>
              </w:rPr>
            </w:pPr>
            <w:r w:rsidRPr="005759E7">
              <w:rPr>
                <w:rFonts w:cs="Arial"/>
                <w:szCs w:val="20"/>
              </w:rPr>
              <w:t>Q</w:t>
            </w:r>
            <w:r w:rsidR="00E74B57">
              <w:rPr>
                <w:rFonts w:cs="Arial"/>
                <w:szCs w:val="20"/>
              </w:rPr>
              <w:t>3</w:t>
            </w:r>
            <w:r w:rsidR="00CB2B01">
              <w:rPr>
                <w:rFonts w:cs="Arial"/>
                <w:szCs w:val="20"/>
              </w:rPr>
              <w:t xml:space="preserve"> 2018–</w:t>
            </w:r>
            <w:r w:rsidR="00A5154C">
              <w:rPr>
                <w:rFonts w:cs="Arial"/>
                <w:szCs w:val="20"/>
              </w:rPr>
              <w:t>19</w:t>
            </w:r>
            <w:r w:rsidR="00D456EC" w:rsidRPr="005759E7">
              <w:rPr>
                <w:rFonts w:cs="Arial"/>
                <w:szCs w:val="20"/>
              </w:rPr>
              <w:t>:</w:t>
            </w:r>
            <w:r w:rsidRPr="005759E7">
              <w:rPr>
                <w:rFonts w:cs="Arial"/>
                <w:szCs w:val="20"/>
              </w:rPr>
              <w:t xml:space="preserve"> </w:t>
            </w:r>
            <w:r w:rsidR="00D456EC" w:rsidRPr="008B6F4A">
              <w:rPr>
                <w:rFonts w:cs="Arial"/>
                <w:szCs w:val="20"/>
              </w:rPr>
              <w:t>R</w:t>
            </w:r>
            <w:r w:rsidRPr="008B6F4A">
              <w:rPr>
                <w:rFonts w:cs="Arial"/>
                <w:szCs w:val="20"/>
              </w:rPr>
              <w:t>eallocation</w:t>
            </w:r>
            <w:r w:rsidRPr="005759E7">
              <w:rPr>
                <w:rFonts w:cs="Arial"/>
                <w:szCs w:val="20"/>
              </w:rPr>
              <w:t xml:space="preserve"> decision</w:t>
            </w:r>
          </w:p>
        </w:tc>
      </w:tr>
      <w:tr w:rsidR="009116B7" w:rsidRPr="006D46E5" w14:paraId="603265FF" w14:textId="77777777" w:rsidTr="00BE6916">
        <w:tc>
          <w:tcPr>
            <w:tcW w:w="1649" w:type="pct"/>
          </w:tcPr>
          <w:p w14:paraId="750DEFB3" w14:textId="77777777" w:rsidR="009116B7" w:rsidRPr="005759E7" w:rsidRDefault="009116B7" w:rsidP="0027128C">
            <w:pPr>
              <w:pStyle w:val="TableBody"/>
              <w:rPr>
                <w:rFonts w:cs="Arial"/>
                <w:szCs w:val="20"/>
              </w:rPr>
            </w:pPr>
            <w:r w:rsidRPr="005759E7">
              <w:rPr>
                <w:rFonts w:cs="Arial"/>
                <w:szCs w:val="20"/>
              </w:rPr>
              <w:t>850/900 MHz</w:t>
            </w:r>
          </w:p>
        </w:tc>
        <w:tc>
          <w:tcPr>
            <w:tcW w:w="3351" w:type="pct"/>
          </w:tcPr>
          <w:p w14:paraId="32B18B1B" w14:textId="77777777" w:rsidR="009116B7" w:rsidRPr="005759E7" w:rsidRDefault="009116B7" w:rsidP="00836444">
            <w:pPr>
              <w:pStyle w:val="TableBody"/>
              <w:rPr>
                <w:rFonts w:cs="Arial"/>
                <w:szCs w:val="20"/>
              </w:rPr>
            </w:pPr>
            <w:r w:rsidRPr="005759E7">
              <w:rPr>
                <w:rFonts w:cs="Arial"/>
                <w:szCs w:val="20"/>
              </w:rPr>
              <w:t>Q2</w:t>
            </w:r>
            <w:r w:rsidR="00CB2B01">
              <w:rPr>
                <w:rFonts w:cs="Arial"/>
                <w:szCs w:val="20"/>
              </w:rPr>
              <w:t xml:space="preserve"> 2018–</w:t>
            </w:r>
            <w:r w:rsidR="00A5154C">
              <w:rPr>
                <w:rFonts w:cs="Arial"/>
                <w:szCs w:val="20"/>
              </w:rPr>
              <w:t>19</w:t>
            </w:r>
            <w:r w:rsidR="00D456EC" w:rsidRPr="005759E7">
              <w:rPr>
                <w:rFonts w:cs="Arial"/>
                <w:szCs w:val="20"/>
              </w:rPr>
              <w:t>:</w:t>
            </w:r>
            <w:r w:rsidRPr="005759E7">
              <w:rPr>
                <w:rFonts w:cs="Arial"/>
                <w:szCs w:val="20"/>
              </w:rPr>
              <w:t xml:space="preserve"> </w:t>
            </w:r>
            <w:r w:rsidR="00F65F83">
              <w:rPr>
                <w:rFonts w:cs="Arial"/>
                <w:szCs w:val="20"/>
              </w:rPr>
              <w:t>Finalisation of reconfiguration method for 900 MHz band and associated timeframes</w:t>
            </w:r>
          </w:p>
        </w:tc>
      </w:tr>
      <w:tr w:rsidR="009116B7" w:rsidRPr="006D46E5" w14:paraId="5F0668DD" w14:textId="77777777" w:rsidTr="00BE6916">
        <w:tc>
          <w:tcPr>
            <w:tcW w:w="1649" w:type="pct"/>
            <w:shd w:val="clear" w:color="auto" w:fill="F2F2F2" w:themeFill="background1" w:themeFillShade="F2"/>
          </w:tcPr>
          <w:p w14:paraId="087FC3A7" w14:textId="77777777" w:rsidR="009116B7" w:rsidRPr="005759E7" w:rsidRDefault="009116B7" w:rsidP="0027128C">
            <w:pPr>
              <w:pStyle w:val="TableBody"/>
              <w:rPr>
                <w:rFonts w:cs="Arial"/>
                <w:szCs w:val="20"/>
              </w:rPr>
            </w:pPr>
            <w:r w:rsidRPr="005759E7">
              <w:rPr>
                <w:rFonts w:cs="Arial"/>
                <w:szCs w:val="20"/>
              </w:rPr>
              <w:t>1.5 GHz</w:t>
            </w:r>
          </w:p>
        </w:tc>
        <w:tc>
          <w:tcPr>
            <w:tcW w:w="3351" w:type="pct"/>
            <w:shd w:val="clear" w:color="auto" w:fill="F2F2F2" w:themeFill="background1" w:themeFillShade="F2"/>
          </w:tcPr>
          <w:p w14:paraId="2881933E" w14:textId="77777777" w:rsidR="008D15BC" w:rsidRDefault="009116B7" w:rsidP="00CB2B01">
            <w:pPr>
              <w:pStyle w:val="TableBody"/>
              <w:spacing w:after="120"/>
              <w:rPr>
                <w:rFonts w:cs="Arial"/>
                <w:szCs w:val="20"/>
              </w:rPr>
            </w:pPr>
            <w:r w:rsidRPr="005759E7">
              <w:rPr>
                <w:rFonts w:cs="Arial"/>
                <w:szCs w:val="20"/>
              </w:rPr>
              <w:t>Q</w:t>
            </w:r>
            <w:r w:rsidR="00DF3A88" w:rsidRPr="005759E7">
              <w:rPr>
                <w:rFonts w:cs="Arial"/>
                <w:szCs w:val="20"/>
              </w:rPr>
              <w:t>3</w:t>
            </w:r>
            <w:r w:rsidR="00CB2B01">
              <w:rPr>
                <w:rFonts w:cs="Arial"/>
                <w:szCs w:val="20"/>
              </w:rPr>
              <w:t xml:space="preserve"> 2018–</w:t>
            </w:r>
            <w:r w:rsidR="00A5154C">
              <w:rPr>
                <w:rFonts w:cs="Arial"/>
                <w:szCs w:val="20"/>
              </w:rPr>
              <w:t>19</w:t>
            </w:r>
            <w:r w:rsidR="00D456EC" w:rsidRPr="005759E7">
              <w:rPr>
                <w:rFonts w:cs="Arial"/>
                <w:szCs w:val="20"/>
              </w:rPr>
              <w:t>:</w:t>
            </w:r>
            <w:r w:rsidR="00DF3A88" w:rsidRPr="005759E7">
              <w:rPr>
                <w:rFonts w:cs="Arial"/>
                <w:szCs w:val="20"/>
              </w:rPr>
              <w:t xml:space="preserve"> </w:t>
            </w:r>
            <w:r w:rsidRPr="005759E7">
              <w:rPr>
                <w:rFonts w:cs="Arial"/>
                <w:szCs w:val="20"/>
              </w:rPr>
              <w:t xml:space="preserve">ACMA planning </w:t>
            </w:r>
            <w:r w:rsidR="00DF3A88" w:rsidRPr="005759E7">
              <w:rPr>
                <w:rFonts w:cs="Arial"/>
                <w:szCs w:val="20"/>
              </w:rPr>
              <w:t>options</w:t>
            </w:r>
            <w:r w:rsidR="00CB2B01">
              <w:rPr>
                <w:rFonts w:cs="Arial"/>
                <w:szCs w:val="20"/>
              </w:rPr>
              <w:t xml:space="preserve"> development</w:t>
            </w:r>
            <w:r w:rsidR="00201FB7">
              <w:rPr>
                <w:rFonts w:cs="Arial"/>
                <w:szCs w:val="20"/>
              </w:rPr>
              <w:t xml:space="preserve">  </w:t>
            </w:r>
          </w:p>
          <w:p w14:paraId="0DFA867F" w14:textId="77777777" w:rsidR="009116B7" w:rsidRPr="005759E7" w:rsidRDefault="00CB2B01" w:rsidP="00EB3D99">
            <w:pPr>
              <w:pStyle w:val="TableBody"/>
              <w:rPr>
                <w:rFonts w:cs="Arial"/>
                <w:szCs w:val="20"/>
              </w:rPr>
            </w:pPr>
            <w:r>
              <w:rPr>
                <w:rFonts w:cs="Arial"/>
                <w:szCs w:val="20"/>
              </w:rPr>
              <w:t>Q1 2019–</w:t>
            </w:r>
            <w:r w:rsidR="00201FB7">
              <w:rPr>
                <w:rFonts w:cs="Arial"/>
                <w:szCs w:val="20"/>
              </w:rPr>
              <w:t>20</w:t>
            </w:r>
            <w:r w:rsidR="00E74B57">
              <w:rPr>
                <w:rFonts w:cs="Arial"/>
                <w:szCs w:val="20"/>
              </w:rPr>
              <w:t>: ACMA planning decision</w:t>
            </w:r>
            <w:r w:rsidR="009116B7" w:rsidRPr="005759E7">
              <w:rPr>
                <w:rFonts w:cs="Arial"/>
                <w:szCs w:val="20"/>
              </w:rPr>
              <w:t>*</w:t>
            </w:r>
          </w:p>
        </w:tc>
      </w:tr>
    </w:tbl>
    <w:p w14:paraId="13F1BF01" w14:textId="77777777" w:rsidR="009116B7" w:rsidRDefault="009116B7" w:rsidP="001B50D7">
      <w:pPr>
        <w:pStyle w:val="ACMANotes"/>
      </w:pPr>
      <w:r>
        <w:t xml:space="preserve">*Based on Scenario 1 in the forward allocation </w:t>
      </w:r>
      <w:r w:rsidR="00BA6010">
        <w:t>work plan</w:t>
      </w:r>
    </w:p>
    <w:p w14:paraId="3C393F3D" w14:textId="77777777" w:rsidR="001A5088" w:rsidRDefault="001A5088" w:rsidP="005759E7">
      <w:pPr>
        <w:pStyle w:val="ACMASpaceaftertable"/>
      </w:pPr>
    </w:p>
    <w:p w14:paraId="7B3BD1A3" w14:textId="77777777" w:rsidR="009116B7" w:rsidRDefault="009116B7" w:rsidP="00F57787">
      <w:pPr>
        <w:pStyle w:val="ACMATableHeader"/>
      </w:pPr>
      <w:r>
        <w:t xml:space="preserve">Regulatory review and reform (Spectrum </w:t>
      </w:r>
      <w:r w:rsidR="00D456EC">
        <w:t>R</w:t>
      </w:r>
      <w:r>
        <w:t>eview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2648"/>
        <w:gridCol w:w="5013"/>
      </w:tblGrid>
      <w:tr w:rsidR="009116B7" w:rsidRPr="006D46E5" w14:paraId="550746E7" w14:textId="77777777" w:rsidTr="00BE6916">
        <w:trPr>
          <w:tblHeader/>
        </w:trPr>
        <w:tc>
          <w:tcPr>
            <w:tcW w:w="1728" w:type="pct"/>
            <w:shd w:val="clear" w:color="auto" w:fill="404040" w:themeFill="text1" w:themeFillTint="BF"/>
          </w:tcPr>
          <w:p w14:paraId="40E6492F" w14:textId="77777777" w:rsidR="009116B7" w:rsidRPr="006D46E5" w:rsidRDefault="009116B7">
            <w:pPr>
              <w:pStyle w:val="TableHeading"/>
              <w:rPr>
                <w:rFonts w:cs="Arial"/>
                <w:color w:val="FFFFFF" w:themeColor="background1"/>
              </w:rPr>
            </w:pPr>
            <w:r>
              <w:rPr>
                <w:rFonts w:cs="Arial"/>
                <w:color w:val="FFFFFF" w:themeColor="background1"/>
              </w:rPr>
              <w:t>Project priorities</w:t>
            </w:r>
          </w:p>
        </w:tc>
        <w:tc>
          <w:tcPr>
            <w:tcW w:w="3272" w:type="pct"/>
            <w:shd w:val="clear" w:color="auto" w:fill="404040" w:themeFill="text1" w:themeFillTint="BF"/>
          </w:tcPr>
          <w:p w14:paraId="5D926A5D" w14:textId="77777777" w:rsidR="009116B7" w:rsidRPr="006D46E5" w:rsidRDefault="009116B7">
            <w:pPr>
              <w:pStyle w:val="TableHeading"/>
              <w:rPr>
                <w:rFonts w:cs="Arial"/>
                <w:color w:val="FFFFFF" w:themeColor="background1"/>
              </w:rPr>
            </w:pPr>
            <w:r>
              <w:rPr>
                <w:rFonts w:cs="Arial"/>
                <w:color w:val="FFFFFF" w:themeColor="background1"/>
              </w:rPr>
              <w:t>Proposed timelines</w:t>
            </w:r>
          </w:p>
        </w:tc>
      </w:tr>
      <w:tr w:rsidR="009116B7" w:rsidRPr="006D46E5" w14:paraId="1D216C14" w14:textId="77777777" w:rsidTr="00BE6916">
        <w:tc>
          <w:tcPr>
            <w:tcW w:w="1728" w:type="pct"/>
          </w:tcPr>
          <w:p w14:paraId="1337F2F3" w14:textId="77777777" w:rsidR="009116B7" w:rsidRPr="005759E7" w:rsidRDefault="009116B7" w:rsidP="0027128C">
            <w:pPr>
              <w:pStyle w:val="TableBody"/>
              <w:rPr>
                <w:rFonts w:cs="Arial"/>
                <w:szCs w:val="20"/>
              </w:rPr>
            </w:pPr>
            <w:r w:rsidRPr="005759E7">
              <w:rPr>
                <w:rFonts w:cs="Arial"/>
                <w:szCs w:val="20"/>
              </w:rPr>
              <w:t>Annual work program</w:t>
            </w:r>
          </w:p>
        </w:tc>
        <w:tc>
          <w:tcPr>
            <w:tcW w:w="3272" w:type="pct"/>
          </w:tcPr>
          <w:p w14:paraId="646FFE63" w14:textId="77777777" w:rsidR="009704FD" w:rsidRDefault="009704FD" w:rsidP="00CB2B01">
            <w:pPr>
              <w:pStyle w:val="TableBody"/>
              <w:spacing w:after="120"/>
              <w:rPr>
                <w:rFonts w:cs="Arial"/>
                <w:szCs w:val="20"/>
              </w:rPr>
            </w:pPr>
            <w:r w:rsidRPr="005759E7">
              <w:rPr>
                <w:rFonts w:cs="Arial"/>
                <w:szCs w:val="20"/>
              </w:rPr>
              <w:t>Q1: Publish final program</w:t>
            </w:r>
          </w:p>
          <w:p w14:paraId="377EF8F4" w14:textId="77777777" w:rsidR="009116B7" w:rsidRPr="005759E7" w:rsidRDefault="009116B7">
            <w:pPr>
              <w:pStyle w:val="TableBody"/>
              <w:rPr>
                <w:rFonts w:cs="Arial"/>
                <w:szCs w:val="20"/>
              </w:rPr>
            </w:pPr>
            <w:r w:rsidRPr="005759E7">
              <w:rPr>
                <w:rFonts w:cs="Arial"/>
                <w:szCs w:val="20"/>
              </w:rPr>
              <w:t>Q4</w:t>
            </w:r>
            <w:r w:rsidR="00D456EC" w:rsidRPr="005759E7">
              <w:rPr>
                <w:rFonts w:cs="Arial"/>
                <w:szCs w:val="20"/>
              </w:rPr>
              <w:t>:</w:t>
            </w:r>
            <w:r w:rsidRPr="005759E7">
              <w:rPr>
                <w:rFonts w:cs="Arial"/>
                <w:szCs w:val="20"/>
              </w:rPr>
              <w:t xml:space="preserve"> Consult on draft work program</w:t>
            </w:r>
          </w:p>
        </w:tc>
      </w:tr>
      <w:tr w:rsidR="009116B7" w:rsidRPr="006D46E5" w14:paraId="0B043361" w14:textId="77777777" w:rsidTr="00BE6916">
        <w:tc>
          <w:tcPr>
            <w:tcW w:w="1728" w:type="pct"/>
            <w:shd w:val="clear" w:color="auto" w:fill="F2F2F2" w:themeFill="background1" w:themeFillShade="F2"/>
          </w:tcPr>
          <w:p w14:paraId="263C0107" w14:textId="77777777" w:rsidR="009116B7" w:rsidRPr="005759E7" w:rsidRDefault="009116B7" w:rsidP="0027128C">
            <w:pPr>
              <w:pStyle w:val="TableBody"/>
              <w:rPr>
                <w:rFonts w:cs="Arial"/>
                <w:szCs w:val="20"/>
              </w:rPr>
            </w:pPr>
            <w:r w:rsidRPr="005759E7">
              <w:rPr>
                <w:rFonts w:cs="Arial"/>
                <w:szCs w:val="20"/>
              </w:rPr>
              <w:t>Planning and technical frameworks</w:t>
            </w:r>
          </w:p>
        </w:tc>
        <w:tc>
          <w:tcPr>
            <w:tcW w:w="3272" w:type="pct"/>
            <w:shd w:val="clear" w:color="auto" w:fill="F2F2F2" w:themeFill="background1" w:themeFillShade="F2"/>
          </w:tcPr>
          <w:p w14:paraId="67002123" w14:textId="77777777" w:rsidR="009116B7" w:rsidRPr="005759E7" w:rsidRDefault="009116B7" w:rsidP="00D456EC">
            <w:pPr>
              <w:pStyle w:val="TableBody"/>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r w:rsidR="009116B7" w:rsidRPr="006D46E5" w14:paraId="4AC74813" w14:textId="77777777" w:rsidTr="00BE6916">
        <w:tc>
          <w:tcPr>
            <w:tcW w:w="1728" w:type="pct"/>
          </w:tcPr>
          <w:p w14:paraId="3B33C6C9" w14:textId="77777777" w:rsidR="009116B7" w:rsidRPr="005759E7" w:rsidRDefault="009116B7" w:rsidP="0027128C">
            <w:pPr>
              <w:pStyle w:val="TableBody"/>
              <w:rPr>
                <w:rFonts w:cs="Arial"/>
                <w:szCs w:val="20"/>
              </w:rPr>
            </w:pPr>
            <w:r w:rsidRPr="005759E7">
              <w:rPr>
                <w:rFonts w:cs="Arial"/>
                <w:szCs w:val="20"/>
              </w:rPr>
              <w:t>Licensing and licensing transition</w:t>
            </w:r>
          </w:p>
        </w:tc>
        <w:tc>
          <w:tcPr>
            <w:tcW w:w="3272" w:type="pct"/>
          </w:tcPr>
          <w:p w14:paraId="4C5DEFD9" w14:textId="77777777" w:rsidR="009116B7" w:rsidRPr="005759E7" w:rsidRDefault="009116B7" w:rsidP="00D456EC">
            <w:pPr>
              <w:pStyle w:val="TableBody"/>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r w:rsidR="009116B7" w:rsidRPr="006D46E5" w14:paraId="45C54096" w14:textId="77777777" w:rsidTr="00BE6916">
        <w:tc>
          <w:tcPr>
            <w:tcW w:w="1728" w:type="pct"/>
            <w:shd w:val="clear" w:color="auto" w:fill="F2F2F2" w:themeFill="background1" w:themeFillShade="F2"/>
          </w:tcPr>
          <w:p w14:paraId="5A24DE7D" w14:textId="77777777" w:rsidR="009116B7" w:rsidRPr="005759E7" w:rsidRDefault="009116B7">
            <w:pPr>
              <w:pStyle w:val="TableBody"/>
              <w:rPr>
                <w:rFonts w:cs="Arial"/>
                <w:szCs w:val="20"/>
              </w:rPr>
            </w:pPr>
            <w:r w:rsidRPr="005759E7">
              <w:rPr>
                <w:rFonts w:cs="Arial"/>
                <w:szCs w:val="20"/>
              </w:rPr>
              <w:t>Pricing review implementation</w:t>
            </w:r>
          </w:p>
        </w:tc>
        <w:tc>
          <w:tcPr>
            <w:tcW w:w="3272" w:type="pct"/>
            <w:shd w:val="clear" w:color="auto" w:fill="F2F2F2" w:themeFill="background1" w:themeFillShade="F2"/>
          </w:tcPr>
          <w:p w14:paraId="5378363A" w14:textId="77777777" w:rsidR="009116B7" w:rsidRPr="005759E7" w:rsidRDefault="009116B7" w:rsidP="00D456EC">
            <w:pPr>
              <w:pStyle w:val="TableBody"/>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r w:rsidR="009116B7" w:rsidRPr="006D46E5" w14:paraId="713B1039" w14:textId="77777777" w:rsidTr="00BE6916">
        <w:tc>
          <w:tcPr>
            <w:tcW w:w="1728" w:type="pct"/>
          </w:tcPr>
          <w:p w14:paraId="3B4B9B73" w14:textId="77777777" w:rsidR="009116B7" w:rsidRPr="005759E7" w:rsidRDefault="009116B7">
            <w:pPr>
              <w:pStyle w:val="TableBody"/>
              <w:rPr>
                <w:rFonts w:cs="Arial"/>
                <w:szCs w:val="20"/>
              </w:rPr>
            </w:pPr>
            <w:r w:rsidRPr="005759E7">
              <w:rPr>
                <w:rFonts w:cs="Arial"/>
                <w:szCs w:val="20"/>
              </w:rPr>
              <w:lastRenderedPageBreak/>
              <w:t>Equipment rules</w:t>
            </w:r>
          </w:p>
        </w:tc>
        <w:tc>
          <w:tcPr>
            <w:tcW w:w="3272" w:type="pct"/>
          </w:tcPr>
          <w:p w14:paraId="5E976643" w14:textId="77777777" w:rsidR="009116B7" w:rsidRPr="005759E7" w:rsidRDefault="009116B7" w:rsidP="00D456EC">
            <w:pPr>
              <w:pStyle w:val="TableBody"/>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r w:rsidR="009116B7" w:rsidRPr="006D46E5" w14:paraId="07FE67AF" w14:textId="77777777" w:rsidTr="00BE6916">
        <w:tc>
          <w:tcPr>
            <w:tcW w:w="1728" w:type="pct"/>
            <w:shd w:val="clear" w:color="auto" w:fill="F2F2F2" w:themeFill="background1" w:themeFillShade="F2"/>
          </w:tcPr>
          <w:p w14:paraId="01EA4C87" w14:textId="77777777" w:rsidR="009116B7" w:rsidRPr="005759E7" w:rsidRDefault="009116B7" w:rsidP="0027128C">
            <w:pPr>
              <w:pStyle w:val="TableBody"/>
              <w:rPr>
                <w:rFonts w:cs="Arial"/>
                <w:szCs w:val="20"/>
              </w:rPr>
            </w:pPr>
            <w:r w:rsidRPr="005759E7">
              <w:rPr>
                <w:rFonts w:cs="Arial"/>
                <w:szCs w:val="20"/>
              </w:rPr>
              <w:t xml:space="preserve">Accreditation arrangements </w:t>
            </w:r>
          </w:p>
        </w:tc>
        <w:tc>
          <w:tcPr>
            <w:tcW w:w="3272" w:type="pct"/>
            <w:shd w:val="clear" w:color="auto" w:fill="F2F2F2" w:themeFill="background1" w:themeFillShade="F2"/>
          </w:tcPr>
          <w:p w14:paraId="1486873A" w14:textId="77777777" w:rsidR="009116B7" w:rsidRPr="005759E7" w:rsidRDefault="009116B7" w:rsidP="00D456EC">
            <w:pPr>
              <w:pStyle w:val="TableBody"/>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bl>
    <w:p w14:paraId="45DC641D" w14:textId="77777777" w:rsidR="00557D3A" w:rsidRDefault="00557D3A" w:rsidP="005759E7">
      <w:pPr>
        <w:pStyle w:val="ACMASpaceaftertable"/>
      </w:pPr>
    </w:p>
    <w:p w14:paraId="32F98793" w14:textId="77777777" w:rsidR="009116B7" w:rsidRDefault="009116B7" w:rsidP="005759E7">
      <w:pPr>
        <w:pStyle w:val="ACMATableHeader"/>
        <w:keepNext/>
      </w:pPr>
      <w:r>
        <w:t>Licensing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2648"/>
        <w:gridCol w:w="5013"/>
      </w:tblGrid>
      <w:tr w:rsidR="009116B7" w:rsidRPr="006D46E5" w14:paraId="3BECDEB8" w14:textId="77777777" w:rsidTr="00BE6916">
        <w:trPr>
          <w:tblHeader/>
        </w:trPr>
        <w:tc>
          <w:tcPr>
            <w:tcW w:w="1728" w:type="pct"/>
            <w:shd w:val="clear" w:color="auto" w:fill="404040" w:themeFill="text1" w:themeFillTint="BF"/>
          </w:tcPr>
          <w:p w14:paraId="29D2E07B" w14:textId="77777777" w:rsidR="009116B7" w:rsidRPr="006D46E5" w:rsidRDefault="009116B7">
            <w:pPr>
              <w:pStyle w:val="TableHeading"/>
              <w:rPr>
                <w:rFonts w:cs="Arial"/>
                <w:color w:val="FFFFFF" w:themeColor="background1"/>
              </w:rPr>
            </w:pPr>
            <w:r>
              <w:rPr>
                <w:rFonts w:cs="Arial"/>
                <w:color w:val="FFFFFF" w:themeColor="background1"/>
              </w:rPr>
              <w:t>Project priorities</w:t>
            </w:r>
          </w:p>
        </w:tc>
        <w:tc>
          <w:tcPr>
            <w:tcW w:w="3272" w:type="pct"/>
            <w:shd w:val="clear" w:color="auto" w:fill="404040" w:themeFill="text1" w:themeFillTint="BF"/>
          </w:tcPr>
          <w:p w14:paraId="19FA8C81" w14:textId="77777777" w:rsidR="009116B7" w:rsidRPr="006D46E5" w:rsidRDefault="009116B7">
            <w:pPr>
              <w:pStyle w:val="TableHeading"/>
              <w:rPr>
                <w:rFonts w:cs="Arial"/>
                <w:color w:val="FFFFFF" w:themeColor="background1"/>
              </w:rPr>
            </w:pPr>
            <w:r>
              <w:rPr>
                <w:rFonts w:cs="Arial"/>
                <w:color w:val="FFFFFF" w:themeColor="background1"/>
              </w:rPr>
              <w:t>Proposed timelines</w:t>
            </w:r>
          </w:p>
        </w:tc>
      </w:tr>
      <w:tr w:rsidR="009116B7" w:rsidRPr="006D46E5" w14:paraId="648B2A17" w14:textId="77777777" w:rsidTr="00BE6916">
        <w:tc>
          <w:tcPr>
            <w:tcW w:w="1728" w:type="pct"/>
          </w:tcPr>
          <w:p w14:paraId="092918FB" w14:textId="77777777" w:rsidR="009116B7" w:rsidRPr="005759E7" w:rsidRDefault="009116B7" w:rsidP="0027128C">
            <w:pPr>
              <w:pStyle w:val="TableBody"/>
              <w:rPr>
                <w:rFonts w:cs="Arial"/>
                <w:szCs w:val="20"/>
              </w:rPr>
            </w:pPr>
            <w:r w:rsidRPr="005759E7">
              <w:rPr>
                <w:rFonts w:cs="Arial"/>
                <w:szCs w:val="20"/>
              </w:rPr>
              <w:t>Mobile phone jammers regulatory arrangements</w:t>
            </w:r>
          </w:p>
        </w:tc>
        <w:tc>
          <w:tcPr>
            <w:tcW w:w="3272" w:type="pct"/>
          </w:tcPr>
          <w:p w14:paraId="08B00A63" w14:textId="77777777" w:rsidR="009116B7" w:rsidRPr="005759E7" w:rsidRDefault="009116B7">
            <w:pPr>
              <w:pStyle w:val="TableBody"/>
              <w:rPr>
                <w:rFonts w:cs="Arial"/>
                <w:szCs w:val="20"/>
              </w:rPr>
            </w:pPr>
            <w:r w:rsidRPr="005759E7">
              <w:rPr>
                <w:rFonts w:cs="Arial"/>
                <w:szCs w:val="20"/>
              </w:rPr>
              <w:t>Q</w:t>
            </w:r>
            <w:r w:rsidR="0024592D" w:rsidRPr="005759E7">
              <w:rPr>
                <w:rFonts w:cs="Arial"/>
                <w:szCs w:val="20"/>
              </w:rPr>
              <w:t>1</w:t>
            </w:r>
            <w:r w:rsidR="00D456EC" w:rsidRPr="005759E7">
              <w:rPr>
                <w:rFonts w:cs="Arial"/>
                <w:szCs w:val="20"/>
              </w:rPr>
              <w:t>: R</w:t>
            </w:r>
            <w:r w:rsidRPr="005759E7">
              <w:rPr>
                <w:rFonts w:cs="Arial"/>
                <w:szCs w:val="20"/>
              </w:rPr>
              <w:t>eview of instruments due to expire in November 2018</w:t>
            </w:r>
          </w:p>
        </w:tc>
      </w:tr>
      <w:tr w:rsidR="00172B54" w:rsidRPr="006D46E5" w14:paraId="659AB928" w14:textId="77777777" w:rsidTr="00BE6916">
        <w:tc>
          <w:tcPr>
            <w:tcW w:w="1728" w:type="pct"/>
            <w:shd w:val="clear" w:color="auto" w:fill="F2F2F2" w:themeFill="background1" w:themeFillShade="F2"/>
          </w:tcPr>
          <w:p w14:paraId="49DAA20D" w14:textId="77777777" w:rsidR="00172B54" w:rsidRPr="005759E7" w:rsidRDefault="00172B54" w:rsidP="0027128C">
            <w:pPr>
              <w:pStyle w:val="TableBody"/>
              <w:rPr>
                <w:rFonts w:cs="Arial"/>
                <w:szCs w:val="20"/>
              </w:rPr>
            </w:pPr>
            <w:r>
              <w:rPr>
                <w:rFonts w:cs="Arial"/>
                <w:szCs w:val="20"/>
              </w:rPr>
              <w:t>Body scanners in airports</w:t>
            </w:r>
          </w:p>
        </w:tc>
        <w:tc>
          <w:tcPr>
            <w:tcW w:w="3272" w:type="pct"/>
            <w:shd w:val="clear" w:color="auto" w:fill="F2F2F2" w:themeFill="background1" w:themeFillShade="F2"/>
          </w:tcPr>
          <w:p w14:paraId="6387A390" w14:textId="77777777" w:rsidR="00172B54" w:rsidRPr="00172B54" w:rsidRDefault="00172B54" w:rsidP="00CB2B01">
            <w:pPr>
              <w:spacing w:after="0"/>
            </w:pPr>
            <w:r>
              <w:t>Q1: Finalise consultations and consider changes to the current applicable licensing during 2018–19.</w:t>
            </w:r>
          </w:p>
        </w:tc>
      </w:tr>
      <w:tr w:rsidR="009116B7" w:rsidRPr="006D46E5" w14:paraId="06F59381" w14:textId="77777777" w:rsidTr="00BE6916">
        <w:tc>
          <w:tcPr>
            <w:tcW w:w="1728" w:type="pct"/>
            <w:shd w:val="clear" w:color="auto" w:fill="auto"/>
          </w:tcPr>
          <w:p w14:paraId="7BBE184E" w14:textId="77777777" w:rsidR="009116B7" w:rsidRPr="005759E7" w:rsidRDefault="009116B7" w:rsidP="0027128C">
            <w:pPr>
              <w:pStyle w:val="TableBody"/>
              <w:rPr>
                <w:rFonts w:cs="Arial"/>
                <w:szCs w:val="20"/>
              </w:rPr>
            </w:pPr>
            <w:r w:rsidRPr="005759E7">
              <w:rPr>
                <w:rFonts w:cs="Arial"/>
                <w:szCs w:val="20"/>
              </w:rPr>
              <w:t>Renew amateur certificates of proficiency arrangements</w:t>
            </w:r>
          </w:p>
        </w:tc>
        <w:tc>
          <w:tcPr>
            <w:tcW w:w="3272" w:type="pct"/>
            <w:shd w:val="clear" w:color="auto" w:fill="auto"/>
          </w:tcPr>
          <w:p w14:paraId="46B7744D" w14:textId="77777777" w:rsidR="009116B7" w:rsidRPr="005759E7" w:rsidRDefault="009116B7">
            <w:pPr>
              <w:pStyle w:val="TableBody"/>
              <w:rPr>
                <w:rFonts w:cs="Arial"/>
                <w:szCs w:val="20"/>
              </w:rPr>
            </w:pPr>
            <w:r w:rsidRPr="005759E7">
              <w:rPr>
                <w:rFonts w:cs="Arial"/>
                <w:szCs w:val="20"/>
              </w:rPr>
              <w:t>Q2</w:t>
            </w:r>
            <w:r w:rsidR="00D456EC" w:rsidRPr="005759E7">
              <w:rPr>
                <w:rFonts w:cs="Arial"/>
                <w:szCs w:val="20"/>
              </w:rPr>
              <w:t>:</w:t>
            </w:r>
            <w:r w:rsidRPr="005759E7">
              <w:rPr>
                <w:rFonts w:cs="Arial"/>
                <w:szCs w:val="20"/>
              </w:rPr>
              <w:t xml:space="preserve"> </w:t>
            </w:r>
            <w:r w:rsidR="00D456EC" w:rsidRPr="005759E7">
              <w:rPr>
                <w:rFonts w:cs="Arial"/>
                <w:szCs w:val="20"/>
              </w:rPr>
              <w:t>F</w:t>
            </w:r>
            <w:r w:rsidRPr="005759E7">
              <w:rPr>
                <w:rFonts w:cs="Arial"/>
                <w:szCs w:val="20"/>
              </w:rPr>
              <w:t>inalise arrangements for certificates of proficiency before expiry of the current deed with WIA (February 2019)</w:t>
            </w:r>
          </w:p>
        </w:tc>
      </w:tr>
      <w:tr w:rsidR="009116B7" w:rsidRPr="006D46E5" w14:paraId="7E04424A" w14:textId="77777777" w:rsidTr="00BE6916">
        <w:trPr>
          <w:trHeight w:val="486"/>
        </w:trPr>
        <w:tc>
          <w:tcPr>
            <w:tcW w:w="1728" w:type="pct"/>
            <w:shd w:val="clear" w:color="auto" w:fill="F2F2F2" w:themeFill="background1" w:themeFillShade="F2"/>
          </w:tcPr>
          <w:p w14:paraId="16287410" w14:textId="77777777" w:rsidR="009116B7" w:rsidRPr="005759E7" w:rsidRDefault="009116B7" w:rsidP="00172B54">
            <w:pPr>
              <w:pStyle w:val="TableBody"/>
              <w:rPr>
                <w:rFonts w:cs="Arial"/>
                <w:szCs w:val="20"/>
              </w:rPr>
            </w:pPr>
            <w:r w:rsidRPr="005759E7">
              <w:rPr>
                <w:rFonts w:cs="Arial"/>
                <w:szCs w:val="20"/>
              </w:rPr>
              <w:t>VHF marine radio use</w:t>
            </w:r>
          </w:p>
        </w:tc>
        <w:tc>
          <w:tcPr>
            <w:tcW w:w="3272" w:type="pct"/>
            <w:shd w:val="clear" w:color="auto" w:fill="F2F2F2" w:themeFill="background1" w:themeFillShade="F2"/>
          </w:tcPr>
          <w:p w14:paraId="28F94622" w14:textId="77777777" w:rsidR="009116B7" w:rsidRPr="005759E7" w:rsidRDefault="00CB64EC" w:rsidP="00CB2B01">
            <w:pPr>
              <w:spacing w:after="0"/>
              <w:rPr>
                <w:rFonts w:cs="Arial"/>
                <w:szCs w:val="20"/>
              </w:rPr>
            </w:pPr>
            <w:r w:rsidRPr="005759E7">
              <w:rPr>
                <w:rFonts w:cs="Arial"/>
                <w:szCs w:val="20"/>
              </w:rPr>
              <w:t>Q4</w:t>
            </w:r>
            <w:r w:rsidR="00172B54">
              <w:rPr>
                <w:rFonts w:cs="Arial"/>
                <w:szCs w:val="20"/>
              </w:rPr>
              <w:t>: C</w:t>
            </w:r>
            <w:r w:rsidR="00172B54">
              <w:t xml:space="preserve">onsider changes to the channels specified for maritime radio </w:t>
            </w:r>
          </w:p>
        </w:tc>
      </w:tr>
      <w:tr w:rsidR="002717D0" w:rsidRPr="006D46E5" w14:paraId="27DE4387" w14:textId="77777777" w:rsidTr="00BE6916">
        <w:tc>
          <w:tcPr>
            <w:tcW w:w="1728" w:type="pct"/>
            <w:shd w:val="clear" w:color="auto" w:fill="auto"/>
          </w:tcPr>
          <w:p w14:paraId="04701D14" w14:textId="77777777" w:rsidR="002717D0" w:rsidRPr="005759E7" w:rsidRDefault="002717D0" w:rsidP="0027128C">
            <w:pPr>
              <w:pStyle w:val="TableBody"/>
              <w:rPr>
                <w:rFonts w:cs="Arial"/>
                <w:szCs w:val="20"/>
              </w:rPr>
            </w:pPr>
            <w:r w:rsidRPr="005759E7">
              <w:rPr>
                <w:rFonts w:cs="Arial"/>
                <w:szCs w:val="20"/>
              </w:rPr>
              <w:t xml:space="preserve">400 MHz band </w:t>
            </w:r>
          </w:p>
        </w:tc>
        <w:tc>
          <w:tcPr>
            <w:tcW w:w="3272" w:type="pct"/>
            <w:shd w:val="clear" w:color="auto" w:fill="auto"/>
          </w:tcPr>
          <w:p w14:paraId="5C18360C" w14:textId="77777777" w:rsidR="002717D0" w:rsidRPr="005759E7" w:rsidRDefault="002717D0" w:rsidP="00D456EC">
            <w:pPr>
              <w:pStyle w:val="TableBody"/>
              <w:rPr>
                <w:rFonts w:cs="Arial"/>
                <w:szCs w:val="20"/>
              </w:rPr>
            </w:pPr>
            <w:r w:rsidRPr="005759E7">
              <w:rPr>
                <w:rFonts w:cs="Arial"/>
                <w:szCs w:val="20"/>
              </w:rPr>
              <w:t>Ongoing transition of licences to appropriate segments of the 400 MHz band</w:t>
            </w:r>
            <w:r w:rsidR="00005734" w:rsidRPr="005759E7">
              <w:rPr>
                <w:rFonts w:cs="Arial"/>
                <w:szCs w:val="20"/>
              </w:rPr>
              <w:t xml:space="preserve"> </w:t>
            </w:r>
            <w:r w:rsidR="00D456EC" w:rsidRPr="005759E7">
              <w:rPr>
                <w:rFonts w:cs="Arial"/>
                <w:szCs w:val="20"/>
              </w:rPr>
              <w:t>before</w:t>
            </w:r>
            <w:r w:rsidR="00005734" w:rsidRPr="005759E7">
              <w:rPr>
                <w:rFonts w:cs="Arial"/>
                <w:szCs w:val="20"/>
              </w:rPr>
              <w:t xml:space="preserve"> the </w:t>
            </w:r>
            <w:r w:rsidR="00EA73F4" w:rsidRPr="005759E7">
              <w:rPr>
                <w:rFonts w:cs="Arial"/>
                <w:szCs w:val="20"/>
              </w:rPr>
              <w:t>completion of the</w:t>
            </w:r>
            <w:r w:rsidR="00005734" w:rsidRPr="005759E7">
              <w:rPr>
                <w:rFonts w:cs="Arial"/>
                <w:szCs w:val="20"/>
              </w:rPr>
              <w:t xml:space="preserve"> final milestone in 2019</w:t>
            </w:r>
            <w:r w:rsidR="00D456EC" w:rsidRPr="005759E7">
              <w:rPr>
                <w:rFonts w:cs="Arial"/>
                <w:szCs w:val="20"/>
              </w:rPr>
              <w:t>–</w:t>
            </w:r>
            <w:r w:rsidR="00005734" w:rsidRPr="005759E7">
              <w:rPr>
                <w:rFonts w:cs="Arial"/>
                <w:szCs w:val="20"/>
              </w:rPr>
              <w:t>20</w:t>
            </w:r>
          </w:p>
        </w:tc>
      </w:tr>
      <w:tr w:rsidR="00756048" w:rsidRPr="006D46E5" w14:paraId="3F2696C6" w14:textId="77777777" w:rsidTr="00BE6916">
        <w:trPr>
          <w:trHeight w:val="652"/>
        </w:trPr>
        <w:tc>
          <w:tcPr>
            <w:tcW w:w="1728" w:type="pct"/>
            <w:shd w:val="clear" w:color="auto" w:fill="F2F2F2" w:themeFill="background1" w:themeFillShade="F2"/>
          </w:tcPr>
          <w:p w14:paraId="14D14B5E" w14:textId="77777777" w:rsidR="00756048" w:rsidRPr="005759E7" w:rsidRDefault="007B38D6" w:rsidP="007B38D6">
            <w:pPr>
              <w:pStyle w:val="TableBody"/>
              <w:rPr>
                <w:rFonts w:cs="Arial"/>
                <w:szCs w:val="20"/>
              </w:rPr>
            </w:pPr>
            <w:r w:rsidRPr="005759E7">
              <w:rPr>
                <w:szCs w:val="20"/>
              </w:rPr>
              <w:t>Review of licensing arrangements for drones and prohibitions and exemptions for drone jamming</w:t>
            </w:r>
          </w:p>
        </w:tc>
        <w:tc>
          <w:tcPr>
            <w:tcW w:w="3272" w:type="pct"/>
            <w:shd w:val="clear" w:color="auto" w:fill="F2F2F2" w:themeFill="background1" w:themeFillShade="F2"/>
          </w:tcPr>
          <w:p w14:paraId="3C4506E7" w14:textId="77777777" w:rsidR="00756048" w:rsidRPr="005759E7" w:rsidRDefault="00172B54" w:rsidP="00172B54">
            <w:pPr>
              <w:rPr>
                <w:rFonts w:ascii="Calibri" w:hAnsi="Calibri"/>
                <w:szCs w:val="20"/>
              </w:rPr>
            </w:pPr>
            <w:r>
              <w:rPr>
                <w:szCs w:val="20"/>
              </w:rPr>
              <w:t>Q4: F</w:t>
            </w:r>
            <w:r w:rsidR="007B38D6" w:rsidRPr="005759E7">
              <w:rPr>
                <w:szCs w:val="20"/>
              </w:rPr>
              <w:t xml:space="preserve">irst stage review </w:t>
            </w:r>
          </w:p>
        </w:tc>
      </w:tr>
    </w:tbl>
    <w:p w14:paraId="4672EF03" w14:textId="77777777" w:rsidR="0058077F" w:rsidRDefault="0058077F" w:rsidP="005759E7"/>
    <w:p w14:paraId="42483210" w14:textId="77777777" w:rsidR="009116B7" w:rsidRDefault="009116B7" w:rsidP="00F57787">
      <w:pPr>
        <w:pStyle w:val="ACMATableHeader"/>
      </w:pPr>
      <w:r>
        <w:t>Pricing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2648"/>
        <w:gridCol w:w="5013"/>
      </w:tblGrid>
      <w:tr w:rsidR="009116B7" w:rsidRPr="006D46E5" w14:paraId="11D59C52" w14:textId="77777777" w:rsidTr="00BE6916">
        <w:tc>
          <w:tcPr>
            <w:tcW w:w="1728" w:type="pct"/>
            <w:shd w:val="clear" w:color="auto" w:fill="404040" w:themeFill="text1" w:themeFillTint="BF"/>
          </w:tcPr>
          <w:p w14:paraId="66B55FD5" w14:textId="77777777" w:rsidR="009116B7" w:rsidRPr="006D46E5" w:rsidRDefault="009116B7">
            <w:pPr>
              <w:pStyle w:val="TableHeading"/>
              <w:rPr>
                <w:rFonts w:cs="Arial"/>
                <w:color w:val="FFFFFF" w:themeColor="background1"/>
              </w:rPr>
            </w:pPr>
            <w:r>
              <w:rPr>
                <w:rFonts w:cs="Arial"/>
                <w:color w:val="FFFFFF" w:themeColor="background1"/>
              </w:rPr>
              <w:t>Project priorities</w:t>
            </w:r>
          </w:p>
        </w:tc>
        <w:tc>
          <w:tcPr>
            <w:tcW w:w="3272" w:type="pct"/>
            <w:shd w:val="clear" w:color="auto" w:fill="404040" w:themeFill="text1" w:themeFillTint="BF"/>
          </w:tcPr>
          <w:p w14:paraId="572A6E48" w14:textId="77777777" w:rsidR="009116B7" w:rsidRPr="006D46E5" w:rsidRDefault="009116B7">
            <w:pPr>
              <w:pStyle w:val="TableHeading"/>
              <w:rPr>
                <w:rFonts w:cs="Arial"/>
                <w:color w:val="FFFFFF" w:themeColor="background1"/>
              </w:rPr>
            </w:pPr>
            <w:r>
              <w:rPr>
                <w:rFonts w:cs="Arial"/>
                <w:color w:val="FFFFFF" w:themeColor="background1"/>
              </w:rPr>
              <w:t>Proposed timelines</w:t>
            </w:r>
          </w:p>
        </w:tc>
      </w:tr>
      <w:tr w:rsidR="009116B7" w:rsidRPr="006D46E5" w14:paraId="57132BDE" w14:textId="77777777" w:rsidTr="00BE6916">
        <w:tc>
          <w:tcPr>
            <w:tcW w:w="1728" w:type="pct"/>
          </w:tcPr>
          <w:p w14:paraId="4ADAB94D" w14:textId="77777777" w:rsidR="009116B7" w:rsidRPr="005759E7" w:rsidRDefault="009116B7" w:rsidP="0027128C">
            <w:pPr>
              <w:pStyle w:val="TableBody"/>
              <w:rPr>
                <w:rFonts w:cs="Arial"/>
                <w:szCs w:val="20"/>
              </w:rPr>
            </w:pPr>
            <w:r w:rsidRPr="005759E7">
              <w:rPr>
                <w:rFonts w:cs="Arial"/>
                <w:szCs w:val="20"/>
              </w:rPr>
              <w:t xml:space="preserve">Commercial broadcasting tax </w:t>
            </w:r>
            <w:r w:rsidR="00D456EC" w:rsidRPr="005759E7">
              <w:rPr>
                <w:rFonts w:cs="Arial"/>
                <w:szCs w:val="20"/>
              </w:rPr>
              <w:t>arrangements</w:t>
            </w:r>
            <w:r w:rsidRPr="005759E7">
              <w:rPr>
                <w:rFonts w:cs="Arial"/>
                <w:szCs w:val="20"/>
              </w:rPr>
              <w:t xml:space="preserve"> </w:t>
            </w:r>
          </w:p>
        </w:tc>
        <w:tc>
          <w:tcPr>
            <w:tcW w:w="3272" w:type="pct"/>
          </w:tcPr>
          <w:p w14:paraId="44038BB3" w14:textId="77777777" w:rsidR="009116B7" w:rsidRPr="005759E7" w:rsidRDefault="009116B7">
            <w:pPr>
              <w:pStyle w:val="TableBody"/>
              <w:rPr>
                <w:rFonts w:cs="Arial"/>
                <w:szCs w:val="20"/>
              </w:rPr>
            </w:pPr>
            <w:r w:rsidRPr="005759E7">
              <w:rPr>
                <w:rFonts w:cs="Arial"/>
                <w:szCs w:val="20"/>
              </w:rPr>
              <w:t>Q1</w:t>
            </w:r>
            <w:r w:rsidR="00D456EC" w:rsidRPr="005759E7">
              <w:rPr>
                <w:rFonts w:cs="Arial"/>
                <w:szCs w:val="20"/>
              </w:rPr>
              <w:t>:</w:t>
            </w:r>
            <w:r w:rsidRPr="005759E7">
              <w:rPr>
                <w:rFonts w:cs="Arial"/>
                <w:szCs w:val="20"/>
              </w:rPr>
              <w:t xml:space="preserve"> </w:t>
            </w:r>
            <w:r w:rsidR="00D456EC" w:rsidRPr="005759E7">
              <w:rPr>
                <w:rFonts w:cs="Arial"/>
                <w:szCs w:val="20"/>
              </w:rPr>
              <w:t>F</w:t>
            </w:r>
            <w:r w:rsidRPr="005759E7">
              <w:rPr>
                <w:rFonts w:cs="Arial"/>
                <w:szCs w:val="20"/>
              </w:rPr>
              <w:t>irst tax assessment</w:t>
            </w:r>
          </w:p>
        </w:tc>
      </w:tr>
      <w:tr w:rsidR="009116B7" w:rsidRPr="006D46E5" w14:paraId="13CC86F0" w14:textId="77777777" w:rsidTr="00BE6916">
        <w:tc>
          <w:tcPr>
            <w:tcW w:w="1728" w:type="pct"/>
            <w:shd w:val="clear" w:color="auto" w:fill="F2F2F2" w:themeFill="background1" w:themeFillShade="F2"/>
          </w:tcPr>
          <w:p w14:paraId="1586B553" w14:textId="77777777" w:rsidR="009116B7" w:rsidRPr="005759E7" w:rsidRDefault="009116B7" w:rsidP="0027128C">
            <w:pPr>
              <w:pStyle w:val="TableBody"/>
              <w:rPr>
                <w:rFonts w:cs="Arial"/>
                <w:szCs w:val="20"/>
              </w:rPr>
            </w:pPr>
            <w:r w:rsidRPr="005759E7">
              <w:rPr>
                <w:rFonts w:cs="Arial"/>
                <w:szCs w:val="20"/>
              </w:rPr>
              <w:t xml:space="preserve">Preparation for review of </w:t>
            </w:r>
            <w:r w:rsidRPr="005759E7">
              <w:rPr>
                <w:rFonts w:cs="Arial"/>
                <w:i/>
                <w:szCs w:val="20"/>
              </w:rPr>
              <w:t>Commercial Broadcasting (Tax) Act 2017</w:t>
            </w:r>
          </w:p>
        </w:tc>
        <w:tc>
          <w:tcPr>
            <w:tcW w:w="3272" w:type="pct"/>
            <w:shd w:val="clear" w:color="auto" w:fill="F2F2F2" w:themeFill="background1" w:themeFillShade="F2"/>
          </w:tcPr>
          <w:p w14:paraId="6BE6E42D" w14:textId="77777777" w:rsidR="009116B7" w:rsidRPr="005759E7" w:rsidRDefault="009116B7" w:rsidP="00727C16">
            <w:pPr>
              <w:pStyle w:val="TableBody"/>
              <w:rPr>
                <w:rFonts w:cs="Arial"/>
                <w:szCs w:val="20"/>
              </w:rPr>
            </w:pPr>
            <w:r w:rsidRPr="005759E7">
              <w:rPr>
                <w:rFonts w:cs="Arial"/>
                <w:szCs w:val="20"/>
              </w:rPr>
              <w:t>Q4</w:t>
            </w:r>
            <w:r w:rsidR="00D456EC" w:rsidRPr="005759E7">
              <w:rPr>
                <w:rFonts w:cs="Arial"/>
                <w:szCs w:val="20"/>
              </w:rPr>
              <w:t>: I</w:t>
            </w:r>
            <w:r w:rsidRPr="005759E7">
              <w:rPr>
                <w:rFonts w:cs="Arial"/>
                <w:szCs w:val="20"/>
              </w:rPr>
              <w:t>nformation</w:t>
            </w:r>
            <w:r w:rsidR="00727C16" w:rsidRPr="005759E7">
              <w:rPr>
                <w:rFonts w:cs="Arial"/>
                <w:szCs w:val="20"/>
              </w:rPr>
              <w:t xml:space="preserve"> to be issued</w:t>
            </w:r>
            <w:r w:rsidRPr="005759E7">
              <w:rPr>
                <w:rFonts w:cs="Arial"/>
                <w:szCs w:val="20"/>
              </w:rPr>
              <w:t xml:space="preserve"> about </w:t>
            </w:r>
            <w:r w:rsidR="00727C16" w:rsidRPr="005759E7">
              <w:rPr>
                <w:rFonts w:cs="Arial"/>
                <w:szCs w:val="20"/>
              </w:rPr>
              <w:t xml:space="preserve">planned arrangements for </w:t>
            </w:r>
            <w:r w:rsidRPr="005759E7">
              <w:rPr>
                <w:rFonts w:cs="Arial"/>
                <w:szCs w:val="20"/>
              </w:rPr>
              <w:t>the review</w:t>
            </w:r>
            <w:r w:rsidR="00727C16" w:rsidRPr="005759E7">
              <w:rPr>
                <w:rFonts w:cs="Arial"/>
                <w:szCs w:val="20"/>
              </w:rPr>
              <w:t xml:space="preserve"> required to be conducted after 1 July 2019</w:t>
            </w:r>
          </w:p>
        </w:tc>
      </w:tr>
      <w:tr w:rsidR="009116B7" w:rsidRPr="006D46E5" w14:paraId="72ACB0EC" w14:textId="77777777" w:rsidTr="00BE6916">
        <w:tc>
          <w:tcPr>
            <w:tcW w:w="1728" w:type="pct"/>
          </w:tcPr>
          <w:p w14:paraId="286170F1" w14:textId="77777777" w:rsidR="009116B7" w:rsidRPr="005759E7" w:rsidRDefault="009116B7" w:rsidP="0027128C">
            <w:pPr>
              <w:pStyle w:val="TableBody"/>
              <w:rPr>
                <w:rFonts w:cs="Arial"/>
                <w:szCs w:val="20"/>
              </w:rPr>
            </w:pPr>
            <w:r w:rsidRPr="005759E7">
              <w:rPr>
                <w:rFonts w:cs="Arial"/>
                <w:szCs w:val="20"/>
              </w:rPr>
              <w:t>400 MHz opportunity cost pricing</w:t>
            </w:r>
          </w:p>
        </w:tc>
        <w:tc>
          <w:tcPr>
            <w:tcW w:w="3272" w:type="pct"/>
          </w:tcPr>
          <w:p w14:paraId="3D369987" w14:textId="77777777" w:rsidR="009116B7" w:rsidRPr="005759E7" w:rsidRDefault="009116B7">
            <w:pPr>
              <w:pStyle w:val="TableBody"/>
              <w:rPr>
                <w:rFonts w:cs="Arial"/>
                <w:szCs w:val="20"/>
              </w:rPr>
            </w:pPr>
            <w:r w:rsidRPr="005759E7">
              <w:rPr>
                <w:rFonts w:cs="Arial"/>
                <w:szCs w:val="20"/>
              </w:rPr>
              <w:t>Continued monitoring of band use</w:t>
            </w:r>
          </w:p>
        </w:tc>
      </w:tr>
      <w:tr w:rsidR="009116B7" w:rsidRPr="006D46E5" w14:paraId="4B909013" w14:textId="77777777" w:rsidTr="00BE6916">
        <w:tc>
          <w:tcPr>
            <w:tcW w:w="1728" w:type="pct"/>
            <w:shd w:val="clear" w:color="auto" w:fill="F2F2F2" w:themeFill="background1" w:themeFillShade="F2"/>
          </w:tcPr>
          <w:p w14:paraId="660C489D" w14:textId="77777777" w:rsidR="009116B7" w:rsidRPr="005759E7" w:rsidRDefault="009116B7" w:rsidP="0027128C">
            <w:pPr>
              <w:pStyle w:val="TableBody"/>
              <w:rPr>
                <w:rFonts w:cs="Arial"/>
                <w:szCs w:val="20"/>
              </w:rPr>
            </w:pPr>
            <w:r w:rsidRPr="005759E7">
              <w:rPr>
                <w:rFonts w:cs="Arial"/>
                <w:szCs w:val="20"/>
              </w:rPr>
              <w:t>Apparatus licence taxes</w:t>
            </w:r>
          </w:p>
        </w:tc>
        <w:tc>
          <w:tcPr>
            <w:tcW w:w="3272" w:type="pct"/>
            <w:shd w:val="clear" w:color="auto" w:fill="F2F2F2" w:themeFill="background1" w:themeFillShade="F2"/>
          </w:tcPr>
          <w:p w14:paraId="004AAB0C" w14:textId="77777777" w:rsidR="009116B7" w:rsidRPr="005759E7" w:rsidRDefault="009116B7">
            <w:pPr>
              <w:pStyle w:val="TableBody"/>
              <w:rPr>
                <w:rFonts w:cs="Arial"/>
                <w:szCs w:val="20"/>
              </w:rPr>
            </w:pPr>
            <w:r w:rsidRPr="005759E7">
              <w:rPr>
                <w:rFonts w:cs="Arial"/>
                <w:szCs w:val="20"/>
              </w:rPr>
              <w:t>Annual updates for CPI from 1 April each year</w:t>
            </w:r>
          </w:p>
        </w:tc>
      </w:tr>
      <w:tr w:rsidR="009116B7" w:rsidRPr="006D46E5" w14:paraId="36E7B501" w14:textId="77777777" w:rsidTr="00BE6916">
        <w:tc>
          <w:tcPr>
            <w:tcW w:w="1728" w:type="pct"/>
          </w:tcPr>
          <w:p w14:paraId="03F402E6" w14:textId="77777777" w:rsidR="009116B7" w:rsidRPr="005759E7" w:rsidRDefault="009116B7" w:rsidP="0027128C">
            <w:pPr>
              <w:pStyle w:val="TableBody"/>
              <w:rPr>
                <w:rFonts w:cs="Arial"/>
                <w:szCs w:val="20"/>
              </w:rPr>
            </w:pPr>
            <w:r w:rsidRPr="005759E7">
              <w:rPr>
                <w:rFonts w:cs="Arial"/>
                <w:szCs w:val="20"/>
              </w:rPr>
              <w:t>Spectrum licence taxes</w:t>
            </w:r>
          </w:p>
        </w:tc>
        <w:tc>
          <w:tcPr>
            <w:tcW w:w="3272" w:type="pct"/>
          </w:tcPr>
          <w:p w14:paraId="431FD2D3" w14:textId="77777777" w:rsidR="009116B7" w:rsidRPr="005759E7" w:rsidRDefault="00D456EC" w:rsidP="00877807">
            <w:pPr>
              <w:pStyle w:val="TableBody"/>
              <w:rPr>
                <w:rFonts w:cs="Arial"/>
                <w:szCs w:val="20"/>
              </w:rPr>
            </w:pPr>
            <w:r w:rsidRPr="005759E7">
              <w:rPr>
                <w:rFonts w:cs="Arial"/>
                <w:szCs w:val="20"/>
              </w:rPr>
              <w:t xml:space="preserve">Q1: </w:t>
            </w:r>
            <w:r w:rsidR="009116B7" w:rsidRPr="005759E7">
              <w:rPr>
                <w:rFonts w:cs="Arial"/>
                <w:szCs w:val="20"/>
              </w:rPr>
              <w:t>Adjustments for new spectrum</w:t>
            </w:r>
            <w:r w:rsidR="00DA7873">
              <w:rPr>
                <w:rFonts w:cs="Arial"/>
                <w:szCs w:val="20"/>
              </w:rPr>
              <w:t>-</w:t>
            </w:r>
            <w:r w:rsidR="009116B7" w:rsidRPr="005759E7">
              <w:rPr>
                <w:rFonts w:cs="Arial"/>
                <w:szCs w:val="20"/>
              </w:rPr>
              <w:t>licen</w:t>
            </w:r>
            <w:r w:rsidR="00877807">
              <w:rPr>
                <w:rFonts w:cs="Arial"/>
                <w:szCs w:val="20"/>
              </w:rPr>
              <w:t>s</w:t>
            </w:r>
            <w:r w:rsidR="009116B7" w:rsidRPr="005759E7">
              <w:rPr>
                <w:rFonts w:cs="Arial"/>
                <w:szCs w:val="20"/>
              </w:rPr>
              <w:t>e</w:t>
            </w:r>
            <w:r w:rsidR="00877807">
              <w:rPr>
                <w:rFonts w:cs="Arial"/>
                <w:szCs w:val="20"/>
              </w:rPr>
              <w:t>d</w:t>
            </w:r>
            <w:r w:rsidR="009116B7" w:rsidRPr="005759E7">
              <w:rPr>
                <w:rFonts w:cs="Arial"/>
                <w:szCs w:val="20"/>
              </w:rPr>
              <w:t xml:space="preserve"> </w:t>
            </w:r>
            <w:r w:rsidR="00877807">
              <w:rPr>
                <w:rFonts w:cs="Arial"/>
                <w:szCs w:val="20"/>
              </w:rPr>
              <w:t>bands</w:t>
            </w:r>
          </w:p>
        </w:tc>
      </w:tr>
    </w:tbl>
    <w:p w14:paraId="7217C4B9" w14:textId="77777777" w:rsidR="009116B7" w:rsidRDefault="009116B7" w:rsidP="008B6F4A">
      <w:pPr>
        <w:pStyle w:val="ACMATableHeader"/>
        <w:keepNext/>
        <w:keepLines/>
        <w:spacing w:before="240"/>
      </w:pPr>
      <w:r>
        <w:lastRenderedPageBreak/>
        <w:t xml:space="preserve">Compliance and </w:t>
      </w:r>
      <w:r w:rsidR="0058077F">
        <w:t>e</w:t>
      </w:r>
      <w:r>
        <w:t>nforcement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39"/>
        <w:gridCol w:w="4122"/>
      </w:tblGrid>
      <w:tr w:rsidR="009116B7" w:rsidRPr="006D46E5" w14:paraId="68763B04" w14:textId="77777777" w:rsidTr="00BE6916">
        <w:trPr>
          <w:tblHeader/>
        </w:trPr>
        <w:tc>
          <w:tcPr>
            <w:tcW w:w="2310" w:type="pct"/>
            <w:shd w:val="clear" w:color="auto" w:fill="404040" w:themeFill="text1" w:themeFillTint="BF"/>
          </w:tcPr>
          <w:p w14:paraId="14E2D37D" w14:textId="77777777" w:rsidR="009116B7" w:rsidRPr="006D46E5" w:rsidRDefault="009116B7" w:rsidP="00CD459E">
            <w:pPr>
              <w:pStyle w:val="TableHeading"/>
              <w:keepNext/>
              <w:keepLines/>
              <w:rPr>
                <w:rFonts w:cs="Arial"/>
                <w:color w:val="FFFFFF" w:themeColor="background1"/>
              </w:rPr>
            </w:pPr>
            <w:r>
              <w:rPr>
                <w:rFonts w:cs="Arial"/>
                <w:color w:val="FFFFFF" w:themeColor="background1"/>
              </w:rPr>
              <w:t>Project priorities</w:t>
            </w:r>
          </w:p>
        </w:tc>
        <w:tc>
          <w:tcPr>
            <w:tcW w:w="2690" w:type="pct"/>
            <w:shd w:val="clear" w:color="auto" w:fill="404040" w:themeFill="text1" w:themeFillTint="BF"/>
          </w:tcPr>
          <w:p w14:paraId="5CD813A3" w14:textId="77777777" w:rsidR="009116B7" w:rsidRPr="006D46E5" w:rsidRDefault="009116B7" w:rsidP="00CD459E">
            <w:pPr>
              <w:pStyle w:val="TableHeading"/>
              <w:keepNext/>
              <w:keepLines/>
              <w:rPr>
                <w:rFonts w:cs="Arial"/>
                <w:color w:val="FFFFFF" w:themeColor="background1"/>
              </w:rPr>
            </w:pPr>
            <w:r>
              <w:rPr>
                <w:rFonts w:cs="Arial"/>
                <w:color w:val="FFFFFF" w:themeColor="background1"/>
              </w:rPr>
              <w:t>Proposed timelines</w:t>
            </w:r>
          </w:p>
        </w:tc>
      </w:tr>
      <w:tr w:rsidR="009116B7" w:rsidRPr="006D46E5" w14:paraId="0C9344F5" w14:textId="77777777" w:rsidTr="00BE6916">
        <w:tc>
          <w:tcPr>
            <w:tcW w:w="2310" w:type="pct"/>
          </w:tcPr>
          <w:p w14:paraId="1AC2EA63" w14:textId="77777777" w:rsidR="009116B7" w:rsidRPr="005759E7" w:rsidRDefault="009116B7" w:rsidP="00CD459E">
            <w:pPr>
              <w:pStyle w:val="TableBody"/>
              <w:keepNext/>
              <w:keepLines/>
              <w:rPr>
                <w:rFonts w:cs="Arial"/>
                <w:szCs w:val="20"/>
              </w:rPr>
            </w:pPr>
            <w:r w:rsidRPr="005759E7">
              <w:rPr>
                <w:rFonts w:cs="Arial"/>
                <w:szCs w:val="20"/>
              </w:rPr>
              <w:t xml:space="preserve">Audit of mobile handset compliance outcomes </w:t>
            </w:r>
          </w:p>
        </w:tc>
        <w:tc>
          <w:tcPr>
            <w:tcW w:w="2690" w:type="pct"/>
          </w:tcPr>
          <w:p w14:paraId="42A69AF3" w14:textId="77777777" w:rsidR="009116B7" w:rsidRPr="005759E7" w:rsidRDefault="009116B7" w:rsidP="00CD459E">
            <w:pPr>
              <w:pStyle w:val="TableBody"/>
              <w:keepNext/>
              <w:keepLines/>
              <w:rPr>
                <w:rFonts w:cs="Arial"/>
                <w:szCs w:val="20"/>
              </w:rPr>
            </w:pPr>
            <w:r w:rsidRPr="005759E7">
              <w:rPr>
                <w:rFonts w:cs="Arial"/>
                <w:szCs w:val="20"/>
              </w:rPr>
              <w:t>Q1</w:t>
            </w:r>
            <w:r w:rsidR="00D456EC" w:rsidRPr="005759E7">
              <w:rPr>
                <w:rFonts w:cs="Arial"/>
                <w:szCs w:val="20"/>
              </w:rPr>
              <w:t>: R</w:t>
            </w:r>
            <w:r w:rsidRPr="005759E7">
              <w:rPr>
                <w:rFonts w:cs="Arial"/>
                <w:szCs w:val="20"/>
              </w:rPr>
              <w:t>eport publication</w:t>
            </w:r>
          </w:p>
        </w:tc>
      </w:tr>
      <w:tr w:rsidR="007D7C29" w:rsidRPr="006D46E5" w14:paraId="2714C256" w14:textId="77777777" w:rsidTr="00BE6916">
        <w:tc>
          <w:tcPr>
            <w:tcW w:w="2310" w:type="pct"/>
            <w:shd w:val="clear" w:color="auto" w:fill="F2F2F2"/>
          </w:tcPr>
          <w:p w14:paraId="08C914F8" w14:textId="77777777" w:rsidR="007D7C29" w:rsidRPr="005759E7" w:rsidRDefault="007D7C29" w:rsidP="00CD459E">
            <w:pPr>
              <w:pStyle w:val="TableBody"/>
              <w:keepNext/>
              <w:keepLines/>
              <w:rPr>
                <w:rFonts w:cs="Arial"/>
                <w:szCs w:val="20"/>
              </w:rPr>
            </w:pPr>
            <w:r w:rsidRPr="005759E7">
              <w:rPr>
                <w:szCs w:val="20"/>
              </w:rPr>
              <w:t xml:space="preserve">Gold Coast Commonwealth Games Readiness priority compliance area </w:t>
            </w:r>
          </w:p>
        </w:tc>
        <w:tc>
          <w:tcPr>
            <w:tcW w:w="2690" w:type="pct"/>
            <w:shd w:val="clear" w:color="auto" w:fill="F2F2F2"/>
          </w:tcPr>
          <w:p w14:paraId="253616C8" w14:textId="77777777" w:rsidR="007D7C29" w:rsidRPr="005759E7" w:rsidRDefault="007D7C29" w:rsidP="00CD459E">
            <w:pPr>
              <w:pStyle w:val="TableBody"/>
              <w:keepNext/>
              <w:keepLines/>
              <w:rPr>
                <w:rFonts w:cs="Arial"/>
                <w:szCs w:val="20"/>
              </w:rPr>
            </w:pPr>
            <w:r w:rsidRPr="005759E7">
              <w:rPr>
                <w:szCs w:val="20"/>
              </w:rPr>
              <w:t>Q1</w:t>
            </w:r>
            <w:r w:rsidR="00D456EC" w:rsidRPr="005759E7">
              <w:rPr>
                <w:szCs w:val="20"/>
              </w:rPr>
              <w:t>: R</w:t>
            </w:r>
            <w:r w:rsidRPr="005759E7">
              <w:rPr>
                <w:szCs w:val="20"/>
              </w:rPr>
              <w:t>eport publication</w:t>
            </w:r>
          </w:p>
        </w:tc>
      </w:tr>
    </w:tbl>
    <w:p w14:paraId="62702240" w14:textId="77777777" w:rsidR="009116B7" w:rsidRDefault="009116B7" w:rsidP="005759E7">
      <w:pPr>
        <w:pStyle w:val="ACMASpaceaftertable"/>
      </w:pPr>
    </w:p>
    <w:p w14:paraId="02DED642" w14:textId="77777777" w:rsidR="009116B7" w:rsidRDefault="009116B7" w:rsidP="005759E7">
      <w:pPr>
        <w:pStyle w:val="ACMATableHeader"/>
        <w:keepNext/>
      </w:pPr>
      <w:r>
        <w:t>International engagement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39"/>
        <w:gridCol w:w="4122"/>
      </w:tblGrid>
      <w:tr w:rsidR="009116B7" w:rsidRPr="006D46E5" w14:paraId="5690F043" w14:textId="77777777" w:rsidTr="00BE6916">
        <w:trPr>
          <w:tblHeader/>
        </w:trPr>
        <w:tc>
          <w:tcPr>
            <w:tcW w:w="2310" w:type="pct"/>
            <w:shd w:val="clear" w:color="auto" w:fill="404040" w:themeFill="text1" w:themeFillTint="BF"/>
          </w:tcPr>
          <w:p w14:paraId="39CE4FC2" w14:textId="77777777" w:rsidR="009116B7" w:rsidRPr="006D46E5" w:rsidRDefault="009116B7">
            <w:pPr>
              <w:pStyle w:val="TableHeading"/>
              <w:rPr>
                <w:rFonts w:cs="Arial"/>
                <w:color w:val="FFFFFF" w:themeColor="background1"/>
              </w:rPr>
            </w:pPr>
            <w:r>
              <w:rPr>
                <w:rFonts w:cs="Arial"/>
                <w:color w:val="FFFFFF" w:themeColor="background1"/>
              </w:rPr>
              <w:t>Project priorities</w:t>
            </w:r>
          </w:p>
        </w:tc>
        <w:tc>
          <w:tcPr>
            <w:tcW w:w="2690" w:type="pct"/>
            <w:shd w:val="clear" w:color="auto" w:fill="404040" w:themeFill="text1" w:themeFillTint="BF"/>
          </w:tcPr>
          <w:p w14:paraId="3AD69EA5" w14:textId="77777777" w:rsidR="009116B7" w:rsidRPr="006D46E5" w:rsidRDefault="009116B7">
            <w:pPr>
              <w:pStyle w:val="TableHeading"/>
              <w:rPr>
                <w:rFonts w:cs="Arial"/>
                <w:color w:val="FFFFFF" w:themeColor="background1"/>
              </w:rPr>
            </w:pPr>
            <w:r>
              <w:rPr>
                <w:rFonts w:cs="Arial"/>
                <w:color w:val="FFFFFF" w:themeColor="background1"/>
              </w:rPr>
              <w:t>Proposed timelines</w:t>
            </w:r>
          </w:p>
        </w:tc>
      </w:tr>
      <w:tr w:rsidR="009116B7" w:rsidRPr="006D46E5" w14:paraId="672292C1" w14:textId="77777777" w:rsidTr="00BE6916">
        <w:tc>
          <w:tcPr>
            <w:tcW w:w="2310" w:type="pct"/>
          </w:tcPr>
          <w:p w14:paraId="115E2FC1" w14:textId="77777777" w:rsidR="009116B7" w:rsidRPr="005759E7" w:rsidRDefault="009116B7" w:rsidP="003B3D67">
            <w:pPr>
              <w:pStyle w:val="TableBody"/>
              <w:rPr>
                <w:rFonts w:cs="Arial"/>
                <w:szCs w:val="20"/>
              </w:rPr>
            </w:pPr>
            <w:r w:rsidRPr="005759E7">
              <w:rPr>
                <w:rFonts w:cs="Arial"/>
                <w:szCs w:val="20"/>
              </w:rPr>
              <w:t xml:space="preserve">Fourth </w:t>
            </w:r>
            <w:r w:rsidR="003B3D67">
              <w:rPr>
                <w:rFonts w:cs="Arial"/>
                <w:szCs w:val="20"/>
              </w:rPr>
              <w:t>meeting of the APT Conference Preparatory Group for WRC-19</w:t>
            </w:r>
            <w:r w:rsidRPr="005759E7">
              <w:rPr>
                <w:rFonts w:cs="Arial"/>
                <w:szCs w:val="20"/>
              </w:rPr>
              <w:t xml:space="preserve"> (APG 19-4)</w:t>
            </w:r>
          </w:p>
        </w:tc>
        <w:tc>
          <w:tcPr>
            <w:tcW w:w="2690" w:type="pct"/>
          </w:tcPr>
          <w:p w14:paraId="655ACACA" w14:textId="77777777" w:rsidR="009116B7" w:rsidRPr="005759E7" w:rsidRDefault="009116B7" w:rsidP="003B3D67">
            <w:pPr>
              <w:pStyle w:val="TableBody"/>
              <w:rPr>
                <w:rFonts w:cs="Arial"/>
                <w:szCs w:val="20"/>
              </w:rPr>
            </w:pPr>
            <w:r w:rsidRPr="005759E7">
              <w:rPr>
                <w:rFonts w:cs="Arial"/>
                <w:szCs w:val="20"/>
              </w:rPr>
              <w:t>Q3 (</w:t>
            </w:r>
            <w:r w:rsidR="003B3D67">
              <w:rPr>
                <w:rFonts w:cs="Arial"/>
                <w:szCs w:val="20"/>
              </w:rPr>
              <w:t>7</w:t>
            </w:r>
            <w:r w:rsidR="00DA7873">
              <w:rPr>
                <w:rFonts w:cs="Arial"/>
                <w:szCs w:val="20"/>
              </w:rPr>
              <w:t>–</w:t>
            </w:r>
            <w:r w:rsidR="003B3D67">
              <w:rPr>
                <w:rFonts w:cs="Arial"/>
                <w:szCs w:val="20"/>
              </w:rPr>
              <w:t>12 January 2019</w:t>
            </w:r>
            <w:r w:rsidRPr="005759E7">
              <w:rPr>
                <w:rFonts w:cs="Arial"/>
                <w:szCs w:val="20"/>
              </w:rPr>
              <w:t>)</w:t>
            </w:r>
          </w:p>
        </w:tc>
      </w:tr>
      <w:tr w:rsidR="009116B7" w:rsidRPr="006D46E5" w14:paraId="008A992A" w14:textId="77777777" w:rsidTr="00BE6916">
        <w:tc>
          <w:tcPr>
            <w:tcW w:w="2310" w:type="pct"/>
            <w:shd w:val="clear" w:color="auto" w:fill="F2F2F2" w:themeFill="background1" w:themeFillShade="F2"/>
          </w:tcPr>
          <w:p w14:paraId="3464DB1E" w14:textId="77777777" w:rsidR="009116B7" w:rsidRPr="005759E7" w:rsidRDefault="003B3D67" w:rsidP="003B3D67">
            <w:pPr>
              <w:pStyle w:val="TableBody"/>
              <w:rPr>
                <w:rFonts w:cs="Arial"/>
                <w:szCs w:val="20"/>
              </w:rPr>
            </w:pPr>
            <w:r>
              <w:rPr>
                <w:rFonts w:cs="Arial"/>
                <w:szCs w:val="20"/>
              </w:rPr>
              <w:t xml:space="preserve">Second </w:t>
            </w:r>
            <w:r w:rsidR="009116B7" w:rsidRPr="005759E7">
              <w:rPr>
                <w:rFonts w:cs="Arial"/>
                <w:szCs w:val="20"/>
              </w:rPr>
              <w:t xml:space="preserve">Conference </w:t>
            </w:r>
            <w:r>
              <w:rPr>
                <w:rFonts w:cs="Arial"/>
                <w:szCs w:val="20"/>
              </w:rPr>
              <w:t>P</w:t>
            </w:r>
            <w:r w:rsidR="009116B7" w:rsidRPr="005759E7">
              <w:rPr>
                <w:rFonts w:cs="Arial"/>
                <w:szCs w:val="20"/>
              </w:rPr>
              <w:t xml:space="preserve">reparatory </w:t>
            </w:r>
            <w:r>
              <w:rPr>
                <w:rFonts w:cs="Arial"/>
                <w:szCs w:val="20"/>
              </w:rPr>
              <w:t>M</w:t>
            </w:r>
            <w:r w:rsidR="009116B7" w:rsidRPr="005759E7">
              <w:rPr>
                <w:rFonts w:cs="Arial"/>
                <w:szCs w:val="20"/>
              </w:rPr>
              <w:t>eeting for WRC-19 (CPM 19-2)</w:t>
            </w:r>
          </w:p>
        </w:tc>
        <w:tc>
          <w:tcPr>
            <w:tcW w:w="2690" w:type="pct"/>
            <w:shd w:val="clear" w:color="auto" w:fill="F2F2F2" w:themeFill="background1" w:themeFillShade="F2"/>
          </w:tcPr>
          <w:p w14:paraId="1C36E20C" w14:textId="77777777" w:rsidR="009116B7" w:rsidRPr="005759E7" w:rsidRDefault="009116B7">
            <w:pPr>
              <w:pStyle w:val="TableBody"/>
              <w:rPr>
                <w:rFonts w:cs="Arial"/>
                <w:szCs w:val="20"/>
              </w:rPr>
            </w:pPr>
            <w:r w:rsidRPr="005759E7">
              <w:rPr>
                <w:rFonts w:cs="Arial"/>
                <w:szCs w:val="20"/>
              </w:rPr>
              <w:t>Q3 (</w:t>
            </w:r>
            <w:r w:rsidR="003B3D67">
              <w:rPr>
                <w:rFonts w:cs="Arial"/>
                <w:szCs w:val="20"/>
              </w:rPr>
              <w:t>18</w:t>
            </w:r>
            <w:r w:rsidR="00DA7873">
              <w:rPr>
                <w:rFonts w:cs="Arial"/>
                <w:szCs w:val="20"/>
              </w:rPr>
              <w:t>–</w:t>
            </w:r>
            <w:r w:rsidR="003B3D67">
              <w:rPr>
                <w:rFonts w:cs="Arial"/>
                <w:szCs w:val="20"/>
              </w:rPr>
              <w:t xml:space="preserve">28 </w:t>
            </w:r>
            <w:r w:rsidRPr="005759E7">
              <w:rPr>
                <w:rFonts w:cs="Arial"/>
                <w:szCs w:val="20"/>
              </w:rPr>
              <w:t>February 2019)</w:t>
            </w:r>
          </w:p>
        </w:tc>
      </w:tr>
    </w:tbl>
    <w:p w14:paraId="60229994" w14:textId="77777777" w:rsidR="004D08DB" w:rsidRPr="0058077F" w:rsidRDefault="004D08DB" w:rsidP="005759E7">
      <w:pPr>
        <w:pStyle w:val="ACMASpaceaftertable"/>
      </w:pPr>
      <w:bookmarkStart w:id="15" w:name="_Toc510104926"/>
      <w:bookmarkStart w:id="16" w:name="_Toc510105723"/>
      <w:bookmarkStart w:id="17" w:name="_Toc510795064"/>
    </w:p>
    <w:p w14:paraId="2A6A9AE2" w14:textId="77777777" w:rsidR="00B47C14" w:rsidRPr="0058077F" w:rsidRDefault="00B47C14" w:rsidP="005759E7">
      <w:pPr>
        <w:pStyle w:val="Heading2"/>
      </w:pPr>
      <w:bookmarkStart w:id="18" w:name="_Toc511716265"/>
      <w:bookmarkStart w:id="19" w:name="_Toc511719076"/>
      <w:bookmarkStart w:id="20" w:name="_Toc514156681"/>
      <w:r w:rsidRPr="0058077F">
        <w:t>Consultation and feedback</w:t>
      </w:r>
      <w:bookmarkEnd w:id="15"/>
      <w:bookmarkEnd w:id="16"/>
      <w:bookmarkEnd w:id="17"/>
      <w:bookmarkEnd w:id="18"/>
      <w:bookmarkEnd w:id="19"/>
      <w:bookmarkEnd w:id="20"/>
    </w:p>
    <w:p w14:paraId="56C4A66B" w14:textId="5F1A1D22" w:rsidR="00290E92" w:rsidRDefault="00B47C14" w:rsidP="00CC0240">
      <w:r w:rsidRPr="00A30CFC">
        <w:t xml:space="preserve">We are </w:t>
      </w:r>
      <w:r>
        <w:t>r</w:t>
      </w:r>
      <w:r w:rsidRPr="00A30CFC">
        <w:t xml:space="preserve">equesting your feedback on </w:t>
      </w:r>
      <w:r w:rsidR="00290E92">
        <w:t>this draft</w:t>
      </w:r>
      <w:r>
        <w:t xml:space="preserve"> 2018</w:t>
      </w:r>
      <w:r w:rsidR="00CC0240">
        <w:t>–</w:t>
      </w:r>
      <w:r>
        <w:t xml:space="preserve">22 </w:t>
      </w:r>
      <w:r w:rsidR="00290E92">
        <w:t>FYSO</w:t>
      </w:r>
      <w:r>
        <w:t xml:space="preserve"> </w:t>
      </w:r>
      <w:r w:rsidRPr="00A30CFC">
        <w:t xml:space="preserve">and any other comments you would like to contribute by </w:t>
      </w:r>
      <w:r w:rsidR="00D30AEF">
        <w:rPr>
          <w:b/>
        </w:rPr>
        <w:t>Friday</w:t>
      </w:r>
      <w:bookmarkStart w:id="21" w:name="_GoBack"/>
      <w:bookmarkEnd w:id="21"/>
      <w:r w:rsidR="004B446D">
        <w:t xml:space="preserve"> </w:t>
      </w:r>
      <w:r w:rsidR="007B788C">
        <w:rPr>
          <w:b/>
        </w:rPr>
        <w:t>15</w:t>
      </w:r>
      <w:r w:rsidR="00696268" w:rsidRPr="00B2171A">
        <w:rPr>
          <w:b/>
        </w:rPr>
        <w:t xml:space="preserve"> </w:t>
      </w:r>
      <w:r w:rsidRPr="00B2171A">
        <w:rPr>
          <w:b/>
        </w:rPr>
        <w:t>June 2018</w:t>
      </w:r>
      <w:r w:rsidRPr="001D3119">
        <w:rPr>
          <w:b/>
        </w:rPr>
        <w:t>.</w:t>
      </w:r>
      <w:r w:rsidRPr="0022550C">
        <w:rPr>
          <w:b/>
        </w:rPr>
        <w:t xml:space="preserve"> </w:t>
      </w:r>
      <w:r w:rsidRPr="00A30CFC">
        <w:t>The feedback you provide will</w:t>
      </w:r>
      <w:r>
        <w:t xml:space="preserve"> inform and refine the priority activities included in the</w:t>
      </w:r>
      <w:r w:rsidR="00290E92">
        <w:t xml:space="preserve"> finalised</w:t>
      </w:r>
      <w:r w:rsidRPr="00A30CFC">
        <w:t xml:space="preserve"> 2018–22 spectrum work </w:t>
      </w:r>
      <w:r>
        <w:t>program</w:t>
      </w:r>
      <w:r w:rsidRPr="00A30CFC">
        <w:t xml:space="preserve">. We aim to publish a final version </w:t>
      </w:r>
      <w:r>
        <w:t xml:space="preserve">of the work program in the first quarter of the </w:t>
      </w:r>
      <w:r w:rsidRPr="00A30CFC">
        <w:t>2018–19 financial year.</w:t>
      </w:r>
      <w:r w:rsidR="009D46AD">
        <w:t xml:space="preserve"> </w:t>
      </w:r>
      <w:r w:rsidRPr="00A30CFC">
        <w:t>We look forward to your comments.</w:t>
      </w:r>
    </w:p>
    <w:p w14:paraId="51313A4D" w14:textId="77777777" w:rsidR="00290E92" w:rsidRPr="0056784A" w:rsidRDefault="00290E92" w:rsidP="005759E7">
      <w:pPr>
        <w:pStyle w:val="Heading3"/>
      </w:pPr>
      <w:bookmarkStart w:id="22" w:name="_Toc510104927"/>
      <w:bookmarkStart w:id="23" w:name="_Toc510105724"/>
      <w:bookmarkStart w:id="24" w:name="_Toc510795065"/>
      <w:bookmarkStart w:id="25" w:name="_Toc511716266"/>
      <w:bookmarkStart w:id="26" w:name="_Toc511719077"/>
      <w:bookmarkStart w:id="27" w:name="_Toc514156682"/>
      <w:r w:rsidRPr="0056784A">
        <w:t>Consultation question</w:t>
      </w:r>
      <w:bookmarkEnd w:id="22"/>
      <w:bookmarkEnd w:id="23"/>
      <w:bookmarkEnd w:id="24"/>
      <w:bookmarkEnd w:id="25"/>
      <w:bookmarkEnd w:id="26"/>
      <w:bookmarkEnd w:id="27"/>
      <w:r w:rsidRPr="0056784A">
        <w:t xml:space="preserve"> </w:t>
      </w:r>
    </w:p>
    <w:p w14:paraId="6896773C" w14:textId="77777777" w:rsidR="00290E92" w:rsidRPr="0054532C" w:rsidRDefault="003D08DC" w:rsidP="00652FC3">
      <w:pPr>
        <w:pStyle w:val="ListNumber"/>
        <w:shd w:val="clear" w:color="auto" w:fill="auto"/>
        <w:ind w:left="426" w:hanging="426"/>
        <w:rPr>
          <w:rFonts w:eastAsiaTheme="majorEastAsia"/>
        </w:rPr>
      </w:pPr>
      <w:r>
        <w:t>What</w:t>
      </w:r>
      <w:r w:rsidR="00290E92">
        <w:t xml:space="preserve"> further improvements could be made to the FYSO to make it easier for stakeholders to engage with the ACMA on its work program</w:t>
      </w:r>
      <w:r w:rsidR="00290E92" w:rsidRPr="00A30CFC">
        <w:t>?</w:t>
      </w:r>
    </w:p>
    <w:p w14:paraId="6F691BC6" w14:textId="77777777" w:rsidR="000C4ED6" w:rsidRPr="0056784A" w:rsidRDefault="000C4ED6" w:rsidP="0056784A">
      <w:pPr>
        <w:pStyle w:val="Heading1"/>
        <w:rPr>
          <w:rStyle w:val="TitleChar"/>
          <w:rFonts w:ascii="Arial" w:hAnsi="Arial" w:cs="Arial"/>
          <w:spacing w:val="0"/>
          <w:kern w:val="32"/>
          <w:sz w:val="53"/>
          <w:szCs w:val="32"/>
          <w:lang w:eastAsia="en-AU"/>
        </w:rPr>
      </w:pPr>
      <w:bookmarkStart w:id="28" w:name="_Toc492369998"/>
      <w:bookmarkStart w:id="29" w:name="_Toc492371194"/>
      <w:bookmarkStart w:id="30" w:name="_Toc492371270"/>
      <w:bookmarkStart w:id="31" w:name="_Toc492371763"/>
      <w:bookmarkStart w:id="32" w:name="_Toc492374153"/>
      <w:bookmarkStart w:id="33" w:name="_Toc492374934"/>
      <w:bookmarkStart w:id="34" w:name="_Toc492383120"/>
      <w:bookmarkStart w:id="35" w:name="_Toc492385610"/>
      <w:bookmarkStart w:id="36" w:name="_Toc492388328"/>
      <w:bookmarkStart w:id="37" w:name="_Toc492390376"/>
      <w:bookmarkStart w:id="38" w:name="_Toc492554253"/>
      <w:bookmarkStart w:id="39" w:name="_Toc492557299"/>
      <w:bookmarkStart w:id="40" w:name="_Toc492557555"/>
      <w:bookmarkStart w:id="41" w:name="_Toc492557668"/>
      <w:bookmarkStart w:id="42" w:name="_Toc492558039"/>
      <w:bookmarkStart w:id="43" w:name="_Toc492558077"/>
      <w:bookmarkStart w:id="44" w:name="_Toc492564195"/>
      <w:bookmarkStart w:id="45" w:name="_Toc492566411"/>
      <w:bookmarkStart w:id="46" w:name="_Toc492625052"/>
      <w:bookmarkStart w:id="47" w:name="_Toc492625218"/>
      <w:bookmarkStart w:id="48" w:name="_Toc492626134"/>
      <w:bookmarkStart w:id="49" w:name="_Toc492626758"/>
      <w:bookmarkStart w:id="50" w:name="_Toc492630909"/>
      <w:bookmarkStart w:id="51" w:name="_Toc492632457"/>
      <w:bookmarkStart w:id="52" w:name="_Toc492632760"/>
      <w:bookmarkStart w:id="53" w:name="_Toc492632894"/>
      <w:bookmarkStart w:id="54" w:name="_Toc492633051"/>
      <w:bookmarkStart w:id="55" w:name="_Toc492635018"/>
      <w:bookmarkStart w:id="56" w:name="_Toc492639666"/>
      <w:bookmarkStart w:id="57" w:name="_Toc492639974"/>
      <w:bookmarkStart w:id="58" w:name="_Toc492640190"/>
      <w:bookmarkStart w:id="59" w:name="_Toc492640237"/>
      <w:bookmarkStart w:id="60" w:name="_Toc492640276"/>
      <w:bookmarkStart w:id="61" w:name="_Toc492640315"/>
      <w:bookmarkStart w:id="62" w:name="_Toc492641289"/>
      <w:bookmarkStart w:id="63" w:name="_Toc492641336"/>
      <w:bookmarkStart w:id="64" w:name="_Toc492641778"/>
      <w:bookmarkStart w:id="65" w:name="_Toc492641904"/>
      <w:bookmarkStart w:id="66" w:name="_Toc492645934"/>
      <w:bookmarkStart w:id="67" w:name="_Toc492646224"/>
      <w:bookmarkStart w:id="68" w:name="_Toc492646633"/>
      <w:bookmarkStart w:id="69" w:name="_Toc492647421"/>
      <w:bookmarkStart w:id="70" w:name="_Toc492647473"/>
      <w:bookmarkStart w:id="71" w:name="_Toc492885144"/>
      <w:bookmarkStart w:id="72" w:name="_Toc492885264"/>
      <w:bookmarkStart w:id="73" w:name="_Toc492885536"/>
      <w:bookmarkStart w:id="74" w:name="_Toc492885600"/>
      <w:bookmarkStart w:id="75" w:name="_Toc492886707"/>
      <w:bookmarkStart w:id="76" w:name="_Toc492887240"/>
      <w:bookmarkStart w:id="77" w:name="_Toc492890828"/>
      <w:bookmarkStart w:id="78" w:name="_Toc492891431"/>
      <w:bookmarkStart w:id="79" w:name="_Toc492892962"/>
      <w:bookmarkStart w:id="80" w:name="_Toc492893943"/>
      <w:bookmarkStart w:id="81" w:name="_Toc492894078"/>
      <w:bookmarkStart w:id="82" w:name="_Toc492894346"/>
      <w:bookmarkStart w:id="83" w:name="_Toc492894782"/>
      <w:bookmarkStart w:id="84" w:name="_Toc492896235"/>
      <w:bookmarkStart w:id="85" w:name="_Toc492896670"/>
      <w:bookmarkStart w:id="86" w:name="_Toc492897540"/>
      <w:bookmarkStart w:id="87" w:name="_Toc492898003"/>
      <w:bookmarkStart w:id="88" w:name="_Toc492902338"/>
      <w:bookmarkStart w:id="89" w:name="_Toc510104928"/>
      <w:bookmarkStart w:id="90" w:name="_Toc510105725"/>
      <w:bookmarkStart w:id="91" w:name="_Toc510795066"/>
      <w:bookmarkStart w:id="92" w:name="_Toc511716267"/>
      <w:bookmarkStart w:id="93" w:name="_Toc511719078"/>
      <w:bookmarkStart w:id="94" w:name="_Toc514156683"/>
      <w:bookmarkStart w:id="95" w:name="_Toc509581797"/>
      <w:bookmarkStart w:id="96" w:name="_Toc509585113"/>
      <w:bookmarkStart w:id="97" w:name="_Toc509585649"/>
      <w:bookmarkStart w:id="98" w:name="_Toc491854091"/>
      <w:bookmarkStart w:id="99" w:name="_Toc49411514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835321">
        <w:rPr>
          <w:rStyle w:val="TitleChar"/>
          <w:rFonts w:ascii="Arial" w:hAnsi="Arial" w:cs="Arial"/>
          <w:spacing w:val="0"/>
          <w:kern w:val="32"/>
          <w:sz w:val="53"/>
          <w:szCs w:val="32"/>
          <w:lang w:eastAsia="en-AU"/>
        </w:rPr>
        <w:lastRenderedPageBreak/>
        <w:t xml:space="preserve">Part </w:t>
      </w:r>
      <w:r>
        <w:rPr>
          <w:rStyle w:val="TitleChar"/>
          <w:rFonts w:ascii="Arial" w:hAnsi="Arial" w:cs="Arial"/>
          <w:spacing w:val="0"/>
          <w:kern w:val="32"/>
          <w:sz w:val="53"/>
          <w:szCs w:val="32"/>
          <w:lang w:eastAsia="en-AU"/>
        </w:rPr>
        <w:t>1—</w:t>
      </w:r>
      <w:r w:rsidRPr="00835321">
        <w:rPr>
          <w:rStyle w:val="TitleChar"/>
          <w:rFonts w:ascii="Arial" w:hAnsi="Arial" w:cs="Arial"/>
          <w:spacing w:val="0"/>
          <w:kern w:val="32"/>
          <w:sz w:val="53"/>
          <w:szCs w:val="32"/>
          <w:lang w:eastAsia="en-AU"/>
        </w:rPr>
        <w:t>Five</w:t>
      </w:r>
      <w:r>
        <w:rPr>
          <w:rStyle w:val="TitleChar"/>
          <w:rFonts w:ascii="Arial" w:hAnsi="Arial" w:cs="Arial"/>
          <w:spacing w:val="0"/>
          <w:kern w:val="32"/>
          <w:sz w:val="53"/>
          <w:szCs w:val="32"/>
          <w:lang w:eastAsia="en-AU"/>
        </w:rPr>
        <w:t>-y</w:t>
      </w:r>
      <w:r w:rsidRPr="00835321">
        <w:rPr>
          <w:rStyle w:val="TitleChar"/>
          <w:rFonts w:ascii="Arial" w:hAnsi="Arial" w:cs="Arial"/>
          <w:spacing w:val="0"/>
          <w:kern w:val="32"/>
          <w:sz w:val="53"/>
          <w:szCs w:val="32"/>
          <w:lang w:eastAsia="en-AU"/>
        </w:rPr>
        <w:t xml:space="preserve">ear </w:t>
      </w:r>
      <w:r>
        <w:rPr>
          <w:rStyle w:val="TitleChar"/>
          <w:rFonts w:ascii="Arial" w:hAnsi="Arial" w:cs="Arial"/>
          <w:spacing w:val="0"/>
          <w:kern w:val="32"/>
          <w:sz w:val="53"/>
          <w:szCs w:val="32"/>
          <w:lang w:eastAsia="en-AU"/>
        </w:rPr>
        <w:t>spectrum o</w:t>
      </w:r>
      <w:r w:rsidRPr="00835321">
        <w:rPr>
          <w:rStyle w:val="TitleChar"/>
          <w:rFonts w:ascii="Arial" w:hAnsi="Arial" w:cs="Arial"/>
          <w:spacing w:val="0"/>
          <w:kern w:val="32"/>
          <w:sz w:val="53"/>
          <w:szCs w:val="32"/>
          <w:lang w:eastAsia="en-AU"/>
        </w:rPr>
        <w:t>utlook</w:t>
      </w:r>
      <w:bookmarkEnd w:id="89"/>
      <w:bookmarkEnd w:id="90"/>
      <w:bookmarkEnd w:id="91"/>
      <w:bookmarkEnd w:id="92"/>
      <w:bookmarkEnd w:id="93"/>
      <w:bookmarkEnd w:id="94"/>
      <w:r w:rsidRPr="00835321">
        <w:rPr>
          <w:rStyle w:val="TitleChar"/>
          <w:rFonts w:ascii="Arial" w:hAnsi="Arial" w:cs="Arial"/>
          <w:spacing w:val="0"/>
          <w:kern w:val="32"/>
          <w:sz w:val="53"/>
          <w:szCs w:val="32"/>
          <w:lang w:eastAsia="en-AU"/>
        </w:rPr>
        <w:t xml:space="preserve"> </w:t>
      </w:r>
    </w:p>
    <w:p w14:paraId="2E5B791C" w14:textId="77777777" w:rsidR="00913DC4" w:rsidRPr="0058077F" w:rsidRDefault="00913DC4" w:rsidP="0058077F">
      <w:pPr>
        <w:pStyle w:val="Heading2"/>
        <w:rPr>
          <w:rStyle w:val="TitleChar"/>
          <w:rFonts w:ascii="Arial" w:hAnsi="Arial" w:cs="Arial"/>
          <w:spacing w:val="0"/>
          <w:kern w:val="0"/>
          <w:sz w:val="28"/>
          <w:szCs w:val="28"/>
          <w:lang w:eastAsia="en-AU"/>
        </w:rPr>
      </w:pPr>
      <w:bookmarkStart w:id="100" w:name="_Toc510104929"/>
      <w:bookmarkStart w:id="101" w:name="_Toc510105726"/>
      <w:bookmarkStart w:id="102" w:name="_Toc510795067"/>
      <w:bookmarkStart w:id="103" w:name="_Toc511716268"/>
      <w:bookmarkStart w:id="104" w:name="_Toc511719079"/>
      <w:bookmarkStart w:id="105" w:name="_Toc514156684"/>
      <w:r w:rsidRPr="005759E7">
        <w:rPr>
          <w:rStyle w:val="TitleChar"/>
          <w:rFonts w:ascii="Arial" w:hAnsi="Arial" w:cs="Arial"/>
          <w:spacing w:val="0"/>
          <w:kern w:val="0"/>
          <w:sz w:val="28"/>
          <w:szCs w:val="28"/>
          <w:lang w:eastAsia="en-AU"/>
        </w:rPr>
        <w:t>Introduction</w:t>
      </w:r>
      <w:bookmarkEnd w:id="95"/>
      <w:bookmarkEnd w:id="96"/>
      <w:bookmarkEnd w:id="97"/>
      <w:bookmarkEnd w:id="100"/>
      <w:bookmarkEnd w:id="101"/>
      <w:bookmarkEnd w:id="102"/>
      <w:bookmarkEnd w:id="103"/>
      <w:bookmarkEnd w:id="104"/>
      <w:bookmarkEnd w:id="105"/>
    </w:p>
    <w:p w14:paraId="0641FC85" w14:textId="77777777" w:rsidR="00CF322E" w:rsidRDefault="00CF322E" w:rsidP="0027128C">
      <w:bookmarkStart w:id="106" w:name="_Toc491854093"/>
      <w:bookmarkEnd w:id="98"/>
      <w:bookmarkEnd w:id="99"/>
      <w:r>
        <w:t xml:space="preserve">Part </w:t>
      </w:r>
      <w:r w:rsidR="0058077F">
        <w:t>1</w:t>
      </w:r>
      <w:r w:rsidR="000F38B6">
        <w:t xml:space="preserve"> </w:t>
      </w:r>
      <w:r>
        <w:t xml:space="preserve">of </w:t>
      </w:r>
      <w:r w:rsidR="0058077F">
        <w:t xml:space="preserve">this FYSO </w:t>
      </w:r>
      <w:r>
        <w:t>take</w:t>
      </w:r>
      <w:r w:rsidR="0058077F">
        <w:t>s</w:t>
      </w:r>
      <w:r>
        <w:t xml:space="preserve"> a broad view of trends in technology and spectrum uses that inform the</w:t>
      </w:r>
      <w:r w:rsidR="00B269A2">
        <w:t xml:space="preserve"> ACMA’s</w:t>
      </w:r>
      <w:r>
        <w:t xml:space="preserve"> medium</w:t>
      </w:r>
      <w:r w:rsidR="0058077F">
        <w:t>-</w:t>
      </w:r>
      <w:r>
        <w:t xml:space="preserve">term planning, </w:t>
      </w:r>
      <w:r w:rsidR="00B269A2">
        <w:t xml:space="preserve">allocation </w:t>
      </w:r>
      <w:r w:rsidR="00B269A2" w:rsidRPr="00214E77">
        <w:t xml:space="preserve">and </w:t>
      </w:r>
      <w:r w:rsidRPr="00214E77">
        <w:t>reallocation</w:t>
      </w:r>
      <w:r>
        <w:t xml:space="preserve"> activities.</w:t>
      </w:r>
      <w:r w:rsidR="00447762">
        <w:t xml:space="preserve"> </w:t>
      </w:r>
    </w:p>
    <w:p w14:paraId="2C812986" w14:textId="77777777" w:rsidR="003E6F65" w:rsidRDefault="003E6F65">
      <w:r>
        <w:t>The ACMA takes account of a range of factors in planning its spectrum management work. We monitor developments in radiocommunications technology, in spectrum us</w:t>
      </w:r>
      <w:r w:rsidR="0058077F">
        <w:t>e</w:t>
      </w:r>
      <w:r>
        <w:t xml:space="preserve"> markets and in the broader policy environment to inform our allocation of resources to particular issues and regulatory outcomes.</w:t>
      </w:r>
    </w:p>
    <w:p w14:paraId="7222BDC9" w14:textId="77777777" w:rsidR="001F3495" w:rsidRPr="005759E7" w:rsidRDefault="003D08DC" w:rsidP="0058077F">
      <w:pPr>
        <w:pStyle w:val="Heading2"/>
      </w:pPr>
      <w:bookmarkStart w:id="107" w:name="_Toc511716269"/>
      <w:bookmarkStart w:id="108" w:name="_Toc511719080"/>
      <w:bookmarkStart w:id="109" w:name="_Toc514156685"/>
      <w:bookmarkStart w:id="110" w:name="_Toc510104930"/>
      <w:bookmarkStart w:id="111" w:name="_Toc510105727"/>
      <w:bookmarkStart w:id="112" w:name="_Toc510795068"/>
      <w:bookmarkStart w:id="113" w:name="_Toc509581799"/>
      <w:bookmarkStart w:id="114" w:name="_Toc509585115"/>
      <w:bookmarkStart w:id="115" w:name="_Toc509585651"/>
      <w:r w:rsidRPr="005759E7">
        <w:rPr>
          <w:rStyle w:val="Heading2Char"/>
          <w:b/>
          <w:bCs/>
          <w:iCs/>
        </w:rPr>
        <w:t>Anticipated change d</w:t>
      </w:r>
      <w:r w:rsidR="007F1A09" w:rsidRPr="005759E7">
        <w:rPr>
          <w:rStyle w:val="Heading2Char"/>
          <w:b/>
          <w:bCs/>
          <w:iCs/>
        </w:rPr>
        <w:t>rivers</w:t>
      </w:r>
      <w:bookmarkEnd w:id="107"/>
      <w:bookmarkEnd w:id="108"/>
      <w:bookmarkEnd w:id="109"/>
      <w:r w:rsidR="007F1A09" w:rsidRPr="005759E7">
        <w:rPr>
          <w:rStyle w:val="Heading2Char"/>
          <w:b/>
          <w:bCs/>
          <w:iCs/>
        </w:rPr>
        <w:t xml:space="preserve"> </w:t>
      </w:r>
      <w:bookmarkEnd w:id="110"/>
      <w:bookmarkEnd w:id="111"/>
      <w:bookmarkEnd w:id="112"/>
      <w:bookmarkEnd w:id="113"/>
      <w:bookmarkEnd w:id="114"/>
      <w:bookmarkEnd w:id="115"/>
    </w:p>
    <w:p w14:paraId="39D7CC7E" w14:textId="77777777" w:rsidR="007F1A09" w:rsidRDefault="00B269A2">
      <w:bookmarkStart w:id="116" w:name="_Toc494115151"/>
      <w:bookmarkEnd w:id="106"/>
      <w:r>
        <w:t>D</w:t>
      </w:r>
      <w:r w:rsidR="007F1A09">
        <w:t xml:space="preserve">emand for new spectrum </w:t>
      </w:r>
      <w:r w:rsidR="00D210EA">
        <w:t xml:space="preserve">and </w:t>
      </w:r>
      <w:r w:rsidR="007F1A09">
        <w:t xml:space="preserve">changes to existing arrangements continue to evolve quickly, requiring the ACMA to regularly reassess the </w:t>
      </w:r>
      <w:r w:rsidR="007916F4">
        <w:t>priority of its work to reform and update planning arrangements in particular bands, as new opportunities arise to</w:t>
      </w:r>
      <w:r w:rsidR="007F1A09">
        <w:t xml:space="preserve"> maximise the overall public benefit derived from allocating and using spectrum.</w:t>
      </w:r>
    </w:p>
    <w:p w14:paraId="26CCDD02" w14:textId="77777777" w:rsidR="007F1A09" w:rsidRPr="00D22CAE" w:rsidRDefault="007F1A09">
      <w:pPr>
        <w:rPr>
          <w:rStyle w:val="Heading2Char"/>
          <w:rFonts w:cs="Times New Roman"/>
          <w:b w:val="0"/>
          <w:bCs w:val="0"/>
          <w:i/>
          <w:iCs w:val="0"/>
          <w:sz w:val="20"/>
          <w:szCs w:val="24"/>
        </w:rPr>
      </w:pPr>
      <w:r>
        <w:t xml:space="preserve">International trends </w:t>
      </w:r>
      <w:r w:rsidDel="00B269A2">
        <w:t xml:space="preserve">that </w:t>
      </w:r>
      <w:r w:rsidR="001C4306">
        <w:t xml:space="preserve">are driving demand for spectrum include the blurring of </w:t>
      </w:r>
      <w:r>
        <w:t>distinctions between fixed and mobile broadband, rapid innovations in satellite technologies</w:t>
      </w:r>
      <w:r w:rsidR="00E47212">
        <w:t>,</w:t>
      </w:r>
      <w:r>
        <w:t xml:space="preserve"> and ongoing commercialisation of IoT applications</w:t>
      </w:r>
      <w:r w:rsidR="001C4306">
        <w:t xml:space="preserve">. </w:t>
      </w:r>
      <w:r>
        <w:t>Technology continues to develop to more efficiently exploit available spectrum, including through more efficient radiocommunications transmission and encoding technologies</w:t>
      </w:r>
      <w:r w:rsidR="001C4306">
        <w:t>,</w:t>
      </w:r>
      <w:r>
        <w:t xml:space="preserve"> as well as antenna technology</w:t>
      </w:r>
      <w:r w:rsidR="001C4306">
        <w:t xml:space="preserve"> enhancements that </w:t>
      </w:r>
      <w:r>
        <w:t>provide greater options in the use of high frequency bands.</w:t>
      </w:r>
    </w:p>
    <w:p w14:paraId="1C476A66" w14:textId="77777777" w:rsidR="00E02ED8" w:rsidRDefault="00CF322E">
      <w:pPr>
        <w:rPr>
          <w:rFonts w:cs="Arial"/>
          <w:bCs/>
          <w:szCs w:val="26"/>
        </w:rPr>
      </w:pPr>
      <w:r>
        <w:rPr>
          <w:rFonts w:cs="Arial"/>
          <w:bCs/>
          <w:szCs w:val="26"/>
        </w:rPr>
        <w:t xml:space="preserve">The ACMA’s response to these demand pressures is outlined in </w:t>
      </w:r>
      <w:r w:rsidR="001C4306">
        <w:rPr>
          <w:rFonts w:cs="Arial"/>
          <w:bCs/>
          <w:szCs w:val="26"/>
        </w:rPr>
        <w:t xml:space="preserve">more detail </w:t>
      </w:r>
      <w:r>
        <w:rPr>
          <w:rFonts w:cs="Arial"/>
          <w:bCs/>
          <w:szCs w:val="26"/>
        </w:rPr>
        <w:t>in the planning and allocation work stream activities</w:t>
      </w:r>
      <w:r w:rsidR="00242E62">
        <w:rPr>
          <w:rFonts w:cs="Arial"/>
          <w:bCs/>
          <w:szCs w:val="26"/>
        </w:rPr>
        <w:t>. The information</w:t>
      </w:r>
      <w:r w:rsidDel="00242E62">
        <w:rPr>
          <w:rFonts w:cs="Arial"/>
          <w:bCs/>
          <w:szCs w:val="26"/>
        </w:rPr>
        <w:t xml:space="preserve"> </w:t>
      </w:r>
      <w:r w:rsidR="00242E62">
        <w:rPr>
          <w:rFonts w:cs="Arial"/>
          <w:bCs/>
          <w:szCs w:val="26"/>
        </w:rPr>
        <w:t>incorporates an annual work program component</w:t>
      </w:r>
      <w:r w:rsidR="003039C5">
        <w:rPr>
          <w:rFonts w:cs="Arial"/>
          <w:bCs/>
          <w:szCs w:val="26"/>
        </w:rPr>
        <w:t xml:space="preserve"> containing details of w</w:t>
      </w:r>
      <w:r w:rsidR="009A42F6">
        <w:rPr>
          <w:rFonts w:cs="Arial"/>
          <w:bCs/>
          <w:szCs w:val="26"/>
        </w:rPr>
        <w:t xml:space="preserve">hen we expect </w:t>
      </w:r>
      <w:r w:rsidR="003039C5">
        <w:rPr>
          <w:rFonts w:cs="Arial"/>
          <w:bCs/>
          <w:szCs w:val="26"/>
        </w:rPr>
        <w:t>tasks to be completed</w:t>
      </w:r>
      <w:r w:rsidR="00B269A2">
        <w:rPr>
          <w:rFonts w:cs="Arial"/>
          <w:bCs/>
          <w:szCs w:val="26"/>
        </w:rPr>
        <w:t>. The five</w:t>
      </w:r>
      <w:r w:rsidR="0058077F">
        <w:rPr>
          <w:rFonts w:cs="Arial"/>
          <w:bCs/>
          <w:szCs w:val="26"/>
        </w:rPr>
        <w:t>-</w:t>
      </w:r>
      <w:r w:rsidR="00B269A2">
        <w:rPr>
          <w:rFonts w:cs="Arial"/>
          <w:bCs/>
          <w:szCs w:val="26"/>
        </w:rPr>
        <w:t xml:space="preserve">year component of the work program </w:t>
      </w:r>
      <w:r w:rsidR="003039C5">
        <w:rPr>
          <w:rFonts w:cs="Arial"/>
          <w:bCs/>
          <w:szCs w:val="26"/>
        </w:rPr>
        <w:t>does not give timing commitments as experience shows the relative priority of work in future years is liable to change. The intention is</w:t>
      </w:r>
      <w:r w:rsidR="009A42F6">
        <w:rPr>
          <w:rFonts w:cs="Arial"/>
          <w:bCs/>
          <w:szCs w:val="26"/>
        </w:rPr>
        <w:t xml:space="preserve"> to alert stakeholders to the pressures likely to shape future annual work programs. It lets the proponents of change know that ACMA is alert to issue</w:t>
      </w:r>
      <w:r w:rsidR="003039C5">
        <w:rPr>
          <w:rFonts w:cs="Arial"/>
          <w:bCs/>
          <w:szCs w:val="26"/>
        </w:rPr>
        <w:t>s</w:t>
      </w:r>
      <w:r w:rsidR="0058077F">
        <w:rPr>
          <w:rFonts w:cs="Arial"/>
          <w:bCs/>
          <w:szCs w:val="26"/>
        </w:rPr>
        <w:t>,</w:t>
      </w:r>
      <w:r w:rsidR="009A42F6">
        <w:rPr>
          <w:rFonts w:cs="Arial"/>
          <w:bCs/>
          <w:szCs w:val="26"/>
        </w:rPr>
        <w:t xml:space="preserve"> while giving notice to spectrum incumbents about the pressures emerging on planning arrangements in bands they </w:t>
      </w:r>
      <w:r w:rsidR="003039C5">
        <w:rPr>
          <w:rFonts w:cs="Arial"/>
          <w:bCs/>
          <w:szCs w:val="26"/>
        </w:rPr>
        <w:t>rely on</w:t>
      </w:r>
      <w:r w:rsidR="009A42F6">
        <w:rPr>
          <w:rFonts w:cs="Arial"/>
          <w:bCs/>
          <w:szCs w:val="26"/>
        </w:rPr>
        <w:t>.</w:t>
      </w:r>
    </w:p>
    <w:p w14:paraId="7AC98845" w14:textId="77777777" w:rsidR="001F3495" w:rsidRPr="0058077F" w:rsidRDefault="00B84965" w:rsidP="0058077F">
      <w:pPr>
        <w:pStyle w:val="Heading3"/>
      </w:pPr>
      <w:bookmarkStart w:id="117" w:name="_Toc510795069"/>
      <w:bookmarkStart w:id="118" w:name="_Toc511716270"/>
      <w:bookmarkStart w:id="119" w:name="_Toc511719081"/>
      <w:bookmarkStart w:id="120" w:name="_Toc514156686"/>
      <w:bookmarkEnd w:id="116"/>
      <w:r w:rsidRPr="0058077F">
        <w:t>Wireless broadband, including 5G</w:t>
      </w:r>
      <w:bookmarkEnd w:id="117"/>
      <w:bookmarkEnd w:id="118"/>
      <w:bookmarkEnd w:id="119"/>
      <w:bookmarkEnd w:id="120"/>
    </w:p>
    <w:p w14:paraId="207DA845" w14:textId="77777777" w:rsidR="00D74381" w:rsidRDefault="00835321">
      <w:r>
        <w:t xml:space="preserve">Demand for spectrum to support </w:t>
      </w:r>
      <w:r w:rsidR="00B84965">
        <w:t xml:space="preserve">wireless </w:t>
      </w:r>
      <w:r>
        <w:t xml:space="preserve">broadband continues to be a major driver </w:t>
      </w:r>
      <w:r w:rsidRPr="005629EA">
        <w:t>for changes in highest</w:t>
      </w:r>
      <w:r>
        <w:t>-</w:t>
      </w:r>
      <w:r w:rsidRPr="005629EA">
        <w:t xml:space="preserve">value </w:t>
      </w:r>
      <w:r>
        <w:t xml:space="preserve">spectrum </w:t>
      </w:r>
      <w:r w:rsidRPr="005629EA">
        <w:t xml:space="preserve">use across a </w:t>
      </w:r>
      <w:r w:rsidR="00C1152D">
        <w:t>number</w:t>
      </w:r>
      <w:r w:rsidRPr="005629EA">
        <w:t xml:space="preserve"> of bands</w:t>
      </w:r>
      <w:r w:rsidR="004D2D68">
        <w:t>. M</w:t>
      </w:r>
      <w:r>
        <w:t>obile broadband continu</w:t>
      </w:r>
      <w:r w:rsidR="004D2D68">
        <w:t>es</w:t>
      </w:r>
      <w:r>
        <w:t xml:space="preserve"> to be </w:t>
      </w:r>
      <w:r w:rsidR="00BF7D9F">
        <w:t>the largest but not the only source</w:t>
      </w:r>
      <w:r w:rsidR="005629C8">
        <w:t xml:space="preserve"> of demand</w:t>
      </w:r>
      <w:r w:rsidRPr="00125FC9">
        <w:t xml:space="preserve">. We anticipate further spectrum will be needed to support the growth in broadband applications and mobile data in particular. </w:t>
      </w:r>
    </w:p>
    <w:p w14:paraId="0FAD1372" w14:textId="77777777" w:rsidR="001F3495" w:rsidRDefault="00835321">
      <w:r w:rsidRPr="00125FC9">
        <w:t xml:space="preserve">The </w:t>
      </w:r>
      <w:r w:rsidR="00ED0624">
        <w:t xml:space="preserve">current </w:t>
      </w:r>
      <w:r w:rsidR="00125FC9">
        <w:t>w</w:t>
      </w:r>
      <w:r w:rsidRPr="00125FC9">
        <w:t xml:space="preserve">ork </w:t>
      </w:r>
      <w:r w:rsidR="00125FC9">
        <w:t>p</w:t>
      </w:r>
      <w:r w:rsidRPr="00125FC9">
        <w:t>rogram</w:t>
      </w:r>
      <w:r w:rsidR="001F3495">
        <w:t xml:space="preserve">, including the forward allocation </w:t>
      </w:r>
      <w:r w:rsidR="00BA6010">
        <w:t>work plan</w:t>
      </w:r>
      <w:r w:rsidR="00E57BD4">
        <w:t xml:space="preserve"> (see below)</w:t>
      </w:r>
      <w:r w:rsidR="00875AEB">
        <w:t xml:space="preserve"> and the </w:t>
      </w:r>
      <w:hyperlink r:id="rId27" w:history="1">
        <w:r w:rsidR="0058077F">
          <w:rPr>
            <w:rStyle w:val="Hyperlink"/>
          </w:rPr>
          <w:t>ACMA mobile broadband strategy</w:t>
        </w:r>
      </w:hyperlink>
      <w:r w:rsidR="001F3495">
        <w:t>,</w:t>
      </w:r>
      <w:r w:rsidRPr="00125FC9">
        <w:t xml:space="preserve"> </w:t>
      </w:r>
      <w:r>
        <w:t xml:space="preserve">remain the basis for the ACMA’s response to </w:t>
      </w:r>
      <w:r w:rsidR="00B84965">
        <w:t xml:space="preserve">wireless </w:t>
      </w:r>
      <w:r w:rsidR="00292BAD">
        <w:t>broadband spectrum demand.</w:t>
      </w:r>
    </w:p>
    <w:p w14:paraId="7DCFAE9D" w14:textId="77777777" w:rsidR="0084523B" w:rsidRDefault="00875AEB" w:rsidP="0027128C">
      <w:bookmarkStart w:id="121" w:name="_Toc509581801"/>
      <w:bookmarkStart w:id="122" w:name="_Toc509585117"/>
      <w:bookmarkStart w:id="123" w:name="_Toc509585653"/>
      <w:bookmarkStart w:id="124" w:name="_Toc510104932"/>
      <w:bookmarkStart w:id="125" w:name="_Toc510105729"/>
      <w:r>
        <w:t xml:space="preserve">The rapid development of the next generation of wireless broadband technology, known as 5G, has emerged as </w:t>
      </w:r>
      <w:r w:rsidR="005629C8">
        <w:t>a key</w:t>
      </w:r>
      <w:r>
        <w:t xml:space="preserve"> driver of </w:t>
      </w:r>
      <w:r w:rsidR="00BF7D9F">
        <w:t xml:space="preserve">change to existing </w:t>
      </w:r>
      <w:r>
        <w:t xml:space="preserve">spectrum </w:t>
      </w:r>
      <w:r w:rsidR="00BF7D9F">
        <w:t>arrangements</w:t>
      </w:r>
      <w:r>
        <w:t xml:space="preserve">. This is the case not only </w:t>
      </w:r>
      <w:r w:rsidR="00BF7D9F">
        <w:t xml:space="preserve">because of the potential for reallocation </w:t>
      </w:r>
      <w:r w:rsidR="00EE1182">
        <w:t xml:space="preserve">of </w:t>
      </w:r>
      <w:r w:rsidR="00BF7D9F">
        <w:t>additional</w:t>
      </w:r>
      <w:r>
        <w:t xml:space="preserve"> spectrum bands to support its deployment, but </w:t>
      </w:r>
      <w:r w:rsidR="00BF7D9F">
        <w:t xml:space="preserve">because its particular </w:t>
      </w:r>
      <w:r w:rsidR="00BF7D9F">
        <w:lastRenderedPageBreak/>
        <w:t>characteristics, and the characteristics of some of the bands into which it will be introduced, challenge us to consider new ways to</w:t>
      </w:r>
      <w:r>
        <w:t xml:space="preserve"> plan and licen</w:t>
      </w:r>
      <w:r w:rsidR="00BF7D9F">
        <w:t>se</w:t>
      </w:r>
      <w:r>
        <w:t xml:space="preserve"> that spectrum.</w:t>
      </w:r>
    </w:p>
    <w:p w14:paraId="236AB1B3" w14:textId="77777777" w:rsidR="005629C8" w:rsidRDefault="0084523B" w:rsidP="0027128C">
      <w:r>
        <w:t xml:space="preserve">The definition of 5G has been firming over the past 12 months, both in the </w:t>
      </w:r>
      <w:r w:rsidRPr="00A60850">
        <w:rPr>
          <w:rFonts w:cs="Arial"/>
          <w:szCs w:val="20"/>
        </w:rPr>
        <w:t>I</w:t>
      </w:r>
      <w:r>
        <w:rPr>
          <w:rFonts w:cs="Arial"/>
          <w:szCs w:val="20"/>
        </w:rPr>
        <w:t xml:space="preserve">nternational </w:t>
      </w:r>
      <w:r w:rsidRPr="00A60850">
        <w:rPr>
          <w:rFonts w:cs="Arial"/>
          <w:szCs w:val="20"/>
        </w:rPr>
        <w:t>T</w:t>
      </w:r>
      <w:r>
        <w:rPr>
          <w:rFonts w:cs="Arial"/>
          <w:szCs w:val="20"/>
        </w:rPr>
        <w:t xml:space="preserve">elecommunication </w:t>
      </w:r>
      <w:r w:rsidRPr="00A60850">
        <w:rPr>
          <w:rFonts w:cs="Arial"/>
          <w:szCs w:val="20"/>
        </w:rPr>
        <w:t>U</w:t>
      </w:r>
      <w:r>
        <w:rPr>
          <w:rFonts w:cs="Arial"/>
          <w:szCs w:val="20"/>
        </w:rPr>
        <w:t>nion</w:t>
      </w:r>
      <w:r w:rsidRPr="00A60850">
        <w:rPr>
          <w:rFonts w:cs="Arial"/>
          <w:szCs w:val="20"/>
        </w:rPr>
        <w:t xml:space="preserve"> Ra</w:t>
      </w:r>
      <w:r>
        <w:rPr>
          <w:rFonts w:cs="Arial"/>
          <w:szCs w:val="20"/>
        </w:rPr>
        <w:t>diocommunication Sector (ITU-R)</w:t>
      </w:r>
      <w:r>
        <w:t xml:space="preserve"> in terms of defining IMT-2020</w:t>
      </w:r>
      <w:r>
        <w:rPr>
          <w:rStyle w:val="FootnoteReference"/>
        </w:rPr>
        <w:footnoteReference w:id="2"/>
      </w:r>
      <w:r w:rsidR="00EE1182">
        <w:t>,</w:t>
      </w:r>
      <w:r>
        <w:t xml:space="preserve"> and in 3GPP in </w:t>
      </w:r>
      <w:r w:rsidR="005629C8">
        <w:t xml:space="preserve">its </w:t>
      </w:r>
      <w:r>
        <w:t xml:space="preserve">work </w:t>
      </w:r>
      <w:r w:rsidR="005629C8">
        <w:t>on</w:t>
      </w:r>
      <w:r>
        <w:t xml:space="preserve"> Release 15, which is focusing on the enhanced mobile broadband aspect of 5G.</w:t>
      </w:r>
      <w:r>
        <w:rPr>
          <w:rStyle w:val="FootnoteReference"/>
        </w:rPr>
        <w:footnoteReference w:id="3"/>
      </w:r>
      <w:r>
        <w:t xml:space="preserve"> </w:t>
      </w:r>
    </w:p>
    <w:p w14:paraId="4F2FF2D3" w14:textId="77777777" w:rsidR="005629C8" w:rsidRDefault="0084523B" w:rsidP="005759E7">
      <w:pPr>
        <w:spacing w:after="80"/>
      </w:pPr>
      <w:r>
        <w:rPr>
          <w:color w:val="000000"/>
        </w:rPr>
        <w:t>D</w:t>
      </w:r>
      <w:r w:rsidRPr="003F5BF2">
        <w:rPr>
          <w:color w:val="000000"/>
        </w:rPr>
        <w:t xml:space="preserve">efining objectives </w:t>
      </w:r>
      <w:r>
        <w:rPr>
          <w:color w:val="000000"/>
        </w:rPr>
        <w:t>of</w:t>
      </w:r>
      <w:r w:rsidRPr="003F5BF2">
        <w:rPr>
          <w:color w:val="000000"/>
        </w:rPr>
        <w:t xml:space="preserve"> 5G that </w:t>
      </w:r>
      <w:r>
        <w:rPr>
          <w:color w:val="000000"/>
        </w:rPr>
        <w:t>distinguish</w:t>
      </w:r>
      <w:r w:rsidRPr="003F5BF2">
        <w:rPr>
          <w:color w:val="000000"/>
        </w:rPr>
        <w:t xml:space="preserve"> it </w:t>
      </w:r>
      <w:r w:rsidRPr="00D1185A">
        <w:t>from previous developments continue to include</w:t>
      </w:r>
      <w:r w:rsidR="005629C8">
        <w:t>:</w:t>
      </w:r>
    </w:p>
    <w:p w14:paraId="7D835779" w14:textId="77777777" w:rsidR="005629C8" w:rsidRPr="00BE7AFE" w:rsidRDefault="0084523B" w:rsidP="005759E7">
      <w:pPr>
        <w:pStyle w:val="ListBullet"/>
        <w:rPr>
          <w:color w:val="000000"/>
        </w:rPr>
      </w:pPr>
      <w:r w:rsidRPr="00D1185A">
        <w:t>support for very low latency and ultra-reliable communications</w:t>
      </w:r>
    </w:p>
    <w:p w14:paraId="32BFC075" w14:textId="77777777" w:rsidR="0047527A" w:rsidRPr="00BE7AFE" w:rsidRDefault="0084523B" w:rsidP="005759E7">
      <w:pPr>
        <w:pStyle w:val="ListBullet"/>
        <w:rPr>
          <w:color w:val="000000"/>
        </w:rPr>
      </w:pPr>
      <w:r w:rsidRPr="00D1185A">
        <w:t>enhanced mobile broadband enabling data rates exceeding that of LTE/4G</w:t>
      </w:r>
    </w:p>
    <w:p w14:paraId="014719F5" w14:textId="77777777" w:rsidR="0047527A" w:rsidRPr="00BE7AFE" w:rsidRDefault="0084523B" w:rsidP="005759E7">
      <w:pPr>
        <w:pStyle w:val="ListBullet"/>
        <w:rPr>
          <w:color w:val="000000"/>
        </w:rPr>
      </w:pPr>
      <w:r>
        <w:t>an ‘anytime, anywhere, anyone and anything’ capability, which is anticipated</w:t>
      </w:r>
      <w:r w:rsidDel="00D1185A">
        <w:t xml:space="preserve"> </w:t>
      </w:r>
      <w:r>
        <w:t xml:space="preserve">to play a role in supporting multiple device M2M communications and a wider deployment of the </w:t>
      </w:r>
      <w:r w:rsidRPr="00C367FC">
        <w:t>IoT</w:t>
      </w:r>
    </w:p>
    <w:p w14:paraId="1FBB6A21" w14:textId="77777777" w:rsidR="0084523B" w:rsidRDefault="0047527A" w:rsidP="005759E7">
      <w:pPr>
        <w:pStyle w:val="ListBulletLast"/>
        <w:rPr>
          <w:color w:val="000000"/>
        </w:rPr>
      </w:pPr>
      <w:r w:rsidRPr="0047527A">
        <w:t xml:space="preserve">its use of broader channel bandwidths than </w:t>
      </w:r>
      <w:r w:rsidR="00BF7D9F">
        <w:t>are</w:t>
      </w:r>
      <w:r w:rsidRPr="0047527A">
        <w:t xml:space="preserve"> currently used for wireless broadband services, particularly in the mid and high bands where channel bandwidths of hundreds of MHz are being contemplated.</w:t>
      </w:r>
      <w:r w:rsidR="00447762">
        <w:t xml:space="preserve"> </w:t>
      </w:r>
    </w:p>
    <w:p w14:paraId="73E32836" w14:textId="77777777" w:rsidR="0047527A" w:rsidRDefault="0084523B" w:rsidP="005759E7">
      <w:pPr>
        <w:spacing w:after="80"/>
      </w:pPr>
      <w:r w:rsidRPr="003F5BF2">
        <w:t xml:space="preserve">From a spectrum </w:t>
      </w:r>
      <w:r w:rsidR="00353B4E">
        <w:t xml:space="preserve">management </w:t>
      </w:r>
      <w:r w:rsidRPr="003F5BF2">
        <w:t>perspective</w:t>
      </w:r>
      <w:r>
        <w:t>,</w:t>
      </w:r>
      <w:r w:rsidRPr="003F5BF2">
        <w:t xml:space="preserve"> 5G appears certain to </w:t>
      </w:r>
      <w:r w:rsidR="0075534E">
        <w:t xml:space="preserve">utilise spectrum </w:t>
      </w:r>
      <w:r w:rsidR="0047527A">
        <w:t xml:space="preserve">across </w:t>
      </w:r>
      <w:r w:rsidR="00BF7D9F">
        <w:t xml:space="preserve">an unprecedentedly wide range of </w:t>
      </w:r>
      <w:r w:rsidR="0075534E">
        <w:t>frequency bands. This will include</w:t>
      </w:r>
      <w:r w:rsidR="0047527A">
        <w:t>:</w:t>
      </w:r>
    </w:p>
    <w:p w14:paraId="6C8A9C1C" w14:textId="77777777" w:rsidR="0047527A" w:rsidRDefault="0075534E" w:rsidP="005759E7">
      <w:pPr>
        <w:pStyle w:val="ListBullet"/>
      </w:pPr>
      <w:r>
        <w:t>‘low</w:t>
      </w:r>
      <w:r w:rsidR="00EE1182">
        <w:t>-</w:t>
      </w:r>
      <w:r>
        <w:t>band’ spectrum below 1 GHz</w:t>
      </w:r>
      <w:r w:rsidR="00EE1182">
        <w:t>,</w:t>
      </w:r>
      <w:r w:rsidR="0084523B" w:rsidRPr="003F5BF2">
        <w:t xml:space="preserve"> </w:t>
      </w:r>
      <w:r>
        <w:t>much of which is already used for mobile broadband networks</w:t>
      </w:r>
    </w:p>
    <w:p w14:paraId="1C93C367" w14:textId="77777777" w:rsidR="0047527A" w:rsidRDefault="0075534E" w:rsidP="005759E7">
      <w:pPr>
        <w:pStyle w:val="ListBullet"/>
      </w:pPr>
      <w:r>
        <w:t>‘mid</w:t>
      </w:r>
      <w:r w:rsidR="00EE1182">
        <w:t>-</w:t>
      </w:r>
      <w:r>
        <w:t xml:space="preserve">band’ spectrum between 1 and 6 GHz </w:t>
      </w:r>
    </w:p>
    <w:p w14:paraId="6BBC092D" w14:textId="77777777" w:rsidR="0047527A" w:rsidRDefault="0075534E" w:rsidP="005759E7">
      <w:pPr>
        <w:pStyle w:val="ListBulletLast"/>
      </w:pPr>
      <w:r>
        <w:t>’high bands’</w:t>
      </w:r>
      <w:r w:rsidR="00EE1182">
        <w:t>,</w:t>
      </w:r>
      <w:r>
        <w:t xml:space="preserve"> including in the previously unused mmWave</w:t>
      </w:r>
      <w:r w:rsidRPr="003F5BF2">
        <w:t xml:space="preserve"> bands</w:t>
      </w:r>
      <w:r w:rsidR="00AC7D4B">
        <w:rPr>
          <w:rStyle w:val="FootnoteReference"/>
        </w:rPr>
        <w:footnoteReference w:id="4"/>
      </w:r>
      <w:r w:rsidR="00EE1182">
        <w:t xml:space="preserve">, </w:t>
      </w:r>
      <w:r w:rsidR="00AC7D4B">
        <w:t>wh</w:t>
      </w:r>
      <w:r w:rsidR="00BF7D9F">
        <w:t>ich are the focus for much of our current wireless broadband</w:t>
      </w:r>
      <w:r w:rsidR="00EE1182">
        <w:t>-</w:t>
      </w:r>
      <w:r w:rsidR="00BF7D9F">
        <w:t>related planning work</w:t>
      </w:r>
      <w:r>
        <w:t>.</w:t>
      </w:r>
    </w:p>
    <w:p w14:paraId="27B8FD7C" w14:textId="77777777" w:rsidR="00AC7D4B" w:rsidRDefault="00AC7D4B" w:rsidP="0027128C">
      <w:r>
        <w:t>In addition to the use of ‘new’ frequency bands, w</w:t>
      </w:r>
      <w:r w:rsidRPr="009F20B4">
        <w:t>e expect t</w:t>
      </w:r>
      <w:r>
        <w:t>hat</w:t>
      </w:r>
      <w:r w:rsidRPr="009F20B4">
        <w:t xml:space="preserve"> many of the bands already available for broadband in Australia will be re-farmed </w:t>
      </w:r>
      <w:r>
        <w:t xml:space="preserve">over time by </w:t>
      </w:r>
      <w:r w:rsidR="0047527A">
        <w:t xml:space="preserve">incumbent users </w:t>
      </w:r>
      <w:r>
        <w:t xml:space="preserve">for 5G technologies. </w:t>
      </w:r>
    </w:p>
    <w:p w14:paraId="7EE13484" w14:textId="77777777" w:rsidR="000F51E4" w:rsidRDefault="0075534E" w:rsidP="008B6F4A">
      <w:pPr>
        <w:spacing w:after="80"/>
        <w:rPr>
          <w:lang w:val="en"/>
        </w:rPr>
      </w:pPr>
      <w:r>
        <w:t xml:space="preserve">Globally, 5G is </w:t>
      </w:r>
      <w:r w:rsidDel="004D2D68">
        <w:t xml:space="preserve">seen as </w:t>
      </w:r>
      <w:r w:rsidR="004D2D68">
        <w:t>having</w:t>
      </w:r>
      <w:r>
        <w:t xml:space="preserve"> </w:t>
      </w:r>
      <w:r w:rsidR="00AC7D4B">
        <w:t xml:space="preserve">potentially revolutionary </w:t>
      </w:r>
      <w:r>
        <w:t>economy</w:t>
      </w:r>
      <w:r w:rsidR="00EE1182">
        <w:t>-</w:t>
      </w:r>
      <w:r>
        <w:t>wide benefits</w:t>
      </w:r>
      <w:r w:rsidR="002813BF">
        <w:rPr>
          <w:rStyle w:val="FootnoteReference"/>
        </w:rPr>
        <w:footnoteReference w:id="5"/>
      </w:r>
      <w:r>
        <w:t xml:space="preserve">, including in areas not traditionally </w:t>
      </w:r>
      <w:r w:rsidR="004D2D68">
        <w:t>associated</w:t>
      </w:r>
      <w:r>
        <w:t xml:space="preserve"> </w:t>
      </w:r>
      <w:r w:rsidR="004D2D68">
        <w:t>with fixed and</w:t>
      </w:r>
      <w:r w:rsidR="002256FC">
        <w:t xml:space="preserve"> </w:t>
      </w:r>
      <w:r w:rsidR="004D2D68">
        <w:t>mobile wireless broadband</w:t>
      </w:r>
      <w:r>
        <w:t xml:space="preserve">. </w:t>
      </w:r>
      <w:bookmarkEnd w:id="121"/>
      <w:bookmarkEnd w:id="122"/>
      <w:bookmarkEnd w:id="123"/>
      <w:bookmarkEnd w:id="124"/>
      <w:bookmarkEnd w:id="125"/>
      <w:r w:rsidR="00F03D7F">
        <w:rPr>
          <w:lang w:val="en"/>
        </w:rPr>
        <w:t>On 12 October 201</w:t>
      </w:r>
      <w:r w:rsidR="006D6657">
        <w:rPr>
          <w:lang w:val="en"/>
        </w:rPr>
        <w:t>7</w:t>
      </w:r>
      <w:r w:rsidR="00F03D7F">
        <w:rPr>
          <w:lang w:val="en"/>
        </w:rPr>
        <w:t xml:space="preserve">, the </w:t>
      </w:r>
      <w:r w:rsidR="00F7439E">
        <w:rPr>
          <w:lang w:val="en"/>
        </w:rPr>
        <w:t>g</w:t>
      </w:r>
      <w:r w:rsidR="00F03D7F">
        <w:rPr>
          <w:lang w:val="en"/>
        </w:rPr>
        <w:t>overnment released the directions paper</w:t>
      </w:r>
      <w:r w:rsidR="00F7439E">
        <w:rPr>
          <w:lang w:val="en"/>
        </w:rPr>
        <w:t>,</w:t>
      </w:r>
      <w:r w:rsidR="00F03D7F">
        <w:rPr>
          <w:lang w:val="en"/>
        </w:rPr>
        <w:t xml:space="preserve"> </w:t>
      </w:r>
      <w:hyperlink r:id="rId28" w:history="1">
        <w:r w:rsidR="00F03D7F" w:rsidRPr="00F053CF">
          <w:rPr>
            <w:rStyle w:val="Hyperlink"/>
            <w:i/>
            <w:lang w:val="en"/>
          </w:rPr>
          <w:t>5G—Enabling the future economy</w:t>
        </w:r>
      </w:hyperlink>
      <w:r w:rsidR="00F03D7F" w:rsidRPr="00F053CF">
        <w:rPr>
          <w:lang w:val="en"/>
        </w:rPr>
        <w:t xml:space="preserve"> </w:t>
      </w:r>
      <w:r w:rsidR="00F03D7F">
        <w:rPr>
          <w:lang w:val="en"/>
        </w:rPr>
        <w:t>and announced that a working group to drive the deployment of 5G mobile technology in Australia would be convened</w:t>
      </w:r>
      <w:r w:rsidR="00F7439E">
        <w:rPr>
          <w:lang w:val="en"/>
        </w:rPr>
        <w:t>.</w:t>
      </w:r>
      <w:r w:rsidR="00F03D7F">
        <w:rPr>
          <w:rStyle w:val="FootnoteReference"/>
          <w:lang w:val="en"/>
        </w:rPr>
        <w:footnoteReference w:id="6"/>
      </w:r>
      <w:r w:rsidR="00F03D7F">
        <w:rPr>
          <w:lang w:val="en"/>
        </w:rPr>
        <w:t xml:space="preserve"> </w:t>
      </w:r>
      <w:r w:rsidR="000F51E4">
        <w:rPr>
          <w:lang w:val="en"/>
        </w:rPr>
        <w:t xml:space="preserve">The directions paper outlines the immediate actions for </w:t>
      </w:r>
      <w:r w:rsidR="00EE1182">
        <w:rPr>
          <w:lang w:val="en"/>
        </w:rPr>
        <w:t>g</w:t>
      </w:r>
      <w:r w:rsidR="000F51E4">
        <w:rPr>
          <w:lang w:val="en"/>
        </w:rPr>
        <w:t>overnment to take that will support the timely rollout of 5G in Australia. These include:</w:t>
      </w:r>
    </w:p>
    <w:p w14:paraId="20A8AE2E" w14:textId="77777777" w:rsidR="000F51E4" w:rsidRPr="00BE7AFE" w:rsidRDefault="000F51E4" w:rsidP="008B6F4A">
      <w:pPr>
        <w:pStyle w:val="ListBullet"/>
      </w:pPr>
      <w:r w:rsidRPr="00BE7AFE">
        <w:t>making spectrum available in a timely manner</w:t>
      </w:r>
    </w:p>
    <w:p w14:paraId="022EE8DE" w14:textId="77777777" w:rsidR="000F51E4" w:rsidRPr="00BE7AFE" w:rsidRDefault="000F51E4" w:rsidP="008B6F4A">
      <w:pPr>
        <w:pStyle w:val="ListBullet"/>
      </w:pPr>
      <w:r w:rsidRPr="00BE7AFE">
        <w:t>actively engaging in the international standardisation process</w:t>
      </w:r>
    </w:p>
    <w:p w14:paraId="5CA82B11" w14:textId="77777777" w:rsidR="000F51E4" w:rsidRPr="00BE7AFE" w:rsidRDefault="000F51E4" w:rsidP="008B6F4A">
      <w:pPr>
        <w:pStyle w:val="ListBullet"/>
      </w:pPr>
      <w:r w:rsidRPr="00BE7AFE">
        <w:t>streamlining arrangements to allow mobile carriers to deploy infrastructure more quickly</w:t>
      </w:r>
    </w:p>
    <w:p w14:paraId="3A8921A4" w14:textId="77777777" w:rsidR="000F51E4" w:rsidRPr="00BE7AFE" w:rsidRDefault="000F51E4" w:rsidP="008B6F4A">
      <w:pPr>
        <w:pStyle w:val="ListBulletLast"/>
      </w:pPr>
      <w:r w:rsidRPr="00BE7AFE">
        <w:lastRenderedPageBreak/>
        <w:t>reviewing existing telecommunications regulatory arrangements to ensure they are fit-for-purpose.</w:t>
      </w:r>
    </w:p>
    <w:p w14:paraId="39DC61BA" w14:textId="77777777" w:rsidR="000F51E4" w:rsidRDefault="00F03D7F" w:rsidP="0027128C">
      <w:r>
        <w:t xml:space="preserve">The directions paper highlighted that the </w:t>
      </w:r>
      <w:r w:rsidR="00F7439E">
        <w:t>g</w:t>
      </w:r>
      <w:r>
        <w:t xml:space="preserve">overnment will support </w:t>
      </w:r>
      <w:r w:rsidR="000B3A6E">
        <w:t xml:space="preserve">the </w:t>
      </w:r>
      <w:r>
        <w:t>5G rollout in Australia</w:t>
      </w:r>
      <w:r w:rsidR="00F7439E">
        <w:t>,</w:t>
      </w:r>
      <w:r>
        <w:t xml:space="preserve"> including by making spectrum available in a timely manner. </w:t>
      </w:r>
      <w:r w:rsidR="000F51E4">
        <w:t xml:space="preserve">Since then, the </w:t>
      </w:r>
      <w:r w:rsidR="00EE1182">
        <w:t>m</w:t>
      </w:r>
      <w:r w:rsidR="000F51E4">
        <w:t>inister has made a reallocation declaration for the 3.6 GHz band, to enable an auction to be held in October 2018 for this first 5G band in Australia.</w:t>
      </w:r>
    </w:p>
    <w:p w14:paraId="569DEB8B" w14:textId="77777777" w:rsidR="000F51E4" w:rsidRPr="00011FC0" w:rsidRDefault="000F51E4">
      <w:pPr>
        <w:rPr>
          <w:lang w:val="en"/>
        </w:rPr>
      </w:pPr>
      <w:r>
        <w:rPr>
          <w:lang w:val="en"/>
        </w:rPr>
        <w:t xml:space="preserve">The </w:t>
      </w:r>
      <w:r w:rsidR="00EE1182">
        <w:rPr>
          <w:lang w:val="en"/>
        </w:rPr>
        <w:t>g</w:t>
      </w:r>
      <w:r>
        <w:rPr>
          <w:lang w:val="en"/>
        </w:rPr>
        <w:t xml:space="preserve">overnment has convened a working group to bring together representatives from across </w:t>
      </w:r>
      <w:r w:rsidR="00EE1182">
        <w:rPr>
          <w:lang w:val="en"/>
        </w:rPr>
        <w:t>g</w:t>
      </w:r>
      <w:r>
        <w:rPr>
          <w:lang w:val="en"/>
        </w:rPr>
        <w:t>overnment and industry</w:t>
      </w:r>
      <w:r w:rsidR="009F07F5">
        <w:rPr>
          <w:lang w:val="en"/>
        </w:rPr>
        <w:t>, including the ACMA</w:t>
      </w:r>
      <w:r>
        <w:rPr>
          <w:lang w:val="en"/>
        </w:rPr>
        <w:t xml:space="preserve">. </w:t>
      </w:r>
      <w:r w:rsidR="009F07F5">
        <w:rPr>
          <w:lang w:val="en"/>
        </w:rPr>
        <w:t xml:space="preserve">At its first meeting, the group agreed that further exploration of the autonomous vehicles, agricultural and health sectors would provide a good platform to examine the barriers and enablers to 5G use in Australia. </w:t>
      </w:r>
      <w:r>
        <w:rPr>
          <w:lang w:val="en"/>
        </w:rPr>
        <w:t xml:space="preserve">Further information on the working group </w:t>
      </w:r>
      <w:r w:rsidR="009F07F5">
        <w:rPr>
          <w:lang w:val="en"/>
        </w:rPr>
        <w:t>is</w:t>
      </w:r>
      <w:r>
        <w:rPr>
          <w:lang w:val="en"/>
        </w:rPr>
        <w:t xml:space="preserve"> made available on the website</w:t>
      </w:r>
      <w:r w:rsidR="009E08B9">
        <w:rPr>
          <w:lang w:val="en"/>
        </w:rPr>
        <w:t xml:space="preserve"> of the Department of Communications and the Arts (</w:t>
      </w:r>
      <w:r w:rsidR="007261F6">
        <w:rPr>
          <w:lang w:val="en"/>
        </w:rPr>
        <w:t>DoCA</w:t>
      </w:r>
      <w:r w:rsidR="009E08B9">
        <w:rPr>
          <w:lang w:val="en"/>
        </w:rPr>
        <w:t>)</w:t>
      </w:r>
      <w:r>
        <w:rPr>
          <w:lang w:val="en"/>
        </w:rPr>
        <w:t>.</w:t>
      </w:r>
    </w:p>
    <w:p w14:paraId="03621E93" w14:textId="77777777" w:rsidR="005629C8" w:rsidRDefault="00835321">
      <w:r>
        <w:t xml:space="preserve">The ACMA acknowledges the importance and </w:t>
      </w:r>
      <w:r w:rsidR="007269E8">
        <w:t>urgency</w:t>
      </w:r>
      <w:r>
        <w:t xml:space="preserve"> of </w:t>
      </w:r>
      <w:r w:rsidR="007269E8">
        <w:t xml:space="preserve">addressing the </w:t>
      </w:r>
      <w:r>
        <w:t xml:space="preserve">5G spectrum </w:t>
      </w:r>
      <w:r w:rsidR="007269E8">
        <w:t>challenge</w:t>
      </w:r>
      <w:r>
        <w:t xml:space="preserve"> and is committed to ensuring that Australia is well placed to take advantage of the opportunities offered by 5G.</w:t>
      </w:r>
    </w:p>
    <w:p w14:paraId="663B902B" w14:textId="77777777" w:rsidR="00D82D08" w:rsidRDefault="00512E30" w:rsidP="00512E30">
      <w:pPr>
        <w:rPr>
          <w:lang w:val="en-US"/>
        </w:rPr>
      </w:pPr>
      <w:r>
        <w:rPr>
          <w:lang w:val="en-US"/>
        </w:rPr>
        <w:t xml:space="preserve">Each of the broad bands identified for wireless broadband/5G consideration requires a specific approach by the ACMA. This because different </w:t>
      </w:r>
      <w:r w:rsidR="00D82D08">
        <w:rPr>
          <w:lang w:val="en-US"/>
        </w:rPr>
        <w:t>considerations apply</w:t>
      </w:r>
      <w:r w:rsidR="002C6A94">
        <w:rPr>
          <w:lang w:val="en-US"/>
        </w:rPr>
        <w:t>,</w:t>
      </w:r>
      <w:r w:rsidR="00D82D08">
        <w:rPr>
          <w:lang w:val="en-US"/>
        </w:rPr>
        <w:t xml:space="preserve"> such as </w:t>
      </w:r>
      <w:r>
        <w:rPr>
          <w:lang w:val="en-US"/>
        </w:rPr>
        <w:t>international harmonisation and standardisation, domestic policy, legacy planning and allocation arrangements</w:t>
      </w:r>
      <w:r w:rsidR="002C6A94">
        <w:rPr>
          <w:lang w:val="en-US"/>
        </w:rPr>
        <w:t>,</w:t>
      </w:r>
      <w:r>
        <w:rPr>
          <w:lang w:val="en-US"/>
        </w:rPr>
        <w:t xml:space="preserve"> and other </w:t>
      </w:r>
      <w:r w:rsidR="00D82D08">
        <w:rPr>
          <w:lang w:val="en-US"/>
        </w:rPr>
        <w:t xml:space="preserve">incumbency </w:t>
      </w:r>
      <w:r>
        <w:rPr>
          <w:lang w:val="en-US"/>
        </w:rPr>
        <w:t>factors</w:t>
      </w:r>
      <w:r w:rsidR="00D82D08">
        <w:rPr>
          <w:lang w:val="en-US"/>
        </w:rPr>
        <w:t>.</w:t>
      </w:r>
    </w:p>
    <w:p w14:paraId="1616A641" w14:textId="77777777" w:rsidR="00D82D08" w:rsidRPr="00CB2B01" w:rsidRDefault="00512E30" w:rsidP="005759E7">
      <w:pPr>
        <w:spacing w:after="80"/>
        <w:rPr>
          <w:lang w:val="en-US"/>
        </w:rPr>
      </w:pPr>
      <w:r w:rsidRPr="00CB2B01">
        <w:rPr>
          <w:lang w:val="en-US"/>
        </w:rPr>
        <w:t>In the bands below 1 GHz, the A</w:t>
      </w:r>
      <w:r w:rsidR="00361357" w:rsidRPr="00CB2B01">
        <w:rPr>
          <w:lang w:val="en-US"/>
        </w:rPr>
        <w:t>CMA</w:t>
      </w:r>
      <w:r w:rsidRPr="00CB2B01">
        <w:rPr>
          <w:lang w:val="en-US"/>
        </w:rPr>
        <w:t xml:space="preserve"> has two primary short</w:t>
      </w:r>
      <w:r w:rsidR="002C6A94" w:rsidRPr="00CB2B01">
        <w:rPr>
          <w:lang w:val="en-US"/>
        </w:rPr>
        <w:t>-</w:t>
      </w:r>
      <w:r w:rsidRPr="00CB2B01">
        <w:rPr>
          <w:lang w:val="en-US"/>
        </w:rPr>
        <w:t xml:space="preserve"> to medium</w:t>
      </w:r>
      <w:r w:rsidR="002C6A94" w:rsidRPr="00CB2B01">
        <w:rPr>
          <w:lang w:val="en-US"/>
        </w:rPr>
        <w:t>-</w:t>
      </w:r>
      <w:r w:rsidRPr="00CB2B01">
        <w:rPr>
          <w:lang w:val="en-US"/>
        </w:rPr>
        <w:t>term objectives</w:t>
      </w:r>
      <w:r w:rsidR="00D82D08" w:rsidRPr="00CB2B01">
        <w:rPr>
          <w:lang w:val="en-US"/>
        </w:rPr>
        <w:t>:</w:t>
      </w:r>
    </w:p>
    <w:p w14:paraId="7DF4BCEA" w14:textId="77777777" w:rsidR="00D82D08" w:rsidRPr="00CB2B01" w:rsidRDefault="00B6218E" w:rsidP="005759E7">
      <w:pPr>
        <w:pStyle w:val="ListBullet"/>
        <w:rPr>
          <w:lang w:val="en-US"/>
        </w:rPr>
      </w:pPr>
      <w:r w:rsidRPr="00CB2B01">
        <w:rPr>
          <w:lang w:val="en-US"/>
        </w:rPr>
        <w:t xml:space="preserve">working with industry as necessary, </w:t>
      </w:r>
      <w:r w:rsidR="00A25816" w:rsidRPr="00CB2B01">
        <w:rPr>
          <w:lang w:val="en-US"/>
        </w:rPr>
        <w:t>optimize</w:t>
      </w:r>
      <w:r w:rsidR="002C6A94" w:rsidRPr="00CB2B01">
        <w:rPr>
          <w:lang w:val="en-US"/>
        </w:rPr>
        <w:t xml:space="preserve"> </w:t>
      </w:r>
      <w:r w:rsidR="00512E30" w:rsidRPr="00CB2B01">
        <w:rPr>
          <w:lang w:val="en-US"/>
        </w:rPr>
        <w:t xml:space="preserve">the </w:t>
      </w:r>
      <w:r w:rsidR="00A25816" w:rsidRPr="00CB2B01">
        <w:rPr>
          <w:lang w:val="en-US"/>
        </w:rPr>
        <w:t xml:space="preserve">efficient configuration of </w:t>
      </w:r>
      <w:r w:rsidR="00512E30" w:rsidRPr="00CB2B01">
        <w:rPr>
          <w:lang w:val="en-US"/>
        </w:rPr>
        <w:t xml:space="preserve">the </w:t>
      </w:r>
      <w:r w:rsidR="00A25816" w:rsidRPr="00CB2B01">
        <w:rPr>
          <w:lang w:val="en-US"/>
        </w:rPr>
        <w:t xml:space="preserve">850 and </w:t>
      </w:r>
      <w:r w:rsidR="00512E30" w:rsidRPr="00CB2B01">
        <w:rPr>
          <w:lang w:val="en-US"/>
        </w:rPr>
        <w:t>900 MHz band</w:t>
      </w:r>
      <w:r w:rsidR="00A25816" w:rsidRPr="00CB2B01">
        <w:rPr>
          <w:lang w:val="en-US"/>
        </w:rPr>
        <w:t xml:space="preserve"> allocations</w:t>
      </w:r>
      <w:r w:rsidR="00D82D08" w:rsidRPr="00CB2B01">
        <w:rPr>
          <w:lang w:val="en-US"/>
        </w:rPr>
        <w:t>,</w:t>
      </w:r>
      <w:r w:rsidR="00512E30" w:rsidRPr="00CB2B01">
        <w:rPr>
          <w:lang w:val="en-US"/>
        </w:rPr>
        <w:t xml:space="preserve"> </w:t>
      </w:r>
      <w:r w:rsidR="00A25816" w:rsidRPr="00CB2B01">
        <w:rPr>
          <w:lang w:val="en-US"/>
        </w:rPr>
        <w:t>mostly</w:t>
      </w:r>
      <w:r w:rsidR="00512E30" w:rsidRPr="00CB2B01">
        <w:rPr>
          <w:lang w:val="en-US"/>
        </w:rPr>
        <w:t xml:space="preserve"> already </w:t>
      </w:r>
      <w:r w:rsidR="00A25816" w:rsidRPr="00CB2B01">
        <w:rPr>
          <w:lang w:val="en-US"/>
        </w:rPr>
        <w:t>allocated</w:t>
      </w:r>
      <w:r w:rsidR="00512E30" w:rsidRPr="00CB2B01">
        <w:rPr>
          <w:lang w:val="en-US"/>
        </w:rPr>
        <w:t xml:space="preserve"> for mobile broadband purposes</w:t>
      </w:r>
      <w:r w:rsidR="00D82D08" w:rsidRPr="00CB2B01">
        <w:rPr>
          <w:lang w:val="en-US"/>
        </w:rPr>
        <w:t>,</w:t>
      </w:r>
      <w:r w:rsidR="00512E30" w:rsidRPr="00CB2B01">
        <w:rPr>
          <w:lang w:val="en-US"/>
        </w:rPr>
        <w:t xml:space="preserve"> </w:t>
      </w:r>
      <w:r w:rsidRPr="00CB2B01">
        <w:rPr>
          <w:lang w:val="en-US"/>
        </w:rPr>
        <w:t xml:space="preserve">including by securing a </w:t>
      </w:r>
      <w:r w:rsidR="00A25816" w:rsidRPr="00CB2B01">
        <w:rPr>
          <w:lang w:val="en-US"/>
        </w:rPr>
        <w:t xml:space="preserve">1 MHz </w:t>
      </w:r>
      <w:r w:rsidRPr="00CB2B01">
        <w:rPr>
          <w:lang w:val="en-US"/>
        </w:rPr>
        <w:t xml:space="preserve">downshift of the 850 MHz spectrum </w:t>
      </w:r>
      <w:r w:rsidR="00A25816" w:rsidRPr="00CB2B01">
        <w:rPr>
          <w:lang w:val="en-US"/>
        </w:rPr>
        <w:t>l</w:t>
      </w:r>
      <w:r w:rsidR="00CB2B01">
        <w:rPr>
          <w:lang w:val="en-US"/>
        </w:rPr>
        <w:t>icences</w:t>
      </w:r>
    </w:p>
    <w:p w14:paraId="31004AC7" w14:textId="77777777" w:rsidR="00D82D08" w:rsidRPr="00CB2B01" w:rsidRDefault="00512E30" w:rsidP="005759E7">
      <w:pPr>
        <w:pStyle w:val="ListBulletLast"/>
        <w:rPr>
          <w:lang w:val="en-US"/>
        </w:rPr>
      </w:pPr>
      <w:r w:rsidRPr="00CB2B01">
        <w:rPr>
          <w:lang w:val="en-US"/>
        </w:rPr>
        <w:t xml:space="preserve">implement the </w:t>
      </w:r>
      <w:r w:rsidR="002C6A94" w:rsidRPr="00CB2B01">
        <w:rPr>
          <w:lang w:val="en-US"/>
        </w:rPr>
        <w:t>existing</w:t>
      </w:r>
      <w:r w:rsidRPr="00CB2B01">
        <w:rPr>
          <w:lang w:val="en-US"/>
        </w:rPr>
        <w:t xml:space="preserve"> planning decision to make additional spectrum available for mobile broadband in the 850 MHz expansion band. </w:t>
      </w:r>
    </w:p>
    <w:p w14:paraId="7341922D" w14:textId="77777777" w:rsidR="00512E30" w:rsidRDefault="00512E30" w:rsidP="00D82D08">
      <w:pPr>
        <w:rPr>
          <w:lang w:val="en-US"/>
        </w:rPr>
      </w:pPr>
      <w:r>
        <w:rPr>
          <w:lang w:val="en-US"/>
        </w:rPr>
        <w:t>Beyond these regulator</w:t>
      </w:r>
      <w:r w:rsidR="00D82D08">
        <w:rPr>
          <w:lang w:val="en-US"/>
        </w:rPr>
        <w:t>-initiated</w:t>
      </w:r>
      <w:r>
        <w:rPr>
          <w:lang w:val="en-US"/>
        </w:rPr>
        <w:t xml:space="preserve"> activities, the ACMA notes the potential for </w:t>
      </w:r>
      <w:r w:rsidR="00D82D08">
        <w:rPr>
          <w:lang w:val="en-US"/>
        </w:rPr>
        <w:t xml:space="preserve">commercial negotiations to achieve a </w:t>
      </w:r>
      <w:r>
        <w:rPr>
          <w:lang w:val="en-US"/>
        </w:rPr>
        <w:t xml:space="preserve">consolidation of licensee holdings between the various bands below 1 GHz. </w:t>
      </w:r>
      <w:r w:rsidR="00D82D08">
        <w:rPr>
          <w:lang w:val="en-US"/>
        </w:rPr>
        <w:t xml:space="preserve">Such a consolidation </w:t>
      </w:r>
      <w:r>
        <w:rPr>
          <w:lang w:val="en-US"/>
        </w:rPr>
        <w:t>could deliver benefits of larger contiguous holdings for licensees, likely offering some technical efficiencies, along with reducing the number of bands used with potential infrastructure benefits for licensees.</w:t>
      </w:r>
    </w:p>
    <w:p w14:paraId="3591B90A" w14:textId="77777777" w:rsidR="00F850E7" w:rsidRDefault="00512E30" w:rsidP="00863342">
      <w:pPr>
        <w:rPr>
          <w:lang w:val="en-US"/>
        </w:rPr>
      </w:pPr>
      <w:r>
        <w:rPr>
          <w:lang w:val="en-US"/>
        </w:rPr>
        <w:t>The mid</w:t>
      </w:r>
      <w:r w:rsidR="002C6A94">
        <w:rPr>
          <w:lang w:val="en-US"/>
        </w:rPr>
        <w:t>-</w:t>
      </w:r>
      <w:r>
        <w:rPr>
          <w:lang w:val="en-US"/>
        </w:rPr>
        <w:t>bands between 1 and 6 GHz are currently the focus of near</w:t>
      </w:r>
      <w:r w:rsidR="002C6A94">
        <w:rPr>
          <w:lang w:val="en-US"/>
        </w:rPr>
        <w:t>-</w:t>
      </w:r>
      <w:r>
        <w:rPr>
          <w:lang w:val="en-US"/>
        </w:rPr>
        <w:t>term 5G deployments around 3.4 to 3.7 GHz. Following the completion of the current allocation priority of the 3.6 GHz band, the ACMA sees a major opportunity for efficiency gains through the defragmentation of the current 3.4, 3.5 and 3.6 GHz holdings.</w:t>
      </w:r>
      <w:r w:rsidR="00B514B8">
        <w:rPr>
          <w:lang w:val="en-US"/>
        </w:rPr>
        <w:t xml:space="preserve"> T</w:t>
      </w:r>
      <w:r>
        <w:rPr>
          <w:lang w:val="en-US"/>
        </w:rPr>
        <w:t xml:space="preserve">his will require both industry commitment and ACMA assistance to achieve. </w:t>
      </w:r>
      <w:r w:rsidR="00863342">
        <w:rPr>
          <w:lang w:val="en-US"/>
        </w:rPr>
        <w:t>Beyond the 1.</w:t>
      </w:r>
      <w:r w:rsidR="002C6A94">
        <w:rPr>
          <w:lang w:val="en-US"/>
        </w:rPr>
        <w:t>5 </w:t>
      </w:r>
      <w:r w:rsidR="00863342">
        <w:rPr>
          <w:lang w:val="en-US"/>
        </w:rPr>
        <w:t>GHz band</w:t>
      </w:r>
      <w:r w:rsidR="002C6A94">
        <w:rPr>
          <w:lang w:val="en-US"/>
        </w:rPr>
        <w:t>,</w:t>
      </w:r>
      <w:r w:rsidR="00863342">
        <w:rPr>
          <w:lang w:val="en-US"/>
        </w:rPr>
        <w:t xml:space="preserve"> which is likely to be a medium</w:t>
      </w:r>
      <w:r w:rsidR="002C6A94">
        <w:rPr>
          <w:lang w:val="en-US"/>
        </w:rPr>
        <w:t>-</w:t>
      </w:r>
      <w:r w:rsidR="00863342">
        <w:rPr>
          <w:lang w:val="en-US"/>
        </w:rPr>
        <w:t>term candidate for detailed planning review, there are several other potential areas of investigation in the mid</w:t>
      </w:r>
      <w:r w:rsidR="002C6A94">
        <w:rPr>
          <w:lang w:val="en-US"/>
        </w:rPr>
        <w:t>-</w:t>
      </w:r>
      <w:r w:rsidR="00863342">
        <w:rPr>
          <w:lang w:val="en-US"/>
        </w:rPr>
        <w:t>bands. These include the currently speculative considerations of dynamic spectrum access concepts in the 3.3</w:t>
      </w:r>
      <w:r w:rsidR="00231649">
        <w:rPr>
          <w:lang w:val="en-US"/>
        </w:rPr>
        <w:t>, 4.5</w:t>
      </w:r>
      <w:r w:rsidR="00863342">
        <w:rPr>
          <w:lang w:val="en-US"/>
        </w:rPr>
        <w:t xml:space="preserve"> and 4.8 GHz bands. </w:t>
      </w:r>
    </w:p>
    <w:p w14:paraId="327495AB" w14:textId="77777777" w:rsidR="00205F9D" w:rsidRDefault="00231649" w:rsidP="00863342">
      <w:pPr>
        <w:rPr>
          <w:lang w:val="en-US"/>
        </w:rPr>
      </w:pPr>
      <w:r w:rsidRPr="00231649">
        <w:rPr>
          <w:lang w:val="en-US"/>
        </w:rPr>
        <w:t xml:space="preserve">Spectrum </w:t>
      </w:r>
      <w:r w:rsidR="00F850E7">
        <w:rPr>
          <w:lang w:val="en-US"/>
        </w:rPr>
        <w:t xml:space="preserve">in the 3.8 GHz band from </w:t>
      </w:r>
      <w:r w:rsidRPr="00231649">
        <w:rPr>
          <w:lang w:val="en-US"/>
        </w:rPr>
        <w:t xml:space="preserve">3.7 GHz </w:t>
      </w:r>
      <w:r w:rsidR="00F850E7">
        <w:rPr>
          <w:lang w:val="en-US"/>
        </w:rPr>
        <w:t xml:space="preserve">to 4.2 GHz </w:t>
      </w:r>
      <w:r w:rsidRPr="00231649">
        <w:rPr>
          <w:lang w:val="en-US"/>
        </w:rPr>
        <w:t>has been the subject of considerable interest worldwide</w:t>
      </w:r>
      <w:r w:rsidR="00DA7873">
        <w:rPr>
          <w:lang w:val="en-US"/>
        </w:rPr>
        <w:t>,</w:t>
      </w:r>
      <w:r w:rsidRPr="00231649">
        <w:rPr>
          <w:lang w:val="en-US"/>
        </w:rPr>
        <w:t xml:space="preserve"> with</w:t>
      </w:r>
      <w:r>
        <w:rPr>
          <w:lang w:val="en-US"/>
        </w:rPr>
        <w:t xml:space="preserve"> a </w:t>
      </w:r>
      <w:r w:rsidR="00F850E7">
        <w:rPr>
          <w:lang w:val="en-US"/>
        </w:rPr>
        <w:t>number</w:t>
      </w:r>
      <w:r>
        <w:rPr>
          <w:lang w:val="en-US"/>
        </w:rPr>
        <w:t xml:space="preserve"> of processes </w:t>
      </w:r>
      <w:r w:rsidR="00F850E7">
        <w:rPr>
          <w:lang w:val="en-US"/>
        </w:rPr>
        <w:t>underway considering arrangements in some or all of the band. For example, spectrum between 3700 and 3800 MHz is part of the broader 3400</w:t>
      </w:r>
      <w:r w:rsidR="00DA7873">
        <w:rPr>
          <w:lang w:val="en-US"/>
        </w:rPr>
        <w:t>–</w:t>
      </w:r>
      <w:r w:rsidR="00F850E7">
        <w:rPr>
          <w:lang w:val="en-US"/>
        </w:rPr>
        <w:t xml:space="preserve">3800 MHz band being considered as an early 5G band in Europe. </w:t>
      </w:r>
    </w:p>
    <w:p w14:paraId="3D9E7D37" w14:textId="77777777" w:rsidR="00205F9D" w:rsidRDefault="00F850E7" w:rsidP="00863342">
      <w:pPr>
        <w:rPr>
          <w:lang w:val="en-US"/>
        </w:rPr>
      </w:pPr>
      <w:r>
        <w:rPr>
          <w:lang w:val="en-US"/>
        </w:rPr>
        <w:lastRenderedPageBreak/>
        <w:t>Ofcom has further investigated 3800</w:t>
      </w:r>
      <w:r w:rsidR="00DA7873">
        <w:rPr>
          <w:lang w:val="en-US"/>
        </w:rPr>
        <w:t>–</w:t>
      </w:r>
      <w:r>
        <w:rPr>
          <w:lang w:val="en-US"/>
        </w:rPr>
        <w:t xml:space="preserve">4200 MHz as a candidate for more intense spectrum sharing between uses. In the US, the FCC has commenced a </w:t>
      </w:r>
      <w:r w:rsidR="006E6FB1">
        <w:rPr>
          <w:lang w:val="en-US"/>
        </w:rPr>
        <w:t>Notice</w:t>
      </w:r>
      <w:r>
        <w:rPr>
          <w:lang w:val="en-US"/>
        </w:rPr>
        <w:t xml:space="preserve"> of Inquiry into</w:t>
      </w:r>
      <w:r w:rsidR="006E6FB1">
        <w:rPr>
          <w:lang w:val="en-US"/>
        </w:rPr>
        <w:t xml:space="preserve"> </w:t>
      </w:r>
      <w:r>
        <w:rPr>
          <w:lang w:val="en-US"/>
        </w:rPr>
        <w:t xml:space="preserve">the </w:t>
      </w:r>
      <w:r w:rsidR="006E6FB1">
        <w:rPr>
          <w:lang w:val="en-US"/>
        </w:rPr>
        <w:t>‘</w:t>
      </w:r>
      <w:r>
        <w:rPr>
          <w:lang w:val="en-US"/>
        </w:rPr>
        <w:t>flexible use in the mid-band’</w:t>
      </w:r>
      <w:r w:rsidR="00DA7873">
        <w:rPr>
          <w:lang w:val="en-US"/>
        </w:rPr>
        <w:t>,</w:t>
      </w:r>
      <w:r>
        <w:rPr>
          <w:lang w:val="en-US"/>
        </w:rPr>
        <w:t xml:space="preserve"> which includes the 3.7</w:t>
      </w:r>
      <w:r w:rsidR="00DA7873">
        <w:rPr>
          <w:lang w:val="en-US"/>
        </w:rPr>
        <w:t>–</w:t>
      </w:r>
      <w:r>
        <w:rPr>
          <w:lang w:val="en-US"/>
        </w:rPr>
        <w:t xml:space="preserve">4.2 GHz range. </w:t>
      </w:r>
      <w:r w:rsidR="00BE4FB5">
        <w:rPr>
          <w:lang w:val="en-US"/>
        </w:rPr>
        <w:t>A</w:t>
      </w:r>
      <w:r>
        <w:rPr>
          <w:lang w:val="en-US"/>
        </w:rPr>
        <w:t xml:space="preserve"> common feature of all</w:t>
      </w:r>
      <w:r w:rsidR="006E6FB1">
        <w:rPr>
          <w:lang w:val="en-US"/>
        </w:rPr>
        <w:t xml:space="preserve"> </w:t>
      </w:r>
      <w:r>
        <w:rPr>
          <w:lang w:val="en-US"/>
        </w:rPr>
        <w:t xml:space="preserve">of these </w:t>
      </w:r>
      <w:r w:rsidR="006E6FB1">
        <w:rPr>
          <w:lang w:val="en-US"/>
        </w:rPr>
        <w:t>investigations</w:t>
      </w:r>
      <w:r>
        <w:rPr>
          <w:lang w:val="en-US"/>
        </w:rPr>
        <w:t xml:space="preserve"> is </w:t>
      </w:r>
      <w:r w:rsidR="006E6FB1">
        <w:rPr>
          <w:lang w:val="en-US"/>
        </w:rPr>
        <w:t xml:space="preserve">considering the possibility of more spectrum for wireless broadband in the context of existing spectrum users, particularly the fixed satellite service. </w:t>
      </w:r>
    </w:p>
    <w:p w14:paraId="04367463" w14:textId="77777777" w:rsidR="00863342" w:rsidRDefault="006E6FB1" w:rsidP="00863342">
      <w:pPr>
        <w:rPr>
          <w:lang w:val="en-US"/>
        </w:rPr>
      </w:pPr>
      <w:r>
        <w:rPr>
          <w:lang w:val="en-US"/>
        </w:rPr>
        <w:t xml:space="preserve">The </w:t>
      </w:r>
      <w:r w:rsidR="00F850E7">
        <w:rPr>
          <w:lang w:val="en-US"/>
        </w:rPr>
        <w:t xml:space="preserve">ACMA </w:t>
      </w:r>
      <w:r>
        <w:rPr>
          <w:lang w:val="en-US"/>
        </w:rPr>
        <w:t>is playing close attention to the g</w:t>
      </w:r>
      <w:r w:rsidR="00F850E7">
        <w:rPr>
          <w:lang w:val="en-US"/>
        </w:rPr>
        <w:t xml:space="preserve">lobal </w:t>
      </w:r>
      <w:r>
        <w:rPr>
          <w:lang w:val="en-US"/>
        </w:rPr>
        <w:t xml:space="preserve">environment in this band </w:t>
      </w:r>
      <w:r w:rsidR="00F850E7">
        <w:rPr>
          <w:lang w:val="en-US"/>
        </w:rPr>
        <w:t xml:space="preserve">and will continue to monitor </w:t>
      </w:r>
      <w:r>
        <w:rPr>
          <w:lang w:val="en-US"/>
        </w:rPr>
        <w:t>developments</w:t>
      </w:r>
      <w:r w:rsidR="00F850E7">
        <w:rPr>
          <w:lang w:val="en-US"/>
        </w:rPr>
        <w:t xml:space="preserve"> as they </w:t>
      </w:r>
      <w:r>
        <w:rPr>
          <w:lang w:val="en-US"/>
        </w:rPr>
        <w:t>relate</w:t>
      </w:r>
      <w:r w:rsidR="00F850E7">
        <w:rPr>
          <w:lang w:val="en-US"/>
        </w:rPr>
        <w:t xml:space="preserve"> to the Australian environment.  </w:t>
      </w:r>
      <w:r w:rsidR="00231649">
        <w:rPr>
          <w:lang w:val="en-US"/>
        </w:rPr>
        <w:t xml:space="preserve"> </w:t>
      </w:r>
    </w:p>
    <w:p w14:paraId="381B9F6E" w14:textId="77777777" w:rsidR="001D3119" w:rsidRDefault="00863342" w:rsidP="00863342">
      <w:pPr>
        <w:rPr>
          <w:lang w:val="en-US"/>
        </w:rPr>
      </w:pPr>
      <w:r>
        <w:rPr>
          <w:lang w:val="en-US"/>
        </w:rPr>
        <w:t>The millimetre waves in the bands above 24 GHz are where the high</w:t>
      </w:r>
      <w:r w:rsidR="002C6A94">
        <w:rPr>
          <w:lang w:val="en-US"/>
        </w:rPr>
        <w:t>-</w:t>
      </w:r>
      <w:r>
        <w:rPr>
          <w:lang w:val="en-US"/>
        </w:rPr>
        <w:t>band efforts are centred.</w:t>
      </w:r>
      <w:r w:rsidR="001D3119" w:rsidRPr="001D3119">
        <w:rPr>
          <w:lang w:val="en-US"/>
        </w:rPr>
        <w:t xml:space="preserve"> The near</w:t>
      </w:r>
      <w:r w:rsidR="002C6A94">
        <w:rPr>
          <w:lang w:val="en-US"/>
        </w:rPr>
        <w:t>-</w:t>
      </w:r>
      <w:r w:rsidR="001D3119" w:rsidRPr="001D3119">
        <w:rPr>
          <w:lang w:val="en-US"/>
        </w:rPr>
        <w:t>term priority is investigating the potential for wireless broadband in some or all of the 26 GH</w:t>
      </w:r>
      <w:r w:rsidR="000222DF">
        <w:rPr>
          <w:lang w:val="en-US"/>
        </w:rPr>
        <w:t>z</w:t>
      </w:r>
      <w:r w:rsidR="001D3119" w:rsidRPr="001D3119">
        <w:rPr>
          <w:lang w:val="en-US"/>
        </w:rPr>
        <w:t xml:space="preserve"> band where much global attention is focused and where there appears to be good opportunities in Australia. </w:t>
      </w:r>
      <w:r w:rsidR="00231649">
        <w:rPr>
          <w:lang w:val="en-US"/>
        </w:rPr>
        <w:t>The ACMA has also previously committed to investigate the possibility of establishing apparatus</w:t>
      </w:r>
      <w:r w:rsidR="00DA7873">
        <w:rPr>
          <w:lang w:val="en-US"/>
        </w:rPr>
        <w:t>-</w:t>
      </w:r>
      <w:r w:rsidR="00231649">
        <w:rPr>
          <w:lang w:val="en-US"/>
        </w:rPr>
        <w:t>licensed arrangements for point-</w:t>
      </w:r>
      <w:r w:rsidR="00DA7873">
        <w:rPr>
          <w:lang w:val="en-US"/>
        </w:rPr>
        <w:t>to-</w:t>
      </w:r>
      <w:r w:rsidR="00231649">
        <w:rPr>
          <w:lang w:val="en-US"/>
        </w:rPr>
        <w:t>multipoint use in some of the 28 GHz band. This work is part of a suite of measures the ACMA has identified to assist incumbents displaced from the 3.6 GHz band due to its reallocation. H</w:t>
      </w:r>
      <w:r w:rsidR="001D3119" w:rsidRPr="001D3119">
        <w:rPr>
          <w:lang w:val="en-US"/>
        </w:rPr>
        <w:t>igher in the band, the ACMA has flagged the possibility of changes to class</w:t>
      </w:r>
      <w:r w:rsidR="00DA7873">
        <w:rPr>
          <w:lang w:val="en-US"/>
        </w:rPr>
        <w:t>-</w:t>
      </w:r>
      <w:r w:rsidR="001D3119" w:rsidRPr="001D3119">
        <w:rPr>
          <w:lang w:val="en-US"/>
        </w:rPr>
        <w:t>licensing arrangements to support additional spectrum in the 60 GHz range</w:t>
      </w:r>
      <w:r w:rsidR="00DA7873">
        <w:rPr>
          <w:lang w:val="en-US"/>
        </w:rPr>
        <w:t>, which is</w:t>
      </w:r>
      <w:r w:rsidR="001D3119" w:rsidRPr="001D3119">
        <w:rPr>
          <w:lang w:val="en-US"/>
        </w:rPr>
        <w:t xml:space="preserve"> also being looked at for 5G use around the world.</w:t>
      </w:r>
    </w:p>
    <w:p w14:paraId="16C011E9" w14:textId="77777777" w:rsidR="00B514B8" w:rsidRDefault="00B514B8" w:rsidP="00B514B8">
      <w:pPr>
        <w:rPr>
          <w:rFonts w:cs="Arial"/>
        </w:rPr>
      </w:pPr>
      <w:r>
        <w:rPr>
          <w:rFonts w:cs="Arial"/>
        </w:rPr>
        <w:t xml:space="preserve">Along with the ACMA’s efforts to make spectrum available, there are continuing opportunities </w:t>
      </w:r>
      <w:r w:rsidR="002C6A94">
        <w:rPr>
          <w:rFonts w:cs="Arial"/>
        </w:rPr>
        <w:t>for</w:t>
      </w:r>
      <w:r>
        <w:rPr>
          <w:rFonts w:cs="Arial"/>
        </w:rPr>
        <w:t xml:space="preserve"> spectrum users to enter into commercial arrangements </w:t>
      </w:r>
      <w:r w:rsidR="002C6A94">
        <w:rPr>
          <w:rFonts w:cs="Arial"/>
        </w:rPr>
        <w:t xml:space="preserve">to share </w:t>
      </w:r>
      <w:r>
        <w:rPr>
          <w:rFonts w:cs="Arial"/>
        </w:rPr>
        <w:t>infrastructure or spectrum that will realise more efficient spectrum use</w:t>
      </w:r>
      <w:r w:rsidR="002C6A94">
        <w:rPr>
          <w:rFonts w:cs="Arial"/>
        </w:rPr>
        <w:t>.</w:t>
      </w:r>
      <w:r>
        <w:rPr>
          <w:rFonts w:cs="Arial"/>
        </w:rPr>
        <w:t xml:space="preserve"> Achieving more efficient configuration and use of bands that are already licensed for wireless broadband is a vital adjunct to the clearance and reallocation of new bands to address rising demand for wireless broadband. In part</w:t>
      </w:r>
      <w:r w:rsidR="002C6A94">
        <w:rPr>
          <w:rFonts w:cs="Arial"/>
        </w:rPr>
        <w:t>,</w:t>
      </w:r>
      <w:r>
        <w:rPr>
          <w:rFonts w:cs="Arial"/>
        </w:rPr>
        <w:t xml:space="preserve"> this obligation must fall on existing licensees, as well as the regulator, to ensure that the market works to achieve defragmentation and reconfiguration of existing holdings to maximise the overall utility of bands. </w:t>
      </w:r>
    </w:p>
    <w:p w14:paraId="617BCE0A" w14:textId="77777777" w:rsidR="00835321" w:rsidRDefault="008D5491">
      <w:pPr>
        <w:rPr>
          <w:szCs w:val="20"/>
        </w:rPr>
      </w:pPr>
      <w:r>
        <w:rPr>
          <w:rFonts w:cs="Arial"/>
        </w:rPr>
        <w:t>Planning and licensing activities planned for 2018</w:t>
      </w:r>
      <w:r w:rsidR="002C6A94">
        <w:rPr>
          <w:rFonts w:cs="Arial"/>
        </w:rPr>
        <w:t>–</w:t>
      </w:r>
      <w:r>
        <w:rPr>
          <w:rFonts w:cs="Arial"/>
        </w:rPr>
        <w:t>19 and beyond</w:t>
      </w:r>
      <w:r w:rsidR="002C6A94">
        <w:rPr>
          <w:rFonts w:cs="Arial"/>
        </w:rPr>
        <w:t>, which</w:t>
      </w:r>
      <w:r>
        <w:rPr>
          <w:rFonts w:cs="Arial"/>
        </w:rPr>
        <w:t xml:space="preserve"> support wireless broadband services, including 5G, </w:t>
      </w:r>
      <w:r w:rsidR="009337DA">
        <w:rPr>
          <w:rFonts w:cs="Arial"/>
        </w:rPr>
        <w:t>are</w:t>
      </w:r>
      <w:r>
        <w:rPr>
          <w:rFonts w:cs="Arial"/>
        </w:rPr>
        <w:t xml:space="preserve"> discussed in further detail in Part 2.</w:t>
      </w:r>
    </w:p>
    <w:p w14:paraId="659C50E3" w14:textId="77777777" w:rsidR="00835321" w:rsidRPr="00C367FC" w:rsidRDefault="00B84965" w:rsidP="0056784A">
      <w:pPr>
        <w:pStyle w:val="Heading3"/>
      </w:pPr>
      <w:bookmarkStart w:id="126" w:name="_Toc510795070"/>
      <w:bookmarkStart w:id="127" w:name="_Toc511716271"/>
      <w:bookmarkStart w:id="128" w:name="_Toc511719082"/>
      <w:bookmarkStart w:id="129" w:name="_Toc514156687"/>
      <w:bookmarkStart w:id="130" w:name="_Toc494115152"/>
      <w:bookmarkStart w:id="131" w:name="_Toc510104933"/>
      <w:bookmarkStart w:id="132" w:name="_Toc510105730"/>
      <w:bookmarkStart w:id="133" w:name="_Toc509581802"/>
      <w:bookmarkStart w:id="134" w:name="_Toc509585118"/>
      <w:bookmarkStart w:id="135" w:name="_Toc509585654"/>
      <w:r w:rsidRPr="00CD459E">
        <w:t>Machine</w:t>
      </w:r>
      <w:r w:rsidR="00CD459E">
        <w:t>-</w:t>
      </w:r>
      <w:r w:rsidRPr="00CD459E">
        <w:t>to</w:t>
      </w:r>
      <w:r w:rsidR="00CD459E">
        <w:t>-</w:t>
      </w:r>
      <w:r w:rsidR="00DA7873">
        <w:t>m</w:t>
      </w:r>
      <w:r w:rsidRPr="00CD459E">
        <w:t xml:space="preserve">achine </w:t>
      </w:r>
      <w:r w:rsidR="002C6A94" w:rsidRPr="00CD459E">
        <w:t>c</w:t>
      </w:r>
      <w:r w:rsidRPr="00CD459E">
        <w:t xml:space="preserve">ommunications and the </w:t>
      </w:r>
      <w:r w:rsidR="00B47C14" w:rsidRPr="00CD459E">
        <w:t>I</w:t>
      </w:r>
      <w:r w:rsidR="00835321" w:rsidRPr="00CD459E">
        <w:t>oT</w:t>
      </w:r>
      <w:bookmarkEnd w:id="126"/>
      <w:bookmarkEnd w:id="127"/>
      <w:bookmarkEnd w:id="128"/>
      <w:bookmarkEnd w:id="129"/>
      <w:r w:rsidR="00835321" w:rsidRPr="00C367FC">
        <w:t xml:space="preserve"> </w:t>
      </w:r>
      <w:bookmarkEnd w:id="130"/>
      <w:bookmarkEnd w:id="131"/>
      <w:bookmarkEnd w:id="132"/>
      <w:bookmarkEnd w:id="133"/>
      <w:bookmarkEnd w:id="134"/>
      <w:bookmarkEnd w:id="135"/>
    </w:p>
    <w:p w14:paraId="38D80CF3" w14:textId="77777777" w:rsidR="00835321" w:rsidRDefault="00835321" w:rsidP="0027128C">
      <w:r w:rsidRPr="00C367FC">
        <w:t>The IoT potentially</w:t>
      </w:r>
      <w:r>
        <w:t xml:space="preserve"> involves unprecedented numbers of wireless and wired interconnections of personal, consumer and industrial devices supporting a range of applications. It is not limited to any specific technology platform and is likely to use frequency allocations across the entire spectrum. For example, 4G and 5G standards have made</w:t>
      </w:r>
      <w:r w:rsidR="00C367FC">
        <w:t>—</w:t>
      </w:r>
      <w:r>
        <w:t>or will make</w:t>
      </w:r>
      <w:r w:rsidR="00C367FC">
        <w:t>—</w:t>
      </w:r>
      <w:r>
        <w:t>specific provisions for dedicated IoT service delivery, and satellite services are already investing in services and hardware to enable IoT.</w:t>
      </w:r>
    </w:p>
    <w:p w14:paraId="5375A31D" w14:textId="77777777" w:rsidR="00512009" w:rsidRDefault="00835321">
      <w:r>
        <w:t>Devices providing industrial metering, switching and/or control (including smart infrastructure) are a subset of IoT communications technologies. They require very low</w:t>
      </w:r>
      <w:r w:rsidR="002C6A94">
        <w:t xml:space="preserve"> </w:t>
      </w:r>
      <w:r>
        <w:t>data rates and/or very low duty cycles</w:t>
      </w:r>
      <w:r w:rsidRPr="00AE56E1">
        <w:t xml:space="preserve"> </w:t>
      </w:r>
      <w:r>
        <w:t>and operate in low power wide area (LPWA) networks.</w:t>
      </w:r>
      <w:r w:rsidRPr="00D8087A">
        <w:t xml:space="preserve"> </w:t>
      </w:r>
      <w:r>
        <w:t>An international market has emerged for LPWA networks and devices that operate in the 900 MHz band.</w:t>
      </w:r>
      <w:r w:rsidR="00D16385">
        <w:t xml:space="preserve"> Separately, mobile </w:t>
      </w:r>
      <w:r w:rsidR="0047527A">
        <w:t>network operators</w:t>
      </w:r>
      <w:r w:rsidR="00D16385">
        <w:t xml:space="preserve"> have been deploying IoT-specific variants of the 4G standard</w:t>
      </w:r>
      <w:r w:rsidR="002C6A94">
        <w:t>,</w:t>
      </w:r>
      <w:r w:rsidR="00D16385">
        <w:t xml:space="preserve"> such as Narrowband IoT (NB-IoT) and Cat-M1</w:t>
      </w:r>
      <w:r w:rsidR="00381F16">
        <w:t>.</w:t>
      </w:r>
      <w:bookmarkStart w:id="136" w:name="_Toc494115153"/>
      <w:bookmarkStart w:id="137" w:name="_Toc509581803"/>
      <w:bookmarkStart w:id="138" w:name="_Toc509585119"/>
      <w:bookmarkStart w:id="139" w:name="_Toc509585655"/>
      <w:r w:rsidR="00BE7AFE">
        <w:t xml:space="preserve"> </w:t>
      </w:r>
    </w:p>
    <w:p w14:paraId="62FF6B65" w14:textId="77777777" w:rsidR="008D5491" w:rsidRDefault="008D5491">
      <w:bookmarkStart w:id="140" w:name="_Toc510104934"/>
      <w:bookmarkStart w:id="141" w:name="_Toc510105731"/>
      <w:r>
        <w:t xml:space="preserve">Planning activity to support IoT applications is outlined further in Part 2. </w:t>
      </w:r>
    </w:p>
    <w:p w14:paraId="7BC7F60D" w14:textId="77777777" w:rsidR="00835321" w:rsidRDefault="00835321" w:rsidP="0056784A">
      <w:pPr>
        <w:pStyle w:val="Heading3"/>
      </w:pPr>
      <w:bookmarkStart w:id="142" w:name="_Toc510795071"/>
      <w:bookmarkStart w:id="143" w:name="_Toc511716272"/>
      <w:bookmarkStart w:id="144" w:name="_Toc511719083"/>
      <w:bookmarkStart w:id="145" w:name="_Toc514156688"/>
      <w:r>
        <w:t>Broadcasting</w:t>
      </w:r>
      <w:bookmarkEnd w:id="142"/>
      <w:bookmarkEnd w:id="143"/>
      <w:bookmarkEnd w:id="144"/>
      <w:bookmarkEnd w:id="145"/>
      <w:r>
        <w:t xml:space="preserve"> </w:t>
      </w:r>
      <w:bookmarkEnd w:id="136"/>
      <w:bookmarkEnd w:id="137"/>
      <w:bookmarkEnd w:id="138"/>
      <w:bookmarkEnd w:id="139"/>
      <w:bookmarkEnd w:id="140"/>
      <w:bookmarkEnd w:id="141"/>
    </w:p>
    <w:p w14:paraId="4137544C" w14:textId="77777777" w:rsidR="00835321" w:rsidRDefault="00F268C4" w:rsidP="0027128C">
      <w:pPr>
        <w:spacing w:after="80"/>
      </w:pPr>
      <w:r>
        <w:t xml:space="preserve">The Spectrum Review recommended that broadcasting spectrum be better integrated into the general spectrum management framework, while maintaining the </w:t>
      </w:r>
      <w:r>
        <w:lastRenderedPageBreak/>
        <w:t xml:space="preserve">broadcaster’s access to spectrum to deliver their services. </w:t>
      </w:r>
      <w:r w:rsidR="0047527A">
        <w:t>T</w:t>
      </w:r>
      <w:r w:rsidR="00835321">
        <w:t>here are some</w:t>
      </w:r>
      <w:r w:rsidR="00835321" w:rsidRPr="00B725D2">
        <w:t xml:space="preserve"> distinctive fe</w:t>
      </w:r>
      <w:r w:rsidR="00835321">
        <w:t>atures of broadcasting planning that affect how demand is managed</w:t>
      </w:r>
      <w:r w:rsidR="00664617">
        <w:t>. I</w:t>
      </w:r>
      <w:r w:rsidR="00835321">
        <w:t>n particular:</w:t>
      </w:r>
    </w:p>
    <w:p w14:paraId="02A9BFF4" w14:textId="77777777" w:rsidR="00835321" w:rsidRDefault="00835321" w:rsidP="005759E7">
      <w:pPr>
        <w:pStyle w:val="ListBullet"/>
      </w:pPr>
      <w:r>
        <w:t>f</w:t>
      </w:r>
      <w:r w:rsidRPr="00DE4AE6">
        <w:t xml:space="preserve">uture requirements for broadcasting spectrum are likely to depend on government decisions about the </w:t>
      </w:r>
      <w:r>
        <w:t>development of the sector</w:t>
      </w:r>
    </w:p>
    <w:p w14:paraId="4535AD09" w14:textId="77777777" w:rsidR="00835321" w:rsidRPr="00DE4AE6" w:rsidRDefault="00835321" w:rsidP="005759E7">
      <w:pPr>
        <w:pStyle w:val="ListBulletLast"/>
      </w:pPr>
      <w:r>
        <w:t xml:space="preserve">the </w:t>
      </w:r>
      <w:r w:rsidR="007F63F9">
        <w:t>m</w:t>
      </w:r>
      <w:r w:rsidRPr="00DE4AE6">
        <w:t xml:space="preserve">inister is responsible for decisions to vary the </w:t>
      </w:r>
      <w:r w:rsidR="0047527A" w:rsidRPr="0047527A">
        <w:t>Broadcasting Services Bands (</w:t>
      </w:r>
      <w:r w:rsidRPr="00DE4AE6">
        <w:t>BSB</w:t>
      </w:r>
      <w:r w:rsidR="0047527A" w:rsidRPr="0047527A">
        <w:t>)</w:t>
      </w:r>
      <w:r w:rsidRPr="0047527A">
        <w:t>.</w:t>
      </w:r>
      <w:r w:rsidRPr="00DE4AE6">
        <w:t xml:space="preserve"> </w:t>
      </w:r>
    </w:p>
    <w:p w14:paraId="373C115B" w14:textId="77777777" w:rsidR="00835321" w:rsidRDefault="00835321" w:rsidP="0027128C">
      <w:r>
        <w:t>In relation to television, t</w:t>
      </w:r>
      <w:r w:rsidRPr="00B725D2">
        <w:t>here has been minimal demand for spectrum for additional television transmitters since the completion of the switchover to digital television, with the only demand being for retransmissions from remote communities, mining companies and caravan parks.</w:t>
      </w:r>
    </w:p>
    <w:p w14:paraId="1672ADCC" w14:textId="77777777" w:rsidR="00DA4290" w:rsidRDefault="0053771D">
      <w:r>
        <w:t>T</w:t>
      </w:r>
      <w:r w:rsidR="00DA4290">
        <w:t xml:space="preserve">he future spectrum planning requirements for television broadcasting </w:t>
      </w:r>
      <w:r w:rsidR="00011B67">
        <w:t>remain unclear as technology advances</w:t>
      </w:r>
      <w:r w:rsidR="00DA4290">
        <w:t>. The main issue facing the television industry is the expected future obsolescence of the DVB-T</w:t>
      </w:r>
      <w:r w:rsidR="00DA4290">
        <w:rPr>
          <w:rStyle w:val="FootnoteReference"/>
        </w:rPr>
        <w:footnoteReference w:id="7"/>
      </w:r>
      <w:r w:rsidR="00DA4290">
        <w:t xml:space="preserve"> transmission standard and the MPEG-2 video compression standard. While upgrading the original MPEG-2 compression standard to MPEG-4 is proceeding using existing broadcaster multiplexes, use of more modern standards, such as DVB-T2 transmission along with HEVC video compression</w:t>
      </w:r>
      <w:r w:rsidR="00FA0B97">
        <w:t>,</w:t>
      </w:r>
      <w:r w:rsidR="00DA4290">
        <w:t xml:space="preserve"> </w:t>
      </w:r>
      <w:r w:rsidR="00FA0B97">
        <w:t xml:space="preserve">or the </w:t>
      </w:r>
      <w:r w:rsidR="00D97A62">
        <w:t xml:space="preserve">rival </w:t>
      </w:r>
      <w:r w:rsidR="00FA0B97">
        <w:t xml:space="preserve">ATSC standard, </w:t>
      </w:r>
      <w:r w:rsidR="00DA4290">
        <w:t>will require separate, dedicated multiplexes.</w:t>
      </w:r>
      <w:r w:rsidR="00A2003F">
        <w:t xml:space="preserve"> The introduction of DVB-T2 services using HEVC video compression could provide up to a five-fold increase in the number of services that can be carried in a television channel</w:t>
      </w:r>
      <w:r w:rsidR="00F7439E">
        <w:t>.</w:t>
      </w:r>
      <w:r w:rsidR="00A2003F">
        <w:rPr>
          <w:rStyle w:val="FootnoteReference"/>
        </w:rPr>
        <w:footnoteReference w:id="8"/>
      </w:r>
    </w:p>
    <w:p w14:paraId="48822780" w14:textId="77777777" w:rsidR="00DA4290" w:rsidRDefault="00DA4290">
      <w:r>
        <w:t xml:space="preserve">Generally, television planning caters for ABC, SBS, three commercial services and one unallotted channel at most sites. The unallotted channel (‘the sixth channel’) is available in most areas for trials of more advanced standards. </w:t>
      </w:r>
      <w:r w:rsidR="00913F55">
        <w:t xml:space="preserve">In </w:t>
      </w:r>
      <w:r w:rsidR="0047527A">
        <w:t>2018</w:t>
      </w:r>
      <w:r w:rsidR="00DA7873">
        <w:t>,</w:t>
      </w:r>
      <w:r w:rsidR="0047527A">
        <w:t xml:space="preserve"> </w:t>
      </w:r>
      <w:r w:rsidR="00913F55">
        <w:t xml:space="preserve">the ACMA issued scientific licences to facilitate the first industry </w:t>
      </w:r>
      <w:r w:rsidR="003A0DB8">
        <w:t>field trial</w:t>
      </w:r>
      <w:r w:rsidR="00913F55">
        <w:t xml:space="preserve"> of </w:t>
      </w:r>
      <w:r w:rsidR="003A0DB8">
        <w:t xml:space="preserve">DVB-T2 and HEVC. </w:t>
      </w:r>
      <w:r w:rsidR="00913F55">
        <w:t xml:space="preserve">The </w:t>
      </w:r>
      <w:r w:rsidR="00D034B2">
        <w:t>three</w:t>
      </w:r>
      <w:r w:rsidR="00DA7873">
        <w:t>-</w:t>
      </w:r>
      <w:r w:rsidR="00D034B2">
        <w:t xml:space="preserve">month </w:t>
      </w:r>
      <w:r w:rsidR="00913F55">
        <w:t xml:space="preserve">trial </w:t>
      </w:r>
      <w:r w:rsidR="00D034B2">
        <w:t xml:space="preserve">commenced in </w:t>
      </w:r>
      <w:r w:rsidR="00913F55">
        <w:t xml:space="preserve">Sydney </w:t>
      </w:r>
      <w:r w:rsidR="003A0DB8">
        <w:t>in April 2018</w:t>
      </w:r>
      <w:r w:rsidR="00D034B2">
        <w:t>. The trial was conducted</w:t>
      </w:r>
      <w:r w:rsidR="003A0DB8">
        <w:t xml:space="preserve"> </w:t>
      </w:r>
      <w:r w:rsidR="00913F55">
        <w:t xml:space="preserve">by </w:t>
      </w:r>
      <w:r w:rsidR="00612905">
        <w:t xml:space="preserve">Free TV Australia </w:t>
      </w:r>
      <w:r w:rsidR="00913F55">
        <w:t xml:space="preserve">and Broadcast Australia, with participation from the ABC and SBS. </w:t>
      </w:r>
      <w:r w:rsidR="003A0DB8">
        <w:t>T</w:t>
      </w:r>
      <w:r w:rsidR="0047527A">
        <w:t>he longer</w:t>
      </w:r>
      <w:r w:rsidR="002C6A94">
        <w:t>-</w:t>
      </w:r>
      <w:r w:rsidR="0047527A">
        <w:t>term use of the unallotted channel, including its potential utility in any migration path to more advanced standards, remains unclear.</w:t>
      </w:r>
    </w:p>
    <w:p w14:paraId="443242C6" w14:textId="77777777" w:rsidR="00835321" w:rsidRDefault="00835321">
      <w:r w:rsidRPr="00B725D2">
        <w:t>Digital radio services make use of two</w:t>
      </w:r>
      <w:r w:rsidRPr="00B725D2" w:rsidDel="00EA2F63">
        <w:t xml:space="preserve"> </w:t>
      </w:r>
      <w:r>
        <w:t xml:space="preserve">former </w:t>
      </w:r>
      <w:r w:rsidR="00EA2F63" w:rsidRPr="00B725D2">
        <w:t xml:space="preserve">VHF </w:t>
      </w:r>
      <w:r w:rsidRPr="00B725D2">
        <w:t>television channels</w:t>
      </w:r>
      <w:r w:rsidR="002C6A94">
        <w:t>, which were</w:t>
      </w:r>
      <w:r w:rsidRPr="00B725D2">
        <w:t xml:space="preserve"> set aside for this purpose when digital television services were replanned to clear the </w:t>
      </w:r>
      <w:r w:rsidR="002C6A94" w:rsidRPr="00B725D2">
        <w:t>700</w:t>
      </w:r>
      <w:r w:rsidR="002C6A94">
        <w:t> </w:t>
      </w:r>
      <w:r w:rsidRPr="00B725D2">
        <w:t>MHz band. In 2016</w:t>
      </w:r>
      <w:r>
        <w:t>,</w:t>
      </w:r>
      <w:r w:rsidRPr="00B725D2">
        <w:t xml:space="preserve"> the ACMA undertook extensive studies on ways to facilitate the rollout of digital radio to regional licence areas. The key outcome of these studies was that </w:t>
      </w:r>
      <w:r>
        <w:t xml:space="preserve">the implementation of digital radio services in </w:t>
      </w:r>
      <w:r w:rsidRPr="00B725D2">
        <w:t xml:space="preserve">all </w:t>
      </w:r>
      <w:r w:rsidR="00FA0B97">
        <w:t xml:space="preserve">existing </w:t>
      </w:r>
      <w:r w:rsidRPr="00B725D2">
        <w:t>licence areas</w:t>
      </w:r>
      <w:r w:rsidR="00FA0B97">
        <w:t>, if desired,</w:t>
      </w:r>
      <w:r>
        <w:t xml:space="preserve"> would be constrained because</w:t>
      </w:r>
      <w:r w:rsidRPr="00B725D2">
        <w:t xml:space="preserve"> the potential demand would exceed the available su</w:t>
      </w:r>
      <w:r>
        <w:t xml:space="preserve">pply of spectrum under certain conditions. </w:t>
      </w:r>
      <w:r w:rsidR="00FA0B97">
        <w:t>In order to preserve the option of digital radio implementation in all existing licence areas</w:t>
      </w:r>
      <w:r w:rsidR="00C367FC" w:rsidRPr="00B725D2">
        <w:t>,</w:t>
      </w:r>
      <w:r w:rsidRPr="00B725D2">
        <w:t xml:space="preserve"> a number of compromises were identified as being required and these have been set out in the ACMA’s </w:t>
      </w:r>
      <w:r>
        <w:t>p</w:t>
      </w:r>
      <w:r w:rsidRPr="00B725D2">
        <w:t>lanning principles for the expansion of di</w:t>
      </w:r>
      <w:r>
        <w:t xml:space="preserve">gital radio to regional areas. </w:t>
      </w:r>
    </w:p>
    <w:p w14:paraId="573887A3" w14:textId="77777777" w:rsidR="00835321" w:rsidRPr="00B725D2" w:rsidRDefault="00835321">
      <w:r w:rsidRPr="00B725D2">
        <w:t xml:space="preserve">The key compromises were an initial limit on the maximum power level for any transmitter considered in the development of allotment plans and an uneven split of the available spectrum capacity between national and commercial/community broadcaster multiplexes, with the national broadcasters having access to </w:t>
      </w:r>
      <w:r w:rsidR="00F74066">
        <w:t xml:space="preserve">only </w:t>
      </w:r>
      <w:r w:rsidRPr="00B725D2">
        <w:t>two of the eig</w:t>
      </w:r>
      <w:r>
        <w:t xml:space="preserve">ht available frequency blocks. </w:t>
      </w:r>
      <w:r w:rsidRPr="00B725D2">
        <w:t xml:space="preserve">This is because national broadcasters are not </w:t>
      </w:r>
      <w:r w:rsidRPr="00B725D2">
        <w:lastRenderedPageBreak/>
        <w:t>constrained by licence areas and should be able to deploy single frequency networks over wider areas.</w:t>
      </w:r>
    </w:p>
    <w:p w14:paraId="2EB84CA9" w14:textId="77777777" w:rsidR="00835321" w:rsidRPr="00B725D2" w:rsidRDefault="00835321">
      <w:r w:rsidRPr="00B725D2">
        <w:t>Demand for AM radio spectrum is low due to the high transmission costs</w:t>
      </w:r>
      <w:r w:rsidR="002C6A94">
        <w:t>,</w:t>
      </w:r>
      <w:r w:rsidRPr="00B725D2">
        <w:t xml:space="preserve"> as well as the increasing levels of man-made noise and an international trend for receivers not</w:t>
      </w:r>
      <w:r>
        <w:t xml:space="preserve"> to</w:t>
      </w:r>
      <w:r w:rsidRPr="00B725D2">
        <w:t xml:space="preserve"> incorporate AM tuners. Consequently, the ACMA is in the process of facilitating the conversion to FM of some commercial AM radio services operating in single</w:t>
      </w:r>
      <w:r w:rsidR="0043231A">
        <w:t>-</w:t>
      </w:r>
      <w:r w:rsidRPr="00B725D2">
        <w:t>owner regional licence areas. Identifying suitable FM spectrum for these services is proving quite challenging in many areas and</w:t>
      </w:r>
      <w:r w:rsidR="00C367FC">
        <w:t>,</w:t>
      </w:r>
      <w:r w:rsidRPr="00B725D2">
        <w:t xml:space="preserve"> in some cases</w:t>
      </w:r>
      <w:r w:rsidR="00C367FC">
        <w:t>,</w:t>
      </w:r>
      <w:r w:rsidRPr="00B725D2">
        <w:t xml:space="preserve"> there may be competing claims over the same frequency. As a </w:t>
      </w:r>
      <w:r w:rsidR="00C367FC" w:rsidRPr="00B725D2">
        <w:t>result,</w:t>
      </w:r>
      <w:r w:rsidRPr="00B725D2">
        <w:t xml:space="preserve"> the pla</w:t>
      </w:r>
      <w:r>
        <w:t>nning for these conversions can be</w:t>
      </w:r>
      <w:r w:rsidRPr="00B725D2">
        <w:t xml:space="preserve"> complex and time consuming.</w:t>
      </w:r>
    </w:p>
    <w:p w14:paraId="6F61BE11" w14:textId="77777777" w:rsidR="001D3119" w:rsidRDefault="008D5491">
      <w:bookmarkStart w:id="146" w:name="_Toc494115154"/>
      <w:bookmarkStart w:id="147" w:name="_Toc510104935"/>
      <w:bookmarkStart w:id="148" w:name="_Toc510105732"/>
      <w:bookmarkStart w:id="149" w:name="_Toc509581804"/>
      <w:bookmarkStart w:id="150" w:name="_Toc509585120"/>
      <w:bookmarkStart w:id="151" w:name="_Toc509585656"/>
      <w:r>
        <w:t>Specific planning and licensing activities to support AM to FM conversions are discussed in more detail in Part 2.</w:t>
      </w:r>
    </w:p>
    <w:p w14:paraId="13C587BE" w14:textId="77777777" w:rsidR="005A2067" w:rsidRDefault="00835321" w:rsidP="0056784A">
      <w:pPr>
        <w:pStyle w:val="Heading3"/>
      </w:pPr>
      <w:bookmarkStart w:id="152" w:name="_Toc511716273"/>
      <w:bookmarkStart w:id="153" w:name="_Toc511719084"/>
      <w:bookmarkStart w:id="154" w:name="_Toc514156689"/>
      <w:bookmarkStart w:id="155" w:name="_Toc510795072"/>
      <w:r w:rsidRPr="005E7238">
        <w:t>Satellite communications</w:t>
      </w:r>
      <w:bookmarkEnd w:id="146"/>
      <w:bookmarkEnd w:id="147"/>
      <w:bookmarkEnd w:id="148"/>
      <w:bookmarkEnd w:id="152"/>
      <w:bookmarkEnd w:id="153"/>
      <w:bookmarkEnd w:id="154"/>
      <w:r w:rsidR="00F45C16">
        <w:t xml:space="preserve"> </w:t>
      </w:r>
      <w:bookmarkEnd w:id="149"/>
      <w:bookmarkEnd w:id="150"/>
      <w:bookmarkEnd w:id="151"/>
      <w:bookmarkEnd w:id="155"/>
    </w:p>
    <w:p w14:paraId="1BF5375A" w14:textId="77777777" w:rsidR="00835321" w:rsidRDefault="00835321" w:rsidP="0027128C">
      <w:r>
        <w:t xml:space="preserve">With growth and innovation in the provision of </w:t>
      </w:r>
      <w:r w:rsidRPr="00A07ECB">
        <w:t>satellite-delivered telecommunication services</w:t>
      </w:r>
      <w:r>
        <w:t xml:space="preserve"> and satellite usage in space science services, there is </w:t>
      </w:r>
      <w:r w:rsidRPr="00A07ECB">
        <w:t>increasing pressure</w:t>
      </w:r>
      <w:r>
        <w:t xml:space="preserve"> both internationally and domestically</w:t>
      </w:r>
      <w:r w:rsidRPr="00A07ECB">
        <w:t xml:space="preserve"> to</w:t>
      </w:r>
      <w:r>
        <w:t xml:space="preserve"> ensure that regulatory arrangements continually evolve to support this change.</w:t>
      </w:r>
    </w:p>
    <w:p w14:paraId="29593B6F" w14:textId="77777777" w:rsidR="00A66631" w:rsidRDefault="00835321" w:rsidP="00BE7AFE">
      <w:r>
        <w:t>I</w:t>
      </w:r>
      <w:r w:rsidRPr="00A07ECB">
        <w:t xml:space="preserve">nnovations </w:t>
      </w:r>
      <w:r>
        <w:t>such</w:t>
      </w:r>
      <w:r w:rsidR="00DA4290">
        <w:t xml:space="preserve"> as</w:t>
      </w:r>
      <w:r w:rsidRPr="00A07ECB">
        <w:t xml:space="preserve"> the deployment of low-cost, miniaturised space </w:t>
      </w:r>
      <w:r>
        <w:t xml:space="preserve">hardware (often referred to as </w:t>
      </w:r>
      <w:r w:rsidRPr="00A07ECB">
        <w:t>nanosats, cubesats</w:t>
      </w:r>
      <w:r>
        <w:t xml:space="preserve"> or smallsats</w:t>
      </w:r>
      <w:r w:rsidRPr="00A07ECB">
        <w:t>)</w:t>
      </w:r>
      <w:r>
        <w:t xml:space="preserve">, </w:t>
      </w:r>
      <w:r w:rsidRPr="00A07ECB">
        <w:t xml:space="preserve">the growth in the use of moving </w:t>
      </w:r>
      <w:r w:rsidRPr="00BB38F9">
        <w:t>earth</w:t>
      </w:r>
      <w:r w:rsidRPr="00A07ECB">
        <w:t xml:space="preserve"> stations</w:t>
      </w:r>
      <w:r>
        <w:t xml:space="preserve"> (also referred to </w:t>
      </w:r>
      <w:r w:rsidRPr="00A30CFC">
        <w:t>as ‘earth stations in</w:t>
      </w:r>
      <w:r>
        <w:t xml:space="preserve"> motion’)</w:t>
      </w:r>
      <w:r w:rsidRPr="00A07ECB">
        <w:t xml:space="preserve"> </w:t>
      </w:r>
      <w:r w:rsidRPr="00A07ECB" w:rsidDel="00C52A58">
        <w:t>in the</w:t>
      </w:r>
      <w:r w:rsidRPr="00A07ECB">
        <w:t xml:space="preserve"> fixed satellite service</w:t>
      </w:r>
      <w:r w:rsidRPr="00A07ECB">
        <w:rPr>
          <w:vertAlign w:val="superscript"/>
        </w:rPr>
        <w:footnoteReference w:id="9"/>
      </w:r>
      <w:r>
        <w:t xml:space="preserve"> </w:t>
      </w:r>
      <w:r w:rsidR="00807B75">
        <w:t xml:space="preserve">(FSS) </w:t>
      </w:r>
      <w:r>
        <w:t>and the development of large constellations satellite systems services are challenging the suitability of existing arrangements</w:t>
      </w:r>
      <w:r w:rsidRPr="00A07ECB">
        <w:t>.</w:t>
      </w:r>
      <w:r w:rsidR="00B84965">
        <w:t xml:space="preserve"> This is resulting in the need to both establish new spectrum access arrangements and refine existing ones. </w:t>
      </w:r>
    </w:p>
    <w:p w14:paraId="5F49CC97" w14:textId="77777777" w:rsidR="0047527A" w:rsidRDefault="0047527A" w:rsidP="00BE7AFE">
      <w:bookmarkStart w:id="156" w:name="_Toc510104936"/>
      <w:bookmarkStart w:id="157" w:name="_Toc510105733"/>
      <w:r>
        <w:t>The ACMA has a detailed program of activity outlined for 2018</w:t>
      </w:r>
      <w:r w:rsidR="007261F6">
        <w:t>–</w:t>
      </w:r>
      <w:r>
        <w:t>19 to address a range of different satellite planning requirements. See the info</w:t>
      </w:r>
      <w:r w:rsidR="0057302D">
        <w:t xml:space="preserve">rmation in the </w:t>
      </w:r>
      <w:r w:rsidR="0057302D" w:rsidRPr="00BB38F9">
        <w:rPr>
          <w:i/>
        </w:rPr>
        <w:t>At a glance</w:t>
      </w:r>
      <w:r w:rsidR="007261F6" w:rsidRPr="00BB38F9">
        <w:rPr>
          <w:i/>
        </w:rPr>
        <w:t xml:space="preserve">—2018–19 </w:t>
      </w:r>
      <w:r w:rsidRPr="00BB38F9">
        <w:rPr>
          <w:i/>
        </w:rPr>
        <w:t>work program</w:t>
      </w:r>
      <w:r w:rsidRPr="005759E7">
        <w:rPr>
          <w:i/>
        </w:rPr>
        <w:t xml:space="preserve"> </w:t>
      </w:r>
      <w:r w:rsidR="0057302D" w:rsidRPr="005759E7">
        <w:t>summary</w:t>
      </w:r>
      <w:r w:rsidR="0057302D">
        <w:t xml:space="preserve"> and detailed planning information in Part 2.</w:t>
      </w:r>
    </w:p>
    <w:p w14:paraId="2D3AB0B2" w14:textId="77777777" w:rsidR="00B14DB9" w:rsidRPr="00B14DB9" w:rsidRDefault="00E60636" w:rsidP="0056784A">
      <w:pPr>
        <w:pStyle w:val="Heading3"/>
      </w:pPr>
      <w:bookmarkStart w:id="158" w:name="_Toc510795073"/>
      <w:bookmarkStart w:id="159" w:name="_Toc509581805"/>
      <w:bookmarkStart w:id="160" w:name="_Toc509585121"/>
      <w:bookmarkStart w:id="161" w:name="_Toc509585657"/>
      <w:bookmarkStart w:id="162" w:name="_Toc510104937"/>
      <w:bookmarkStart w:id="163" w:name="_Toc510105734"/>
      <w:bookmarkStart w:id="164" w:name="_Toc511716274"/>
      <w:bookmarkStart w:id="165" w:name="_Toc511719085"/>
      <w:bookmarkStart w:id="166" w:name="_Toc514156690"/>
      <w:bookmarkStart w:id="167" w:name="_Toc491854101"/>
      <w:bookmarkStart w:id="168" w:name="_Toc494115155"/>
      <w:bookmarkEnd w:id="156"/>
      <w:bookmarkEnd w:id="157"/>
      <w:r w:rsidRPr="00B14DB9">
        <w:t xml:space="preserve">Government </w:t>
      </w:r>
      <w:r w:rsidR="00F36B41">
        <w:t>spectrum requirements</w:t>
      </w:r>
      <w:bookmarkEnd w:id="158"/>
      <w:bookmarkEnd w:id="159"/>
      <w:bookmarkEnd w:id="160"/>
      <w:bookmarkEnd w:id="161"/>
      <w:bookmarkEnd w:id="162"/>
      <w:bookmarkEnd w:id="163"/>
      <w:bookmarkEnd w:id="164"/>
      <w:bookmarkEnd w:id="165"/>
      <w:bookmarkEnd w:id="166"/>
    </w:p>
    <w:p w14:paraId="3F996F76" w14:textId="77777777" w:rsidR="00C61B31" w:rsidRPr="00BE7AFE" w:rsidRDefault="004952AE" w:rsidP="0027128C">
      <w:r w:rsidRPr="00BE7AFE">
        <w:t xml:space="preserve">The Spectrum Review recommended better integrating the management of public sector spectrum to improve the consistency and integrity of the framework. </w:t>
      </w:r>
      <w:r w:rsidR="007261F6">
        <w:t>DoCA</w:t>
      </w:r>
      <w:r w:rsidR="00C61B31" w:rsidRPr="00BE7AFE">
        <w:t xml:space="preserve"> conducted a review of Commonwealth </w:t>
      </w:r>
      <w:r w:rsidR="007261F6">
        <w:t>G</w:t>
      </w:r>
      <w:r w:rsidR="00C61B31" w:rsidRPr="00BE7AFE">
        <w:t>overnment agency spectrum holdings. As a result, a</w:t>
      </w:r>
      <w:r w:rsidR="00011B67">
        <w:t xml:space="preserve"> steering </w:t>
      </w:r>
      <w:r w:rsidR="00C61B31" w:rsidRPr="00BE7AFE">
        <w:t>committee has been established, comprising representatives of rele</w:t>
      </w:r>
      <w:r w:rsidR="00F407B0" w:rsidRPr="00BE7AFE">
        <w:t>vant agencies, that is intended to bring about a reporting regime that will increase transparency of holdings and enable a whole-of-government approach to the management of Commonwealth spectrum.</w:t>
      </w:r>
      <w:r>
        <w:t xml:space="preserve"> While not a formal member of this committee, the ACMA will provide technical assistance. </w:t>
      </w:r>
    </w:p>
    <w:bookmarkEnd w:id="167"/>
    <w:bookmarkEnd w:id="168"/>
    <w:p w14:paraId="7C55D0B0" w14:textId="77777777" w:rsidR="00835321" w:rsidRDefault="007F1E93" w:rsidP="0027128C">
      <w:r>
        <w:t>D</w:t>
      </w:r>
      <w:r w:rsidR="00835321">
        <w:t xml:space="preserve">iscussions </w:t>
      </w:r>
      <w:r>
        <w:t xml:space="preserve">are </w:t>
      </w:r>
      <w:r w:rsidR="00835321">
        <w:t xml:space="preserve">currently underway between the Commonwealth, led by </w:t>
      </w:r>
      <w:r w:rsidR="007261F6">
        <w:t xml:space="preserve">DoCA </w:t>
      </w:r>
      <w:r w:rsidR="00835321">
        <w:t>and the Department</w:t>
      </w:r>
      <w:r w:rsidR="00C61B31">
        <w:t xml:space="preserve"> of Home Affairs</w:t>
      </w:r>
      <w:r w:rsidR="00835321">
        <w:t xml:space="preserve">, and </w:t>
      </w:r>
      <w:r w:rsidR="00DC72D4">
        <w:t>s</w:t>
      </w:r>
      <w:r w:rsidR="00835321">
        <w:t xml:space="preserve">tate and </w:t>
      </w:r>
      <w:r w:rsidR="00DC72D4">
        <w:t>t</w:t>
      </w:r>
      <w:r w:rsidR="00835321">
        <w:t xml:space="preserve">erritory governments on </w:t>
      </w:r>
      <w:r w:rsidR="004952AE">
        <w:t>a public</w:t>
      </w:r>
      <w:r w:rsidR="003F7E3C">
        <w:t xml:space="preserve"> safety mobile broadband (</w:t>
      </w:r>
      <w:r w:rsidR="00835321">
        <w:t>PSMB</w:t>
      </w:r>
      <w:r w:rsidR="003F7E3C">
        <w:t>)</w:t>
      </w:r>
      <w:r w:rsidR="00835321">
        <w:t xml:space="preserve"> capability</w:t>
      </w:r>
      <w:r>
        <w:t xml:space="preserve">. </w:t>
      </w:r>
      <w:r w:rsidR="004952AE">
        <w:t xml:space="preserve">The ACMA is continuing </w:t>
      </w:r>
      <w:r w:rsidR="007261F6">
        <w:t xml:space="preserve">to </w:t>
      </w:r>
      <w:r w:rsidR="004952AE">
        <w:t>assist government in these considerations</w:t>
      </w:r>
      <w:r>
        <w:t>, which may have spectrum management implications</w:t>
      </w:r>
      <w:r w:rsidR="004952AE">
        <w:t xml:space="preserve">. </w:t>
      </w:r>
    </w:p>
    <w:p w14:paraId="0333F371" w14:textId="77777777" w:rsidR="00523C81" w:rsidRPr="00BE7AFE" w:rsidRDefault="00523C81" w:rsidP="0056784A">
      <w:pPr>
        <w:pStyle w:val="Heading3"/>
        <w:rPr>
          <w:b w:val="0"/>
        </w:rPr>
      </w:pPr>
      <w:bookmarkStart w:id="169" w:name="_Toc511716275"/>
      <w:bookmarkStart w:id="170" w:name="_Toc511719086"/>
      <w:bookmarkStart w:id="171" w:name="_Toc514156691"/>
      <w:r w:rsidRPr="00BE7AFE">
        <w:t>Dynamic spectrum access</w:t>
      </w:r>
      <w:bookmarkEnd w:id="169"/>
      <w:bookmarkEnd w:id="170"/>
      <w:bookmarkEnd w:id="171"/>
    </w:p>
    <w:p w14:paraId="7B0EE122" w14:textId="77777777" w:rsidR="00B52756" w:rsidRDefault="00B52756" w:rsidP="00BE7AFE">
      <w:r w:rsidRPr="00992F00">
        <w:t xml:space="preserve">Spectrum sharing is fundamental to effective spectrum management and a key tool in maximising the benefits achieved through use of the spectrum resource. As with all </w:t>
      </w:r>
      <w:r w:rsidRPr="00992F00">
        <w:lastRenderedPageBreak/>
        <w:t>forms of resource sharing, spectrum sharing requires some degree of compromise between multiple spectrum uses (</w:t>
      </w:r>
      <w:r>
        <w:t>that is,</w:t>
      </w:r>
      <w:r w:rsidRPr="00992F00">
        <w:t xml:space="preserve"> services or applications) or users (individual licensees) accessing the shared spectrum.</w:t>
      </w:r>
      <w:r>
        <w:t xml:space="preserve"> </w:t>
      </w:r>
    </w:p>
    <w:p w14:paraId="04DFC035" w14:textId="77777777" w:rsidR="00B52756" w:rsidRDefault="00B52756" w:rsidP="0027128C">
      <w:r>
        <w:t>Traditionally, spectrum sharing has largely focused on static approaches that establish co-existence arrangements defined through fixed geographic and spectral boundaries. It has been far less common to use dynamic spectrum</w:t>
      </w:r>
      <w:r w:rsidR="007261F6">
        <w:t>-</w:t>
      </w:r>
      <w:r>
        <w:t>sharing approaches, sometimes referred to collectively as dynamic spectrum access (DSA) or dynamic spectrum management</w:t>
      </w:r>
      <w:r w:rsidR="00A927C4">
        <w:t>. These</w:t>
      </w:r>
      <w:r w:rsidDel="00A927C4">
        <w:t xml:space="preserve"> </w:t>
      </w:r>
      <w:r>
        <w:t xml:space="preserve">techniques </w:t>
      </w:r>
      <w:r w:rsidR="00954847">
        <w:t>typically take</w:t>
      </w:r>
      <w:r>
        <w:t xml:space="preserve"> advantage of time-based changes in spectrum use by spectrum users</w:t>
      </w:r>
      <w:r w:rsidR="007261F6">
        <w:t>—</w:t>
      </w:r>
      <w:r>
        <w:t xml:space="preserve">that is, some spectrum users may not use all the spectrum, in all geographic areas, all the time. </w:t>
      </w:r>
    </w:p>
    <w:p w14:paraId="16DD5632" w14:textId="77777777" w:rsidR="00B52756" w:rsidRPr="00FC1F4D" w:rsidRDefault="00B52756" w:rsidP="00B52756">
      <w:r>
        <w:t>In practice, DSA approaches have relied on a hierarchical access approach, where lower</w:t>
      </w:r>
      <w:r w:rsidR="007261F6">
        <w:t>-</w:t>
      </w:r>
      <w:r>
        <w:t>tier users</w:t>
      </w:r>
      <w:r>
        <w:rPr>
          <w:rStyle w:val="FootnoteReference"/>
        </w:rPr>
        <w:footnoteReference w:id="10"/>
      </w:r>
      <w:r>
        <w:t xml:space="preserve"> dynamically give way to higher</w:t>
      </w:r>
      <w:r w:rsidR="007261F6">
        <w:t>-</w:t>
      </w:r>
      <w:r>
        <w:t xml:space="preserve">tier users. Clarity on tier rights is important as it </w:t>
      </w:r>
      <w:r w:rsidR="00391210">
        <w:t xml:space="preserve">provides </w:t>
      </w:r>
      <w:r w:rsidR="008D6A3E">
        <w:t xml:space="preserve">confidence to </w:t>
      </w:r>
      <w:r w:rsidR="00391210">
        <w:t>each user about the terms of spectrum access</w:t>
      </w:r>
      <w:r w:rsidR="007261F6">
        <w:t>,</w:t>
      </w:r>
      <w:r w:rsidR="008D5491">
        <w:t xml:space="preserve"> which allows an </w:t>
      </w:r>
      <w:r w:rsidR="00391210">
        <w:t xml:space="preserve">assessment of </w:t>
      </w:r>
      <w:r>
        <w:t>whether the access is suitable to their needs.</w:t>
      </w:r>
    </w:p>
    <w:p w14:paraId="444084B2" w14:textId="77777777" w:rsidR="00B52756" w:rsidRPr="00BE7AFE" w:rsidRDefault="008D5491" w:rsidP="00BE7AFE">
      <w:r>
        <w:t xml:space="preserve">Tiered sharing </w:t>
      </w:r>
      <w:r w:rsidR="00B52756">
        <w:t>works best when the users are compl</w:t>
      </w:r>
      <w:r w:rsidR="001936FE">
        <w:t>e</w:t>
      </w:r>
      <w:r w:rsidR="00B52756">
        <w:t>mentary in nature</w:t>
      </w:r>
      <w:r w:rsidR="007261F6">
        <w:t>—</w:t>
      </w:r>
      <w:r w:rsidR="00B52756">
        <w:t>for example</w:t>
      </w:r>
      <w:r w:rsidR="007261F6">
        <w:t>,</w:t>
      </w:r>
      <w:r w:rsidR="00B52756">
        <w:t xml:space="preserve"> when one user’s usage is intermittent (often the top</w:t>
      </w:r>
      <w:r w:rsidR="007261F6">
        <w:t>-</w:t>
      </w:r>
      <w:r w:rsidR="00B52756">
        <w:t>tier user) and the lower</w:t>
      </w:r>
      <w:r w:rsidR="007261F6">
        <w:t>-</w:t>
      </w:r>
      <w:r w:rsidR="00B52756">
        <w:t>tier user can accept that in some circumstances they will need to cease operations for some period of time. If this condition cannot be met, then enough spectrum is needed to ensure there is a high probability of sufficient clear, unused, spectrum being available to meet all user needs. Lower</w:t>
      </w:r>
      <w:r w:rsidR="007261F6">
        <w:t>-</w:t>
      </w:r>
      <w:r w:rsidR="00B52756">
        <w:t>tier users are unlikely to invest in expensive infrastructure without sufficiently reliable spectrum access.</w:t>
      </w:r>
      <w:r w:rsidR="00447762">
        <w:t xml:space="preserve"> </w:t>
      </w:r>
    </w:p>
    <w:p w14:paraId="7A2F73E8" w14:textId="77777777" w:rsidR="00B52756" w:rsidRDefault="00B52756" w:rsidP="00B52756">
      <w:r>
        <w:t>Limited use of DSA in the past is in part due to technological limitations</w:t>
      </w:r>
      <w:r w:rsidR="009076CC">
        <w:t>, spectrum availability factors</w:t>
      </w:r>
      <w:r>
        <w:t xml:space="preserve"> and user expectations. As such, regulatory frameworks have not been widely developed to facilitate spectrum sharing through DSA. In effect, the complexity and compromises that are </w:t>
      </w:r>
      <w:r w:rsidR="00954847">
        <w:t>currently</w:t>
      </w:r>
      <w:r>
        <w:t xml:space="preserve"> associated with </w:t>
      </w:r>
      <w:r w:rsidR="00954847">
        <w:t>most</w:t>
      </w:r>
      <w:r>
        <w:t xml:space="preserve"> dynamic spectrum-sharing arrangements has meant that </w:t>
      </w:r>
      <w:r w:rsidR="008D5491">
        <w:t xml:space="preserve">DSA applications have not yet attracted any strong investor interest in Australia. </w:t>
      </w:r>
    </w:p>
    <w:p w14:paraId="097E83EB" w14:textId="77777777" w:rsidR="00523C81" w:rsidRDefault="00B52756" w:rsidP="002E1FCB">
      <w:r>
        <w:t xml:space="preserve">Although </w:t>
      </w:r>
      <w:r w:rsidR="009076CC">
        <w:t>a</w:t>
      </w:r>
      <w:r>
        <w:t xml:space="preserve"> number of the DSA frameworks have been proposed or introduced by overseas spectrum regulators, domestic opportunities for full-scale deployment of DSA techniques and regulatory approaches </w:t>
      </w:r>
      <w:r w:rsidR="008D5491">
        <w:t xml:space="preserve">in Australia </w:t>
      </w:r>
      <w:r>
        <w:t>have not yet presented themselves. The ACMA will continue to monitor international regulatory and technical developments, and implement DSA arrangements when and where appropriate</w:t>
      </w:r>
      <w:r w:rsidR="00197216">
        <w:t xml:space="preserve">, noting that </w:t>
      </w:r>
      <w:r w:rsidR="0036561C">
        <w:t xml:space="preserve">sharing </w:t>
      </w:r>
      <w:r w:rsidR="00197216">
        <w:t xml:space="preserve">opportunities </w:t>
      </w:r>
      <w:r w:rsidR="00197216" w:rsidRPr="001D3119">
        <w:t>in the 3.3</w:t>
      </w:r>
      <w:r w:rsidR="001D3119" w:rsidRPr="001D3119">
        <w:t xml:space="preserve">, </w:t>
      </w:r>
      <w:r w:rsidR="001D3119">
        <w:t>4.5 and 4.8</w:t>
      </w:r>
      <w:r w:rsidR="00197216">
        <w:t xml:space="preserve"> GHz bands are being monitored. Further information is outlined in </w:t>
      </w:r>
      <w:r w:rsidR="0036561C">
        <w:t>the detailed planning discussion at Part 2.</w:t>
      </w:r>
      <w:r w:rsidR="00447762">
        <w:t xml:space="preserve"> </w:t>
      </w:r>
    </w:p>
    <w:p w14:paraId="559792EE" w14:textId="77777777" w:rsidR="008C7ECA" w:rsidRPr="0056784A" w:rsidRDefault="008C7ECA" w:rsidP="005759E7">
      <w:pPr>
        <w:pStyle w:val="Heading3"/>
      </w:pPr>
      <w:bookmarkStart w:id="172" w:name="_Toc509581809"/>
      <w:bookmarkStart w:id="173" w:name="_Toc509585125"/>
      <w:bookmarkStart w:id="174" w:name="_Toc509585661"/>
      <w:bookmarkStart w:id="175" w:name="_Toc510104939"/>
      <w:bookmarkStart w:id="176" w:name="_Toc510105736"/>
      <w:bookmarkStart w:id="177" w:name="_Toc510795074"/>
      <w:bookmarkStart w:id="178" w:name="_Toc511716276"/>
      <w:bookmarkStart w:id="179" w:name="_Toc511719087"/>
      <w:bookmarkStart w:id="180" w:name="_Toc514156692"/>
      <w:r w:rsidRPr="0056784A">
        <w:t>Consultation question</w:t>
      </w:r>
      <w:bookmarkEnd w:id="172"/>
      <w:bookmarkEnd w:id="173"/>
      <w:bookmarkEnd w:id="174"/>
      <w:bookmarkEnd w:id="175"/>
      <w:bookmarkEnd w:id="176"/>
      <w:bookmarkEnd w:id="177"/>
      <w:bookmarkEnd w:id="178"/>
      <w:bookmarkEnd w:id="179"/>
      <w:bookmarkEnd w:id="180"/>
      <w:r w:rsidRPr="0056784A">
        <w:t xml:space="preserve"> </w:t>
      </w:r>
    </w:p>
    <w:p w14:paraId="32EC9605" w14:textId="77777777" w:rsidR="008C7ECA" w:rsidRPr="0054532C" w:rsidRDefault="008C7ECA" w:rsidP="00652FC3">
      <w:pPr>
        <w:pStyle w:val="ListNumber"/>
        <w:shd w:val="clear" w:color="auto" w:fill="auto"/>
        <w:ind w:left="426" w:hanging="426"/>
        <w:rPr>
          <w:rFonts w:eastAsiaTheme="majorEastAsia"/>
        </w:rPr>
      </w:pPr>
      <w:r>
        <w:t xml:space="preserve">Are there other technology developments </w:t>
      </w:r>
      <w:r w:rsidR="00C1576A">
        <w:t>or sources of spectrum demand</w:t>
      </w:r>
      <w:r>
        <w:t xml:space="preserve"> the ACMA should be aware of in considering spectrum management over the next five years</w:t>
      </w:r>
      <w:r w:rsidRPr="00A30CFC">
        <w:t>?</w:t>
      </w:r>
    </w:p>
    <w:p w14:paraId="39440453" w14:textId="77777777" w:rsidR="00B026E8" w:rsidRPr="007916F4" w:rsidRDefault="00B026E8" w:rsidP="007916F4">
      <w:pPr>
        <w:pStyle w:val="Heading1"/>
        <w:rPr>
          <w:rStyle w:val="TitleChar"/>
          <w:rFonts w:ascii="Arial" w:hAnsi="Arial" w:cs="Arial"/>
          <w:spacing w:val="0"/>
          <w:kern w:val="32"/>
          <w:sz w:val="53"/>
          <w:szCs w:val="32"/>
          <w:lang w:eastAsia="en-AU"/>
        </w:rPr>
      </w:pPr>
      <w:bookmarkStart w:id="181" w:name="_Toc509581810"/>
      <w:bookmarkStart w:id="182" w:name="_Toc509585126"/>
      <w:bookmarkStart w:id="183" w:name="_Toc509585662"/>
      <w:bookmarkStart w:id="184" w:name="_Toc510104940"/>
      <w:bookmarkStart w:id="185" w:name="_Toc510105737"/>
      <w:bookmarkStart w:id="186" w:name="_Toc510795075"/>
      <w:bookmarkStart w:id="187" w:name="_Toc511716277"/>
      <w:bookmarkStart w:id="188" w:name="_Toc511719088"/>
      <w:bookmarkStart w:id="189" w:name="_Toc514156693"/>
      <w:bookmarkStart w:id="190" w:name="_Toc491854106"/>
      <w:bookmarkStart w:id="191" w:name="_Toc494115161"/>
      <w:r>
        <w:rPr>
          <w:rStyle w:val="TitleChar"/>
          <w:rFonts w:ascii="Arial" w:hAnsi="Arial" w:cs="Arial"/>
          <w:spacing w:val="0"/>
          <w:kern w:val="32"/>
          <w:sz w:val="53"/>
          <w:szCs w:val="32"/>
          <w:lang w:eastAsia="en-AU"/>
        </w:rPr>
        <w:lastRenderedPageBreak/>
        <w:t>Part 2</w:t>
      </w:r>
      <w:r w:rsidR="007261F6">
        <w:rPr>
          <w:rStyle w:val="TitleChar"/>
          <w:rFonts w:ascii="Arial" w:hAnsi="Arial" w:cs="Arial"/>
          <w:spacing w:val="0"/>
          <w:kern w:val="32"/>
          <w:sz w:val="53"/>
          <w:szCs w:val="32"/>
          <w:lang w:eastAsia="en-AU"/>
        </w:rPr>
        <w:t>—</w:t>
      </w:r>
      <w:r>
        <w:rPr>
          <w:rStyle w:val="TitleChar"/>
          <w:rFonts w:ascii="Arial" w:hAnsi="Arial" w:cs="Arial"/>
          <w:spacing w:val="0"/>
          <w:kern w:val="32"/>
          <w:sz w:val="53"/>
          <w:szCs w:val="32"/>
          <w:lang w:eastAsia="en-AU"/>
        </w:rPr>
        <w:t xml:space="preserve">Proposed </w:t>
      </w:r>
      <w:r w:rsidRPr="00835321">
        <w:rPr>
          <w:rStyle w:val="TitleChar"/>
          <w:rFonts w:ascii="Arial" w:hAnsi="Arial" w:cs="Arial"/>
          <w:spacing w:val="0"/>
          <w:kern w:val="32"/>
          <w:sz w:val="53"/>
          <w:szCs w:val="32"/>
          <w:lang w:eastAsia="en-AU"/>
        </w:rPr>
        <w:t>201</w:t>
      </w:r>
      <w:r>
        <w:rPr>
          <w:rStyle w:val="TitleChar"/>
          <w:rFonts w:ascii="Arial" w:hAnsi="Arial" w:cs="Arial"/>
          <w:spacing w:val="0"/>
          <w:kern w:val="32"/>
          <w:sz w:val="53"/>
          <w:szCs w:val="32"/>
          <w:lang w:eastAsia="en-AU"/>
        </w:rPr>
        <w:t>8–</w:t>
      </w:r>
      <w:r w:rsidRPr="00835321">
        <w:rPr>
          <w:rStyle w:val="TitleChar"/>
          <w:rFonts w:ascii="Arial" w:hAnsi="Arial" w:cs="Arial"/>
          <w:spacing w:val="0"/>
          <w:kern w:val="32"/>
          <w:sz w:val="53"/>
          <w:szCs w:val="32"/>
          <w:lang w:eastAsia="en-AU"/>
        </w:rPr>
        <w:t>1</w:t>
      </w:r>
      <w:r>
        <w:rPr>
          <w:rStyle w:val="TitleChar"/>
          <w:rFonts w:ascii="Arial" w:hAnsi="Arial" w:cs="Arial"/>
          <w:spacing w:val="0"/>
          <w:kern w:val="32"/>
          <w:sz w:val="53"/>
          <w:szCs w:val="32"/>
          <w:lang w:eastAsia="en-AU"/>
        </w:rPr>
        <w:t>9</w:t>
      </w:r>
      <w:r w:rsidRPr="00835321">
        <w:rPr>
          <w:rStyle w:val="TitleChar"/>
          <w:rFonts w:ascii="Arial" w:hAnsi="Arial" w:cs="Arial"/>
          <w:spacing w:val="0"/>
          <w:kern w:val="32"/>
          <w:sz w:val="53"/>
          <w:szCs w:val="32"/>
          <w:lang w:eastAsia="en-AU"/>
        </w:rPr>
        <w:t xml:space="preserve"> </w:t>
      </w:r>
      <w:r>
        <w:rPr>
          <w:rStyle w:val="TitleChar"/>
          <w:rFonts w:ascii="Arial" w:hAnsi="Arial" w:cs="Arial"/>
          <w:spacing w:val="0"/>
          <w:kern w:val="32"/>
          <w:sz w:val="53"/>
          <w:szCs w:val="32"/>
          <w:lang w:eastAsia="en-AU"/>
        </w:rPr>
        <w:t>spectrum work program</w:t>
      </w:r>
      <w:bookmarkEnd w:id="181"/>
      <w:bookmarkEnd w:id="182"/>
      <w:bookmarkEnd w:id="183"/>
      <w:bookmarkEnd w:id="184"/>
      <w:bookmarkEnd w:id="185"/>
      <w:bookmarkEnd w:id="186"/>
      <w:bookmarkEnd w:id="187"/>
      <w:bookmarkEnd w:id="188"/>
      <w:bookmarkEnd w:id="189"/>
    </w:p>
    <w:bookmarkEnd w:id="190"/>
    <w:bookmarkEnd w:id="191"/>
    <w:p w14:paraId="0166BB13" w14:textId="77777777" w:rsidR="009A117B" w:rsidRDefault="00410CC1" w:rsidP="005759E7">
      <w:pPr>
        <w:spacing w:after="80"/>
      </w:pPr>
      <w:r>
        <w:rPr>
          <w:rFonts w:cs="Arial"/>
          <w:szCs w:val="20"/>
        </w:rPr>
        <w:t>In Part 2</w:t>
      </w:r>
      <w:r w:rsidR="007261F6">
        <w:rPr>
          <w:rFonts w:cs="Arial"/>
          <w:szCs w:val="20"/>
        </w:rPr>
        <w:t>,</w:t>
      </w:r>
      <w:r>
        <w:rPr>
          <w:rFonts w:cs="Arial"/>
          <w:szCs w:val="20"/>
        </w:rPr>
        <w:t xml:space="preserve"> we provide information about the work</w:t>
      </w:r>
      <w:r w:rsidR="00AD35B8">
        <w:rPr>
          <w:rFonts w:cs="Arial"/>
          <w:szCs w:val="20"/>
        </w:rPr>
        <w:t xml:space="preserve"> </w:t>
      </w:r>
      <w:r>
        <w:rPr>
          <w:rFonts w:cs="Arial"/>
          <w:szCs w:val="20"/>
        </w:rPr>
        <w:t xml:space="preserve">streams and </w:t>
      </w:r>
      <w:r w:rsidR="004F595C">
        <w:t xml:space="preserve">activities that the </w:t>
      </w:r>
      <w:r w:rsidR="00835321">
        <w:t xml:space="preserve">ACMA is proposing to focus on over the </w:t>
      </w:r>
      <w:r w:rsidR="004F595C">
        <w:t>2018</w:t>
      </w:r>
      <w:r w:rsidR="007261F6">
        <w:t>–</w:t>
      </w:r>
      <w:r w:rsidR="004F595C">
        <w:t>19</w:t>
      </w:r>
      <w:r w:rsidR="00835321">
        <w:t xml:space="preserve"> financial year</w:t>
      </w:r>
      <w:r>
        <w:t>. Where elements of planning, allocation and Spectrum Review implementation activities span multiple years, we have identified the relevant timing information. Activities</w:t>
      </w:r>
      <w:r w:rsidR="004F595C">
        <w:t xml:space="preserve"> </w:t>
      </w:r>
      <w:r w:rsidR="00835321">
        <w:t xml:space="preserve">are grouped according </w:t>
      </w:r>
      <w:r w:rsidR="00835321" w:rsidRPr="00125FC9">
        <w:t xml:space="preserve">to </w:t>
      </w:r>
      <w:r>
        <w:t xml:space="preserve">the ACMA’s </w:t>
      </w:r>
      <w:r w:rsidR="00835321" w:rsidRPr="00125FC9">
        <w:t>main spectrum management functions</w:t>
      </w:r>
      <w:r w:rsidR="009A117B">
        <w:t>:</w:t>
      </w:r>
    </w:p>
    <w:p w14:paraId="5D236FFD" w14:textId="77777777" w:rsidR="009A117B" w:rsidRPr="00FC654E" w:rsidRDefault="001A47A9" w:rsidP="005759E7">
      <w:pPr>
        <w:pStyle w:val="ListBullet"/>
      </w:pPr>
      <w:r>
        <w:t>p</w:t>
      </w:r>
      <w:r w:rsidR="009A117B" w:rsidRPr="007A2ADC">
        <w:t>lanning</w:t>
      </w:r>
    </w:p>
    <w:p w14:paraId="338C1D92" w14:textId="77777777" w:rsidR="00CF322E" w:rsidRPr="00FC654E" w:rsidRDefault="001A47A9" w:rsidP="005759E7">
      <w:pPr>
        <w:pStyle w:val="ListBullet"/>
      </w:pPr>
      <w:r>
        <w:t>a</w:t>
      </w:r>
      <w:r w:rsidR="00CF322E" w:rsidRPr="00FC654E">
        <w:t xml:space="preserve">llocations </w:t>
      </w:r>
    </w:p>
    <w:p w14:paraId="2157351F" w14:textId="77777777" w:rsidR="00950ACD" w:rsidRPr="00FC654E" w:rsidRDefault="001A47A9" w:rsidP="005759E7">
      <w:pPr>
        <w:pStyle w:val="ListBullet"/>
      </w:pPr>
      <w:r>
        <w:t>r</w:t>
      </w:r>
      <w:r w:rsidR="00950ACD" w:rsidRPr="00FC654E">
        <w:t>egulatory review and reform</w:t>
      </w:r>
      <w:r w:rsidR="00ED67AD" w:rsidRPr="00FC654E">
        <w:t xml:space="preserve"> with a focus on implementation of the Spectrum Review</w:t>
      </w:r>
    </w:p>
    <w:p w14:paraId="299D99E4" w14:textId="77777777" w:rsidR="00A03B91" w:rsidRPr="00FC654E" w:rsidRDefault="001A47A9" w:rsidP="005759E7">
      <w:pPr>
        <w:pStyle w:val="ListBullet"/>
      </w:pPr>
      <w:r>
        <w:t>l</w:t>
      </w:r>
      <w:r w:rsidR="00A03B91" w:rsidRPr="00FC654E">
        <w:t>icensing</w:t>
      </w:r>
    </w:p>
    <w:p w14:paraId="1E257913" w14:textId="77777777" w:rsidR="00A03B91" w:rsidRPr="00FC654E" w:rsidRDefault="001A47A9" w:rsidP="005759E7">
      <w:pPr>
        <w:pStyle w:val="ListBullet"/>
      </w:pPr>
      <w:r>
        <w:t>p</w:t>
      </w:r>
      <w:r w:rsidR="00A03B91" w:rsidRPr="00FC654E">
        <w:t xml:space="preserve">ricing </w:t>
      </w:r>
    </w:p>
    <w:p w14:paraId="1EA29F0D" w14:textId="77777777" w:rsidR="009A117B" w:rsidRPr="00FC654E" w:rsidRDefault="001A47A9" w:rsidP="005759E7">
      <w:pPr>
        <w:pStyle w:val="ListBullet"/>
      </w:pPr>
      <w:r>
        <w:t>c</w:t>
      </w:r>
      <w:r w:rsidR="009A117B" w:rsidRPr="00FC654E">
        <w:t>ompliance and enforcement</w:t>
      </w:r>
    </w:p>
    <w:p w14:paraId="5FBC84B2" w14:textId="77777777" w:rsidR="009A117B" w:rsidRPr="00FC654E" w:rsidRDefault="001A47A9" w:rsidP="005759E7">
      <w:pPr>
        <w:pStyle w:val="ListBulletLast"/>
      </w:pPr>
      <w:r>
        <w:t>i</w:t>
      </w:r>
      <w:r w:rsidR="009A117B" w:rsidRPr="00FC654E">
        <w:t>nternational engagement</w:t>
      </w:r>
      <w:r w:rsidR="00DA7873">
        <w:t>.</w:t>
      </w:r>
    </w:p>
    <w:p w14:paraId="5E3B8BBC" w14:textId="77777777" w:rsidR="002C689F" w:rsidRDefault="002C689F" w:rsidP="0027128C">
      <w:r w:rsidRPr="005435F9">
        <w:t xml:space="preserve">The ACMA’s spectrum </w:t>
      </w:r>
      <w:r w:rsidR="00BA6010" w:rsidRPr="005435F9">
        <w:t>work program</w:t>
      </w:r>
      <w:r w:rsidRPr="005435F9">
        <w:t xml:space="preserve"> remains responsive to short</w:t>
      </w:r>
      <w:r w:rsidR="001A47A9" w:rsidRPr="005435F9">
        <w:t>-</w:t>
      </w:r>
      <w:r w:rsidRPr="005435F9">
        <w:t xml:space="preserve">term changes in spectrum demand, technological developments, government priorities and available resourcing. The planned milestones in this FYSO, especially those relating to </w:t>
      </w:r>
      <w:r w:rsidRPr="002C689F">
        <w:t>2018</w:t>
      </w:r>
      <w:r w:rsidR="005435F9">
        <w:t>–</w:t>
      </w:r>
      <w:r w:rsidRPr="002C689F">
        <w:t xml:space="preserve">19, are subject to change. The ACMA’s responsibilities in implementing new spectrum management legislation (see </w:t>
      </w:r>
      <w:r w:rsidRPr="005759E7">
        <w:rPr>
          <w:i/>
        </w:rPr>
        <w:t xml:space="preserve">Spectrum Review </w:t>
      </w:r>
      <w:r w:rsidR="005435F9" w:rsidRPr="005759E7">
        <w:rPr>
          <w:i/>
        </w:rPr>
        <w:t>i</w:t>
      </w:r>
      <w:r w:rsidRPr="005759E7">
        <w:rPr>
          <w:i/>
        </w:rPr>
        <w:t>mplementation</w:t>
      </w:r>
      <w:r w:rsidRPr="002C689F">
        <w:t>, below) will be significant, particularly in the period leading up to commencement of that legislation. As the legislation is settled and the timetable for its consideration by Parliament firms up, the timing and nature of the ACMA’s responsibilities will become clearer, and may affect the other milestones provided here.</w:t>
      </w:r>
    </w:p>
    <w:p w14:paraId="2D6C9ACB" w14:textId="77777777" w:rsidR="00410CC1" w:rsidRDefault="005435F9" w:rsidP="0027128C">
      <w:r>
        <w:t>S</w:t>
      </w:r>
      <w:r w:rsidR="00410CC1" w:rsidRPr="00125FC9">
        <w:t xml:space="preserve">ubmissions </w:t>
      </w:r>
      <w:r>
        <w:t>for</w:t>
      </w:r>
      <w:r w:rsidRPr="00125FC9">
        <w:t xml:space="preserve"> </w:t>
      </w:r>
      <w:r w:rsidR="00410CC1" w:rsidRPr="00125FC9">
        <w:t>last year’s FSYO are</w:t>
      </w:r>
      <w:r w:rsidR="0027128C">
        <w:t xml:space="preserve"> considered</w:t>
      </w:r>
      <w:r w:rsidR="00410CC1" w:rsidRPr="00125FC9">
        <w:t xml:space="preserve"> in our approach to th</w:t>
      </w:r>
      <w:r w:rsidR="0027128C">
        <w:t>e forward year’s</w:t>
      </w:r>
      <w:r w:rsidR="00410CC1" w:rsidRPr="00125FC9">
        <w:t xml:space="preserve"> work, a</w:t>
      </w:r>
      <w:r w:rsidR="0027128C">
        <w:t xml:space="preserve">nd we report </w:t>
      </w:r>
      <w:r w:rsidR="00410CC1">
        <w:t xml:space="preserve">on the progress achieved </w:t>
      </w:r>
      <w:r w:rsidR="00410CC1" w:rsidRPr="00125FC9">
        <w:t>since the release of the last FYSO.</w:t>
      </w:r>
      <w:r w:rsidR="002C689F">
        <w:t xml:space="preserve"> While some submissions to the </w:t>
      </w:r>
      <w:r w:rsidR="00350C72">
        <w:t xml:space="preserve">2017–21 </w:t>
      </w:r>
      <w:r w:rsidR="002C689F">
        <w:t>FYSO asked for information in calendar year format, we have adopted a single financial year convention for consistency throughout the document</w:t>
      </w:r>
      <w:r w:rsidR="00003B1B">
        <w:t>.</w:t>
      </w:r>
    </w:p>
    <w:p w14:paraId="3A7B1C03" w14:textId="77777777" w:rsidR="00CF322E" w:rsidRDefault="00CF322E" w:rsidP="005759E7">
      <w:pPr>
        <w:pStyle w:val="Heading1"/>
      </w:pPr>
      <w:bookmarkStart w:id="192" w:name="_Toc510104942"/>
      <w:bookmarkStart w:id="193" w:name="_Toc510105739"/>
      <w:bookmarkStart w:id="194" w:name="_Toc510795076"/>
      <w:bookmarkStart w:id="195" w:name="_Toc511716278"/>
      <w:bookmarkStart w:id="196" w:name="_Toc511719089"/>
      <w:bookmarkStart w:id="197" w:name="_Toc514156694"/>
      <w:bookmarkStart w:id="198" w:name="_Toc491854085"/>
      <w:bookmarkStart w:id="199" w:name="_Toc494115131"/>
      <w:bookmarkStart w:id="200" w:name="_Toc496624990"/>
      <w:bookmarkStart w:id="201" w:name="_Toc509581812"/>
      <w:bookmarkStart w:id="202" w:name="_Toc509585128"/>
      <w:bookmarkStart w:id="203" w:name="_Toc509585664"/>
      <w:r>
        <w:lastRenderedPageBreak/>
        <w:t>Planning</w:t>
      </w:r>
      <w:bookmarkEnd w:id="192"/>
      <w:bookmarkEnd w:id="193"/>
      <w:bookmarkEnd w:id="194"/>
      <w:bookmarkEnd w:id="195"/>
      <w:bookmarkEnd w:id="196"/>
      <w:bookmarkEnd w:id="197"/>
    </w:p>
    <w:p w14:paraId="1FEE76C2" w14:textId="77777777" w:rsidR="007916F4" w:rsidRDefault="008A199D" w:rsidP="00530A2E">
      <w:r>
        <w:t xml:space="preserve">The ACMA aims to optimise planning arrangements in each band for the use or uses that maximise the overall public benefit. Planning arrangements in bands should enable the allocation (or movement) of spectrum to specific users with no, or minimal, further regulatory intervention, and may remain stable over long periods of time. </w:t>
      </w:r>
    </w:p>
    <w:p w14:paraId="1A4EB7E3" w14:textId="77777777" w:rsidR="008A199D" w:rsidRDefault="008A199D" w:rsidP="00CA45D7">
      <w:r>
        <w:t>Where there is evidence of changes in the optimal use o</w:t>
      </w:r>
      <w:r w:rsidR="00FC1306">
        <w:t>r</w:t>
      </w:r>
      <w:r>
        <w:t xml:space="preserve"> uses of bands, however, the </w:t>
      </w:r>
      <w:r w:rsidRPr="00E02E8A">
        <w:t xml:space="preserve">ACMA </w:t>
      </w:r>
      <w:r>
        <w:t>may identify that there is a net public benefit in</w:t>
      </w:r>
      <w:r w:rsidRPr="00E02E8A">
        <w:t xml:space="preserve"> the band </w:t>
      </w:r>
      <w:r>
        <w:t>mov</w:t>
      </w:r>
      <w:r w:rsidRPr="00E02E8A">
        <w:t xml:space="preserve">ing </w:t>
      </w:r>
      <w:r>
        <w:t>to</w:t>
      </w:r>
      <w:r w:rsidRPr="00E02E8A">
        <w:t xml:space="preserve"> a new</w:t>
      </w:r>
      <w:r>
        <w:t xml:space="preserve"> or changed</w:t>
      </w:r>
      <w:r w:rsidRPr="00E02E8A">
        <w:t xml:space="preserve"> use, </w:t>
      </w:r>
      <w:r>
        <w:t>or being re-configured to better support an existing use. Consulting where appropriate with existing and future users, the ACMA will then consider how best to accommodate additional uses or users within the available spectrum.</w:t>
      </w:r>
    </w:p>
    <w:p w14:paraId="58F136E9" w14:textId="77777777" w:rsidR="00C50635" w:rsidRDefault="00C50635" w:rsidP="005759E7">
      <w:pPr>
        <w:spacing w:after="80"/>
      </w:pPr>
      <w:r>
        <w:t>Planning activities are directed into two main streams:</w:t>
      </w:r>
    </w:p>
    <w:p w14:paraId="38D4725E" w14:textId="77777777" w:rsidR="00C50635" w:rsidRPr="00FC654E" w:rsidRDefault="00B43510" w:rsidP="005759E7">
      <w:pPr>
        <w:pStyle w:val="ListBullet"/>
      </w:pPr>
      <w:r>
        <w:t>m</w:t>
      </w:r>
      <w:r w:rsidR="008A199D" w:rsidRPr="00FC654E">
        <w:t xml:space="preserve">ajor </w:t>
      </w:r>
      <w:r w:rsidR="00C50635" w:rsidRPr="00FC654E">
        <w:t xml:space="preserve">band </w:t>
      </w:r>
      <w:r w:rsidR="008A199D">
        <w:t>(re)</w:t>
      </w:r>
      <w:r w:rsidR="00C50635" w:rsidRPr="00FC654E">
        <w:t xml:space="preserve">planning </w:t>
      </w:r>
      <w:r w:rsidR="009E2FED">
        <w:t xml:space="preserve">activities </w:t>
      </w:r>
      <w:r w:rsidR="00C50635" w:rsidRPr="00FC654E">
        <w:t xml:space="preserve">to support the establishment of new </w:t>
      </w:r>
      <w:r w:rsidR="00E41275">
        <w:t xml:space="preserve">spectrum </w:t>
      </w:r>
      <w:r w:rsidR="00C50635" w:rsidRPr="00FC654E">
        <w:t>uses</w:t>
      </w:r>
      <w:r w:rsidR="008A199D">
        <w:t>.</w:t>
      </w:r>
      <w:r w:rsidR="00447762">
        <w:t xml:space="preserve"> </w:t>
      </w:r>
      <w:r w:rsidR="008A199D">
        <w:t>This may require</w:t>
      </w:r>
      <w:r w:rsidR="00C50635" w:rsidRPr="00FC654E">
        <w:t xml:space="preserve"> the re-farming and reallocation of spectrum </w:t>
      </w:r>
      <w:r w:rsidR="008A199D">
        <w:t>from an existing use</w:t>
      </w:r>
      <w:r w:rsidR="00E3328B">
        <w:t xml:space="preserve"> and </w:t>
      </w:r>
      <w:r w:rsidR="008A199D">
        <w:t xml:space="preserve">users </w:t>
      </w:r>
      <w:r w:rsidR="00E41275">
        <w:t>to</w:t>
      </w:r>
      <w:r w:rsidR="00C50635" w:rsidRPr="00FC654E">
        <w:t xml:space="preserve"> different </w:t>
      </w:r>
      <w:r w:rsidR="00E3328B">
        <w:t xml:space="preserve">a </w:t>
      </w:r>
      <w:r w:rsidR="00C50635" w:rsidRPr="00FC654E">
        <w:t>use</w:t>
      </w:r>
      <w:r w:rsidR="00E3328B">
        <w:t xml:space="preserve"> and </w:t>
      </w:r>
      <w:r w:rsidR="008A199D">
        <w:t>users</w:t>
      </w:r>
    </w:p>
    <w:p w14:paraId="4934654D" w14:textId="77777777" w:rsidR="00C50635" w:rsidRPr="00FC654E" w:rsidRDefault="00B43510" w:rsidP="005759E7">
      <w:pPr>
        <w:pStyle w:val="ListBulletLast"/>
      </w:pPr>
      <w:r>
        <w:t>o</w:t>
      </w:r>
      <w:r w:rsidR="00C50635" w:rsidRPr="00FC654E">
        <w:t>ptimising</w:t>
      </w:r>
      <w:r w:rsidR="00C50635" w:rsidRPr="00FC654E" w:rsidDel="008A199D">
        <w:t xml:space="preserve"> </w:t>
      </w:r>
      <w:r w:rsidR="008A199D">
        <w:t>established</w:t>
      </w:r>
      <w:r w:rsidR="008A199D" w:rsidRPr="00FC654E">
        <w:t xml:space="preserve"> </w:t>
      </w:r>
      <w:r w:rsidR="00E41275">
        <w:t xml:space="preserve">planning </w:t>
      </w:r>
      <w:r w:rsidR="00C50635" w:rsidRPr="00FC654E">
        <w:t xml:space="preserve">frameworks </w:t>
      </w:r>
      <w:r w:rsidR="008A199D">
        <w:t xml:space="preserve">for existing spectrum use </w:t>
      </w:r>
      <w:r w:rsidR="00C50635" w:rsidRPr="00FC654E">
        <w:t>through updating technical coordination arrangements</w:t>
      </w:r>
      <w:r w:rsidR="00E3328B">
        <w:t xml:space="preserve">. This can include </w:t>
      </w:r>
      <w:r w:rsidR="00C50635" w:rsidRPr="00FC654E">
        <w:t xml:space="preserve">addressing sharing demands, defragmentation and optimising </w:t>
      </w:r>
      <w:r w:rsidR="00E3328B">
        <w:t xml:space="preserve">planning </w:t>
      </w:r>
      <w:r w:rsidR="00C50635" w:rsidRPr="00FC654E">
        <w:t>configurations.</w:t>
      </w:r>
    </w:p>
    <w:p w14:paraId="7A1F1D0D" w14:textId="77777777" w:rsidR="00C50635" w:rsidRDefault="00C50635" w:rsidP="00530A2E">
      <w:r>
        <w:t>Earlier in the FYSO</w:t>
      </w:r>
      <w:r w:rsidR="005435F9">
        <w:t>,</w:t>
      </w:r>
      <w:r>
        <w:t xml:space="preserve"> we outlined the various pressures occurring in the market, technology and policy environment that are influencing demand for spectrum and informing the ACMA’s approach to spectrum management.</w:t>
      </w:r>
    </w:p>
    <w:p w14:paraId="16AA7303" w14:textId="77777777" w:rsidR="00C50635" w:rsidRDefault="00C50635" w:rsidP="007916F4">
      <w:r>
        <w:t>Planning is informed by</w:t>
      </w:r>
      <w:r w:rsidDel="00A56174">
        <w:t xml:space="preserve"> </w:t>
      </w:r>
      <w:r>
        <w:t xml:space="preserve">domestic and international demand for spectrum uses, developments in international spectrum harmonisation and technology standardisation paths, and </w:t>
      </w:r>
      <w:r w:rsidR="000F1900">
        <w:t>evolution of</w:t>
      </w:r>
      <w:r>
        <w:t xml:space="preserve"> communications technology. The planning information included in the annual work program reflects expected developments over a </w:t>
      </w:r>
      <w:r w:rsidDel="00AA40BB">
        <w:t>five</w:t>
      </w:r>
      <w:r>
        <w:t>-year time</w:t>
      </w:r>
      <w:r w:rsidR="005435F9">
        <w:t xml:space="preserve"> </w:t>
      </w:r>
      <w:r>
        <w:t>frame. Specific planning activity intended to be conducted during the 2018</w:t>
      </w:r>
      <w:r w:rsidR="005435F9">
        <w:t>–</w:t>
      </w:r>
      <w:r>
        <w:t>19 financial year is also highlighted.</w:t>
      </w:r>
    </w:p>
    <w:p w14:paraId="240AF429" w14:textId="77777777" w:rsidR="00C50635" w:rsidRPr="005759E7" w:rsidRDefault="00F97D59" w:rsidP="0068779F">
      <w:pPr>
        <w:pStyle w:val="Heading2"/>
        <w:rPr>
          <w:rStyle w:val="Heading2Char"/>
          <w:b/>
          <w:bCs/>
          <w:iCs/>
        </w:rPr>
      </w:pPr>
      <w:bookmarkStart w:id="204" w:name="_Toc511716279"/>
      <w:bookmarkStart w:id="205" w:name="_Toc511719090"/>
      <w:bookmarkStart w:id="206" w:name="_Toc514156695"/>
      <w:bookmarkStart w:id="207" w:name="_Toc509844720"/>
      <w:bookmarkStart w:id="208" w:name="_Toc510795077"/>
      <w:r w:rsidRPr="005759E7">
        <w:rPr>
          <w:rStyle w:val="Heading2Char"/>
          <w:b/>
          <w:bCs/>
          <w:iCs/>
        </w:rPr>
        <w:t>Major band (re)planning activities</w:t>
      </w:r>
      <w:bookmarkEnd w:id="204"/>
      <w:bookmarkEnd w:id="205"/>
      <w:bookmarkEnd w:id="206"/>
      <w:r w:rsidRPr="005759E7">
        <w:rPr>
          <w:rStyle w:val="Heading2Char"/>
          <w:b/>
          <w:bCs/>
          <w:iCs/>
        </w:rPr>
        <w:t xml:space="preserve"> </w:t>
      </w:r>
      <w:bookmarkEnd w:id="207"/>
      <w:bookmarkEnd w:id="208"/>
    </w:p>
    <w:p w14:paraId="534599F7" w14:textId="77777777" w:rsidR="00F97D59" w:rsidRDefault="00C50635">
      <w:r w:rsidRPr="00D169BA">
        <w:t xml:space="preserve">This section of the FYSO provides an overview of </w:t>
      </w:r>
      <w:r w:rsidR="005435F9">
        <w:t xml:space="preserve">the ACMA’s </w:t>
      </w:r>
      <w:r>
        <w:t>work in</w:t>
      </w:r>
      <w:r w:rsidRPr="00D169BA">
        <w:t xml:space="preserve"> establish</w:t>
      </w:r>
      <w:r w:rsidR="005435F9">
        <w:t xml:space="preserve">ing </w:t>
      </w:r>
      <w:r w:rsidRPr="00D169BA">
        <w:t>new planning frameworks</w:t>
      </w:r>
      <w:r w:rsidR="008A199D">
        <w:t xml:space="preserve">, including </w:t>
      </w:r>
      <w:r w:rsidRPr="00D169BA">
        <w:t xml:space="preserve">for re-farming and reallocation. </w:t>
      </w:r>
      <w:r w:rsidR="00987648">
        <w:t>As</w:t>
      </w:r>
      <w:r w:rsidR="00987648" w:rsidDel="00F97D59">
        <w:t xml:space="preserve"> </w:t>
      </w:r>
      <w:r w:rsidR="00987648">
        <w:t>broadband is not the only driver of potential changes in the optimal use or uses of bands, the section</w:t>
      </w:r>
      <w:r w:rsidRPr="00D169BA">
        <w:t xml:space="preserve"> also provides information about other </w:t>
      </w:r>
      <w:r w:rsidR="00987648">
        <w:t xml:space="preserve">major band replanning activities. </w:t>
      </w:r>
      <w:r w:rsidR="00922BC2">
        <w:t xml:space="preserve">Readers interested in the price-based allocation of spectrum resulting from major band re-planning activities should </w:t>
      </w:r>
      <w:r w:rsidR="00F35B00">
        <w:t>turn</w:t>
      </w:r>
      <w:r w:rsidR="00AE04D3">
        <w:t xml:space="preserve"> </w:t>
      </w:r>
      <w:r w:rsidR="00922BC2">
        <w:t xml:space="preserve">to the next chapter, which deals with the ACMA’s forward allocation work plan. </w:t>
      </w:r>
    </w:p>
    <w:p w14:paraId="3030871A" w14:textId="77777777" w:rsidR="004B3010" w:rsidRPr="00896CB6" w:rsidRDefault="00F97D59" w:rsidP="005759E7">
      <w:pPr>
        <w:spacing w:after="80"/>
      </w:pPr>
      <w:r>
        <w:t>B</w:t>
      </w:r>
      <w:r w:rsidR="00987648">
        <w:t xml:space="preserve">ands </w:t>
      </w:r>
      <w:r>
        <w:t xml:space="preserve">listed </w:t>
      </w:r>
      <w:r w:rsidR="00987648">
        <w:t>are categorised as follows</w:t>
      </w:r>
      <w:r w:rsidR="00C50635" w:rsidRPr="00D169BA">
        <w:t xml:space="preserve">: </w:t>
      </w:r>
    </w:p>
    <w:p w14:paraId="50BBB946" w14:textId="77777777" w:rsidR="00361357" w:rsidRDefault="005A4DAE" w:rsidP="00FB338B">
      <w:pPr>
        <w:pStyle w:val="ListBullet2"/>
        <w:numPr>
          <w:ilvl w:val="0"/>
          <w:numId w:val="33"/>
        </w:numPr>
      </w:pPr>
      <w:r w:rsidRPr="00530A2E">
        <w:rPr>
          <w:b/>
        </w:rPr>
        <w:t>Monitoring</w:t>
      </w:r>
      <w:r w:rsidR="005435F9">
        <w:t>—</w:t>
      </w:r>
      <w:r w:rsidRPr="005A4DAE">
        <w:rPr>
          <w:rFonts w:eastAsia="Calibri"/>
        </w:rPr>
        <w:t xml:space="preserve">Business-as-usual monitoring of international and domestic spectrum usage trends. </w:t>
      </w:r>
      <w:r w:rsidRPr="008D5491">
        <w:t>At this stage, the ACMA maintains an awareness of developments and interest in potential changes to the use of the band that may require substantial planning activities. There is no direct action required by stakeholders at this stage, however</w:t>
      </w:r>
      <w:r w:rsidR="005435F9">
        <w:t>,</w:t>
      </w:r>
      <w:r w:rsidRPr="008D5491">
        <w:t xml:space="preserve"> there is an opportunity for stakeholders to keep the ACMA appraised of relevant developments and issues. </w:t>
      </w:r>
    </w:p>
    <w:p w14:paraId="4CBFA18C" w14:textId="77777777" w:rsidR="005A4DAE" w:rsidRDefault="005A4DAE" w:rsidP="001D3119">
      <w:pPr>
        <w:pStyle w:val="ListBullet2"/>
        <w:ind w:left="360" w:firstLine="0"/>
      </w:pPr>
      <w:r w:rsidRPr="008D5491">
        <w:t>In general, the ACMA sees bands and issues included at the monitoring stage as representing potential work items beyond its immediate 12</w:t>
      </w:r>
      <w:r w:rsidR="005435F9">
        <w:t>-</w:t>
      </w:r>
      <w:r w:rsidRPr="008D5491">
        <w:t xml:space="preserve">month </w:t>
      </w:r>
      <w:r w:rsidR="00BA6010">
        <w:t>work program</w:t>
      </w:r>
      <w:r w:rsidR="00CE36AE">
        <w:t>.</w:t>
      </w:r>
    </w:p>
    <w:p w14:paraId="6EA56002" w14:textId="77777777" w:rsidR="00C50635" w:rsidRPr="00D169BA" w:rsidRDefault="00C50635" w:rsidP="00FB338B">
      <w:pPr>
        <w:pStyle w:val="ListBullet2"/>
        <w:numPr>
          <w:ilvl w:val="0"/>
          <w:numId w:val="33"/>
        </w:numPr>
      </w:pPr>
      <w:r w:rsidRPr="00EB57F6" w:rsidDel="00275EDA">
        <w:rPr>
          <w:b/>
        </w:rPr>
        <w:t>I</w:t>
      </w:r>
      <w:r w:rsidRPr="00EB57F6">
        <w:rPr>
          <w:b/>
        </w:rPr>
        <w:t>nitial investigation</w:t>
      </w:r>
      <w:r w:rsidR="005435F9">
        <w:t>—</w:t>
      </w:r>
      <w:r w:rsidRPr="00D169BA">
        <w:t xml:space="preserve">Initial investigation and scoping of potential </w:t>
      </w:r>
      <w:r w:rsidRPr="00896CB6">
        <w:t>options</w:t>
      </w:r>
      <w:r w:rsidRPr="00D169BA">
        <w:t xml:space="preserve"> for domestic </w:t>
      </w:r>
      <w:r w:rsidR="008A199D">
        <w:t xml:space="preserve">replanning </w:t>
      </w:r>
      <w:r w:rsidRPr="00D169BA">
        <w:t>of a band</w:t>
      </w:r>
      <w:r w:rsidR="00F97D59">
        <w:t>. This stage normally include</w:t>
      </w:r>
      <w:r w:rsidR="0068779F">
        <w:t>s</w:t>
      </w:r>
      <w:r w:rsidR="00F97D59">
        <w:t xml:space="preserve"> </w:t>
      </w:r>
      <w:r w:rsidR="00442798">
        <w:t xml:space="preserve">initial consideration </w:t>
      </w:r>
      <w:r w:rsidR="0068779F">
        <w:t>of</w:t>
      </w:r>
      <w:r w:rsidR="00442798">
        <w:t xml:space="preserve"> </w:t>
      </w:r>
      <w:r w:rsidR="00442798">
        <w:lastRenderedPageBreak/>
        <w:t>whether the new spectrum use contributes to maximising the overall public benefit derived from use of the spectrum</w:t>
      </w:r>
      <w:r w:rsidR="005435F9">
        <w:t>,</w:t>
      </w:r>
      <w:r w:rsidR="00442798">
        <w:t xml:space="preserve"> along with </w:t>
      </w:r>
      <w:r w:rsidRPr="00D169BA">
        <w:t>preliminary assessment</w:t>
      </w:r>
      <w:r w:rsidR="00F97D59">
        <w:t>s on coexistence and other technical considerations. Formal public consultation may occur through mechanisms such as public industry meetings (</w:t>
      </w:r>
      <w:r w:rsidR="005435F9">
        <w:t>such as</w:t>
      </w:r>
      <w:r w:rsidR="00F97D59">
        <w:t xml:space="preserve"> </w:t>
      </w:r>
      <w:r w:rsidR="005435F9">
        <w:t>s</w:t>
      </w:r>
      <w:r w:rsidR="00F97D59">
        <w:t xml:space="preserve">pectrum </w:t>
      </w:r>
      <w:r w:rsidR="005435F9">
        <w:t>t</w:t>
      </w:r>
      <w:r w:rsidR="00F97D59">
        <w:t>une-ups) and/or discussion papers</w:t>
      </w:r>
      <w:r w:rsidR="00324848">
        <w:t xml:space="preserve"> where general feedback on issues </w:t>
      </w:r>
      <w:r w:rsidR="005435F9">
        <w:t xml:space="preserve">is </w:t>
      </w:r>
      <w:r w:rsidR="00442798">
        <w:t>sought</w:t>
      </w:r>
      <w:r w:rsidRPr="00D169BA" w:rsidDel="00F97D59">
        <w:t>.</w:t>
      </w:r>
      <w:r w:rsidR="00447762">
        <w:t xml:space="preserve"> </w:t>
      </w:r>
    </w:p>
    <w:p w14:paraId="596118FF" w14:textId="77777777" w:rsidR="00C50635" w:rsidRDefault="00C50635" w:rsidP="00FB338B">
      <w:pPr>
        <w:pStyle w:val="ListBullet2"/>
        <w:numPr>
          <w:ilvl w:val="0"/>
          <w:numId w:val="33"/>
        </w:numPr>
      </w:pPr>
      <w:r w:rsidRPr="00EB57F6">
        <w:rPr>
          <w:b/>
        </w:rPr>
        <w:t>Preliminary replanning</w:t>
      </w:r>
      <w:r w:rsidR="005435F9">
        <w:t>—</w:t>
      </w:r>
      <w:r w:rsidRPr="00896CB6">
        <w:rPr>
          <w:rFonts w:eastAsia="Calibri"/>
        </w:rPr>
        <w:t xml:space="preserve">Identification of </w:t>
      </w:r>
      <w:r w:rsidR="00442798" w:rsidRPr="00896CB6">
        <w:rPr>
          <w:rFonts w:eastAsia="Calibri"/>
        </w:rPr>
        <w:t xml:space="preserve">detailed </w:t>
      </w:r>
      <w:r w:rsidRPr="00896CB6">
        <w:rPr>
          <w:rFonts w:eastAsia="Calibri"/>
        </w:rPr>
        <w:t>replanning</w:t>
      </w:r>
      <w:r w:rsidRPr="00896CB6" w:rsidDel="008A199D">
        <w:rPr>
          <w:rFonts w:eastAsia="Calibri"/>
        </w:rPr>
        <w:t xml:space="preserve"> </w:t>
      </w:r>
      <w:r w:rsidR="008A199D" w:rsidRPr="00896CB6">
        <w:rPr>
          <w:rFonts w:eastAsia="Calibri"/>
        </w:rPr>
        <w:t>proposals</w:t>
      </w:r>
      <w:r w:rsidR="00442798" w:rsidRPr="00896CB6">
        <w:rPr>
          <w:rFonts w:eastAsia="Calibri"/>
        </w:rPr>
        <w:t xml:space="preserve"> based on feedback received at the initial investigation stage</w:t>
      </w:r>
      <w:r w:rsidR="005435F9">
        <w:rPr>
          <w:rFonts w:eastAsia="Calibri"/>
        </w:rPr>
        <w:t>,</w:t>
      </w:r>
      <w:r w:rsidR="00442798" w:rsidRPr="00896CB6">
        <w:rPr>
          <w:rFonts w:eastAsia="Calibri"/>
        </w:rPr>
        <w:t xml:space="preserve"> along with a detailed consideration of the spectrum uses that would maximise the overall public benefit derived from the spectrum. Considerations </w:t>
      </w:r>
      <w:r w:rsidR="005435F9">
        <w:rPr>
          <w:rFonts w:eastAsia="Calibri"/>
        </w:rPr>
        <w:t>are</w:t>
      </w:r>
      <w:r w:rsidR="00442798" w:rsidRPr="00896CB6">
        <w:rPr>
          <w:rFonts w:eastAsia="Calibri"/>
        </w:rPr>
        <w:t xml:space="preserve"> informed by detailed technical coexistence studies and include development of draft, high</w:t>
      </w:r>
      <w:r w:rsidR="005435F9">
        <w:rPr>
          <w:rFonts w:eastAsia="Calibri"/>
        </w:rPr>
        <w:t>-</w:t>
      </w:r>
      <w:r w:rsidR="00442798" w:rsidRPr="00896CB6">
        <w:rPr>
          <w:rFonts w:eastAsia="Calibri"/>
        </w:rPr>
        <w:t xml:space="preserve">level technical planning frameworks. Analysis </w:t>
      </w:r>
      <w:r w:rsidR="005435F9">
        <w:rPr>
          <w:rFonts w:eastAsia="Calibri"/>
        </w:rPr>
        <w:t>is</w:t>
      </w:r>
      <w:r w:rsidR="00442798" w:rsidRPr="00896CB6">
        <w:rPr>
          <w:rFonts w:eastAsia="Calibri"/>
        </w:rPr>
        <w:t xml:space="preserve"> undertaken o</w:t>
      </w:r>
      <w:r w:rsidR="00501215" w:rsidRPr="00896CB6">
        <w:rPr>
          <w:rFonts w:eastAsia="Calibri"/>
        </w:rPr>
        <w:t>f</w:t>
      </w:r>
      <w:r w:rsidR="00442798" w:rsidRPr="00896CB6">
        <w:rPr>
          <w:rFonts w:eastAsia="Calibri"/>
        </w:rPr>
        <w:t xml:space="preserve"> ongoing incumbent spectrum needs and identification of any mitigations necessary to </w:t>
      </w:r>
      <w:r w:rsidRPr="00896CB6">
        <w:rPr>
          <w:rFonts w:eastAsia="Calibri"/>
        </w:rPr>
        <w:t xml:space="preserve">address </w:t>
      </w:r>
      <w:r w:rsidR="00442798" w:rsidRPr="00896CB6">
        <w:rPr>
          <w:rFonts w:eastAsia="Calibri"/>
        </w:rPr>
        <w:t xml:space="preserve">the impact potential </w:t>
      </w:r>
      <w:r w:rsidR="00442798" w:rsidRPr="005A4DAE">
        <w:rPr>
          <w:rFonts w:eastAsia="Calibri"/>
        </w:rPr>
        <w:t>changes</w:t>
      </w:r>
      <w:r w:rsidR="00442798" w:rsidRPr="00896CB6">
        <w:rPr>
          <w:rFonts w:eastAsia="Calibri"/>
        </w:rPr>
        <w:t xml:space="preserve"> in the planning environment may have on incumbent users.</w:t>
      </w:r>
      <w:r w:rsidR="0035288E" w:rsidRPr="00896CB6">
        <w:rPr>
          <w:rFonts w:eastAsia="Calibri"/>
        </w:rPr>
        <w:t xml:space="preserve"> </w:t>
      </w:r>
      <w:r w:rsidR="00501215">
        <w:t>Formal public consultation occur</w:t>
      </w:r>
      <w:r w:rsidR="005435F9">
        <w:t>s</w:t>
      </w:r>
      <w:r w:rsidR="00501215">
        <w:t xml:space="preserve"> through mechanisms </w:t>
      </w:r>
      <w:r w:rsidR="003F5274">
        <w:t xml:space="preserve">such as </w:t>
      </w:r>
      <w:r w:rsidR="00501215">
        <w:t>the development of an options paper</w:t>
      </w:r>
      <w:r w:rsidR="005435F9">
        <w:t>,</w:t>
      </w:r>
      <w:r w:rsidR="00501215">
        <w:t xml:space="preserve"> where detailed planning options are identified and feedback on</w:t>
      </w:r>
      <w:r w:rsidR="00501215">
        <w:rPr>
          <w:rFonts w:eastAsia="Calibri"/>
        </w:rPr>
        <w:t xml:space="preserve"> issues</w:t>
      </w:r>
      <w:r w:rsidR="00501215">
        <w:t xml:space="preserve"> </w:t>
      </w:r>
      <w:r w:rsidR="005435F9">
        <w:t xml:space="preserve">is </w:t>
      </w:r>
      <w:r w:rsidR="00501215">
        <w:t>sought.</w:t>
      </w:r>
      <w:r w:rsidR="00447762">
        <w:t xml:space="preserve"> </w:t>
      </w:r>
    </w:p>
    <w:p w14:paraId="7D08DA9B" w14:textId="77777777" w:rsidR="00EB57F6" w:rsidRDefault="00EB57F6" w:rsidP="00FB338B">
      <w:pPr>
        <w:pStyle w:val="ListBullet2"/>
        <w:numPr>
          <w:ilvl w:val="0"/>
          <w:numId w:val="33"/>
        </w:numPr>
      </w:pPr>
      <w:r w:rsidRPr="005759E7">
        <w:rPr>
          <w:b/>
        </w:rPr>
        <w:t>Replanning</w:t>
      </w:r>
      <w:r w:rsidR="005435F9">
        <w:t>—R</w:t>
      </w:r>
      <w:r w:rsidRPr="00896CB6">
        <w:t xml:space="preserve">epresents the conclusion of the ACMA considerations and identifies planning outcomes expected to maximise the overall </w:t>
      </w:r>
      <w:r w:rsidRPr="005A4DAE">
        <w:t>public</w:t>
      </w:r>
      <w:r w:rsidR="0068779F">
        <w:t xml:space="preserve"> benefit</w:t>
      </w:r>
      <w:r w:rsidRPr="005A4DAE">
        <w:rPr>
          <w:rFonts w:eastAsia="Calibri"/>
        </w:rPr>
        <w:t>. This</w:t>
      </w:r>
      <w:r w:rsidRPr="00896CB6">
        <w:rPr>
          <w:rFonts w:eastAsia="Calibri"/>
        </w:rPr>
        <w:t xml:space="preserve"> include</w:t>
      </w:r>
      <w:r w:rsidR="0068779F">
        <w:rPr>
          <w:rFonts w:eastAsia="Calibri"/>
        </w:rPr>
        <w:t>s</w:t>
      </w:r>
      <w:r w:rsidRPr="00896CB6">
        <w:rPr>
          <w:rFonts w:eastAsia="Calibri"/>
        </w:rPr>
        <w:t xml:space="preserve"> further development of detailed technical planning frameworks (including further consultation where necessary). </w:t>
      </w:r>
      <w:r w:rsidRPr="005A4DAE">
        <w:rPr>
          <w:rFonts w:eastAsia="Calibri"/>
        </w:rPr>
        <w:t>Dependi</w:t>
      </w:r>
      <w:r>
        <w:rPr>
          <w:rFonts w:eastAsia="Calibri"/>
        </w:rPr>
        <w:t>ng</w:t>
      </w:r>
      <w:r w:rsidRPr="00896CB6">
        <w:rPr>
          <w:rFonts w:eastAsia="Calibri"/>
        </w:rPr>
        <w:t xml:space="preserve"> on </w:t>
      </w:r>
      <w:r w:rsidR="009D7F3D">
        <w:rPr>
          <w:rFonts w:eastAsia="Calibri"/>
        </w:rPr>
        <w:t xml:space="preserve">the </w:t>
      </w:r>
      <w:r w:rsidRPr="00896CB6">
        <w:rPr>
          <w:rFonts w:eastAsia="Calibri"/>
        </w:rPr>
        <w:t xml:space="preserve">nature of the existing use of the band, this stage could potentially lead to </w:t>
      </w:r>
      <w:r w:rsidRPr="00BB38F9">
        <w:rPr>
          <w:rFonts w:eastAsia="Calibri"/>
        </w:rPr>
        <w:t>re</w:t>
      </w:r>
      <w:r w:rsidR="00BB38F9" w:rsidRPr="00BB38F9">
        <w:rPr>
          <w:rFonts w:eastAsia="Calibri"/>
        </w:rPr>
        <w:noBreakHyphen/>
      </w:r>
      <w:r w:rsidRPr="00BB38F9">
        <w:rPr>
          <w:rFonts w:eastAsia="Calibri"/>
        </w:rPr>
        <w:t>farming/reallocation activities</w:t>
      </w:r>
      <w:r w:rsidRPr="00896CB6">
        <w:rPr>
          <w:rFonts w:eastAsia="Calibri"/>
        </w:rPr>
        <w:t xml:space="preserve">. Conclusions </w:t>
      </w:r>
      <w:r w:rsidR="00185D43">
        <w:rPr>
          <w:rFonts w:eastAsia="Calibri"/>
        </w:rPr>
        <w:t>from</w:t>
      </w:r>
      <w:r w:rsidR="00185D43" w:rsidRPr="00896CB6">
        <w:rPr>
          <w:rFonts w:eastAsia="Calibri"/>
        </w:rPr>
        <w:t xml:space="preserve"> </w:t>
      </w:r>
      <w:r w:rsidRPr="00896CB6">
        <w:rPr>
          <w:rFonts w:eastAsia="Calibri"/>
        </w:rPr>
        <w:t xml:space="preserve">the ACMA planning process </w:t>
      </w:r>
      <w:r w:rsidR="0068779F">
        <w:rPr>
          <w:rFonts w:eastAsia="Calibri"/>
        </w:rPr>
        <w:t>are</w:t>
      </w:r>
      <w:r w:rsidRPr="00896CB6">
        <w:rPr>
          <w:rFonts w:eastAsia="Calibri"/>
        </w:rPr>
        <w:t xml:space="preserve"> communicated in an outcomes paper that may include ACMA decisions on issues within its remit and/or identify preliminary dispositions on future activities subject to further legislative process (for example</w:t>
      </w:r>
      <w:r w:rsidR="0068779F">
        <w:rPr>
          <w:rFonts w:eastAsia="Calibri"/>
        </w:rPr>
        <w:t>,</w:t>
      </w:r>
      <w:r w:rsidRPr="00896CB6">
        <w:rPr>
          <w:rFonts w:eastAsia="Calibri"/>
        </w:rPr>
        <w:t xml:space="preserve"> decision or actions to be undertaken by the </w:t>
      </w:r>
      <w:r w:rsidR="0068779F">
        <w:rPr>
          <w:rFonts w:eastAsia="Calibri"/>
        </w:rPr>
        <w:t>m</w:t>
      </w:r>
      <w:r w:rsidRPr="00896CB6">
        <w:rPr>
          <w:rFonts w:eastAsia="Calibri"/>
        </w:rPr>
        <w:t>inister).</w:t>
      </w:r>
    </w:p>
    <w:p w14:paraId="57B762B2" w14:textId="77777777" w:rsidR="00C50635" w:rsidRPr="005759E7" w:rsidRDefault="00C50635" w:rsidP="0068779F">
      <w:pPr>
        <w:pStyle w:val="Heading2"/>
      </w:pPr>
      <w:bookmarkStart w:id="209" w:name="_Toc509844721"/>
      <w:bookmarkStart w:id="210" w:name="_Toc510795078"/>
      <w:bookmarkStart w:id="211" w:name="_Toc511716280"/>
      <w:bookmarkStart w:id="212" w:name="_Toc511719091"/>
      <w:bookmarkStart w:id="213" w:name="_Toc514156696"/>
      <w:r w:rsidRPr="005759E7">
        <w:t>What has changed since last FYSO</w:t>
      </w:r>
      <w:bookmarkEnd w:id="209"/>
      <w:bookmarkEnd w:id="210"/>
      <w:bookmarkEnd w:id="211"/>
      <w:bookmarkEnd w:id="212"/>
      <w:r w:rsidR="00DA7873">
        <w:t>?</w:t>
      </w:r>
      <w:bookmarkEnd w:id="213"/>
    </w:p>
    <w:p w14:paraId="31522034" w14:textId="77777777" w:rsidR="006A7EB2" w:rsidRDefault="00C50635" w:rsidP="00EB57F6">
      <w:r>
        <w:t xml:space="preserve">Feedback received on last year’s FYSO provided many suggestions for additional bands to be included in the ACMA’s planning work. </w:t>
      </w:r>
    </w:p>
    <w:p w14:paraId="36AA470E" w14:textId="77777777" w:rsidR="004B3010" w:rsidRDefault="006A7EB2" w:rsidP="00EB57F6">
      <w:r>
        <w:t>Some submissions were critical of the emphasis given to planning for mobile broadband uses</w:t>
      </w:r>
      <w:r w:rsidR="009D7F3D">
        <w:t xml:space="preserve"> and </w:t>
      </w:r>
      <w:r>
        <w:t xml:space="preserve">the inclusion of a separate mobile broadband work plan within the FYSO. The ACMA recognises the value of employing </w:t>
      </w:r>
      <w:r w:rsidR="009D7F3D">
        <w:t xml:space="preserve">a </w:t>
      </w:r>
      <w:r>
        <w:t xml:space="preserve">more neutral </w:t>
      </w:r>
      <w:r w:rsidR="00901C9D">
        <w:t>approach</w:t>
      </w:r>
      <w:r>
        <w:t xml:space="preserve"> for future discussion of its </w:t>
      </w:r>
      <w:r w:rsidR="0068779F">
        <w:t xml:space="preserve">band </w:t>
      </w:r>
      <w:r>
        <w:t>replanning work. While mobile broadband has been, and remains both domestically and internationally</w:t>
      </w:r>
      <w:r w:rsidR="0068779F">
        <w:t>,</w:t>
      </w:r>
      <w:r>
        <w:t xml:space="preserve"> the single largest driver of wholesale changes in the use, and hence replanning of bands, the employment of neutral rather than application-specific language recognises that other use cases</w:t>
      </w:r>
      <w:r w:rsidR="004F4A6F">
        <w:t xml:space="preserve">, including other wireless broadband </w:t>
      </w:r>
      <w:r w:rsidR="00D66004">
        <w:t>application</w:t>
      </w:r>
      <w:r w:rsidR="0068779F">
        <w:t>s</w:t>
      </w:r>
      <w:r w:rsidR="004F4A6F">
        <w:t>,</w:t>
      </w:r>
      <w:r>
        <w:t xml:space="preserve"> will also drive the need for major replanning in bands. </w:t>
      </w:r>
    </w:p>
    <w:p w14:paraId="3D74A799" w14:textId="77777777" w:rsidR="004B3010" w:rsidRDefault="006A7EB2" w:rsidP="00EB57F6">
      <w:r>
        <w:t>The table</w:t>
      </w:r>
      <w:r w:rsidR="00D66004">
        <w:t>s</w:t>
      </w:r>
      <w:r>
        <w:t xml:space="preserve"> of key projects below incorporate, but </w:t>
      </w:r>
      <w:r w:rsidR="009D7F3D">
        <w:t xml:space="preserve">are </w:t>
      </w:r>
      <w:r>
        <w:t>not limited to, bands under consideration for broadband use.</w:t>
      </w:r>
      <w:r w:rsidRPr="006A7EB2">
        <w:t xml:space="preserve"> </w:t>
      </w:r>
      <w:r w:rsidRPr="00D169BA">
        <w:t xml:space="preserve">The amalgamation of all </w:t>
      </w:r>
      <w:r w:rsidR="006B061F">
        <w:t xml:space="preserve">major </w:t>
      </w:r>
      <w:r w:rsidRPr="00D169BA">
        <w:t xml:space="preserve">planning activities acknowledges that mobile broadband services </w:t>
      </w:r>
      <w:r w:rsidR="00DC281E">
        <w:t xml:space="preserve">are </w:t>
      </w:r>
      <w:r w:rsidRPr="00D169BA">
        <w:t>part of the normal planning processes</w:t>
      </w:r>
      <w:r w:rsidR="0068779F">
        <w:t>,</w:t>
      </w:r>
      <w:r w:rsidRPr="00D169BA">
        <w:t xml:space="preserve"> while maintaining transparency for all stakeholders on both the mobile broadband and non-mobile broadband</w:t>
      </w:r>
      <w:r w:rsidR="0068779F">
        <w:t>-</w:t>
      </w:r>
      <w:r w:rsidRPr="00D169BA">
        <w:t>related activities of the ACMA.</w:t>
      </w:r>
    </w:p>
    <w:p w14:paraId="3F4E654F" w14:textId="77777777" w:rsidR="00011B67" w:rsidRDefault="006A7EB2" w:rsidP="0045598D">
      <w:pPr>
        <w:keepNext/>
        <w:keepLines/>
        <w:spacing w:after="80"/>
      </w:pPr>
      <w:r>
        <w:lastRenderedPageBreak/>
        <w:t>Major re</w:t>
      </w:r>
      <w:bookmarkStart w:id="214" w:name="_Toc509844722"/>
      <w:r>
        <w:t>p</w:t>
      </w:r>
      <w:r w:rsidR="00C50635">
        <w:t xml:space="preserve">lanning progress achieved since October </w:t>
      </w:r>
      <w:bookmarkEnd w:id="214"/>
      <w:r w:rsidR="00C50635">
        <w:t>2017</w:t>
      </w:r>
      <w:r w:rsidR="00B36722">
        <w:t xml:space="preserve"> includes</w:t>
      </w:r>
      <w:r w:rsidR="001C4FFD">
        <w:t>:</w:t>
      </w:r>
    </w:p>
    <w:p w14:paraId="3D91618A" w14:textId="77777777" w:rsidR="006A7EB2" w:rsidRPr="00896CB6" w:rsidRDefault="006A7EB2" w:rsidP="00BE6916">
      <w:pPr>
        <w:pStyle w:val="ListBullet"/>
        <w:keepNext/>
        <w:keepLines/>
        <w:rPr>
          <w:b/>
        </w:rPr>
      </w:pPr>
      <w:r w:rsidRPr="00113435">
        <w:rPr>
          <w:b/>
        </w:rPr>
        <w:t>900</w:t>
      </w:r>
      <w:r>
        <w:rPr>
          <w:b/>
        </w:rPr>
        <w:t xml:space="preserve"> </w:t>
      </w:r>
      <w:r w:rsidRPr="00113435">
        <w:rPr>
          <w:b/>
        </w:rPr>
        <w:t>MHz band</w:t>
      </w:r>
      <w:r w:rsidRPr="00896CB6">
        <w:rPr>
          <w:b/>
        </w:rPr>
        <w:t xml:space="preserve"> </w:t>
      </w:r>
    </w:p>
    <w:p w14:paraId="0D57BCCF" w14:textId="77777777" w:rsidR="006A7EB2" w:rsidRDefault="0068779F" w:rsidP="00BE6916">
      <w:pPr>
        <w:pStyle w:val="ListBullet"/>
        <w:keepNext/>
        <w:keepLines/>
        <w:numPr>
          <w:ilvl w:val="0"/>
          <w:numId w:val="0"/>
        </w:numPr>
        <w:ind w:left="295"/>
      </w:pPr>
      <w:r>
        <w:t>In October 2017, t</w:t>
      </w:r>
      <w:r w:rsidR="006A7EB2">
        <w:t>he ACMA released a paper setting out the preferred reconfiguration option for the 900 MHz (890–915/935–960 MHz) frequency band in order to transition from the current 2 x 8.2 or 8.4 MHz frequency arrangements to multiples of 2 x 5 MHz. The ACMA expects to firm up on implementation time</w:t>
      </w:r>
      <w:r>
        <w:t xml:space="preserve"> </w:t>
      </w:r>
      <w:r w:rsidR="006A7EB2">
        <w:t xml:space="preserve">frames for the reconfiguration of the 900 MHz band during the year to </w:t>
      </w:r>
      <w:r w:rsidR="00A566E0">
        <w:t>optimise the band’s planning arrangements for LTE services</w:t>
      </w:r>
      <w:r w:rsidR="006A7EB2">
        <w:t>.</w:t>
      </w:r>
    </w:p>
    <w:p w14:paraId="79F30439" w14:textId="77777777" w:rsidR="006A7EB2" w:rsidRPr="00347844" w:rsidRDefault="006A7EB2" w:rsidP="005759E7">
      <w:pPr>
        <w:pStyle w:val="ListBullet"/>
        <w:rPr>
          <w:b/>
        </w:rPr>
      </w:pPr>
      <w:r w:rsidRPr="00896CB6">
        <w:rPr>
          <w:b/>
        </w:rPr>
        <w:t xml:space="preserve">Cooperative intelligent transport systems (C-ITS) in the 5.9 GHz </w:t>
      </w:r>
      <w:r w:rsidR="0068779F">
        <w:rPr>
          <w:b/>
        </w:rPr>
        <w:t>b</w:t>
      </w:r>
      <w:r w:rsidRPr="00896CB6">
        <w:rPr>
          <w:b/>
        </w:rPr>
        <w:t>and</w:t>
      </w:r>
    </w:p>
    <w:p w14:paraId="7AF5F34B" w14:textId="77777777" w:rsidR="006A7EB2" w:rsidRDefault="006A7EB2" w:rsidP="005759E7">
      <w:pPr>
        <w:pStyle w:val="ListBullet"/>
        <w:numPr>
          <w:ilvl w:val="0"/>
          <w:numId w:val="0"/>
        </w:numPr>
        <w:ind w:left="295"/>
      </w:pPr>
      <w:r>
        <w:t xml:space="preserve">The ACMA finalised the Radiocommunications (Intelligent Transport Systems) Class Licence 2017 </w:t>
      </w:r>
      <w:r w:rsidR="0068779F">
        <w:t>in</w:t>
      </w:r>
      <w:r>
        <w:t xml:space="preserve"> December 2017</w:t>
      </w:r>
      <w:r w:rsidR="0068779F">
        <w:t xml:space="preserve"> and it was registered in</w:t>
      </w:r>
      <w:r>
        <w:t xml:space="preserve"> January 2018. The ACMA</w:t>
      </w:r>
      <w:r w:rsidR="0068779F">
        <w:t>,</w:t>
      </w:r>
      <w:r>
        <w:t xml:space="preserve"> therefore</w:t>
      </w:r>
      <w:r w:rsidR="0068779F">
        <w:t>,</w:t>
      </w:r>
      <w:r>
        <w:t xml:space="preserve"> has no current plans to revisit these arrangements in the near term, but will continue to monitor the suitability of the regulatory regime</w:t>
      </w:r>
      <w:r w:rsidR="0068779F">
        <w:t>,</w:t>
      </w:r>
      <w:r>
        <w:t xml:space="preserve"> particularly in light of possible developments regarding V2X technologies. </w:t>
      </w:r>
    </w:p>
    <w:p w14:paraId="4883765D" w14:textId="77777777" w:rsidR="006A7EB2" w:rsidRPr="00896CB6" w:rsidRDefault="00C50635" w:rsidP="005759E7">
      <w:pPr>
        <w:pStyle w:val="ListBullet"/>
        <w:rPr>
          <w:b/>
        </w:rPr>
      </w:pPr>
      <w:r w:rsidRPr="009B0419" w:rsidDel="003755A0">
        <w:rPr>
          <w:b/>
        </w:rPr>
        <w:t>3.6 GHz band</w:t>
      </w:r>
      <w:r w:rsidR="00890F31">
        <w:rPr>
          <w:b/>
        </w:rPr>
        <w:t xml:space="preserve"> </w:t>
      </w:r>
    </w:p>
    <w:p w14:paraId="766099D6" w14:textId="77777777" w:rsidR="00205F9D" w:rsidRDefault="0068779F" w:rsidP="005759E7">
      <w:pPr>
        <w:pStyle w:val="ListBullet"/>
        <w:numPr>
          <w:ilvl w:val="0"/>
          <w:numId w:val="0"/>
        </w:numPr>
        <w:ind w:left="295"/>
        <w:rPr>
          <w:rFonts w:cs="Arial"/>
          <w:szCs w:val="20"/>
        </w:rPr>
      </w:pPr>
      <w:r>
        <w:t xml:space="preserve">In </w:t>
      </w:r>
      <w:r w:rsidRPr="0068779F">
        <w:t>October</w:t>
      </w:r>
      <w:r>
        <w:t xml:space="preserve"> 2017,</w:t>
      </w:r>
      <w:r w:rsidDel="00235E09">
        <w:t xml:space="preserve"> </w:t>
      </w:r>
      <w:r>
        <w:t>t</w:t>
      </w:r>
      <w:r w:rsidR="00C50635">
        <w:t xml:space="preserve">he ACMA </w:t>
      </w:r>
      <w:r w:rsidR="00C50635" w:rsidDel="003755A0">
        <w:t xml:space="preserve">announced </w:t>
      </w:r>
      <w:r w:rsidR="00C50635">
        <w:t>the outcomes of the review of the 3.6 GHz frequency band. The decision confirmed that the frequency band be moved to the re-farming stage of the ACMA’s process for the consideration of additional spectrum for mobile broadband uses. In</w:t>
      </w:r>
      <w:r w:rsidR="00EF0223">
        <w:t xml:space="preserve"> </w:t>
      </w:r>
      <w:r w:rsidR="00C50635">
        <w:t>March 2018</w:t>
      </w:r>
      <w:r>
        <w:t>,</w:t>
      </w:r>
      <w:r w:rsidR="00C50635">
        <w:t xml:space="preserve"> the Minister for Communications made a reallocation declaration for the 3.6 GHz frequency band. The ACMA is now conducting relevant processes to allow the</w:t>
      </w:r>
      <w:r w:rsidR="00C50635" w:rsidDel="00512322">
        <w:t xml:space="preserve"> </w:t>
      </w:r>
      <w:r w:rsidR="00C50635">
        <w:t>band to be</w:t>
      </w:r>
      <w:r w:rsidR="00C50635" w:rsidDel="00FD4255">
        <w:t xml:space="preserve"> </w:t>
      </w:r>
      <w:r w:rsidR="00C50635">
        <w:t xml:space="preserve">available for the issue of spectrum licences in metropolitan and regional Australia. This includes the formation of a technical liaison group (TLG) from March to April 2018 to provide advice on </w:t>
      </w:r>
      <w:r w:rsidR="00C50635" w:rsidDel="00FD4255">
        <w:t xml:space="preserve">the </w:t>
      </w:r>
      <w:r w:rsidR="00C50635">
        <w:t>3.6 GHz band spectrum licence technical framework.</w:t>
      </w:r>
      <w:r w:rsidR="00205F9D" w:rsidRPr="00205F9D">
        <w:rPr>
          <w:rFonts w:cs="Arial"/>
          <w:szCs w:val="20"/>
        </w:rPr>
        <w:t xml:space="preserve"> </w:t>
      </w:r>
    </w:p>
    <w:p w14:paraId="72FA8E97" w14:textId="77777777" w:rsidR="00C50635" w:rsidRDefault="00205F9D" w:rsidP="005759E7">
      <w:pPr>
        <w:pStyle w:val="ListBullet"/>
        <w:numPr>
          <w:ilvl w:val="0"/>
          <w:numId w:val="0"/>
        </w:numPr>
        <w:ind w:left="295"/>
      </w:pPr>
      <w:r w:rsidRPr="0027128C">
        <w:rPr>
          <w:rFonts w:cs="Arial"/>
          <w:szCs w:val="20"/>
        </w:rPr>
        <w:t>As part of the outcomes announced</w:t>
      </w:r>
      <w:r w:rsidR="00890F31">
        <w:rPr>
          <w:rFonts w:cs="Arial"/>
          <w:szCs w:val="20"/>
        </w:rPr>
        <w:t xml:space="preserve"> for the 3.6 GHz band</w:t>
      </w:r>
      <w:r>
        <w:rPr>
          <w:rFonts w:cs="Arial"/>
          <w:szCs w:val="20"/>
        </w:rPr>
        <w:t>,</w:t>
      </w:r>
      <w:r w:rsidRPr="0027128C">
        <w:rPr>
          <w:rFonts w:cs="Arial"/>
          <w:szCs w:val="20"/>
        </w:rPr>
        <w:t xml:space="preserve"> there were a number of mitigation measures identified for affected incumbent point-to-multipoint licensees. </w:t>
      </w:r>
      <w:r>
        <w:rPr>
          <w:rFonts w:cs="Arial"/>
          <w:szCs w:val="20"/>
        </w:rPr>
        <w:t>Th</w:t>
      </w:r>
      <w:r w:rsidRPr="0027128C">
        <w:rPr>
          <w:rFonts w:cs="Arial"/>
          <w:szCs w:val="20"/>
        </w:rPr>
        <w:t xml:space="preserve">e ACMA </w:t>
      </w:r>
      <w:r w:rsidR="001A42E7">
        <w:rPr>
          <w:rFonts w:cs="Arial"/>
          <w:szCs w:val="20"/>
        </w:rPr>
        <w:t>is progressing</w:t>
      </w:r>
      <w:r>
        <w:rPr>
          <w:rFonts w:cs="Arial"/>
          <w:szCs w:val="20"/>
        </w:rPr>
        <w:t xml:space="preserve"> planning work to </w:t>
      </w:r>
      <w:r w:rsidRPr="0027128C">
        <w:rPr>
          <w:rFonts w:cs="Arial"/>
          <w:szCs w:val="20"/>
        </w:rPr>
        <w:t xml:space="preserve">put in place a </w:t>
      </w:r>
      <w:r w:rsidRPr="0027128C">
        <w:rPr>
          <w:lang w:eastAsia="en-US"/>
        </w:rPr>
        <w:t xml:space="preserve">coordinated apparatus-licensed regime for site-based point-to-multipoint uses </w:t>
      </w:r>
      <w:r w:rsidRPr="0027128C">
        <w:rPr>
          <w:rFonts w:cs="Arial"/>
          <w:szCs w:val="20"/>
        </w:rPr>
        <w:t>outside of metropolitan areas in the 5.6 GHz band</w:t>
      </w:r>
      <w:r>
        <w:rPr>
          <w:rFonts w:cs="Arial"/>
          <w:szCs w:val="20"/>
        </w:rPr>
        <w:t xml:space="preserve"> and </w:t>
      </w:r>
      <w:r w:rsidR="001A42E7">
        <w:rPr>
          <w:rFonts w:cs="Arial"/>
          <w:szCs w:val="20"/>
        </w:rPr>
        <w:t>intends</w:t>
      </w:r>
      <w:r>
        <w:rPr>
          <w:rFonts w:cs="Arial"/>
          <w:szCs w:val="20"/>
        </w:rPr>
        <w:t xml:space="preserve"> consulting on the planning arrangements.</w:t>
      </w:r>
    </w:p>
    <w:p w14:paraId="113D2DC5" w14:textId="77777777" w:rsidR="006A7EB2" w:rsidRPr="005759E7" w:rsidRDefault="00C50635" w:rsidP="005759E7">
      <w:pPr>
        <w:pStyle w:val="ListBullet"/>
        <w:rPr>
          <w:b/>
        </w:rPr>
      </w:pPr>
      <w:r w:rsidRPr="005759E7">
        <w:rPr>
          <w:b/>
        </w:rPr>
        <w:t>mmWave spectrum for 5G</w:t>
      </w:r>
    </w:p>
    <w:p w14:paraId="73119C3B" w14:textId="77777777" w:rsidR="0068779F" w:rsidRDefault="006A7EB2" w:rsidP="005759E7">
      <w:pPr>
        <w:pStyle w:val="ListBulletLast"/>
        <w:numPr>
          <w:ilvl w:val="0"/>
          <w:numId w:val="0"/>
        </w:numPr>
        <w:ind w:left="295"/>
      </w:pPr>
      <w:r>
        <w:t>A</w:t>
      </w:r>
      <w:r w:rsidR="00C50635" w:rsidDel="006A7EB2">
        <w:t xml:space="preserve"> </w:t>
      </w:r>
      <w:r w:rsidR="0068779F">
        <w:t>s</w:t>
      </w:r>
      <w:r>
        <w:t xml:space="preserve">pectrum </w:t>
      </w:r>
      <w:r w:rsidR="0068779F">
        <w:t>t</w:t>
      </w:r>
      <w:r>
        <w:t>une-</w:t>
      </w:r>
      <w:r w:rsidR="0068779F">
        <w:t>u</w:t>
      </w:r>
      <w:r>
        <w:t>p</w:t>
      </w:r>
      <w:r w:rsidR="0068779F">
        <w:t>,</w:t>
      </w:r>
      <w:r>
        <w:t xml:space="preserve"> </w:t>
      </w:r>
      <w:r w:rsidR="0068779F">
        <w:t>‘</w:t>
      </w:r>
      <w:r w:rsidRPr="0068779F">
        <w:t>Spectrum for 5G broadband in mmWave bands</w:t>
      </w:r>
      <w:r w:rsidR="0068779F">
        <w:t>’</w:t>
      </w:r>
      <w:r>
        <w:t xml:space="preserve"> was held in September 2017. Following this</w:t>
      </w:r>
      <w:r w:rsidR="0068779F">
        <w:t>,</w:t>
      </w:r>
      <w:r>
        <w:t xml:space="preserve"> in October 2017</w:t>
      </w:r>
      <w:r w:rsidR="0068779F">
        <w:t>,</w:t>
      </w:r>
      <w:r>
        <w:t xml:space="preserve"> a number of questions were asked regarding</w:t>
      </w:r>
      <w:r w:rsidR="00C50635">
        <w:t xml:space="preserve"> potential licensing and frequency/area allocation options for the 24.25</w:t>
      </w:r>
      <w:r w:rsidR="0068779F">
        <w:t>–</w:t>
      </w:r>
      <w:r w:rsidR="00C50635">
        <w:t>27.5 GHz frequency band.</w:t>
      </w:r>
    </w:p>
    <w:p w14:paraId="05A37015" w14:textId="77777777" w:rsidR="00F46EA9" w:rsidRDefault="00294C5C" w:rsidP="00760066">
      <w:pPr>
        <w:pStyle w:val="ACMATableHeader"/>
        <w:pageBreakBefore/>
      </w:pPr>
      <w:bookmarkStart w:id="215" w:name="_Toc510104946"/>
      <w:bookmarkStart w:id="216" w:name="_Toc510105743"/>
      <w:r>
        <w:lastRenderedPageBreak/>
        <w:t>Monitoring</w:t>
      </w:r>
      <w:bookmarkEnd w:id="215"/>
      <w:bookmarkEnd w:id="216"/>
    </w:p>
    <w:tbl>
      <w:tblPr>
        <w:tblStyle w:val="TableGrid"/>
        <w:tblW w:w="0" w:type="auto"/>
        <w:tblCellMar>
          <w:top w:w="57" w:type="dxa"/>
          <w:left w:w="57" w:type="dxa"/>
          <w:bottom w:w="57" w:type="dxa"/>
          <w:right w:w="57" w:type="dxa"/>
        </w:tblCellMar>
        <w:tblLook w:val="04A0" w:firstRow="1" w:lastRow="0" w:firstColumn="1" w:lastColumn="0" w:noHBand="0" w:noVBand="1"/>
        <w:tblCaption w:val="Key projects, activities and milestones in the monitoring phase."/>
      </w:tblPr>
      <w:tblGrid>
        <w:gridCol w:w="1430"/>
        <w:gridCol w:w="4678"/>
        <w:gridCol w:w="1553"/>
      </w:tblGrid>
      <w:tr w:rsidR="00293D5E" w14:paraId="574668F2" w14:textId="77777777" w:rsidTr="00F44F65">
        <w:trPr>
          <w:tblHeader/>
        </w:trPr>
        <w:tc>
          <w:tcPr>
            <w:tcW w:w="1430" w:type="dxa"/>
            <w:shd w:val="clear" w:color="auto" w:fill="404040" w:themeFill="text1" w:themeFillTint="BF"/>
          </w:tcPr>
          <w:p w14:paraId="6A0F97CA" w14:textId="77777777" w:rsidR="00293D5E" w:rsidRPr="00F44F65" w:rsidRDefault="00293D5E" w:rsidP="00293D5E">
            <w:pPr>
              <w:pStyle w:val="TableHeading"/>
              <w:rPr>
                <w:color w:val="FFFFFF" w:themeColor="background1"/>
              </w:rPr>
            </w:pPr>
            <w:r w:rsidRPr="00F44F65">
              <w:rPr>
                <w:color w:val="FFFFFF" w:themeColor="background1"/>
              </w:rPr>
              <w:t>Key projects</w:t>
            </w:r>
          </w:p>
        </w:tc>
        <w:tc>
          <w:tcPr>
            <w:tcW w:w="4678" w:type="dxa"/>
            <w:shd w:val="clear" w:color="auto" w:fill="404040" w:themeFill="text1" w:themeFillTint="BF"/>
          </w:tcPr>
          <w:p w14:paraId="733F0921" w14:textId="77777777" w:rsidR="00293D5E" w:rsidRPr="00F44F65" w:rsidRDefault="00293D5E" w:rsidP="00293D5E">
            <w:pPr>
              <w:pStyle w:val="TableHeading"/>
              <w:rPr>
                <w:color w:val="FFFFFF" w:themeColor="background1"/>
              </w:rPr>
            </w:pPr>
            <w:r w:rsidRPr="00F44F65">
              <w:rPr>
                <w:color w:val="FFFFFF" w:themeColor="background1"/>
              </w:rPr>
              <w:t>Activity</w:t>
            </w:r>
          </w:p>
        </w:tc>
        <w:tc>
          <w:tcPr>
            <w:tcW w:w="1553" w:type="dxa"/>
            <w:shd w:val="clear" w:color="auto" w:fill="404040" w:themeFill="text1" w:themeFillTint="BF"/>
          </w:tcPr>
          <w:p w14:paraId="544E34A4" w14:textId="77777777" w:rsidR="00293D5E" w:rsidRPr="00F44F65" w:rsidRDefault="00293D5E" w:rsidP="00293D5E">
            <w:pPr>
              <w:pStyle w:val="TableHeading"/>
              <w:rPr>
                <w:color w:val="FFFFFF" w:themeColor="background1"/>
              </w:rPr>
            </w:pPr>
            <w:r w:rsidRPr="00F44F65">
              <w:rPr>
                <w:color w:val="FFFFFF" w:themeColor="background1"/>
              </w:rPr>
              <w:t>Milestones</w:t>
            </w:r>
          </w:p>
        </w:tc>
      </w:tr>
      <w:tr w:rsidR="00293D5E" w14:paraId="4D72BDF1" w14:textId="77777777" w:rsidTr="00F44F65">
        <w:tc>
          <w:tcPr>
            <w:tcW w:w="1430" w:type="dxa"/>
          </w:tcPr>
          <w:p w14:paraId="4334DEEF" w14:textId="77777777" w:rsidR="00293D5E" w:rsidRDefault="00293D5E" w:rsidP="00293D5E">
            <w:pPr>
              <w:spacing w:after="0" w:line="240" w:lineRule="auto"/>
            </w:pPr>
            <w:r w:rsidRPr="00467F32">
              <w:t>600 MHz</w:t>
            </w:r>
          </w:p>
          <w:p w14:paraId="5E595A8D" w14:textId="77777777" w:rsidR="00293D5E" w:rsidRDefault="00293D5E" w:rsidP="00293D5E">
            <w:r w:rsidRPr="00C05934">
              <w:t>(617–698</w:t>
            </w:r>
            <w:r w:rsidRPr="001D3119">
              <w:rPr>
                <w:rStyle w:val="FootnoteReference"/>
              </w:rPr>
              <w:footnoteReference w:id="11"/>
            </w:r>
            <w:r w:rsidRPr="00C05934">
              <w:t xml:space="preserve"> </w:t>
            </w:r>
            <w:r w:rsidRPr="00467F32">
              <w:t>MHz)</w:t>
            </w:r>
          </w:p>
        </w:tc>
        <w:tc>
          <w:tcPr>
            <w:tcW w:w="4678" w:type="dxa"/>
          </w:tcPr>
          <w:p w14:paraId="24F3CA5C" w14:textId="77777777" w:rsidR="00293D5E" w:rsidRDefault="00293D5E" w:rsidP="00293D5E">
            <w:pPr>
              <w:spacing w:after="120" w:line="240" w:lineRule="auto"/>
              <w:rPr>
                <w:rFonts w:cs="Arial"/>
                <w:szCs w:val="20"/>
                <w:lang w:val="en"/>
              </w:rPr>
            </w:pPr>
            <w:r>
              <w:rPr>
                <w:rFonts w:cs="Arial"/>
                <w:szCs w:val="20"/>
                <w:lang w:val="en"/>
              </w:rPr>
              <w:t xml:space="preserve">The 600 MHz band is currently used by digital television services in Australia and is available for some services under the </w:t>
            </w:r>
            <w:hyperlink r:id="rId29" w:history="1">
              <w:r>
                <w:rPr>
                  <w:rStyle w:val="Hyperlink"/>
                  <w:rFonts w:eastAsiaTheme="majorEastAsia" w:cs="Arial"/>
                  <w:szCs w:val="20"/>
                  <w:lang w:val="en"/>
                </w:rPr>
                <w:t>Radiocommunications (Low Interference Potential Devices) Class Licence 2015</w:t>
              </w:r>
            </w:hyperlink>
            <w:r>
              <w:rPr>
                <w:rFonts w:cs="Arial"/>
                <w:szCs w:val="20"/>
                <w:lang w:val="en"/>
              </w:rPr>
              <w:t xml:space="preserve">. </w:t>
            </w:r>
          </w:p>
          <w:p w14:paraId="37A6FDEB" w14:textId="77777777" w:rsidR="00293D5E" w:rsidRDefault="00293D5E" w:rsidP="00293D5E">
            <w:pPr>
              <w:spacing w:after="120" w:line="240" w:lineRule="auto"/>
            </w:pPr>
            <w:r>
              <w:t>Monitoring of this band is consistent with the Australian Government’s interest in considering the long-term availability of the television ‘sixth channel’ for non-broadcasting uses.</w:t>
            </w:r>
            <w:r>
              <w:rPr>
                <w:rStyle w:val="FootnoteReference"/>
                <w:szCs w:val="20"/>
                <w:lang w:val="en"/>
              </w:rPr>
              <w:footnoteReference w:id="12"/>
            </w:r>
            <w:r>
              <w:t xml:space="preserve"> </w:t>
            </w:r>
          </w:p>
          <w:p w14:paraId="1C67F9B0" w14:textId="77777777" w:rsidR="00293D5E" w:rsidRDefault="00293D5E" w:rsidP="00D71068">
            <w:pPr>
              <w:spacing w:line="240" w:lineRule="auto"/>
              <w:rPr>
                <w:rFonts w:cs="Arial"/>
                <w:szCs w:val="20"/>
                <w:lang w:val="en"/>
              </w:rPr>
            </w:pPr>
            <w:r w:rsidRPr="00201FB7">
              <w:t>It could also support scenarios in which national broadcasting services were consolidated onto a single multiplex in each area, potentially freeing up an additional channel for broadcasting or other uses.</w:t>
            </w:r>
            <w:r>
              <w:t xml:space="preserve"> Current TV channel arrangements include spectrum both inside and outside of the 600 MHz band and would require a further re-stack (sometimes referred to as a ‘second digital dividend’) to yield a contiguous block of spectrum in the 600 MHz range. The </w:t>
            </w:r>
            <w:r w:rsidRPr="00214E77">
              <w:t>sixth channel</w:t>
            </w:r>
            <w:r>
              <w:t xml:space="preserve"> is currently available for trials of more advanced digital television technology. There are no current government or industry plans for technical standards migration of television or the reconfiguration of TV channels.  </w:t>
            </w:r>
          </w:p>
          <w:p w14:paraId="5BE29C31" w14:textId="77777777" w:rsidR="00293D5E" w:rsidRDefault="00293D5E" w:rsidP="00293D5E">
            <w:pPr>
              <w:pStyle w:val="BodySubHeader"/>
            </w:pPr>
            <w:r>
              <w:t xml:space="preserve">Recent </w:t>
            </w:r>
            <w:r w:rsidRPr="00C404E9">
              <w:t>developments</w:t>
            </w:r>
          </w:p>
          <w:p w14:paraId="1F8EFA0A" w14:textId="77777777" w:rsidR="00293D5E" w:rsidRDefault="00293D5E" w:rsidP="00293D5E">
            <w:pPr>
              <w:spacing w:after="120" w:line="240" w:lineRule="auto"/>
              <w:rPr>
                <w:rFonts w:cs="Arial"/>
              </w:rPr>
            </w:pPr>
            <w:r>
              <w:rPr>
                <w:rFonts w:cs="Arial"/>
              </w:rPr>
              <w:t>The FCC incentive auction (which closed on 30 March 2017) resulted in a repurposing of 84 MHz of spectrum—70 MHz for licensed use and another 14 MHz for wireless microphones and unlicensed use.</w:t>
            </w:r>
            <w:r>
              <w:rPr>
                <w:rStyle w:val="FootnoteReference"/>
              </w:rPr>
              <w:footnoteReference w:id="13"/>
            </w:r>
            <w:r>
              <w:rPr>
                <w:rFonts w:cs="Arial"/>
              </w:rPr>
              <w:t xml:space="preserve"> </w:t>
            </w:r>
          </w:p>
          <w:p w14:paraId="4B1B1D3C" w14:textId="77777777" w:rsidR="00293D5E" w:rsidRDefault="00293D5E" w:rsidP="00293D5E">
            <w:pPr>
              <w:spacing w:after="120" w:line="240" w:lineRule="auto"/>
            </w:pPr>
            <w:r>
              <w:t xml:space="preserve">In addition, the Radio Spectrum Policy Group (RSPG) of the European Commission (EC) has also provided a </w:t>
            </w:r>
            <w:hyperlink r:id="rId30" w:history="1">
              <w:r>
                <w:rPr>
                  <w:rStyle w:val="Hyperlink"/>
                  <w:rFonts w:eastAsiaTheme="majorEastAsia" w:cs="Arial"/>
                </w:rPr>
                <w:t>long-term strategy for the future of the UHF band</w:t>
              </w:r>
            </w:hyperlink>
            <w:r>
              <w:rPr>
                <w:rStyle w:val="Hyperlink"/>
                <w:rFonts w:eastAsiaTheme="majorEastAsia" w:cs="Arial"/>
              </w:rPr>
              <w:t>,</w:t>
            </w:r>
            <w:r>
              <w:t xml:space="preserve"> which suggests the band remain available for broadcasting services until at least 2030. It also recommends that the band should be available for downlink-only broadband services on a secondary basis. This outcome is reflected in the </w:t>
            </w:r>
            <w:hyperlink r:id="rId31" w:history="1">
              <w:r>
                <w:rPr>
                  <w:rStyle w:val="Hyperlink"/>
                  <w:rFonts w:eastAsiaTheme="majorEastAsia" w:cs="Arial"/>
                </w:rPr>
                <w:t>EC’s inception assessment</w:t>
              </w:r>
            </w:hyperlink>
            <w:r>
              <w:t>, but a final decision is still pending.</w:t>
            </w:r>
          </w:p>
          <w:p w14:paraId="6A3D6B33" w14:textId="77777777" w:rsidR="00293D5E" w:rsidRDefault="00293D5E" w:rsidP="00293D5E">
            <w:pPr>
              <w:spacing w:after="120" w:line="240" w:lineRule="auto"/>
              <w:rPr>
                <w:rFonts w:eastAsia="SimSun"/>
                <w:lang w:eastAsia="zh-CN"/>
              </w:rPr>
            </w:pPr>
            <w:r>
              <w:rPr>
                <w:rFonts w:cs="Arial"/>
              </w:rPr>
              <w:t xml:space="preserve">ITU-R Working Party 5D </w:t>
            </w:r>
            <w:r>
              <w:rPr>
                <w:lang w:eastAsia="zh-CN"/>
              </w:rPr>
              <w:t xml:space="preserve">is continuing the </w:t>
            </w:r>
            <w:r>
              <w:rPr>
                <w:rFonts w:eastAsia="SimSun"/>
                <w:lang w:eastAsia="zh-CN"/>
              </w:rPr>
              <w:t xml:space="preserve">revision of Recommendation ITU-R M.1036-5 </w:t>
            </w:r>
            <w:r>
              <w:rPr>
                <w:rFonts w:cs="Arial"/>
              </w:rPr>
              <w:t xml:space="preserve">on frequency arrangements for implementation of the terrestrial </w:t>
            </w:r>
            <w:r>
              <w:rPr>
                <w:rFonts w:cs="Arial"/>
              </w:rPr>
              <w:lastRenderedPageBreak/>
              <w:t>component of International Mobile Telecommunications (IMT) in the bands identified for IMT in the Radio Regulations (RR). The draft revision includes arrangements for</w:t>
            </w:r>
            <w:r>
              <w:rPr>
                <w:rFonts w:eastAsia="SimSun"/>
                <w:lang w:eastAsia="zh-CN"/>
              </w:rPr>
              <w:t xml:space="preserve"> the frequency band 470–698 MHz. Working Party 5D is aiming to complete the development of frequency arrangement(s) in the frequency band 470–698 MHz at its January 2018 meeting and finalise the revision of the Recommendation for the November 2018 meeting of ITU-R Study Group 5. </w:t>
            </w:r>
          </w:p>
          <w:p w14:paraId="51466CA7" w14:textId="77777777" w:rsidR="00293D5E" w:rsidRDefault="00293D5E" w:rsidP="00293D5E">
            <w:pPr>
              <w:spacing w:after="120" w:line="240" w:lineRule="auto"/>
              <w:rPr>
                <w:rFonts w:eastAsia="SimSun"/>
                <w:lang w:eastAsia="zh-CN"/>
              </w:rPr>
            </w:pPr>
            <w:r>
              <w:rPr>
                <w:rFonts w:eastAsia="SimSun"/>
                <w:lang w:eastAsia="zh-CN"/>
              </w:rPr>
              <w:t>The AWG finalised a report on frequency arrangements for IMT in the band 470–698 MHz at its September 2017 meeting. The arrangements mirror those put in place by the FCC and are included in Release 15 of the LTE specification as Band 71 by 3GPP.</w:t>
            </w:r>
          </w:p>
          <w:p w14:paraId="15C31671" w14:textId="77777777" w:rsidR="00293D5E" w:rsidRPr="005D1F3A" w:rsidRDefault="00293D5E" w:rsidP="00293D5E">
            <w:pPr>
              <w:pStyle w:val="BodySubHeader"/>
            </w:pPr>
            <w:r w:rsidRPr="005D1F3A">
              <w:t xml:space="preserve">Next </w:t>
            </w:r>
            <w:r>
              <w:t>s</w:t>
            </w:r>
            <w:r w:rsidRPr="005D1F3A">
              <w:t>teps</w:t>
            </w:r>
          </w:p>
          <w:p w14:paraId="7840A35F" w14:textId="77777777" w:rsidR="00293D5E" w:rsidRDefault="00293D5E" w:rsidP="00293D5E">
            <w:pPr>
              <w:spacing w:after="120" w:line="240" w:lineRule="auto"/>
              <w:rPr>
                <w:rFonts w:cs="Arial"/>
              </w:rPr>
            </w:pPr>
            <w:r>
              <w:rPr>
                <w:rFonts w:cs="Arial"/>
              </w:rPr>
              <w:t xml:space="preserve">Given the outcome of WRC-15 and ongoing work internationally, the ACMA will continue to monitor international developments in the 600 MHz band. In particular, the implementation of the results of the incentive auction process in the United States (US) will be of key interest. </w:t>
            </w:r>
          </w:p>
          <w:p w14:paraId="62C867CC" w14:textId="77777777" w:rsidR="00293D5E" w:rsidRDefault="00293D5E" w:rsidP="00D71068">
            <w:pPr>
              <w:spacing w:after="120"/>
            </w:pPr>
            <w:r>
              <w:rPr>
                <w:rFonts w:cs="Arial"/>
              </w:rPr>
              <w:t xml:space="preserve">The ACMA will also engage with industry and government on technological evolution of terrestrial digital television, including DVB-T2 and HEVC. Adoption of these technologies is likely to be a prerequisite for any future reallocation of broadcasting spectrum for non-broadcasting uses, though it is also key to the more efficient use of spectrum by the television industry itself. Both the government and the ACMA have emphasised the availability of ‘sixth channel’ spectrum for trialling the new standards. </w:t>
            </w:r>
          </w:p>
        </w:tc>
        <w:tc>
          <w:tcPr>
            <w:tcW w:w="1553" w:type="dxa"/>
          </w:tcPr>
          <w:p w14:paraId="3D42F9B7" w14:textId="77777777" w:rsidR="00293D5E" w:rsidRDefault="00293D5E" w:rsidP="00293D5E">
            <w:r>
              <w:rPr>
                <w:rFonts w:cs="Arial"/>
                <w:szCs w:val="20"/>
              </w:rPr>
              <w:lastRenderedPageBreak/>
              <w:t>Ongoing monitoring</w:t>
            </w:r>
          </w:p>
        </w:tc>
      </w:tr>
      <w:tr w:rsidR="00F44F65" w14:paraId="297C8A94" w14:textId="77777777" w:rsidTr="00F44F65">
        <w:tc>
          <w:tcPr>
            <w:tcW w:w="1430" w:type="dxa"/>
          </w:tcPr>
          <w:p w14:paraId="45EDA5EF" w14:textId="77777777" w:rsidR="00F44F65" w:rsidRDefault="00F44F65" w:rsidP="00F44F65">
            <w:pPr>
              <w:spacing w:after="0" w:line="240" w:lineRule="auto"/>
            </w:pPr>
            <w:r w:rsidRPr="00467F32">
              <w:lastRenderedPageBreak/>
              <w:t xml:space="preserve">3.3 GHz </w:t>
            </w:r>
          </w:p>
          <w:p w14:paraId="4903A46E" w14:textId="77777777" w:rsidR="00F44F65" w:rsidRDefault="00F44F65" w:rsidP="00F44F65">
            <w:r w:rsidRPr="00467F32">
              <w:t>(3300–3400 MHz)</w:t>
            </w:r>
          </w:p>
        </w:tc>
        <w:tc>
          <w:tcPr>
            <w:tcW w:w="4678" w:type="dxa"/>
          </w:tcPr>
          <w:p w14:paraId="2BC7EB4D" w14:textId="77777777" w:rsidR="00F44F65" w:rsidRDefault="00F44F65" w:rsidP="00F44F65">
            <w:pPr>
              <w:rPr>
                <w:rFonts w:cs="Arial"/>
              </w:rPr>
            </w:pPr>
            <w:r>
              <w:rPr>
                <w:szCs w:val="20"/>
              </w:rPr>
              <w:t xml:space="preserve">The 3300–3400 MHz band is currently allocated on a primary basis to the radiolocation service worldwide. In Australia, the radiolocation service in this band is designated to be used principally for the purposes of defence and national security via footnote AUS101A of the Spectrum Plan. The Department of Defence (Defence) is normally consulted in considering non-defence use of this service. </w:t>
            </w:r>
            <w:r>
              <w:rPr>
                <w:rFonts w:cs="Arial"/>
              </w:rPr>
              <w:t>At WRC-15, the 3300–3400 MHz band was identified for IMT by a number of countries. This band is already a WiMAX profile band, deployed in some countries.</w:t>
            </w:r>
            <w:r>
              <w:rPr>
                <w:rStyle w:val="FootnoteReference"/>
              </w:rPr>
              <w:footnoteReference w:id="14"/>
            </w:r>
            <w:r>
              <w:rPr>
                <w:rFonts w:cs="Arial"/>
              </w:rPr>
              <w:t xml:space="preserve"> </w:t>
            </w:r>
          </w:p>
          <w:p w14:paraId="2F9AAC8F" w14:textId="77777777" w:rsidR="00F44F65" w:rsidRDefault="00F44F65" w:rsidP="00D71068">
            <w:pPr>
              <w:pStyle w:val="BodySubHeader"/>
              <w:keepNext/>
            </w:pPr>
            <w:r>
              <w:lastRenderedPageBreak/>
              <w:t>Recent developments</w:t>
            </w:r>
          </w:p>
          <w:p w14:paraId="5BDABDA5" w14:textId="77777777" w:rsidR="00F44F65" w:rsidRDefault="00F44F65" w:rsidP="00F44F65">
            <w:pPr>
              <w:rPr>
                <w:rFonts w:eastAsia="SimSun"/>
                <w:lang w:eastAsia="zh-CN"/>
              </w:rPr>
            </w:pPr>
            <w:r>
              <w:rPr>
                <w:rFonts w:cs="Arial"/>
              </w:rPr>
              <w:t xml:space="preserve">ITU-R Working Party 5D </w:t>
            </w:r>
            <w:r>
              <w:rPr>
                <w:lang w:eastAsia="zh-CN"/>
              </w:rPr>
              <w:t xml:space="preserve">is continuing the </w:t>
            </w:r>
            <w:r>
              <w:rPr>
                <w:rFonts w:eastAsia="SimSun"/>
                <w:lang w:eastAsia="zh-CN"/>
              </w:rPr>
              <w:t>revision of Recommendation ITU-</w:t>
            </w:r>
            <w:r>
              <w:rPr>
                <w:rFonts w:cs="Arial"/>
              </w:rPr>
              <w:t xml:space="preserve">R M.1036-5 on frequency arrangements for implementation of the terrestrial component of IMT in the bands identified for IMT in the RRs. The draft revision includes arrangements for the frequency band 3300–3400 MHz. Working Party 5D also commenced studies as called for in Resolution </w:t>
            </w:r>
            <w:r>
              <w:rPr>
                <w:rFonts w:cs="Arial"/>
                <w:b/>
              </w:rPr>
              <w:t>223 (Rev. WRC-15).</w:t>
            </w:r>
            <w:r>
              <w:rPr>
                <w:rFonts w:cs="Arial"/>
              </w:rPr>
              <w:t xml:space="preserve"> </w:t>
            </w:r>
            <w:r>
              <w:rPr>
                <w:rFonts w:eastAsia="SimSun"/>
                <w:lang w:eastAsia="zh-CN"/>
              </w:rPr>
              <w:t>Working Party 5D is aiming to complete these work items by late 2018. The AWG</w:t>
            </w:r>
            <w:r w:rsidDel="005601C6">
              <w:rPr>
                <w:rFonts w:eastAsia="SimSun"/>
                <w:lang w:eastAsia="zh-CN"/>
              </w:rPr>
              <w:t xml:space="preserve"> </w:t>
            </w:r>
            <w:r>
              <w:rPr>
                <w:rFonts w:eastAsia="SimSun"/>
                <w:lang w:eastAsia="zh-CN"/>
              </w:rPr>
              <w:t xml:space="preserve">has a work plan to develop a recommendation or report on harmonised frequency arrangement(s) for the </w:t>
            </w:r>
            <w:r>
              <w:rPr>
                <w:rFonts w:cs="Arial"/>
              </w:rPr>
              <w:t>3300–3400 MHz</w:t>
            </w:r>
            <w:r>
              <w:rPr>
                <w:rFonts w:eastAsia="SimSun"/>
                <w:lang w:eastAsia="zh-CN"/>
              </w:rPr>
              <w:t xml:space="preserve"> band. </w:t>
            </w:r>
            <w:r>
              <w:rPr>
                <w:rFonts w:cs="Arial"/>
              </w:rPr>
              <w:t xml:space="preserve">Technology standardisation within the 3GPP is also developing, with two bands defined by the 3GPP in July 2017: the first band being 3.3–3.8 GHz and the second being 3.3–4.2 GHz. </w:t>
            </w:r>
          </w:p>
          <w:p w14:paraId="71AA38A8" w14:textId="77777777" w:rsidR="00F44F65" w:rsidRPr="005D1F3A" w:rsidRDefault="00F44F65" w:rsidP="00F44F65">
            <w:pPr>
              <w:pStyle w:val="BodySubHeader"/>
            </w:pPr>
            <w:r w:rsidRPr="005D1F3A">
              <w:t xml:space="preserve">Next </w:t>
            </w:r>
            <w:r>
              <w:t>s</w:t>
            </w:r>
            <w:r w:rsidRPr="005D1F3A">
              <w:t>teps</w:t>
            </w:r>
          </w:p>
          <w:p w14:paraId="2A4C7D71" w14:textId="77777777" w:rsidR="00F44F65" w:rsidRDefault="00F44F65" w:rsidP="00F44F65">
            <w:pPr>
              <w:spacing w:after="120"/>
              <w:rPr>
                <w:rFonts w:cs="Arial"/>
              </w:rPr>
            </w:pPr>
            <w:r>
              <w:rPr>
                <w:rFonts w:cs="Arial"/>
              </w:rPr>
              <w:t xml:space="preserve">Given the outcomes of WRC-15, and the potential for economies of scale to develop for equipment, the ACMA will continue to monitor international developments in the 3.3 GHz band. Possible engagement (including through contributions) in international studies </w:t>
            </w:r>
            <w:r>
              <w:rPr>
                <w:szCs w:val="20"/>
              </w:rPr>
              <w:t xml:space="preserve">as outlined in Resolution </w:t>
            </w:r>
            <w:r>
              <w:rPr>
                <w:b/>
                <w:szCs w:val="20"/>
              </w:rPr>
              <w:t>223 (Rev. WRC-15)</w:t>
            </w:r>
            <w:r>
              <w:rPr>
                <w:szCs w:val="20"/>
              </w:rPr>
              <w:t xml:space="preserve"> </w:t>
            </w:r>
            <w:r>
              <w:rPr>
                <w:rFonts w:cs="Arial"/>
              </w:rPr>
              <w:t xml:space="preserve">will be considered. </w:t>
            </w:r>
          </w:p>
          <w:p w14:paraId="53752DFE" w14:textId="77777777" w:rsidR="00F44F65" w:rsidRDefault="00F44F65" w:rsidP="00D71068">
            <w:pPr>
              <w:spacing w:after="120"/>
            </w:pPr>
            <w:r>
              <w:rPr>
                <w:rFonts w:cs="Arial"/>
              </w:rPr>
              <w:t>Noting incumbent use of the band, the ACMA is of the view that this band may be a candidate for consideration of dynamic spectrum-access type arrangements, to promote sharing and increase the utility of the band. If the ACMA pursues this idea, it will engage further with relevant stakeholders.</w:t>
            </w:r>
          </w:p>
        </w:tc>
        <w:tc>
          <w:tcPr>
            <w:tcW w:w="1553" w:type="dxa"/>
          </w:tcPr>
          <w:p w14:paraId="51725039" w14:textId="77777777" w:rsidR="00F44F65" w:rsidRDefault="00F44F65" w:rsidP="00F44F65">
            <w:r>
              <w:rPr>
                <w:rFonts w:cs="Arial"/>
                <w:szCs w:val="20"/>
              </w:rPr>
              <w:lastRenderedPageBreak/>
              <w:t>Ongoing monitoring</w:t>
            </w:r>
          </w:p>
        </w:tc>
      </w:tr>
      <w:tr w:rsidR="00F55CD9" w14:paraId="4F683410" w14:textId="77777777" w:rsidTr="00F44F65">
        <w:tc>
          <w:tcPr>
            <w:tcW w:w="1430" w:type="dxa"/>
          </w:tcPr>
          <w:p w14:paraId="29DD0A83" w14:textId="77777777" w:rsidR="00F55CD9" w:rsidRDefault="00F55CD9" w:rsidP="00F55CD9">
            <w:pPr>
              <w:spacing w:after="0" w:line="240" w:lineRule="auto"/>
            </w:pPr>
            <w:r w:rsidRPr="00467F32">
              <w:lastRenderedPageBreak/>
              <w:t xml:space="preserve">3.8 GHz </w:t>
            </w:r>
          </w:p>
          <w:p w14:paraId="1FE906A7" w14:textId="77777777" w:rsidR="00F55CD9" w:rsidRDefault="00F55CD9" w:rsidP="00F55CD9">
            <w:r w:rsidRPr="00467F32">
              <w:t>(3700–4200 MHz)</w:t>
            </w:r>
          </w:p>
        </w:tc>
        <w:tc>
          <w:tcPr>
            <w:tcW w:w="4678" w:type="dxa"/>
          </w:tcPr>
          <w:p w14:paraId="49B0FDF3" w14:textId="77777777" w:rsidR="00F55CD9" w:rsidRDefault="00F55CD9" w:rsidP="00F55CD9">
            <w:pPr>
              <w:spacing w:after="120"/>
              <w:rPr>
                <w:rFonts w:cs="Arial"/>
              </w:rPr>
            </w:pPr>
            <w:r>
              <w:rPr>
                <w:rFonts w:cs="Arial"/>
              </w:rPr>
              <w:t xml:space="preserve">The 3.8 GHz band is allocated on a co-primary basis in Australia to the fixed, fixed-satellite (space-to-earth) and mobile services. </w:t>
            </w:r>
          </w:p>
          <w:p w14:paraId="260B1F7B" w14:textId="77777777" w:rsidR="00F55CD9" w:rsidRDefault="00F55CD9" w:rsidP="00F55CD9">
            <w:pPr>
              <w:spacing w:after="120"/>
              <w:rPr>
                <w:rFonts w:cs="Arial"/>
              </w:rPr>
            </w:pPr>
            <w:r>
              <w:rPr>
                <w:rFonts w:cs="Arial"/>
              </w:rPr>
              <w:t>The use of the 3700–4200 MHz band has been debated internationally for a number of years. Recently, there has been increasing interest in the lower and lower-adjacent parts of this band for 5G services, particularly given the large bandwidths potentially available in this range. In June 2016, Japan’s Ministry of Internal Affair’s and Communications (MIC) named the 3.6–4.2 GHz band as a nationally suitable candidate band for 5G.</w:t>
            </w:r>
            <w:r>
              <w:rPr>
                <w:rStyle w:val="FootnoteReference"/>
              </w:rPr>
              <w:footnoteReference w:id="15"/>
            </w:r>
            <w:r>
              <w:rPr>
                <w:rFonts w:cs="Arial"/>
              </w:rPr>
              <w:t xml:space="preserve"> This has resulted in increasing support </w:t>
            </w:r>
            <w:r>
              <w:t xml:space="preserve">from domestic mobile broadband interests in pursuing this band for mobile broadband. </w:t>
            </w:r>
          </w:p>
          <w:p w14:paraId="13C3811C" w14:textId="77777777" w:rsidR="00F55CD9" w:rsidRDefault="00F55CD9" w:rsidP="00D71068">
            <w:pPr>
              <w:pStyle w:val="BodySubHeader"/>
              <w:keepNext/>
              <w:keepLines/>
            </w:pPr>
            <w:r>
              <w:lastRenderedPageBreak/>
              <w:t>Recent developments</w:t>
            </w:r>
          </w:p>
          <w:p w14:paraId="4E3CD754" w14:textId="77777777" w:rsidR="00F55CD9" w:rsidRDefault="00F55CD9" w:rsidP="00D71068">
            <w:pPr>
              <w:keepNext/>
              <w:keepLines/>
              <w:rPr>
                <w:rFonts w:cs="Arial"/>
              </w:rPr>
            </w:pPr>
            <w:r>
              <w:rPr>
                <w:rFonts w:cs="Arial"/>
              </w:rPr>
              <w:t>In December 2016, the European Commission issued a Mandate to CEPT</w:t>
            </w:r>
            <w:r>
              <w:rPr>
                <w:rStyle w:val="FootnoteReference"/>
              </w:rPr>
              <w:footnoteReference w:id="16"/>
            </w:r>
            <w:r>
              <w:rPr>
                <w:rFonts w:cs="Arial"/>
              </w:rPr>
              <w:t xml:space="preserve"> to develop harmonised technical conditions for the use of the 3400–3800 MHz band for 5G. As a result of this mandate, in March 2018, the </w:t>
            </w:r>
            <w:r w:rsidRPr="00CB5AC7">
              <w:t>Electronic Communications Committee (</w:t>
            </w:r>
            <w:r>
              <w:rPr>
                <w:rFonts w:cs="Arial"/>
              </w:rPr>
              <w:t xml:space="preserve">ECC) consulted on two draft new reports that reviewed the suitability of the current </w:t>
            </w:r>
            <w:r w:rsidRPr="00F43651">
              <w:rPr>
                <w:rFonts w:cs="Arial"/>
              </w:rPr>
              <w:t>regula</w:t>
            </w:r>
            <w:r>
              <w:rPr>
                <w:rFonts w:cs="Arial"/>
              </w:rPr>
              <w:t xml:space="preserve">tory technical conditions for 5G </w:t>
            </w:r>
            <w:r w:rsidRPr="00F43651">
              <w:rPr>
                <w:rFonts w:cs="Arial"/>
              </w:rPr>
              <w:t>operation in the 3400</w:t>
            </w:r>
            <w:r>
              <w:rPr>
                <w:rFonts w:cs="Arial"/>
              </w:rPr>
              <w:t>–</w:t>
            </w:r>
            <w:r w:rsidRPr="00F43651">
              <w:rPr>
                <w:rFonts w:cs="Arial"/>
              </w:rPr>
              <w:t>3800 MHz band</w:t>
            </w:r>
            <w:r>
              <w:rPr>
                <w:rFonts w:cs="Arial"/>
              </w:rPr>
              <w:t>.</w:t>
            </w:r>
            <w:r>
              <w:rPr>
                <w:rStyle w:val="FootnoteReference"/>
                <w:rFonts w:cs="Arial"/>
              </w:rPr>
              <w:footnoteReference w:id="17"/>
            </w:r>
            <w:r>
              <w:rPr>
                <w:rFonts w:cs="Arial"/>
              </w:rPr>
              <w:t xml:space="preserve"> </w:t>
            </w:r>
          </w:p>
          <w:p w14:paraId="0F1D8849" w14:textId="77777777" w:rsidR="00F55CD9" w:rsidRPr="00530A2E" w:rsidRDefault="00F55CD9" w:rsidP="00D71068">
            <w:pPr>
              <w:pStyle w:val="BodySubHeader"/>
              <w:keepNext/>
              <w:keepLines/>
            </w:pPr>
            <w:r w:rsidRPr="00530A2E">
              <w:t xml:space="preserve">Next </w:t>
            </w:r>
            <w:r>
              <w:t>s</w:t>
            </w:r>
            <w:r w:rsidRPr="00530A2E">
              <w:t>teps</w:t>
            </w:r>
          </w:p>
          <w:p w14:paraId="7B021908" w14:textId="77777777" w:rsidR="00F55CD9" w:rsidRDefault="00F55CD9" w:rsidP="00D71068">
            <w:pPr>
              <w:keepNext/>
              <w:keepLines/>
              <w:spacing w:after="120"/>
            </w:pPr>
            <w:r>
              <w:rPr>
                <w:rFonts w:cs="Arial"/>
              </w:rPr>
              <w:t xml:space="preserve">Given the increasing interest in the 3.8 GHz band, and the potential for economies of scale to develop for equipment, the ACMA will continue to monitor international developments in this band. </w:t>
            </w:r>
          </w:p>
        </w:tc>
        <w:tc>
          <w:tcPr>
            <w:tcW w:w="1553" w:type="dxa"/>
          </w:tcPr>
          <w:p w14:paraId="1A8730CF" w14:textId="77777777" w:rsidR="00F55CD9" w:rsidRDefault="00F55CD9" w:rsidP="00F55CD9">
            <w:r>
              <w:rPr>
                <w:rFonts w:cs="Arial"/>
                <w:szCs w:val="20"/>
              </w:rPr>
              <w:lastRenderedPageBreak/>
              <w:t>Ongoing monitoring</w:t>
            </w:r>
          </w:p>
        </w:tc>
      </w:tr>
      <w:tr w:rsidR="00D71068" w14:paraId="6C9E2C48" w14:textId="77777777" w:rsidTr="00F44F65">
        <w:tc>
          <w:tcPr>
            <w:tcW w:w="1430" w:type="dxa"/>
          </w:tcPr>
          <w:p w14:paraId="6BA232DC" w14:textId="77777777" w:rsidR="00D71068" w:rsidRDefault="00D71068" w:rsidP="00D71068">
            <w:pPr>
              <w:spacing w:after="0" w:line="240" w:lineRule="auto"/>
            </w:pPr>
            <w:r w:rsidRPr="00467F32">
              <w:lastRenderedPageBreak/>
              <w:t xml:space="preserve">4.5 GHz </w:t>
            </w:r>
          </w:p>
          <w:p w14:paraId="48861516" w14:textId="77777777" w:rsidR="00D71068" w:rsidRDefault="00D71068" w:rsidP="00D71068">
            <w:r w:rsidRPr="00467F32">
              <w:t>(4400–4500 MHz)</w:t>
            </w:r>
          </w:p>
        </w:tc>
        <w:tc>
          <w:tcPr>
            <w:tcW w:w="4678" w:type="dxa"/>
          </w:tcPr>
          <w:p w14:paraId="5AE3CDE0" w14:textId="77777777" w:rsidR="00D71068" w:rsidRDefault="00D71068" w:rsidP="00D71068">
            <w:pPr>
              <w:spacing w:after="120"/>
              <w:rPr>
                <w:rFonts w:cs="Arial"/>
              </w:rPr>
            </w:pPr>
            <w:r>
              <w:rPr>
                <w:szCs w:val="20"/>
              </w:rPr>
              <w:t>The 4400–4500 MHz band is currently allocated on a co-primary basis to fixed and mobile service worldwide. In Australia, the band is designated to be used principally for the purposes of defence and national security via footnote AUS101 of the Spectrum Plan.  Defence is normally consulted in considering non-defence use of this service. Typical use is</w:t>
            </w:r>
            <w:r w:rsidDel="005601C6">
              <w:rPr>
                <w:szCs w:val="20"/>
              </w:rPr>
              <w:t xml:space="preserve"> for </w:t>
            </w:r>
            <w:r>
              <w:rPr>
                <w:szCs w:val="20"/>
              </w:rPr>
              <w:t>aeronautical mobile telemetry for flight testing by aircraft stations.</w:t>
            </w:r>
          </w:p>
          <w:p w14:paraId="705DDEE4" w14:textId="77777777" w:rsidR="00D71068" w:rsidRDefault="00D71068" w:rsidP="00D71068">
            <w:pPr>
              <w:spacing w:after="120"/>
              <w:rPr>
                <w:rFonts w:cs="Arial"/>
              </w:rPr>
            </w:pPr>
            <w:r>
              <w:rPr>
                <w:rFonts w:cs="Arial"/>
              </w:rPr>
              <w:t xml:space="preserve">The 4400–4500 MHz band was considered for use for mobile broadband services in the lead up to WRC-15. However, the band was not identified for IMT at WRC-15 despite strong interest from China, Japan and Korea, in particular. </w:t>
            </w:r>
          </w:p>
          <w:p w14:paraId="5C3CCCD5" w14:textId="77777777" w:rsidR="00D71068" w:rsidRDefault="00D71068" w:rsidP="00D71068">
            <w:pPr>
              <w:spacing w:after="120"/>
              <w:rPr>
                <w:szCs w:val="20"/>
              </w:rPr>
            </w:pPr>
            <w:r>
              <w:rPr>
                <w:rFonts w:cs="Arial"/>
              </w:rPr>
              <w:t>Since then, there has been increasing interest in this band, particularly from Region 3 countries. In June 2016, Japan’s Ministry of Internal Affair’s and Communications (MIC) named the 4.4–4.9 GHz band as a nationally suitable candidate band for 5G.</w:t>
            </w:r>
            <w:r>
              <w:rPr>
                <w:rStyle w:val="FootnoteReference"/>
              </w:rPr>
              <w:footnoteReference w:id="18"/>
            </w:r>
            <w:r>
              <w:rPr>
                <w:rFonts w:cs="Arial"/>
              </w:rPr>
              <w:t xml:space="preserve"> </w:t>
            </w:r>
            <w:r>
              <w:rPr>
                <w:szCs w:val="20"/>
              </w:rPr>
              <w:t xml:space="preserve">There is some support from domestic mobile broadband interests in pursuing this band for mobile broadband in Australia. </w:t>
            </w:r>
          </w:p>
          <w:p w14:paraId="238AF8E6" w14:textId="77777777" w:rsidR="00D71068" w:rsidRDefault="00D71068" w:rsidP="00D71068">
            <w:pPr>
              <w:pStyle w:val="BodySubHeader"/>
            </w:pPr>
            <w:r>
              <w:t xml:space="preserve">Recent </w:t>
            </w:r>
            <w:r w:rsidRPr="00630E71">
              <w:t>developments</w:t>
            </w:r>
          </w:p>
          <w:p w14:paraId="257B4A27" w14:textId="77777777" w:rsidR="00D71068" w:rsidRDefault="00D71068" w:rsidP="00D71068">
            <w:pPr>
              <w:rPr>
                <w:rFonts w:cs="Arial"/>
              </w:rPr>
            </w:pPr>
            <w:r>
              <w:rPr>
                <w:rFonts w:cs="Arial"/>
              </w:rPr>
              <w:t xml:space="preserve">In October 2016, Vodafone and Nokia conducted the first live public 5G demonstration in Australia </w:t>
            </w:r>
            <w:r>
              <w:rPr>
                <w:rFonts w:cs="Arial"/>
              </w:rPr>
              <w:lastRenderedPageBreak/>
              <w:t>using the 4.5 GHz band.</w:t>
            </w:r>
            <w:r>
              <w:rPr>
                <w:rStyle w:val="FootnoteReference"/>
              </w:rPr>
              <w:footnoteReference w:id="19"/>
            </w:r>
            <w:r>
              <w:rPr>
                <w:rFonts w:cs="Arial"/>
              </w:rPr>
              <w:t xml:space="preserve"> There have also been a number of 5G trials using the 4.5 GHz band in other Region 3 countries, including in China, Korea and Japan.</w:t>
            </w:r>
            <w:r>
              <w:rPr>
                <w:rStyle w:val="FootnoteReference"/>
              </w:rPr>
              <w:footnoteReference w:id="20"/>
            </w:r>
            <w:r>
              <w:rPr>
                <w:rFonts w:cs="Arial"/>
              </w:rPr>
              <w:t xml:space="preserve"> The 4400–4900 MHz band has been defined as one of Japan’s official 5G bands. Allocation and technical rules for Japan’s official 5G bands are expected in 2018.</w:t>
            </w:r>
            <w:r>
              <w:rPr>
                <w:rStyle w:val="FootnoteReference"/>
                <w:rFonts w:cs="Arial"/>
              </w:rPr>
              <w:footnoteReference w:id="21"/>
            </w:r>
            <w:r>
              <w:rPr>
                <w:rFonts w:cs="Arial"/>
              </w:rPr>
              <w:t xml:space="preserve"> </w:t>
            </w:r>
          </w:p>
          <w:p w14:paraId="05D86F4C" w14:textId="77777777" w:rsidR="00D71068" w:rsidRPr="005D1F3A" w:rsidRDefault="00D71068" w:rsidP="00D71068">
            <w:pPr>
              <w:pStyle w:val="BodySubHeader"/>
            </w:pPr>
            <w:r w:rsidRPr="005D1F3A">
              <w:t xml:space="preserve">Next </w:t>
            </w:r>
            <w:r>
              <w:t>s</w:t>
            </w:r>
            <w:r w:rsidRPr="005D1F3A">
              <w:t>teps</w:t>
            </w:r>
          </w:p>
          <w:p w14:paraId="5B3261C4" w14:textId="77777777" w:rsidR="00D71068" w:rsidRDefault="00D71068" w:rsidP="00D71068">
            <w:pPr>
              <w:spacing w:after="120"/>
            </w:pPr>
            <w:r>
              <w:rPr>
                <w:rFonts w:cs="Arial"/>
              </w:rPr>
              <w:t>The ACMA will continue to monitor international developments in this band. Noting incumbent use of the band, the ACMA is of the view that this band may be a candidate for consideration of dynamic spectrum-access type arrangements to promote sharing and increase the utility of the band. If the ACMA pursues this idea, it will engage further with relevant stakeholders.</w:t>
            </w:r>
          </w:p>
        </w:tc>
        <w:tc>
          <w:tcPr>
            <w:tcW w:w="1553" w:type="dxa"/>
          </w:tcPr>
          <w:p w14:paraId="36DD8E05" w14:textId="77777777" w:rsidR="00D71068" w:rsidRDefault="00D71068" w:rsidP="00D71068">
            <w:r>
              <w:rPr>
                <w:rFonts w:cs="Arial"/>
                <w:szCs w:val="20"/>
              </w:rPr>
              <w:lastRenderedPageBreak/>
              <w:t>Ongoing monitoring</w:t>
            </w:r>
          </w:p>
        </w:tc>
      </w:tr>
      <w:tr w:rsidR="00D71068" w14:paraId="4C382B73" w14:textId="77777777" w:rsidTr="00F44F65">
        <w:tc>
          <w:tcPr>
            <w:tcW w:w="1430" w:type="dxa"/>
          </w:tcPr>
          <w:p w14:paraId="0B15B787" w14:textId="77777777" w:rsidR="00D71068" w:rsidRDefault="00D71068" w:rsidP="00D71068">
            <w:pPr>
              <w:spacing w:after="0" w:line="240" w:lineRule="auto"/>
            </w:pPr>
            <w:r w:rsidRPr="00467F32">
              <w:lastRenderedPageBreak/>
              <w:t>4.</w:t>
            </w:r>
            <w:r>
              <w:t>8</w:t>
            </w:r>
            <w:r w:rsidRPr="00467F32">
              <w:t xml:space="preserve"> GHz </w:t>
            </w:r>
          </w:p>
          <w:p w14:paraId="5B2E62C6" w14:textId="77777777" w:rsidR="00D71068" w:rsidRDefault="00D71068" w:rsidP="00D71068">
            <w:r w:rsidRPr="00467F32">
              <w:t>(4800–4990 MHz)</w:t>
            </w:r>
          </w:p>
        </w:tc>
        <w:tc>
          <w:tcPr>
            <w:tcW w:w="4678" w:type="dxa"/>
          </w:tcPr>
          <w:p w14:paraId="1D9030A1" w14:textId="77777777" w:rsidR="00D71068" w:rsidRDefault="00D71068" w:rsidP="00D71068">
            <w:pPr>
              <w:spacing w:after="120"/>
              <w:rPr>
                <w:rFonts w:cs="Arial"/>
              </w:rPr>
            </w:pPr>
            <w:r>
              <w:rPr>
                <w:rFonts w:cs="Arial"/>
              </w:rPr>
              <w:t xml:space="preserve">At WRC-15, the 4800–4990 MHz band was identified for IMT by a number of countries, including Uruguay, Cambodia, Lao PDR and Vietnam. Notably, there was also strong interest from China and Japan in identifying the band for IMT. This suggests that a viable ecosystem could develop for mobile broadband systems in this band. </w:t>
            </w:r>
          </w:p>
          <w:p w14:paraId="3FA65D24" w14:textId="77777777" w:rsidR="00D71068" w:rsidRDefault="00D71068" w:rsidP="00D71068">
            <w:pPr>
              <w:spacing w:after="120"/>
              <w:rPr>
                <w:szCs w:val="20"/>
              </w:rPr>
            </w:pPr>
            <w:r>
              <w:rPr>
                <w:szCs w:val="20"/>
              </w:rPr>
              <w:t>The 4800–4990 MHz band is currently allocated on a primary basis for the fixed and mobile services in Australia. The fixed and mobile services in this band are designated to be used principally for the purposes of defence and national security, as defined in footnote AUS101A of the Spectrum Plan. Defence is normally consulted in considering non-defence use of these services. The 4950–4990 MHz band is also allocated to the radio astronomy service on a primary basis under footnote 443 of the Spectrum Plan.</w:t>
            </w:r>
          </w:p>
          <w:p w14:paraId="6C5000F2" w14:textId="77777777" w:rsidR="00D71068" w:rsidRDefault="00D71068" w:rsidP="00D71068">
            <w:pPr>
              <w:spacing w:after="120"/>
              <w:rPr>
                <w:rFonts w:cs="Arial"/>
              </w:rPr>
            </w:pPr>
            <w:r>
              <w:rPr>
                <w:rFonts w:cs="Arial"/>
              </w:rPr>
              <w:t xml:space="preserve">At WRC-03, the </w:t>
            </w:r>
            <w:r>
              <w:rPr>
                <w:szCs w:val="20"/>
              </w:rPr>
              <w:t>4940–4990 MHz</w:t>
            </w:r>
            <w:r>
              <w:rPr>
                <w:rFonts w:cs="Arial"/>
              </w:rPr>
              <w:t xml:space="preserve"> band was identified to support public safety services in regions 2 and 3 for use by government agencies responsible for the provision of defence, national security, law enforcement and emergency services.</w:t>
            </w:r>
            <w:r>
              <w:rPr>
                <w:rStyle w:val="FootnoteReference"/>
              </w:rPr>
              <w:footnoteReference w:id="22"/>
            </w:r>
            <w:r>
              <w:rPr>
                <w:rStyle w:val="FootnoteReference"/>
              </w:rPr>
              <w:t xml:space="preserve"> </w:t>
            </w:r>
          </w:p>
          <w:p w14:paraId="54414012" w14:textId="77777777" w:rsidR="00D71068" w:rsidRDefault="00D71068" w:rsidP="00D71068">
            <w:pPr>
              <w:spacing w:after="120"/>
              <w:rPr>
                <w:szCs w:val="20"/>
              </w:rPr>
            </w:pPr>
            <w:r>
              <w:t>There is some support from domestic mobile broadband interests in pursuing this band for mobile broadband in Australia.</w:t>
            </w:r>
            <w:r>
              <w:rPr>
                <w:szCs w:val="20"/>
              </w:rPr>
              <w:t xml:space="preserve"> However, the ACMA is not aware of any significant interest in this </w:t>
            </w:r>
            <w:r>
              <w:rPr>
                <w:szCs w:val="20"/>
              </w:rPr>
              <w:lastRenderedPageBreak/>
              <w:t xml:space="preserve">band by regional bodies such as CEPT, CITEL or APT. </w:t>
            </w:r>
          </w:p>
          <w:p w14:paraId="6643CBA0" w14:textId="77777777" w:rsidR="00D71068" w:rsidRDefault="00D71068" w:rsidP="00D71068">
            <w:pPr>
              <w:spacing w:after="120"/>
              <w:rPr>
                <w:rFonts w:cs="Arial"/>
              </w:rPr>
            </w:pPr>
            <w:r>
              <w:rPr>
                <w:rFonts w:cs="Arial"/>
              </w:rPr>
              <w:t xml:space="preserve">A number of countries, including Australia, have implemented arrangements in the </w:t>
            </w:r>
            <w:r>
              <w:rPr>
                <w:szCs w:val="20"/>
              </w:rPr>
              <w:t>4940–4990 MHz</w:t>
            </w:r>
            <w:r>
              <w:rPr>
                <w:rFonts w:cs="Arial"/>
              </w:rPr>
              <w:t xml:space="preserve"> band for defence and national security purposes. This is principally to support high-speed localised coverage around an incident or event. The </w:t>
            </w:r>
            <w:hyperlink r:id="rId32" w:history="1">
              <w:r>
                <w:rPr>
                  <w:rStyle w:val="Hyperlink"/>
                  <w:rFonts w:eastAsiaTheme="majorEastAsia" w:cs="Arial"/>
                </w:rPr>
                <w:t>Radiocommunications (Public Safety and Emergency Response) Class Licence 2013</w:t>
              </w:r>
            </w:hyperlink>
            <w:r>
              <w:rPr>
                <w:rFonts w:cs="Arial"/>
              </w:rPr>
              <w:t xml:space="preserve"> outlines arrangements for the use of this band, which allows public safety agencies to enhance their ability to perform public safety activities and provide significant flexibility in deployment during emergency response and disaster recovery activities. The 4940–4990 MHz is also included in IEEE standard 802.11y Public Safety WLAN. </w:t>
            </w:r>
          </w:p>
          <w:p w14:paraId="51E7B834" w14:textId="77777777" w:rsidR="00D71068" w:rsidRDefault="00D71068" w:rsidP="00D71068">
            <w:pPr>
              <w:pStyle w:val="BodySubHeader"/>
            </w:pPr>
            <w:r>
              <w:t>Recent developments</w:t>
            </w:r>
          </w:p>
          <w:p w14:paraId="41927F21" w14:textId="77777777" w:rsidR="00D71068" w:rsidRDefault="00D71068" w:rsidP="00D71068">
            <w:pPr>
              <w:spacing w:after="120"/>
              <w:rPr>
                <w:rFonts w:eastAsia="SimSun"/>
                <w:lang w:eastAsia="zh-CN"/>
              </w:rPr>
            </w:pPr>
            <w:r>
              <w:rPr>
                <w:rFonts w:cs="Arial"/>
              </w:rPr>
              <w:t xml:space="preserve">ITU-R Working Party 5D </w:t>
            </w:r>
            <w:r>
              <w:rPr>
                <w:lang w:eastAsia="zh-CN"/>
              </w:rPr>
              <w:t xml:space="preserve">are continuing the </w:t>
            </w:r>
            <w:r>
              <w:rPr>
                <w:rFonts w:eastAsia="SimSun"/>
                <w:lang w:eastAsia="zh-CN"/>
              </w:rPr>
              <w:t>revision of Recommendation ITU-</w:t>
            </w:r>
            <w:r>
              <w:rPr>
                <w:rFonts w:cs="Arial"/>
              </w:rPr>
              <w:t xml:space="preserve">R M.1036-5 on frequency arrangements for implementation of the terrestrial component of IMT in the bands identified for IMT in the RRs. The draft revision includes arrangements for the frequency band 4800–4990 MHz. Working Party 5D is also continuing studies called for in Resolution </w:t>
            </w:r>
            <w:r>
              <w:rPr>
                <w:rFonts w:cs="Arial"/>
                <w:b/>
              </w:rPr>
              <w:t>223 (Rev. WRC-15)</w:t>
            </w:r>
            <w:r>
              <w:rPr>
                <w:rFonts w:cs="Arial"/>
              </w:rPr>
              <w:t xml:space="preserve"> on</w:t>
            </w:r>
            <w:r>
              <w:t xml:space="preserve"> the </w:t>
            </w:r>
            <w:r>
              <w:rPr>
                <w:lang w:val="en-US" w:eastAsia="ja-JP"/>
              </w:rPr>
              <w:t>coexistence conditions between IMT and aeronautical mobile service in the band</w:t>
            </w:r>
            <w:r>
              <w:rPr>
                <w:rFonts w:cs="Arial"/>
              </w:rPr>
              <w:t>, with work currently underway to develop sharing characteristics for IMT-2020 in this band as part of this work item</w:t>
            </w:r>
            <w:r>
              <w:t xml:space="preserve">. </w:t>
            </w:r>
            <w:r>
              <w:rPr>
                <w:rFonts w:eastAsia="SimSun"/>
                <w:lang w:eastAsia="zh-CN"/>
              </w:rPr>
              <w:t xml:space="preserve">Working Party 5D is aiming to complete these work items by late 2018. </w:t>
            </w:r>
          </w:p>
          <w:p w14:paraId="2C23DF78" w14:textId="77777777" w:rsidR="00D71068" w:rsidRDefault="00D71068" w:rsidP="00D71068">
            <w:pPr>
              <w:spacing w:after="120"/>
              <w:rPr>
                <w:rFonts w:cs="Arial"/>
              </w:rPr>
            </w:pPr>
            <w:r>
              <w:rPr>
                <w:rFonts w:eastAsia="SimSun"/>
                <w:lang w:eastAsia="zh-CN"/>
              </w:rPr>
              <w:t xml:space="preserve">The AWG has a work plan to develop a recommendation on frequency arrangements for the </w:t>
            </w:r>
            <w:r>
              <w:rPr>
                <w:szCs w:val="20"/>
              </w:rPr>
              <w:t xml:space="preserve">4800–4990 MHz </w:t>
            </w:r>
            <w:r>
              <w:rPr>
                <w:rFonts w:eastAsia="SimSun"/>
                <w:lang w:eastAsia="zh-CN"/>
              </w:rPr>
              <w:t>band. The current proposal is to finalise the work in late 2018.</w:t>
            </w:r>
            <w:r>
              <w:rPr>
                <w:rFonts w:cs="Arial"/>
              </w:rPr>
              <w:t xml:space="preserve"> The 4400–4900 MHz band has been defined as one of Japan’s official 5G bands. Allocation and technical rules for Japan’s official 5G bands are expected in 2018.</w:t>
            </w:r>
            <w:r>
              <w:rPr>
                <w:rStyle w:val="FootnoteReference"/>
                <w:rFonts w:cs="Arial"/>
              </w:rPr>
              <w:footnoteReference w:id="23"/>
            </w:r>
            <w:r>
              <w:rPr>
                <w:rFonts w:cs="Arial"/>
              </w:rPr>
              <w:t xml:space="preserve"> </w:t>
            </w:r>
          </w:p>
          <w:p w14:paraId="7740C732" w14:textId="77777777" w:rsidR="00D71068" w:rsidRPr="003B30B8" w:rsidRDefault="00D71068" w:rsidP="00D71068">
            <w:pPr>
              <w:pStyle w:val="BodySubHeader"/>
            </w:pPr>
            <w:r w:rsidRPr="003B30B8">
              <w:t xml:space="preserve">Next </w:t>
            </w:r>
            <w:r>
              <w:t>s</w:t>
            </w:r>
            <w:r w:rsidRPr="003B30B8">
              <w:t>teps</w:t>
            </w:r>
          </w:p>
          <w:p w14:paraId="0B26C9BF" w14:textId="77777777" w:rsidR="00D71068" w:rsidRDefault="00D71068" w:rsidP="00D71068">
            <w:pPr>
              <w:spacing w:after="120"/>
              <w:rPr>
                <w:rFonts w:cs="Arial"/>
              </w:rPr>
            </w:pPr>
            <w:r>
              <w:rPr>
                <w:rFonts w:cs="Arial"/>
              </w:rPr>
              <w:t xml:space="preserve">Given the outcomes of WRC-15, and the potential for economies of scale to develop for equipment, the ACMA will continue to monitor international developments in the 4.8 GHz band. </w:t>
            </w:r>
          </w:p>
          <w:p w14:paraId="6A164C2C" w14:textId="77777777" w:rsidR="00D71068" w:rsidRDefault="00D71068" w:rsidP="00D71068">
            <w:pPr>
              <w:spacing w:after="120"/>
            </w:pPr>
            <w:r>
              <w:rPr>
                <w:rFonts w:cs="Arial"/>
              </w:rPr>
              <w:t xml:space="preserve">Possible engagement (including through contributions) in international studies </w:t>
            </w:r>
            <w:r>
              <w:rPr>
                <w:szCs w:val="20"/>
              </w:rPr>
              <w:t xml:space="preserve">as outlined in Resolution </w:t>
            </w:r>
            <w:r>
              <w:rPr>
                <w:b/>
                <w:szCs w:val="20"/>
              </w:rPr>
              <w:t>223 (Rev. WRC-15)</w:t>
            </w:r>
            <w:r>
              <w:rPr>
                <w:szCs w:val="20"/>
              </w:rPr>
              <w:t xml:space="preserve"> </w:t>
            </w:r>
            <w:r>
              <w:rPr>
                <w:rFonts w:cs="Arial"/>
              </w:rPr>
              <w:t xml:space="preserve">will be considered as part of the ACMA’s international engagement processes. Given the nature of incumbent use of </w:t>
            </w:r>
            <w:r>
              <w:rPr>
                <w:rFonts w:cs="Arial"/>
              </w:rPr>
              <w:lastRenderedPageBreak/>
              <w:t xml:space="preserve">the band, the ACMA is of the view that this band may be a candidate for consideration of dynamic spectrum-access type arrangements as a way of sharing and, hence, increasing the utility of the band. If the ACMA pursues this idea, it will engage further with relevant stakeholders. </w:t>
            </w:r>
          </w:p>
        </w:tc>
        <w:tc>
          <w:tcPr>
            <w:tcW w:w="1553" w:type="dxa"/>
          </w:tcPr>
          <w:p w14:paraId="74751F21" w14:textId="77777777" w:rsidR="00D71068" w:rsidRDefault="00D71068" w:rsidP="00D71068">
            <w:r>
              <w:rPr>
                <w:rFonts w:cs="Arial"/>
                <w:szCs w:val="20"/>
              </w:rPr>
              <w:lastRenderedPageBreak/>
              <w:t>Ongoing monitoring</w:t>
            </w:r>
          </w:p>
        </w:tc>
      </w:tr>
      <w:tr w:rsidR="00D71068" w14:paraId="541D542D" w14:textId="77777777" w:rsidTr="00F44F65">
        <w:tc>
          <w:tcPr>
            <w:tcW w:w="1430" w:type="dxa"/>
          </w:tcPr>
          <w:p w14:paraId="21E7BB5D" w14:textId="77777777" w:rsidR="00D71068" w:rsidRDefault="00D71068" w:rsidP="00D71068">
            <w:pPr>
              <w:pStyle w:val="TableBody"/>
              <w:rPr>
                <w:rFonts w:cs="Arial"/>
              </w:rPr>
            </w:pPr>
            <w:r>
              <w:rPr>
                <w:rFonts w:cs="Arial"/>
              </w:rPr>
              <w:lastRenderedPageBreak/>
              <w:t>Bands being studied under WRC-19 agenda item 1.16:</w:t>
            </w:r>
          </w:p>
          <w:p w14:paraId="520B976E" w14:textId="77777777" w:rsidR="00D71068" w:rsidRDefault="00D71068" w:rsidP="00D71068">
            <w:r>
              <w:rPr>
                <w:rFonts w:cs="Arial"/>
              </w:rPr>
              <w:t>5150–5350 MHz, 5350–5470 MHz, 5725–5850 MHz and 5850–5925 MHz</w:t>
            </w:r>
          </w:p>
        </w:tc>
        <w:tc>
          <w:tcPr>
            <w:tcW w:w="4678" w:type="dxa"/>
          </w:tcPr>
          <w:p w14:paraId="21BD3D17" w14:textId="77777777" w:rsidR="00D71068" w:rsidRDefault="00D71068" w:rsidP="00D71068">
            <w:pPr>
              <w:spacing w:after="120"/>
              <w:rPr>
                <w:rFonts w:cs="Arial"/>
              </w:rPr>
            </w:pPr>
            <w:r>
              <w:rPr>
                <w:rFonts w:cs="Arial"/>
              </w:rPr>
              <w:t xml:space="preserve">WRC-19 agenda item 1.16 is to consider issues related to wireless access systems, including radio local area networks (WAS/RLAN), in the frequency bands 5150–5350 MHz (to enable outdoor usage), 5350–5470 MHz, 5725–5850 MHz and 5850–5925 MHz, while ensuring the protection of incumbent services including their current and planned use. </w:t>
            </w:r>
          </w:p>
          <w:p w14:paraId="73DD64EF" w14:textId="77777777" w:rsidR="00D71068" w:rsidRDefault="00D71068" w:rsidP="00D71068">
            <w:pPr>
              <w:spacing w:after="120"/>
              <w:rPr>
                <w:rFonts w:cs="Arial"/>
              </w:rPr>
            </w:pPr>
            <w:r>
              <w:rPr>
                <w:rFonts w:cs="Arial"/>
              </w:rPr>
              <w:t xml:space="preserve">There was initially strong interest from the </w:t>
            </w:r>
            <w:r w:rsidRPr="00CD459E">
              <w:rPr>
                <w:rFonts w:cs="Arial"/>
              </w:rPr>
              <w:t>US</w:t>
            </w:r>
            <w:r>
              <w:rPr>
                <w:rFonts w:cs="Arial"/>
              </w:rPr>
              <w:t xml:space="preserve"> and the United Kingdom (UK) to investigate use of the 5350–5470 MHz band for RLANs but this appears to have subsided. Europe has also indicated interest in investigating use of the 5725–5850 MHz band for RLANs. Arrangements already exist in Australia for RLANs in the 5150–5350 MHz band (low power indoor use only) and the 5725–5850 MHz band. The ACMA has also received requests to review existing Australian arrangements to align with US arrangements. The 5150–5350 MHz and 5725–5850 MHz bands are also included in the IEEE 802.11 series of standards for WLAN. There are no arrangements in place for RLANs in the 5350–5470 MHz and 5850–5925 MHz bands in Australia.</w:t>
            </w:r>
          </w:p>
          <w:p w14:paraId="0F760CE7" w14:textId="77777777" w:rsidR="00D71068" w:rsidRDefault="00D71068" w:rsidP="00D71068">
            <w:pPr>
              <w:rPr>
                <w:rFonts w:cs="Arial"/>
              </w:rPr>
            </w:pPr>
            <w:r>
              <w:rPr>
                <w:rFonts w:cs="Arial"/>
              </w:rPr>
              <w:t xml:space="preserve">Numerous countries around the world have or are considering identifying the 5850–5925 MHz band for Intelligent Transport Systems (ITS). </w:t>
            </w:r>
          </w:p>
          <w:p w14:paraId="3ED9B8EF" w14:textId="77777777" w:rsidR="00D71068" w:rsidRDefault="00D71068" w:rsidP="00D71068">
            <w:pPr>
              <w:pStyle w:val="BodySubHeader"/>
            </w:pPr>
            <w:r>
              <w:t>Recent developments</w:t>
            </w:r>
          </w:p>
          <w:p w14:paraId="41987973" w14:textId="77777777" w:rsidR="00D71068" w:rsidRDefault="00D71068" w:rsidP="00D71068">
            <w:pPr>
              <w:spacing w:after="80"/>
            </w:pPr>
            <w:r>
              <w:t>ITU-R Working Party 5A is continuing work towards WRC-19 agenda item 1.16. Australia has submitted a number of contributions providing the regulatory background to the operation of WAS/RLANs and other input regarding the 5150–5250 MHz segment. Working documents towards preliminary draft new reports are being developed on:</w:t>
            </w:r>
          </w:p>
          <w:p w14:paraId="1177F557" w14:textId="77777777" w:rsidR="00D71068" w:rsidRDefault="00D71068" w:rsidP="00D71068">
            <w:pPr>
              <w:pStyle w:val="ListBullet"/>
              <w:numPr>
                <w:ilvl w:val="0"/>
                <w:numId w:val="1"/>
              </w:numPr>
            </w:pPr>
            <w:r>
              <w:t>proposed additional mitigation techniques to facilitate sharing between RLAN systems and incumbent services</w:t>
            </w:r>
          </w:p>
          <w:p w14:paraId="420BC5CD" w14:textId="77777777" w:rsidR="00D71068" w:rsidRDefault="00D71068" w:rsidP="00D71068">
            <w:pPr>
              <w:pStyle w:val="ListBullet"/>
              <w:numPr>
                <w:ilvl w:val="0"/>
                <w:numId w:val="1"/>
              </w:numPr>
            </w:pPr>
            <w:r>
              <w:t>technical characteristics and operational requirements of WAS/RLAN in the 5 GHz frequency range.</w:t>
            </w:r>
          </w:p>
          <w:p w14:paraId="58B00FFB" w14:textId="77777777" w:rsidR="00D71068" w:rsidRDefault="00D71068" w:rsidP="00D71068">
            <w:pPr>
              <w:pStyle w:val="ListBullet"/>
              <w:numPr>
                <w:ilvl w:val="0"/>
                <w:numId w:val="1"/>
              </w:numPr>
            </w:pPr>
            <w:r>
              <w:t>use of aggregate RLAN measurements from airborne and terrestrial platforms to support studies under WRC-19 agenda item 1.16</w:t>
            </w:r>
          </w:p>
          <w:p w14:paraId="7561E719" w14:textId="77777777" w:rsidR="00D71068" w:rsidRDefault="00D71068" w:rsidP="00D71068">
            <w:pPr>
              <w:pStyle w:val="ListBulletLast"/>
              <w:numPr>
                <w:ilvl w:val="0"/>
                <w:numId w:val="1"/>
              </w:numPr>
              <w:spacing w:after="120"/>
            </w:pPr>
            <w:r>
              <w:lastRenderedPageBreak/>
              <w:t>sharing and compatibility studies of WAS/RLAN in the 5 GHz frequency range.</w:t>
            </w:r>
          </w:p>
          <w:p w14:paraId="47EB9EE5" w14:textId="77777777" w:rsidR="00D71068" w:rsidRDefault="00D71068" w:rsidP="00D71068">
            <w:pPr>
              <w:spacing w:after="120"/>
              <w:rPr>
                <w:rFonts w:cs="Arial"/>
              </w:rPr>
            </w:pPr>
            <w:r>
              <w:t>Working Party 5A is aiming to finalise these reports by mid-2018.</w:t>
            </w:r>
            <w:r>
              <w:rPr>
                <w:rFonts w:cs="Arial"/>
              </w:rPr>
              <w:t xml:space="preserve"> </w:t>
            </w:r>
          </w:p>
          <w:p w14:paraId="353B97ED" w14:textId="77777777" w:rsidR="00D71068" w:rsidRDefault="00D71068" w:rsidP="00D71068">
            <w:r>
              <w:rPr>
                <w:rFonts w:cs="Arial"/>
              </w:rPr>
              <w:t xml:space="preserve">In December 2017, the ACMA </w:t>
            </w:r>
            <w:r w:rsidRPr="00D14B2A">
              <w:rPr>
                <w:rFonts w:cs="Arial"/>
              </w:rPr>
              <w:t xml:space="preserve">finalised the Radiocommunications (Intelligent Transport Systems) Class Licence 2017 </w:t>
            </w:r>
            <w:r>
              <w:rPr>
                <w:rFonts w:cs="Arial"/>
              </w:rPr>
              <w:t>to</w:t>
            </w:r>
            <w:r w:rsidRPr="00D14B2A">
              <w:rPr>
                <w:rFonts w:cs="Arial"/>
              </w:rPr>
              <w:t xml:space="preserve"> support the use of complying wireless </w:t>
            </w:r>
            <w:r>
              <w:rPr>
                <w:rFonts w:cs="Arial"/>
              </w:rPr>
              <w:t xml:space="preserve">ITS </w:t>
            </w:r>
            <w:r w:rsidRPr="00D14B2A">
              <w:rPr>
                <w:rFonts w:cs="Arial"/>
              </w:rPr>
              <w:t>technologies and devices</w:t>
            </w:r>
            <w:r>
              <w:rPr>
                <w:rFonts w:cs="Arial"/>
              </w:rPr>
              <w:t xml:space="preserve"> in the frequency range 5855–5925 MHz.</w:t>
            </w:r>
          </w:p>
          <w:p w14:paraId="4A4025AE" w14:textId="77777777" w:rsidR="00D71068" w:rsidRDefault="00D71068" w:rsidP="00D71068">
            <w:pPr>
              <w:pStyle w:val="BodySubHeader"/>
            </w:pPr>
            <w:r>
              <w:t>Next steps</w:t>
            </w:r>
          </w:p>
          <w:p w14:paraId="19F26219" w14:textId="77777777" w:rsidR="00D71068" w:rsidRDefault="00D71068" w:rsidP="00D71068">
            <w:pPr>
              <w:spacing w:after="120"/>
            </w:pPr>
            <w:r>
              <w:t>The ACMA</w:t>
            </w:r>
            <w:r w:rsidDel="009465F5">
              <w:t xml:space="preserve"> </w:t>
            </w:r>
            <w:r>
              <w:t>will continue to monitor and, where appropriate, engage with stakeholders via the usual international preparatory process to develop Australian positions on WRC-19 agenda item 1.16</w:t>
            </w:r>
            <w:r>
              <w:rPr>
                <w:rFonts w:cs="Arial"/>
              </w:rPr>
              <w:t xml:space="preserve">. When appropriate, it will develop individual positions on each of the bands being studied and potentially contribute to international sharing and compatibility studies </w:t>
            </w:r>
            <w:r>
              <w:t>on issues/bands of most interest to Australia, as determined through t</w:t>
            </w:r>
            <w:r>
              <w:rPr>
                <w:rFonts w:cs="Arial"/>
              </w:rPr>
              <w:t>he WRC-19 agenda item 1.16 coordination group. The ACMA also aims to have representatives attend ITU-R Working Party 5A meetings, as appropriate.</w:t>
            </w:r>
          </w:p>
        </w:tc>
        <w:tc>
          <w:tcPr>
            <w:tcW w:w="1553" w:type="dxa"/>
          </w:tcPr>
          <w:p w14:paraId="02AA236A" w14:textId="77777777" w:rsidR="00D71068" w:rsidRDefault="00D71068" w:rsidP="00D71068"/>
        </w:tc>
      </w:tr>
      <w:tr w:rsidR="00D71068" w14:paraId="0E0CA6F8" w14:textId="77777777" w:rsidTr="00F44F65">
        <w:tc>
          <w:tcPr>
            <w:tcW w:w="1430" w:type="dxa"/>
          </w:tcPr>
          <w:p w14:paraId="043324CF" w14:textId="77777777" w:rsidR="00D71068" w:rsidRDefault="00D71068" w:rsidP="00D71068">
            <w:pPr>
              <w:pStyle w:val="TableBody"/>
              <w:rPr>
                <w:rFonts w:cs="Arial"/>
              </w:rPr>
            </w:pPr>
            <w:r>
              <w:rPr>
                <w:rFonts w:cs="Arial"/>
              </w:rPr>
              <w:lastRenderedPageBreak/>
              <w:t>Bands being studied under WRC-19 agenda item 1.13:</w:t>
            </w:r>
          </w:p>
          <w:p w14:paraId="3917D73E" w14:textId="77777777" w:rsidR="00D71068" w:rsidRDefault="00D71068" w:rsidP="00D71068">
            <w:r>
              <w:rPr>
                <w:rFonts w:cs="Arial"/>
              </w:rPr>
              <w:t xml:space="preserve">31.8–33.4 GHz, </w:t>
            </w:r>
            <w:r>
              <w:rPr>
                <w:rFonts w:cs="Arial"/>
              </w:rPr>
              <w:br/>
              <w:t xml:space="preserve">37–40.5 GHz, </w:t>
            </w:r>
            <w:r>
              <w:rPr>
                <w:rFonts w:cs="Arial"/>
              </w:rPr>
              <w:br/>
              <w:t xml:space="preserve">40.5–42.5 GHz, 42.5–43.5 GHz, </w:t>
            </w:r>
            <w:r>
              <w:rPr>
                <w:rFonts w:cs="Arial"/>
              </w:rPr>
              <w:br/>
              <w:t xml:space="preserve">45.5–47 GHz, </w:t>
            </w:r>
            <w:r>
              <w:rPr>
                <w:rFonts w:cs="Arial"/>
              </w:rPr>
              <w:br/>
              <w:t xml:space="preserve">47–47.2 GHz, </w:t>
            </w:r>
            <w:r>
              <w:rPr>
                <w:rFonts w:cs="Arial"/>
              </w:rPr>
              <w:br/>
              <w:t xml:space="preserve">47.2–50.2 GHz, </w:t>
            </w:r>
            <w:r>
              <w:rPr>
                <w:rFonts w:cs="Arial"/>
              </w:rPr>
              <w:br/>
              <w:t xml:space="preserve">50.4–52.6 GHz, </w:t>
            </w:r>
            <w:r>
              <w:rPr>
                <w:rFonts w:cs="Arial"/>
              </w:rPr>
              <w:br/>
              <w:t>66–76 GHz and</w:t>
            </w:r>
            <w:r>
              <w:rPr>
                <w:rFonts w:cs="Arial"/>
              </w:rPr>
              <w:br/>
              <w:t>81–86 GHz</w:t>
            </w:r>
            <w:r>
              <w:rPr>
                <w:rFonts w:ascii="Times New Roman" w:hAnsi="Times New Roman"/>
                <w:sz w:val="24"/>
              </w:rPr>
              <w:t xml:space="preserve"> </w:t>
            </w:r>
          </w:p>
        </w:tc>
        <w:tc>
          <w:tcPr>
            <w:tcW w:w="4678" w:type="dxa"/>
          </w:tcPr>
          <w:p w14:paraId="62A92848" w14:textId="77777777" w:rsidR="00D71068" w:rsidRDefault="00D71068" w:rsidP="00D71068">
            <w:pPr>
              <w:spacing w:after="120"/>
            </w:pPr>
            <w:r>
              <w:t xml:space="preserve">WRC-19 agenda item 1.13 is to consider identification of frequency bands for the future development of </w:t>
            </w:r>
            <w:r w:rsidRPr="00BB38F9">
              <w:t>IMT,</w:t>
            </w:r>
            <w:r>
              <w:t xml:space="preserve"> including possible additional allocations to the mobile service on a primary basis. This agenda item is widely acknowledged to be focusing on spectrum harmonisation requirements for 5G mobile broadband technologies. </w:t>
            </w:r>
          </w:p>
          <w:p w14:paraId="0E7B4C4B" w14:textId="77777777" w:rsidR="00D71068" w:rsidRDefault="00D71068" w:rsidP="00D71068">
            <w:pPr>
              <w:spacing w:after="120"/>
            </w:pPr>
            <w:r>
              <w:t xml:space="preserve">The frequency bands to be considered under this agenda item are 24.25–27.5 GHz, 37–40.5 GHz, 42.5–43.5 GHz, 45.5–47 GHz, 47.2–50.2 GHz, 50.4–52.6 GHz, 66–76 GHz and 81–86 GHz, which have allocations to the mobile service on a primary basis; and 31.8–33.4 GHz, 40.5–42.5 GHz and 47–47.2 GHz, which may require additional allocations to the mobile service on a primary basis. </w:t>
            </w:r>
          </w:p>
          <w:p w14:paraId="2B2A8F92" w14:textId="77777777" w:rsidR="00D71068" w:rsidRDefault="00D71068" w:rsidP="00D71068">
            <w:r>
              <w:t xml:space="preserve">There is strong interest domestically and internationally, particularly in Region 3 countries such as South Korea, Japan and China. In its </w:t>
            </w:r>
            <w:hyperlink r:id="rId33" w:history="1">
              <w:r>
                <w:rPr>
                  <w:rStyle w:val="Hyperlink"/>
                  <w:rFonts w:eastAsiaTheme="majorEastAsia"/>
                </w:rPr>
                <w:t>draft opinion on spectrum related aspects for next-generation wireless systems (5G)</w:t>
              </w:r>
            </w:hyperlink>
            <w:r>
              <w:t>, released 14 June 2016, the Radio Spectrum Policy Group</w:t>
            </w:r>
            <w:r>
              <w:rPr>
                <w:rStyle w:val="FootnoteReference"/>
              </w:rPr>
              <w:footnoteReference w:id="24"/>
            </w:r>
            <w:r>
              <w:t xml:space="preserve"> (RSPG) stated that considerations of bands above 6 GHz for 5G should be limited to the bands listed in WRC-19 agenda item 1.13 in order to strengthen </w:t>
            </w:r>
            <w:r>
              <w:lastRenderedPageBreak/>
              <w:t>the global harmonisation opportunities, in particular, the bands 24.5–27.5 GHz, 31.8–33.4 GHz and 40.5–43.5 GHz. There are wide and varied ranges of incumbency and co-existence issues associated with each of these bands, which will need to be considered if the bands were to be investigated domestically for mobile broadband in the future.</w:t>
            </w:r>
          </w:p>
          <w:p w14:paraId="1AD2A1F8" w14:textId="77777777" w:rsidR="00D71068" w:rsidRDefault="00D71068" w:rsidP="00D71068">
            <w:pPr>
              <w:pStyle w:val="BodySubHeader"/>
            </w:pPr>
            <w:r>
              <w:t>Recent developments</w:t>
            </w:r>
          </w:p>
          <w:p w14:paraId="1D9C56FA" w14:textId="77777777" w:rsidR="00D71068" w:rsidRDefault="00D71068" w:rsidP="00D71068">
            <w:pPr>
              <w:spacing w:after="120"/>
              <w:rPr>
                <w:bCs/>
                <w:lang w:eastAsia="ja-JP"/>
              </w:rPr>
            </w:pPr>
            <w:r>
              <w:t>ITU-R Task Group 5/1 (TG 5/1) has continued its work to address WRC-19 agenda item 1.13 under its</w:t>
            </w:r>
            <w:r>
              <w:rPr>
                <w:bCs/>
                <w:lang w:eastAsia="ja-JP"/>
              </w:rPr>
              <w:t xml:space="preserve"> Terms of Reference (</w:t>
            </w:r>
            <w:hyperlink r:id="rId34" w:history="1">
              <w:r>
                <w:rPr>
                  <w:rStyle w:val="Hyperlink"/>
                  <w:rFonts w:eastAsiaTheme="majorEastAsia"/>
                  <w:lang w:eastAsia="ja-JP"/>
                </w:rPr>
                <w:t>CA/226</w:t>
              </w:r>
              <w:r>
                <w:rPr>
                  <w:rStyle w:val="Hyperlink"/>
                  <w:rFonts w:eastAsiaTheme="majorEastAsia"/>
                </w:rPr>
                <w:t xml:space="preserve"> (Annex 9)</w:t>
              </w:r>
            </w:hyperlink>
            <w:r>
              <w:rPr>
                <w:bCs/>
                <w:lang w:eastAsia="ja-JP"/>
              </w:rPr>
              <w:t xml:space="preserve">). Australia has contributed to the meetings of TG 5/1 on the issue of IMT coexistence with FSS uplinks in the 24.25–27.5 GHz band (see documents </w:t>
            </w:r>
            <w:hyperlink r:id="rId35" w:history="1">
              <w:r>
                <w:rPr>
                  <w:rStyle w:val="Hyperlink"/>
                  <w:rFonts w:eastAsiaTheme="majorEastAsia"/>
                  <w:bCs/>
                  <w:lang w:eastAsia="ja-JP"/>
                </w:rPr>
                <w:t>5-1/76</w:t>
              </w:r>
            </w:hyperlink>
            <w:r>
              <w:rPr>
                <w:rStyle w:val="Hyperlink"/>
                <w:rFonts w:eastAsiaTheme="majorEastAsia"/>
                <w:bCs/>
                <w:lang w:eastAsia="ja-JP"/>
              </w:rPr>
              <w:t>,</w:t>
            </w:r>
            <w:r>
              <w:rPr>
                <w:bCs/>
                <w:lang w:eastAsia="ja-JP"/>
              </w:rPr>
              <w:t xml:space="preserve"> </w:t>
            </w:r>
            <w:hyperlink r:id="rId36" w:history="1">
              <w:r>
                <w:rPr>
                  <w:rStyle w:val="Hyperlink"/>
                  <w:rFonts w:eastAsiaTheme="majorEastAsia"/>
                  <w:bCs/>
                  <w:lang w:eastAsia="ja-JP"/>
                </w:rPr>
                <w:t>5-1/117</w:t>
              </w:r>
            </w:hyperlink>
            <w:r>
              <w:rPr>
                <w:rStyle w:val="Hyperlink"/>
                <w:rFonts w:eastAsiaTheme="majorEastAsia"/>
                <w:bCs/>
                <w:lang w:eastAsia="ja-JP"/>
              </w:rPr>
              <w:t>,</w:t>
            </w:r>
            <w:r>
              <w:t xml:space="preserve"> </w:t>
            </w:r>
            <w:hyperlink r:id="rId37" w:history="1">
              <w:r w:rsidRPr="00E10A3B">
                <w:rPr>
                  <w:rStyle w:val="Hyperlink"/>
                </w:rPr>
                <w:t>5-1/193</w:t>
              </w:r>
            </w:hyperlink>
            <w:r>
              <w:t xml:space="preserve"> and </w:t>
            </w:r>
            <w:hyperlink r:id="rId38" w:history="1">
              <w:r w:rsidRPr="00E10A3B">
                <w:rPr>
                  <w:rStyle w:val="Hyperlink"/>
                </w:rPr>
                <w:t>5-1/290</w:t>
              </w:r>
            </w:hyperlink>
            <w:r>
              <w:t>)</w:t>
            </w:r>
            <w:r>
              <w:rPr>
                <w:bCs/>
                <w:lang w:eastAsia="ja-JP"/>
              </w:rPr>
              <w:t xml:space="preserve">. </w:t>
            </w:r>
          </w:p>
          <w:p w14:paraId="11C16AEC" w14:textId="77777777" w:rsidR="00D71068" w:rsidRDefault="00D71068" w:rsidP="00D71068">
            <w:pPr>
              <w:spacing w:after="120"/>
            </w:pPr>
            <w:r>
              <w:t xml:space="preserve">However, a number of other organisations internationally are considering frequency bands outside those listed for consideration in WRC-19 agenda item 1.13 for the next generation of IMT. </w:t>
            </w:r>
          </w:p>
          <w:p w14:paraId="442F98C1" w14:textId="77777777" w:rsidR="00D71068" w:rsidRDefault="00D71068" w:rsidP="00D71068">
            <w:r>
              <w:t>At APG19-3, a common view developed, expressing interest in the band 24.5–27.5 GHz. A number of APT member nations also expressed interest in the bands 31.8–33.4 GHz and 37–43.5 GHz.</w:t>
            </w:r>
          </w:p>
          <w:p w14:paraId="710406B7" w14:textId="77777777" w:rsidR="00D71068" w:rsidRDefault="00D71068" w:rsidP="00D71068">
            <w:pPr>
              <w:pStyle w:val="BodySubHeader"/>
            </w:pPr>
            <w:r>
              <w:t>Next steps</w:t>
            </w:r>
          </w:p>
          <w:p w14:paraId="42829C2E" w14:textId="77777777" w:rsidR="00D71068" w:rsidRDefault="00D71068" w:rsidP="00D71068">
            <w:pPr>
              <w:spacing w:after="120"/>
            </w:pPr>
            <w:r>
              <w:t>The ACMA will continue to engage with stakeholders via the usual international preparatory process to develop Australian positions on WRC-19 agenda item 1.13</w:t>
            </w:r>
            <w:r>
              <w:rPr>
                <w:rFonts w:cs="Arial"/>
              </w:rPr>
              <w:t xml:space="preserve">. When appropriate, it will develop individual positions on each of the bands being studied and potentially contribute to international sharing and compatibility studies </w:t>
            </w:r>
            <w:r>
              <w:t>on issues/bands of most interest to Australia as determined through t</w:t>
            </w:r>
            <w:r>
              <w:rPr>
                <w:rFonts w:cs="Arial"/>
              </w:rPr>
              <w:t xml:space="preserve">he WRC-19 agenda item 1.13 coordination group. Representatives have attended all ITU-R Task Group 5/1 meetings so far and it is intended that representation continue as appropriate. </w:t>
            </w:r>
            <w:r>
              <w:t xml:space="preserve">Developments in Europe and other regions/countries (such as the US) will be monitored for possible early implementation bands for 5G. Early implementation in Australia will depend on factors such as the location, type and number of incumbent services in the band, whether adequate interference management (or sharing) frameworks can be developed, and whether the development of economies of scale are likely. The 24.25–27.5 GHz band has been advanced to the </w:t>
            </w:r>
            <w:r>
              <w:rPr>
                <w:i/>
              </w:rPr>
              <w:t>initial investigation</w:t>
            </w:r>
            <w:r>
              <w:t xml:space="preserve"> stage of the process for consideration of additional spectrum for mobile broadband services. </w:t>
            </w:r>
          </w:p>
          <w:p w14:paraId="27AE7ABC" w14:textId="77777777" w:rsidR="00D71068" w:rsidRDefault="00D71068" w:rsidP="00D71068">
            <w:pPr>
              <w:spacing w:after="120"/>
            </w:pPr>
            <w:r>
              <w:lastRenderedPageBreak/>
              <w:t xml:space="preserve">For 66–76 GHz, see related work on 64–71 GHz outlined on </w:t>
            </w:r>
            <w:r w:rsidRPr="0045598D">
              <w:t xml:space="preserve">low interference potential devices in the </w:t>
            </w:r>
            <w:r w:rsidRPr="00BE6916">
              <w:rPr>
                <w:i/>
              </w:rPr>
              <w:t>Optimising established planning frameworks</w:t>
            </w:r>
            <w:r w:rsidRPr="0045598D">
              <w:t xml:space="preserve"> section</w:t>
            </w:r>
            <w:r>
              <w:t>.</w:t>
            </w:r>
          </w:p>
        </w:tc>
        <w:tc>
          <w:tcPr>
            <w:tcW w:w="1553" w:type="dxa"/>
          </w:tcPr>
          <w:p w14:paraId="6BA758F5" w14:textId="77777777" w:rsidR="00D71068" w:rsidRDefault="00D71068" w:rsidP="00D71068"/>
        </w:tc>
      </w:tr>
      <w:tr w:rsidR="00D71068" w14:paraId="42FDA571" w14:textId="77777777" w:rsidTr="00F44F65">
        <w:tc>
          <w:tcPr>
            <w:tcW w:w="1430" w:type="dxa"/>
          </w:tcPr>
          <w:p w14:paraId="166E243B" w14:textId="77777777" w:rsidR="00D71068" w:rsidRDefault="00D71068" w:rsidP="00D71068">
            <w:r w:rsidRPr="00CA45D7">
              <w:lastRenderedPageBreak/>
              <w:t xml:space="preserve">Non </w:t>
            </w:r>
            <w:r>
              <w:t>agenda item</w:t>
            </w:r>
            <w:r w:rsidRPr="00CA45D7">
              <w:t xml:space="preserve"> 1.13 b</w:t>
            </w:r>
            <w:r w:rsidRPr="00947F88">
              <w:t>ands being considered for 5G</w:t>
            </w:r>
          </w:p>
        </w:tc>
        <w:tc>
          <w:tcPr>
            <w:tcW w:w="4678" w:type="dxa"/>
          </w:tcPr>
          <w:p w14:paraId="1A709E63" w14:textId="77777777" w:rsidR="00D71068" w:rsidRDefault="00D71068" w:rsidP="00D71068">
            <w:pPr>
              <w:spacing w:after="120"/>
            </w:pPr>
            <w:r>
              <w:t>In July 2016, the FCC in the US announced that the 27.5–28.35 GHz, 37–38.6 GHz, 38.6–40 GHz and 64–71 GHz bands would be made available for licensed, unlicensed and shared use for future IMT services.</w:t>
            </w:r>
            <w:r>
              <w:rPr>
                <w:rStyle w:val="FootnoteReference"/>
              </w:rPr>
              <w:footnoteReference w:id="25"/>
            </w:r>
            <w:r>
              <w:t xml:space="preserve"> The FCC also released a Further Notice of Proposed Rule Making considering the bands 24.25–24.45 GHz, 24.75–25.25 GHz, 31.8–33.4 GHz, 42–42.5 GHz, 47.2–50.2 GHz, 50.4–52.6 GHz, 71–76 GHz, 81–86 GHz, as well as bands above 95 GHz for future IMT services.</w:t>
            </w:r>
            <w:r>
              <w:rPr>
                <w:rStyle w:val="FootnoteReference"/>
              </w:rPr>
              <w:footnoteReference w:id="26"/>
            </w:r>
          </w:p>
          <w:p w14:paraId="6D790338" w14:textId="77777777" w:rsidR="00D71068" w:rsidRDefault="00D71068" w:rsidP="00D71068">
            <w:pPr>
              <w:spacing w:after="120"/>
            </w:pPr>
            <w:r>
              <w:t>Korea is also continuing its support of investigations of the frequency ranges 24.25–29.5 GHz, 31.8–33.4 GHz and 37–40.5 GHz.</w:t>
            </w:r>
            <w:r>
              <w:rPr>
                <w:rStyle w:val="FootnoteReference"/>
              </w:rPr>
              <w:footnoteReference w:id="27"/>
            </w:r>
            <w:r>
              <w:t xml:space="preserve"> </w:t>
            </w:r>
          </w:p>
          <w:p w14:paraId="567D7194" w14:textId="77777777" w:rsidR="00D71068" w:rsidRDefault="00D71068" w:rsidP="00D71068">
            <w:pPr>
              <w:spacing w:after="120"/>
            </w:pPr>
            <w:r w:rsidRPr="00E46320">
              <w:rPr>
                <w:rFonts w:cs="Arial"/>
              </w:rPr>
              <w:t xml:space="preserve">Japan </w:t>
            </w:r>
            <w:r w:rsidRPr="00E46320">
              <w:rPr>
                <w:bCs/>
              </w:rPr>
              <w:t>is</w:t>
            </w:r>
            <w:r>
              <w:rPr>
                <w:bCs/>
              </w:rPr>
              <w:t xml:space="preserve"> investigating use of the 26.5–29.5 GHz; bands of interest for the </w:t>
            </w:r>
            <w:r w:rsidRPr="00E46320">
              <w:rPr>
                <w:rFonts w:cs="Arial"/>
              </w:rPr>
              <w:t>European</w:t>
            </w:r>
            <w:r w:rsidRPr="00E46320">
              <w:rPr>
                <w:bCs/>
              </w:rPr>
              <w:t xml:space="preserve"> Union</w:t>
            </w:r>
            <w:r>
              <w:rPr>
                <w:bCs/>
              </w:rPr>
              <w:t xml:space="preserve"> include 24.25–27.5 GHz and 40.5–43.5 GHz; and in </w:t>
            </w:r>
            <w:r w:rsidRPr="00E46320">
              <w:rPr>
                <w:rFonts w:cs="Arial"/>
              </w:rPr>
              <w:t>China</w:t>
            </w:r>
            <w:r>
              <w:rPr>
                <w:bCs/>
              </w:rPr>
              <w:t>, 24.25–27.5 GHz and 37–43.5 GHz is the focus of consideration.</w:t>
            </w:r>
          </w:p>
          <w:p w14:paraId="257B2CE2" w14:textId="77777777" w:rsidR="00D71068" w:rsidRDefault="00D71068" w:rsidP="00D71068">
            <w:pPr>
              <w:spacing w:after="120"/>
            </w:pPr>
            <w:r>
              <w:rPr>
                <w:rFonts w:cs="Arial"/>
              </w:rPr>
              <w:t xml:space="preserve">Given the status of these countries as technology-developing nations, and their advanced consideration of these frequency bands outside the scope of WRC-19 agenda item 1.13, it is appropriate to include these frequency bands to the </w:t>
            </w:r>
            <w:r>
              <w:rPr>
                <w:rFonts w:cs="Arial"/>
                <w:i/>
              </w:rPr>
              <w:t>monitoring</w:t>
            </w:r>
            <w:r>
              <w:rPr>
                <w:rFonts w:cs="Arial"/>
              </w:rPr>
              <w:t xml:space="preserve"> stage of the </w:t>
            </w:r>
            <w:r>
              <w:t xml:space="preserve">process for the consideration of additional bands for mobile broadband. </w:t>
            </w:r>
          </w:p>
          <w:p w14:paraId="0175A615" w14:textId="77777777" w:rsidR="00D71068" w:rsidRDefault="00D71068" w:rsidP="00D71068">
            <w:pPr>
              <w:pStyle w:val="BodySubHeader"/>
              <w:keepNext/>
            </w:pPr>
            <w:r>
              <w:t>Recent developments</w:t>
            </w:r>
          </w:p>
          <w:p w14:paraId="19712E27" w14:textId="77777777" w:rsidR="00D71068" w:rsidRPr="00757802" w:rsidRDefault="00D71068" w:rsidP="00D71068">
            <w:pPr>
              <w:keepNext/>
            </w:pPr>
            <w:r>
              <w:t>None applicable.</w:t>
            </w:r>
          </w:p>
          <w:p w14:paraId="26043C54" w14:textId="77777777" w:rsidR="00D71068" w:rsidRDefault="00D71068" w:rsidP="00D71068">
            <w:pPr>
              <w:pStyle w:val="BodySubHeader"/>
              <w:keepNext/>
            </w:pPr>
            <w:r>
              <w:t>Next steps</w:t>
            </w:r>
          </w:p>
          <w:p w14:paraId="0B8B1D4D" w14:textId="77777777" w:rsidR="00D71068" w:rsidRDefault="00D71068" w:rsidP="00D71068">
            <w:pPr>
              <w:keepNext/>
              <w:spacing w:after="120"/>
              <w:rPr>
                <w:rFonts w:cs="Arial"/>
              </w:rPr>
            </w:pPr>
            <w:r>
              <w:rPr>
                <w:rFonts w:cs="Arial"/>
              </w:rPr>
              <w:t xml:space="preserve">The ACMA will monitor international developments on all bands being considered or already identified internationally for 5G/IMT. However, it is noted that one of the elements of the ACMA’s spectrum management strategy to address the growth in mobile broadband capacity is engagement in international deliberations to influence the development of domestically-suitable internationally-harmonised spectrum options. The feasibility of early implementation in Australia will depend on factors such as the location, type and number of incumbent services in a band, whether adequate interference management (or sharing) </w:t>
            </w:r>
            <w:r>
              <w:rPr>
                <w:rFonts w:cs="Arial"/>
              </w:rPr>
              <w:lastRenderedPageBreak/>
              <w:t xml:space="preserve">frameworks can be developed, and whether the development of economies of scale are likely. </w:t>
            </w:r>
          </w:p>
          <w:p w14:paraId="72EFC655" w14:textId="77777777" w:rsidR="00D71068" w:rsidRDefault="00D71068" w:rsidP="00D71068">
            <w:pPr>
              <w:spacing w:after="120"/>
            </w:pPr>
            <w:r>
              <w:t>For 64–71 GHz, see related work on 64–71 GHz outlined on l</w:t>
            </w:r>
            <w:r w:rsidRPr="0045598D">
              <w:t xml:space="preserve">ow interference potential devices in the </w:t>
            </w:r>
            <w:r w:rsidRPr="00BE6916">
              <w:rPr>
                <w:i/>
              </w:rPr>
              <w:t>Optimising established planning frameworks</w:t>
            </w:r>
            <w:r>
              <w:t xml:space="preserve"> section.</w:t>
            </w:r>
          </w:p>
        </w:tc>
        <w:tc>
          <w:tcPr>
            <w:tcW w:w="1553" w:type="dxa"/>
          </w:tcPr>
          <w:p w14:paraId="7398ABA4" w14:textId="77777777" w:rsidR="00D71068" w:rsidRDefault="00D71068" w:rsidP="00D71068"/>
        </w:tc>
      </w:tr>
      <w:tr w:rsidR="00D71068" w14:paraId="4DBCA530" w14:textId="77777777" w:rsidTr="00F44F65">
        <w:tc>
          <w:tcPr>
            <w:tcW w:w="1430" w:type="dxa"/>
          </w:tcPr>
          <w:p w14:paraId="17C0CB6D" w14:textId="77777777" w:rsidR="00D71068" w:rsidRDefault="00D71068" w:rsidP="00D71068">
            <w:r w:rsidRPr="00BD3820">
              <w:rPr>
                <w:rFonts w:cs="Arial"/>
              </w:rPr>
              <w:lastRenderedPageBreak/>
              <w:t>40/50 GHz</w:t>
            </w:r>
          </w:p>
        </w:tc>
        <w:tc>
          <w:tcPr>
            <w:tcW w:w="4678" w:type="dxa"/>
          </w:tcPr>
          <w:p w14:paraId="5A48D33D" w14:textId="77777777" w:rsidR="00D71068" w:rsidRDefault="00D71068" w:rsidP="00D71068">
            <w:pPr>
              <w:spacing w:after="120"/>
            </w:pPr>
            <w:r>
              <w:t>In addition to interest in spectrum in this range for terrestrial broadband use as part of mmWave 5G, spectrum in the 40/50 GHz range</w:t>
            </w:r>
            <w:r w:rsidDel="00D12BB1">
              <w:t xml:space="preserve"> </w:t>
            </w:r>
            <w:r>
              <w:t xml:space="preserve">is also of increasing interest for satellite communications. Feedback has indicated that these bands could be used for both gateway and ubiquitous earth station use. The US has established a mix of arrangements supporting wireless broadband and satellite use on shared and exclusive use throughout these bands. However, Europe is focusing on slightly different bands in this range for terrestrial broadband to those established in the US, which overlap arrangements developed for satellite use. Therefore, there may be limited potential for global harmonisation in this range. </w:t>
            </w:r>
          </w:p>
          <w:p w14:paraId="36DC9F4E" w14:textId="77777777" w:rsidR="00D71068" w:rsidRDefault="00D71068" w:rsidP="00D71068">
            <w:pPr>
              <w:pStyle w:val="BodySubHeader"/>
            </w:pPr>
            <w:r>
              <w:t>Next steps</w:t>
            </w:r>
          </w:p>
          <w:p w14:paraId="48D84C80" w14:textId="77777777" w:rsidR="00D71068" w:rsidRDefault="00D71068" w:rsidP="00D71068">
            <w:pPr>
              <w:spacing w:after="120"/>
            </w:pPr>
            <w:r>
              <w:t>The ACMA will monitor developments in these bands. It is likely that it would be beneficial for any detailed consideration of the band for satellite communications to occur simultaneously with consideration of the bands for terrestrial wireless broadband.</w:t>
            </w:r>
          </w:p>
        </w:tc>
        <w:tc>
          <w:tcPr>
            <w:tcW w:w="1553" w:type="dxa"/>
          </w:tcPr>
          <w:p w14:paraId="2CFBAA2F" w14:textId="77777777" w:rsidR="00D71068" w:rsidRDefault="00D71068" w:rsidP="00D71068"/>
        </w:tc>
      </w:tr>
    </w:tbl>
    <w:p w14:paraId="591A13A7" w14:textId="77777777" w:rsidR="004869C3" w:rsidRDefault="004869C3" w:rsidP="005759E7">
      <w:pPr>
        <w:pStyle w:val="ACMATableHeader"/>
        <w:numPr>
          <w:ilvl w:val="0"/>
          <w:numId w:val="0"/>
        </w:numPr>
      </w:pPr>
      <w:bookmarkStart w:id="217" w:name="_Toc510104947"/>
      <w:bookmarkStart w:id="218" w:name="_Toc510105744"/>
    </w:p>
    <w:p w14:paraId="5870D91D" w14:textId="77777777" w:rsidR="00312848" w:rsidRDefault="00294C5C" w:rsidP="0037046B">
      <w:pPr>
        <w:pStyle w:val="ACMATableHeader"/>
        <w:keepNext/>
        <w:keepLines/>
      </w:pPr>
      <w:r>
        <w:lastRenderedPageBreak/>
        <w:t>Initial investigation</w:t>
      </w:r>
      <w:bookmarkEnd w:id="217"/>
      <w:bookmarkEnd w:id="218"/>
    </w:p>
    <w:tbl>
      <w:tblPr>
        <w:tblStyle w:val="TableGrid"/>
        <w:tblW w:w="4965" w:type="pct"/>
        <w:tblInd w:w="226" w:type="dxa"/>
        <w:tblLayout w:type="fixed"/>
        <w:tblCellMar>
          <w:top w:w="57" w:type="dxa"/>
          <w:left w:w="57" w:type="dxa"/>
          <w:bottom w:w="57" w:type="dxa"/>
          <w:right w:w="57" w:type="dxa"/>
        </w:tblCellMar>
        <w:tblLook w:val="04A0" w:firstRow="1" w:lastRow="0" w:firstColumn="1" w:lastColumn="0" w:noHBand="0" w:noVBand="1"/>
        <w:tblCaption w:val="Key projects, activities and milestones in the initial investigation phase."/>
      </w:tblPr>
      <w:tblGrid>
        <w:gridCol w:w="1369"/>
        <w:gridCol w:w="4920"/>
        <w:gridCol w:w="1318"/>
      </w:tblGrid>
      <w:tr w:rsidR="002E3B22" w14:paraId="2B92318C" w14:textId="77777777" w:rsidTr="00DD279F">
        <w:trPr>
          <w:trHeight w:val="361"/>
          <w:tblHeader/>
        </w:trPr>
        <w:tc>
          <w:tcPr>
            <w:tcW w:w="900"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C461981" w14:textId="77777777" w:rsidR="002E3B22" w:rsidRDefault="002E3B22" w:rsidP="0037046B">
            <w:pPr>
              <w:pStyle w:val="TableHeading"/>
              <w:keepNext/>
              <w:keepLines/>
              <w:rPr>
                <w:color w:val="FFFFFF" w:themeColor="background1"/>
              </w:rPr>
            </w:pPr>
            <w:r>
              <w:rPr>
                <w:color w:val="FFFFFF" w:themeColor="background1"/>
              </w:rPr>
              <w:t>Key projects</w:t>
            </w:r>
          </w:p>
        </w:tc>
        <w:tc>
          <w:tcPr>
            <w:tcW w:w="32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84D6040" w14:textId="77777777" w:rsidR="002E3B22" w:rsidRDefault="002E3B22" w:rsidP="0037046B">
            <w:pPr>
              <w:pStyle w:val="TableHeading"/>
              <w:keepNext/>
              <w:keepLines/>
              <w:rPr>
                <w:color w:val="FFFFFF" w:themeColor="background1"/>
              </w:rPr>
            </w:pPr>
            <w:r>
              <w:rPr>
                <w:color w:val="FFFFFF" w:themeColor="background1"/>
              </w:rPr>
              <w:t>Activity</w:t>
            </w:r>
          </w:p>
        </w:tc>
        <w:tc>
          <w:tcPr>
            <w:tcW w:w="866"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B7250CA" w14:textId="77777777" w:rsidR="002E3B22" w:rsidRDefault="002E3B22" w:rsidP="0037046B">
            <w:pPr>
              <w:pStyle w:val="TableHeading"/>
              <w:keepNext/>
              <w:keepLines/>
              <w:rPr>
                <w:color w:val="FFFFFF" w:themeColor="background1"/>
              </w:rPr>
            </w:pPr>
            <w:r>
              <w:rPr>
                <w:color w:val="FFFFFF" w:themeColor="background1"/>
              </w:rPr>
              <w:t>Milestones</w:t>
            </w:r>
          </w:p>
        </w:tc>
      </w:tr>
      <w:tr w:rsidR="003E3559" w14:paraId="3B59FE3F" w14:textId="77777777" w:rsidTr="00DD279F">
        <w:trPr>
          <w:trHeight w:val="150"/>
        </w:trPr>
        <w:tc>
          <w:tcPr>
            <w:tcW w:w="900" w:type="pct"/>
            <w:tcBorders>
              <w:top w:val="single" w:sz="4" w:space="0" w:color="auto"/>
              <w:left w:val="single" w:sz="4" w:space="0" w:color="auto"/>
              <w:bottom w:val="single" w:sz="4" w:space="0" w:color="auto"/>
              <w:right w:val="single" w:sz="4" w:space="0" w:color="auto"/>
            </w:tcBorders>
          </w:tcPr>
          <w:p w14:paraId="22838B5F" w14:textId="77777777" w:rsidR="003E3559" w:rsidRPr="00BD3820" w:rsidRDefault="00F35DEF" w:rsidP="0037046B">
            <w:pPr>
              <w:keepNext/>
              <w:keepLines/>
              <w:spacing w:after="0" w:line="240" w:lineRule="auto"/>
            </w:pPr>
            <w:r>
              <w:t>‘</w:t>
            </w:r>
            <w:r w:rsidR="003E3559" w:rsidRPr="00BD3820">
              <w:t xml:space="preserve">Extended MSS L band’ </w:t>
            </w:r>
          </w:p>
          <w:p w14:paraId="2B86883D" w14:textId="77777777" w:rsidR="003E3559" w:rsidRPr="003E3559" w:rsidRDefault="003E3559" w:rsidP="0037046B">
            <w:pPr>
              <w:keepNext/>
              <w:keepLines/>
              <w:spacing w:after="0" w:line="240" w:lineRule="auto"/>
            </w:pPr>
            <w:r w:rsidRPr="003E3559" w:rsidDel="00DA6C55">
              <w:t>(1518-1525 and 1668-1675 MHz)</w:t>
            </w:r>
          </w:p>
        </w:tc>
        <w:tc>
          <w:tcPr>
            <w:tcW w:w="3234" w:type="pct"/>
            <w:tcBorders>
              <w:top w:val="single" w:sz="4" w:space="0" w:color="auto"/>
              <w:left w:val="single" w:sz="4" w:space="0" w:color="auto"/>
              <w:bottom w:val="single" w:sz="4" w:space="0" w:color="auto"/>
              <w:right w:val="single" w:sz="4" w:space="0" w:color="auto"/>
            </w:tcBorders>
          </w:tcPr>
          <w:p w14:paraId="632565FF" w14:textId="77777777" w:rsidR="003E3559" w:rsidRPr="00BD3820" w:rsidRDefault="001B64BF" w:rsidP="0037046B">
            <w:pPr>
              <w:keepNext/>
              <w:keepLines/>
              <w:spacing w:after="120"/>
            </w:pPr>
            <w:r>
              <w:t xml:space="preserve">WRC-03 and </w:t>
            </w:r>
            <w:r w:rsidR="003E3559" w:rsidRPr="00BD3820">
              <w:t xml:space="preserve">WRC-07 allocated additional spectrum to the mobile satellite service (MSS) to </w:t>
            </w:r>
            <w:r w:rsidR="00E504AE" w:rsidRPr="00E504AE">
              <w:t>complement</w:t>
            </w:r>
            <w:r w:rsidR="003E3559" w:rsidRPr="00BD3820">
              <w:t xml:space="preserve"> existing ‘L band’ allocations used by numerous satellite operators. The upper and lower frequency ranges also ha</w:t>
            </w:r>
            <w:r>
              <w:t>ve</w:t>
            </w:r>
            <w:r w:rsidR="003E3559" w:rsidRPr="00BD3820">
              <w:t xml:space="preserve"> mobile and fixed allocations</w:t>
            </w:r>
            <w:r w:rsidR="00312848">
              <w:t>,</w:t>
            </w:r>
            <w:r w:rsidR="003E3559" w:rsidRPr="00BD3820">
              <w:t xml:space="preserve"> while the upper band also has various meteorological, radioastronomy and space research service allocations. In Australia</w:t>
            </w:r>
            <w:r w:rsidR="00312848">
              <w:t>,</w:t>
            </w:r>
            <w:r w:rsidR="003E3559" w:rsidRPr="00BD3820">
              <w:t xml:space="preserve"> channel planning arrangements are in place to support use of the band by fixed service Digital Radio Concentrator Systems.</w:t>
            </w:r>
          </w:p>
          <w:p w14:paraId="2CC6DFAC" w14:textId="77777777" w:rsidR="003E3559" w:rsidRPr="00BD3820" w:rsidRDefault="003E3559" w:rsidP="0037046B">
            <w:pPr>
              <w:keepNext/>
              <w:keepLines/>
            </w:pPr>
            <w:r w:rsidRPr="00BD3820">
              <w:t>Inmarsat has identified an interest in utilising the extended L</w:t>
            </w:r>
            <w:r w:rsidR="001B64BF">
              <w:t>-</w:t>
            </w:r>
            <w:r w:rsidRPr="00BD3820">
              <w:t>band for MSS purposes</w:t>
            </w:r>
            <w:r w:rsidR="001B64BF">
              <w:t xml:space="preserve"> from around 2020</w:t>
            </w:r>
            <w:r w:rsidRPr="00BD3820">
              <w:t xml:space="preserve">. </w:t>
            </w:r>
          </w:p>
          <w:p w14:paraId="647FA2DF" w14:textId="77777777" w:rsidR="003E3559" w:rsidRPr="00BD3820" w:rsidRDefault="003E3559" w:rsidP="0037046B">
            <w:pPr>
              <w:pStyle w:val="BodySubHeader"/>
              <w:keepNext/>
              <w:keepLines/>
            </w:pPr>
            <w:r w:rsidRPr="00BD3820">
              <w:t>Next steps</w:t>
            </w:r>
          </w:p>
          <w:p w14:paraId="0F98399A" w14:textId="77777777" w:rsidR="003E3559" w:rsidRPr="00842CA1" w:rsidRDefault="003E3559" w:rsidP="0037046B">
            <w:pPr>
              <w:keepNext/>
              <w:keepLines/>
              <w:spacing w:after="120"/>
            </w:pPr>
            <w:r w:rsidRPr="00BD3820">
              <w:t>The ACMA recognises the need to review planning arrangements in these bands to identify the spectrum use or uses that would maximise the overall public benefit, and if appropriate vary spectrum management arrangements to support this use. Given that coexistence with potential broadband use below 1518 MHz is likely to be a substantial consideration, the ACMA is of the view that the simultaneous review of the extended MSS L</w:t>
            </w:r>
            <w:r w:rsidR="001B64BF">
              <w:t>-</w:t>
            </w:r>
            <w:r w:rsidRPr="00BD3820">
              <w:t xml:space="preserve">band and the 1.5 GHz bands is likely to be appropriate. </w:t>
            </w:r>
            <w:r w:rsidR="001B64BF">
              <w:t>The ACMA currently expects to recommence consideration of the 1.5 GHz band for domestic use for mobile broadband and consideration of extended MSS L-band in 2018–19.</w:t>
            </w:r>
          </w:p>
        </w:tc>
        <w:tc>
          <w:tcPr>
            <w:tcW w:w="866" w:type="pct"/>
            <w:tcBorders>
              <w:top w:val="single" w:sz="4" w:space="0" w:color="auto"/>
              <w:left w:val="single" w:sz="4" w:space="0" w:color="auto"/>
              <w:bottom w:val="single" w:sz="4" w:space="0" w:color="auto"/>
              <w:right w:val="single" w:sz="4" w:space="0" w:color="auto"/>
            </w:tcBorders>
          </w:tcPr>
          <w:p w14:paraId="5DE694B2" w14:textId="77777777" w:rsidR="001B64BF" w:rsidRDefault="00F35DEF" w:rsidP="0037046B">
            <w:pPr>
              <w:pStyle w:val="TableBody"/>
              <w:keepNext/>
              <w:keepLines/>
              <w:rPr>
                <w:rFonts w:cs="Arial"/>
                <w:szCs w:val="20"/>
              </w:rPr>
            </w:pPr>
            <w:r>
              <w:rPr>
                <w:rFonts w:cs="Arial"/>
                <w:szCs w:val="20"/>
              </w:rPr>
              <w:t xml:space="preserve">Discussion </w:t>
            </w:r>
            <w:r w:rsidR="001B64BF">
              <w:rPr>
                <w:rFonts w:cs="Arial"/>
                <w:szCs w:val="20"/>
              </w:rPr>
              <w:t xml:space="preserve">paper </w:t>
            </w:r>
          </w:p>
          <w:p w14:paraId="71E36300" w14:textId="77777777" w:rsidR="003E3559" w:rsidRDefault="001B64BF" w:rsidP="0037046B">
            <w:pPr>
              <w:pStyle w:val="TableBody"/>
              <w:keepNext/>
              <w:keepLines/>
              <w:rPr>
                <w:rFonts w:cs="Arial"/>
                <w:szCs w:val="20"/>
              </w:rPr>
            </w:pPr>
            <w:r>
              <w:rPr>
                <w:rFonts w:cs="Arial"/>
                <w:szCs w:val="20"/>
              </w:rPr>
              <w:t>no earlier than Q3 2018–19</w:t>
            </w:r>
          </w:p>
        </w:tc>
      </w:tr>
      <w:tr w:rsidR="003E3559" w14:paraId="06EAF505" w14:textId="77777777" w:rsidTr="00DD279F">
        <w:trPr>
          <w:trHeight w:val="150"/>
        </w:trPr>
        <w:tc>
          <w:tcPr>
            <w:tcW w:w="900" w:type="pct"/>
            <w:tcBorders>
              <w:top w:val="single" w:sz="4" w:space="0" w:color="auto"/>
              <w:left w:val="single" w:sz="4" w:space="0" w:color="auto"/>
              <w:bottom w:val="single" w:sz="4" w:space="0" w:color="auto"/>
              <w:right w:val="single" w:sz="4" w:space="0" w:color="auto"/>
            </w:tcBorders>
          </w:tcPr>
          <w:p w14:paraId="067B8B7C" w14:textId="77777777" w:rsidR="003E3559" w:rsidRDefault="003E3559" w:rsidP="003E3559">
            <w:pPr>
              <w:spacing w:after="0" w:line="240" w:lineRule="auto"/>
            </w:pPr>
            <w:r>
              <w:t xml:space="preserve">2 GHz </w:t>
            </w:r>
          </w:p>
          <w:p w14:paraId="4CA2CA4B" w14:textId="77777777" w:rsidR="003E3559" w:rsidRPr="00467F32" w:rsidRDefault="003E3559" w:rsidP="003E3559">
            <w:pPr>
              <w:spacing w:after="0" w:line="240" w:lineRule="auto"/>
            </w:pPr>
            <w:r>
              <w:t>(1980–2010 MHz and 2170–2200 MHz)</w:t>
            </w:r>
          </w:p>
        </w:tc>
        <w:tc>
          <w:tcPr>
            <w:tcW w:w="3234" w:type="pct"/>
            <w:tcBorders>
              <w:top w:val="single" w:sz="4" w:space="0" w:color="auto"/>
              <w:left w:val="single" w:sz="4" w:space="0" w:color="auto"/>
              <w:bottom w:val="single" w:sz="4" w:space="0" w:color="auto"/>
              <w:right w:val="single" w:sz="4" w:space="0" w:color="auto"/>
            </w:tcBorders>
          </w:tcPr>
          <w:p w14:paraId="1C378C92" w14:textId="77777777" w:rsidR="003E3559" w:rsidRDefault="003E3559" w:rsidP="005759E7">
            <w:pPr>
              <w:spacing w:after="120"/>
            </w:pPr>
            <w:r>
              <w:t>As an outcome of the review of the 2.5 GHz band</w:t>
            </w:r>
            <w:r>
              <w:rPr>
                <w:vertAlign w:val="superscript"/>
              </w:rPr>
              <w:footnoteReference w:id="28"/>
            </w:r>
            <w:r>
              <w:t xml:space="preserve">, the ACMA developed arrangements to support the introduction of television outside broadcast (TOB) in the frequency ranges 1980–2010 MHz and 2170–2200 MHz on an interim basis. In March 2012, the </w:t>
            </w:r>
            <w:hyperlink r:id="rId39" w:history="1">
              <w:r>
                <w:rPr>
                  <w:rStyle w:val="Hyperlink"/>
                  <w:rFonts w:eastAsiaTheme="majorEastAsia" w:cs="Arial"/>
                  <w:szCs w:val="26"/>
                </w:rPr>
                <w:t>Television Outside Broadcast (1980–2110 MHz and 2170–2300 MHz) Frequency Band Plan 2012</w:t>
              </w:r>
            </w:hyperlink>
            <w:r>
              <w:t xml:space="preserve"> (TOB Band Plan) was made. The frequency ranges remain subject to Embargo 23</w:t>
            </w:r>
            <w:r>
              <w:rPr>
                <w:vertAlign w:val="superscript"/>
              </w:rPr>
              <w:footnoteReference w:id="29"/>
            </w:r>
            <w:r>
              <w:rPr>
                <w:vertAlign w:val="superscript"/>
              </w:rPr>
              <w:t xml:space="preserve"> </w:t>
            </w:r>
            <w:r>
              <w:t>to support TOB and future replanning activities.</w:t>
            </w:r>
          </w:p>
          <w:p w14:paraId="1A18710B" w14:textId="77777777" w:rsidR="003E3559" w:rsidRDefault="003E3559" w:rsidP="005759E7">
            <w:pPr>
              <w:spacing w:after="120"/>
              <w:rPr>
                <w:rFonts w:cs="Arial"/>
                <w:szCs w:val="26"/>
              </w:rPr>
            </w:pPr>
            <w:r>
              <w:rPr>
                <w:rFonts w:cs="Arial"/>
                <w:szCs w:val="26"/>
              </w:rPr>
              <w:t xml:space="preserve">While the TOB Band Plan potentially facilitates MSS in the </w:t>
            </w:r>
            <w:r>
              <w:t xml:space="preserve">1980–2010 MHz and 2170–2200 MHz bands </w:t>
            </w:r>
            <w:r>
              <w:rPr>
                <w:rFonts w:cs="Arial"/>
                <w:szCs w:val="26"/>
              </w:rPr>
              <w:t xml:space="preserve">in Australia, there is a current embargo on services </w:t>
            </w:r>
            <w:r w:rsidDel="003A216A">
              <w:rPr>
                <w:rFonts w:cs="Arial"/>
                <w:szCs w:val="26"/>
              </w:rPr>
              <w:t xml:space="preserve">other than </w:t>
            </w:r>
            <w:r>
              <w:rPr>
                <w:rFonts w:cs="Arial"/>
                <w:szCs w:val="26"/>
              </w:rPr>
              <w:t xml:space="preserve">TOB operating in these bands. </w:t>
            </w:r>
          </w:p>
          <w:p w14:paraId="36B568B8" w14:textId="77777777" w:rsidR="003E3559" w:rsidRDefault="003E3559" w:rsidP="005759E7">
            <w:pPr>
              <w:spacing w:after="120"/>
            </w:pPr>
            <w:r>
              <w:t xml:space="preserve">Inmarsat and Omnispace have indicated that they have (or plan to deploy) new 2 GHz band MSS services in the near future. Specifically, Omnispace has expressed an interest in providing services in </w:t>
            </w:r>
            <w:r>
              <w:lastRenderedPageBreak/>
              <w:t xml:space="preserve">Australia. Satellite industry representatives have also suggested that services similar to those to be provided by Inmarsat’s proposed satellite (Europasat) can be expected to be deployed in Australia as part of an international footprint in the future. </w:t>
            </w:r>
          </w:p>
          <w:p w14:paraId="687F3DBF" w14:textId="77777777" w:rsidR="003E3559" w:rsidRDefault="003E3559" w:rsidP="005759E7">
            <w:pPr>
              <w:spacing w:after="120"/>
              <w:rPr>
                <w:rFonts w:cs="Arial"/>
                <w:szCs w:val="26"/>
              </w:rPr>
            </w:pPr>
            <w:r>
              <w:rPr>
                <w:rFonts w:cs="Arial"/>
              </w:rPr>
              <w:t xml:space="preserve">The </w:t>
            </w:r>
            <w:r>
              <w:rPr>
                <w:rFonts w:cs="Arial"/>
                <w:szCs w:val="26"/>
              </w:rPr>
              <w:t>frequency bands 1980–2010 MHz and 2170–2200 MHz</w:t>
            </w:r>
            <w:r>
              <w:rPr>
                <w:rFonts w:cs="Arial"/>
              </w:rPr>
              <w:t xml:space="preserve"> are already allocated to the mobile service and </w:t>
            </w:r>
            <w:r>
              <w:rPr>
                <w:rFonts w:cs="Arial"/>
                <w:szCs w:val="26"/>
              </w:rPr>
              <w:t xml:space="preserve">subject to a global IMT identification via footnote 388 of the Spectrum Plan. In Resolution </w:t>
            </w:r>
            <w:r>
              <w:rPr>
                <w:rFonts w:cs="Arial"/>
                <w:b/>
                <w:szCs w:val="26"/>
              </w:rPr>
              <w:t>212 (Rev. WRC-15),</w:t>
            </w:r>
            <w:r>
              <w:rPr>
                <w:rFonts w:cs="Arial"/>
                <w:szCs w:val="26"/>
              </w:rPr>
              <w:t xml:space="preserve"> it is noted that these frequency bands are available for use for both the terrestrial component of IMT and the satellite component of IMT.</w:t>
            </w:r>
          </w:p>
          <w:p w14:paraId="7470BF98" w14:textId="77777777" w:rsidR="003E3559" w:rsidRDefault="003E3559" w:rsidP="005759E7">
            <w:pPr>
              <w:spacing w:after="120"/>
            </w:pPr>
            <w:r>
              <w:t>The ITU has defined IMT channel arrangements for the frequency bands 1980–2010 MHz and 2170–2200 MHz. These can be found in ITU-R Recommendation M.1036.</w:t>
            </w:r>
            <w:r>
              <w:rPr>
                <w:rStyle w:val="FootnoteReference"/>
              </w:rPr>
              <w:footnoteReference w:id="30"/>
            </w:r>
            <w:r>
              <w:t xml:space="preserve"> In order to include the new arrangements in ITU-R Recommendation M.1036, it was agreed in Resolution </w:t>
            </w:r>
            <w:r>
              <w:rPr>
                <w:b/>
              </w:rPr>
              <w:t>212 (Rev. WRC-15)</w:t>
            </w:r>
            <w:r>
              <w:t xml:space="preserve"> to invite study on the possible technical and operational measures to ensure coexistence and compatibility between the terrestrial component of IMT (in the mobile service) and the satellite component of IMT (in the mobile-satellite service) in the frequency bands 1980–2010 MHz and 2170–2200 MHz. These bands are directly adjacent to the existing 2.1 GHz band used for terrestrial mobile voice and broadband services. This work is being conducted as part of WRC-19 agenda item 9.1.1.</w:t>
            </w:r>
          </w:p>
          <w:p w14:paraId="24732A0C" w14:textId="77777777" w:rsidR="003E3559" w:rsidRDefault="003E3559" w:rsidP="003E3559">
            <w:r>
              <w:t xml:space="preserve">The ACMA notes that the work of the ITU on this issue is </w:t>
            </w:r>
            <w:r w:rsidRPr="00214E77">
              <w:t>focusing</w:t>
            </w:r>
            <w:r>
              <w:t xml:space="preserve"> on co-existence of terrestrial and satellite use of the band across international borders, but acknowledges that this work may provide some useful information on how these bands could be shared between uses and users on a geographic basis domestically.</w:t>
            </w:r>
            <w:r w:rsidR="004A053F">
              <w:t xml:space="preserve"> </w:t>
            </w:r>
            <w:r>
              <w:t>In addition, the ACMA is aware of interest in the band for possible direct aircraft to ground operations providing broadband connectivity to aircraft.</w:t>
            </w:r>
          </w:p>
          <w:p w14:paraId="7120E3B3" w14:textId="77777777" w:rsidR="003E3559" w:rsidRPr="005759E7" w:rsidRDefault="00954362" w:rsidP="00CF29B2">
            <w:pPr>
              <w:pStyle w:val="BodySubHeader"/>
            </w:pPr>
            <w:r w:rsidRPr="00CF29B2">
              <w:t>Recent developments</w:t>
            </w:r>
          </w:p>
          <w:p w14:paraId="15CC45F6" w14:textId="77777777" w:rsidR="003E3559" w:rsidRDefault="003E3559" w:rsidP="003E3559">
            <w:pPr>
              <w:rPr>
                <w:rFonts w:cs="Arial"/>
                <w:szCs w:val="26"/>
              </w:rPr>
            </w:pPr>
            <w:r>
              <w:rPr>
                <w:rFonts w:cs="Arial"/>
              </w:rPr>
              <w:t xml:space="preserve">ITU-R Working Parties 4C and 5D are continuing </w:t>
            </w:r>
            <w:r>
              <w:rPr>
                <w:lang w:val="en-US" w:eastAsia="zh-CN"/>
              </w:rPr>
              <w:t xml:space="preserve">studies on technical and operational measures to ensure coexistence and compatibility between the terrestrial and satellite components of IMT in the frequency bands 1980–2010 MHz and 2170–2200 MHz in different countries, in response to WRC-19 agenda item 9.1 (issue 9.1.1). </w:t>
            </w:r>
          </w:p>
          <w:p w14:paraId="58A4B2A0" w14:textId="77777777" w:rsidR="003E3559" w:rsidRDefault="003E3559" w:rsidP="0045598D">
            <w:pPr>
              <w:pStyle w:val="BodySubHeader"/>
              <w:keepNext/>
            </w:pPr>
            <w:r>
              <w:lastRenderedPageBreak/>
              <w:t>Next steps</w:t>
            </w:r>
          </w:p>
          <w:p w14:paraId="4165902C" w14:textId="77777777" w:rsidR="003E3559" w:rsidRDefault="003E3559" w:rsidP="003E3559">
            <w:pPr>
              <w:rPr>
                <w:rFonts w:cs="Arial"/>
              </w:rPr>
            </w:pPr>
            <w:r>
              <w:rPr>
                <w:rFonts w:cs="Arial"/>
                <w:szCs w:val="26"/>
              </w:rPr>
              <w:t>The frequency bands 1980–2010 MHz and 2170–2200 MHz</w:t>
            </w:r>
            <w:r>
              <w:rPr>
                <w:rFonts w:cs="Arial"/>
              </w:rPr>
              <w:t xml:space="preserve"> will be retained at the </w:t>
            </w:r>
            <w:r>
              <w:rPr>
                <w:rFonts w:cs="Arial"/>
                <w:i/>
              </w:rPr>
              <w:t xml:space="preserve">initial investigation </w:t>
            </w:r>
            <w:r>
              <w:rPr>
                <w:rFonts w:cs="Arial"/>
              </w:rPr>
              <w:t>stage. Due to other priorities, further consideration of work on this band will be deferred until 2019</w:t>
            </w:r>
            <w:r w:rsidR="00CF29B2">
              <w:rPr>
                <w:rFonts w:cs="Arial"/>
              </w:rPr>
              <w:t>–</w:t>
            </w:r>
            <w:r>
              <w:rPr>
                <w:rFonts w:cs="Arial"/>
              </w:rPr>
              <w:t>20.</w:t>
            </w:r>
          </w:p>
          <w:p w14:paraId="7058BEF9" w14:textId="77777777" w:rsidR="003E3559" w:rsidRDefault="003E3559" w:rsidP="005759E7">
            <w:pPr>
              <w:spacing w:after="120"/>
              <w:rPr>
                <w:rFonts w:ascii="Times New Roman" w:hAnsi="Times New Roman"/>
                <w:sz w:val="24"/>
              </w:rPr>
            </w:pPr>
            <w:r>
              <w:t xml:space="preserve">The ACMA will also continue to monitor and, where appropriate, engage with stakeholders via the usual international preparatory process to develop Australian positions on international issues related to </w:t>
            </w:r>
            <w:r>
              <w:rPr>
                <w:rFonts w:cs="Arial"/>
                <w:szCs w:val="26"/>
              </w:rPr>
              <w:t>the frequency bands 1980–2010 MHz and 2170–2200 MHz</w:t>
            </w:r>
            <w:r>
              <w:t>, particularly in relation to work conducted as part of WRC-19 agenda item 9.1.1.</w:t>
            </w:r>
            <w:r>
              <w:rPr>
                <w:rFonts w:ascii="Times New Roman" w:hAnsi="Times New Roman"/>
                <w:sz w:val="24"/>
              </w:rPr>
              <w:t xml:space="preserve"> </w:t>
            </w:r>
          </w:p>
          <w:p w14:paraId="17A3523E" w14:textId="77777777" w:rsidR="003E3559" w:rsidRDefault="00E95B07" w:rsidP="00DD279F">
            <w:pPr>
              <w:spacing w:after="0"/>
            </w:pPr>
            <w:r>
              <w:t>T</w:t>
            </w:r>
            <w:r w:rsidRPr="00D970E3">
              <w:t>he ACMA remains open to case-by-case consideration of applications for test and demonstration purposes in the parts of the frequency ranges 1980</w:t>
            </w:r>
            <w:r w:rsidR="00CF29B2">
              <w:t>–</w:t>
            </w:r>
            <w:r w:rsidRPr="00D970E3">
              <w:t>1985/2170</w:t>
            </w:r>
            <w:r w:rsidR="00CF29B2">
              <w:t>–</w:t>
            </w:r>
            <w:r w:rsidRPr="00D970E3">
              <w:t>2175 MHz (</w:t>
            </w:r>
            <w:r w:rsidRPr="00214E77">
              <w:t>guard band</w:t>
            </w:r>
            <w:r w:rsidRPr="00D970E3">
              <w:t xml:space="preserve"> between TOB and frequency adjacent spectrum licensing and </w:t>
            </w:r>
            <w:r w:rsidR="00284BC8">
              <w:t xml:space="preserve">apparatus licensed public mobile telecommunications </w:t>
            </w:r>
            <w:r w:rsidRPr="00D970E3">
              <w:t>services) on a short</w:t>
            </w:r>
            <w:r w:rsidR="00CF29B2">
              <w:t>-</w:t>
            </w:r>
            <w:r w:rsidRPr="00D970E3">
              <w:t>term, non-renewal basis</w:t>
            </w:r>
            <w:r w:rsidR="00CF29B2">
              <w:t>,</w:t>
            </w:r>
            <w:r w:rsidRPr="00D970E3">
              <w:t xml:space="preserve"> subject to appropriate interference management and resolution conditions.</w:t>
            </w:r>
            <w:r>
              <w:t xml:space="preserve"> </w:t>
            </w:r>
          </w:p>
        </w:tc>
        <w:tc>
          <w:tcPr>
            <w:tcW w:w="866" w:type="pct"/>
            <w:tcBorders>
              <w:top w:val="single" w:sz="4" w:space="0" w:color="auto"/>
              <w:left w:val="single" w:sz="4" w:space="0" w:color="auto"/>
              <w:bottom w:val="single" w:sz="4" w:space="0" w:color="auto"/>
              <w:right w:val="single" w:sz="4" w:space="0" w:color="auto"/>
            </w:tcBorders>
          </w:tcPr>
          <w:p w14:paraId="6F96CAB2" w14:textId="77777777" w:rsidR="003E3559" w:rsidRPr="005759E7" w:rsidRDefault="00C12F75" w:rsidP="002D62C3">
            <w:pPr>
              <w:spacing w:after="120"/>
            </w:pPr>
            <w:r w:rsidRPr="005759E7">
              <w:rPr>
                <w:rFonts w:cs="Arial"/>
                <w:szCs w:val="26"/>
              </w:rPr>
              <w:lastRenderedPageBreak/>
              <w:t>Due to other priorities, further consideration of work on this band will be deferred until 2019</w:t>
            </w:r>
            <w:r w:rsidR="00CF29B2">
              <w:rPr>
                <w:rFonts w:cs="Arial"/>
                <w:szCs w:val="26"/>
              </w:rPr>
              <w:t>–</w:t>
            </w:r>
            <w:r w:rsidRPr="005759E7">
              <w:rPr>
                <w:rFonts w:cs="Arial"/>
                <w:szCs w:val="26"/>
              </w:rPr>
              <w:t>20</w:t>
            </w:r>
          </w:p>
        </w:tc>
      </w:tr>
      <w:tr w:rsidR="003E3559" w14:paraId="2B6F22F7" w14:textId="77777777" w:rsidTr="00DD279F">
        <w:trPr>
          <w:trHeight w:val="150"/>
        </w:trPr>
        <w:tc>
          <w:tcPr>
            <w:tcW w:w="900" w:type="pct"/>
            <w:tcBorders>
              <w:top w:val="single" w:sz="4" w:space="0" w:color="auto"/>
              <w:left w:val="single" w:sz="4" w:space="0" w:color="auto"/>
              <w:bottom w:val="single" w:sz="4" w:space="0" w:color="auto"/>
              <w:right w:val="single" w:sz="4" w:space="0" w:color="auto"/>
            </w:tcBorders>
          </w:tcPr>
          <w:p w14:paraId="7EC67916" w14:textId="77777777" w:rsidR="003E3559" w:rsidRDefault="003E3559" w:rsidP="003E3559">
            <w:pPr>
              <w:spacing w:after="0" w:line="240" w:lineRule="auto"/>
            </w:pPr>
            <w:r w:rsidRPr="008E4C37">
              <w:lastRenderedPageBreak/>
              <w:t xml:space="preserve">28 GHz </w:t>
            </w:r>
          </w:p>
          <w:p w14:paraId="1F202AA5" w14:textId="77777777" w:rsidR="003E3559" w:rsidRPr="008E4C37" w:rsidRDefault="003E3559" w:rsidP="003E3559">
            <w:pPr>
              <w:spacing w:after="0" w:line="240" w:lineRule="auto"/>
            </w:pPr>
            <w:r>
              <w:t>(</w:t>
            </w:r>
            <w:r>
              <w:rPr>
                <w:rFonts w:cs="Arial"/>
                <w:szCs w:val="20"/>
              </w:rPr>
              <w:t>27.5</w:t>
            </w:r>
            <w:r w:rsidR="00CF29B2">
              <w:rPr>
                <w:rFonts w:cs="Arial"/>
                <w:szCs w:val="20"/>
              </w:rPr>
              <w:t>–</w:t>
            </w:r>
            <w:r>
              <w:rPr>
                <w:rFonts w:cs="Arial"/>
                <w:szCs w:val="20"/>
              </w:rPr>
              <w:t>29.5 GHz)</w:t>
            </w:r>
          </w:p>
        </w:tc>
        <w:tc>
          <w:tcPr>
            <w:tcW w:w="3234" w:type="pct"/>
            <w:tcBorders>
              <w:top w:val="single" w:sz="4" w:space="0" w:color="auto"/>
              <w:left w:val="single" w:sz="4" w:space="0" w:color="auto"/>
              <w:bottom w:val="single" w:sz="4" w:space="0" w:color="auto"/>
              <w:right w:val="single" w:sz="4" w:space="0" w:color="auto"/>
            </w:tcBorders>
          </w:tcPr>
          <w:p w14:paraId="3010B3EA" w14:textId="77777777" w:rsidR="003E3559" w:rsidRDefault="003E3559" w:rsidP="005759E7">
            <w:r>
              <w:t>In October 2017</w:t>
            </w:r>
            <w:r w:rsidR="00CF29B2">
              <w:t>,</w:t>
            </w:r>
            <w:r>
              <w:t xml:space="preserve"> the ACMA announced the preliminary views and outcomes of its </w:t>
            </w:r>
            <w:hyperlink r:id="rId40" w:history="1">
              <w:r w:rsidRPr="00543753">
                <w:rPr>
                  <w:rStyle w:val="Hyperlink"/>
                  <w:rFonts w:cs="Arial"/>
                  <w:szCs w:val="20"/>
                </w:rPr>
                <w:t>3.6 GHz band review</w:t>
              </w:r>
            </w:hyperlink>
            <w:r>
              <w:t>. As part of the outcomes announced</w:t>
            </w:r>
            <w:r w:rsidR="00CF29B2">
              <w:t>,</w:t>
            </w:r>
            <w:r>
              <w:t xml:space="preserve"> there were a number of mitigation measures identified for affected incumbent point-to-multipoint licensees. This included a commitment from the ACMA to investigate the possibility of developing</w:t>
            </w:r>
            <w:r w:rsidRPr="00543753">
              <w:t xml:space="preserve"> arrangements </w:t>
            </w:r>
            <w:r w:rsidR="00CF29B2">
              <w:t xml:space="preserve">as </w:t>
            </w:r>
            <w:r>
              <w:t>part the 27.5</w:t>
            </w:r>
            <w:r w:rsidR="00CF29B2">
              <w:t>–</w:t>
            </w:r>
            <w:r>
              <w:t>29.5 GHz (28 GHz) band for use by apparatus</w:t>
            </w:r>
            <w:r w:rsidR="00CF29B2">
              <w:t>-</w:t>
            </w:r>
            <w:r>
              <w:t xml:space="preserve">licensed fixed wireless broadband </w:t>
            </w:r>
            <w:r w:rsidRPr="00543753">
              <w:t>outside of metropolitan areas</w:t>
            </w:r>
            <w:r>
              <w:t>.</w:t>
            </w:r>
          </w:p>
          <w:p w14:paraId="0BD2E5C9" w14:textId="77777777" w:rsidR="003E3559" w:rsidRPr="008E4C37" w:rsidRDefault="00954362" w:rsidP="003E3559">
            <w:pPr>
              <w:pStyle w:val="BodySubHeader"/>
            </w:pPr>
            <w:r>
              <w:t>Recent developments</w:t>
            </w:r>
          </w:p>
          <w:p w14:paraId="34C61854" w14:textId="77777777" w:rsidR="003E3559" w:rsidRPr="008E4C37" w:rsidRDefault="003E3559" w:rsidP="005759E7">
            <w:r>
              <w:t>In March 2018</w:t>
            </w:r>
            <w:r w:rsidR="00CF29B2">
              <w:t>,</w:t>
            </w:r>
            <w:r>
              <w:t xml:space="preserve"> the Minister for </w:t>
            </w:r>
            <w:r w:rsidR="00CF29B2">
              <w:t>C</w:t>
            </w:r>
            <w:r>
              <w:t>ommunications re-allocated the 3.6 GHz band for the issue of spectrum licences in regional and remote areas of Australia.</w:t>
            </w:r>
            <w:r>
              <w:rPr>
                <w:rStyle w:val="FootnoteReference"/>
                <w:rFonts w:cs="Arial"/>
                <w:szCs w:val="20"/>
              </w:rPr>
              <w:footnoteReference w:id="31"/>
            </w:r>
            <w:r>
              <w:t xml:space="preserve"> </w:t>
            </w:r>
          </w:p>
          <w:p w14:paraId="2EA00CDB" w14:textId="77777777" w:rsidR="003E3559" w:rsidRPr="007D7C29" w:rsidRDefault="003E3559" w:rsidP="005759E7">
            <w:pPr>
              <w:pStyle w:val="BodySubHeader"/>
            </w:pPr>
            <w:r w:rsidRPr="007D7C29">
              <w:t xml:space="preserve">Next </w:t>
            </w:r>
            <w:r w:rsidR="00CF29B2">
              <w:t>s</w:t>
            </w:r>
            <w:r w:rsidRPr="007D7C29">
              <w:t>teps</w:t>
            </w:r>
            <w:r w:rsidRPr="007D7C29" w:rsidDel="00772021">
              <w:t xml:space="preserve"> </w:t>
            </w:r>
          </w:p>
          <w:p w14:paraId="4D1A0C31" w14:textId="77777777" w:rsidR="003E3559" w:rsidRPr="008E4C37" w:rsidRDefault="003E3559" w:rsidP="00CF29B2">
            <w:pPr>
              <w:pStyle w:val="TableBody"/>
              <w:rPr>
                <w:rFonts w:cs="Arial"/>
                <w:szCs w:val="20"/>
              </w:rPr>
            </w:pPr>
            <w:r>
              <w:rPr>
                <w:rFonts w:cs="Arial"/>
                <w:szCs w:val="20"/>
              </w:rPr>
              <w:t xml:space="preserve">Following the </w:t>
            </w:r>
            <w:r w:rsidR="00CF29B2">
              <w:rPr>
                <w:rFonts w:cs="Arial"/>
                <w:szCs w:val="20"/>
              </w:rPr>
              <w:t>m</w:t>
            </w:r>
            <w:r>
              <w:rPr>
                <w:rFonts w:cs="Arial"/>
                <w:szCs w:val="20"/>
              </w:rPr>
              <w:t>inister’s reallocation declaration</w:t>
            </w:r>
            <w:r w:rsidR="00CF29B2">
              <w:rPr>
                <w:rFonts w:cs="Arial"/>
                <w:szCs w:val="20"/>
              </w:rPr>
              <w:t>,</w:t>
            </w:r>
            <w:r>
              <w:rPr>
                <w:rFonts w:cs="Arial"/>
                <w:szCs w:val="20"/>
              </w:rPr>
              <w:t xml:space="preserve"> the ACMA intends to progress its investigation into the suitability of the </w:t>
            </w:r>
            <w:r w:rsidR="00CF29B2">
              <w:rPr>
                <w:rFonts w:cs="Arial"/>
                <w:szCs w:val="20"/>
              </w:rPr>
              <w:t>28 </w:t>
            </w:r>
            <w:r>
              <w:rPr>
                <w:rFonts w:cs="Arial"/>
                <w:szCs w:val="20"/>
              </w:rPr>
              <w:t>GHz band for use by apparatus</w:t>
            </w:r>
            <w:r w:rsidR="00CF29B2">
              <w:rPr>
                <w:rFonts w:cs="Arial"/>
                <w:szCs w:val="20"/>
              </w:rPr>
              <w:t>-</w:t>
            </w:r>
            <w:r>
              <w:rPr>
                <w:rFonts w:cs="Arial"/>
                <w:szCs w:val="20"/>
              </w:rPr>
              <w:t xml:space="preserve">licensed fixed wireless broadband </w:t>
            </w:r>
            <w:r w:rsidRPr="00543753">
              <w:rPr>
                <w:rFonts w:cs="Arial"/>
                <w:szCs w:val="20"/>
              </w:rPr>
              <w:t>outside of metropolitan areas</w:t>
            </w:r>
            <w:r>
              <w:rPr>
                <w:rFonts w:cs="Arial"/>
                <w:szCs w:val="20"/>
              </w:rPr>
              <w:t xml:space="preserve">. </w:t>
            </w:r>
            <w:r w:rsidRPr="00201FB7">
              <w:rPr>
                <w:rFonts w:cs="Arial"/>
                <w:szCs w:val="20"/>
              </w:rPr>
              <w:t>Consultation on this issue is expected to commence in the second half of 2018.</w:t>
            </w:r>
          </w:p>
        </w:tc>
        <w:tc>
          <w:tcPr>
            <w:tcW w:w="866" w:type="pct"/>
            <w:tcBorders>
              <w:top w:val="single" w:sz="4" w:space="0" w:color="auto"/>
              <w:left w:val="single" w:sz="4" w:space="0" w:color="auto"/>
              <w:bottom w:val="single" w:sz="4" w:space="0" w:color="auto"/>
              <w:right w:val="single" w:sz="4" w:space="0" w:color="auto"/>
            </w:tcBorders>
          </w:tcPr>
          <w:p w14:paraId="7B529D72" w14:textId="77777777" w:rsidR="003E3559" w:rsidRDefault="003E3559" w:rsidP="003E3559">
            <w:pPr>
              <w:pStyle w:val="TableBody"/>
              <w:rPr>
                <w:rFonts w:cs="Arial"/>
                <w:szCs w:val="20"/>
              </w:rPr>
            </w:pPr>
            <w:r>
              <w:rPr>
                <w:rFonts w:cs="Arial"/>
                <w:szCs w:val="20"/>
              </w:rPr>
              <w:t>Q1 2018</w:t>
            </w:r>
            <w:r w:rsidR="00972721">
              <w:rPr>
                <w:rFonts w:cs="Arial"/>
                <w:szCs w:val="20"/>
              </w:rPr>
              <w:t>–</w:t>
            </w:r>
            <w:r>
              <w:rPr>
                <w:rFonts w:cs="Arial"/>
                <w:szCs w:val="20"/>
              </w:rPr>
              <w:t>19</w:t>
            </w:r>
          </w:p>
        </w:tc>
      </w:tr>
    </w:tbl>
    <w:p w14:paraId="619D1DA5" w14:textId="77777777" w:rsidR="004869C3" w:rsidRDefault="004869C3" w:rsidP="005759E7">
      <w:pPr>
        <w:pStyle w:val="ACMASpaceaftertable"/>
      </w:pPr>
    </w:p>
    <w:p w14:paraId="63871A75" w14:textId="77777777" w:rsidR="00CF29B2" w:rsidRDefault="00B10EA1" w:rsidP="005759E7">
      <w:pPr>
        <w:pStyle w:val="ACMATableHeader"/>
        <w:keepNext/>
      </w:pPr>
      <w:bookmarkStart w:id="219" w:name="_Toc510104948"/>
      <w:bookmarkStart w:id="220" w:name="_Toc510105745"/>
      <w:r>
        <w:lastRenderedPageBreak/>
        <w:t xml:space="preserve">Preliminary </w:t>
      </w:r>
      <w:r w:rsidR="00CF29B2">
        <w:t>r</w:t>
      </w:r>
      <w:r>
        <w:t>eplanning</w:t>
      </w:r>
    </w:p>
    <w:tbl>
      <w:tblPr>
        <w:tblStyle w:val="TableGrid"/>
        <w:tblW w:w="4791" w:type="pct"/>
        <w:tblInd w:w="226" w:type="dxa"/>
        <w:tblLayout w:type="fixed"/>
        <w:tblCellMar>
          <w:top w:w="57" w:type="dxa"/>
          <w:left w:w="57" w:type="dxa"/>
          <w:bottom w:w="57" w:type="dxa"/>
          <w:right w:w="57" w:type="dxa"/>
        </w:tblCellMar>
        <w:tblLook w:val="04A0" w:firstRow="1" w:lastRow="0" w:firstColumn="1" w:lastColumn="0" w:noHBand="0" w:noVBand="1"/>
        <w:tblCaption w:val="Key projects, activities and milestones in the preliminary replanning phase."/>
      </w:tblPr>
      <w:tblGrid>
        <w:gridCol w:w="1369"/>
        <w:gridCol w:w="4778"/>
        <w:gridCol w:w="1194"/>
      </w:tblGrid>
      <w:tr w:rsidR="00404753" w14:paraId="2DBD318B" w14:textId="77777777" w:rsidTr="00972721">
        <w:trPr>
          <w:trHeight w:val="361"/>
          <w:tblHeader/>
        </w:trPr>
        <w:tc>
          <w:tcPr>
            <w:tcW w:w="933"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bookmarkEnd w:id="219"/>
          <w:bookmarkEnd w:id="220"/>
          <w:p w14:paraId="510EDA56" w14:textId="77777777" w:rsidR="00404753" w:rsidRDefault="00404753" w:rsidP="004A36BB">
            <w:pPr>
              <w:pStyle w:val="TableHeading"/>
              <w:rPr>
                <w:color w:val="FFFFFF" w:themeColor="background1"/>
              </w:rPr>
            </w:pPr>
            <w:r>
              <w:rPr>
                <w:color w:val="FFFFFF" w:themeColor="background1"/>
              </w:rPr>
              <w:t>Key projects</w:t>
            </w:r>
          </w:p>
        </w:tc>
        <w:tc>
          <w:tcPr>
            <w:tcW w:w="325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1DAFB4B" w14:textId="77777777" w:rsidR="00404753" w:rsidRDefault="00404753" w:rsidP="004A36BB">
            <w:pPr>
              <w:pStyle w:val="TableHeading"/>
              <w:rPr>
                <w:color w:val="FFFFFF" w:themeColor="background1"/>
              </w:rPr>
            </w:pPr>
            <w:r>
              <w:rPr>
                <w:color w:val="FFFFFF" w:themeColor="background1"/>
              </w:rPr>
              <w:t>Activity</w:t>
            </w:r>
          </w:p>
        </w:tc>
        <w:tc>
          <w:tcPr>
            <w:tcW w:w="813"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8E75539" w14:textId="77777777" w:rsidR="00404753" w:rsidRDefault="00404753" w:rsidP="004A36BB">
            <w:pPr>
              <w:pStyle w:val="TableHeading"/>
              <w:rPr>
                <w:color w:val="FFFFFF" w:themeColor="background1"/>
              </w:rPr>
            </w:pPr>
            <w:r>
              <w:rPr>
                <w:color w:val="FFFFFF" w:themeColor="background1"/>
              </w:rPr>
              <w:t>Milestones</w:t>
            </w:r>
          </w:p>
        </w:tc>
      </w:tr>
      <w:tr w:rsidR="00404753" w14:paraId="3D07915D" w14:textId="77777777" w:rsidTr="00972721">
        <w:trPr>
          <w:trHeight w:val="150"/>
        </w:trPr>
        <w:tc>
          <w:tcPr>
            <w:tcW w:w="933" w:type="pct"/>
            <w:tcBorders>
              <w:top w:val="single" w:sz="4" w:space="0" w:color="auto"/>
              <w:left w:val="single" w:sz="4" w:space="0" w:color="auto"/>
              <w:bottom w:val="single" w:sz="4" w:space="0" w:color="auto"/>
              <w:right w:val="single" w:sz="4" w:space="0" w:color="auto"/>
            </w:tcBorders>
          </w:tcPr>
          <w:p w14:paraId="4E226010" w14:textId="77777777" w:rsidR="00C40966" w:rsidRDefault="00404753">
            <w:pPr>
              <w:spacing w:after="0" w:line="240" w:lineRule="auto"/>
            </w:pPr>
            <w:r>
              <w:t xml:space="preserve">1.5 GHz </w:t>
            </w:r>
          </w:p>
          <w:p w14:paraId="17CC12FE" w14:textId="77777777" w:rsidR="00C70630" w:rsidRPr="00467F32" w:rsidRDefault="00404753">
            <w:pPr>
              <w:spacing w:after="0" w:line="240" w:lineRule="auto"/>
            </w:pPr>
            <w:r>
              <w:t>(1427–1518 MHz)</w:t>
            </w:r>
          </w:p>
        </w:tc>
        <w:tc>
          <w:tcPr>
            <w:tcW w:w="3254" w:type="pct"/>
            <w:tcBorders>
              <w:top w:val="single" w:sz="4" w:space="0" w:color="auto"/>
              <w:left w:val="single" w:sz="4" w:space="0" w:color="auto"/>
              <w:bottom w:val="single" w:sz="4" w:space="0" w:color="auto"/>
              <w:right w:val="single" w:sz="4" w:space="0" w:color="auto"/>
            </w:tcBorders>
          </w:tcPr>
          <w:p w14:paraId="0B015133" w14:textId="77777777" w:rsidR="00404753" w:rsidRDefault="00404753" w:rsidP="005759E7">
            <w:pPr>
              <w:spacing w:after="120"/>
            </w:pPr>
            <w:r>
              <w:t xml:space="preserve">At WRC-15, the entire </w:t>
            </w:r>
            <w:r>
              <w:rPr>
                <w:szCs w:val="20"/>
              </w:rPr>
              <w:t>1427–1518 MHz band was harmonised for IMT within regions 2 and 3, while Region 1 identified 1427–1452 MHz and 1492–1518 MHz via regional footnotes. In Region 1, only African and Arab states identified the 1452–1492 MHz range (CEPT did not identify this band due to an ongoing dispute with RCC countries over the protection of Aeronautical Mobile Telemetry services).</w:t>
            </w:r>
          </w:p>
          <w:p w14:paraId="4C94CA79" w14:textId="77777777" w:rsidR="00404753" w:rsidRDefault="00404753" w:rsidP="005759E7">
            <w:pPr>
              <w:spacing w:after="120"/>
            </w:pPr>
            <w:r>
              <w:t xml:space="preserve">The ACMA notes that an additional outcome of WRC-15 was Resolution </w:t>
            </w:r>
            <w:r>
              <w:rPr>
                <w:b/>
              </w:rPr>
              <w:t>761 (WRC-15)</w:t>
            </w:r>
            <w:r>
              <w:t>. This resolution invites the ITU-R to conduct, in time for WRC-19, the appropriate regulatory and technical studies, with a view to ensuring the compatibility of IMT and the broadcasting-satellite service (BSS) (sound) in the frequency band 1452–1492 MHz in regions 1 and 3, taking into account IMT and BSS (sound) operational requirements.</w:t>
            </w:r>
          </w:p>
          <w:p w14:paraId="03285F99" w14:textId="77777777" w:rsidR="00404753" w:rsidRDefault="00404753" w:rsidP="005759E7">
            <w:pPr>
              <w:spacing w:after="120"/>
            </w:pPr>
            <w:r>
              <w:t xml:space="preserve">Domestically, the impact on aeronautical telemetry services and fixed services, including </w:t>
            </w:r>
            <w:r>
              <w:rPr>
                <w:szCs w:val="20"/>
              </w:rPr>
              <w:t xml:space="preserve">the Digital Radio Concentrator System (DRCS), </w:t>
            </w:r>
            <w:r w:rsidR="00991742">
              <w:rPr>
                <w:szCs w:val="20"/>
              </w:rPr>
              <w:t>will</w:t>
            </w:r>
            <w:r>
              <w:rPr>
                <w:szCs w:val="20"/>
              </w:rPr>
              <w:t xml:space="preserve"> need to be considered in </w:t>
            </w:r>
            <w:r w:rsidRPr="00214E77">
              <w:rPr>
                <w:szCs w:val="20"/>
              </w:rPr>
              <w:t>any re-farming</w:t>
            </w:r>
            <w:r>
              <w:rPr>
                <w:szCs w:val="20"/>
              </w:rPr>
              <w:t xml:space="preserve"> </w:t>
            </w:r>
            <w:r w:rsidR="00991742">
              <w:rPr>
                <w:szCs w:val="20"/>
              </w:rPr>
              <w:t>process</w:t>
            </w:r>
            <w:r>
              <w:t>.</w:t>
            </w:r>
          </w:p>
          <w:p w14:paraId="3EE829AE" w14:textId="77777777" w:rsidR="00404753" w:rsidRDefault="00404753" w:rsidP="005759E7">
            <w:pPr>
              <w:spacing w:after="120"/>
            </w:pPr>
            <w:r>
              <w:t>As referred to in Resolution</w:t>
            </w:r>
            <w:r>
              <w:rPr>
                <w:b/>
              </w:rPr>
              <w:t xml:space="preserve"> 223 (Rev. WRC-15)</w:t>
            </w:r>
            <w:r>
              <w:t xml:space="preserve">, some satellite industry representatives have also pointed out that compatibility with mobile satellite services (MSS) operating above 1518 MHz </w:t>
            </w:r>
            <w:r w:rsidR="00991742">
              <w:t xml:space="preserve">will </w:t>
            </w:r>
            <w:r>
              <w:t>need to be considered.</w:t>
            </w:r>
          </w:p>
          <w:p w14:paraId="6B93BB6C" w14:textId="77777777" w:rsidR="007D7C29" w:rsidRDefault="00404753" w:rsidP="005759E7">
            <w:pPr>
              <w:spacing w:after="120"/>
              <w:rPr>
                <w:rFonts w:cs="Arial"/>
                <w:szCs w:val="20"/>
              </w:rPr>
            </w:pPr>
            <w:r>
              <w:t>There is strong support domestically from mobile broadband representatives for progressing the re-farming of this band.</w:t>
            </w:r>
            <w:r>
              <w:rPr>
                <w:rFonts w:cs="Arial"/>
                <w:szCs w:val="20"/>
              </w:rPr>
              <w:t xml:space="preserve"> The ACMA released the discussion paper, </w:t>
            </w:r>
            <w:hyperlink r:id="rId41" w:history="1">
              <w:r>
                <w:rPr>
                  <w:rStyle w:val="Hyperlink"/>
                  <w:rFonts w:eastAsiaTheme="majorEastAsia" w:cs="Arial"/>
                  <w:i/>
                  <w:szCs w:val="20"/>
                </w:rPr>
                <w:t>Future use of the 1.5 GHz and 3.6 GHz bands</w:t>
              </w:r>
            </w:hyperlink>
            <w:r>
              <w:rPr>
                <w:rFonts w:cs="Arial"/>
                <w:szCs w:val="20"/>
              </w:rPr>
              <w:t xml:space="preserve"> in October 2016, with 72 submissions received from industry. </w:t>
            </w:r>
          </w:p>
          <w:p w14:paraId="1D8A0C75" w14:textId="77777777" w:rsidR="00404753" w:rsidRDefault="00404753" w:rsidP="004A36BB">
            <w:pPr>
              <w:rPr>
                <w:rFonts w:cs="Arial"/>
                <w:szCs w:val="20"/>
              </w:rPr>
            </w:pPr>
            <w:r>
              <w:rPr>
                <w:rFonts w:cs="Arial"/>
                <w:szCs w:val="20"/>
              </w:rPr>
              <w:t xml:space="preserve">In June 2017, the ACMA released a </w:t>
            </w:r>
            <w:hyperlink r:id="rId42" w:history="1">
              <w:r>
                <w:rPr>
                  <w:rStyle w:val="Hyperlink"/>
                  <w:rFonts w:eastAsiaTheme="majorEastAsia" w:cs="Arial"/>
                  <w:szCs w:val="20"/>
                </w:rPr>
                <w:t>consultation package</w:t>
              </w:r>
            </w:hyperlink>
            <w:r>
              <w:rPr>
                <w:rFonts w:cs="Arial"/>
                <w:szCs w:val="20"/>
              </w:rPr>
              <w:t xml:space="preserve"> including </w:t>
            </w:r>
            <w:r>
              <w:rPr>
                <w:rFonts w:cs="Arial"/>
                <w:i/>
                <w:szCs w:val="20"/>
              </w:rPr>
              <w:t>Future use of the 1.5 GHz and 3.6 GHz bands—Summary of and response to 3.6 GHz submissions</w:t>
            </w:r>
            <w:r>
              <w:rPr>
                <w:rFonts w:cs="Arial"/>
                <w:szCs w:val="20"/>
              </w:rPr>
              <w:t xml:space="preserve">. This detailed the ACMA’s decision to progress both the 1.5 GHz and 3.6 GHz bands to the </w:t>
            </w:r>
            <w:r>
              <w:rPr>
                <w:rFonts w:cs="Arial"/>
                <w:i/>
                <w:szCs w:val="20"/>
              </w:rPr>
              <w:t>preliminary replanning</w:t>
            </w:r>
            <w:r>
              <w:rPr>
                <w:rFonts w:cs="Arial"/>
                <w:szCs w:val="20"/>
              </w:rPr>
              <w:t xml:space="preserve"> stage of the ACMA’s process for consideration of additional spectrum for MBB services.</w:t>
            </w:r>
          </w:p>
          <w:p w14:paraId="540C9F79" w14:textId="77777777" w:rsidR="00404753" w:rsidRDefault="00954362" w:rsidP="004A36BB">
            <w:pPr>
              <w:pStyle w:val="BodySubHeader"/>
              <w:keepNext/>
            </w:pPr>
            <w:r>
              <w:t>Recent developments</w:t>
            </w:r>
          </w:p>
          <w:p w14:paraId="034EBCED" w14:textId="77777777" w:rsidR="007D7C29" w:rsidRDefault="00404753" w:rsidP="005759E7">
            <w:pPr>
              <w:spacing w:after="120"/>
            </w:pPr>
            <w:r>
              <w:t xml:space="preserve">ITU-R Working Party 5D </w:t>
            </w:r>
            <w:r>
              <w:rPr>
                <w:lang w:eastAsia="zh-CN"/>
              </w:rPr>
              <w:t xml:space="preserve">has continued </w:t>
            </w:r>
            <w:r>
              <w:rPr>
                <w:rFonts w:eastAsia="SimSun"/>
                <w:lang w:eastAsia="zh-CN"/>
              </w:rPr>
              <w:t>revision of Recommendation ITU-</w:t>
            </w:r>
            <w:r>
              <w:t xml:space="preserve">R M.1036-5 on </w:t>
            </w:r>
            <w:r w:rsidR="00CF29B2">
              <w:t>f</w:t>
            </w:r>
            <w:r>
              <w:t xml:space="preserve">requency arrangements for implementation of the terrestrial component of IMT in the bands identified for IMT in the RRs. The draft revision includes arrangements for the frequency band 1427–1518 MHz. </w:t>
            </w:r>
          </w:p>
          <w:p w14:paraId="7EB28D03" w14:textId="77777777" w:rsidR="00404753" w:rsidRDefault="00404753" w:rsidP="005759E7">
            <w:pPr>
              <w:spacing w:after="120"/>
              <w:rPr>
                <w:rFonts w:eastAsia="SimSun"/>
                <w:lang w:eastAsia="zh-CN"/>
              </w:rPr>
            </w:pPr>
            <w:r>
              <w:lastRenderedPageBreak/>
              <w:t xml:space="preserve">Working Party 5D is also undertaking studies called for in Resolution </w:t>
            </w:r>
            <w:r>
              <w:rPr>
                <w:b/>
              </w:rPr>
              <w:t>223 (Rev. WRC-15)</w:t>
            </w:r>
            <w:r>
              <w:t>.</w:t>
            </w:r>
            <w:r>
              <w:rPr>
                <w:rFonts w:eastAsia="SimSun"/>
                <w:lang w:eastAsia="zh-CN"/>
              </w:rPr>
              <w:t xml:space="preserve"> Working Party 5D is aiming to complete these work items by late 2018. </w:t>
            </w:r>
          </w:p>
          <w:p w14:paraId="22D89FC9" w14:textId="77777777" w:rsidR="00404753" w:rsidRDefault="00404753" w:rsidP="004A36BB">
            <w:pPr>
              <w:rPr>
                <w:rFonts w:eastAsia="SimSun"/>
                <w:lang w:eastAsia="zh-CN"/>
              </w:rPr>
            </w:pPr>
            <w:r>
              <w:rPr>
                <w:rFonts w:eastAsia="SimSun"/>
                <w:lang w:eastAsia="zh-CN"/>
              </w:rPr>
              <w:t xml:space="preserve">The AWG has a work plan to develop a report on frequency arrangements for the </w:t>
            </w:r>
            <w:r>
              <w:rPr>
                <w:rFonts w:cs="Arial"/>
              </w:rPr>
              <w:t>1427–1518 MHz</w:t>
            </w:r>
            <w:r>
              <w:rPr>
                <w:rFonts w:eastAsia="SimSun"/>
                <w:lang w:eastAsia="zh-CN"/>
              </w:rPr>
              <w:t xml:space="preserve"> band. The current proposal is to finalise the work at AWG-23 in March/April 2018.</w:t>
            </w:r>
          </w:p>
          <w:p w14:paraId="6B769797" w14:textId="77777777" w:rsidR="00404753" w:rsidRDefault="00404753" w:rsidP="005759E7">
            <w:pPr>
              <w:pStyle w:val="BodySubHeader"/>
              <w:keepNext/>
            </w:pPr>
            <w:r>
              <w:t>Next steps</w:t>
            </w:r>
          </w:p>
          <w:p w14:paraId="3FA27730" w14:textId="77777777" w:rsidR="00404753" w:rsidRDefault="00404753" w:rsidP="005759E7">
            <w:pPr>
              <w:spacing w:after="120"/>
            </w:pPr>
            <w:r>
              <w:t xml:space="preserve">The ACMA will continue to monitor and engage with stakeholders via the usual international preparatory process to develop Australian positions on studies under </w:t>
            </w:r>
            <w:r>
              <w:rPr>
                <w:rFonts w:cs="Arial"/>
              </w:rPr>
              <w:t xml:space="preserve">Resolution </w:t>
            </w:r>
            <w:r>
              <w:rPr>
                <w:rFonts w:cs="Arial"/>
                <w:b/>
              </w:rPr>
              <w:t xml:space="preserve">223 (Rev. WRC-15) </w:t>
            </w:r>
            <w:r>
              <w:t>and Resolution</w:t>
            </w:r>
            <w:r>
              <w:rPr>
                <w:rFonts w:cs="Arial"/>
                <w:b/>
              </w:rPr>
              <w:t xml:space="preserve"> 761 (WRC-15),</w:t>
            </w:r>
            <w:r>
              <w:rPr>
                <w:rFonts w:cs="Arial"/>
              </w:rPr>
              <w:t xml:space="preserve"> </w:t>
            </w:r>
            <w:r>
              <w:t xml:space="preserve">and other international issues related to the 1.5 GHz band, such as possible new band plans. </w:t>
            </w:r>
          </w:p>
          <w:p w14:paraId="56C345AD" w14:textId="77777777" w:rsidR="00404753" w:rsidRDefault="00404753" w:rsidP="00972721">
            <w:pPr>
              <w:spacing w:after="120"/>
            </w:pPr>
            <w:r>
              <w:t xml:space="preserve">The ACMA </w:t>
            </w:r>
            <w:r w:rsidR="00C70630">
              <w:t xml:space="preserve">currently </w:t>
            </w:r>
            <w:r>
              <w:t xml:space="preserve">expects to recommence consideration of this band for domestic use for mobile broadband in 2018–19. This will include a discussion paper, which will progress consideration of the band within the </w:t>
            </w:r>
            <w:r>
              <w:rPr>
                <w:i/>
              </w:rPr>
              <w:t>preliminary replanning</w:t>
            </w:r>
            <w:r>
              <w:t xml:space="preserve"> stage.</w:t>
            </w:r>
            <w:r w:rsidR="0002443B">
              <w:t xml:space="preserve"> The paper would</w:t>
            </w:r>
            <w:r>
              <w:t xml:space="preserve"> consider MSS use above 1518</w:t>
            </w:r>
            <w:r w:rsidR="00972721">
              <w:t> </w:t>
            </w:r>
            <w:r>
              <w:t>MHz and broadband use below 1518 GHz in the same context, in order to develop balanced and optimised compatibility arrangements between these potential uses of the spectrum</w:t>
            </w:r>
            <w:r w:rsidR="00C70630">
              <w:t xml:space="preserve"> (see commentary on extended MSS L band in </w:t>
            </w:r>
            <w:r w:rsidR="00214E77" w:rsidRPr="00214E77">
              <w:rPr>
                <w:i/>
              </w:rPr>
              <w:t xml:space="preserve">Table 10: </w:t>
            </w:r>
            <w:r w:rsidR="00C70630" w:rsidRPr="00214E77">
              <w:rPr>
                <w:i/>
              </w:rPr>
              <w:t xml:space="preserve">Initial </w:t>
            </w:r>
            <w:r w:rsidR="00214E77" w:rsidRPr="00214E77">
              <w:rPr>
                <w:i/>
              </w:rPr>
              <w:t>i</w:t>
            </w:r>
            <w:r w:rsidR="00C70630" w:rsidRPr="00214E77">
              <w:rPr>
                <w:i/>
              </w:rPr>
              <w:t>nvestigation</w:t>
            </w:r>
            <w:r w:rsidR="00C70630" w:rsidRPr="00214E77">
              <w:t xml:space="preserve"> </w:t>
            </w:r>
            <w:r w:rsidR="00C70630">
              <w:t>above).</w:t>
            </w:r>
            <w:r>
              <w:t xml:space="preserve"> </w:t>
            </w:r>
          </w:p>
        </w:tc>
        <w:tc>
          <w:tcPr>
            <w:tcW w:w="813" w:type="pct"/>
            <w:tcBorders>
              <w:top w:val="single" w:sz="4" w:space="0" w:color="auto"/>
              <w:left w:val="single" w:sz="4" w:space="0" w:color="auto"/>
              <w:bottom w:val="single" w:sz="4" w:space="0" w:color="auto"/>
              <w:right w:val="single" w:sz="4" w:space="0" w:color="auto"/>
            </w:tcBorders>
          </w:tcPr>
          <w:p w14:paraId="1C54E480" w14:textId="77777777" w:rsidR="00C70630" w:rsidRDefault="00C70630" w:rsidP="004A36BB">
            <w:pPr>
              <w:pStyle w:val="TableBody"/>
              <w:rPr>
                <w:rFonts w:cs="Arial"/>
                <w:szCs w:val="20"/>
              </w:rPr>
            </w:pPr>
            <w:r>
              <w:rPr>
                <w:rFonts w:cs="Arial"/>
                <w:szCs w:val="20"/>
              </w:rPr>
              <w:lastRenderedPageBreak/>
              <w:t xml:space="preserve">Options paper </w:t>
            </w:r>
          </w:p>
          <w:p w14:paraId="7FCED67E" w14:textId="77777777" w:rsidR="00404753" w:rsidRDefault="00C70630" w:rsidP="004A36BB">
            <w:pPr>
              <w:pStyle w:val="TableBody"/>
              <w:rPr>
                <w:rFonts w:cs="Arial"/>
                <w:szCs w:val="20"/>
              </w:rPr>
            </w:pPr>
            <w:r>
              <w:rPr>
                <w:rFonts w:cs="Arial"/>
                <w:szCs w:val="20"/>
              </w:rPr>
              <w:t xml:space="preserve">no earlier than </w:t>
            </w:r>
            <w:r w:rsidR="00404753">
              <w:rPr>
                <w:rFonts w:cs="Arial"/>
                <w:szCs w:val="20"/>
              </w:rPr>
              <w:t>Q3 2018–19</w:t>
            </w:r>
          </w:p>
        </w:tc>
      </w:tr>
      <w:tr w:rsidR="001B0F77" w14:paraId="695228DE" w14:textId="77777777" w:rsidTr="00972721">
        <w:trPr>
          <w:trHeight w:val="150"/>
        </w:trPr>
        <w:tc>
          <w:tcPr>
            <w:tcW w:w="933" w:type="pct"/>
            <w:tcBorders>
              <w:top w:val="single" w:sz="4" w:space="0" w:color="auto"/>
              <w:left w:val="single" w:sz="4" w:space="0" w:color="auto"/>
              <w:bottom w:val="single" w:sz="4" w:space="0" w:color="auto"/>
              <w:right w:val="single" w:sz="4" w:space="0" w:color="auto"/>
            </w:tcBorders>
          </w:tcPr>
          <w:p w14:paraId="0D85C3C0" w14:textId="77777777" w:rsidR="001B0F77" w:rsidRDefault="001B0F77" w:rsidP="001B0F77">
            <w:pPr>
              <w:spacing w:after="0" w:line="240" w:lineRule="auto"/>
            </w:pPr>
            <w:r>
              <w:lastRenderedPageBreak/>
              <w:t xml:space="preserve">26 GHz </w:t>
            </w:r>
          </w:p>
          <w:p w14:paraId="578282A3" w14:textId="5FB360B5" w:rsidR="001B0F77" w:rsidRDefault="001B0F77" w:rsidP="001B0F77">
            <w:pPr>
              <w:spacing w:after="0" w:line="240" w:lineRule="auto"/>
            </w:pPr>
            <w:r>
              <w:t>(24.25–27.5 GHz)</w:t>
            </w:r>
          </w:p>
        </w:tc>
        <w:tc>
          <w:tcPr>
            <w:tcW w:w="3254" w:type="pct"/>
            <w:tcBorders>
              <w:top w:val="single" w:sz="4" w:space="0" w:color="auto"/>
              <w:left w:val="single" w:sz="4" w:space="0" w:color="auto"/>
              <w:bottom w:val="single" w:sz="4" w:space="0" w:color="auto"/>
              <w:right w:val="single" w:sz="4" w:space="0" w:color="auto"/>
            </w:tcBorders>
          </w:tcPr>
          <w:p w14:paraId="7F91F649" w14:textId="77777777" w:rsidR="001B0F77" w:rsidRDefault="001B0F77" w:rsidP="001B0F77">
            <w:pPr>
              <w:spacing w:after="120"/>
              <w:rPr>
                <w:rFonts w:cs="Arial"/>
              </w:rPr>
            </w:pPr>
            <w:r>
              <w:rPr>
                <w:rFonts w:cs="Arial"/>
              </w:rPr>
              <w:t xml:space="preserve">WRC-19 agenda item 1.13 is to consider identification of frequency </w:t>
            </w:r>
            <w:r w:rsidRPr="00BB38F9">
              <w:rPr>
                <w:rFonts w:cs="Arial"/>
              </w:rPr>
              <w:t>bands for the future development of IMT,</w:t>
            </w:r>
            <w:r>
              <w:rPr>
                <w:rFonts w:cs="Arial"/>
              </w:rPr>
              <w:t xml:space="preserve"> including possible additional allocations to the mobile service on a primary basis. This agenda item is widely acknowledged to be focusing on spectrum harmonisation requirements for 5G mobile broadband technologies. The 26 GHz band is one of the bands under consideration as part of WRC-19 agenda item 1.13.</w:t>
            </w:r>
          </w:p>
          <w:p w14:paraId="1DA25C5C" w14:textId="77777777" w:rsidR="001B0F77" w:rsidRDefault="001B0F77" w:rsidP="001B0F77">
            <w:pPr>
              <w:spacing w:after="120"/>
            </w:pPr>
            <w:r>
              <w:t xml:space="preserve">Following consideration of feedback to the ACMA’s </w:t>
            </w:r>
            <w:r>
              <w:rPr>
                <w:i/>
              </w:rPr>
              <w:t>Five-year spectrum outlook 2016–20</w:t>
            </w:r>
            <w:r>
              <w:t xml:space="preserve">, released in October 2016, the ACMA hosted a spectrum tune-up in September 2017 to solicit further industry views on the use of 26 GHz and other mmWave bands by broadband services. The ACMA also invited formal submissions on the issues raised for discussion at the event. </w:t>
            </w:r>
          </w:p>
          <w:p w14:paraId="78BE096A" w14:textId="77777777" w:rsidR="001B0F77" w:rsidRPr="007846E9" w:rsidRDefault="001B0F77" w:rsidP="001B0F77">
            <w:pPr>
              <w:spacing w:after="120"/>
            </w:pPr>
            <w:r w:rsidRPr="001E5818">
              <w:t xml:space="preserve">The tune-up </w:t>
            </w:r>
            <w:r>
              <w:t xml:space="preserve">also </w:t>
            </w:r>
            <w:r w:rsidRPr="001E5818">
              <w:t xml:space="preserve">floated some early ACMA thinking on potential technical planning scenarios and posed a number of </w:t>
            </w:r>
            <w:hyperlink r:id="rId43" w:history="1">
              <w:r w:rsidRPr="001E5818">
                <w:rPr>
                  <w:rStyle w:val="Hyperlink"/>
                </w:rPr>
                <w:t>questions</w:t>
              </w:r>
            </w:hyperlink>
            <w:r w:rsidRPr="001E5818">
              <w:t xml:space="preserve"> for industry input</w:t>
            </w:r>
            <w:r>
              <w:t>—</w:t>
            </w:r>
            <w:r w:rsidRPr="001E5818">
              <w:t xml:space="preserve">27 </w:t>
            </w:r>
            <w:hyperlink r:id="rId44" w:history="1">
              <w:r w:rsidRPr="001E5818">
                <w:rPr>
                  <w:rStyle w:val="Hyperlink"/>
                </w:rPr>
                <w:t>responses</w:t>
              </w:r>
            </w:hyperlink>
            <w:r w:rsidRPr="001E5818">
              <w:t xml:space="preserve"> were received. </w:t>
            </w:r>
            <w:r w:rsidRPr="001E5818">
              <w:rPr>
                <w:bCs/>
              </w:rPr>
              <w:t>A key question</w:t>
            </w:r>
            <w:r>
              <w:rPr>
                <w:bCs/>
              </w:rPr>
              <w:t xml:space="preserve"> posed in the tune-up</w:t>
            </w:r>
            <w:r w:rsidRPr="001E5818">
              <w:rPr>
                <w:bCs/>
              </w:rPr>
              <w:t xml:space="preserve"> was the appropriateness of accelerating </w:t>
            </w:r>
            <w:r w:rsidRPr="001E5818">
              <w:rPr>
                <w:bCs/>
              </w:rPr>
              <w:lastRenderedPageBreak/>
              <w:t xml:space="preserve">the band through the </w:t>
            </w:r>
            <w:r w:rsidRPr="001E5818">
              <w:rPr>
                <w:bCs/>
                <w:i/>
              </w:rPr>
              <w:t xml:space="preserve">initial </w:t>
            </w:r>
            <w:r w:rsidRPr="007846E9">
              <w:rPr>
                <w:i/>
              </w:rPr>
              <w:t xml:space="preserve">investigation </w:t>
            </w:r>
            <w:r w:rsidRPr="007846E9">
              <w:t xml:space="preserve">phase to the </w:t>
            </w:r>
            <w:r w:rsidRPr="007846E9">
              <w:rPr>
                <w:i/>
              </w:rPr>
              <w:t xml:space="preserve">preliminary replanning </w:t>
            </w:r>
            <w:r w:rsidRPr="007846E9">
              <w:t xml:space="preserve">stage. </w:t>
            </w:r>
          </w:p>
          <w:p w14:paraId="2D7C191A" w14:textId="77777777" w:rsidR="001B0F77" w:rsidRPr="005759E7" w:rsidRDefault="001B0F77" w:rsidP="001B0F77">
            <w:pPr>
              <w:pStyle w:val="BodySubHeader"/>
            </w:pPr>
            <w:r w:rsidRPr="00886039">
              <w:t>Recent developments</w:t>
            </w:r>
          </w:p>
          <w:p w14:paraId="0CDBBC03" w14:textId="77777777" w:rsidR="001B0F77" w:rsidRDefault="001B0F77" w:rsidP="001B0F77">
            <w:pPr>
              <w:spacing w:after="120"/>
            </w:pPr>
            <w:r>
              <w:t xml:space="preserve">Following the tune-up hosted in September 2017 and consideration of feedback, the ACMA has decided to include the 26 GHz band under </w:t>
            </w:r>
            <w:r>
              <w:rPr>
                <w:i/>
              </w:rPr>
              <w:t>preliminary replanning</w:t>
            </w:r>
            <w:r>
              <w:t>.</w:t>
            </w:r>
          </w:p>
          <w:p w14:paraId="64C87017" w14:textId="77777777" w:rsidR="001B0F77" w:rsidRDefault="001B0F77" w:rsidP="001B0F77">
            <w:pPr>
              <w:spacing w:after="120"/>
            </w:pPr>
            <w:r>
              <w:t xml:space="preserve">Given the importance of aligning domestic technical arrangements with larger overseas markets so that economies of scale can be achieved and ensuring coexistence with global services such as passive earth observation, the ACMA is looking closely to international developments, particularly in Europe, to assist in determining what conditions are appropriate to consider in any Australian release of the band.  </w:t>
            </w:r>
          </w:p>
          <w:p w14:paraId="78811A9D" w14:textId="77777777" w:rsidR="001B0F77" w:rsidRDefault="001B0F77" w:rsidP="001B0F77">
            <w:pPr>
              <w:spacing w:after="120"/>
            </w:pPr>
            <w:r>
              <w:t xml:space="preserve">In March and April 2018, the Electronic Communication Committee of CEPT (ECC) consulted on a draft decision titled </w:t>
            </w:r>
            <w:r w:rsidRPr="00113D99">
              <w:rPr>
                <w:i/>
              </w:rPr>
              <w:t>Harmonised technical conditions for Mobile/Fixed Communications Networks (MFCN) in the band 24.25-27.5 GHz</w:t>
            </w:r>
            <w:r>
              <w:t xml:space="preserve">. This draft decision addressed sharing and compatibility conditions to ensure coexistence with other spectrum users and included technical conditions to achieve this coexistence. </w:t>
            </w:r>
          </w:p>
          <w:p w14:paraId="0BE6E755" w14:textId="77777777" w:rsidR="001B0F77" w:rsidRDefault="001B0F77" w:rsidP="001B0F77">
            <w:pPr>
              <w:spacing w:after="120"/>
            </w:pPr>
            <w:r>
              <w:t>It was previously thought that clarity on some key technical coexistence considerations, particularly regarding compatibility with the earth exploration satellite service (EESS) would be resolved in Europe during the first half of 2018, which would have informed domestic considerations in roughly the same period. However, outcomes of the European process are now not expected until sometime in mid-2018.</w:t>
            </w:r>
          </w:p>
          <w:p w14:paraId="344569BE" w14:textId="77777777" w:rsidR="001B0F77" w:rsidRDefault="001B0F77" w:rsidP="001B0F77">
            <w:pPr>
              <w:spacing w:after="120"/>
            </w:pPr>
            <w:r>
              <w:t xml:space="preserve">This lack of clarity and uncertainty has contributed to the decision by the ACMA not to progress consideration of the band as fast as contemplated in last year’s FYSO. (See also discussion in the </w:t>
            </w:r>
            <w:r w:rsidRPr="00BE6916">
              <w:rPr>
                <w:i/>
              </w:rPr>
              <w:t>Forward allocation work plan</w:t>
            </w:r>
            <w:r>
              <w:t xml:space="preserve"> for further details). </w:t>
            </w:r>
          </w:p>
          <w:p w14:paraId="65F66AE6" w14:textId="77777777" w:rsidR="001B0F77" w:rsidRPr="007846E9" w:rsidRDefault="001B0F77" w:rsidP="001B0F77">
            <w:pPr>
              <w:pStyle w:val="BodySubHeader"/>
            </w:pPr>
            <w:r w:rsidRPr="007846E9">
              <w:t xml:space="preserve">Next </w:t>
            </w:r>
            <w:r w:rsidRPr="00886039">
              <w:t>steps</w:t>
            </w:r>
          </w:p>
          <w:p w14:paraId="396FE155" w14:textId="77777777" w:rsidR="001B0F77" w:rsidRPr="00177387" w:rsidRDefault="001B0F77" w:rsidP="001B0F77">
            <w:pPr>
              <w:spacing w:after="120"/>
            </w:pPr>
            <w:r>
              <w:t>The</w:t>
            </w:r>
            <w:r w:rsidRPr="00177387">
              <w:t xml:space="preserve"> ACMA </w:t>
            </w:r>
            <w:r>
              <w:t>is considering what an acceler</w:t>
            </w:r>
            <w:r w:rsidRPr="00177387">
              <w:t xml:space="preserve">ated process </w:t>
            </w:r>
            <w:r>
              <w:t xml:space="preserve">for the 26 GHz band would look like. This includes thinking into </w:t>
            </w:r>
            <w:r w:rsidRPr="00177387">
              <w:t xml:space="preserve">a range of potential options for both </w:t>
            </w:r>
            <w:r w:rsidRPr="00177387">
              <w:rPr>
                <w:i/>
              </w:rPr>
              <w:t xml:space="preserve">what </w:t>
            </w:r>
            <w:r w:rsidRPr="00177387">
              <w:t xml:space="preserve">should be allocated, in terms of specific frequencies and areas, and </w:t>
            </w:r>
            <w:r w:rsidRPr="00177387">
              <w:rPr>
                <w:i/>
              </w:rPr>
              <w:t xml:space="preserve">how </w:t>
            </w:r>
            <w:r w:rsidRPr="00177387">
              <w:t xml:space="preserve">the band should be allocated, in terms of which licence types should be adopted to meet a range of potentially varying wireless broadband use cases. </w:t>
            </w:r>
          </w:p>
          <w:p w14:paraId="14244350" w14:textId="77777777" w:rsidR="001B0F77" w:rsidRPr="00177387" w:rsidRDefault="001B0F77" w:rsidP="001B0F77">
            <w:pPr>
              <w:keepNext/>
              <w:keepLines/>
              <w:spacing w:after="80"/>
            </w:pPr>
            <w:r w:rsidRPr="00177387">
              <w:lastRenderedPageBreak/>
              <w:t xml:space="preserve">Specifically, </w:t>
            </w:r>
            <w:r>
              <w:t>potential approaches</w:t>
            </w:r>
            <w:r w:rsidRPr="00177387">
              <w:t xml:space="preserve"> </w:t>
            </w:r>
            <w:r>
              <w:t>are likely to</w:t>
            </w:r>
            <w:r w:rsidRPr="00177387">
              <w:t xml:space="preserve"> represent combinations of:</w:t>
            </w:r>
          </w:p>
          <w:p w14:paraId="4E3707D6" w14:textId="77777777" w:rsidR="001B0F77" w:rsidRPr="00177387" w:rsidRDefault="001B0F77" w:rsidP="001B0F77">
            <w:pPr>
              <w:pStyle w:val="ListBullet"/>
              <w:keepNext/>
              <w:keepLines/>
            </w:pPr>
            <w:r w:rsidRPr="00886039">
              <w:t>allocating</w:t>
            </w:r>
            <w:r w:rsidRPr="00177387">
              <w:t xml:space="preserve"> </w:t>
            </w:r>
            <w:r>
              <w:t>all or some fraction of the 26 GHz band (how much and in what part of the band would be informed by technical coexistence considerations)</w:t>
            </w:r>
          </w:p>
          <w:p w14:paraId="30348A4A" w14:textId="77777777" w:rsidR="001B0F77" w:rsidRPr="00177387" w:rsidRDefault="001B0F77" w:rsidP="001B0F77">
            <w:pPr>
              <w:pStyle w:val="ListBullet"/>
              <w:keepNext/>
              <w:keepLines/>
            </w:pPr>
            <w:r>
              <w:t xml:space="preserve">different licensing approaches </w:t>
            </w:r>
            <w:r w:rsidRPr="00177387">
              <w:t>to facilitate access for a number of different potential deployment models</w:t>
            </w:r>
            <w:r>
              <w:t xml:space="preserve">. This could include area-based </w:t>
            </w:r>
            <w:r w:rsidRPr="00177387">
              <w:t>spectrum licen</w:t>
            </w:r>
            <w:r>
              <w:t>sing in</w:t>
            </w:r>
            <w:r w:rsidRPr="00177387">
              <w:t xml:space="preserve"> either major metropolitan areas only, </w:t>
            </w:r>
            <w:r w:rsidRPr="00177387">
              <w:rPr>
                <w:i/>
              </w:rPr>
              <w:t>or</w:t>
            </w:r>
            <w:r w:rsidRPr="00177387">
              <w:t xml:space="preserve"> metro areas </w:t>
            </w:r>
            <w:r w:rsidRPr="00177387">
              <w:rPr>
                <w:i/>
              </w:rPr>
              <w:t xml:space="preserve">and </w:t>
            </w:r>
            <w:r w:rsidRPr="00177387">
              <w:t xml:space="preserve">regional centres </w:t>
            </w:r>
            <w:r w:rsidRPr="00DB69B8">
              <w:t>along with</w:t>
            </w:r>
            <w:r w:rsidRPr="00177387">
              <w:rPr>
                <w:i/>
              </w:rPr>
              <w:t xml:space="preserve"> </w:t>
            </w:r>
            <w:r w:rsidRPr="00177387">
              <w:t xml:space="preserve">(potentially) apparatus </w:t>
            </w:r>
            <w:r w:rsidRPr="00DB69B8">
              <w:t>and/or</w:t>
            </w:r>
            <w:r w:rsidRPr="00177387">
              <w:rPr>
                <w:i/>
              </w:rPr>
              <w:t xml:space="preserve"> </w:t>
            </w:r>
            <w:r w:rsidRPr="00177387">
              <w:t xml:space="preserve">class licensing </w:t>
            </w:r>
            <w:r>
              <w:t>in various parts of the band and areas.</w:t>
            </w:r>
          </w:p>
          <w:p w14:paraId="6AAA01C9" w14:textId="77777777" w:rsidR="001B0F77" w:rsidRDefault="001B0F77" w:rsidP="001B0F77">
            <w:pPr>
              <w:spacing w:after="120"/>
            </w:pPr>
            <w:r>
              <w:t xml:space="preserve">Internationally, as discussed above in the monitoring section regarding other bands being studied under WRC-19 agenda item 1.13, the ACMA intends to continue engaging with stakeholders via the usual international preparatory process to develop Australian positions on WRC-19 agenda item 1.13, which includes the 26 GHz band. </w:t>
            </w:r>
          </w:p>
          <w:p w14:paraId="44DA8AA5" w14:textId="1713721C" w:rsidR="001B0F77" w:rsidRDefault="001B0F77" w:rsidP="001B0F77">
            <w:pPr>
              <w:spacing w:after="120"/>
            </w:pPr>
            <w:r>
              <w:t xml:space="preserve">The current Australian Preliminary View considers the 26 GHz band favourably for a possible IMT identification: </w:t>
            </w:r>
            <w:r w:rsidRPr="00B851E3">
              <w:t xml:space="preserve">Based on current studies, </w:t>
            </w:r>
            <w:r>
              <w:t xml:space="preserve">the Australian position is </w:t>
            </w:r>
            <w:r w:rsidRPr="00B851E3">
              <w:t>that some or all of the 24.25</w:t>
            </w:r>
            <w:r>
              <w:t>–</w:t>
            </w:r>
            <w:r w:rsidRPr="00B851E3">
              <w:t>27.5 GHz frequency band is likely to be a suitable candidate for an IMT identification. Australia will monitor ongoing studies on this band and will revise its opinion on this band as necessary.</w:t>
            </w:r>
            <w:r w:rsidRPr="00DB69B8">
              <w:rPr>
                <w:i/>
              </w:rPr>
              <w:t xml:space="preserve"> </w:t>
            </w:r>
            <w:r>
              <w:t xml:space="preserve"> </w:t>
            </w:r>
          </w:p>
        </w:tc>
        <w:tc>
          <w:tcPr>
            <w:tcW w:w="813" w:type="pct"/>
            <w:tcBorders>
              <w:top w:val="single" w:sz="4" w:space="0" w:color="auto"/>
              <w:left w:val="single" w:sz="4" w:space="0" w:color="auto"/>
              <w:bottom w:val="single" w:sz="4" w:space="0" w:color="auto"/>
              <w:right w:val="single" w:sz="4" w:space="0" w:color="auto"/>
            </w:tcBorders>
          </w:tcPr>
          <w:p w14:paraId="62AF8D99" w14:textId="77777777" w:rsidR="001B0F77" w:rsidRDefault="001B0F77" w:rsidP="001B0F77">
            <w:pPr>
              <w:pStyle w:val="TableBody"/>
              <w:spacing w:after="120" w:line="240" w:lineRule="atLeast"/>
              <w:rPr>
                <w:rFonts w:cs="Arial"/>
                <w:szCs w:val="20"/>
              </w:rPr>
            </w:pPr>
            <w:r>
              <w:rPr>
                <w:rFonts w:cs="Arial"/>
                <w:szCs w:val="20"/>
              </w:rPr>
              <w:lastRenderedPageBreak/>
              <w:t>Options paper: Q1 2018–19</w:t>
            </w:r>
          </w:p>
          <w:p w14:paraId="0F05B735" w14:textId="03D80825" w:rsidR="001B0F77" w:rsidRDefault="001B0F77" w:rsidP="001B0F77">
            <w:pPr>
              <w:pStyle w:val="TableBody"/>
              <w:rPr>
                <w:rFonts w:cs="Arial"/>
                <w:szCs w:val="20"/>
              </w:rPr>
            </w:pPr>
            <w:r>
              <w:rPr>
                <w:rFonts w:cs="Arial"/>
                <w:szCs w:val="20"/>
              </w:rPr>
              <w:t>Decision: Q2 2018–19</w:t>
            </w:r>
          </w:p>
        </w:tc>
      </w:tr>
    </w:tbl>
    <w:p w14:paraId="46D7DE08" w14:textId="77777777" w:rsidR="004869C3" w:rsidRDefault="004869C3" w:rsidP="005759E7">
      <w:pPr>
        <w:pStyle w:val="ACMASpaceaftertable"/>
      </w:pPr>
    </w:p>
    <w:p w14:paraId="626DC4A7" w14:textId="77777777" w:rsidR="00F46EA9" w:rsidRDefault="003D3608" w:rsidP="00350C72">
      <w:pPr>
        <w:pStyle w:val="ACMATableHeader"/>
        <w:keepNext/>
      </w:pPr>
      <w:bookmarkStart w:id="221" w:name="_Toc510104949"/>
      <w:bookmarkStart w:id="222" w:name="_Toc510105746"/>
      <w:r>
        <w:lastRenderedPageBreak/>
        <w:t>Re</w:t>
      </w:r>
      <w:r w:rsidR="00E064B5">
        <w:t>-</w:t>
      </w:r>
      <w:r w:rsidR="00A9310F">
        <w:t>planning</w:t>
      </w:r>
      <w:bookmarkEnd w:id="221"/>
      <w:bookmarkEnd w:id="222"/>
    </w:p>
    <w:tbl>
      <w:tblPr>
        <w:tblStyle w:val="TableGrid"/>
        <w:tblW w:w="4922" w:type="pct"/>
        <w:tblInd w:w="226" w:type="dxa"/>
        <w:tblLayout w:type="fixed"/>
        <w:tblCellMar>
          <w:top w:w="57" w:type="dxa"/>
          <w:left w:w="57" w:type="dxa"/>
          <w:bottom w:w="57" w:type="dxa"/>
          <w:right w:w="57" w:type="dxa"/>
        </w:tblCellMar>
        <w:tblLook w:val="04A0" w:firstRow="1" w:lastRow="0" w:firstColumn="1" w:lastColumn="0" w:noHBand="0" w:noVBand="1"/>
        <w:tblCaption w:val="Key projects, activities and milestones in the replanning phase."/>
      </w:tblPr>
      <w:tblGrid>
        <w:gridCol w:w="1329"/>
        <w:gridCol w:w="4962"/>
        <w:gridCol w:w="1250"/>
      </w:tblGrid>
      <w:tr w:rsidR="00D900BB" w14:paraId="6E5726D2" w14:textId="77777777" w:rsidTr="00972721">
        <w:trPr>
          <w:trHeight w:val="361"/>
          <w:tblHeader/>
        </w:trPr>
        <w:tc>
          <w:tcPr>
            <w:tcW w:w="881"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81E1C27" w14:textId="77777777" w:rsidR="00D900BB" w:rsidRDefault="00D900BB" w:rsidP="00350C72">
            <w:pPr>
              <w:pStyle w:val="TableHeading"/>
              <w:rPr>
                <w:color w:val="FFFFFF" w:themeColor="background1"/>
              </w:rPr>
            </w:pPr>
            <w:r>
              <w:rPr>
                <w:color w:val="FFFFFF" w:themeColor="background1"/>
              </w:rPr>
              <w:t>Key projects</w:t>
            </w:r>
          </w:p>
        </w:tc>
        <w:tc>
          <w:tcPr>
            <w:tcW w:w="3289"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62AC3B6" w14:textId="77777777" w:rsidR="00D900BB" w:rsidRDefault="00D900BB" w:rsidP="00350C72">
            <w:pPr>
              <w:pStyle w:val="TableHeading"/>
              <w:rPr>
                <w:color w:val="FFFFFF" w:themeColor="background1"/>
              </w:rPr>
            </w:pPr>
            <w:r>
              <w:rPr>
                <w:color w:val="FFFFFF" w:themeColor="background1"/>
              </w:rPr>
              <w:t>Activity</w:t>
            </w:r>
          </w:p>
        </w:tc>
        <w:tc>
          <w:tcPr>
            <w:tcW w:w="829"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1A2D1CB" w14:textId="77777777" w:rsidR="00D900BB" w:rsidRDefault="00D900BB" w:rsidP="00350C72">
            <w:pPr>
              <w:pStyle w:val="TableHeading"/>
              <w:rPr>
                <w:color w:val="FFFFFF" w:themeColor="background1"/>
              </w:rPr>
            </w:pPr>
            <w:r>
              <w:rPr>
                <w:color w:val="FFFFFF" w:themeColor="background1"/>
              </w:rPr>
              <w:t>Milestones</w:t>
            </w:r>
          </w:p>
        </w:tc>
      </w:tr>
      <w:tr w:rsidR="00D900BB" w14:paraId="24F05E34" w14:textId="77777777" w:rsidTr="00214E77">
        <w:trPr>
          <w:trHeight w:val="6955"/>
        </w:trPr>
        <w:tc>
          <w:tcPr>
            <w:tcW w:w="881" w:type="pct"/>
            <w:tcBorders>
              <w:top w:val="single" w:sz="4" w:space="0" w:color="auto"/>
              <w:left w:val="single" w:sz="4" w:space="0" w:color="auto"/>
              <w:bottom w:val="single" w:sz="4" w:space="0" w:color="auto"/>
              <w:right w:val="single" w:sz="4" w:space="0" w:color="auto"/>
            </w:tcBorders>
          </w:tcPr>
          <w:p w14:paraId="20792A78" w14:textId="77777777" w:rsidR="00D900BB" w:rsidRDefault="00D900BB" w:rsidP="00350C72">
            <w:pPr>
              <w:spacing w:after="0" w:line="240" w:lineRule="auto"/>
            </w:pPr>
            <w:r>
              <w:t>850 MHz expansion band (809–824 MHz and 854–869 MHz)</w:t>
            </w:r>
          </w:p>
        </w:tc>
        <w:tc>
          <w:tcPr>
            <w:tcW w:w="3289" w:type="pct"/>
            <w:tcBorders>
              <w:top w:val="single" w:sz="4" w:space="0" w:color="auto"/>
              <w:left w:val="single" w:sz="4" w:space="0" w:color="auto"/>
              <w:bottom w:val="single" w:sz="4" w:space="0" w:color="auto"/>
              <w:right w:val="single" w:sz="4" w:space="0" w:color="auto"/>
            </w:tcBorders>
          </w:tcPr>
          <w:p w14:paraId="635F11E3" w14:textId="77777777" w:rsidR="00D900BB" w:rsidRDefault="00D900BB" w:rsidP="00350C72">
            <w:r>
              <w:t xml:space="preserve">In November 2015, the ACMA released its </w:t>
            </w:r>
            <w:hyperlink r:id="rId45" w:history="1">
              <w:r>
                <w:rPr>
                  <w:rStyle w:val="Hyperlink"/>
                  <w:i/>
                </w:rPr>
                <w:t>Long-term strategy for the 803–960 MHz band</w:t>
              </w:r>
            </w:hyperlink>
            <w:r>
              <w:t xml:space="preserve"> decision paper, signalling an end to the review of this band and commencement of a long-term implementation plan to put those decisions into effect. One of the key decisions arising from the review was that 2 x 15 MHz of 4G-standardised spectrum will be made available for new mobile broadband services from 2024. This spectrum will come from the 850 MHz ‘expansion band’, which is lower adjacent to the current 850 MHz 3G band used by Telstra and VHA. </w:t>
            </w:r>
          </w:p>
          <w:p w14:paraId="513E1891" w14:textId="77777777" w:rsidR="00D900BB" w:rsidRDefault="00954362" w:rsidP="00350C72">
            <w:pPr>
              <w:pStyle w:val="BodySubHeader"/>
            </w:pPr>
            <w:r>
              <w:t>Recent developments</w:t>
            </w:r>
          </w:p>
          <w:p w14:paraId="56414A1E" w14:textId="77777777" w:rsidR="00D900BB" w:rsidRDefault="00D900BB" w:rsidP="00350C72">
            <w:pPr>
              <w:spacing w:after="120"/>
            </w:pPr>
            <w:r>
              <w:t xml:space="preserve">The project is now in an </w:t>
            </w:r>
            <w:r>
              <w:rPr>
                <w:i/>
              </w:rPr>
              <w:t>implementation</w:t>
            </w:r>
            <w:r>
              <w:t xml:space="preserve"> phase, which is largely geared towards the clearance/relocation of incumbent services operating in the 850 MHz expansion frequencies earmarked for mobile broadband. The implementation plan is contained in the decision paper and the ACMA has established an implementation team to ensure that the milestones of the plan are reached with minimal disruption. </w:t>
            </w:r>
          </w:p>
          <w:p w14:paraId="21C539C4" w14:textId="77777777" w:rsidR="00D900BB" w:rsidRDefault="00D900BB" w:rsidP="00350C72">
            <w:pPr>
              <w:spacing w:after="120"/>
            </w:pPr>
            <w:r>
              <w:t>As part of this process, in July 2016, a new RALI (FX 22) was put in place to facilitate the transition of single frequency fixed links (SFFLs) and studio-to-transmitter links (STLs) to the new arrangements</w:t>
            </w:r>
            <w:r w:rsidR="00886039">
              <w:t>. F</w:t>
            </w:r>
            <w:r>
              <w:t>urther incremental updates will be made to this and other instructions as the implementation phase progresses.</w:t>
            </w:r>
          </w:p>
          <w:p w14:paraId="2645D804" w14:textId="77777777" w:rsidR="00D900BB" w:rsidRDefault="00D900BB" w:rsidP="00350C72">
            <w:pPr>
              <w:pStyle w:val="BodySubHeader"/>
            </w:pPr>
            <w:r>
              <w:t>Next steps</w:t>
            </w:r>
          </w:p>
          <w:p w14:paraId="607CD3B0" w14:textId="77777777" w:rsidR="00D900BB" w:rsidRDefault="00D900BB" w:rsidP="00350C72">
            <w:pPr>
              <w:spacing w:after="120"/>
            </w:pPr>
            <w:r>
              <w:t>The implementation plan set out in the decision paper contains various milestones for the transition to long-term arrangements by incumbent services. The ACMA is considering a range of options for how and when the 850 MHz expansion band might be allocated.</w:t>
            </w:r>
            <w:r w:rsidR="00F65F83">
              <w:t xml:space="preserve"> The intent remains to allocate it concurrently with the 900 MHz band, pending further consideration of 900 MHz reconfiguration options (see below).</w:t>
            </w:r>
          </w:p>
        </w:tc>
        <w:tc>
          <w:tcPr>
            <w:tcW w:w="829" w:type="pct"/>
            <w:tcBorders>
              <w:top w:val="single" w:sz="4" w:space="0" w:color="auto"/>
              <w:left w:val="single" w:sz="4" w:space="0" w:color="auto"/>
              <w:bottom w:val="single" w:sz="4" w:space="0" w:color="auto"/>
              <w:right w:val="single" w:sz="4" w:space="0" w:color="auto"/>
            </w:tcBorders>
          </w:tcPr>
          <w:p w14:paraId="2FD1F6A8" w14:textId="77777777" w:rsidR="00D900BB" w:rsidRDefault="00FF3B1A" w:rsidP="00350C72">
            <w:pPr>
              <w:pStyle w:val="TableBody"/>
              <w:rPr>
                <w:rFonts w:cs="Arial"/>
                <w:szCs w:val="20"/>
              </w:rPr>
            </w:pPr>
            <w:r>
              <w:rPr>
                <w:rFonts w:cs="Arial"/>
                <w:szCs w:val="20"/>
              </w:rPr>
              <w:t xml:space="preserve">See forward allocation </w:t>
            </w:r>
            <w:r w:rsidR="00BA6010">
              <w:rPr>
                <w:rFonts w:cs="Arial"/>
                <w:szCs w:val="20"/>
              </w:rPr>
              <w:t>work plan</w:t>
            </w:r>
            <w:r>
              <w:rPr>
                <w:rFonts w:cs="Arial"/>
                <w:szCs w:val="20"/>
              </w:rPr>
              <w:t xml:space="preserve"> scenarios for allocation timing options</w:t>
            </w:r>
          </w:p>
        </w:tc>
      </w:tr>
      <w:tr w:rsidR="00D900BB" w14:paraId="4DD0CFA5" w14:textId="77777777" w:rsidTr="00214E77">
        <w:trPr>
          <w:trHeight w:val="150"/>
        </w:trPr>
        <w:tc>
          <w:tcPr>
            <w:tcW w:w="881" w:type="pct"/>
            <w:tcBorders>
              <w:top w:val="single" w:sz="4" w:space="0" w:color="auto"/>
              <w:left w:val="single" w:sz="4" w:space="0" w:color="auto"/>
              <w:bottom w:val="single" w:sz="4" w:space="0" w:color="auto"/>
              <w:right w:val="single" w:sz="4" w:space="0" w:color="auto"/>
            </w:tcBorders>
          </w:tcPr>
          <w:p w14:paraId="345ABC32" w14:textId="77777777" w:rsidR="00C40966" w:rsidRDefault="00D900BB" w:rsidP="004A36BB">
            <w:pPr>
              <w:spacing w:after="0" w:line="240" w:lineRule="auto"/>
            </w:pPr>
            <w:r>
              <w:t xml:space="preserve">900 MHz </w:t>
            </w:r>
          </w:p>
          <w:p w14:paraId="17F292B3" w14:textId="77777777" w:rsidR="00D900BB" w:rsidRDefault="00D900BB" w:rsidP="004A36BB">
            <w:pPr>
              <w:spacing w:after="0" w:line="240" w:lineRule="auto"/>
            </w:pPr>
            <w:r>
              <w:t>(890–915 MHz and 935–960 MHz)</w:t>
            </w:r>
          </w:p>
        </w:tc>
        <w:tc>
          <w:tcPr>
            <w:tcW w:w="3289" w:type="pct"/>
            <w:tcBorders>
              <w:top w:val="single" w:sz="4" w:space="0" w:color="auto"/>
              <w:left w:val="single" w:sz="4" w:space="0" w:color="auto"/>
              <w:bottom w:val="single" w:sz="4" w:space="0" w:color="auto"/>
              <w:right w:val="single" w:sz="4" w:space="0" w:color="auto"/>
            </w:tcBorders>
          </w:tcPr>
          <w:p w14:paraId="4FF289E9" w14:textId="77777777" w:rsidR="00D900BB" w:rsidRDefault="002957B9" w:rsidP="005759E7">
            <w:pPr>
              <w:spacing w:after="120"/>
            </w:pPr>
            <w:r>
              <w:t xml:space="preserve">In </w:t>
            </w:r>
            <w:r w:rsidR="00D900BB">
              <w:t xml:space="preserve">October 2017, the ACMA </w:t>
            </w:r>
            <w:r>
              <w:t>r</w:t>
            </w:r>
            <w:r w:rsidR="00D900BB">
              <w:t xml:space="preserve">eleased a paper setting out </w:t>
            </w:r>
            <w:r w:rsidR="00886039">
              <w:t>its</w:t>
            </w:r>
            <w:r w:rsidR="00D900BB">
              <w:t xml:space="preserve"> preferred reconfiguration option for the 900 MHz (890–915/935–960 MHz) band in order to transition from the current 2 x 8.2 or 8.4 MHz frequency arrangements to multiples of 2 x 5 MHz. </w:t>
            </w:r>
            <w:r w:rsidR="006B5401">
              <w:t xml:space="preserve">The Authority also invited submissions about two related issues, </w:t>
            </w:r>
            <w:r>
              <w:t xml:space="preserve">namely </w:t>
            </w:r>
            <w:r w:rsidR="006B5401">
              <w:t>the appropriate treatment of the 2 x 1 MHz of spectrum immediately adjacent to and below the existing 850 MHz spectrum licences, and the duration of any spectrum licences issued in 900 MHz or the 850 MHz expansion band.</w:t>
            </w:r>
            <w:r w:rsidR="00D900BB">
              <w:t xml:space="preserve"> </w:t>
            </w:r>
          </w:p>
          <w:p w14:paraId="26A181EB" w14:textId="77777777" w:rsidR="00FF3B1A" w:rsidRDefault="00D900BB" w:rsidP="005759E7">
            <w:pPr>
              <w:spacing w:after="120"/>
            </w:pPr>
            <w:r>
              <w:t xml:space="preserve">A reconfiguration of licensing in the 900 MHz ‘GSM’ band (890–915/935–960 MHz) into 5 MHz FDD blocks, as well as a related proposal to implement a </w:t>
            </w:r>
            <w:r>
              <w:lastRenderedPageBreak/>
              <w:t>1</w:t>
            </w:r>
            <w:r w:rsidR="00350C72">
              <w:t> </w:t>
            </w:r>
            <w:r>
              <w:t xml:space="preserve">MHz downshift of the 850 MHz band (to maximise the utility of the adjacent 900 MHz GSM band), was originally proposed under the review of the 803–960 MHz band. </w:t>
            </w:r>
          </w:p>
          <w:p w14:paraId="1D01D8C8" w14:textId="77777777" w:rsidR="00D900BB" w:rsidRDefault="00954362" w:rsidP="00DB69B8">
            <w:pPr>
              <w:pStyle w:val="BodySubHeader"/>
              <w:keepNext/>
              <w:keepLines/>
            </w:pPr>
            <w:r>
              <w:t>Recent developments</w:t>
            </w:r>
          </w:p>
          <w:p w14:paraId="6AE64446" w14:textId="77777777" w:rsidR="00D900BB" w:rsidRDefault="002957B9" w:rsidP="004A36BB">
            <w:r>
              <w:t>The ACMA is currently considering resp</w:t>
            </w:r>
            <w:r w:rsidR="00FF3B1A">
              <w:t>onses to its October 2017 paper.</w:t>
            </w:r>
          </w:p>
          <w:p w14:paraId="1ED6268C" w14:textId="77777777" w:rsidR="00D900BB" w:rsidRDefault="00D900BB" w:rsidP="005759E7">
            <w:pPr>
              <w:pStyle w:val="BodySubHeader"/>
              <w:keepNext/>
            </w:pPr>
            <w:r>
              <w:t xml:space="preserve">Next </w:t>
            </w:r>
            <w:r w:rsidRPr="00886039">
              <w:t>steps</w:t>
            </w:r>
          </w:p>
          <w:p w14:paraId="189178BE" w14:textId="77777777" w:rsidR="00D900BB" w:rsidRDefault="00F65F83" w:rsidP="00836444">
            <w:pPr>
              <w:spacing w:after="120"/>
            </w:pPr>
            <w:r>
              <w:t>Reconfiguration</w:t>
            </w:r>
            <w:r w:rsidR="00D900BB">
              <w:t xml:space="preserve"> options for</w:t>
            </w:r>
            <w:r>
              <w:t xml:space="preserve"> the band remain under consideration, including</w:t>
            </w:r>
            <w:r w:rsidR="00D900BB">
              <w:t xml:space="preserve"> the </w:t>
            </w:r>
            <w:r>
              <w:t xml:space="preserve">above-mentioned </w:t>
            </w:r>
            <w:r w:rsidR="00D900BB">
              <w:t xml:space="preserve">clearance and reallocation </w:t>
            </w:r>
            <w:r>
              <w:t>proposal, in consultation with industry. This includes definition of time</w:t>
            </w:r>
            <w:r w:rsidR="00DB69B8">
              <w:t xml:space="preserve"> </w:t>
            </w:r>
            <w:r>
              <w:t>frames and any associated transitional arrang</w:t>
            </w:r>
            <w:r w:rsidR="00461D92">
              <w:t>e</w:t>
            </w:r>
            <w:r>
              <w:t>ments.</w:t>
            </w:r>
            <w:r w:rsidR="00D900BB">
              <w:t xml:space="preserve"> </w:t>
            </w:r>
          </w:p>
        </w:tc>
        <w:tc>
          <w:tcPr>
            <w:tcW w:w="829" w:type="pct"/>
            <w:tcBorders>
              <w:top w:val="single" w:sz="4" w:space="0" w:color="auto"/>
              <w:left w:val="single" w:sz="4" w:space="0" w:color="auto"/>
              <w:bottom w:val="single" w:sz="4" w:space="0" w:color="auto"/>
              <w:right w:val="single" w:sz="4" w:space="0" w:color="auto"/>
            </w:tcBorders>
          </w:tcPr>
          <w:p w14:paraId="1FD1C720" w14:textId="77777777" w:rsidR="00D900BB" w:rsidRDefault="00FF3B1A" w:rsidP="004A36BB">
            <w:pPr>
              <w:pStyle w:val="TableBody"/>
              <w:rPr>
                <w:rFonts w:cs="Arial"/>
                <w:szCs w:val="20"/>
              </w:rPr>
            </w:pPr>
            <w:r>
              <w:rPr>
                <w:rFonts w:cs="Arial"/>
                <w:szCs w:val="20"/>
              </w:rPr>
              <w:lastRenderedPageBreak/>
              <w:t xml:space="preserve">See forward allocation </w:t>
            </w:r>
            <w:r w:rsidR="00BA6010">
              <w:rPr>
                <w:rFonts w:cs="Arial"/>
                <w:szCs w:val="20"/>
              </w:rPr>
              <w:t>work plan</w:t>
            </w:r>
            <w:r>
              <w:rPr>
                <w:rFonts w:cs="Arial"/>
                <w:szCs w:val="20"/>
              </w:rPr>
              <w:t xml:space="preserve"> scenarios for allocation timing options</w:t>
            </w:r>
          </w:p>
        </w:tc>
      </w:tr>
      <w:tr w:rsidR="00D900BB" w14:paraId="40939139" w14:textId="77777777" w:rsidTr="00214E77">
        <w:trPr>
          <w:trHeight w:val="150"/>
        </w:trPr>
        <w:tc>
          <w:tcPr>
            <w:tcW w:w="881" w:type="pct"/>
            <w:tcBorders>
              <w:top w:val="single" w:sz="4" w:space="0" w:color="auto"/>
              <w:left w:val="single" w:sz="4" w:space="0" w:color="auto"/>
              <w:bottom w:val="single" w:sz="4" w:space="0" w:color="auto"/>
              <w:right w:val="single" w:sz="4" w:space="0" w:color="auto"/>
            </w:tcBorders>
          </w:tcPr>
          <w:p w14:paraId="5EBACF8C" w14:textId="77777777" w:rsidR="00C76DB6" w:rsidRPr="0027128C" w:rsidRDefault="00C76DB6">
            <w:pPr>
              <w:pStyle w:val="TableBody"/>
              <w:spacing w:line="240" w:lineRule="atLeast"/>
            </w:pPr>
            <w:r w:rsidRPr="0027128C">
              <w:lastRenderedPageBreak/>
              <w:t>3</w:t>
            </w:r>
            <w:r w:rsidR="00D900BB" w:rsidRPr="0027128C">
              <w:t xml:space="preserve">.6 GHz </w:t>
            </w:r>
          </w:p>
          <w:p w14:paraId="3FB90933" w14:textId="77777777" w:rsidR="00D900BB" w:rsidRDefault="00C76DB6">
            <w:pPr>
              <w:pStyle w:val="TableBody"/>
              <w:spacing w:line="240" w:lineRule="atLeast"/>
            </w:pPr>
            <w:r w:rsidRPr="0027128C">
              <w:t>(3575-3700 MHz)</w:t>
            </w:r>
          </w:p>
          <w:p w14:paraId="38A2AD1D" w14:textId="77777777" w:rsidR="006D718C" w:rsidRDefault="006D718C">
            <w:pPr>
              <w:pStyle w:val="TableBody"/>
              <w:spacing w:line="240" w:lineRule="atLeast"/>
            </w:pPr>
          </w:p>
          <w:p w14:paraId="53D8053B" w14:textId="77777777" w:rsidR="006D718C" w:rsidRPr="00530A2E" w:rsidRDefault="006D718C" w:rsidP="00205F9D">
            <w:pPr>
              <w:pStyle w:val="TableBody"/>
              <w:spacing w:line="240" w:lineRule="atLeast"/>
              <w:rPr>
                <w:rFonts w:cs="Arial"/>
                <w:szCs w:val="20"/>
              </w:rPr>
            </w:pPr>
            <w:r w:rsidRPr="0027128C">
              <w:rPr>
                <w:rFonts w:cs="Arial"/>
                <w:szCs w:val="20"/>
              </w:rPr>
              <w:t>5.6 GHz</w:t>
            </w:r>
            <w:r>
              <w:rPr>
                <w:rFonts w:cs="Arial"/>
                <w:szCs w:val="20"/>
              </w:rPr>
              <w:t xml:space="preserve"> </w:t>
            </w:r>
            <w:r w:rsidR="00205F9D">
              <w:rPr>
                <w:rFonts w:cs="Arial"/>
                <w:szCs w:val="20"/>
              </w:rPr>
              <w:t>(</w:t>
            </w:r>
            <w:r w:rsidRPr="0027128C">
              <w:rPr>
                <w:rFonts w:cs="Arial"/>
                <w:szCs w:val="20"/>
              </w:rPr>
              <w:t>5600</w:t>
            </w:r>
            <w:r>
              <w:rPr>
                <w:rFonts w:cs="Arial"/>
                <w:szCs w:val="20"/>
              </w:rPr>
              <w:t>–</w:t>
            </w:r>
            <w:r w:rsidRPr="0027128C">
              <w:rPr>
                <w:rFonts w:cs="Arial"/>
                <w:szCs w:val="20"/>
              </w:rPr>
              <w:t>5650 MHz</w:t>
            </w:r>
            <w:r w:rsidR="00205F9D">
              <w:rPr>
                <w:rFonts w:cs="Arial"/>
                <w:szCs w:val="20"/>
              </w:rPr>
              <w:t>)</w:t>
            </w:r>
          </w:p>
        </w:tc>
        <w:tc>
          <w:tcPr>
            <w:tcW w:w="3289" w:type="pct"/>
            <w:tcBorders>
              <w:top w:val="single" w:sz="4" w:space="0" w:color="auto"/>
              <w:left w:val="single" w:sz="4" w:space="0" w:color="auto"/>
              <w:bottom w:val="single" w:sz="4" w:space="0" w:color="auto"/>
              <w:right w:val="single" w:sz="4" w:space="0" w:color="auto"/>
            </w:tcBorders>
          </w:tcPr>
          <w:p w14:paraId="214D7E27" w14:textId="77777777" w:rsidR="008A199D" w:rsidRPr="0027128C" w:rsidRDefault="00D900BB" w:rsidP="005759E7">
            <w:pPr>
              <w:spacing w:after="120"/>
              <w:rPr>
                <w:rFonts w:cs="Arial"/>
                <w:szCs w:val="20"/>
              </w:rPr>
            </w:pPr>
            <w:r w:rsidRPr="0027128C">
              <w:rPr>
                <w:rFonts w:cs="Arial"/>
                <w:szCs w:val="20"/>
              </w:rPr>
              <w:t>In October 2017</w:t>
            </w:r>
            <w:r w:rsidR="00886039">
              <w:rPr>
                <w:rFonts w:cs="Arial"/>
                <w:szCs w:val="20"/>
              </w:rPr>
              <w:t>,</w:t>
            </w:r>
            <w:r w:rsidRPr="0027128C">
              <w:rPr>
                <w:rFonts w:cs="Arial"/>
                <w:szCs w:val="20"/>
              </w:rPr>
              <w:t xml:space="preserve"> the ACMA announced the preliminary views and outcomes of its </w:t>
            </w:r>
            <w:hyperlink r:id="rId46" w:history="1">
              <w:r w:rsidRPr="0027128C">
                <w:rPr>
                  <w:rStyle w:val="Hyperlink"/>
                  <w:rFonts w:cs="Arial"/>
                  <w:szCs w:val="20"/>
                </w:rPr>
                <w:t>3.6 GHz band review</w:t>
              </w:r>
            </w:hyperlink>
            <w:r w:rsidRPr="0027128C">
              <w:rPr>
                <w:rFonts w:cs="Arial"/>
                <w:szCs w:val="20"/>
              </w:rPr>
              <w:t xml:space="preserve">. </w:t>
            </w:r>
          </w:p>
          <w:p w14:paraId="34ED7037" w14:textId="77777777" w:rsidR="0063695E" w:rsidRDefault="00D900BB" w:rsidP="00D24EC9">
            <w:pPr>
              <w:spacing w:after="80"/>
              <w:rPr>
                <w:rFonts w:cs="Arial"/>
                <w:szCs w:val="20"/>
              </w:rPr>
            </w:pPr>
            <w:r w:rsidRPr="0027128C">
              <w:rPr>
                <w:rFonts w:cs="Arial"/>
                <w:szCs w:val="20"/>
              </w:rPr>
              <w:t>As part of the outcomes announced</w:t>
            </w:r>
            <w:r w:rsidR="00886039">
              <w:rPr>
                <w:rFonts w:cs="Arial"/>
                <w:szCs w:val="20"/>
              </w:rPr>
              <w:t>,</w:t>
            </w:r>
            <w:r w:rsidRPr="0027128C">
              <w:rPr>
                <w:rFonts w:cs="Arial"/>
                <w:szCs w:val="20"/>
              </w:rPr>
              <w:t xml:space="preserve"> there were a number of mitigation measures identified for affected incumbent point-to-multipoint licensees. This included</w:t>
            </w:r>
            <w:r w:rsidR="0063695E">
              <w:rPr>
                <w:rFonts w:cs="Arial"/>
                <w:szCs w:val="20"/>
              </w:rPr>
              <w:t>:</w:t>
            </w:r>
          </w:p>
          <w:p w14:paraId="13F6C3DA" w14:textId="2CD81B39" w:rsidR="0063695E" w:rsidRDefault="00D900BB" w:rsidP="00D24EC9">
            <w:pPr>
              <w:pStyle w:val="ListBullet"/>
              <w:rPr>
                <w:rFonts w:cs="Arial"/>
                <w:szCs w:val="20"/>
              </w:rPr>
            </w:pPr>
            <w:r w:rsidRPr="0027128C">
              <w:rPr>
                <w:rFonts w:cs="Arial"/>
                <w:szCs w:val="20"/>
              </w:rPr>
              <w:t>making part of the 5600</w:t>
            </w:r>
            <w:r w:rsidR="00886039">
              <w:rPr>
                <w:rFonts w:cs="Arial"/>
                <w:szCs w:val="20"/>
              </w:rPr>
              <w:t>–</w:t>
            </w:r>
            <w:r w:rsidRPr="0027128C">
              <w:rPr>
                <w:rFonts w:cs="Arial"/>
                <w:szCs w:val="20"/>
              </w:rPr>
              <w:t xml:space="preserve">5650 MHz (5.6 GHz) band </w:t>
            </w:r>
            <w:r w:rsidRPr="0027128C">
              <w:rPr>
                <w:lang w:eastAsia="en-US"/>
              </w:rPr>
              <w:t xml:space="preserve">available under a coordinated apparatus-licensed regime for site-based point-to-multipoint uses </w:t>
            </w:r>
            <w:r w:rsidRPr="0027128C">
              <w:rPr>
                <w:rFonts w:cs="Arial"/>
                <w:szCs w:val="20"/>
              </w:rPr>
              <w:t>outside of metropolitan areas</w:t>
            </w:r>
          </w:p>
          <w:p w14:paraId="7CC43BD0" w14:textId="69D9CA67" w:rsidR="00D900BB" w:rsidRPr="0027128C" w:rsidRDefault="00D900BB" w:rsidP="00D24EC9">
            <w:pPr>
              <w:pStyle w:val="ListBullet"/>
              <w:rPr>
                <w:rFonts w:cs="Arial"/>
                <w:szCs w:val="20"/>
              </w:rPr>
            </w:pPr>
            <w:r w:rsidRPr="0027128C">
              <w:rPr>
                <w:lang w:eastAsia="en-US"/>
              </w:rPr>
              <w:t xml:space="preserve">a long-term alternative for site-based point-to-multipoint users </w:t>
            </w:r>
            <w:r w:rsidR="0063695E">
              <w:rPr>
                <w:lang w:eastAsia="en-US"/>
              </w:rPr>
              <w:t xml:space="preserve">who </w:t>
            </w:r>
            <w:r w:rsidRPr="0027128C">
              <w:rPr>
                <w:lang w:eastAsia="en-US"/>
              </w:rPr>
              <w:t>provide services that are not conducive to a spectrum-licensed regime</w:t>
            </w:r>
            <w:r w:rsidR="00DE05DB">
              <w:rPr>
                <w:lang w:eastAsia="en-US"/>
              </w:rPr>
              <w:t xml:space="preserve"> and</w:t>
            </w:r>
            <w:r w:rsidR="00640BB1">
              <w:rPr>
                <w:lang w:eastAsia="en-US"/>
              </w:rPr>
              <w:t xml:space="preserve"> for</w:t>
            </w:r>
            <w:r w:rsidR="0063695E">
              <w:rPr>
                <w:lang w:eastAsia="en-US"/>
              </w:rPr>
              <w:t xml:space="preserve"> </w:t>
            </w:r>
            <w:r w:rsidR="00DE05DB">
              <w:rPr>
                <w:lang w:eastAsia="en-US"/>
              </w:rPr>
              <w:t>t</w:t>
            </w:r>
            <w:r w:rsidRPr="0027128C">
              <w:rPr>
                <w:lang w:eastAsia="en-US"/>
              </w:rPr>
              <w:t>he use of coordinated apparatus licen</w:t>
            </w:r>
            <w:r w:rsidR="002957B9" w:rsidRPr="0027128C">
              <w:rPr>
                <w:lang w:eastAsia="en-US"/>
              </w:rPr>
              <w:t>c</w:t>
            </w:r>
            <w:r w:rsidRPr="0027128C">
              <w:rPr>
                <w:lang w:eastAsia="en-US"/>
              </w:rPr>
              <w:t>es to facilitate protection of incumbent Bureau of Meteorology (BoM) radars in the band.</w:t>
            </w:r>
          </w:p>
          <w:p w14:paraId="0F378E8E" w14:textId="77777777" w:rsidR="00D900BB" w:rsidRPr="0027128C" w:rsidRDefault="00954362" w:rsidP="004A36BB">
            <w:pPr>
              <w:pStyle w:val="BodySubHeader"/>
            </w:pPr>
            <w:r>
              <w:t>Recent developments</w:t>
            </w:r>
          </w:p>
          <w:p w14:paraId="616497F4" w14:textId="77777777" w:rsidR="00D900BB" w:rsidRPr="0027128C" w:rsidRDefault="00D900BB" w:rsidP="005759E7">
            <w:pPr>
              <w:spacing w:after="120"/>
              <w:rPr>
                <w:rFonts w:cs="Arial"/>
                <w:szCs w:val="20"/>
              </w:rPr>
            </w:pPr>
            <w:r w:rsidRPr="0027128C">
              <w:rPr>
                <w:rFonts w:cs="Arial"/>
                <w:szCs w:val="20"/>
              </w:rPr>
              <w:t xml:space="preserve">In December 2017, the ACMA made a recommendation to the Minister for </w:t>
            </w:r>
            <w:r w:rsidR="00886039">
              <w:rPr>
                <w:rFonts w:cs="Arial"/>
                <w:szCs w:val="20"/>
              </w:rPr>
              <w:t>C</w:t>
            </w:r>
            <w:r w:rsidRPr="0027128C">
              <w:rPr>
                <w:rFonts w:cs="Arial"/>
                <w:szCs w:val="20"/>
              </w:rPr>
              <w:t xml:space="preserve">ommunications that </w:t>
            </w:r>
            <w:r w:rsidR="00886039">
              <w:rPr>
                <w:rFonts w:cs="Arial"/>
                <w:szCs w:val="20"/>
              </w:rPr>
              <w:t>he</w:t>
            </w:r>
            <w:r w:rsidR="00886039" w:rsidRPr="0027128C">
              <w:rPr>
                <w:rFonts w:cs="Arial"/>
                <w:szCs w:val="20"/>
              </w:rPr>
              <w:t xml:space="preserve"> </w:t>
            </w:r>
            <w:r w:rsidRPr="0027128C">
              <w:rPr>
                <w:rFonts w:cs="Arial"/>
                <w:szCs w:val="20"/>
              </w:rPr>
              <w:t>re-allocate the 3.6 GHz band in regional and metropolitan areas for the issue of spectrum licences.</w:t>
            </w:r>
          </w:p>
          <w:p w14:paraId="6B265896" w14:textId="77777777" w:rsidR="00D900BB" w:rsidRPr="0027128C" w:rsidRDefault="00D900BB" w:rsidP="00FF3B1A">
            <w:pPr>
              <w:rPr>
                <w:rFonts w:cs="Arial"/>
                <w:szCs w:val="20"/>
              </w:rPr>
            </w:pPr>
            <w:r w:rsidRPr="0027128C">
              <w:rPr>
                <w:rFonts w:cs="Arial"/>
                <w:szCs w:val="20"/>
              </w:rPr>
              <w:t>In March 2018</w:t>
            </w:r>
            <w:r w:rsidR="00E706F9">
              <w:rPr>
                <w:rFonts w:cs="Arial"/>
                <w:szCs w:val="20"/>
              </w:rPr>
              <w:t>,</w:t>
            </w:r>
            <w:r w:rsidRPr="0027128C">
              <w:rPr>
                <w:rFonts w:cs="Arial"/>
                <w:szCs w:val="20"/>
              </w:rPr>
              <w:t xml:space="preserve"> the </w:t>
            </w:r>
            <w:r w:rsidR="00E706F9">
              <w:rPr>
                <w:rFonts w:cs="Arial"/>
                <w:szCs w:val="20"/>
              </w:rPr>
              <w:t>m</w:t>
            </w:r>
            <w:r w:rsidRPr="0027128C">
              <w:rPr>
                <w:rFonts w:cs="Arial"/>
                <w:szCs w:val="20"/>
              </w:rPr>
              <w:t>inister re-allocated the 3.6 GHz band for the issue of spectrum licences in regional and remote areas of Australia.</w:t>
            </w:r>
            <w:r w:rsidRPr="0027128C">
              <w:rPr>
                <w:rStyle w:val="FootnoteReference"/>
                <w:rFonts w:cs="Arial"/>
                <w:szCs w:val="20"/>
              </w:rPr>
              <w:footnoteReference w:id="32"/>
            </w:r>
            <w:r w:rsidRPr="0027128C">
              <w:rPr>
                <w:rFonts w:cs="Arial"/>
                <w:szCs w:val="20"/>
              </w:rPr>
              <w:t xml:space="preserve"> </w:t>
            </w:r>
          </w:p>
          <w:p w14:paraId="39215061" w14:textId="77777777" w:rsidR="008A199D" w:rsidRPr="0027128C" w:rsidRDefault="00D900BB" w:rsidP="005759E7">
            <w:pPr>
              <w:pStyle w:val="BodySubHeader"/>
              <w:rPr>
                <w:rFonts w:cs="Arial"/>
                <w:szCs w:val="20"/>
              </w:rPr>
            </w:pPr>
            <w:r w:rsidRPr="00530A2E">
              <w:t xml:space="preserve">Next </w:t>
            </w:r>
            <w:r w:rsidR="00E706F9">
              <w:t>s</w:t>
            </w:r>
            <w:r w:rsidRPr="00530A2E">
              <w:t>teps</w:t>
            </w:r>
            <w:r w:rsidR="00447762">
              <w:rPr>
                <w:rFonts w:cs="Arial"/>
                <w:szCs w:val="20"/>
              </w:rPr>
              <w:t xml:space="preserve"> </w:t>
            </w:r>
            <w:r w:rsidRPr="00CA45D7">
              <w:rPr>
                <w:rFonts w:cs="Arial"/>
                <w:szCs w:val="20"/>
              </w:rPr>
              <w:t xml:space="preserve"> </w:t>
            </w:r>
          </w:p>
          <w:p w14:paraId="4E1563A4" w14:textId="77777777" w:rsidR="00205F9D" w:rsidRDefault="00D900BB" w:rsidP="006D718C">
            <w:pPr>
              <w:pStyle w:val="TableBody"/>
              <w:spacing w:after="120"/>
              <w:rPr>
                <w:rFonts w:cs="Arial"/>
                <w:szCs w:val="20"/>
              </w:rPr>
            </w:pPr>
            <w:r w:rsidRPr="0027128C">
              <w:rPr>
                <w:rFonts w:cs="Arial"/>
                <w:szCs w:val="20"/>
              </w:rPr>
              <w:t xml:space="preserve">Following on from the </w:t>
            </w:r>
            <w:r w:rsidR="00E706F9">
              <w:rPr>
                <w:rFonts w:cs="Arial"/>
                <w:szCs w:val="20"/>
              </w:rPr>
              <w:t>m</w:t>
            </w:r>
            <w:r w:rsidRPr="0027128C">
              <w:rPr>
                <w:rFonts w:cs="Arial"/>
                <w:szCs w:val="20"/>
              </w:rPr>
              <w:t>inister’s reallocation declaration</w:t>
            </w:r>
            <w:r w:rsidR="00E706F9">
              <w:rPr>
                <w:rFonts w:cs="Arial"/>
                <w:szCs w:val="20"/>
              </w:rPr>
              <w:t>,</w:t>
            </w:r>
            <w:r w:rsidRPr="0027128C">
              <w:rPr>
                <w:rFonts w:cs="Arial"/>
                <w:szCs w:val="20"/>
              </w:rPr>
              <w:t xml:space="preserve"> the ACMA </w:t>
            </w:r>
            <w:r w:rsidR="006D718C">
              <w:rPr>
                <w:rFonts w:cs="Arial"/>
                <w:szCs w:val="20"/>
              </w:rPr>
              <w:t xml:space="preserve">has progressed planning work to </w:t>
            </w:r>
            <w:r w:rsidRPr="0027128C">
              <w:rPr>
                <w:rFonts w:cs="Arial"/>
                <w:szCs w:val="20"/>
              </w:rPr>
              <w:t xml:space="preserve">put in place a </w:t>
            </w:r>
            <w:r w:rsidRPr="0027128C">
              <w:rPr>
                <w:lang w:eastAsia="en-US"/>
              </w:rPr>
              <w:t xml:space="preserve">coordinated apparatus-licensed </w:t>
            </w:r>
            <w:r w:rsidRPr="0027128C">
              <w:rPr>
                <w:lang w:eastAsia="en-US"/>
              </w:rPr>
              <w:lastRenderedPageBreak/>
              <w:t xml:space="preserve">regime for site-based point-to-multipoint uses </w:t>
            </w:r>
            <w:r w:rsidRPr="0027128C">
              <w:rPr>
                <w:rFonts w:cs="Arial"/>
                <w:szCs w:val="20"/>
              </w:rPr>
              <w:t xml:space="preserve">outside of metropolitan areas in the 5.6 GHz band. </w:t>
            </w:r>
          </w:p>
          <w:p w14:paraId="259C7295" w14:textId="77777777" w:rsidR="00D900BB" w:rsidRPr="0027128C" w:rsidRDefault="00D900BB" w:rsidP="006D718C">
            <w:pPr>
              <w:pStyle w:val="TableBody"/>
              <w:spacing w:after="120"/>
            </w:pPr>
            <w:r w:rsidRPr="0027128C">
              <w:rPr>
                <w:rFonts w:cs="Arial"/>
                <w:szCs w:val="20"/>
              </w:rPr>
              <w:t xml:space="preserve">Consultation on proposed arrangements is </w:t>
            </w:r>
            <w:r w:rsidR="001A42E7">
              <w:rPr>
                <w:rFonts w:cs="Arial"/>
                <w:szCs w:val="20"/>
              </w:rPr>
              <w:t xml:space="preserve">intended, </w:t>
            </w:r>
            <w:r w:rsidRPr="0027128C">
              <w:rPr>
                <w:rFonts w:cs="Arial"/>
                <w:szCs w:val="20"/>
              </w:rPr>
              <w:t xml:space="preserve">with final arrangements put in </w:t>
            </w:r>
            <w:r w:rsidR="006B5401" w:rsidRPr="0027128C">
              <w:rPr>
                <w:rFonts w:cs="Arial"/>
                <w:szCs w:val="20"/>
              </w:rPr>
              <w:t xml:space="preserve">place in </w:t>
            </w:r>
            <w:r w:rsidRPr="0027128C">
              <w:rPr>
                <w:rFonts w:cs="Arial"/>
                <w:szCs w:val="20"/>
              </w:rPr>
              <w:t xml:space="preserve">the </w:t>
            </w:r>
            <w:r w:rsidR="001A42E7">
              <w:rPr>
                <w:rFonts w:cs="Arial"/>
                <w:szCs w:val="20"/>
              </w:rPr>
              <w:t>2018</w:t>
            </w:r>
            <w:r w:rsidR="00DB69B8">
              <w:rPr>
                <w:rFonts w:cs="Arial"/>
                <w:szCs w:val="20"/>
              </w:rPr>
              <w:t>–</w:t>
            </w:r>
            <w:r w:rsidR="001A42E7">
              <w:rPr>
                <w:rFonts w:cs="Arial"/>
                <w:szCs w:val="20"/>
              </w:rPr>
              <w:t>19 year</w:t>
            </w:r>
            <w:r w:rsidRPr="0027128C">
              <w:rPr>
                <w:rFonts w:cs="Arial"/>
                <w:szCs w:val="20"/>
              </w:rPr>
              <w:t>. This will also include the development of transition</w:t>
            </w:r>
            <w:r w:rsidR="006B5401" w:rsidRPr="0027128C">
              <w:rPr>
                <w:rFonts w:cs="Arial"/>
                <w:szCs w:val="20"/>
              </w:rPr>
              <w:t>al</w:t>
            </w:r>
            <w:r w:rsidRPr="0027128C">
              <w:rPr>
                <w:rFonts w:cs="Arial"/>
                <w:szCs w:val="20"/>
              </w:rPr>
              <w:t xml:space="preserve"> arrangements for affected 3.</w:t>
            </w:r>
            <w:r w:rsidR="00E706F9" w:rsidRPr="0027128C">
              <w:rPr>
                <w:rFonts w:cs="Arial"/>
                <w:szCs w:val="20"/>
              </w:rPr>
              <w:t>6</w:t>
            </w:r>
            <w:r w:rsidR="00E706F9">
              <w:rPr>
                <w:rFonts w:cs="Arial"/>
                <w:szCs w:val="20"/>
              </w:rPr>
              <w:t> </w:t>
            </w:r>
            <w:r w:rsidRPr="0027128C">
              <w:rPr>
                <w:rFonts w:cs="Arial"/>
                <w:szCs w:val="20"/>
              </w:rPr>
              <w:t xml:space="preserve">GHz band point-to-multipoint licensees into the 5.6 GHz band. </w:t>
            </w:r>
          </w:p>
        </w:tc>
        <w:tc>
          <w:tcPr>
            <w:tcW w:w="829" w:type="pct"/>
            <w:tcBorders>
              <w:top w:val="single" w:sz="4" w:space="0" w:color="auto"/>
              <w:left w:val="single" w:sz="4" w:space="0" w:color="auto"/>
              <w:bottom w:val="single" w:sz="4" w:space="0" w:color="auto"/>
              <w:right w:val="single" w:sz="4" w:space="0" w:color="auto"/>
            </w:tcBorders>
          </w:tcPr>
          <w:p w14:paraId="7DE47619" w14:textId="77777777" w:rsidR="00D900BB" w:rsidRDefault="008A199D">
            <w:pPr>
              <w:pStyle w:val="TableBody"/>
              <w:spacing w:line="240" w:lineRule="atLeast"/>
              <w:rPr>
                <w:rFonts w:cs="Arial"/>
                <w:szCs w:val="20"/>
              </w:rPr>
            </w:pPr>
            <w:r>
              <w:rPr>
                <w:rFonts w:cs="Arial"/>
                <w:szCs w:val="20"/>
              </w:rPr>
              <w:lastRenderedPageBreak/>
              <w:t>Conclusion of TLG process Q4 2017</w:t>
            </w:r>
            <w:r w:rsidR="00886039">
              <w:rPr>
                <w:rFonts w:cs="Arial"/>
                <w:szCs w:val="20"/>
              </w:rPr>
              <w:t>–</w:t>
            </w:r>
            <w:r>
              <w:rPr>
                <w:rFonts w:cs="Arial"/>
                <w:szCs w:val="20"/>
              </w:rPr>
              <w:t>18</w:t>
            </w:r>
          </w:p>
        </w:tc>
      </w:tr>
    </w:tbl>
    <w:p w14:paraId="78370029" w14:textId="77777777" w:rsidR="002C015E" w:rsidRDefault="002C015E" w:rsidP="005759E7">
      <w:pPr>
        <w:pStyle w:val="ACMASpaceaftertable"/>
      </w:pPr>
    </w:p>
    <w:p w14:paraId="710E1788" w14:textId="77777777" w:rsidR="003D0F3F" w:rsidRPr="00530A2E" w:rsidRDefault="003D0F3F" w:rsidP="005759E7">
      <w:pPr>
        <w:pStyle w:val="Heading3"/>
      </w:pPr>
      <w:bookmarkStart w:id="223" w:name="_Toc510104950"/>
      <w:bookmarkStart w:id="224" w:name="_Toc510105747"/>
      <w:bookmarkStart w:id="225" w:name="_Toc510795079"/>
      <w:bookmarkStart w:id="226" w:name="_Toc511716281"/>
      <w:bookmarkStart w:id="227" w:name="_Toc511719092"/>
      <w:bookmarkStart w:id="228" w:name="_Toc514156697"/>
      <w:r w:rsidRPr="00530A2E">
        <w:t>Consultation question</w:t>
      </w:r>
      <w:bookmarkEnd w:id="223"/>
      <w:bookmarkEnd w:id="224"/>
      <w:bookmarkEnd w:id="225"/>
      <w:bookmarkEnd w:id="226"/>
      <w:bookmarkEnd w:id="227"/>
      <w:bookmarkEnd w:id="228"/>
      <w:r w:rsidRPr="00530A2E">
        <w:t xml:space="preserve"> </w:t>
      </w:r>
    </w:p>
    <w:p w14:paraId="44A9B950" w14:textId="77777777" w:rsidR="004869C3" w:rsidRPr="005759E7" w:rsidRDefault="003D0F3F" w:rsidP="00652FC3">
      <w:pPr>
        <w:pStyle w:val="ListNumber"/>
        <w:shd w:val="clear" w:color="auto" w:fill="auto"/>
        <w:spacing w:after="240"/>
        <w:ind w:left="426" w:hanging="426"/>
        <w:rPr>
          <w:rFonts w:eastAsiaTheme="majorEastAsia"/>
        </w:rPr>
      </w:pPr>
      <w:r w:rsidRPr="003D0F3F">
        <w:t xml:space="preserve">Do you have any feedback on </w:t>
      </w:r>
      <w:r w:rsidR="001C5E46">
        <w:t>the ACMA’s plans for monitoring, initial investigation, preliminary replanning or re-farming of bands</w:t>
      </w:r>
      <w:r w:rsidRPr="003D0F3F">
        <w:t xml:space="preserve">? </w:t>
      </w:r>
    </w:p>
    <w:p w14:paraId="3E37041C" w14:textId="77777777" w:rsidR="00F46EA9" w:rsidRPr="005759E7" w:rsidRDefault="00F46EA9" w:rsidP="00E706F9">
      <w:pPr>
        <w:pStyle w:val="Heading2"/>
      </w:pPr>
      <w:bookmarkStart w:id="229" w:name="_Toc510104951"/>
      <w:bookmarkStart w:id="230" w:name="_Toc510105748"/>
      <w:bookmarkStart w:id="231" w:name="_Toc510795080"/>
      <w:bookmarkStart w:id="232" w:name="_Toc511716282"/>
      <w:bookmarkStart w:id="233" w:name="_Toc511719093"/>
      <w:bookmarkStart w:id="234" w:name="_Toc514156698"/>
      <w:r w:rsidRPr="005759E7">
        <w:t>Optimising established planning frameworks</w:t>
      </w:r>
      <w:bookmarkEnd w:id="229"/>
      <w:bookmarkEnd w:id="230"/>
      <w:bookmarkEnd w:id="231"/>
      <w:bookmarkEnd w:id="232"/>
      <w:bookmarkEnd w:id="233"/>
      <w:bookmarkEnd w:id="234"/>
    </w:p>
    <w:p w14:paraId="5FA57C0A" w14:textId="77777777" w:rsidR="00F64B58" w:rsidRDefault="0066634A" w:rsidP="00E706F9">
      <w:r>
        <w:t>In addition to detailed replanning and re</w:t>
      </w:r>
      <w:r w:rsidR="00BB38F9">
        <w:t>-</w:t>
      </w:r>
      <w:r>
        <w:t>farming, a significant planning priority is the optimisation of e</w:t>
      </w:r>
      <w:r w:rsidR="00F64B58" w:rsidRPr="00B47C14">
        <w:t>xisting spectrum</w:t>
      </w:r>
      <w:r w:rsidR="00E706F9">
        <w:t>-</w:t>
      </w:r>
      <w:r w:rsidR="00F15BFE">
        <w:t xml:space="preserve">planning arrangements. This is typically </w:t>
      </w:r>
      <w:r>
        <w:t xml:space="preserve">achieved through updates to </w:t>
      </w:r>
      <w:r w:rsidR="00F15BFE">
        <w:t>spectrum</w:t>
      </w:r>
      <w:r w:rsidR="00E706F9">
        <w:t>-</w:t>
      </w:r>
      <w:r w:rsidR="00F15BFE">
        <w:t>planning technical framework such as band plans (either administrative or legislative</w:t>
      </w:r>
      <w:r w:rsidR="002957B9">
        <w:t>)</w:t>
      </w:r>
      <w:r w:rsidR="00F15BFE">
        <w:t xml:space="preserve"> and Radiocommunication Assignment and Licensing Instructions (RALIs). </w:t>
      </w:r>
      <w:r w:rsidR="00E706F9">
        <w:t>T</w:t>
      </w:r>
      <w:r w:rsidR="00F15BFE">
        <w:t xml:space="preserve">hese changes </w:t>
      </w:r>
      <w:r w:rsidR="00E706F9">
        <w:t xml:space="preserve">are intended </w:t>
      </w:r>
      <w:r w:rsidR="00F15BFE">
        <w:t xml:space="preserve">to </w:t>
      </w:r>
      <w:r>
        <w:t>address band</w:t>
      </w:r>
      <w:r w:rsidR="00F15BFE">
        <w:t xml:space="preserve"> and service</w:t>
      </w:r>
      <w:r w:rsidR="00E706F9">
        <w:t>-</w:t>
      </w:r>
      <w:r>
        <w:t xml:space="preserve">specific </w:t>
      </w:r>
      <w:r w:rsidR="00472F67">
        <w:t>issues</w:t>
      </w:r>
      <w:r w:rsidR="00F15BFE">
        <w:t xml:space="preserve"> identified within existing frameworks</w:t>
      </w:r>
      <w:r w:rsidR="00E706F9">
        <w:t>—</w:t>
      </w:r>
      <w:r w:rsidR="00F15BFE">
        <w:t>for example</w:t>
      </w:r>
      <w:r w:rsidR="00E706F9">
        <w:t>,</w:t>
      </w:r>
      <w:r w:rsidR="00F15BFE">
        <w:t xml:space="preserve"> by </w:t>
      </w:r>
      <w:r w:rsidR="00F64B58" w:rsidRPr="00B47C14">
        <w:t xml:space="preserve">addressing </w:t>
      </w:r>
      <w:r w:rsidR="00F15BFE">
        <w:t>technology developments, enabling sharing opportunities and other changes to improve the efficient use of the spectrum</w:t>
      </w:r>
      <w:r w:rsidR="00F64B58" w:rsidRPr="00B47C14">
        <w:t>.</w:t>
      </w:r>
    </w:p>
    <w:p w14:paraId="6A946B9D" w14:textId="77777777" w:rsidR="00472F67" w:rsidRDefault="00561CF6" w:rsidP="0027128C">
      <w:r>
        <w:t xml:space="preserve">The ACMA’s </w:t>
      </w:r>
      <w:r w:rsidR="00472F67">
        <w:t>optimisation work across a range of different spectrum uses</w:t>
      </w:r>
      <w:r>
        <w:t xml:space="preserve"> is outlined below</w:t>
      </w:r>
      <w:r w:rsidR="00472F67">
        <w:t>.</w:t>
      </w:r>
    </w:p>
    <w:p w14:paraId="5AF15A06" w14:textId="77777777" w:rsidR="00F81DC1" w:rsidRPr="0027128C" w:rsidRDefault="00F81DC1" w:rsidP="00F81DC1">
      <w:pPr>
        <w:pStyle w:val="Heading3"/>
        <w:keepNext w:val="0"/>
      </w:pPr>
      <w:bookmarkStart w:id="235" w:name="_Toc511716283"/>
      <w:bookmarkStart w:id="236" w:name="_Toc511719094"/>
      <w:bookmarkStart w:id="237" w:name="_Toc514156699"/>
      <w:bookmarkStart w:id="238" w:name="_Toc510104952"/>
      <w:bookmarkStart w:id="239" w:name="_Toc510105749"/>
      <w:bookmarkStart w:id="240" w:name="_Toc510795081"/>
      <w:r w:rsidRPr="0027128C">
        <w:t>Spectrum management advice and considering of out</w:t>
      </w:r>
      <w:r w:rsidR="00561CF6">
        <w:t>-</w:t>
      </w:r>
      <w:r w:rsidRPr="0027128C">
        <w:t>of</w:t>
      </w:r>
      <w:r w:rsidR="00561CF6">
        <w:t>-</w:t>
      </w:r>
      <w:r w:rsidRPr="0027128C">
        <w:t>policy requests</w:t>
      </w:r>
      <w:bookmarkEnd w:id="235"/>
      <w:bookmarkEnd w:id="236"/>
      <w:bookmarkEnd w:id="237"/>
    </w:p>
    <w:p w14:paraId="781778E9" w14:textId="77777777" w:rsidR="00F81DC1" w:rsidRPr="0027128C" w:rsidRDefault="00F81DC1" w:rsidP="00F81DC1">
      <w:r>
        <w:t>In addition to the activities identified below, t</w:t>
      </w:r>
      <w:r w:rsidRPr="0027128C">
        <w:t xml:space="preserve">he ACMA has an ongoing role </w:t>
      </w:r>
      <w:r w:rsidR="00841827">
        <w:t>in</w:t>
      </w:r>
      <w:r w:rsidRPr="0027128C">
        <w:t xml:space="preserve"> providing advice on spectrum a</w:t>
      </w:r>
      <w:r>
        <w:t>rrangements, including advice on</w:t>
      </w:r>
      <w:r w:rsidRPr="0027128C">
        <w:t xml:space="preserve"> out</w:t>
      </w:r>
      <w:r w:rsidR="00561CF6">
        <w:t>-</w:t>
      </w:r>
      <w:r w:rsidRPr="0027128C">
        <w:t>of</w:t>
      </w:r>
      <w:r w:rsidR="00561CF6">
        <w:t>-</w:t>
      </w:r>
      <w:r w:rsidRPr="0027128C">
        <w:t>policy request</w:t>
      </w:r>
      <w:r>
        <w:t>s</w:t>
      </w:r>
      <w:r w:rsidRPr="0027128C">
        <w:t xml:space="preserve"> and consider</w:t>
      </w:r>
      <w:r>
        <w:t>ing</w:t>
      </w:r>
      <w:r w:rsidRPr="0027128C">
        <w:t xml:space="preserve"> applications for trial demonstration of new technologies.</w:t>
      </w:r>
      <w:r w:rsidR="00447762">
        <w:t xml:space="preserve"> </w:t>
      </w:r>
      <w:r w:rsidRPr="0027128C">
        <w:t xml:space="preserve"> </w:t>
      </w:r>
    </w:p>
    <w:p w14:paraId="37866F97" w14:textId="77777777" w:rsidR="00472F67" w:rsidRDefault="00F46EA9" w:rsidP="00530A2E">
      <w:pPr>
        <w:pStyle w:val="Heading3"/>
        <w:keepNext w:val="0"/>
      </w:pPr>
      <w:bookmarkStart w:id="241" w:name="_Toc511716284"/>
      <w:bookmarkStart w:id="242" w:name="_Toc511719095"/>
      <w:bookmarkStart w:id="243" w:name="_Toc514156700"/>
      <w:r>
        <w:t>Broadcasting</w:t>
      </w:r>
      <w:bookmarkEnd w:id="238"/>
      <w:bookmarkEnd w:id="239"/>
      <w:bookmarkEnd w:id="240"/>
      <w:bookmarkEnd w:id="241"/>
      <w:bookmarkEnd w:id="242"/>
      <w:bookmarkEnd w:id="243"/>
    </w:p>
    <w:p w14:paraId="3B73D1E4" w14:textId="77777777" w:rsidR="00D50A45" w:rsidRDefault="00D50A45" w:rsidP="0027128C">
      <w:r>
        <w:t xml:space="preserve">A common theme from the FYSO submissions was the free-to-air television industry’s need for ongoing access to spectrum. Free TV Australia also suggested that the </w:t>
      </w:r>
      <w:r w:rsidR="00561CF6">
        <w:t>600 </w:t>
      </w:r>
      <w:r>
        <w:t xml:space="preserve">MHz band be redefined as </w:t>
      </w:r>
      <w:r w:rsidRPr="00C05934">
        <w:t>614–694 MHz</w:t>
      </w:r>
      <w:r>
        <w:t xml:space="preserve"> instead of 520–694 MHz.</w:t>
      </w:r>
      <w:r w:rsidR="00CC3CBB">
        <w:t xml:space="preserve"> The ACMA has subsequently revised its definition of the 600 MHz band to </w:t>
      </w:r>
      <w:r w:rsidR="00561CF6">
        <w:t xml:space="preserve">the </w:t>
      </w:r>
      <w:r w:rsidR="00CC3CBB">
        <w:t>617</w:t>
      </w:r>
      <w:r w:rsidR="00561CF6">
        <w:t>–</w:t>
      </w:r>
      <w:r w:rsidR="00CC3CBB">
        <w:t>69</w:t>
      </w:r>
      <w:r w:rsidR="007A591B">
        <w:t>8</w:t>
      </w:r>
      <w:r w:rsidR="00CC3CBB">
        <w:t xml:space="preserve"> MHz band. This takes into account outcomes from the US 600 MHz incentive auction. However, any </w:t>
      </w:r>
      <w:r w:rsidR="00CC3CBB" w:rsidRPr="00350C72">
        <w:t>Australian guard</w:t>
      </w:r>
      <w:r w:rsidR="00350C72" w:rsidRPr="00350C72">
        <w:t xml:space="preserve"> </w:t>
      </w:r>
      <w:r w:rsidR="00CC3CBB" w:rsidRPr="00350C72">
        <w:t>bands between the lower edge of the 600 MHz band and the upper edge of ongoing broadcasting would need to be determined as part of any review of the band</w:t>
      </w:r>
      <w:r w:rsidR="00561CF6" w:rsidRPr="00350C72">
        <w:t>,</w:t>
      </w:r>
      <w:r w:rsidR="00CC3CBB" w:rsidRPr="00350C72">
        <w:t xml:space="preserve"> taking into account specific </w:t>
      </w:r>
      <w:r w:rsidR="00561CF6" w:rsidRPr="00350C72">
        <w:t xml:space="preserve">Australian </w:t>
      </w:r>
      <w:r w:rsidR="00CC3CBB" w:rsidRPr="002D62C3">
        <w:t>circumstances.</w:t>
      </w:r>
      <w:r w:rsidR="00447762">
        <w:t xml:space="preserve"> </w:t>
      </w:r>
      <w:r w:rsidRPr="002D62C3">
        <w:t xml:space="preserve"> </w:t>
      </w:r>
    </w:p>
    <w:p w14:paraId="6547F017" w14:textId="77777777" w:rsidR="000901C6" w:rsidRDefault="00491DC5" w:rsidP="000901C6">
      <w:r>
        <w:t xml:space="preserve">Since the restack of television spectrum for the 700 MHz digital dividend, </w:t>
      </w:r>
      <w:r w:rsidR="000F52C2">
        <w:t xml:space="preserve">only </w:t>
      </w:r>
      <w:r>
        <w:t xml:space="preserve">limited further optimisation work has been necessary in these bands. </w:t>
      </w:r>
      <w:r w:rsidR="000901C6">
        <w:t>In contrast, there are significant activities progressing in the radio broadcasting spectrum.</w:t>
      </w:r>
    </w:p>
    <w:p w14:paraId="13D2A183" w14:textId="77777777" w:rsidR="00BA0673" w:rsidRDefault="00D50A45" w:rsidP="0027128C">
      <w:r w:rsidRPr="002D62C3">
        <w:t>The narrowcasting industry</w:t>
      </w:r>
      <w:r w:rsidRPr="002D62C3" w:rsidDel="006B5401">
        <w:t xml:space="preserve"> </w:t>
      </w:r>
      <w:r w:rsidRPr="002D62C3">
        <w:t xml:space="preserve">expressed concerns about certainty of access to spectrum for </w:t>
      </w:r>
      <w:r w:rsidRPr="00350C72">
        <w:t>LPON</w:t>
      </w:r>
      <w:r>
        <w:t xml:space="preserve"> services. The ACMA acknowledges these concerns and will endeavour to make its decision about extension of the determination of the LPON sub-band during 2018, well before the expiry of the current determination in 2020.</w:t>
      </w:r>
    </w:p>
    <w:p w14:paraId="128ADB6F" w14:textId="77777777" w:rsidR="00F42E07" w:rsidRDefault="000901C6" w:rsidP="0027128C">
      <w:r>
        <w:lastRenderedPageBreak/>
        <w:t>The ACMA has been working closely with the radio industry on two key initiatives for regional Australia—</w:t>
      </w:r>
      <w:r w:rsidR="00DB69B8">
        <w:t>e</w:t>
      </w:r>
      <w:r>
        <w:t xml:space="preserve">xpansion of digital radio to regional areas, and the conversion to FM of the heritage </w:t>
      </w:r>
      <w:r w:rsidR="000F52C2">
        <w:t xml:space="preserve">commercial </w:t>
      </w:r>
      <w:r>
        <w:t xml:space="preserve">AM station in single licensee regional markets </w:t>
      </w:r>
    </w:p>
    <w:p w14:paraId="7410F7AE" w14:textId="77777777" w:rsidR="00D50A45" w:rsidRDefault="00D50A45" w:rsidP="0037046B">
      <w:pPr>
        <w:pStyle w:val="BodySubHeader"/>
      </w:pPr>
      <w:r>
        <w:t xml:space="preserve">Progress achieved </w:t>
      </w:r>
    </w:p>
    <w:p w14:paraId="49FABD8E" w14:textId="77777777" w:rsidR="00D50A45" w:rsidRPr="007A2ADC" w:rsidRDefault="00D50A45" w:rsidP="005759E7">
      <w:pPr>
        <w:pStyle w:val="ListBullet"/>
      </w:pPr>
      <w:r>
        <w:t xml:space="preserve">In 2017, the ACMA issued long-term digital radio transmitter licences for the </w:t>
      </w:r>
      <w:r w:rsidRPr="007A2ADC">
        <w:t>national broadcasters in Canberra and Darwin. The national services commenced digital radio broadcasting, in Canberra and Darwin, independently of the trial service, in December 2017.</w:t>
      </w:r>
    </w:p>
    <w:p w14:paraId="3346C76E" w14:textId="77777777" w:rsidR="00D50A45" w:rsidRPr="00FC654E" w:rsidRDefault="00D50A45" w:rsidP="005759E7">
      <w:pPr>
        <w:pStyle w:val="ListBullet"/>
      </w:pPr>
      <w:r w:rsidRPr="00FC654E">
        <w:t>In December 2017</w:t>
      </w:r>
      <w:r w:rsidR="00561CF6">
        <w:t>,</w:t>
      </w:r>
      <w:r w:rsidRPr="00FC654E">
        <w:t xml:space="preserve"> the ACMA invited applications from eligible joint venture companies for digital radio multiplex transmitter licences in Canberra and Darwin. It is likely the ACMA will issue licences by mid-2018. This will facilitate the ‘permanent’ licensing of commercial and community digital radio services in those areas. </w:t>
      </w:r>
    </w:p>
    <w:p w14:paraId="3D5D8E71" w14:textId="77777777" w:rsidR="00D50A45" w:rsidRPr="00FC654E" w:rsidRDefault="00D50A45" w:rsidP="005759E7">
      <w:pPr>
        <w:pStyle w:val="ListBullet"/>
      </w:pPr>
      <w:r w:rsidRPr="00FC654E">
        <w:t xml:space="preserve">The ACMA licensed the national broadcasters' </w:t>
      </w:r>
      <w:r w:rsidR="00B35476" w:rsidRPr="00FC654E">
        <w:t>digital radio transmitters in Canberra, Darwin and Hobart</w:t>
      </w:r>
      <w:r w:rsidR="00561CF6">
        <w:t>, with</w:t>
      </w:r>
      <w:r w:rsidR="00561CF6" w:rsidRPr="00FC654E">
        <w:t xml:space="preserve"> </w:t>
      </w:r>
      <w:r w:rsidRPr="00FC654E">
        <w:t>services commenc</w:t>
      </w:r>
      <w:r w:rsidR="00561CF6">
        <w:t>ing</w:t>
      </w:r>
      <w:r w:rsidRPr="00FC654E">
        <w:t xml:space="preserve"> </w:t>
      </w:r>
      <w:r w:rsidR="00B35476" w:rsidRPr="00FC654E">
        <w:t>in early 2018</w:t>
      </w:r>
      <w:r w:rsidRPr="00FC654E">
        <w:t xml:space="preserve">. The ACMA expects to issue the commercial broadcaster’s licence </w:t>
      </w:r>
      <w:r w:rsidR="00B35476" w:rsidRPr="00FC654E">
        <w:t xml:space="preserve">for Hobart </w:t>
      </w:r>
      <w:r w:rsidRPr="00FC654E">
        <w:t xml:space="preserve">in </w:t>
      </w:r>
      <w:r w:rsidR="00561CF6">
        <w:t>Q</w:t>
      </w:r>
      <w:r w:rsidRPr="00FC654E">
        <w:t>1 2018</w:t>
      </w:r>
      <w:r w:rsidR="00692645">
        <w:t>–19</w:t>
      </w:r>
      <w:r w:rsidR="00561CF6">
        <w:t>,</w:t>
      </w:r>
      <w:r w:rsidRPr="00FC654E">
        <w:t xml:space="preserve"> which will allow service commencement in the second half of 2018. Hobart is likely to be the next location to </w:t>
      </w:r>
      <w:r w:rsidRPr="00561CF6">
        <w:t>commence</w:t>
      </w:r>
      <w:r w:rsidRPr="00FC654E">
        <w:t>.</w:t>
      </w:r>
    </w:p>
    <w:p w14:paraId="492E69D4" w14:textId="77777777" w:rsidR="00D50A45" w:rsidRPr="00FC654E" w:rsidRDefault="00D50A45" w:rsidP="0037046B">
      <w:pPr>
        <w:pStyle w:val="ListBullet"/>
      </w:pPr>
      <w:r w:rsidRPr="00FC654E">
        <w:t>East coast allotment planning for the expansion of digital radio in regional Australia was completed in Q3 2017–18.</w:t>
      </w:r>
      <w:r w:rsidR="0065139B" w:rsidRPr="00FC654E">
        <w:t xml:space="preserve"> </w:t>
      </w:r>
      <w:r w:rsidRPr="00FC654E">
        <w:t>This will allow regional licensees to make an informed decision about the costs of digital radio infrastructure, and ultimately choose whether they will participate in the provision of digital radio services.</w:t>
      </w:r>
    </w:p>
    <w:p w14:paraId="149ECF9F" w14:textId="77777777" w:rsidR="00692645" w:rsidRDefault="00692645" w:rsidP="00692645">
      <w:pPr>
        <w:pStyle w:val="ListBullet"/>
        <w:numPr>
          <w:ilvl w:val="0"/>
          <w:numId w:val="1"/>
        </w:numPr>
      </w:pPr>
      <w:r w:rsidRPr="00FC654E">
        <w:t>In March 2018</w:t>
      </w:r>
      <w:r>
        <w:t>,</w:t>
      </w:r>
      <w:r w:rsidRPr="00FC654E">
        <w:t xml:space="preserve"> the ACMA approved Licence Area Plan variations permitting AM to FM conversion in Mandurah and Warrnambool.</w:t>
      </w:r>
    </w:p>
    <w:p w14:paraId="2B8FC5EE" w14:textId="77777777" w:rsidR="000901C6" w:rsidRPr="00FC654E" w:rsidRDefault="000901C6" w:rsidP="00DB69B8">
      <w:pPr>
        <w:pStyle w:val="ListBulletLast"/>
      </w:pPr>
      <w:r>
        <w:t>In May 2018</w:t>
      </w:r>
      <w:r w:rsidR="00947A8E">
        <w:t xml:space="preserve">, the ACMA consulted on </w:t>
      </w:r>
      <w:r>
        <w:t>proposals to permit</w:t>
      </w:r>
      <w:r w:rsidR="00947A8E">
        <w:t xml:space="preserve"> AM</w:t>
      </w:r>
      <w:r>
        <w:t xml:space="preserve"> to FM conversions in Burnie, Devonport, Queenstown</w:t>
      </w:r>
      <w:r w:rsidR="0020445B">
        <w:t xml:space="preserve">, </w:t>
      </w:r>
      <w:r>
        <w:t>Scottsdale and Bathurst.</w:t>
      </w:r>
    </w:p>
    <w:p w14:paraId="45A8F3A8" w14:textId="77777777" w:rsidR="00D50A45" w:rsidRPr="0045598D" w:rsidRDefault="00D50A45" w:rsidP="00344590">
      <w:pPr>
        <w:pStyle w:val="BodySubHeader"/>
      </w:pPr>
      <w:r>
        <w:t xml:space="preserve">Activities planned </w:t>
      </w:r>
      <w:r w:rsidRPr="0045598D">
        <w:t>for 2018</w:t>
      </w:r>
      <w:r w:rsidR="00561CF6" w:rsidRPr="0045598D">
        <w:t>–</w:t>
      </w:r>
      <w:r w:rsidRPr="0045598D">
        <w:t xml:space="preserve">19 </w:t>
      </w:r>
    </w:p>
    <w:p w14:paraId="7D9856B5" w14:textId="77777777" w:rsidR="00F46EA9" w:rsidRPr="00BE6916" w:rsidRDefault="00472F67" w:rsidP="00344590">
      <w:pPr>
        <w:pStyle w:val="BodySubHeader"/>
      </w:pPr>
      <w:r w:rsidRPr="00BE6916">
        <w:t>D</w:t>
      </w:r>
      <w:r w:rsidR="00F46EA9" w:rsidRPr="00BE6916">
        <w:t>igital radio</w:t>
      </w:r>
      <w:r w:rsidR="00692645" w:rsidRPr="00BE6916">
        <w:t xml:space="preserve"> and</w:t>
      </w:r>
      <w:r w:rsidR="00F46EA9" w:rsidRPr="00BE6916">
        <w:t xml:space="preserve"> AM to FM conversion</w:t>
      </w:r>
    </w:p>
    <w:p w14:paraId="5843666C" w14:textId="77777777" w:rsidR="003D7FAC" w:rsidRDefault="003D7FAC" w:rsidP="0027128C">
      <w:r w:rsidRPr="00B725D2">
        <w:t>Over the next few years</w:t>
      </w:r>
      <w:r>
        <w:t>,</w:t>
      </w:r>
      <w:r w:rsidRPr="00B725D2">
        <w:t xml:space="preserve"> it is likely the main priorities in </w:t>
      </w:r>
      <w:r>
        <w:t>radio</w:t>
      </w:r>
      <w:r w:rsidRPr="00B725D2">
        <w:t xml:space="preserve"> broadcast</w:t>
      </w:r>
      <w:r>
        <w:t>ing</w:t>
      </w:r>
      <w:r w:rsidRPr="00B725D2">
        <w:t xml:space="preserve"> will continue to </w:t>
      </w:r>
      <w:r>
        <w:t>include</w:t>
      </w:r>
      <w:r w:rsidRPr="00B725D2">
        <w:t xml:space="preserve"> planning for digital radio rollout</w:t>
      </w:r>
      <w:r>
        <w:t xml:space="preserve"> and</w:t>
      </w:r>
      <w:r w:rsidRPr="00B725D2">
        <w:t xml:space="preserve"> further conside</w:t>
      </w:r>
      <w:r>
        <w:t xml:space="preserve">ration of AM to FM conversion. </w:t>
      </w:r>
    </w:p>
    <w:p w14:paraId="2CBD2310" w14:textId="77777777" w:rsidR="003D7FAC" w:rsidRDefault="003D7FAC" w:rsidP="0027128C">
      <w:r>
        <w:t>While the ACMA can facilitate the rollout of digital radio services in regional Australia, the establishment and format of digital radio services in any given market is a commercial decision of the relevant incumbent commercial radio broadcasting licensees.</w:t>
      </w:r>
      <w:r w:rsidRPr="00BF3536">
        <w:t xml:space="preserve"> </w:t>
      </w:r>
      <w:r>
        <w:t>Similarly, where and when the ABC and SBS will roll</w:t>
      </w:r>
      <w:r w:rsidR="006B5401">
        <w:t xml:space="preserve"> </w:t>
      </w:r>
      <w:r>
        <w:t>out digital radio services is a decision for those broadcasters. Each digital radio channel plan will reserve a frequency to enable the national broadcasters to provide digital radio services.</w:t>
      </w:r>
    </w:p>
    <w:p w14:paraId="6EF6F0E1" w14:textId="77777777" w:rsidR="006C2F18" w:rsidRDefault="006C2F18" w:rsidP="005759E7">
      <w:pPr>
        <w:spacing w:after="80"/>
      </w:pPr>
      <w:r>
        <w:t>The ACMA will continue to prioritise the planning of digital radio and work with industry to expand digital radio services into regional Australia.</w:t>
      </w:r>
      <w:r w:rsidR="00D50A45">
        <w:t xml:space="preserve"> </w:t>
      </w:r>
      <w:r>
        <w:t>In 2018–19</w:t>
      </w:r>
      <w:r w:rsidR="00561CF6">
        <w:t>,</w:t>
      </w:r>
      <w:r>
        <w:t xml:space="preserve"> we will:</w:t>
      </w:r>
    </w:p>
    <w:p w14:paraId="1283E04D" w14:textId="77777777" w:rsidR="006C2F18" w:rsidRPr="00561CF6" w:rsidRDefault="006D64BD" w:rsidP="005759E7">
      <w:pPr>
        <w:pStyle w:val="ListBullet"/>
      </w:pPr>
      <w:r>
        <w:t>c</w:t>
      </w:r>
      <w:r w:rsidR="006C2F18">
        <w:t>onsult on and finalise the digital radio channel plans for the 15 licence areas identified by industry as the next phase of rollout. The timing for each plan will be aligned with the rollout plans of the broadcasters in each market</w:t>
      </w:r>
      <w:r w:rsidR="0069613F">
        <w:t xml:space="preserve">. </w:t>
      </w:r>
      <w:r w:rsidR="00192392">
        <w:t>In order to ensure priority is given to channel planning in areas where there is a real intention to proceed, t</w:t>
      </w:r>
      <w:r w:rsidR="0069613F">
        <w:t xml:space="preserve">he ACMA will </w:t>
      </w:r>
      <w:r w:rsidR="00192392">
        <w:t xml:space="preserve">seek a clear broadcaster commitment before proceeding. </w:t>
      </w:r>
      <w:r w:rsidR="0069613F">
        <w:t xml:space="preserve">If the ACMA finalises a plan but no </w:t>
      </w:r>
      <w:r w:rsidR="0069613F" w:rsidRPr="00561CF6">
        <w:t xml:space="preserve">application for a </w:t>
      </w:r>
      <w:r w:rsidR="00192392" w:rsidRPr="00561CF6">
        <w:t xml:space="preserve">multiplex </w:t>
      </w:r>
      <w:r w:rsidR="0069613F" w:rsidRPr="00561CF6">
        <w:t>licence is forthcoming,</w:t>
      </w:r>
      <w:r w:rsidR="00192392" w:rsidRPr="005759E7">
        <w:t xml:space="preserve"> it will be open to the ACMA to make available such a licence to other parties through a price based allocation process</w:t>
      </w:r>
    </w:p>
    <w:p w14:paraId="6840A77D" w14:textId="77777777" w:rsidR="006C2F18" w:rsidRDefault="006D64BD" w:rsidP="005759E7">
      <w:pPr>
        <w:pStyle w:val="ListBullet"/>
      </w:pPr>
      <w:r>
        <w:t>c</w:t>
      </w:r>
      <w:r w:rsidR="006C2F18">
        <w:t>hair meetings of the Digital Radio Planning C</w:t>
      </w:r>
      <w:r w:rsidR="00A43459">
        <w:t>ommittee for Regional Australia</w:t>
      </w:r>
      <w:r w:rsidR="006C2F18">
        <w:tab/>
      </w:r>
    </w:p>
    <w:p w14:paraId="1366451F" w14:textId="77777777" w:rsidR="00B35476" w:rsidRDefault="002C689F" w:rsidP="005759E7">
      <w:pPr>
        <w:pStyle w:val="ListBullet"/>
      </w:pPr>
      <w:r>
        <w:lastRenderedPageBreak/>
        <w:t xml:space="preserve">finalise </w:t>
      </w:r>
      <w:r w:rsidR="006D64BD">
        <w:t>i</w:t>
      </w:r>
      <w:r w:rsidR="00B35476">
        <w:t>n Q1 2018</w:t>
      </w:r>
      <w:r w:rsidR="00561CF6">
        <w:t>–</w:t>
      </w:r>
      <w:r w:rsidR="00B35476">
        <w:t xml:space="preserve">19 </w:t>
      </w:r>
      <w:r w:rsidR="004044E4">
        <w:t xml:space="preserve">the outcome </w:t>
      </w:r>
      <w:r w:rsidR="007A78A6">
        <w:t>of proposals</w:t>
      </w:r>
      <w:r w:rsidR="00B35476">
        <w:t xml:space="preserve"> permitting AM to FM conversion in Tasmanian licence areas</w:t>
      </w:r>
      <w:r w:rsidR="00561CF6">
        <w:t>—</w:t>
      </w:r>
      <w:r w:rsidR="00B35476">
        <w:t>Burnie, Devonport, Queenstown and Scottsdale</w:t>
      </w:r>
      <w:r w:rsidR="00692645">
        <w:t xml:space="preserve"> </w:t>
      </w:r>
      <w:r w:rsidR="00A43459">
        <w:t>and in Bathurst NSW</w:t>
      </w:r>
    </w:p>
    <w:p w14:paraId="55768084" w14:textId="77777777" w:rsidR="006C2F18" w:rsidRDefault="006D64BD" w:rsidP="005759E7">
      <w:pPr>
        <w:pStyle w:val="ListBulletLast"/>
      </w:pPr>
      <w:r>
        <w:t>c</w:t>
      </w:r>
      <w:r w:rsidR="005B347B">
        <w:t>onsider</w:t>
      </w:r>
      <w:r w:rsidR="006C2F18">
        <w:t xml:space="preserve"> proposals </w:t>
      </w:r>
      <w:r w:rsidR="006C2F18" w:rsidRPr="00350C72">
        <w:t>for AM</w:t>
      </w:r>
      <w:r w:rsidR="00561CF6" w:rsidRPr="00350C72">
        <w:t>–</w:t>
      </w:r>
      <w:r w:rsidR="006C2F18" w:rsidRPr="00350C72">
        <w:t>FM conversions</w:t>
      </w:r>
      <w:r w:rsidR="006C2F18">
        <w:t xml:space="preserve"> </w:t>
      </w:r>
      <w:r w:rsidR="00B35476">
        <w:t>for</w:t>
      </w:r>
      <w:r w:rsidR="006C2F18">
        <w:t xml:space="preserve"> </w:t>
      </w:r>
      <w:r w:rsidR="00D50A45">
        <w:t>Lithgow</w:t>
      </w:r>
      <w:r w:rsidR="0065139B">
        <w:t>,</w:t>
      </w:r>
      <w:r w:rsidR="00D50A45">
        <w:t xml:space="preserve"> </w:t>
      </w:r>
      <w:r w:rsidR="006C2F18">
        <w:t>Bega</w:t>
      </w:r>
      <w:r w:rsidR="00D50A45">
        <w:t xml:space="preserve">, </w:t>
      </w:r>
      <w:r w:rsidR="006C2F18">
        <w:t>Cooma</w:t>
      </w:r>
      <w:r w:rsidR="00D50A45">
        <w:t xml:space="preserve">, </w:t>
      </w:r>
      <w:r w:rsidR="006C2F18">
        <w:t>Goulburn</w:t>
      </w:r>
      <w:r w:rsidR="00D50A45">
        <w:t xml:space="preserve"> and N</w:t>
      </w:r>
      <w:r w:rsidR="006C2F18">
        <w:t>owra in Q</w:t>
      </w:r>
      <w:r w:rsidR="000D7F96">
        <w:t>2</w:t>
      </w:r>
      <w:r w:rsidR="006C2F18">
        <w:t xml:space="preserve"> 2018</w:t>
      </w:r>
      <w:r w:rsidR="00561CF6">
        <w:t>–</w:t>
      </w:r>
      <w:r w:rsidR="006C2F18">
        <w:t>19</w:t>
      </w:r>
      <w:r w:rsidR="005B347B">
        <w:t>.</w:t>
      </w:r>
    </w:p>
    <w:p w14:paraId="3E2D2204" w14:textId="77777777" w:rsidR="003D7FAC" w:rsidRPr="00AF12B6" w:rsidRDefault="003D7FAC" w:rsidP="00344590">
      <w:pPr>
        <w:pStyle w:val="Heading3"/>
        <w:rPr>
          <w:lang w:val="en"/>
        </w:rPr>
      </w:pPr>
      <w:bookmarkStart w:id="244" w:name="_Toc510104953"/>
      <w:bookmarkStart w:id="245" w:name="_Toc510105750"/>
      <w:bookmarkStart w:id="246" w:name="_Toc510795082"/>
      <w:bookmarkStart w:id="247" w:name="_Toc511716285"/>
      <w:bookmarkStart w:id="248" w:name="_Toc511719096"/>
      <w:bookmarkStart w:id="249" w:name="_Toc514156701"/>
      <w:r>
        <w:rPr>
          <w:lang w:val="en"/>
        </w:rPr>
        <w:t xml:space="preserve">Satellite </w:t>
      </w:r>
      <w:r w:rsidR="00161584" w:rsidRPr="005759E7">
        <w:t>planning</w:t>
      </w:r>
      <w:bookmarkEnd w:id="244"/>
      <w:bookmarkEnd w:id="245"/>
      <w:bookmarkEnd w:id="246"/>
      <w:bookmarkEnd w:id="247"/>
      <w:bookmarkEnd w:id="248"/>
      <w:bookmarkEnd w:id="249"/>
      <w:r w:rsidR="00161584">
        <w:rPr>
          <w:lang w:val="en"/>
        </w:rPr>
        <w:t xml:space="preserve"> </w:t>
      </w:r>
    </w:p>
    <w:p w14:paraId="647EDA07" w14:textId="77777777" w:rsidR="003D7FAC" w:rsidRDefault="003D7FAC" w:rsidP="0027128C">
      <w:pPr>
        <w:spacing w:after="80"/>
      </w:pPr>
      <w:r w:rsidRPr="002B5174">
        <w:t>T</w:t>
      </w:r>
      <w:r>
        <w:t>h</w:t>
      </w:r>
      <w:r w:rsidRPr="002B5174">
        <w:t xml:space="preserve">e ACMA </w:t>
      </w:r>
      <w:r>
        <w:t>continues to engage</w:t>
      </w:r>
      <w:r w:rsidRPr="002B5174">
        <w:t xml:space="preserve"> internationally </w:t>
      </w:r>
      <w:r>
        <w:t>on</w:t>
      </w:r>
      <w:r w:rsidRPr="002B5174">
        <w:t xml:space="preserve"> </w:t>
      </w:r>
      <w:r>
        <w:t xml:space="preserve">the </w:t>
      </w:r>
      <w:r w:rsidRPr="002B5174">
        <w:t xml:space="preserve">coordination, development and implementation of measures to enhance spectrum </w:t>
      </w:r>
      <w:r>
        <w:t>usage for satellite communications and space research services</w:t>
      </w:r>
      <w:r w:rsidRPr="002B5174">
        <w:t>.</w:t>
      </w:r>
      <w:r>
        <w:t xml:space="preserve"> Domestically</w:t>
      </w:r>
      <w:r w:rsidRPr="00125FC9">
        <w:t>, our key</w:t>
      </w:r>
      <w:r>
        <w:t xml:space="preserve"> spectrum planning priorities over the next </w:t>
      </w:r>
      <w:r w:rsidR="00F15BFE">
        <w:t>year</w:t>
      </w:r>
      <w:r w:rsidDel="001A3A21">
        <w:t xml:space="preserve"> </w:t>
      </w:r>
      <w:r>
        <w:t>are to:</w:t>
      </w:r>
    </w:p>
    <w:p w14:paraId="717F31EE" w14:textId="77777777" w:rsidR="00F15BFE" w:rsidRDefault="00561CF6" w:rsidP="005759E7">
      <w:pPr>
        <w:pStyle w:val="ListBullet"/>
      </w:pPr>
      <w:r>
        <w:t xml:space="preserve">provide </w:t>
      </w:r>
      <w:r w:rsidR="00F15BFE" w:rsidRPr="00561CF6">
        <w:t>ongoing</w:t>
      </w:r>
      <w:r w:rsidR="00F15BFE">
        <w:t xml:space="preserve"> operational support for </w:t>
      </w:r>
      <w:r w:rsidR="00F15BFE" w:rsidRPr="00350C72">
        <w:t>Australian</w:t>
      </w:r>
      <w:r w:rsidR="00350C72">
        <w:t>-</w:t>
      </w:r>
      <w:r w:rsidR="00F15BFE" w:rsidRPr="00350C72">
        <w:t>filed satellite</w:t>
      </w:r>
      <w:r w:rsidR="00F15BFE">
        <w:t xml:space="preserve"> networks</w:t>
      </w:r>
    </w:p>
    <w:p w14:paraId="37AB6D2D" w14:textId="77777777" w:rsidR="003D7FAC" w:rsidRDefault="003D7FAC" w:rsidP="005759E7">
      <w:pPr>
        <w:pStyle w:val="ListBullet"/>
      </w:pPr>
      <w:r>
        <w:t>support</w:t>
      </w:r>
      <w:r w:rsidRPr="002B5174">
        <w:t xml:space="preserve"> the deployment of novel satellite systems (particularly small satellites)</w:t>
      </w:r>
    </w:p>
    <w:p w14:paraId="4688189C" w14:textId="77777777" w:rsidR="003D7FAC" w:rsidRPr="00343FBC" w:rsidRDefault="00FD7639" w:rsidP="001971EA">
      <w:pPr>
        <w:pStyle w:val="ListBullet"/>
      </w:pPr>
      <w:r>
        <w:t>u</w:t>
      </w:r>
      <w:r w:rsidR="00343FBC" w:rsidRPr="00530A2E">
        <w:t>nder</w:t>
      </w:r>
      <w:r>
        <w:t>take</w:t>
      </w:r>
      <w:r w:rsidR="00343FBC" w:rsidRPr="00530A2E">
        <w:t xml:space="preserve"> a general </w:t>
      </w:r>
      <w:r w:rsidR="00343FBC">
        <w:t xml:space="preserve">review of licensing procedures for </w:t>
      </w:r>
      <w:r w:rsidR="00343FBC" w:rsidRPr="00350C72">
        <w:t>space</w:t>
      </w:r>
      <w:r w:rsidR="00561CF6" w:rsidRPr="00350C72">
        <w:t>-</w:t>
      </w:r>
      <w:r w:rsidR="00343FBC" w:rsidRPr="00350C72">
        <w:t>based</w:t>
      </w:r>
      <w:r w:rsidR="00343FBC">
        <w:t xml:space="preserve"> communications systems to consider whether </w:t>
      </w:r>
      <w:r w:rsidR="00F85642">
        <w:t>existing</w:t>
      </w:r>
      <w:r w:rsidR="00343FBC">
        <w:t xml:space="preserve"> </w:t>
      </w:r>
      <w:r w:rsidR="00F85642">
        <w:t xml:space="preserve">procedures </w:t>
      </w:r>
      <w:r w:rsidR="00343FBC">
        <w:t xml:space="preserve">are </w:t>
      </w:r>
      <w:r w:rsidR="001971EA" w:rsidRPr="001971EA">
        <w:t>commensurate</w:t>
      </w:r>
      <w:r w:rsidR="001971EA" w:rsidRPr="001971EA" w:rsidDel="001971EA">
        <w:t xml:space="preserve"> </w:t>
      </w:r>
      <w:r w:rsidR="00343FBC">
        <w:t xml:space="preserve">with the risk of </w:t>
      </w:r>
      <w:r w:rsidR="00F85642" w:rsidRPr="00561CF6">
        <w:t>interference</w:t>
      </w:r>
      <w:r w:rsidR="00343FBC">
        <w:t xml:space="preserve">, </w:t>
      </w:r>
      <w:r w:rsidR="00F85642">
        <w:t>including</w:t>
      </w:r>
      <w:r w:rsidR="00343FBC">
        <w:t xml:space="preserve"> consideration of status of </w:t>
      </w:r>
      <w:r w:rsidR="00F85642">
        <w:t xml:space="preserve">the satellite network in </w:t>
      </w:r>
      <w:r w:rsidR="00F85642" w:rsidRPr="00746186">
        <w:rPr>
          <w:rFonts w:cs="Arial"/>
          <w:szCs w:val="20"/>
        </w:rPr>
        <w:t>ITU satellite coordination process</w:t>
      </w:r>
    </w:p>
    <w:p w14:paraId="6E24FA87" w14:textId="77777777" w:rsidR="003D7FAC" w:rsidRDefault="003D7FAC" w:rsidP="005759E7">
      <w:pPr>
        <w:pStyle w:val="ListBullet"/>
      </w:pPr>
      <w:r>
        <w:t>consider and action</w:t>
      </w:r>
      <w:r w:rsidR="00561CF6">
        <w:t>,</w:t>
      </w:r>
      <w:r>
        <w:t xml:space="preserve"> if appropriate</w:t>
      </w:r>
      <w:r w:rsidR="00561CF6">
        <w:t>,</w:t>
      </w:r>
      <w:r>
        <w:t xml:space="preserve"> identification of possible additional bands for ubiquitous </w:t>
      </w:r>
      <w:r w:rsidRPr="00561CF6">
        <w:t>satellite</w:t>
      </w:r>
      <w:r>
        <w:t xml:space="preserve"> use</w:t>
      </w:r>
    </w:p>
    <w:p w14:paraId="1BABEF6D" w14:textId="77777777" w:rsidR="003D7FAC" w:rsidRDefault="00343FBC" w:rsidP="005759E7">
      <w:pPr>
        <w:pStyle w:val="ListBulletLast"/>
      </w:pPr>
      <w:r w:rsidRPr="00561CF6">
        <w:t>review</w:t>
      </w:r>
      <w:r>
        <w:t xml:space="preserve"> of </w:t>
      </w:r>
      <w:r w:rsidR="003D7FAC">
        <w:t xml:space="preserve">arrangements </w:t>
      </w:r>
      <w:r>
        <w:t xml:space="preserve">for ubiquitous </w:t>
      </w:r>
      <w:r w:rsidR="003D7FAC">
        <w:t>e</w:t>
      </w:r>
      <w:r w:rsidR="003D7FAC" w:rsidRPr="002B5174">
        <w:t xml:space="preserve">arth stations </w:t>
      </w:r>
      <w:r w:rsidR="003D7FAC">
        <w:t xml:space="preserve">in motion in the </w:t>
      </w:r>
      <w:r w:rsidR="00807B75">
        <w:t>FSS</w:t>
      </w:r>
      <w:r w:rsidR="00922434">
        <w:t xml:space="preserve"> </w:t>
      </w:r>
      <w:r w:rsidR="00F15BFE">
        <w:t xml:space="preserve">in </w:t>
      </w:r>
      <w:r>
        <w:t xml:space="preserve">those parts of </w:t>
      </w:r>
      <w:r w:rsidR="00F15BFE">
        <w:t>Ku band</w:t>
      </w:r>
      <w:r>
        <w:t xml:space="preserve"> included in the </w:t>
      </w:r>
      <w:r w:rsidRPr="00C43A99">
        <w:t>Communication with Space Object Class Licence</w:t>
      </w:r>
      <w:r w:rsidR="003D7FAC">
        <w:t>.</w:t>
      </w:r>
    </w:p>
    <w:p w14:paraId="2E0CEF1B" w14:textId="77777777" w:rsidR="007F3368" w:rsidRDefault="007F3368" w:rsidP="005759E7">
      <w:pPr>
        <w:pStyle w:val="BodySubHeader"/>
      </w:pPr>
      <w:r>
        <w:t xml:space="preserve">Progress achieved </w:t>
      </w:r>
    </w:p>
    <w:p w14:paraId="413DB5BA" w14:textId="77777777" w:rsidR="007F3368" w:rsidRDefault="007F3368" w:rsidP="005759E7">
      <w:pPr>
        <w:spacing w:after="80"/>
      </w:pPr>
      <w:r>
        <w:t>In 2017, the ACMA finalised consultation on a number of issues to support developments in satellite communications, completing the following projects:</w:t>
      </w:r>
    </w:p>
    <w:p w14:paraId="77716F04" w14:textId="77777777" w:rsidR="007F3368" w:rsidRDefault="006D64BD" w:rsidP="005759E7">
      <w:pPr>
        <w:pStyle w:val="ListBullet"/>
      </w:pPr>
      <w:r>
        <w:t>u</w:t>
      </w:r>
      <w:r w:rsidR="007F3368">
        <w:t>pdate to Foreign Space Objects Determination (</w:t>
      </w:r>
      <w:r w:rsidR="00330303">
        <w:t>c</w:t>
      </w:r>
      <w:r w:rsidR="007F3368">
        <w:t>ompleted October 2017)</w:t>
      </w:r>
    </w:p>
    <w:p w14:paraId="55BCF379" w14:textId="77777777" w:rsidR="007F3368" w:rsidRDefault="006D64BD" w:rsidP="005759E7">
      <w:pPr>
        <w:pStyle w:val="ListBullet"/>
      </w:pPr>
      <w:r>
        <w:t>in</w:t>
      </w:r>
      <w:r w:rsidR="00343FBC">
        <w:t xml:space="preserve">terim </w:t>
      </w:r>
      <w:r w:rsidR="005D5C36">
        <w:t>r</w:t>
      </w:r>
      <w:r w:rsidR="007F3368">
        <w:t xml:space="preserve">egulatory arrangements </w:t>
      </w:r>
      <w:r w:rsidR="005D5C36">
        <w:t xml:space="preserve">(in Business Operating Procedures (BOP) </w:t>
      </w:r>
      <w:r w:rsidR="007F3368" w:rsidRPr="00350C72">
        <w:t xml:space="preserve">for </w:t>
      </w:r>
      <w:r w:rsidR="005D5C36" w:rsidRPr="00350C72">
        <w:t>Ka</w:t>
      </w:r>
      <w:r w:rsidR="00561CF6" w:rsidRPr="00350C72">
        <w:t>-</w:t>
      </w:r>
      <w:r w:rsidR="005D5C36" w:rsidRPr="00350C72">
        <w:t>band</w:t>
      </w:r>
      <w:r w:rsidR="005D5C36">
        <w:t xml:space="preserve"> </w:t>
      </w:r>
      <w:r w:rsidR="00DF6334">
        <w:t>geostationary (</w:t>
      </w:r>
      <w:r w:rsidR="007F3368">
        <w:t>GSO</w:t>
      </w:r>
      <w:r w:rsidR="00DF6334">
        <w:t>)</w:t>
      </w:r>
      <w:r w:rsidR="007F3368">
        <w:t xml:space="preserve"> and </w:t>
      </w:r>
      <w:r w:rsidR="00DF6334">
        <w:t>non-geostationary (</w:t>
      </w:r>
      <w:r w:rsidR="007F3368">
        <w:t>NGSO</w:t>
      </w:r>
      <w:r w:rsidR="00DF6334">
        <w:t>)</w:t>
      </w:r>
      <w:r w:rsidR="007F3368">
        <w:t xml:space="preserve"> ESIM (</w:t>
      </w:r>
      <w:r w:rsidR="00330303">
        <w:t>c</w:t>
      </w:r>
      <w:r w:rsidR="00121983">
        <w:t>o</w:t>
      </w:r>
      <w:r w:rsidR="007F3368">
        <w:t>mpleted October 2017)</w:t>
      </w:r>
    </w:p>
    <w:p w14:paraId="4CD54F15" w14:textId="77777777" w:rsidR="00330303" w:rsidRDefault="00330303" w:rsidP="005759E7">
      <w:pPr>
        <w:pStyle w:val="ListBulletLast"/>
      </w:pPr>
      <w:r>
        <w:t xml:space="preserve">a minor update to business operating procedures for licensing space-based communications systems (completed December 2017). </w:t>
      </w:r>
    </w:p>
    <w:p w14:paraId="2E47C893" w14:textId="77777777" w:rsidR="007F3368" w:rsidRDefault="007F3368" w:rsidP="0027128C">
      <w:r>
        <w:t>Originally forecast to commence Q</w:t>
      </w:r>
      <w:r w:rsidR="00291371">
        <w:t>4</w:t>
      </w:r>
      <w:r>
        <w:t xml:space="preserve"> 2017</w:t>
      </w:r>
      <w:r w:rsidR="002F10B6">
        <w:t>–</w:t>
      </w:r>
      <w:r>
        <w:t xml:space="preserve">18, a </w:t>
      </w:r>
      <w:r w:rsidR="00EC1474">
        <w:t xml:space="preserve">wider </w:t>
      </w:r>
      <w:r>
        <w:t>general review of space licensing procedures has been delayed</w:t>
      </w:r>
      <w:r w:rsidR="00121983">
        <w:t xml:space="preserve"> until Q</w:t>
      </w:r>
      <w:r w:rsidR="00A65ED8">
        <w:t>2</w:t>
      </w:r>
      <w:r w:rsidR="00121983">
        <w:t xml:space="preserve"> 2018</w:t>
      </w:r>
      <w:r w:rsidR="002F10B6">
        <w:t>–</w:t>
      </w:r>
      <w:r w:rsidR="00121983">
        <w:t>19</w:t>
      </w:r>
      <w:r w:rsidR="00330303">
        <w:t>, due to other projects</w:t>
      </w:r>
      <w:r w:rsidR="009263D1">
        <w:t>.</w:t>
      </w:r>
    </w:p>
    <w:p w14:paraId="12E6711E" w14:textId="77777777" w:rsidR="007F3368" w:rsidRDefault="009C2FFE" w:rsidP="0027128C">
      <w:r>
        <w:t>T</w:t>
      </w:r>
      <w:r w:rsidR="007F3368">
        <w:t xml:space="preserve">he ACMA </w:t>
      </w:r>
      <w:r w:rsidR="00807B75">
        <w:t>is</w:t>
      </w:r>
      <w:r w:rsidR="007F3368">
        <w:t xml:space="preserve"> review</w:t>
      </w:r>
      <w:r w:rsidR="00807B75">
        <w:t>ing</w:t>
      </w:r>
      <w:r w:rsidR="007F3368">
        <w:t xml:space="preserve"> frequency coordination requirements between apparatus-licensed fixed point-to-point links </w:t>
      </w:r>
      <w:r w:rsidR="00DF6334">
        <w:t>(in the 6 and 6.7 GHz</w:t>
      </w:r>
      <w:r w:rsidR="00D16A11">
        <w:t xml:space="preserve"> bands</w:t>
      </w:r>
      <w:r w:rsidR="00DF6334">
        <w:t xml:space="preserve">) </w:t>
      </w:r>
      <w:r w:rsidR="007F3368">
        <w:t xml:space="preserve">and </w:t>
      </w:r>
      <w:r w:rsidR="00E655B6">
        <w:t xml:space="preserve">FSS </w:t>
      </w:r>
      <w:r w:rsidR="007F3368">
        <w:t xml:space="preserve">earth stations communicating with </w:t>
      </w:r>
      <w:r w:rsidR="00DF6334">
        <w:t xml:space="preserve">GSO </w:t>
      </w:r>
      <w:r w:rsidR="007F3368">
        <w:t xml:space="preserve">satellites. </w:t>
      </w:r>
      <w:r w:rsidR="00DF6334">
        <w:t>I</w:t>
      </w:r>
      <w:r w:rsidR="007F3368">
        <w:t>t was forecast that consultation would begin Q1 2018-19, however</w:t>
      </w:r>
      <w:r w:rsidR="002F10B6">
        <w:t>,</w:t>
      </w:r>
      <w:r w:rsidR="007F3368">
        <w:t xml:space="preserve"> this work has been delayed due to other projects.</w:t>
      </w:r>
    </w:p>
    <w:p w14:paraId="2D8E4AD7" w14:textId="77777777" w:rsidR="009C2FFE" w:rsidRPr="005B4845" w:rsidRDefault="009C2FFE" w:rsidP="00344590">
      <w:pPr>
        <w:pStyle w:val="BodySubHeader"/>
      </w:pPr>
      <w:r w:rsidRPr="005B4845">
        <w:t>Activities planned for 2018</w:t>
      </w:r>
      <w:r w:rsidR="002F10B6" w:rsidRPr="005B4845">
        <w:t>–</w:t>
      </w:r>
      <w:r w:rsidRPr="005B4845">
        <w:t xml:space="preserve">19 </w:t>
      </w:r>
    </w:p>
    <w:p w14:paraId="46D9E3C3" w14:textId="77777777" w:rsidR="003D7FAC" w:rsidRPr="00344590" w:rsidRDefault="003D7FAC" w:rsidP="00344590">
      <w:pPr>
        <w:pStyle w:val="BodySubHeader"/>
      </w:pPr>
      <w:r w:rsidRPr="00344590">
        <w:t xml:space="preserve">Frequency coordination of earth stations and with </w:t>
      </w:r>
      <w:r w:rsidR="005D5C36" w:rsidRPr="00344590">
        <w:t>point-to-point links</w:t>
      </w:r>
    </w:p>
    <w:p w14:paraId="30037886" w14:textId="77777777" w:rsidR="001A7901" w:rsidRDefault="001A7901" w:rsidP="001A7901">
      <w:r>
        <w:t xml:space="preserve">The ACMA is progressing the review of </w:t>
      </w:r>
      <w:r w:rsidR="00DF6334">
        <w:t>frequency coordination requirements between apparatus-licensed fixed point-to-point links (in the 6 and 6.7 GHz</w:t>
      </w:r>
      <w:r w:rsidR="00D16A11">
        <w:t xml:space="preserve"> bands</w:t>
      </w:r>
      <w:r w:rsidR="00DF6334">
        <w:t xml:space="preserve">) and </w:t>
      </w:r>
      <w:r w:rsidR="00E655B6">
        <w:t xml:space="preserve">FSS </w:t>
      </w:r>
      <w:r w:rsidR="00DF6334">
        <w:t>earth stations communicating with GSO satellites</w:t>
      </w:r>
      <w:r>
        <w:t xml:space="preserve">. Initial work is focusing on </w:t>
      </w:r>
      <w:r w:rsidR="00AF19BE">
        <w:t xml:space="preserve">codifying procedures in the </w:t>
      </w:r>
      <w:r>
        <w:t xml:space="preserve">6 and 6.7 GHz fixed point-to-point bands and for communications with </w:t>
      </w:r>
      <w:r w:rsidR="00DF6334">
        <w:t>GSO</w:t>
      </w:r>
      <w:r>
        <w:t xml:space="preserve"> satellites. </w:t>
      </w:r>
      <w:r w:rsidR="00AF19BE">
        <w:t>However</w:t>
      </w:r>
      <w:r w:rsidR="002F10B6">
        <w:t>,</w:t>
      </w:r>
      <w:r>
        <w:t xml:space="preserve"> the scope </w:t>
      </w:r>
      <w:r w:rsidR="00AF19BE">
        <w:t xml:space="preserve">of these procedures will be incrementally expanded as required. </w:t>
      </w:r>
    </w:p>
    <w:p w14:paraId="10336780" w14:textId="77777777" w:rsidR="001A7901" w:rsidRDefault="001A7901" w:rsidP="001A7901">
      <w:r>
        <w:t xml:space="preserve">Initial consultations are expected to commence </w:t>
      </w:r>
      <w:r w:rsidR="00AF19BE">
        <w:t>no later than the end of Q1</w:t>
      </w:r>
      <w:r>
        <w:t xml:space="preserve"> 2018–19.</w:t>
      </w:r>
    </w:p>
    <w:p w14:paraId="1F166388" w14:textId="77777777" w:rsidR="003D7FAC" w:rsidRPr="0037046B" w:rsidRDefault="00016561" w:rsidP="001B0F77">
      <w:pPr>
        <w:pStyle w:val="BodySubHeader"/>
        <w:keepNext/>
      </w:pPr>
      <w:r w:rsidRPr="00344590">
        <w:lastRenderedPageBreak/>
        <w:t xml:space="preserve">Spectrum arrangements for </w:t>
      </w:r>
      <w:r w:rsidR="002F10B6" w:rsidRPr="00344590">
        <w:t>‘</w:t>
      </w:r>
      <w:r w:rsidRPr="00344590">
        <w:t>small satellites</w:t>
      </w:r>
      <w:r w:rsidR="002F10B6" w:rsidRPr="0037046B">
        <w:t>’</w:t>
      </w:r>
    </w:p>
    <w:p w14:paraId="38F51D91" w14:textId="77777777" w:rsidR="008C7725" w:rsidRDefault="008C7725" w:rsidP="00FC654E">
      <w:r>
        <w:t>The ACMA is aware that many of the innovations in the satellite sector are from the use of small satellites</w:t>
      </w:r>
      <w:r w:rsidR="00AF19BE">
        <w:t>, often supporting short</w:t>
      </w:r>
      <w:r w:rsidR="002F10B6">
        <w:t>-</w:t>
      </w:r>
      <w:r w:rsidR="00AF19BE">
        <w:t>duration missions</w:t>
      </w:r>
      <w:r>
        <w:t>.</w:t>
      </w:r>
      <w:r w:rsidR="00AF19BE">
        <w:t xml:space="preserve"> </w:t>
      </w:r>
      <w:r w:rsidR="0002443B">
        <w:t>S</w:t>
      </w:r>
      <w:r w:rsidR="00AF19BE">
        <w:t>ome of these uses are not optimally supported by existing domestic and international regulatory and planning arrangements</w:t>
      </w:r>
      <w:r w:rsidR="002F10B6">
        <w:t>—</w:t>
      </w:r>
      <w:r w:rsidR="0002443B">
        <w:t>al</w:t>
      </w:r>
      <w:r w:rsidR="00AF19BE">
        <w:t>though on</w:t>
      </w:r>
      <w:r w:rsidR="0002443B">
        <w:t>c</w:t>
      </w:r>
      <w:r w:rsidR="00AF19BE">
        <w:t>e a ‘small satellite’ is used as part for an ongoing constellation</w:t>
      </w:r>
      <w:r w:rsidR="002F10B6">
        <w:t>,</w:t>
      </w:r>
      <w:r w:rsidR="00AF19BE">
        <w:t xml:space="preserve"> the spectrum management implications are more analogous to traditional satellite systems and</w:t>
      </w:r>
      <w:r w:rsidR="002F10B6">
        <w:t>,</w:t>
      </w:r>
      <w:r w:rsidR="00AF19BE">
        <w:t xml:space="preserve"> hence</w:t>
      </w:r>
      <w:r w:rsidR="002F10B6">
        <w:t>,</w:t>
      </w:r>
      <w:r w:rsidR="00AF19BE">
        <w:t xml:space="preserve"> unique regulatory arrangements are less likely to be required.</w:t>
      </w:r>
      <w:r w:rsidR="00447762">
        <w:t xml:space="preserve"> </w:t>
      </w:r>
    </w:p>
    <w:p w14:paraId="2E7C1041" w14:textId="77777777" w:rsidR="008C7725" w:rsidRDefault="003E0A99" w:rsidP="0023477F">
      <w:pPr>
        <w:pStyle w:val="CommentText"/>
      </w:pPr>
      <w:r>
        <w:t xml:space="preserve">Ongoing changes in the space industry suggest that ACMA needs to improve its engagement with a range of new entrant organisations that are typically smaller than it is used to dealing with. Examples </w:t>
      </w:r>
      <w:r w:rsidR="002F10B6">
        <w:t xml:space="preserve">include </w:t>
      </w:r>
      <w:r>
        <w:t>start-up companies and university-based teams with a particular focus on short</w:t>
      </w:r>
      <w:r w:rsidR="002F10B6">
        <w:t>-</w:t>
      </w:r>
      <w:r>
        <w:t xml:space="preserve">duration small satellites. </w:t>
      </w:r>
    </w:p>
    <w:p w14:paraId="68885983" w14:textId="77777777" w:rsidR="008C7725" w:rsidRDefault="008C7725" w:rsidP="00FC654E">
      <w:r>
        <w:t>To better inform and assist innovation and growth in the space industry, the</w:t>
      </w:r>
      <w:r w:rsidR="0037254E">
        <w:t xml:space="preserve">re </w:t>
      </w:r>
      <w:r>
        <w:t>is a need to develop specific information on spectrum management targeted at small organisations</w:t>
      </w:r>
      <w:r w:rsidR="0037254E">
        <w:t xml:space="preserve">, </w:t>
      </w:r>
      <w:r w:rsidR="002F10B6">
        <w:t xml:space="preserve">as well as </w:t>
      </w:r>
      <w:r>
        <w:t>more streamline</w:t>
      </w:r>
      <w:r w:rsidR="00016561">
        <w:t>d</w:t>
      </w:r>
      <w:r>
        <w:t xml:space="preserve"> ways for such organisation</w:t>
      </w:r>
      <w:r w:rsidR="00016561">
        <w:t>s</w:t>
      </w:r>
      <w:r>
        <w:t xml:space="preserve"> to access spectrum, both for trial and demonstration purposes</w:t>
      </w:r>
      <w:r w:rsidR="000B35F0">
        <w:t>,</w:t>
      </w:r>
      <w:r>
        <w:t xml:space="preserve"> and provide a </w:t>
      </w:r>
      <w:r w:rsidR="00B971FB">
        <w:t>possibl</w:t>
      </w:r>
      <w:r w:rsidR="0037254E">
        <w:t>e</w:t>
      </w:r>
      <w:r w:rsidR="00B971FB">
        <w:t xml:space="preserve"> </w:t>
      </w:r>
      <w:r>
        <w:t>pathway to commercialisation.</w:t>
      </w:r>
    </w:p>
    <w:p w14:paraId="51DEF6DE" w14:textId="77777777" w:rsidR="00672016" w:rsidRDefault="00B971FB" w:rsidP="00FC654E">
      <w:r>
        <w:t>The</w:t>
      </w:r>
      <w:r w:rsidR="008C7725" w:rsidDel="00B971FB">
        <w:t xml:space="preserve"> </w:t>
      </w:r>
      <w:r w:rsidR="008C7725">
        <w:t xml:space="preserve">ACMA </w:t>
      </w:r>
      <w:r w:rsidR="0037254E">
        <w:t>plan</w:t>
      </w:r>
      <w:r>
        <w:t xml:space="preserve">s to </w:t>
      </w:r>
      <w:r w:rsidR="008C7725">
        <w:t>seek</w:t>
      </w:r>
      <w:r>
        <w:t xml:space="preserve"> the </w:t>
      </w:r>
      <w:r w:rsidR="008C7725">
        <w:t xml:space="preserve">views of industry </w:t>
      </w:r>
      <w:r w:rsidR="000B35F0">
        <w:t>about</w:t>
      </w:r>
      <w:r w:rsidR="008C7725">
        <w:t xml:space="preserve"> what changes can be made to the existing spectrum management framework to support such needs</w:t>
      </w:r>
      <w:r w:rsidR="0037254E">
        <w:t>,</w:t>
      </w:r>
      <w:r w:rsidR="008C7725">
        <w:t xml:space="preserve"> </w:t>
      </w:r>
      <w:r>
        <w:t xml:space="preserve">while ensuring a </w:t>
      </w:r>
      <w:r w:rsidR="0037254E">
        <w:t xml:space="preserve">continuing, </w:t>
      </w:r>
      <w:r>
        <w:t>stable regulatory environment for ‘traditional’ satellite use</w:t>
      </w:r>
      <w:r w:rsidR="0037254E">
        <w:t>rs</w:t>
      </w:r>
      <w:r w:rsidR="00016561">
        <w:t>.</w:t>
      </w:r>
      <w:r>
        <w:t xml:space="preserve"> </w:t>
      </w:r>
    </w:p>
    <w:p w14:paraId="71B17B49" w14:textId="77777777" w:rsidR="008C7725" w:rsidRPr="002268C9" w:rsidRDefault="000B35F0" w:rsidP="00FC654E">
      <w:r>
        <w:t xml:space="preserve">Depending </w:t>
      </w:r>
      <w:r w:rsidR="008C7725">
        <w:t xml:space="preserve">on stakeholder feedback and project prioritisation, the ACMA </w:t>
      </w:r>
      <w:r w:rsidR="00B971FB">
        <w:t xml:space="preserve">expects to commence this work </w:t>
      </w:r>
      <w:r w:rsidR="003E0A99">
        <w:t>towards</w:t>
      </w:r>
      <w:r w:rsidR="00B971FB">
        <w:t xml:space="preserve"> the end of Q</w:t>
      </w:r>
      <w:r w:rsidR="00A36118">
        <w:t>2</w:t>
      </w:r>
      <w:r w:rsidR="00B971FB">
        <w:t xml:space="preserve"> 2018–19</w:t>
      </w:r>
      <w:r w:rsidR="008C7725">
        <w:t>.</w:t>
      </w:r>
    </w:p>
    <w:p w14:paraId="40D39B27" w14:textId="77777777" w:rsidR="00B971FB" w:rsidRDefault="00992750" w:rsidP="005759E7">
      <w:pPr>
        <w:pStyle w:val="BodySubHeader"/>
      </w:pPr>
      <w:r>
        <w:t>Updating regulatory arrangement</w:t>
      </w:r>
      <w:r w:rsidR="00985FA1">
        <w:t>s</w:t>
      </w:r>
      <w:r>
        <w:t xml:space="preserve"> for space</w:t>
      </w:r>
      <w:r w:rsidR="000B35F0">
        <w:t>-</w:t>
      </w:r>
      <w:r>
        <w:t xml:space="preserve">based communications systems </w:t>
      </w:r>
    </w:p>
    <w:p w14:paraId="10F3F5EC" w14:textId="77777777" w:rsidR="00FB6B0A" w:rsidRDefault="00FB6B0A" w:rsidP="000B35F0">
      <w:r w:rsidRPr="00D35496">
        <w:t>The ACMA will continue to monitor trends in the spectrum needs of space-based communications systems, as well as developments in emerging space-based technologies and applications. Further updates (beyond those already undertaken in 2017</w:t>
      </w:r>
      <w:r>
        <w:t>–</w:t>
      </w:r>
      <w:r w:rsidRPr="00D35496">
        <w:t>18) to regulatory arrangements</w:t>
      </w:r>
      <w:r>
        <w:rPr>
          <w:rStyle w:val="FootnoteReference"/>
        </w:rPr>
        <w:footnoteReference w:id="33"/>
      </w:r>
      <w:r w:rsidRPr="00D35496">
        <w:t xml:space="preserve"> are likely to be necessary to support continued innovation in the sector. This future work will be depend on stakeholder feedback and its priority relative to other projects in the</w:t>
      </w:r>
      <w:r>
        <w:t xml:space="preserve"> ACMA’s</w:t>
      </w:r>
      <w:r w:rsidRPr="00D35496">
        <w:t xml:space="preserve"> spectrum work program. Organisations planning new satellite communication systems and intending to use existing systems are encouraged to contact the ACMA to discuss whether such updates are required and </w:t>
      </w:r>
      <w:r>
        <w:t xml:space="preserve">the </w:t>
      </w:r>
      <w:r w:rsidRPr="00D35496">
        <w:t>timing of such updates.</w:t>
      </w:r>
    </w:p>
    <w:p w14:paraId="7A2E0E89" w14:textId="77777777" w:rsidR="00B514B8" w:rsidRDefault="00B514B8" w:rsidP="00B514B8">
      <w:r>
        <w:t xml:space="preserve">One respondent suggested that the </w:t>
      </w:r>
      <w:r w:rsidRPr="00C43A99">
        <w:t>Radiocommunications (Communication with Space Object) Class Licence</w:t>
      </w:r>
      <w:r>
        <w:t xml:space="preserve"> be updated to include additional Ka</w:t>
      </w:r>
      <w:r w:rsidR="00DF6334">
        <w:t>-band</w:t>
      </w:r>
      <w:r>
        <w:t xml:space="preserve"> frequency ranges (18.2</w:t>
      </w:r>
      <w:r w:rsidR="000B35F0">
        <w:t>–</w:t>
      </w:r>
      <w:r>
        <w:t>18.8 GHz, 19.3</w:t>
      </w:r>
      <w:r w:rsidR="000B35F0">
        <w:t>–</w:t>
      </w:r>
      <w:r>
        <w:t>19.7 GHz, 27.5</w:t>
      </w:r>
      <w:r w:rsidR="000B35F0">
        <w:t>–</w:t>
      </w:r>
      <w:r>
        <w:t>28.5 GHz and 29.1</w:t>
      </w:r>
      <w:r w:rsidR="000B35F0">
        <w:t>–</w:t>
      </w:r>
      <w:r>
        <w:t xml:space="preserve">29.5 GHz). </w:t>
      </w:r>
    </w:p>
    <w:p w14:paraId="53F099A0" w14:textId="77777777" w:rsidR="00B514B8" w:rsidRDefault="00B514B8" w:rsidP="00B514B8">
      <w:r>
        <w:t>These frequency ranges overlap those used for fixed point-to-point links operating in accordance with 18 GHz and 28 GHz fixed link channel plans. With the 28 GHz band</w:t>
      </w:r>
      <w:r w:rsidR="00DF6334">
        <w:t xml:space="preserve"> is</w:t>
      </w:r>
      <w:r>
        <w:t xml:space="preserve"> already being used for point-to-point links and </w:t>
      </w:r>
      <w:r w:rsidR="000B35F0">
        <w:t xml:space="preserve">possibly </w:t>
      </w:r>
      <w:r>
        <w:t xml:space="preserve">point-to-multipoint systems in the future, understanding the impact on terrestrial services (current and future) is an important consideration. </w:t>
      </w:r>
    </w:p>
    <w:p w14:paraId="504272B4" w14:textId="77777777" w:rsidR="00B514B8" w:rsidRPr="00D35496" w:rsidRDefault="00B514B8" w:rsidP="00B514B8">
      <w:r>
        <w:t xml:space="preserve">The ACMA intends to monitor deployments with a view to assessing in future years whether such a change is required or viable given the potential impact on terrestrial services. </w:t>
      </w:r>
    </w:p>
    <w:p w14:paraId="20374C98" w14:textId="77777777" w:rsidR="00B514B8" w:rsidRDefault="00B514B8" w:rsidP="00B514B8">
      <w:r>
        <w:lastRenderedPageBreak/>
        <w:t>The ACMA plans to consult</w:t>
      </w:r>
      <w:r w:rsidRPr="00CA5FD2">
        <w:t xml:space="preserve"> on </w:t>
      </w:r>
      <w:r>
        <w:t xml:space="preserve">changes to </w:t>
      </w:r>
      <w:r w:rsidRPr="00CA5FD2">
        <w:t>the Radiocommunications (Communication with Space Object) Class Licence 2015 and the Radiocommunications (Foreign Space Objects) Determination 2014</w:t>
      </w:r>
      <w:r>
        <w:t>. The consultations are expected to commence no later than Q4 2017</w:t>
      </w:r>
      <w:r w:rsidR="000B35F0">
        <w:t>–</w:t>
      </w:r>
      <w:r>
        <w:t>18</w:t>
      </w:r>
      <w:r w:rsidR="00314997">
        <w:t>, and changes final</w:t>
      </w:r>
      <w:r w:rsidR="00696268">
        <w:t>ised by the end of Q1 2018–</w:t>
      </w:r>
      <w:r w:rsidR="00314997">
        <w:t>19</w:t>
      </w:r>
      <w:r>
        <w:t xml:space="preserve">. This consultation does not include Ku and Ka bands, noting additional work on the review of regulatory arrangements for earth stations in motion in </w:t>
      </w:r>
      <w:r w:rsidRPr="00350C72">
        <w:t>the Ku</w:t>
      </w:r>
      <w:r w:rsidR="000B35F0" w:rsidRPr="00350C72">
        <w:t>-b</w:t>
      </w:r>
      <w:r w:rsidRPr="00350C72">
        <w:t>and</w:t>
      </w:r>
      <w:r>
        <w:t>, discussed below.</w:t>
      </w:r>
    </w:p>
    <w:p w14:paraId="04821799" w14:textId="77777777" w:rsidR="00AF65F1" w:rsidRDefault="00AF65F1" w:rsidP="00350C72">
      <w:pPr>
        <w:pStyle w:val="BodySubHeader"/>
        <w:keepNext/>
      </w:pPr>
      <w:r>
        <w:t>General review of space licensing procedures</w:t>
      </w:r>
    </w:p>
    <w:p w14:paraId="0DCFFACA" w14:textId="77777777" w:rsidR="00FB6B0A" w:rsidRDefault="00FB6B0A" w:rsidP="005759E7">
      <w:pPr>
        <w:spacing w:after="80"/>
      </w:pPr>
      <w:r>
        <w:t xml:space="preserve">In </w:t>
      </w:r>
      <w:r w:rsidRPr="00FC654E">
        <w:t>December 2017</w:t>
      </w:r>
      <w:r w:rsidR="000B35F0">
        <w:t>,</w:t>
      </w:r>
      <w:r w:rsidRPr="00FC654E">
        <w:t xml:space="preserve"> the ACMA</w:t>
      </w:r>
      <w:r>
        <w:t xml:space="preserve"> completed an initial update of general procedures for licensing space–based communications systems. The ACMA is now undertaking a more detailed review. One of the key purposes of the review is to consider whether in light of trends in spaced-based communications systems </w:t>
      </w:r>
      <w:r w:rsidR="000B35F0">
        <w:t xml:space="preserve">if </w:t>
      </w:r>
      <w:r>
        <w:t>licensing procedures are appropriate and commensurate with the risk of interference, and consider possible updates to business operating procedures for licensing of space-based communications systems.</w:t>
      </w:r>
      <w:r>
        <w:rPr>
          <w:rStyle w:val="FootnoteReference"/>
        </w:rPr>
        <w:footnoteReference w:id="34"/>
      </w:r>
      <w:r>
        <w:t xml:space="preserve"> Given issues raised in submissions, some topics in the scope of the review </w:t>
      </w:r>
      <w:r w:rsidR="009263D1">
        <w:t>are whether</w:t>
      </w:r>
      <w:r w:rsidR="000B35F0">
        <w:t xml:space="preserve"> </w:t>
      </w:r>
      <w:r>
        <w:t>there is a need to include additional measures for:</w:t>
      </w:r>
    </w:p>
    <w:p w14:paraId="7ED4BF51" w14:textId="77777777" w:rsidR="00FB6B0A" w:rsidRPr="00551873" w:rsidRDefault="00FB6B0A" w:rsidP="005759E7">
      <w:pPr>
        <w:pStyle w:val="ListBullet"/>
      </w:pPr>
      <w:r>
        <w:t>when</w:t>
      </w:r>
      <w:r w:rsidRPr="00CA45D7" w:rsidDel="006D64BD">
        <w:t xml:space="preserve"> </w:t>
      </w:r>
      <w:r w:rsidRPr="00CA45D7">
        <w:t>the ITU satellite coordination process are not completed</w:t>
      </w:r>
    </w:p>
    <w:p w14:paraId="42BC7F83" w14:textId="77777777" w:rsidR="00FB6B0A" w:rsidRPr="00947F88" w:rsidRDefault="00FB6B0A" w:rsidP="005759E7">
      <w:pPr>
        <w:pStyle w:val="ListBulletLast"/>
        <w:rPr>
          <w:color w:val="1F497D"/>
        </w:rPr>
      </w:pPr>
      <w:r w:rsidRPr="00CA45D7">
        <w:t>cases where the satellite network has been recorded in the Master International Frequency Register (MIFR) in accordance w</w:t>
      </w:r>
      <w:r w:rsidRPr="00947F88">
        <w:t>ith ITU Radio Regulation No. 11.</w:t>
      </w:r>
      <w:r w:rsidR="001971EA">
        <w:t>41</w:t>
      </w:r>
    </w:p>
    <w:p w14:paraId="54748C72" w14:textId="77777777" w:rsidR="00D34C68" w:rsidRDefault="00F84899" w:rsidP="00FC654E">
      <w:r>
        <w:t>A consultation paper is proposed for release in Q</w:t>
      </w:r>
      <w:r w:rsidR="002E7447">
        <w:t>2</w:t>
      </w:r>
      <w:r>
        <w:t xml:space="preserve"> 2018</w:t>
      </w:r>
      <w:r w:rsidR="000B35F0">
        <w:t>–</w:t>
      </w:r>
      <w:r>
        <w:t xml:space="preserve">19. </w:t>
      </w:r>
    </w:p>
    <w:p w14:paraId="163CD2AD" w14:textId="77777777" w:rsidR="00DB04B9" w:rsidRPr="00CA5FD2" w:rsidRDefault="00DB04B9" w:rsidP="005759E7">
      <w:pPr>
        <w:pStyle w:val="BodySubHeader"/>
      </w:pPr>
      <w:r w:rsidRPr="00CA5FD2">
        <w:t>Review of regulatory arrangements for earth stations in motion (ESIM)</w:t>
      </w:r>
      <w:r>
        <w:t xml:space="preserve"> parts of Ku</w:t>
      </w:r>
      <w:r w:rsidR="00231D4A">
        <w:t>-</w:t>
      </w:r>
      <w:r>
        <w:t>band</w:t>
      </w:r>
    </w:p>
    <w:p w14:paraId="366AE17C" w14:textId="77777777" w:rsidR="00B514B8" w:rsidRDefault="00B514B8" w:rsidP="00B514B8">
      <w:r w:rsidRPr="00310D99">
        <w:t>Stakeholder</w:t>
      </w:r>
      <w:r>
        <w:t>s</w:t>
      </w:r>
      <w:r w:rsidRPr="00310D99">
        <w:t xml:space="preserve"> sought support for</w:t>
      </w:r>
      <w:r>
        <w:t xml:space="preserve"> </w:t>
      </w:r>
      <w:r w:rsidRPr="00D35496">
        <w:t xml:space="preserve">using ubiquitous earth stations in motion (ESIM) </w:t>
      </w:r>
      <w:r>
        <w:t xml:space="preserve">in </w:t>
      </w:r>
      <w:r w:rsidR="00231D4A">
        <w:t xml:space="preserve">the </w:t>
      </w:r>
      <w:r w:rsidRPr="00310D99">
        <w:t>Ku</w:t>
      </w:r>
      <w:r w:rsidR="00231D4A">
        <w:t>-</w:t>
      </w:r>
      <w:r w:rsidRPr="00310D99">
        <w:t>band</w:t>
      </w:r>
      <w:r>
        <w:t>. Progressively, from June 2016, the ACMA has been developing m</w:t>
      </w:r>
      <w:r w:rsidRPr="00D35496">
        <w:t xml:space="preserve">ore flexible </w:t>
      </w:r>
      <w:r w:rsidRPr="00D35496">
        <w:rPr>
          <w:lang w:val="en"/>
        </w:rPr>
        <w:t xml:space="preserve">regulatory and licensing arrangements </w:t>
      </w:r>
      <w:r>
        <w:t>for</w:t>
      </w:r>
      <w:r w:rsidRPr="00D35496">
        <w:t xml:space="preserve"> </w:t>
      </w:r>
      <w:r>
        <w:t xml:space="preserve">NGSO and GSO satellite services operating in </w:t>
      </w:r>
      <w:r w:rsidR="00231D4A">
        <w:t xml:space="preserve">the </w:t>
      </w:r>
      <w:r>
        <w:t>Ka</w:t>
      </w:r>
      <w:r w:rsidR="00231D4A">
        <w:t>-</w:t>
      </w:r>
      <w:r>
        <w:t>band, most recently in October 2017. From that work</w:t>
      </w:r>
      <w:r w:rsidR="00231D4A">
        <w:t>,</w:t>
      </w:r>
      <w:r>
        <w:t xml:space="preserve"> the ACMA is aware of ESIM interest in other bands—particularly the Ku</w:t>
      </w:r>
      <w:r w:rsidR="00231D4A">
        <w:t>-</w:t>
      </w:r>
      <w:r>
        <w:t>band, and intends to investigate in 2018</w:t>
      </w:r>
      <w:r w:rsidR="00231D4A">
        <w:t>–</w:t>
      </w:r>
      <w:r>
        <w:t>19.</w:t>
      </w:r>
      <w:r w:rsidDel="001511DE">
        <w:t xml:space="preserve"> </w:t>
      </w:r>
    </w:p>
    <w:p w14:paraId="3D591316" w14:textId="77777777" w:rsidR="00DB04B9" w:rsidRDefault="00DB04B9" w:rsidP="0027128C">
      <w:r>
        <w:t xml:space="preserve">The ACMA intends to </w:t>
      </w:r>
      <w:r w:rsidRPr="00FA3274">
        <w:rPr>
          <w:rFonts w:cs="Arial"/>
          <w:szCs w:val="20"/>
        </w:rPr>
        <w:t xml:space="preserve">review </w:t>
      </w:r>
      <w:r>
        <w:rPr>
          <w:rFonts w:cs="Arial"/>
          <w:szCs w:val="20"/>
        </w:rPr>
        <w:t xml:space="preserve">existing arrangements to identify what (if any) </w:t>
      </w:r>
      <w:r w:rsidRPr="00FA3274">
        <w:rPr>
          <w:rFonts w:cs="Arial"/>
          <w:szCs w:val="20"/>
        </w:rPr>
        <w:t xml:space="preserve">changes are required to existing regulatory and licensing arrangements to support ESIM in </w:t>
      </w:r>
      <w:r w:rsidR="00231D4A">
        <w:rPr>
          <w:rFonts w:cs="Arial"/>
          <w:szCs w:val="20"/>
        </w:rPr>
        <w:t xml:space="preserve">the </w:t>
      </w:r>
      <w:r w:rsidRPr="00FA3274">
        <w:rPr>
          <w:rFonts w:cs="Arial"/>
          <w:szCs w:val="20"/>
        </w:rPr>
        <w:t>Ku</w:t>
      </w:r>
      <w:r w:rsidR="00231D4A">
        <w:rPr>
          <w:rFonts w:cs="Arial"/>
          <w:szCs w:val="20"/>
        </w:rPr>
        <w:t>-</w:t>
      </w:r>
      <w:r w:rsidRPr="00FA3274">
        <w:rPr>
          <w:rFonts w:cs="Arial"/>
          <w:szCs w:val="20"/>
        </w:rPr>
        <w:t>band for both GSO and NGSO satellite networks</w:t>
      </w:r>
      <w:r>
        <w:rPr>
          <w:rFonts w:cs="Arial"/>
          <w:szCs w:val="20"/>
        </w:rPr>
        <w:t>.</w:t>
      </w:r>
    </w:p>
    <w:p w14:paraId="1D3DFFF2" w14:textId="77777777" w:rsidR="00DB04B9" w:rsidRDefault="00DB04B9" w:rsidP="0027128C">
      <w:r>
        <w:rPr>
          <w:rFonts w:cs="Arial"/>
          <w:szCs w:val="20"/>
        </w:rPr>
        <w:t>This work is anticipate</w:t>
      </w:r>
      <w:r w:rsidR="0023477F">
        <w:rPr>
          <w:rFonts w:cs="Arial"/>
          <w:szCs w:val="20"/>
        </w:rPr>
        <w:t>d</w:t>
      </w:r>
      <w:r>
        <w:rPr>
          <w:rFonts w:cs="Arial"/>
          <w:szCs w:val="20"/>
        </w:rPr>
        <w:t xml:space="preserve"> to commence after completion of current satellite communication projects and no earlier than </w:t>
      </w:r>
      <w:r>
        <w:t>the end of Q2 2018–19.</w:t>
      </w:r>
    </w:p>
    <w:p w14:paraId="6E90AF4B" w14:textId="77777777" w:rsidR="00DB04B9" w:rsidRDefault="00DB04B9" w:rsidP="005759E7">
      <w:pPr>
        <w:pStyle w:val="BodySubHeader"/>
      </w:pPr>
      <w:r w:rsidRPr="00DB04B9">
        <w:t>Feasibility of inclusion of 10.7</w:t>
      </w:r>
      <w:r w:rsidR="00727DD8">
        <w:t>–</w:t>
      </w:r>
      <w:r w:rsidRPr="00DB04B9">
        <w:t>11.7 GHz in the Communications with Space Objects Class Licence</w:t>
      </w:r>
    </w:p>
    <w:p w14:paraId="3FA1BBEB" w14:textId="77777777" w:rsidR="006E113A" w:rsidRDefault="006E113A" w:rsidP="006E113A">
      <w:r>
        <w:t>Some respondents to FYSO suggested</w:t>
      </w:r>
      <w:r w:rsidR="004044E4">
        <w:t xml:space="preserve"> that the</w:t>
      </w:r>
      <w:r>
        <w:t xml:space="preserve"> </w:t>
      </w:r>
      <w:r w:rsidRPr="00C43A99">
        <w:t>Radiocommunications (Communication with Space Object) Class Licence</w:t>
      </w:r>
      <w:r>
        <w:t xml:space="preserve"> be updated to include the 10.7</w:t>
      </w:r>
      <w:r w:rsidR="00231D4A">
        <w:t>–</w:t>
      </w:r>
      <w:r>
        <w:t xml:space="preserve">11.7 GHz band for earth station receivers. </w:t>
      </w:r>
    </w:p>
    <w:p w14:paraId="3AB300F6" w14:textId="77777777" w:rsidR="006E113A" w:rsidRDefault="006E113A" w:rsidP="006E113A">
      <w:r>
        <w:t xml:space="preserve">That frequency range is used for fixed point-to-point links (known as the </w:t>
      </w:r>
      <w:r w:rsidR="00231D4A">
        <w:t>‘</w:t>
      </w:r>
      <w:r>
        <w:t>11 GHz band’) and is one of the most heavily used microwave fixed point-to-point link bands in Australia</w:t>
      </w:r>
      <w:r w:rsidR="00231D4A">
        <w:t>,</w:t>
      </w:r>
      <w:r>
        <w:t xml:space="preserve"> with over </w:t>
      </w:r>
      <w:r w:rsidRPr="00FC654E">
        <w:t>11</w:t>
      </w:r>
      <w:r w:rsidR="00231D4A">
        <w:t>,</w:t>
      </w:r>
      <w:r w:rsidRPr="00FC654E">
        <w:t>700 links</w:t>
      </w:r>
      <w:r>
        <w:t xml:space="preserve"> in operation. Earth stations currently operate in this frequency range on an individual coordinated basis. </w:t>
      </w:r>
    </w:p>
    <w:p w14:paraId="0038A800" w14:textId="77777777" w:rsidR="004B3010" w:rsidRDefault="006E113A" w:rsidP="00231D4A">
      <w:r>
        <w:lastRenderedPageBreak/>
        <w:t xml:space="preserve">The possible use of ‘ubiquitous’ user terminals under the </w:t>
      </w:r>
      <w:r w:rsidRPr="00CD459E">
        <w:t>class licence</w:t>
      </w:r>
      <w:r>
        <w:t xml:space="preserve"> would require consideration of the impact on fixed links and </w:t>
      </w:r>
      <w:r w:rsidR="002460B3">
        <w:t xml:space="preserve">investigation </w:t>
      </w:r>
      <w:r>
        <w:t>of</w:t>
      </w:r>
      <w:r w:rsidR="002460B3">
        <w:t xml:space="preserve"> any required technical restrictions</w:t>
      </w:r>
      <w:r>
        <w:t xml:space="preserve"> </w:t>
      </w:r>
      <w:r w:rsidR="002460B3">
        <w:t>on</w:t>
      </w:r>
      <w:r>
        <w:t xml:space="preserve"> earth station receive use. </w:t>
      </w:r>
    </w:p>
    <w:p w14:paraId="1891B82E" w14:textId="77777777" w:rsidR="006E113A" w:rsidRDefault="006E113A" w:rsidP="00231D4A">
      <w:r>
        <w:t xml:space="preserve">While </w:t>
      </w:r>
      <w:r w:rsidR="005540A2">
        <w:t xml:space="preserve">uncoordinated </w:t>
      </w:r>
      <w:r>
        <w:t xml:space="preserve">earth receive station use would not pose an interference risk to point-to-point links, a relevant consideration is </w:t>
      </w:r>
      <w:r w:rsidR="005540A2">
        <w:t>under what conditions could earth station receivers operate on a uncoordinated basis with an acceptable probability of interference</w:t>
      </w:r>
      <w:r w:rsidR="00231D4A">
        <w:t>, given</w:t>
      </w:r>
      <w:r w:rsidR="005540A2">
        <w:t xml:space="preserve"> that the</w:t>
      </w:r>
      <w:r w:rsidR="00676443">
        <w:t xml:space="preserve"> </w:t>
      </w:r>
      <w:r w:rsidR="005540A2">
        <w:t xml:space="preserve">introduction </w:t>
      </w:r>
      <w:r>
        <w:t>of class</w:t>
      </w:r>
      <w:r w:rsidR="00231D4A">
        <w:t>-</w:t>
      </w:r>
      <w:r>
        <w:t>licensed earth station receive</w:t>
      </w:r>
      <w:r w:rsidR="005540A2">
        <w:t xml:space="preserve">rs should not lead to undue constraints </w:t>
      </w:r>
      <w:r>
        <w:t xml:space="preserve">on the future deployment and growth of fixed links. </w:t>
      </w:r>
    </w:p>
    <w:p w14:paraId="29538EB0" w14:textId="77777777" w:rsidR="00DB04B9" w:rsidRDefault="00DB04B9" w:rsidP="00CA45D7">
      <w:r w:rsidRPr="00DB04B9">
        <w:t>Depend</w:t>
      </w:r>
      <w:r w:rsidR="00A312EF">
        <w:t>ing</w:t>
      </w:r>
      <w:r w:rsidRPr="00DB04B9">
        <w:t xml:space="preserve"> on completion of existing projects, the ACMA intends to investigate the feasibility and discuss the results with industry. The earliest it is anticipated that this could occur is Q4 2018</w:t>
      </w:r>
      <w:r w:rsidR="00A312EF">
        <w:t>–</w:t>
      </w:r>
      <w:r>
        <w:t>19.</w:t>
      </w:r>
    </w:p>
    <w:p w14:paraId="0595ACD8" w14:textId="77777777" w:rsidR="00A0073F" w:rsidRDefault="00A0073F" w:rsidP="005759E7">
      <w:pPr>
        <w:pStyle w:val="BodySubHeader"/>
      </w:pPr>
      <w:r>
        <w:t xml:space="preserve">Filing and coordination of Australian satellite systems. </w:t>
      </w:r>
    </w:p>
    <w:p w14:paraId="5A149B48" w14:textId="77777777" w:rsidR="00A0073F" w:rsidRPr="00554698" w:rsidRDefault="00A0073F" w:rsidP="005759E7">
      <w:pPr>
        <w:spacing w:after="80"/>
        <w:rPr>
          <w:rFonts w:cs="Arial"/>
          <w:szCs w:val="20"/>
        </w:rPr>
      </w:pPr>
      <w:r>
        <w:t xml:space="preserve">In accordance with the </w:t>
      </w:r>
      <w:hyperlink r:id="rId47" w:tgtFrame="_top" w:history="1">
        <w:r w:rsidRPr="00A0073F">
          <w:rPr>
            <w:rStyle w:val="Hyperlink"/>
            <w:lang w:val="en"/>
          </w:rPr>
          <w:t>Australian procedures for the coordination and notification of satellite systems</w:t>
        </w:r>
      </w:hyperlink>
      <w:r w:rsidR="00A312EF" w:rsidRPr="005759E7">
        <w:rPr>
          <w:rStyle w:val="Hyperlink"/>
          <w:color w:val="auto"/>
          <w:u w:val="none"/>
          <w:lang w:val="en"/>
        </w:rPr>
        <w:t>,</w:t>
      </w:r>
      <w:r w:rsidRPr="00A0073F">
        <w:rPr>
          <w:lang w:val="en"/>
        </w:rPr>
        <w:t xml:space="preserve"> </w:t>
      </w:r>
      <w:r>
        <w:rPr>
          <w:lang w:val="en"/>
        </w:rPr>
        <w:t xml:space="preserve">the ACMA has an ongoing role in the filing and coordination of </w:t>
      </w:r>
      <w:r w:rsidRPr="00560597">
        <w:rPr>
          <w:rFonts w:cs="Arial"/>
          <w:szCs w:val="20"/>
          <w:lang w:val="en"/>
        </w:rPr>
        <w:t>Australian</w:t>
      </w:r>
      <w:r w:rsidRPr="00554698">
        <w:rPr>
          <w:rFonts w:cs="Arial"/>
          <w:szCs w:val="20"/>
          <w:lang w:val="en"/>
        </w:rPr>
        <w:t xml:space="preserve"> satellite systems with the ITU. </w:t>
      </w:r>
      <w:r w:rsidRPr="00554698">
        <w:rPr>
          <w:rFonts w:cs="Arial"/>
          <w:szCs w:val="20"/>
        </w:rPr>
        <w:t>This includes:</w:t>
      </w:r>
    </w:p>
    <w:p w14:paraId="6395F790" w14:textId="77777777" w:rsidR="00A0073F" w:rsidRPr="00A312EF" w:rsidRDefault="00A0073F" w:rsidP="005759E7">
      <w:pPr>
        <w:pStyle w:val="ListBullet"/>
      </w:pPr>
      <w:r w:rsidRPr="00CA45D7">
        <w:t xml:space="preserve">assisting Australian satellite operators with ongoing satellite coordination </w:t>
      </w:r>
      <w:r w:rsidRPr="00A312EF">
        <w:t>negotiations with other administrations</w:t>
      </w:r>
    </w:p>
    <w:p w14:paraId="0B474A6C" w14:textId="77777777" w:rsidR="00A0073F" w:rsidRPr="007B0700" w:rsidRDefault="00A0073F" w:rsidP="005759E7">
      <w:pPr>
        <w:pStyle w:val="ListBullet"/>
      </w:pPr>
      <w:r w:rsidRPr="00A312EF">
        <w:t>assessment</w:t>
      </w:r>
      <w:r w:rsidRPr="00CA45D7">
        <w:t xml:space="preserve"> of </w:t>
      </w:r>
      <w:r w:rsidRPr="00947F88">
        <w:t>new notices related to progress of existing Australian satellite networks</w:t>
      </w:r>
    </w:p>
    <w:p w14:paraId="48FED56B" w14:textId="77777777" w:rsidR="00A0073F" w:rsidRPr="007B0700" w:rsidRDefault="00A0073F" w:rsidP="005759E7">
      <w:pPr>
        <w:pStyle w:val="ListBullet"/>
      </w:pPr>
      <w:r w:rsidRPr="00CA45D7">
        <w:t>filing of new Australian satellite networks</w:t>
      </w:r>
    </w:p>
    <w:p w14:paraId="734E4EF2" w14:textId="77777777" w:rsidR="00A0073F" w:rsidRPr="00947F88" w:rsidRDefault="00A0073F" w:rsidP="005759E7">
      <w:pPr>
        <w:pStyle w:val="ListBulletLast"/>
      </w:pPr>
      <w:r w:rsidRPr="00CA45D7">
        <w:t xml:space="preserve">supporting international administration-level satellite coordination meetings with other </w:t>
      </w:r>
      <w:r w:rsidR="00A312EF">
        <w:t>a</w:t>
      </w:r>
      <w:r w:rsidRPr="00CA45D7">
        <w:t>dministrations</w:t>
      </w:r>
      <w:r w:rsidR="00A312EF">
        <w:t>.</w:t>
      </w:r>
    </w:p>
    <w:p w14:paraId="1E379B64" w14:textId="77777777" w:rsidR="00AF65F1" w:rsidRDefault="00D34C68" w:rsidP="005759E7">
      <w:pPr>
        <w:pStyle w:val="BodySubHeader"/>
      </w:pPr>
      <w:r w:rsidRPr="00CA5FD2">
        <w:t>Updating procedures for submission of Australian satellite networks to the ITU</w:t>
      </w:r>
      <w:r w:rsidR="009C2FFE">
        <w:t xml:space="preserve">. </w:t>
      </w:r>
    </w:p>
    <w:p w14:paraId="5651205F" w14:textId="77777777" w:rsidR="00AF65F1" w:rsidRDefault="00AF65F1" w:rsidP="00A312EF">
      <w:r w:rsidRPr="008C7725">
        <w:t xml:space="preserve">Australian procedures for the coordination and notification of satellite systems with the ITU were developed in 2012. The ACMA will consider </w:t>
      </w:r>
      <w:r w:rsidR="000C70F6">
        <w:t xml:space="preserve">the </w:t>
      </w:r>
      <w:r w:rsidRPr="008C7725">
        <w:t>need for possible updates, drawing on experience in the application of the procedures and input from the Australian satellite operators.</w:t>
      </w:r>
    </w:p>
    <w:p w14:paraId="0153BC93" w14:textId="77777777" w:rsidR="00AF65F1" w:rsidRDefault="00AF65F1" w:rsidP="0027128C">
      <w:r>
        <w:t xml:space="preserve">The update will consider whether </w:t>
      </w:r>
      <w:r w:rsidR="00A312EF">
        <w:t xml:space="preserve">providing </w:t>
      </w:r>
      <w:r>
        <w:t>better support</w:t>
      </w:r>
      <w:r w:rsidR="00A312EF">
        <w:t xml:space="preserve"> to</w:t>
      </w:r>
      <w:r>
        <w:t xml:space="preserve"> innovations such as the deployment of low-cost, miniaturised space hardware (often referred to as nanosats, cubesats or smallsats), changes in ITU requirements and general improvements,</w:t>
      </w:r>
      <w:r w:rsidR="00A312EF">
        <w:t xml:space="preserve"> is required.</w:t>
      </w:r>
    </w:p>
    <w:p w14:paraId="047601A3" w14:textId="77777777" w:rsidR="00AF65F1" w:rsidRPr="00263705" w:rsidRDefault="00AF65F1" w:rsidP="00A312EF">
      <w:r>
        <w:t>Depending on progress of other projects</w:t>
      </w:r>
      <w:r w:rsidR="00A312EF">
        <w:t>,</w:t>
      </w:r>
      <w:r>
        <w:t xml:space="preserve"> there is a possibility </w:t>
      </w:r>
      <w:r w:rsidR="00A312EF">
        <w:t xml:space="preserve">this </w:t>
      </w:r>
      <w:r>
        <w:t xml:space="preserve">work could commence in </w:t>
      </w:r>
      <w:r w:rsidR="00672016">
        <w:t xml:space="preserve">Q4 </w:t>
      </w:r>
      <w:r>
        <w:t>2018</w:t>
      </w:r>
      <w:r w:rsidR="00A312EF">
        <w:t>–</w:t>
      </w:r>
      <w:r>
        <w:t>19.</w:t>
      </w:r>
    </w:p>
    <w:p w14:paraId="3E298077" w14:textId="77777777" w:rsidR="00B830D0" w:rsidRDefault="00B830D0" w:rsidP="005759E7">
      <w:pPr>
        <w:pStyle w:val="Heading3"/>
      </w:pPr>
      <w:bookmarkStart w:id="250" w:name="_Toc510795083"/>
      <w:bookmarkStart w:id="251" w:name="_Toc511716286"/>
      <w:bookmarkStart w:id="252" w:name="_Toc511719097"/>
      <w:bookmarkStart w:id="253" w:name="_Toc514156702"/>
      <w:r>
        <w:t xml:space="preserve">Low interference potential </w:t>
      </w:r>
      <w:r w:rsidRPr="00A312EF">
        <w:t>devices</w:t>
      </w:r>
      <w:r>
        <w:t xml:space="preserve"> (LIPD)</w:t>
      </w:r>
      <w:bookmarkEnd w:id="250"/>
      <w:bookmarkEnd w:id="251"/>
      <w:bookmarkEnd w:id="252"/>
      <w:bookmarkEnd w:id="253"/>
      <w:r>
        <w:t xml:space="preserve"> </w:t>
      </w:r>
    </w:p>
    <w:p w14:paraId="593227AF" w14:textId="77777777" w:rsidR="00B830D0" w:rsidRDefault="00A312EF" w:rsidP="0027128C">
      <w:r>
        <w:t>In</w:t>
      </w:r>
      <w:r w:rsidR="00B830D0">
        <w:t xml:space="preserve"> November 2017</w:t>
      </w:r>
      <w:r>
        <w:t>,</w:t>
      </w:r>
      <w:r w:rsidR="00B830D0">
        <w:t xml:space="preserve"> the ACMA consult</w:t>
      </w:r>
      <w:r w:rsidR="004C283C">
        <w:t>ed</w:t>
      </w:r>
      <w:r w:rsidR="00B830D0">
        <w:t xml:space="preserve"> on a proposed update to the Radiocommunications (Low Interference Potential Devices) Class Licence 2015 (LIPD). As part of the consultation</w:t>
      </w:r>
      <w:r w:rsidR="004C283C">
        <w:t>,</w:t>
      </w:r>
      <w:r w:rsidR="00B830D0">
        <w:t xml:space="preserve"> </w:t>
      </w:r>
      <w:r w:rsidR="004C283C">
        <w:t>we</w:t>
      </w:r>
      <w:r w:rsidR="00B830D0">
        <w:t xml:space="preserve"> sought industry views on whether </w:t>
      </w:r>
      <w:r w:rsidR="004C283C">
        <w:t>we</w:t>
      </w:r>
      <w:r w:rsidR="00B830D0">
        <w:t xml:space="preserve"> should </w:t>
      </w:r>
      <w:r w:rsidR="00B830D0" w:rsidRPr="00CD459E">
        <w:t>consider class</w:t>
      </w:r>
      <w:r w:rsidR="004C283C" w:rsidRPr="00CD459E">
        <w:t>-</w:t>
      </w:r>
      <w:r w:rsidR="00B830D0" w:rsidRPr="00CD459E">
        <w:t xml:space="preserve">licensing arrangements </w:t>
      </w:r>
      <w:r w:rsidR="008F512F" w:rsidRPr="00CD459E">
        <w:t xml:space="preserve">similar to those of the </w:t>
      </w:r>
      <w:r w:rsidR="00CD459E">
        <w:t>US</w:t>
      </w:r>
      <w:r w:rsidR="008F512F" w:rsidRPr="00CD459E">
        <w:t xml:space="preserve"> Federal Communications Commission (FCC)</w:t>
      </w:r>
      <w:r w:rsidR="00AB4E9B">
        <w:t xml:space="preserve"> </w:t>
      </w:r>
      <w:r w:rsidR="00B830D0">
        <w:t>in the frequency range 64–71 GHz to provide further options for data communications intended to support future 5G services.</w:t>
      </w:r>
      <w:r w:rsidR="00447762">
        <w:t xml:space="preserve"> </w:t>
      </w:r>
    </w:p>
    <w:p w14:paraId="742945FA" w14:textId="77777777" w:rsidR="00AC2377" w:rsidRDefault="00AC2377" w:rsidP="005759E7">
      <w:pPr>
        <w:pStyle w:val="BodySubHeader"/>
      </w:pPr>
      <w:r>
        <w:t xml:space="preserve">Progress achieved </w:t>
      </w:r>
    </w:p>
    <w:p w14:paraId="6E6E8D1E" w14:textId="77777777" w:rsidR="004B3010" w:rsidRDefault="00B830D0" w:rsidP="0027128C">
      <w:r>
        <w:t xml:space="preserve">While submissions to the LIPD supported this work, a few </w:t>
      </w:r>
      <w:r w:rsidR="004C283C">
        <w:t xml:space="preserve">suggested </w:t>
      </w:r>
      <w:r>
        <w:t xml:space="preserve">that no decision should be made until after WRC-19. </w:t>
      </w:r>
    </w:p>
    <w:p w14:paraId="22289722" w14:textId="77777777" w:rsidR="00B830D0" w:rsidRDefault="00B830D0" w:rsidP="0027128C">
      <w:pPr>
        <w:rPr>
          <w:rFonts w:ascii="Calibri" w:hAnsi="Calibri"/>
        </w:rPr>
      </w:pPr>
      <w:r>
        <w:t>Responses to the FYSO also supported this work, though similar to responses to the LIPD</w:t>
      </w:r>
      <w:r w:rsidR="004C283C">
        <w:t>,</w:t>
      </w:r>
      <w:r>
        <w:t xml:space="preserve"> there were suggestions that no decision should be made until after WRC-19. The ACMA</w:t>
      </w:r>
      <w:r w:rsidR="004C283C">
        <w:t>’s</w:t>
      </w:r>
      <w:r>
        <w:t xml:space="preserve"> view is that, similar to 26 GHz, there is significant interest in Australia in </w:t>
      </w:r>
      <w:r>
        <w:lastRenderedPageBreak/>
        <w:t xml:space="preserve">progressing this work in parallel </w:t>
      </w:r>
      <w:r w:rsidR="000C70F6">
        <w:t>with</w:t>
      </w:r>
      <w:r>
        <w:t xml:space="preserve"> ITU consideration</w:t>
      </w:r>
      <w:r w:rsidR="000C70F6">
        <w:t>,</w:t>
      </w:r>
      <w:r>
        <w:t xml:space="preserve"> as has been done in a number of other jurisdictions. The ACMA will continue to investigate</w:t>
      </w:r>
      <w:r w:rsidR="004C283C">
        <w:t>,</w:t>
      </w:r>
      <w:r>
        <w:t xml:space="preserve"> with a view </w:t>
      </w:r>
      <w:r w:rsidR="004C283C">
        <w:t xml:space="preserve">to </w:t>
      </w:r>
      <w:r>
        <w:t xml:space="preserve">developing a proposal for </w:t>
      </w:r>
      <w:r w:rsidR="004C283C">
        <w:t xml:space="preserve">consideration </w:t>
      </w:r>
      <w:r>
        <w:t>after the current LIPD update is completed.</w:t>
      </w:r>
    </w:p>
    <w:p w14:paraId="0A3AC819" w14:textId="77777777" w:rsidR="00B830D0" w:rsidRDefault="00B830D0" w:rsidP="004C283C">
      <w:r>
        <w:t>Some respondents to the FYSO proposed changes to existing arrangements or additional arrangement around 5 GHz (5150</w:t>
      </w:r>
      <w:r w:rsidR="004C283C">
        <w:t>–</w:t>
      </w:r>
      <w:r>
        <w:t>5350 MHz, 5350</w:t>
      </w:r>
      <w:r w:rsidR="004C283C">
        <w:t>–</w:t>
      </w:r>
      <w:r>
        <w:t>5470 MHz, 5850</w:t>
      </w:r>
      <w:r w:rsidR="004C283C">
        <w:t>–</w:t>
      </w:r>
      <w:r>
        <w:t>5925 MHz) supporting wireless data networks (</w:t>
      </w:r>
      <w:r w:rsidR="004C283C">
        <w:t xml:space="preserve">for example, </w:t>
      </w:r>
      <w:r>
        <w:t>RLANs</w:t>
      </w:r>
      <w:r w:rsidR="004C283C">
        <w:t xml:space="preserve"> and</w:t>
      </w:r>
      <w:r>
        <w:t xml:space="preserve"> Wi</w:t>
      </w:r>
      <w:r w:rsidR="004C283C">
        <w:t>-</w:t>
      </w:r>
      <w:r>
        <w:t>Fi). With the Intelligent Transport Systems Class Licence support</w:t>
      </w:r>
      <w:r w:rsidR="004C283C">
        <w:t>ing</w:t>
      </w:r>
      <w:r>
        <w:t xml:space="preserve"> ITS systems in 5855</w:t>
      </w:r>
      <w:r w:rsidR="004C283C">
        <w:t>–</w:t>
      </w:r>
      <w:r>
        <w:t xml:space="preserve">5925 MHz, the ACMA does not support the expansion of LIPD Class Licence arrangements above 5850 MHz. </w:t>
      </w:r>
    </w:p>
    <w:p w14:paraId="0C1B2B45" w14:textId="77777777" w:rsidR="00B830D0" w:rsidRDefault="00B830D0" w:rsidP="0027128C">
      <w:r>
        <w:t>WRC-19 agenda item 1.16 is to consider issues related to wireless access systems, including radio local area networks (WAS/RLAN), in the frequency bands 5150–5350 MHz (to enable outdoor usage), 5350–5470 MHz, 5725–5850 MHz and 5850–5925 MHz, while ensuring the protection of incumbent services including their current and planned use. In this case, given the considerabl</w:t>
      </w:r>
      <w:r w:rsidR="000C70F6">
        <w:t>e</w:t>
      </w:r>
      <w:r>
        <w:t xml:space="preserve"> uncertainty that changes in RLAN arrangements would have with coexistence with other services, the ACMA does not intend to review class licence arrangements in these bands until the outcomes of WRC19 are known.</w:t>
      </w:r>
    </w:p>
    <w:p w14:paraId="0957B4C9" w14:textId="77777777" w:rsidR="00B830D0" w:rsidRDefault="00B830D0">
      <w:r>
        <w:t xml:space="preserve">The WIA submission advised of </w:t>
      </w:r>
      <w:r w:rsidR="000C70F6">
        <w:t xml:space="preserve">a </w:t>
      </w:r>
      <w:r>
        <w:t xml:space="preserve">proposal </w:t>
      </w:r>
      <w:r w:rsidR="000C70F6">
        <w:t>u</w:t>
      </w:r>
      <w:r>
        <w:t>n</w:t>
      </w:r>
      <w:r w:rsidR="000C70F6">
        <w:t>der</w:t>
      </w:r>
      <w:r>
        <w:t xml:space="preserve"> development to utilise 803</w:t>
      </w:r>
      <w:r w:rsidR="004C283C">
        <w:t>–</w:t>
      </w:r>
      <w:r>
        <w:t xml:space="preserve">804 MHz for </w:t>
      </w:r>
      <w:r w:rsidR="004C283C">
        <w:t>‘</w:t>
      </w:r>
      <w:r>
        <w:t>STEM education and experimental purposes</w:t>
      </w:r>
      <w:r w:rsidR="004C283C">
        <w:t>’</w:t>
      </w:r>
      <w:r>
        <w:t xml:space="preserve">. </w:t>
      </w:r>
      <w:r w:rsidR="004C283C">
        <w:t xml:space="preserve">The </w:t>
      </w:r>
      <w:r w:rsidR="000C70F6">
        <w:t>ACMA is yet to consider f</w:t>
      </w:r>
      <w:r>
        <w:t>uture use of this frequency range. Under the ACMA’s long-term strategy for the 803</w:t>
      </w:r>
      <w:r w:rsidR="004C283C">
        <w:t>–</w:t>
      </w:r>
      <w:r>
        <w:t>960 MHz band, 803</w:t>
      </w:r>
      <w:r w:rsidR="004C283C">
        <w:t>–</w:t>
      </w:r>
      <w:r>
        <w:t>804 MHz is a guard band between the 700 MHz spectrum</w:t>
      </w:r>
      <w:r w:rsidR="004C283C">
        <w:t>-</w:t>
      </w:r>
      <w:r>
        <w:t>licensed band and the 800 MHz band. Considering this proposal would require analysis of the impact on those arrangements</w:t>
      </w:r>
      <w:r w:rsidR="004C283C">
        <w:t>.</w:t>
      </w:r>
      <w:r>
        <w:t xml:space="preserve"> As a general principle</w:t>
      </w:r>
      <w:r w:rsidR="00235261">
        <w:t xml:space="preserve">, </w:t>
      </w:r>
      <w:r>
        <w:t xml:space="preserve">the ACMA looks to harmonise with international arrangements </w:t>
      </w:r>
      <w:r w:rsidR="00235261">
        <w:t xml:space="preserve">when considering LIPD updates, </w:t>
      </w:r>
      <w:r>
        <w:t xml:space="preserve">both for </w:t>
      </w:r>
      <w:r w:rsidR="000C70F6">
        <w:t xml:space="preserve">the </w:t>
      </w:r>
      <w:r>
        <w:t xml:space="preserve">benefit of economies of scale that harmonisation brings and </w:t>
      </w:r>
      <w:r w:rsidR="000C70F6">
        <w:t xml:space="preserve">because </w:t>
      </w:r>
      <w:r>
        <w:t xml:space="preserve">spectrum compatibility </w:t>
      </w:r>
      <w:r w:rsidR="000C70F6">
        <w:t xml:space="preserve">has typically </w:t>
      </w:r>
      <w:r>
        <w:t>already been considered</w:t>
      </w:r>
      <w:r w:rsidR="000C70F6">
        <w:t xml:space="preserve"> elsewhere</w:t>
      </w:r>
      <w:r>
        <w:t>. Currently</w:t>
      </w:r>
      <w:r w:rsidR="004C283C">
        <w:t>,</w:t>
      </w:r>
      <w:r>
        <w:t xml:space="preserve"> the ACMA is not aware of any similar overseas arrangements in this frequency range or in general. </w:t>
      </w:r>
      <w:r w:rsidR="000C70F6">
        <w:t>T</w:t>
      </w:r>
      <w:r>
        <w:t>here are existing alternative arrangements offering similar opport</w:t>
      </w:r>
      <w:r w:rsidR="000C70F6">
        <w:t>u</w:t>
      </w:r>
      <w:r>
        <w:t>n</w:t>
      </w:r>
      <w:r w:rsidR="000C70F6">
        <w:t>i</w:t>
      </w:r>
      <w:r>
        <w:t>ties in other LIPD bands (such as 900 MHz). Consequently, the ACMA does not intend to</w:t>
      </w:r>
      <w:r w:rsidR="006D64BD">
        <w:t xml:space="preserve"> </w:t>
      </w:r>
      <w:r>
        <w:t xml:space="preserve">consider this proposal </w:t>
      </w:r>
      <w:r w:rsidR="000C70F6">
        <w:t>further</w:t>
      </w:r>
      <w:r>
        <w:t xml:space="preserve"> in 2018</w:t>
      </w:r>
      <w:r w:rsidR="004C283C">
        <w:t>–</w:t>
      </w:r>
      <w:r>
        <w:t>19.</w:t>
      </w:r>
    </w:p>
    <w:p w14:paraId="04BF37C6" w14:textId="77777777" w:rsidR="00B830D0" w:rsidRDefault="00B830D0" w:rsidP="00344590">
      <w:pPr>
        <w:pStyle w:val="BodySubHeader"/>
      </w:pPr>
      <w:r>
        <w:t>Activities planned for 2018</w:t>
      </w:r>
      <w:r w:rsidR="00727DD8">
        <w:t>–</w:t>
      </w:r>
      <w:r>
        <w:t xml:space="preserve">19 </w:t>
      </w:r>
    </w:p>
    <w:p w14:paraId="36CB559C" w14:textId="77777777" w:rsidR="00B830D0" w:rsidRPr="00FD4AB9" w:rsidRDefault="00B830D0" w:rsidP="005759E7">
      <w:pPr>
        <w:spacing w:after="80"/>
        <w:rPr>
          <w:rFonts w:cs="Arial"/>
          <w:szCs w:val="20"/>
        </w:rPr>
      </w:pPr>
      <w:r w:rsidRPr="00FD4AB9">
        <w:rPr>
          <w:rFonts w:cs="Arial"/>
          <w:szCs w:val="20"/>
        </w:rPr>
        <w:t>The ACMA is currently considering submissions</w:t>
      </w:r>
      <w:r w:rsidR="004C283C">
        <w:rPr>
          <w:rFonts w:cs="Arial"/>
          <w:szCs w:val="20"/>
        </w:rPr>
        <w:t xml:space="preserve"> and</w:t>
      </w:r>
      <w:r w:rsidRPr="00FD4AB9">
        <w:rPr>
          <w:rFonts w:cs="Arial"/>
          <w:szCs w:val="20"/>
        </w:rPr>
        <w:t xml:space="preserve"> </w:t>
      </w:r>
      <w:r w:rsidR="004C283C">
        <w:rPr>
          <w:rFonts w:cs="Arial"/>
          <w:szCs w:val="20"/>
        </w:rPr>
        <w:t>expects to</w:t>
      </w:r>
      <w:r w:rsidR="00235261">
        <w:rPr>
          <w:rFonts w:cs="Arial"/>
          <w:szCs w:val="20"/>
        </w:rPr>
        <w:t xml:space="preserve"> </w:t>
      </w:r>
      <w:r w:rsidR="004C283C">
        <w:rPr>
          <w:rFonts w:cs="Arial"/>
          <w:szCs w:val="20"/>
        </w:rPr>
        <w:t xml:space="preserve">finalise </w:t>
      </w:r>
      <w:r>
        <w:rPr>
          <w:rFonts w:cs="Arial"/>
          <w:szCs w:val="20"/>
        </w:rPr>
        <w:t xml:space="preserve">the next LIPD update </w:t>
      </w:r>
      <w:r w:rsidRPr="00FD4AB9">
        <w:rPr>
          <w:rFonts w:cs="Arial"/>
          <w:szCs w:val="20"/>
        </w:rPr>
        <w:t>by the end of 2017</w:t>
      </w:r>
      <w:r w:rsidR="004C283C">
        <w:rPr>
          <w:rFonts w:cs="Arial"/>
          <w:szCs w:val="20"/>
        </w:rPr>
        <w:t>–</w:t>
      </w:r>
      <w:r w:rsidRPr="00FD4AB9">
        <w:rPr>
          <w:rFonts w:cs="Arial"/>
          <w:szCs w:val="20"/>
        </w:rPr>
        <w:t>18. Organisations interested in further updates to the LIPD class licence should contact the ACMA to discuss the requirements and timing of such updates. Matters of interest for consideration in future updates include:</w:t>
      </w:r>
    </w:p>
    <w:p w14:paraId="31A021BB" w14:textId="77777777" w:rsidR="004B3010" w:rsidRPr="004B3010" w:rsidRDefault="004C283C" w:rsidP="005759E7">
      <w:pPr>
        <w:pStyle w:val="ListBullet"/>
      </w:pPr>
      <w:r>
        <w:t>including</w:t>
      </w:r>
      <w:r w:rsidR="008F512F">
        <w:t xml:space="preserve"> </w:t>
      </w:r>
      <w:r w:rsidR="008F512F" w:rsidRPr="00CA45D7">
        <w:t>arrangements similar to those of the FCC</w:t>
      </w:r>
      <w:r w:rsidR="008F512F">
        <w:t xml:space="preserve"> </w:t>
      </w:r>
      <w:r w:rsidR="008F512F" w:rsidRPr="00CA45D7">
        <w:t>in the frequency range 64–71 GHz</w:t>
      </w:r>
      <w:r>
        <w:t>,</w:t>
      </w:r>
      <w:r w:rsidR="008F512F" w:rsidRPr="00CA45D7">
        <w:t xml:space="preserve"> to provide further options for data communications intended to support future 5G services</w:t>
      </w:r>
    </w:p>
    <w:p w14:paraId="673AD787" w14:textId="77777777" w:rsidR="00B830D0" w:rsidRPr="00551873" w:rsidRDefault="006D64BD" w:rsidP="005759E7">
      <w:pPr>
        <w:pStyle w:val="ListBullet"/>
      </w:pPr>
      <w:r>
        <w:t>r</w:t>
      </w:r>
      <w:r w:rsidR="00B830D0" w:rsidRPr="00FC1F4D">
        <w:t>evising existing arrangement</w:t>
      </w:r>
      <w:r w:rsidR="004C283C">
        <w:t>s</w:t>
      </w:r>
      <w:r w:rsidR="00B830D0" w:rsidRPr="00FC1F4D">
        <w:t xml:space="preserve"> for underground transmitters in the frequency ranges covering the VHF </w:t>
      </w:r>
      <w:r w:rsidR="004C283C">
        <w:t>m</w:t>
      </w:r>
      <w:r w:rsidR="00B830D0" w:rsidRPr="00FC1F4D">
        <w:t>id</w:t>
      </w:r>
      <w:r w:rsidR="004C283C">
        <w:t>-</w:t>
      </w:r>
      <w:r w:rsidR="00B830D0" w:rsidRPr="00FC1F4D">
        <w:t xml:space="preserve"> and </w:t>
      </w:r>
      <w:r w:rsidR="004C283C">
        <w:t>h</w:t>
      </w:r>
      <w:r w:rsidR="00B830D0" w:rsidRPr="00FC1F4D">
        <w:t>igh</w:t>
      </w:r>
      <w:r w:rsidR="004C283C">
        <w:t>-</w:t>
      </w:r>
      <w:r w:rsidR="00B830D0" w:rsidRPr="00FC1F4D">
        <w:t xml:space="preserve">frequency </w:t>
      </w:r>
      <w:r w:rsidR="004C283C">
        <w:t>b</w:t>
      </w:r>
      <w:r w:rsidR="00B830D0" w:rsidRPr="00FC1F4D">
        <w:t>ands and the 400 MHz band to include segments supporting fixed services</w:t>
      </w:r>
      <w:r w:rsidR="004C283C">
        <w:t>,</w:t>
      </w:r>
      <w:r w:rsidR="00B830D0" w:rsidRPr="00FC1F4D">
        <w:t xml:space="preserve"> in addition to mobile services (as under current arrangements) and spectrum cover by ARSP footnote AUS 91 (420</w:t>
      </w:r>
      <w:r w:rsidR="004C283C">
        <w:t>–</w:t>
      </w:r>
      <w:r w:rsidR="00B830D0" w:rsidRPr="00FC1F4D">
        <w:t>430 MHz)</w:t>
      </w:r>
    </w:p>
    <w:p w14:paraId="576B32A7" w14:textId="77777777" w:rsidR="00B830D0" w:rsidRPr="00551873" w:rsidRDefault="006D64BD" w:rsidP="005759E7">
      <w:pPr>
        <w:pStyle w:val="ListBullet"/>
      </w:pPr>
      <w:r>
        <w:t>i</w:t>
      </w:r>
      <w:r w:rsidR="00B830D0" w:rsidRPr="00FC1F4D">
        <w:t>ntroducing provisions supporting ground penetrating radar</w:t>
      </w:r>
      <w:r w:rsidR="004C283C">
        <w:t>s</w:t>
      </w:r>
      <w:r w:rsidR="00B830D0" w:rsidRPr="00FC1F4D">
        <w:t xml:space="preserve"> similar to FCC Rules Part 15.509 </w:t>
      </w:r>
      <w:r w:rsidR="004C283C">
        <w:t>‘</w:t>
      </w:r>
      <w:r w:rsidR="00B830D0" w:rsidRPr="00FC1F4D">
        <w:t>Technical requirements for ground penetrating radars and wall imaging systems</w:t>
      </w:r>
      <w:r w:rsidR="004C283C">
        <w:t>’</w:t>
      </w:r>
      <w:r w:rsidR="00B830D0" w:rsidRPr="00FC1F4D">
        <w:t>.</w:t>
      </w:r>
    </w:p>
    <w:p w14:paraId="46831DFD" w14:textId="77777777" w:rsidR="00B830D0" w:rsidRPr="00551873" w:rsidRDefault="006D64BD" w:rsidP="005759E7">
      <w:pPr>
        <w:pStyle w:val="ListBullet"/>
      </w:pPr>
      <w:r>
        <w:t>g</w:t>
      </w:r>
      <w:r w:rsidR="00B830D0" w:rsidRPr="00FC1F4D">
        <w:t>ener</w:t>
      </w:r>
      <w:r>
        <w:t>al</w:t>
      </w:r>
      <w:r w:rsidR="00B830D0" w:rsidRPr="00FC1F4D">
        <w:t xml:space="preserve"> provision for very low</w:t>
      </w:r>
      <w:r w:rsidR="004C283C">
        <w:t>-</w:t>
      </w:r>
      <w:r w:rsidR="00B830D0" w:rsidRPr="00FC1F4D">
        <w:t xml:space="preserve">powered devices similar to FCC Rules Part 15.209 </w:t>
      </w:r>
      <w:r w:rsidR="004C283C">
        <w:t>‘</w:t>
      </w:r>
      <w:r w:rsidR="00B830D0" w:rsidRPr="00FC1F4D">
        <w:t>Radiated emission limits; general requirements</w:t>
      </w:r>
      <w:r w:rsidR="004C283C">
        <w:t>’</w:t>
      </w:r>
      <w:r w:rsidR="00B830D0" w:rsidRPr="00FC1F4D">
        <w:t>, in consideration of the FCC requirements on restricted bands of operation</w:t>
      </w:r>
    </w:p>
    <w:p w14:paraId="2F224D46" w14:textId="77777777" w:rsidR="00B830D0" w:rsidRPr="00551873" w:rsidRDefault="006D64BD" w:rsidP="005759E7">
      <w:pPr>
        <w:pStyle w:val="ListBulletLast"/>
      </w:pPr>
      <w:r>
        <w:t>f</w:t>
      </w:r>
      <w:r w:rsidR="00B830D0" w:rsidRPr="00FC1F4D">
        <w:t xml:space="preserve">urther alignment of Australian arrangements for </w:t>
      </w:r>
      <w:r w:rsidR="00CD459E">
        <w:t>u</w:t>
      </w:r>
      <w:r w:rsidR="00B830D0" w:rsidRPr="00CD459E">
        <w:t>ltra-wideband</w:t>
      </w:r>
      <w:r w:rsidR="00B830D0" w:rsidRPr="00FC1F4D">
        <w:t xml:space="preserve"> systems with US and European arrangements.</w:t>
      </w:r>
    </w:p>
    <w:p w14:paraId="51FB5284" w14:textId="77777777" w:rsidR="00B830D0" w:rsidRPr="0027128C" w:rsidRDefault="00B830D0" w:rsidP="00F74E38">
      <w:pPr>
        <w:pStyle w:val="Heading3"/>
        <w:keepLines/>
      </w:pPr>
      <w:bookmarkStart w:id="254" w:name="_Toc510795084"/>
      <w:bookmarkStart w:id="255" w:name="_Toc511716287"/>
      <w:bookmarkStart w:id="256" w:name="_Toc511719098"/>
      <w:bookmarkStart w:id="257" w:name="_Toc514156703"/>
      <w:r w:rsidRPr="0027128C">
        <w:lastRenderedPageBreak/>
        <w:t>Amateur radio</w:t>
      </w:r>
      <w:bookmarkEnd w:id="254"/>
      <w:bookmarkEnd w:id="255"/>
      <w:bookmarkEnd w:id="256"/>
      <w:bookmarkEnd w:id="257"/>
    </w:p>
    <w:p w14:paraId="319974DC" w14:textId="77777777" w:rsidR="00AC2377" w:rsidRDefault="00AC2377" w:rsidP="00F74E38">
      <w:pPr>
        <w:pStyle w:val="BodySubHeader"/>
        <w:keepNext/>
        <w:keepLines/>
      </w:pPr>
      <w:r>
        <w:t xml:space="preserve">Progress achieved </w:t>
      </w:r>
    </w:p>
    <w:p w14:paraId="6724ECC4" w14:textId="77777777" w:rsidR="00B830D0" w:rsidRPr="0027128C" w:rsidRDefault="00B830D0" w:rsidP="00F74E38">
      <w:pPr>
        <w:keepNext/>
        <w:keepLines/>
        <w:spacing w:after="80"/>
      </w:pPr>
      <w:r w:rsidRPr="0027128C">
        <w:t xml:space="preserve">Feedback from last year’s FYSO included suggestions proposing a number of additional frequency bands </w:t>
      </w:r>
      <w:r w:rsidR="00235261" w:rsidRPr="0027128C">
        <w:t xml:space="preserve">to </w:t>
      </w:r>
      <w:r w:rsidRPr="0027128C">
        <w:t>be made available for amateur use</w:t>
      </w:r>
      <w:r w:rsidR="00727DD8">
        <w:t>,</w:t>
      </w:r>
      <w:r w:rsidRPr="0027128C">
        <w:t xml:space="preserve"> or </w:t>
      </w:r>
      <w:r w:rsidR="004C0225">
        <w:t>identifying where the</w:t>
      </w:r>
      <w:r w:rsidRPr="0027128C">
        <w:t xml:space="preserve"> allocation status in the </w:t>
      </w:r>
      <w:r w:rsidRPr="00CD459E">
        <w:t>Australian Radiofrequency Spectrum Plan</w:t>
      </w:r>
      <w:r w:rsidRPr="0027128C">
        <w:t xml:space="preserve"> changed. In </w:t>
      </w:r>
      <w:r w:rsidR="00727DD8">
        <w:t>response</w:t>
      </w:r>
      <w:r w:rsidR="00727DD8" w:rsidRPr="0027128C">
        <w:t xml:space="preserve"> </w:t>
      </w:r>
      <w:r w:rsidRPr="0027128C">
        <w:t xml:space="preserve">to those requests: </w:t>
      </w:r>
    </w:p>
    <w:p w14:paraId="0E9C1B09" w14:textId="77777777" w:rsidR="00B830D0" w:rsidRPr="0027128C" w:rsidRDefault="00B830D0" w:rsidP="00F74E38">
      <w:pPr>
        <w:pStyle w:val="ListBullet"/>
        <w:keepNext/>
        <w:keepLines/>
      </w:pPr>
      <w:r w:rsidRPr="0027128C">
        <w:t>70.0</w:t>
      </w:r>
      <w:r w:rsidR="00727DD8">
        <w:t>–</w:t>
      </w:r>
      <w:r w:rsidRPr="0027128C">
        <w:t>70.5 MHz</w:t>
      </w:r>
      <w:r w:rsidR="00727DD8">
        <w:t>—</w:t>
      </w:r>
      <w:r w:rsidRPr="0027128C">
        <w:t>The ACMA considers that operating amateur services in this frequency range is not feasible</w:t>
      </w:r>
      <w:r w:rsidR="00727DD8">
        <w:t xml:space="preserve"> as</w:t>
      </w:r>
      <w:r w:rsidR="00727DD8" w:rsidRPr="0027128C">
        <w:t xml:space="preserve"> </w:t>
      </w:r>
      <w:r w:rsidR="00727DD8">
        <w:t>i</w:t>
      </w:r>
      <w:r w:rsidRPr="0027128C">
        <w:t xml:space="preserve">t would be inconsistent </w:t>
      </w:r>
      <w:r w:rsidR="00235261" w:rsidRPr="0027128C">
        <w:t xml:space="preserve">with </w:t>
      </w:r>
      <w:r w:rsidRPr="0027128C">
        <w:t xml:space="preserve">ITU Radio Regulations and existing services already </w:t>
      </w:r>
      <w:r w:rsidR="00727DD8" w:rsidRPr="0027128C">
        <w:t>operat</w:t>
      </w:r>
      <w:r w:rsidR="00727DD8">
        <w:t>ing</w:t>
      </w:r>
      <w:r w:rsidR="00727DD8" w:rsidRPr="0027128C">
        <w:t xml:space="preserve"> </w:t>
      </w:r>
      <w:r w:rsidRPr="0027128C">
        <w:t xml:space="preserve">in the frequency range. This frequency </w:t>
      </w:r>
      <w:r w:rsidR="00235261" w:rsidRPr="0027128C">
        <w:t xml:space="preserve">range </w:t>
      </w:r>
      <w:r w:rsidRPr="0027128C">
        <w:t xml:space="preserve">is used by a variety of fixed and land mobile services as supported under the VHF </w:t>
      </w:r>
      <w:r w:rsidR="00727DD8">
        <w:t>m</w:t>
      </w:r>
      <w:r w:rsidRPr="0027128C">
        <w:t>id band (70</w:t>
      </w:r>
      <w:r w:rsidR="00727DD8">
        <w:t>–</w:t>
      </w:r>
      <w:r w:rsidRPr="0027128C">
        <w:t>87.5 MHz). Class</w:t>
      </w:r>
      <w:r w:rsidR="00727DD8">
        <w:t>-</w:t>
      </w:r>
      <w:r w:rsidRPr="0027128C">
        <w:t>licensed devices authorised under the LIPD Class Licence operate in the frequency range 70</w:t>
      </w:r>
      <w:r w:rsidR="00727DD8">
        <w:t>–</w:t>
      </w:r>
      <w:r w:rsidRPr="0027128C">
        <w:t>70.24375</w:t>
      </w:r>
      <w:r w:rsidR="00727DD8">
        <w:t xml:space="preserve"> </w:t>
      </w:r>
      <w:r w:rsidRPr="0027128C">
        <w:t>MHz</w:t>
      </w:r>
      <w:r w:rsidR="00727DD8">
        <w:t>.</w:t>
      </w:r>
      <w:r w:rsidRPr="0027128C">
        <w:t xml:space="preserve"> </w:t>
      </w:r>
    </w:p>
    <w:p w14:paraId="15C5D71A" w14:textId="77777777" w:rsidR="00B830D0" w:rsidRPr="00C11FCB" w:rsidRDefault="006D64BD" w:rsidP="005759E7">
      <w:pPr>
        <w:pStyle w:val="ListBullet"/>
      </w:pPr>
      <w:r w:rsidRPr="0027128C">
        <w:t>e</w:t>
      </w:r>
      <w:r w:rsidR="00B830D0" w:rsidRPr="0027128C">
        <w:t>xtension of the 3776</w:t>
      </w:r>
      <w:r w:rsidR="00727DD8">
        <w:t>–</w:t>
      </w:r>
      <w:r w:rsidR="00B830D0" w:rsidRPr="0027128C">
        <w:t>3800 kHz DX window to above 3800 kHz</w:t>
      </w:r>
      <w:r w:rsidR="00727DD8">
        <w:t>—</w:t>
      </w:r>
      <w:r w:rsidR="00B830D0" w:rsidRPr="0027128C">
        <w:t xml:space="preserve">The ACMA does not support this </w:t>
      </w:r>
      <w:r w:rsidR="00B830D0" w:rsidRPr="00C11FCB">
        <w:t xml:space="preserve">change, </w:t>
      </w:r>
      <w:r w:rsidR="0023477F" w:rsidRPr="00C11FCB">
        <w:t>as it poses</w:t>
      </w:r>
      <w:r w:rsidR="00B830D0" w:rsidRPr="00C11FCB">
        <w:t xml:space="preserve"> considerable disruption to existing users</w:t>
      </w:r>
      <w:r w:rsidR="00727DD8" w:rsidRPr="00C11FCB">
        <w:t>.</w:t>
      </w:r>
    </w:p>
    <w:p w14:paraId="61D9C813" w14:textId="77777777" w:rsidR="00B830D0" w:rsidRPr="00C11FCB" w:rsidRDefault="00B830D0" w:rsidP="005759E7">
      <w:pPr>
        <w:pStyle w:val="ListBullet"/>
      </w:pPr>
      <w:r w:rsidRPr="00C11FCB">
        <w:t>50</w:t>
      </w:r>
      <w:r w:rsidR="00727DD8" w:rsidRPr="00C11FCB">
        <w:t>–</w:t>
      </w:r>
      <w:r w:rsidRPr="00C11FCB">
        <w:t xml:space="preserve">52 MHz </w:t>
      </w:r>
      <w:r w:rsidR="00727DD8" w:rsidRPr="00C11FCB">
        <w:t>u</w:t>
      </w:r>
      <w:r w:rsidRPr="00C11FCB">
        <w:t xml:space="preserve">pgrade of </w:t>
      </w:r>
      <w:r w:rsidR="0026070D">
        <w:t>a</w:t>
      </w:r>
      <w:r w:rsidR="0026070D" w:rsidRPr="00C11FCB">
        <w:t xml:space="preserve">mateur </w:t>
      </w:r>
      <w:r w:rsidRPr="00C11FCB">
        <w:t>allocation to primary in Australian Radiofrequency Spectrum Plan</w:t>
      </w:r>
      <w:r w:rsidR="00727DD8" w:rsidRPr="00C11FCB">
        <w:t>—</w:t>
      </w:r>
      <w:r w:rsidRPr="00C11FCB">
        <w:t>With other priorities (digital radio planning, AM to FM conversions)</w:t>
      </w:r>
      <w:r w:rsidR="00727DD8" w:rsidRPr="00C11FCB">
        <w:t>,</w:t>
      </w:r>
      <w:r w:rsidRPr="00C11FCB">
        <w:t xml:space="preserve"> the ACMA does not intend to consider this matter in the short </w:t>
      </w:r>
      <w:r w:rsidR="00DD1649" w:rsidRPr="00C11FCB">
        <w:t xml:space="preserve">to </w:t>
      </w:r>
      <w:r w:rsidRPr="00C11FCB">
        <w:t>medium term</w:t>
      </w:r>
      <w:r w:rsidR="00B43510" w:rsidRPr="00C11FCB">
        <w:t>.</w:t>
      </w:r>
      <w:r w:rsidRPr="00C11FCB">
        <w:t xml:space="preserve"> </w:t>
      </w:r>
    </w:p>
    <w:p w14:paraId="7ADD739D" w14:textId="77777777" w:rsidR="00B830D0" w:rsidRPr="0027128C" w:rsidRDefault="00B830D0" w:rsidP="005759E7">
      <w:pPr>
        <w:pStyle w:val="ListBullet"/>
      </w:pPr>
      <w:r w:rsidRPr="0027128C">
        <w:t>Expansion of amateur usage in 1800</w:t>
      </w:r>
      <w:r w:rsidR="00727DD8">
        <w:t>–</w:t>
      </w:r>
      <w:r w:rsidRPr="0027128C">
        <w:t>1875 kHz up to 2000 kHz</w:t>
      </w:r>
      <w:r w:rsidR="00727DD8">
        <w:t>—</w:t>
      </w:r>
      <w:r w:rsidRPr="0027128C">
        <w:t>At the ITU level</w:t>
      </w:r>
      <w:r w:rsidR="00727DD8">
        <w:t>,</w:t>
      </w:r>
      <w:r w:rsidRPr="0027128C">
        <w:t xml:space="preserve"> there is an allocation for the amateur services in 1800</w:t>
      </w:r>
      <w:r w:rsidR="00727DD8">
        <w:t>–</w:t>
      </w:r>
      <w:r w:rsidRPr="0027128C">
        <w:t xml:space="preserve">2000 kHz. </w:t>
      </w:r>
      <w:r w:rsidR="00727DD8">
        <w:t>However, i</w:t>
      </w:r>
      <w:r w:rsidRPr="0027128C">
        <w:t>n Australia, 1875</w:t>
      </w:r>
      <w:r w:rsidR="00727DD8">
        <w:t>–</w:t>
      </w:r>
      <w:r w:rsidRPr="0027128C">
        <w:t>2000 kHz is used by other services. The introduction of amateur services would be a disruption to those services and the views of existing users would need to be sought. At this stage</w:t>
      </w:r>
      <w:r w:rsidR="00DD1649" w:rsidRPr="0027128C">
        <w:t>,</w:t>
      </w:r>
      <w:r w:rsidRPr="0027128C">
        <w:t xml:space="preserve"> based on </w:t>
      </w:r>
      <w:r w:rsidR="00727DD8">
        <w:t>our</w:t>
      </w:r>
      <w:r w:rsidRPr="0027128C">
        <w:t xml:space="preserve"> knowledge of current usage</w:t>
      </w:r>
      <w:r w:rsidR="00DD1649" w:rsidRPr="0027128C">
        <w:t>,</w:t>
      </w:r>
      <w:r w:rsidRPr="0027128C">
        <w:t xml:space="preserve"> the ACMA does not consider such expansion possible</w:t>
      </w:r>
      <w:r w:rsidR="00294B52">
        <w:t xml:space="preserve"> without impacting existing services</w:t>
      </w:r>
      <w:r w:rsidRPr="0027128C">
        <w:t xml:space="preserve">. </w:t>
      </w:r>
    </w:p>
    <w:p w14:paraId="1CA951C3" w14:textId="77777777" w:rsidR="004C0225" w:rsidRDefault="00B830D0" w:rsidP="005759E7">
      <w:pPr>
        <w:pStyle w:val="ListBulletLast"/>
        <w:spacing w:after="80"/>
      </w:pPr>
      <w:r w:rsidRPr="0027128C">
        <w:t>Secondary allocation at 5.3 MHz (</w:t>
      </w:r>
      <w:r w:rsidR="00727DD8">
        <w:t>i</w:t>
      </w:r>
      <w:r w:rsidRPr="0027128C">
        <w:t>mplementation of WRC 15 agenda item 1.4)</w:t>
      </w:r>
      <w:r w:rsidR="00727DD8">
        <w:t>—</w:t>
      </w:r>
      <w:r w:rsidR="00DB69B8" w:rsidRPr="0027128C">
        <w:t>In</w:t>
      </w:r>
      <w:r w:rsidR="00DB69B8">
        <w:t> </w:t>
      </w:r>
      <w:r w:rsidRPr="0027128C">
        <w:t xml:space="preserve">Australia, the band is currently used by some emergency service and law enforcement organisations for mobile operations. </w:t>
      </w:r>
      <w:r w:rsidRPr="00350C72">
        <w:t>Defence</w:t>
      </w:r>
      <w:r w:rsidRPr="0027128C">
        <w:t xml:space="preserve"> also uses these frequencies in support of key capabilities. The ACMA consulted with local stakeholders on this potential allocation in the lead-up to </w:t>
      </w:r>
      <w:r w:rsidRPr="00727DD8">
        <w:t>WRC</w:t>
      </w:r>
      <w:r w:rsidR="00727DD8">
        <w:t>-</w:t>
      </w:r>
      <w:r w:rsidRPr="00727DD8">
        <w:t>15</w:t>
      </w:r>
      <w:r w:rsidRPr="0027128C">
        <w:t>. Stakeholder views were varied, with opposition to the allocation</w:t>
      </w:r>
      <w:r w:rsidR="00727DD8">
        <w:t>,</w:t>
      </w:r>
      <w:r w:rsidRPr="0027128C">
        <w:t xml:space="preserve"> in particular</w:t>
      </w:r>
      <w:r w:rsidR="00727DD8">
        <w:t>,</w:t>
      </w:r>
      <w:r w:rsidRPr="0027128C">
        <w:t xml:space="preserve"> from Defence</w:t>
      </w:r>
      <w:r w:rsidR="00727DD8">
        <w:t>,</w:t>
      </w:r>
      <w:r w:rsidRPr="0027128C">
        <w:t xml:space="preserve"> due to the potential for interference to </w:t>
      </w:r>
      <w:r w:rsidR="009263D1">
        <w:t>its</w:t>
      </w:r>
      <w:r w:rsidRPr="0027128C">
        <w:t xml:space="preserve"> systems. </w:t>
      </w:r>
    </w:p>
    <w:p w14:paraId="26B265E8" w14:textId="77777777" w:rsidR="002C689F" w:rsidRDefault="00B830D0" w:rsidP="005759E7">
      <w:pPr>
        <w:pStyle w:val="ListBulletLast"/>
        <w:numPr>
          <w:ilvl w:val="0"/>
          <w:numId w:val="0"/>
        </w:numPr>
        <w:spacing w:after="80"/>
        <w:ind w:left="295"/>
      </w:pPr>
      <w:r w:rsidRPr="0027128C">
        <w:t xml:space="preserve">Notwithstanding Australia’s concerns, a secondary allocation was ultimately made at WRC-15 and </w:t>
      </w:r>
      <w:r w:rsidRPr="00727DD8">
        <w:t>has</w:t>
      </w:r>
      <w:r w:rsidRPr="0027128C">
        <w:t xml:space="preserve"> been added to the Australian Radio</w:t>
      </w:r>
      <w:r w:rsidR="0048737F">
        <w:t>frequency</w:t>
      </w:r>
      <w:r w:rsidRPr="0027128C">
        <w:t xml:space="preserve"> Spectrum Plan. However, this does not oblige the ACMA to enable use of the allocation. </w:t>
      </w:r>
    </w:p>
    <w:p w14:paraId="24FC345F" w14:textId="77777777" w:rsidR="00962DF3" w:rsidRPr="0027128C" w:rsidRDefault="00B830D0" w:rsidP="005759E7">
      <w:pPr>
        <w:pStyle w:val="ListBulletLast"/>
        <w:numPr>
          <w:ilvl w:val="0"/>
          <w:numId w:val="0"/>
        </w:numPr>
        <w:ind w:left="295"/>
      </w:pPr>
      <w:r w:rsidRPr="0027128C">
        <w:t>The ACMA considers that the concerns of Defence, as an existing user of band</w:t>
      </w:r>
      <w:r w:rsidR="00727DD8">
        <w:t>,</w:t>
      </w:r>
      <w:r w:rsidRPr="0027128C">
        <w:t xml:space="preserve"> remain. Relevantly, the Australian </w:t>
      </w:r>
      <w:r w:rsidR="00727DD8">
        <w:t>G</w:t>
      </w:r>
      <w:r w:rsidRPr="0027128C">
        <w:t xml:space="preserve">overnment has recently committed $1.2 billion in support of defence systems that operate in </w:t>
      </w:r>
      <w:r w:rsidR="00D921A6">
        <w:t>the high</w:t>
      </w:r>
      <w:r w:rsidR="00D921A6" w:rsidRPr="0027128C">
        <w:t xml:space="preserve"> </w:t>
      </w:r>
      <w:r w:rsidRPr="0027128C">
        <w:t xml:space="preserve">frequency </w:t>
      </w:r>
      <w:r w:rsidR="00D921A6">
        <w:t>part of the spectrum</w:t>
      </w:r>
      <w:r w:rsidR="00042376">
        <w:rPr>
          <w:rStyle w:val="FootnoteReference"/>
        </w:rPr>
        <w:footnoteReference w:id="35"/>
      </w:r>
      <w:r w:rsidRPr="0027128C">
        <w:t>.</w:t>
      </w:r>
      <w:r w:rsidR="00447762">
        <w:t xml:space="preserve"> </w:t>
      </w:r>
      <w:r w:rsidRPr="0027128C">
        <w:t xml:space="preserve"> </w:t>
      </w:r>
    </w:p>
    <w:p w14:paraId="7A71F81A" w14:textId="77777777" w:rsidR="00B830D0" w:rsidRPr="0027128C" w:rsidRDefault="00B830D0" w:rsidP="00BE6916">
      <w:pPr>
        <w:pStyle w:val="BodySubHeader"/>
        <w:keepNext/>
        <w:keepLines/>
      </w:pPr>
      <w:r w:rsidRPr="0027128C">
        <w:lastRenderedPageBreak/>
        <w:t>Activities planned for 2018</w:t>
      </w:r>
      <w:r w:rsidR="00727DD8">
        <w:t>–</w:t>
      </w:r>
      <w:r w:rsidRPr="0027128C">
        <w:t xml:space="preserve">19 </w:t>
      </w:r>
    </w:p>
    <w:p w14:paraId="0147E440" w14:textId="77777777" w:rsidR="00EB3C74" w:rsidRPr="00A42082" w:rsidRDefault="00B830D0" w:rsidP="00BE6916">
      <w:pPr>
        <w:pStyle w:val="BodySubHeader"/>
        <w:keepNext/>
        <w:keepLines/>
      </w:pPr>
      <w:r w:rsidRPr="00A42082">
        <w:t>Expansion of amateur usage in 1800</w:t>
      </w:r>
      <w:r w:rsidR="00A42082">
        <w:t>–</w:t>
      </w:r>
      <w:r w:rsidRPr="00A42082">
        <w:t>1875 kHz up to 2000 kHz</w:t>
      </w:r>
      <w:r w:rsidR="00A42082">
        <w:t>,</w:t>
      </w:r>
      <w:r w:rsidRPr="00A42082">
        <w:t xml:space="preserve"> and secondary allocation at 5.3 MHz (</w:t>
      </w:r>
      <w:r w:rsidR="00A42082">
        <w:t>i</w:t>
      </w:r>
      <w:r w:rsidRPr="00A42082">
        <w:t>mplementation of WRC-15 agenda item 1.4)</w:t>
      </w:r>
    </w:p>
    <w:p w14:paraId="3E0C26D2" w14:textId="77777777" w:rsidR="00B771EC" w:rsidRDefault="001636C7" w:rsidP="00BE6916">
      <w:pPr>
        <w:keepNext/>
        <w:keepLines/>
      </w:pPr>
      <w:r>
        <w:t>T</w:t>
      </w:r>
      <w:r w:rsidR="00B771EC" w:rsidRPr="0023477F">
        <w:t>he views of existing users are sought on the feasibility of amateur usage in part of these bands to assist future considerations.</w:t>
      </w:r>
      <w:r w:rsidR="00447762">
        <w:t xml:space="preserve"> </w:t>
      </w:r>
    </w:p>
    <w:p w14:paraId="733A0946" w14:textId="77777777" w:rsidR="00785F7B" w:rsidRPr="00727DD8" w:rsidRDefault="00785F7B" w:rsidP="00344590">
      <w:pPr>
        <w:pStyle w:val="Heading3"/>
      </w:pPr>
      <w:bookmarkStart w:id="258" w:name="_Toc510795085"/>
      <w:bookmarkStart w:id="259" w:name="_Toc511716288"/>
      <w:bookmarkStart w:id="260" w:name="_Toc511719099"/>
      <w:bookmarkStart w:id="261" w:name="_Toc514156704"/>
      <w:r w:rsidRPr="00727DD8">
        <w:t>Ongoing review of spectrum planning, assignment and coordination requirements</w:t>
      </w:r>
      <w:bookmarkEnd w:id="258"/>
      <w:bookmarkEnd w:id="259"/>
      <w:bookmarkEnd w:id="260"/>
      <w:bookmarkEnd w:id="261"/>
    </w:p>
    <w:p w14:paraId="1482B692" w14:textId="77777777" w:rsidR="004C0225" w:rsidRDefault="00785F7B" w:rsidP="005759E7">
      <w:r w:rsidRPr="0027128C">
        <w:t xml:space="preserve">The ACMA </w:t>
      </w:r>
      <w:r w:rsidR="00455A05">
        <w:t xml:space="preserve">will </w:t>
      </w:r>
      <w:r w:rsidR="00236678">
        <w:t>continue its</w:t>
      </w:r>
      <w:r w:rsidRPr="0027128C">
        <w:t xml:space="preserve"> ongoing review of </w:t>
      </w:r>
      <w:r w:rsidR="00676637" w:rsidRPr="0027128C">
        <w:t xml:space="preserve">the </w:t>
      </w:r>
      <w:r w:rsidRPr="0027128C">
        <w:t xml:space="preserve">technical </w:t>
      </w:r>
      <w:hyperlink r:id="rId48" w:history="1">
        <w:r w:rsidRPr="0027128C">
          <w:rPr>
            <w:rStyle w:val="Hyperlink"/>
          </w:rPr>
          <w:t>spectrum planning</w:t>
        </w:r>
      </w:hyperlink>
      <w:r w:rsidRPr="0027128C">
        <w:t xml:space="preserve"> framework. This activity is primarily focused on frequency assignment and coordination frameworks (as specified in apparatus</w:t>
      </w:r>
      <w:r w:rsidR="00A42082">
        <w:t>-</w:t>
      </w:r>
      <w:r w:rsidRPr="0027128C">
        <w:t>licensing coordination requirements</w:t>
      </w:r>
      <w:r w:rsidR="000A5B2C" w:rsidRPr="0027128C">
        <w:t>, with occasional consideration of spectrum</w:t>
      </w:r>
      <w:r w:rsidR="00A42082">
        <w:t>-</w:t>
      </w:r>
      <w:r w:rsidR="000A5B2C" w:rsidRPr="0027128C">
        <w:t>licensing technical frameworks</w:t>
      </w:r>
      <w:r w:rsidRPr="0027128C">
        <w:t xml:space="preserve">). </w:t>
      </w:r>
    </w:p>
    <w:p w14:paraId="75A2C77E" w14:textId="77777777" w:rsidR="00785F7B" w:rsidRPr="0027128C" w:rsidRDefault="00785F7B" w:rsidP="005759E7">
      <w:r w:rsidRPr="0027128C">
        <w:t xml:space="preserve">The </w:t>
      </w:r>
      <w:r w:rsidR="00676637" w:rsidRPr="0027128C">
        <w:t>continuing</w:t>
      </w:r>
      <w:r w:rsidRPr="0027128C">
        <w:t xml:space="preserve"> appropriateness of spectrum embargoes is also considered. The objective is to ensure the currency of the spectrum planning framework and </w:t>
      </w:r>
      <w:r w:rsidR="00A42082">
        <w:t>en</w:t>
      </w:r>
      <w:r w:rsidR="00676637" w:rsidRPr="0027128C">
        <w:t>sure</w:t>
      </w:r>
      <w:r w:rsidRPr="0027128C">
        <w:t xml:space="preserve"> </w:t>
      </w:r>
      <w:r w:rsidR="00676637" w:rsidRPr="0027128C">
        <w:t>it is consistent with</w:t>
      </w:r>
      <w:r w:rsidRPr="0027128C">
        <w:t xml:space="preserve"> current technologies and operational practices. </w:t>
      </w:r>
    </w:p>
    <w:p w14:paraId="00CC1F6B" w14:textId="77777777" w:rsidR="00785F7B" w:rsidRPr="0027128C" w:rsidRDefault="00411137" w:rsidP="0027128C">
      <w:r w:rsidRPr="0027128C">
        <w:t xml:space="preserve">To provide </w:t>
      </w:r>
      <w:r w:rsidR="00563AC8" w:rsidRPr="0027128C">
        <w:t>industry with greater visibility of this work</w:t>
      </w:r>
      <w:r w:rsidR="00A42082">
        <w:t>,</w:t>
      </w:r>
      <w:r w:rsidR="00563AC8" w:rsidRPr="0027128C">
        <w:t xml:space="preserve"> the</w:t>
      </w:r>
      <w:r w:rsidR="00785F7B" w:rsidRPr="0027128C">
        <w:t xml:space="preserve"> ACMA intends to </w:t>
      </w:r>
      <w:r w:rsidR="000A5B2C" w:rsidRPr="0027128C">
        <w:t>publish</w:t>
      </w:r>
      <w:r w:rsidR="00785F7B" w:rsidRPr="0027128C">
        <w:t xml:space="preserve"> a program </w:t>
      </w:r>
      <w:r w:rsidR="000A5B2C" w:rsidRPr="0027128C">
        <w:t>of re</w:t>
      </w:r>
      <w:r w:rsidR="00563AC8" w:rsidRPr="0027128C">
        <w:t xml:space="preserve">view </w:t>
      </w:r>
      <w:r w:rsidR="000A5B2C" w:rsidRPr="0027128C">
        <w:t>focusing on improvements to frequency coordination requirements.</w:t>
      </w:r>
    </w:p>
    <w:p w14:paraId="31DDFC0D" w14:textId="77777777" w:rsidR="00785F7B" w:rsidRPr="0027128C" w:rsidRDefault="00785F7B" w:rsidP="005759E7">
      <w:pPr>
        <w:pStyle w:val="BodySubHeader"/>
      </w:pPr>
      <w:r w:rsidRPr="0027128C">
        <w:t>Activities planned for 2018</w:t>
      </w:r>
      <w:r w:rsidR="00A42082">
        <w:t>–</w:t>
      </w:r>
      <w:r w:rsidRPr="0027128C">
        <w:t xml:space="preserve">19 </w:t>
      </w:r>
    </w:p>
    <w:p w14:paraId="2C1B50B2" w14:textId="77777777" w:rsidR="003C4B23" w:rsidRPr="0027128C" w:rsidRDefault="00A42082" w:rsidP="0027128C">
      <w:r>
        <w:t>The ACMA will s</w:t>
      </w:r>
      <w:r w:rsidR="00563AC8" w:rsidRPr="0027128C">
        <w:t xml:space="preserve">eek industry comment </w:t>
      </w:r>
      <w:r w:rsidR="00785F7B" w:rsidRPr="0027128C">
        <w:t xml:space="preserve">of a draft </w:t>
      </w:r>
      <w:r w:rsidR="000A5B2C" w:rsidRPr="0027128C">
        <w:t>program of review</w:t>
      </w:r>
      <w:r w:rsidR="00785F7B" w:rsidRPr="0027128C">
        <w:t xml:space="preserve"> in Q4 2017</w:t>
      </w:r>
      <w:r>
        <w:t>–</w:t>
      </w:r>
      <w:r w:rsidR="00785F7B" w:rsidRPr="0027128C">
        <w:t>18</w:t>
      </w:r>
      <w:r w:rsidR="000A5B2C" w:rsidRPr="0027128C">
        <w:t xml:space="preserve">, </w:t>
      </w:r>
      <w:r>
        <w:t xml:space="preserve">and </w:t>
      </w:r>
      <w:r w:rsidR="000A5B2C" w:rsidRPr="0027128C">
        <w:t xml:space="preserve">finalise </w:t>
      </w:r>
      <w:r>
        <w:t xml:space="preserve">in </w:t>
      </w:r>
      <w:r w:rsidR="000A5B2C" w:rsidRPr="0027128C">
        <w:t>Q1 2018</w:t>
      </w:r>
      <w:r>
        <w:t>–</w:t>
      </w:r>
      <w:r w:rsidR="000A5B2C" w:rsidRPr="0027128C">
        <w:t>19.</w:t>
      </w:r>
    </w:p>
    <w:p w14:paraId="2EF39711" w14:textId="77777777" w:rsidR="00D50A45" w:rsidRPr="0027128C" w:rsidRDefault="00785F7B" w:rsidP="005759E7">
      <w:pPr>
        <w:pStyle w:val="BodySubHeader"/>
        <w:keepNext/>
        <w:rPr>
          <w:lang w:val="en"/>
        </w:rPr>
      </w:pPr>
      <w:bookmarkStart w:id="262" w:name="_Toc510795087"/>
      <w:r w:rsidRPr="0027128C">
        <w:t>Terrestrial</w:t>
      </w:r>
      <w:bookmarkEnd w:id="262"/>
      <w:r w:rsidRPr="0027128C">
        <w:t xml:space="preserve"> </w:t>
      </w:r>
      <w:r w:rsidR="00D50A45" w:rsidRPr="0027128C">
        <w:rPr>
          <w:lang w:val="en"/>
        </w:rPr>
        <w:t xml:space="preserve">IoT planning </w:t>
      </w:r>
    </w:p>
    <w:p w14:paraId="51F73390" w14:textId="77777777" w:rsidR="00B830D0" w:rsidRPr="0027128C" w:rsidRDefault="00D50A45" w:rsidP="0027128C">
      <w:r w:rsidRPr="0027128C">
        <w:t xml:space="preserve">After completing its review of the 803–960 MHz band in 2015, the ACMA decided to make spectrum in the 928–935 MHz band available </w:t>
      </w:r>
      <w:r w:rsidR="00B830D0" w:rsidRPr="0027128C">
        <w:t xml:space="preserve">via class licensing </w:t>
      </w:r>
      <w:r w:rsidRPr="0027128C">
        <w:t xml:space="preserve">for </w:t>
      </w:r>
      <w:r w:rsidR="00B830D0" w:rsidRPr="0027128C">
        <w:t>low power, low duty cycle devices</w:t>
      </w:r>
      <w:r w:rsidR="00280702">
        <w:t>,</w:t>
      </w:r>
      <w:r w:rsidR="00B830D0" w:rsidRPr="0027128C">
        <w:t xml:space="preserve"> in manner optimised for low power wide area (LPWA) IoT type applications. The availability of this band is linked with broader replanning activities within the 803</w:t>
      </w:r>
      <w:r w:rsidR="00280702">
        <w:t>–</w:t>
      </w:r>
      <w:r w:rsidR="00B830D0" w:rsidRPr="0027128C">
        <w:t>960 MHz band</w:t>
      </w:r>
      <w:r w:rsidR="0023477F">
        <w:t>.</w:t>
      </w:r>
      <w:r w:rsidR="00447762">
        <w:t xml:space="preserve"> </w:t>
      </w:r>
    </w:p>
    <w:p w14:paraId="13820F58" w14:textId="77777777" w:rsidR="00D50A45" w:rsidRPr="0027128C" w:rsidRDefault="00B830D0" w:rsidP="0027128C">
      <w:r w:rsidRPr="0027128C">
        <w:t>Throughout 2017</w:t>
      </w:r>
      <w:r w:rsidR="00280702">
        <w:t>–</w:t>
      </w:r>
      <w:r w:rsidRPr="0027128C">
        <w:t>18, the ACMA has continued to work with industry through the IoTAA</w:t>
      </w:r>
      <w:r w:rsidR="00D50A45" w:rsidRPr="0027128C">
        <w:t xml:space="preserve">, with a view to providing early access to the band by LPWA technologies </w:t>
      </w:r>
      <w:r w:rsidRPr="0027128C">
        <w:t xml:space="preserve">where </w:t>
      </w:r>
      <w:r w:rsidR="00D50A45" w:rsidRPr="0027128C">
        <w:t>possible, subject to device coordination with incumbent fixed links.</w:t>
      </w:r>
    </w:p>
    <w:p w14:paraId="7F934DAD" w14:textId="77777777" w:rsidR="00183E47" w:rsidRPr="0023477F" w:rsidRDefault="00183E47" w:rsidP="005759E7">
      <w:pPr>
        <w:pStyle w:val="Heading3"/>
      </w:pPr>
      <w:bookmarkStart w:id="263" w:name="_Toc510104960"/>
      <w:bookmarkStart w:id="264" w:name="_Toc510105757"/>
      <w:bookmarkStart w:id="265" w:name="_Toc510795089"/>
      <w:bookmarkStart w:id="266" w:name="_Toc511716290"/>
      <w:bookmarkStart w:id="267" w:name="_Toc511719101"/>
      <w:bookmarkStart w:id="268" w:name="_Toc514156705"/>
      <w:r w:rsidRPr="0023477F">
        <w:t>Consultation question</w:t>
      </w:r>
      <w:bookmarkEnd w:id="263"/>
      <w:bookmarkEnd w:id="264"/>
      <w:bookmarkEnd w:id="265"/>
      <w:bookmarkEnd w:id="266"/>
      <w:bookmarkEnd w:id="267"/>
      <w:bookmarkEnd w:id="268"/>
      <w:r w:rsidRPr="0023477F">
        <w:t xml:space="preserve"> </w:t>
      </w:r>
    </w:p>
    <w:p w14:paraId="5117D437" w14:textId="77777777" w:rsidR="00183E47" w:rsidRPr="003D0F3F" w:rsidRDefault="00183E47" w:rsidP="00652FC3">
      <w:pPr>
        <w:pStyle w:val="ListNumber"/>
        <w:shd w:val="clear" w:color="auto" w:fill="auto"/>
        <w:ind w:left="426" w:hanging="426"/>
        <w:rPr>
          <w:rFonts w:eastAsiaTheme="majorEastAsia"/>
        </w:rPr>
      </w:pPr>
      <w:r w:rsidRPr="003D0F3F">
        <w:t xml:space="preserve">Do you have any </w:t>
      </w:r>
      <w:r w:rsidR="00EB4153" w:rsidRPr="003D0F3F">
        <w:t xml:space="preserve">feedback on </w:t>
      </w:r>
      <w:r w:rsidR="00EB4153" w:rsidRPr="00402652">
        <w:t>optimising estab</w:t>
      </w:r>
      <w:r w:rsidR="00EB4153" w:rsidRPr="001567F7">
        <w:t>lished</w:t>
      </w:r>
      <w:r w:rsidRPr="001567F7">
        <w:t xml:space="preserve"> planning framework</w:t>
      </w:r>
      <w:r w:rsidR="00EB4153" w:rsidRPr="001567F7">
        <w:t>s</w:t>
      </w:r>
      <w:r w:rsidRPr="003D0F3F">
        <w:t xml:space="preserve">? </w:t>
      </w:r>
    </w:p>
    <w:p w14:paraId="1A353140" w14:textId="77777777" w:rsidR="003F4B80" w:rsidRDefault="003F4B80" w:rsidP="003F4B80">
      <w:pPr>
        <w:pStyle w:val="Heading1"/>
      </w:pPr>
      <w:bookmarkStart w:id="269" w:name="_Toc510104961"/>
      <w:bookmarkStart w:id="270" w:name="_Toc510105758"/>
      <w:bookmarkStart w:id="271" w:name="_Toc510795090"/>
      <w:bookmarkStart w:id="272" w:name="_Toc511716291"/>
      <w:bookmarkStart w:id="273" w:name="_Toc511719102"/>
      <w:bookmarkStart w:id="274" w:name="_Toc514156706"/>
      <w:r w:rsidRPr="00835321">
        <w:lastRenderedPageBreak/>
        <w:t>The</w:t>
      </w:r>
      <w:r>
        <w:t xml:space="preserve"> forward allocation work plan</w:t>
      </w:r>
      <w:bookmarkEnd w:id="269"/>
      <w:bookmarkEnd w:id="270"/>
      <w:bookmarkEnd w:id="271"/>
      <w:bookmarkEnd w:id="272"/>
      <w:bookmarkEnd w:id="273"/>
      <w:bookmarkEnd w:id="274"/>
    </w:p>
    <w:p w14:paraId="05AF33FA" w14:textId="77777777" w:rsidR="003F4B80" w:rsidRPr="005759E7" w:rsidRDefault="003F4B80" w:rsidP="005759E7">
      <w:pPr>
        <w:pStyle w:val="Heading2"/>
        <w:rPr>
          <w:rFonts w:eastAsiaTheme="majorEastAsia"/>
        </w:rPr>
      </w:pPr>
      <w:bookmarkStart w:id="275" w:name="_Toc510104962"/>
      <w:bookmarkStart w:id="276" w:name="_Toc510105759"/>
      <w:bookmarkStart w:id="277" w:name="_Toc510795091"/>
      <w:bookmarkStart w:id="278" w:name="_Toc511716292"/>
      <w:bookmarkStart w:id="279" w:name="_Toc511719103"/>
      <w:bookmarkStart w:id="280" w:name="_Toc514156707"/>
      <w:r w:rsidRPr="005759E7">
        <w:rPr>
          <w:rFonts w:eastAsiaTheme="majorEastAsia"/>
        </w:rPr>
        <w:t xml:space="preserve">Purpose of the allocation </w:t>
      </w:r>
      <w:bookmarkEnd w:id="275"/>
      <w:bookmarkEnd w:id="276"/>
      <w:bookmarkEnd w:id="277"/>
      <w:r w:rsidR="00BA6010" w:rsidRPr="005759E7">
        <w:rPr>
          <w:rFonts w:eastAsiaTheme="majorEastAsia"/>
        </w:rPr>
        <w:t>work plan</w:t>
      </w:r>
      <w:bookmarkEnd w:id="278"/>
      <w:bookmarkEnd w:id="279"/>
      <w:bookmarkEnd w:id="280"/>
      <w:r w:rsidRPr="005759E7">
        <w:rPr>
          <w:rFonts w:eastAsiaTheme="majorEastAsia"/>
        </w:rPr>
        <w:t xml:space="preserve"> </w:t>
      </w:r>
    </w:p>
    <w:p w14:paraId="2D69BB7D" w14:textId="77777777" w:rsidR="003F4B80" w:rsidRPr="00EC58F7" w:rsidRDefault="003F4B80" w:rsidP="005759E7">
      <w:pPr>
        <w:spacing w:after="80"/>
        <w:rPr>
          <w:rFonts w:cs="Arial"/>
        </w:rPr>
      </w:pPr>
      <w:r>
        <w:t>T</w:t>
      </w:r>
      <w:r w:rsidRPr="009F505F">
        <w:t xml:space="preserve">imely access to spectrum is of increasing importance to an innovative and dynamic communications sector. </w:t>
      </w:r>
      <w:r w:rsidRPr="00EC58F7">
        <w:rPr>
          <w:rFonts w:cs="Arial"/>
        </w:rPr>
        <w:t>For incumbent and prospective spectrum users, th</w:t>
      </w:r>
      <w:r w:rsidR="00D433F2">
        <w:rPr>
          <w:rFonts w:cs="Arial"/>
        </w:rPr>
        <w:t>is forward</w:t>
      </w:r>
      <w:r w:rsidRPr="00EC58F7">
        <w:rPr>
          <w:rFonts w:cs="Arial"/>
        </w:rPr>
        <w:t xml:space="preserve"> allocation work </w:t>
      </w:r>
      <w:r w:rsidR="00B45C75">
        <w:rPr>
          <w:rFonts w:cs="Arial"/>
        </w:rPr>
        <w:t>program</w:t>
      </w:r>
      <w:r w:rsidR="00B45C75" w:rsidRPr="00EC58F7">
        <w:rPr>
          <w:rFonts w:cs="Arial"/>
        </w:rPr>
        <w:t xml:space="preserve"> </w:t>
      </w:r>
      <w:r w:rsidRPr="00EC58F7">
        <w:rPr>
          <w:rFonts w:cs="Arial"/>
        </w:rPr>
        <w:t>provide</w:t>
      </w:r>
      <w:r w:rsidR="00280702">
        <w:rPr>
          <w:rFonts w:cs="Arial"/>
        </w:rPr>
        <w:t>s</w:t>
      </w:r>
      <w:r w:rsidRPr="00EC58F7">
        <w:rPr>
          <w:rFonts w:cs="Arial"/>
        </w:rPr>
        <w:t xml:space="preserve"> information for stakeholders </w:t>
      </w:r>
      <w:r w:rsidR="0072754E">
        <w:rPr>
          <w:rFonts w:cs="Arial"/>
        </w:rPr>
        <w:t>about</w:t>
      </w:r>
      <w:r w:rsidR="0072754E" w:rsidRPr="00EC58F7">
        <w:rPr>
          <w:rFonts w:cs="Arial"/>
        </w:rPr>
        <w:t xml:space="preserve"> </w:t>
      </w:r>
      <w:r w:rsidRPr="00EC58F7">
        <w:rPr>
          <w:rFonts w:cs="Arial"/>
        </w:rPr>
        <w:t>the planning status and possible allocation timing</w:t>
      </w:r>
      <w:r w:rsidR="003A1815">
        <w:rPr>
          <w:rFonts w:cs="Arial"/>
        </w:rPr>
        <w:t xml:space="preserve"> and sequencing</w:t>
      </w:r>
      <w:r w:rsidRPr="00EC58F7">
        <w:rPr>
          <w:rFonts w:cs="Arial"/>
        </w:rPr>
        <w:t xml:space="preserve"> of particular spectrum bands</w:t>
      </w:r>
      <w:r w:rsidR="00280702">
        <w:rPr>
          <w:rFonts w:cs="Arial"/>
        </w:rPr>
        <w:t>,</w:t>
      </w:r>
      <w:r>
        <w:rPr>
          <w:rFonts w:cs="Arial"/>
        </w:rPr>
        <w:t xml:space="preserve"> to better support</w:t>
      </w:r>
      <w:r w:rsidRPr="00EC58F7">
        <w:rPr>
          <w:rFonts w:cs="Arial"/>
        </w:rPr>
        <w:t>:</w:t>
      </w:r>
    </w:p>
    <w:p w14:paraId="4C4A70B1" w14:textId="77777777" w:rsidR="003F4B80" w:rsidRPr="00280702" w:rsidRDefault="003F4B80" w:rsidP="005759E7">
      <w:pPr>
        <w:pStyle w:val="ListBullet"/>
      </w:pPr>
      <w:r w:rsidRPr="00EC58F7">
        <w:rPr>
          <w:rFonts w:eastAsiaTheme="minorEastAsia"/>
        </w:rPr>
        <w:t xml:space="preserve">strategic </w:t>
      </w:r>
      <w:r w:rsidRPr="00280702">
        <w:rPr>
          <w:rFonts w:eastAsiaTheme="minorEastAsia"/>
        </w:rPr>
        <w:t xml:space="preserve">network planning by spectrum users </w:t>
      </w:r>
    </w:p>
    <w:p w14:paraId="5ED21EAD" w14:textId="77777777" w:rsidR="003F4B80" w:rsidRPr="00EC58F7" w:rsidRDefault="003F4B80" w:rsidP="005759E7">
      <w:pPr>
        <w:pStyle w:val="ListBullet"/>
      </w:pPr>
      <w:r w:rsidRPr="00280702">
        <w:rPr>
          <w:rFonts w:eastAsiaTheme="minorEastAsia"/>
        </w:rPr>
        <w:t>technology deployment</w:t>
      </w:r>
      <w:r w:rsidRPr="00EC58F7">
        <w:rPr>
          <w:rFonts w:eastAsiaTheme="minorEastAsia"/>
        </w:rPr>
        <w:t xml:space="preserve"> planning</w:t>
      </w:r>
    </w:p>
    <w:p w14:paraId="3DEFADA9" w14:textId="77777777" w:rsidR="003F4B80" w:rsidRPr="00EC58F7" w:rsidRDefault="003F4B80" w:rsidP="005759E7">
      <w:pPr>
        <w:pStyle w:val="ListBulletLast"/>
      </w:pPr>
      <w:r w:rsidRPr="00EC58F7">
        <w:rPr>
          <w:rFonts w:eastAsiaTheme="minorEastAsia"/>
        </w:rPr>
        <w:t xml:space="preserve">information </w:t>
      </w:r>
      <w:r w:rsidR="0072754E" w:rsidRPr="00280702">
        <w:rPr>
          <w:rFonts w:eastAsiaTheme="minorEastAsia"/>
        </w:rPr>
        <w:t>relevant</w:t>
      </w:r>
      <w:r w:rsidRPr="00EC58F7">
        <w:rPr>
          <w:rFonts w:eastAsiaTheme="minorEastAsia"/>
        </w:rPr>
        <w:t xml:space="preserve"> to capital-raising activities.</w:t>
      </w:r>
    </w:p>
    <w:p w14:paraId="2EE60BEE" w14:textId="77777777" w:rsidR="003F4B80" w:rsidRPr="008459DF" w:rsidRDefault="003F4B80">
      <w:r w:rsidRPr="008459DF">
        <w:t>Specific allocations depend on ACMA and ministerial decisions made during the planning stage, and reflect other relevant government policy considerations about planning priorities. Information from incumbent and prospective spectrum users about the demand for access to specific bands and the timing of any possible allocation will also provide important input to allocation decisions.</w:t>
      </w:r>
    </w:p>
    <w:p w14:paraId="4A6473A4" w14:textId="77777777" w:rsidR="003F4B80" w:rsidRPr="008459DF" w:rsidRDefault="003F4B80">
      <w:r w:rsidRPr="008459DF">
        <w:t>There is no certainty that any band will move to allocation until a formal decision has been made to change arrangements in that band. The ACMA emphasises that the information presented here does not in any way pre-empt such formal decisions.</w:t>
      </w:r>
      <w:r w:rsidR="00447762">
        <w:t xml:space="preserve"> </w:t>
      </w:r>
    </w:p>
    <w:p w14:paraId="0AB52DAD" w14:textId="77777777" w:rsidR="003F4B80" w:rsidRPr="008459DF" w:rsidRDefault="003F4B80">
      <w:r w:rsidRPr="008459DF">
        <w:t xml:space="preserve">Even once a formal decision has been made to move towards an allocation, the specific design of each allocation (for example, features such as the allocation timing, allocation methodology and lot configuration) are all dependent on a range of planning decisions yet to be made. The ACMA </w:t>
      </w:r>
      <w:r w:rsidR="003A1815">
        <w:t>will</w:t>
      </w:r>
      <w:r w:rsidRPr="008459DF">
        <w:t xml:space="preserve"> take account of feedback from industry about likely demand and their priorities for access to particular spectrum bands. </w:t>
      </w:r>
    </w:p>
    <w:p w14:paraId="63A60A2E" w14:textId="77777777" w:rsidR="003F4B80" w:rsidRPr="0054540D" w:rsidRDefault="003F4B80">
      <w:pPr>
        <w:rPr>
          <w:i/>
        </w:rPr>
      </w:pPr>
      <w:r w:rsidRPr="008459DF">
        <w:t>We have developed a revised series of allocation scenarios that respond to the feedback we received about the timing and sequencing options for allocations planned over the next few years</w:t>
      </w:r>
      <w:r w:rsidRPr="0054540D">
        <w:rPr>
          <w:i/>
        </w:rPr>
        <w:t>.</w:t>
      </w:r>
    </w:p>
    <w:p w14:paraId="73E179B9" w14:textId="77777777" w:rsidR="003F4B80" w:rsidRPr="005759E7" w:rsidRDefault="003F4B80" w:rsidP="005759E7">
      <w:pPr>
        <w:pStyle w:val="Heading2"/>
      </w:pPr>
      <w:bookmarkStart w:id="281" w:name="_Toc510104963"/>
      <w:bookmarkStart w:id="282" w:name="_Toc510105760"/>
      <w:bookmarkStart w:id="283" w:name="_Toc510795092"/>
      <w:bookmarkStart w:id="284" w:name="_Toc511716293"/>
      <w:bookmarkStart w:id="285" w:name="_Toc511719104"/>
      <w:bookmarkStart w:id="286" w:name="_Toc514156708"/>
      <w:r w:rsidRPr="005759E7">
        <w:t>Feedback</w:t>
      </w:r>
      <w:bookmarkEnd w:id="281"/>
      <w:bookmarkEnd w:id="282"/>
      <w:bookmarkEnd w:id="283"/>
      <w:bookmarkEnd w:id="284"/>
      <w:bookmarkEnd w:id="285"/>
      <w:bookmarkEnd w:id="286"/>
      <w:r w:rsidRPr="005759E7">
        <w:t xml:space="preserve"> </w:t>
      </w:r>
    </w:p>
    <w:p w14:paraId="2C07A771" w14:textId="77777777" w:rsidR="003F4B80" w:rsidRDefault="003F4B80" w:rsidP="0077559E">
      <w:r>
        <w:t xml:space="preserve">In </w:t>
      </w:r>
      <w:r w:rsidRPr="00350C72">
        <w:t xml:space="preserve">the </w:t>
      </w:r>
      <w:r w:rsidR="00350C72" w:rsidRPr="00350C72">
        <w:t xml:space="preserve">2017–21 </w:t>
      </w:r>
      <w:r w:rsidR="008606C8" w:rsidRPr="00350C72">
        <w:t>FYSO</w:t>
      </w:r>
      <w:r w:rsidR="003A1815" w:rsidRPr="00350C72">
        <w:t>,</w:t>
      </w:r>
      <w:r w:rsidRPr="00350C72">
        <w:t xml:space="preserve"> we</w:t>
      </w:r>
      <w:r>
        <w:t xml:space="preserve"> sought your views about t</w:t>
      </w:r>
      <w:r w:rsidRPr="00EC58F7">
        <w:t xml:space="preserve">he </w:t>
      </w:r>
      <w:r>
        <w:t xml:space="preserve">inclusion of an </w:t>
      </w:r>
      <w:r w:rsidRPr="00EC58F7">
        <w:t>allocation work plan</w:t>
      </w:r>
      <w:r>
        <w:t xml:space="preserve"> </w:t>
      </w:r>
      <w:r w:rsidR="00193CCF">
        <w:t>as well as</w:t>
      </w:r>
      <w:r>
        <w:t xml:space="preserve"> feedback about the timing and sequencing of bands prioritised for allocation</w:t>
      </w:r>
      <w:r w:rsidR="00193CCF">
        <w:t>,</w:t>
      </w:r>
      <w:r>
        <w:t xml:space="preserve"> outlined in a series of three scenarios. </w:t>
      </w:r>
    </w:p>
    <w:p w14:paraId="3CAF6FFE" w14:textId="77777777" w:rsidR="003F4B80" w:rsidRDefault="003F4B80">
      <w:r>
        <w:t>A summary of the broad themes raised in feedback is provided against each of the consultation questions as background</w:t>
      </w:r>
      <w:r w:rsidR="00193CCF">
        <w:t>,</w:t>
      </w:r>
      <w:r>
        <w:t xml:space="preserve"> which informs the ACMA’s response to developing a revised allocation </w:t>
      </w:r>
      <w:r w:rsidR="00BA6010">
        <w:t>work plan</w:t>
      </w:r>
      <w:r>
        <w:t>.</w:t>
      </w:r>
    </w:p>
    <w:p w14:paraId="31684A3A" w14:textId="77777777" w:rsidR="003F4B80" w:rsidRPr="00344590" w:rsidRDefault="004869C3" w:rsidP="005759E7">
      <w:pPr>
        <w:spacing w:after="0"/>
        <w:rPr>
          <w:rFonts w:eastAsiaTheme="majorEastAsia"/>
          <w:b/>
        </w:rPr>
      </w:pPr>
      <w:r w:rsidRPr="00344590">
        <w:rPr>
          <w:b/>
        </w:rPr>
        <w:t>Consultation question</w:t>
      </w:r>
      <w:r w:rsidR="00F16F31" w:rsidRPr="00344590">
        <w:rPr>
          <w:b/>
        </w:rPr>
        <w:t xml:space="preserve"> from </w:t>
      </w:r>
      <w:r w:rsidR="00350C72" w:rsidRPr="00344590">
        <w:rPr>
          <w:b/>
        </w:rPr>
        <w:t xml:space="preserve">2017–21 </w:t>
      </w:r>
      <w:r w:rsidR="00F16F31" w:rsidRPr="00344590">
        <w:rPr>
          <w:b/>
        </w:rPr>
        <w:t>FYSO</w:t>
      </w:r>
      <w:r w:rsidRPr="00344590">
        <w:rPr>
          <w:b/>
        </w:rPr>
        <w:t xml:space="preserve">: </w:t>
      </w:r>
      <w:r w:rsidRPr="00344590">
        <w:rPr>
          <w:b/>
        </w:rPr>
        <w:br/>
      </w:r>
      <w:r w:rsidR="003F4B80" w:rsidRPr="00344590">
        <w:rPr>
          <w:b/>
        </w:rPr>
        <w:t>Does the inclusion of a forward allocation work plan by the ACMA assist with the planning of your spectrum and network technology decisions?</w:t>
      </w:r>
    </w:p>
    <w:p w14:paraId="08F45C94" w14:textId="77777777" w:rsidR="00E74B57" w:rsidRPr="00344590" w:rsidRDefault="00E74B57" w:rsidP="005759E7">
      <w:pPr>
        <w:spacing w:after="0"/>
        <w:rPr>
          <w:rFonts w:eastAsiaTheme="majorEastAsia"/>
        </w:rPr>
      </w:pPr>
    </w:p>
    <w:p w14:paraId="21905483" w14:textId="77777777" w:rsidR="004C0225" w:rsidRDefault="003F4B80">
      <w:r w:rsidRPr="00344590">
        <w:t>Submitters broadly</w:t>
      </w:r>
      <w:r>
        <w:t xml:space="preserve"> supported the inclusion of the allocation </w:t>
      </w:r>
      <w:r w:rsidR="00BA6010">
        <w:t>work plan</w:t>
      </w:r>
      <w:r>
        <w:t xml:space="preserve">, with a suggestion to clearly distinguish band reallocation scenarios from other ongoing allocation work. </w:t>
      </w:r>
    </w:p>
    <w:p w14:paraId="3906E8A7" w14:textId="77777777" w:rsidR="007C1AD3" w:rsidRPr="00A30CFC" w:rsidRDefault="003F4B80">
      <w:r>
        <w:t xml:space="preserve">In the planning </w:t>
      </w:r>
      <w:r w:rsidR="000B121E">
        <w:t>chapter</w:t>
      </w:r>
      <w:r>
        <w:t xml:space="preserve"> of the FYSO</w:t>
      </w:r>
      <w:r w:rsidR="004869C3">
        <w:t>,</w:t>
      </w:r>
      <w:r>
        <w:t xml:space="preserve"> we have sought to clearly distinguish between planning activity associated with spectrum re-farming and reallocation, </w:t>
      </w:r>
      <w:r w:rsidR="000B121E">
        <w:t>and other</w:t>
      </w:r>
      <w:r>
        <w:t xml:space="preserve"> ongoing planning work aimed at optimising the utility of spectrum, within existing planning parameters.</w:t>
      </w:r>
    </w:p>
    <w:p w14:paraId="591817F2" w14:textId="77777777" w:rsidR="003F4B80" w:rsidRDefault="004869C3" w:rsidP="00344590">
      <w:pPr>
        <w:rPr>
          <w:rFonts w:eastAsiaTheme="majorEastAsia"/>
          <w:b/>
        </w:rPr>
      </w:pPr>
      <w:r>
        <w:rPr>
          <w:b/>
        </w:rPr>
        <w:lastRenderedPageBreak/>
        <w:t>Consultation question</w:t>
      </w:r>
      <w:r w:rsidR="00F16F31">
        <w:rPr>
          <w:b/>
        </w:rPr>
        <w:t xml:space="preserve"> </w:t>
      </w:r>
      <w:r w:rsidR="00F16F31" w:rsidRPr="00344590">
        <w:rPr>
          <w:b/>
        </w:rPr>
        <w:t xml:space="preserve">from </w:t>
      </w:r>
      <w:r w:rsidR="00350C72" w:rsidRPr="00344590">
        <w:rPr>
          <w:b/>
        </w:rPr>
        <w:t xml:space="preserve">2017–21 </w:t>
      </w:r>
      <w:r w:rsidR="00F16F31" w:rsidRPr="00344590">
        <w:rPr>
          <w:b/>
        </w:rPr>
        <w:t>FYSO</w:t>
      </w:r>
      <w:r w:rsidRPr="00344590">
        <w:rPr>
          <w:b/>
        </w:rPr>
        <w:t xml:space="preserve">: </w:t>
      </w:r>
      <w:r w:rsidRPr="00344590">
        <w:rPr>
          <w:b/>
        </w:rPr>
        <w:br/>
      </w:r>
      <w:r w:rsidR="003F4B80" w:rsidRPr="00344590">
        <w:rPr>
          <w:b/>
        </w:rPr>
        <w:t>Do you have any comments on the scenarios</w:t>
      </w:r>
      <w:r w:rsidR="003F4B80" w:rsidRPr="00947F88">
        <w:rPr>
          <w:b/>
        </w:rPr>
        <w:t>? Are there other scenarios you believe warrant identification and particular attention at this time? Why?</w:t>
      </w:r>
    </w:p>
    <w:p w14:paraId="0C5B917C" w14:textId="77777777" w:rsidR="003F4B80" w:rsidRDefault="003F4B80">
      <w:r>
        <w:t>Detailed commentary was received about the allocation scenarios developed by the ACMA, with di</w:t>
      </w:r>
      <w:r w:rsidR="00201DE5">
        <w:t>ver</w:t>
      </w:r>
      <w:r w:rsidR="00355B27">
        <w:t>g</w:t>
      </w:r>
      <w:r w:rsidR="00201DE5">
        <w:t>e</w:t>
      </w:r>
      <w:r w:rsidR="00355B27">
        <w:t>nt</w:t>
      </w:r>
      <w:r>
        <w:t xml:space="preserve"> views received about</w:t>
      </w:r>
      <w:r w:rsidR="00FE4E15">
        <w:t xml:space="preserve"> </w:t>
      </w:r>
      <w:r>
        <w:t xml:space="preserve">scope of the bands for inclusion in the allocation </w:t>
      </w:r>
      <w:r w:rsidR="00BA6010">
        <w:t>work plan</w:t>
      </w:r>
      <w:r w:rsidR="00FE4E15">
        <w:t xml:space="preserve">, </w:t>
      </w:r>
      <w:r>
        <w:t>sequencing</w:t>
      </w:r>
      <w:r w:rsidR="00FE4E15">
        <w:t xml:space="preserve"> and </w:t>
      </w:r>
      <w:r>
        <w:t>timing.</w:t>
      </w:r>
    </w:p>
    <w:p w14:paraId="2FE8EB1C" w14:textId="77777777" w:rsidR="00BE0423" w:rsidRDefault="003F4B80">
      <w:r>
        <w:t xml:space="preserve">Because each of the </w:t>
      </w:r>
      <w:r w:rsidR="004869C3">
        <w:t xml:space="preserve">three </w:t>
      </w:r>
      <w:r>
        <w:t xml:space="preserve">proposed scenarios identified various trade-offs between scope, sequencing and timing, we have provided a summary of the feedback received on each scenario, with a focus on comments from the potential participants in any allocation process. </w:t>
      </w:r>
    </w:p>
    <w:p w14:paraId="15905955" w14:textId="77777777" w:rsidR="004869C3" w:rsidRDefault="00FE4E15" w:rsidP="005759E7">
      <w:r>
        <w:t xml:space="preserve">Submitters also provided multiple suggestions for alternative allocation scenarios that reflected their timing and </w:t>
      </w:r>
      <w:r w:rsidRPr="004869C3">
        <w:t>sequencing preferences for single or multiple bands, or suggestions that the ACMA give further attention to a wider range of different spectrum uses in its planning and allocation activity.</w:t>
      </w:r>
      <w:r>
        <w:t xml:space="preserve"> </w:t>
      </w:r>
    </w:p>
    <w:p w14:paraId="5DBFC248" w14:textId="77777777" w:rsidR="003F4B80" w:rsidRPr="00A25CF1" w:rsidRDefault="003F4B80" w:rsidP="00F57787">
      <w:pPr>
        <w:pStyle w:val="ACMATableHeader"/>
      </w:pPr>
      <w:r w:rsidRPr="00A25CF1">
        <w:t>Summary of feedback on</w:t>
      </w:r>
      <w:r w:rsidR="005759E7">
        <w:t xml:space="preserve"> three</w:t>
      </w:r>
      <w:r w:rsidR="00B108F7">
        <w:t xml:space="preserve"> </w:t>
      </w:r>
      <w:r w:rsidRPr="00A25CF1">
        <w:t>allocation scenarios</w:t>
      </w:r>
      <w:r w:rsidR="00715BB9">
        <w:t xml:space="preserve"> from 2017</w:t>
      </w:r>
      <w:r w:rsidR="004869C3">
        <w:t>–</w:t>
      </w:r>
      <w:r w:rsidR="00715BB9">
        <w:t>2</w:t>
      </w:r>
      <w:r w:rsidR="00CC15B2">
        <w:t>1</w:t>
      </w:r>
      <w:r w:rsidR="00BE3A94">
        <w:t xml:space="preserve"> FYSO</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Caption w:val="Table title to go here"/>
        <w:tblDescription w:val="Table description to go here"/>
      </w:tblPr>
      <w:tblGrid>
        <w:gridCol w:w="1767"/>
        <w:gridCol w:w="5678"/>
      </w:tblGrid>
      <w:tr w:rsidR="00FC5F1B" w:rsidRPr="006D46E5" w14:paraId="63E35610" w14:textId="77777777" w:rsidTr="0037046B">
        <w:trPr>
          <w:tblHeader/>
        </w:trPr>
        <w:tc>
          <w:tcPr>
            <w:tcW w:w="1187" w:type="pct"/>
            <w:shd w:val="clear" w:color="auto" w:fill="404040" w:themeFill="text1" w:themeFillTint="BF"/>
          </w:tcPr>
          <w:p w14:paraId="208D2B09" w14:textId="77777777" w:rsidR="00FC5F1B" w:rsidRPr="00FC5F1B" w:rsidRDefault="00FC5F1B" w:rsidP="00FC5F1B">
            <w:pPr>
              <w:pStyle w:val="TableHeading"/>
              <w:rPr>
                <w:color w:val="FFFFFF" w:themeColor="background1"/>
              </w:rPr>
            </w:pPr>
            <w:r w:rsidRPr="00FC5F1B">
              <w:rPr>
                <w:color w:val="FFFFFF" w:themeColor="background1"/>
              </w:rPr>
              <w:t>Submitters</w:t>
            </w:r>
          </w:p>
        </w:tc>
        <w:tc>
          <w:tcPr>
            <w:tcW w:w="3813" w:type="pct"/>
            <w:shd w:val="clear" w:color="auto" w:fill="404040" w:themeFill="text1" w:themeFillTint="BF"/>
          </w:tcPr>
          <w:p w14:paraId="62B8BACE" w14:textId="77777777" w:rsidR="00FC5F1B" w:rsidRPr="00FC5F1B" w:rsidRDefault="00FC5F1B" w:rsidP="00FC5F1B">
            <w:pPr>
              <w:pStyle w:val="TableHeading"/>
              <w:rPr>
                <w:color w:val="FFFFFF" w:themeColor="background1"/>
              </w:rPr>
            </w:pPr>
            <w:r w:rsidRPr="00FC5F1B">
              <w:rPr>
                <w:color w:val="FFFFFF" w:themeColor="background1"/>
              </w:rPr>
              <w:t>Comments</w:t>
            </w:r>
          </w:p>
        </w:tc>
      </w:tr>
      <w:tr w:rsidR="00FC5F1B" w:rsidRPr="006D46E5" w14:paraId="79DB77CC" w14:textId="77777777" w:rsidTr="0037046B">
        <w:tc>
          <w:tcPr>
            <w:tcW w:w="1187" w:type="pct"/>
            <w:shd w:val="clear" w:color="auto" w:fill="D9D9D9" w:themeFill="background1" w:themeFillShade="D9"/>
          </w:tcPr>
          <w:p w14:paraId="23698CDD" w14:textId="77777777" w:rsidR="00FC5F1B" w:rsidRPr="00FE4E15" w:rsidRDefault="00FC5F1B" w:rsidP="00FC5F1B">
            <w:pPr>
              <w:pStyle w:val="TableBody"/>
              <w:rPr>
                <w:b/>
              </w:rPr>
            </w:pPr>
            <w:r w:rsidRPr="00FE4E15">
              <w:rPr>
                <w:b/>
              </w:rPr>
              <w:t>SCENARIO 1</w:t>
            </w:r>
          </w:p>
        </w:tc>
        <w:tc>
          <w:tcPr>
            <w:tcW w:w="3813" w:type="pct"/>
            <w:shd w:val="clear" w:color="auto" w:fill="D9D9D9" w:themeFill="background1" w:themeFillShade="D9"/>
          </w:tcPr>
          <w:p w14:paraId="234DC717" w14:textId="77777777" w:rsidR="00FC5F1B" w:rsidRPr="007D6390" w:rsidRDefault="00FC5F1B" w:rsidP="00FC5F1B">
            <w:pPr>
              <w:pStyle w:val="TableBody"/>
            </w:pPr>
            <w:r w:rsidRPr="00FE4E15">
              <w:rPr>
                <w:b/>
              </w:rPr>
              <w:t>In this scenario, allocation of the 3.6 GHz band is prioritised, followed by an allocation of a combined 850</w:t>
            </w:r>
            <w:r>
              <w:rPr>
                <w:b/>
              </w:rPr>
              <w:t> </w:t>
            </w:r>
            <w:r w:rsidRPr="00FE4E15">
              <w:rPr>
                <w:b/>
              </w:rPr>
              <w:t xml:space="preserve">MHz expansion/900 MHz band. </w:t>
            </w:r>
          </w:p>
        </w:tc>
      </w:tr>
      <w:tr w:rsidR="00FC5F1B" w:rsidRPr="006D46E5" w14:paraId="55E7DA90" w14:textId="77777777" w:rsidTr="0037046B">
        <w:tc>
          <w:tcPr>
            <w:tcW w:w="1187" w:type="pct"/>
            <w:shd w:val="clear" w:color="auto" w:fill="F2F2F2" w:themeFill="background1" w:themeFillShade="F2"/>
          </w:tcPr>
          <w:p w14:paraId="738FC105" w14:textId="77777777" w:rsidR="00FC5F1B" w:rsidRPr="00FE4E15" w:rsidRDefault="00FC5F1B" w:rsidP="00FC5F1B">
            <w:pPr>
              <w:pStyle w:val="TableBody"/>
              <w:rPr>
                <w:b/>
              </w:rPr>
            </w:pPr>
            <w:r w:rsidRPr="00FE4E15">
              <w:rPr>
                <w:b/>
              </w:rPr>
              <w:t>General comment</w:t>
            </w:r>
          </w:p>
        </w:tc>
        <w:tc>
          <w:tcPr>
            <w:tcW w:w="3813" w:type="pct"/>
            <w:shd w:val="clear" w:color="auto" w:fill="F2F2F2" w:themeFill="background1" w:themeFillShade="F2"/>
          </w:tcPr>
          <w:p w14:paraId="6CECDD04" w14:textId="77777777" w:rsidR="00FC5F1B" w:rsidRPr="007D6390" w:rsidRDefault="00FC5F1B" w:rsidP="00FC5F1B">
            <w:pPr>
              <w:pStyle w:val="TableBody"/>
            </w:pPr>
            <w:r w:rsidRPr="00AF5C0D">
              <w:t xml:space="preserve">Disparate views were expressed by the </w:t>
            </w:r>
            <w:r>
              <w:t xml:space="preserve">submitters, including the </w:t>
            </w:r>
            <w:r w:rsidRPr="00AF5C0D">
              <w:t>mobile network operators</w:t>
            </w:r>
            <w:r>
              <w:t>,</w:t>
            </w:r>
            <w:r w:rsidRPr="00AF5C0D">
              <w:t xml:space="preserve"> about the proposed prioritisation of the 5G bands (3.6 GHz and </w:t>
            </w:r>
            <w:r w:rsidRPr="00D2732D">
              <w:t>mmWave</w:t>
            </w:r>
            <w:r w:rsidRPr="00AF5C0D">
              <w:t>) relative to the 4G 900</w:t>
            </w:r>
            <w:r>
              <w:t> </w:t>
            </w:r>
            <w:r w:rsidRPr="00AF5C0D">
              <w:t xml:space="preserve">MHz band </w:t>
            </w:r>
          </w:p>
        </w:tc>
      </w:tr>
      <w:tr w:rsidR="00925F78" w:rsidRPr="006D46E5" w14:paraId="67547CDF" w14:textId="77777777" w:rsidTr="0037046B">
        <w:tc>
          <w:tcPr>
            <w:tcW w:w="1187" w:type="pct"/>
            <w:shd w:val="clear" w:color="auto" w:fill="auto"/>
          </w:tcPr>
          <w:p w14:paraId="3AB8A6BF" w14:textId="77777777" w:rsidR="00925F78" w:rsidRPr="006D46E5" w:rsidRDefault="00925F78" w:rsidP="0077559E">
            <w:pPr>
              <w:pStyle w:val="TableBody"/>
              <w:rPr>
                <w:rFonts w:cs="Arial"/>
              </w:rPr>
            </w:pPr>
            <w:r w:rsidRPr="00FE4E15">
              <w:rPr>
                <w:b/>
              </w:rPr>
              <w:t xml:space="preserve">Telstra </w:t>
            </w:r>
          </w:p>
        </w:tc>
        <w:tc>
          <w:tcPr>
            <w:tcW w:w="3813" w:type="pct"/>
            <w:shd w:val="clear" w:color="auto" w:fill="FFFFFF" w:themeFill="background1"/>
          </w:tcPr>
          <w:p w14:paraId="58E1BE75" w14:textId="77777777" w:rsidR="00925F78" w:rsidRPr="006D46E5" w:rsidRDefault="00925F78">
            <w:pPr>
              <w:pStyle w:val="TableBody"/>
              <w:rPr>
                <w:rFonts w:cs="Arial"/>
              </w:rPr>
            </w:pPr>
            <w:r w:rsidRPr="007D6390">
              <w:t>Not supportive</w:t>
            </w:r>
            <w:r w:rsidR="00D2732D">
              <w:t>.</w:t>
            </w:r>
            <w:r w:rsidRPr="007D6390">
              <w:t xml:space="preserve"> </w:t>
            </w:r>
            <w:r w:rsidR="00D2732D">
              <w:t>T</w:t>
            </w:r>
            <w:r w:rsidRPr="007D6390">
              <w:t>he auction timelines are too late for 3.6 GH</w:t>
            </w:r>
            <w:r w:rsidR="00CC15B2">
              <w:t>z</w:t>
            </w:r>
            <w:r w:rsidRPr="007D6390">
              <w:t xml:space="preserve"> and 26 GHz. </w:t>
            </w:r>
          </w:p>
        </w:tc>
      </w:tr>
      <w:tr w:rsidR="00925F78" w:rsidRPr="006D46E5" w14:paraId="748DDCE0" w14:textId="77777777" w:rsidTr="0037046B">
        <w:tc>
          <w:tcPr>
            <w:tcW w:w="1187" w:type="pct"/>
            <w:shd w:val="clear" w:color="auto" w:fill="auto"/>
          </w:tcPr>
          <w:p w14:paraId="2F476635" w14:textId="77777777" w:rsidR="00925F78" w:rsidRPr="006D46E5" w:rsidRDefault="00925F78" w:rsidP="0077559E">
            <w:pPr>
              <w:pStyle w:val="TableBody"/>
              <w:rPr>
                <w:rFonts w:cs="Arial"/>
              </w:rPr>
            </w:pPr>
            <w:r w:rsidRPr="00FE4E15">
              <w:rPr>
                <w:b/>
              </w:rPr>
              <w:t>Vodafone</w:t>
            </w:r>
          </w:p>
        </w:tc>
        <w:tc>
          <w:tcPr>
            <w:tcW w:w="3813" w:type="pct"/>
            <w:shd w:val="clear" w:color="auto" w:fill="FFFFFF" w:themeFill="background1"/>
          </w:tcPr>
          <w:p w14:paraId="6128C802" w14:textId="77777777" w:rsidR="00925F78" w:rsidRPr="006D46E5" w:rsidRDefault="00925F78" w:rsidP="00D2732D">
            <w:pPr>
              <w:pStyle w:val="TableBody"/>
              <w:rPr>
                <w:rFonts w:cs="Arial"/>
              </w:rPr>
            </w:pPr>
            <w:r w:rsidRPr="007D6390">
              <w:t>Not supportive</w:t>
            </w:r>
            <w:r w:rsidR="00D2732D">
              <w:t>. C</w:t>
            </w:r>
            <w:r>
              <w:t xml:space="preserve">oncerned that separate auction of the 3.6 GHz and 26 GHz bands does not provide the certainty operators are seeking </w:t>
            </w:r>
            <w:r w:rsidR="00D2732D">
              <w:t xml:space="preserve">about </w:t>
            </w:r>
            <w:r>
              <w:t>the availability of both bands to support efficient network deployment. Overall concern that sequential allocation of different spectrum bands is most unusual.</w:t>
            </w:r>
          </w:p>
        </w:tc>
      </w:tr>
      <w:tr w:rsidR="00925F78" w:rsidRPr="006D46E5" w14:paraId="69C94308" w14:textId="77777777" w:rsidTr="0037046B">
        <w:tc>
          <w:tcPr>
            <w:tcW w:w="1187" w:type="pct"/>
            <w:shd w:val="clear" w:color="auto" w:fill="auto"/>
          </w:tcPr>
          <w:p w14:paraId="015F69A7" w14:textId="77777777" w:rsidR="00925F78" w:rsidRPr="006D46E5" w:rsidRDefault="00925F78" w:rsidP="0077559E">
            <w:pPr>
              <w:pStyle w:val="TableBody"/>
              <w:rPr>
                <w:rFonts w:cs="Arial"/>
              </w:rPr>
            </w:pPr>
            <w:r w:rsidRPr="00FE4E15">
              <w:rPr>
                <w:b/>
              </w:rPr>
              <w:t>Communications Alliance S</w:t>
            </w:r>
            <w:r>
              <w:rPr>
                <w:b/>
              </w:rPr>
              <w:t>atellite Spectrum Working Group</w:t>
            </w:r>
            <w:r w:rsidR="00447762">
              <w:rPr>
                <w:b/>
              </w:rPr>
              <w:t xml:space="preserve"> </w:t>
            </w:r>
          </w:p>
        </w:tc>
        <w:tc>
          <w:tcPr>
            <w:tcW w:w="3813" w:type="pct"/>
            <w:shd w:val="clear" w:color="auto" w:fill="FFFFFF" w:themeFill="background1"/>
          </w:tcPr>
          <w:p w14:paraId="4464CAEA" w14:textId="77777777" w:rsidR="00925F78" w:rsidRPr="006D46E5" w:rsidRDefault="00925F78">
            <w:pPr>
              <w:pStyle w:val="TableBody"/>
              <w:rPr>
                <w:rFonts w:cs="Arial"/>
              </w:rPr>
            </w:pPr>
            <w:r>
              <w:t>Supported by members, with the exception of two mobile network operators who dissented.</w:t>
            </w:r>
          </w:p>
        </w:tc>
      </w:tr>
      <w:tr w:rsidR="00925F78" w:rsidRPr="006D46E5" w14:paraId="6608828C" w14:textId="77777777" w:rsidTr="0037046B">
        <w:tc>
          <w:tcPr>
            <w:tcW w:w="1187" w:type="pct"/>
            <w:shd w:val="clear" w:color="auto" w:fill="D9D9D9" w:themeFill="background1" w:themeFillShade="D9"/>
          </w:tcPr>
          <w:p w14:paraId="691D6EE8" w14:textId="77777777" w:rsidR="00925F78" w:rsidRPr="006D46E5" w:rsidRDefault="00925F78" w:rsidP="006F542F">
            <w:pPr>
              <w:pStyle w:val="TableBody"/>
              <w:keepNext/>
              <w:keepLines/>
              <w:rPr>
                <w:rFonts w:cs="Arial"/>
              </w:rPr>
            </w:pPr>
            <w:r w:rsidRPr="00FE4E15">
              <w:rPr>
                <w:b/>
                <w:caps/>
              </w:rPr>
              <w:lastRenderedPageBreak/>
              <w:t>Scenario 2</w:t>
            </w:r>
          </w:p>
        </w:tc>
        <w:tc>
          <w:tcPr>
            <w:tcW w:w="3813" w:type="pct"/>
            <w:shd w:val="clear" w:color="auto" w:fill="D9D9D9" w:themeFill="background1" w:themeFillShade="D9"/>
          </w:tcPr>
          <w:p w14:paraId="2934B4CA" w14:textId="77777777" w:rsidR="00925F78" w:rsidRPr="006D46E5" w:rsidRDefault="00925F78" w:rsidP="006F542F">
            <w:pPr>
              <w:pStyle w:val="TableBody"/>
              <w:keepNext/>
              <w:keepLines/>
              <w:rPr>
                <w:rFonts w:cs="Arial"/>
              </w:rPr>
            </w:pPr>
            <w:r w:rsidRPr="00FE4E15">
              <w:rPr>
                <w:b/>
              </w:rPr>
              <w:t>In this scenario, 3.6 GHz</w:t>
            </w:r>
            <w:r>
              <w:rPr>
                <w:b/>
              </w:rPr>
              <w:t xml:space="preserve"> is allocated first</w:t>
            </w:r>
            <w:r w:rsidRPr="00FE4E15">
              <w:rPr>
                <w:b/>
              </w:rPr>
              <w:t>, with mmWave prioritised ahead of the allocation of the 850 MHz expansion/900 MHz bands</w:t>
            </w:r>
          </w:p>
        </w:tc>
      </w:tr>
      <w:tr w:rsidR="00925F78" w:rsidRPr="006D46E5" w14:paraId="312881E4" w14:textId="77777777" w:rsidTr="0037046B">
        <w:tc>
          <w:tcPr>
            <w:tcW w:w="1187" w:type="pct"/>
            <w:shd w:val="clear" w:color="auto" w:fill="F2F2F2" w:themeFill="background1" w:themeFillShade="F2"/>
          </w:tcPr>
          <w:p w14:paraId="6F85148A" w14:textId="77777777" w:rsidR="00925F78" w:rsidRPr="006D46E5" w:rsidRDefault="00925F78" w:rsidP="006F542F">
            <w:pPr>
              <w:pStyle w:val="TableBody"/>
              <w:keepNext/>
              <w:keepLines/>
              <w:rPr>
                <w:rFonts w:cs="Arial"/>
              </w:rPr>
            </w:pPr>
            <w:r w:rsidRPr="00FE4E15">
              <w:rPr>
                <w:b/>
                <w:caps/>
              </w:rPr>
              <w:t>g</w:t>
            </w:r>
            <w:r w:rsidRPr="00FE4E15">
              <w:rPr>
                <w:b/>
              </w:rPr>
              <w:t>eneral comment</w:t>
            </w:r>
          </w:p>
        </w:tc>
        <w:tc>
          <w:tcPr>
            <w:tcW w:w="3813" w:type="pct"/>
            <w:shd w:val="clear" w:color="auto" w:fill="F2F2F2" w:themeFill="background1" w:themeFillShade="F2"/>
          </w:tcPr>
          <w:p w14:paraId="5F71F09C" w14:textId="77777777" w:rsidR="00925F78" w:rsidRPr="00746D64" w:rsidRDefault="00D2732D" w:rsidP="006F542F">
            <w:pPr>
              <w:pStyle w:val="TableBody"/>
              <w:keepNext/>
              <w:keepLines/>
              <w:rPr>
                <w:rFonts w:cs="Arial"/>
              </w:rPr>
            </w:pPr>
            <w:r>
              <w:t>S</w:t>
            </w:r>
            <w:r w:rsidR="00925F78">
              <w:t xml:space="preserve">trong support </w:t>
            </w:r>
            <w:r w:rsidR="00925F78" w:rsidRPr="00CD0442">
              <w:t>for accelerating the allocation of spectrum to support the introduction of 5G from some mobile network operators and a number of equipment vendors.</w:t>
            </w:r>
            <w:r w:rsidR="00925F78">
              <w:t xml:space="preserve"> Contrary views suggested that the prioritisation of </w:t>
            </w:r>
            <w:r>
              <w:t>mmWave</w:t>
            </w:r>
            <w:r w:rsidR="00925F78">
              <w:t xml:space="preserve"> over other bands was premature, noting that planning work is continuing.</w:t>
            </w:r>
          </w:p>
        </w:tc>
      </w:tr>
      <w:tr w:rsidR="00925F78" w:rsidRPr="006D46E5" w14:paraId="5228677F" w14:textId="77777777" w:rsidTr="0037046B">
        <w:tc>
          <w:tcPr>
            <w:tcW w:w="1187" w:type="pct"/>
            <w:shd w:val="clear" w:color="auto" w:fill="auto"/>
          </w:tcPr>
          <w:p w14:paraId="7A0BCCE9" w14:textId="77777777" w:rsidR="00925F78" w:rsidRPr="006D46E5" w:rsidRDefault="00925F78" w:rsidP="006F542F">
            <w:pPr>
              <w:pStyle w:val="TableBody"/>
              <w:keepNext/>
              <w:keepLines/>
              <w:rPr>
                <w:rFonts w:cs="Arial"/>
              </w:rPr>
            </w:pPr>
            <w:r w:rsidRPr="00FE4E15">
              <w:rPr>
                <w:b/>
              </w:rPr>
              <w:t xml:space="preserve">Telstra </w:t>
            </w:r>
          </w:p>
        </w:tc>
        <w:tc>
          <w:tcPr>
            <w:tcW w:w="3813" w:type="pct"/>
            <w:shd w:val="clear" w:color="auto" w:fill="FFFFFF" w:themeFill="background1"/>
          </w:tcPr>
          <w:p w14:paraId="31C0F29E" w14:textId="77777777" w:rsidR="00925F78" w:rsidRPr="00746D64" w:rsidRDefault="00925F78" w:rsidP="006F542F">
            <w:pPr>
              <w:pStyle w:val="TableBody"/>
              <w:keepNext/>
              <w:keepLines/>
              <w:rPr>
                <w:rFonts w:cs="Arial"/>
              </w:rPr>
            </w:pPr>
            <w:r w:rsidRPr="007D6390">
              <w:t xml:space="preserve">Not completely supportive. </w:t>
            </w:r>
            <w:r>
              <w:t>While t</w:t>
            </w:r>
            <w:r w:rsidRPr="007D6390">
              <w:t xml:space="preserve">his scenario is more closely aligned with </w:t>
            </w:r>
            <w:r>
              <w:t xml:space="preserve">Telstra’s </w:t>
            </w:r>
            <w:r w:rsidRPr="007D6390">
              <w:t>views</w:t>
            </w:r>
            <w:r>
              <w:t>, the company believes</w:t>
            </w:r>
            <w:r w:rsidRPr="007D6390">
              <w:t xml:space="preserve"> the auction timelines for both the 3.6 GHz and 26 GHz bands are too late for Australia to keep pace with </w:t>
            </w:r>
            <w:r>
              <w:t xml:space="preserve">international 5G developments. </w:t>
            </w:r>
          </w:p>
        </w:tc>
      </w:tr>
      <w:tr w:rsidR="00925F78" w:rsidRPr="006D46E5" w14:paraId="0DF55F83" w14:textId="77777777" w:rsidTr="0037046B">
        <w:tc>
          <w:tcPr>
            <w:tcW w:w="1187" w:type="pct"/>
            <w:shd w:val="clear" w:color="auto" w:fill="auto"/>
          </w:tcPr>
          <w:p w14:paraId="731753A4" w14:textId="77777777" w:rsidR="00925F78" w:rsidRPr="006D46E5" w:rsidRDefault="00925F78" w:rsidP="0077559E">
            <w:pPr>
              <w:pStyle w:val="TableBody"/>
              <w:rPr>
                <w:rFonts w:cs="Arial"/>
              </w:rPr>
            </w:pPr>
            <w:r w:rsidRPr="00FE4E15">
              <w:rPr>
                <w:b/>
              </w:rPr>
              <w:t xml:space="preserve">Vodafone </w:t>
            </w:r>
          </w:p>
        </w:tc>
        <w:tc>
          <w:tcPr>
            <w:tcW w:w="3813" w:type="pct"/>
          </w:tcPr>
          <w:p w14:paraId="60F0B8FB" w14:textId="77777777" w:rsidR="00925F78" w:rsidRPr="00746D64" w:rsidRDefault="00925F78">
            <w:pPr>
              <w:pStyle w:val="TableBody"/>
              <w:rPr>
                <w:rFonts w:cs="Arial"/>
              </w:rPr>
            </w:pPr>
            <w:r w:rsidRPr="007D6390">
              <w:t xml:space="preserve">Not supportive. </w:t>
            </w:r>
          </w:p>
        </w:tc>
      </w:tr>
      <w:tr w:rsidR="00925F78" w:rsidRPr="006D46E5" w14:paraId="013B6355" w14:textId="77777777" w:rsidTr="0037046B">
        <w:tc>
          <w:tcPr>
            <w:tcW w:w="1187" w:type="pct"/>
            <w:shd w:val="clear" w:color="auto" w:fill="auto"/>
          </w:tcPr>
          <w:p w14:paraId="195DCE67" w14:textId="77777777" w:rsidR="00925F78" w:rsidRPr="006D46E5" w:rsidRDefault="00D2732D" w:rsidP="0077559E">
            <w:pPr>
              <w:pStyle w:val="TableBody"/>
              <w:rPr>
                <w:rFonts w:cs="Arial"/>
              </w:rPr>
            </w:pPr>
            <w:r>
              <w:rPr>
                <w:b/>
              </w:rPr>
              <w:t>NBN Co</w:t>
            </w:r>
          </w:p>
        </w:tc>
        <w:tc>
          <w:tcPr>
            <w:tcW w:w="3813" w:type="pct"/>
          </w:tcPr>
          <w:p w14:paraId="3EC40688" w14:textId="77777777" w:rsidR="00925F78" w:rsidRPr="00746D64" w:rsidRDefault="00925F78" w:rsidP="00D2732D">
            <w:pPr>
              <w:pStyle w:val="TableBody"/>
              <w:rPr>
                <w:rFonts w:cs="Arial"/>
              </w:rPr>
            </w:pPr>
            <w:r>
              <w:t xml:space="preserve">Does not support accelerated planning of the spectrum in any of the </w:t>
            </w:r>
            <w:r w:rsidR="00D2732D">
              <w:t>mmW</w:t>
            </w:r>
            <w:r>
              <w:t xml:space="preserve">ave bands. </w:t>
            </w:r>
          </w:p>
        </w:tc>
      </w:tr>
      <w:tr w:rsidR="00925F78" w:rsidRPr="006D46E5" w14:paraId="74EFCD46" w14:textId="77777777" w:rsidTr="0037046B">
        <w:tc>
          <w:tcPr>
            <w:tcW w:w="1187" w:type="pct"/>
            <w:shd w:val="clear" w:color="auto" w:fill="auto"/>
          </w:tcPr>
          <w:p w14:paraId="5E5E51C6" w14:textId="77777777" w:rsidR="00925F78" w:rsidRPr="006D46E5" w:rsidRDefault="00925F78" w:rsidP="0077559E">
            <w:pPr>
              <w:pStyle w:val="TableBody"/>
              <w:rPr>
                <w:rFonts w:cs="Arial"/>
              </w:rPr>
            </w:pPr>
            <w:r w:rsidRPr="00FE4E15">
              <w:rPr>
                <w:b/>
              </w:rPr>
              <w:t>Facebook</w:t>
            </w:r>
          </w:p>
        </w:tc>
        <w:tc>
          <w:tcPr>
            <w:tcW w:w="3813" w:type="pct"/>
          </w:tcPr>
          <w:p w14:paraId="637404FA" w14:textId="77777777" w:rsidR="00925F78" w:rsidRPr="00746D64" w:rsidRDefault="00925F78">
            <w:pPr>
              <w:pStyle w:val="TableBody"/>
              <w:rPr>
                <w:rFonts w:cs="Arial"/>
              </w:rPr>
            </w:pPr>
            <w:r w:rsidRPr="007D6390">
              <w:t xml:space="preserve">Facebook supports ACMA’s plan to consider </w:t>
            </w:r>
            <w:r w:rsidR="00D2732D">
              <w:t>mmW</w:t>
            </w:r>
            <w:r w:rsidRPr="007D6390">
              <w:t>ave spectrum options in the 26 GHz band (24.25</w:t>
            </w:r>
            <w:r w:rsidR="00D2732D">
              <w:t>–</w:t>
            </w:r>
            <w:r w:rsidRPr="007D6390">
              <w:t xml:space="preserve">27.5 GHz) in </w:t>
            </w:r>
            <w:r w:rsidR="00960667">
              <w:t>2</w:t>
            </w:r>
            <w:r w:rsidR="00070ABF">
              <w:t>018-19</w:t>
            </w:r>
            <w:r w:rsidRPr="007D6390">
              <w:t>.</w:t>
            </w:r>
          </w:p>
        </w:tc>
      </w:tr>
      <w:tr w:rsidR="00925F78" w:rsidRPr="006D46E5" w14:paraId="6F160216" w14:textId="77777777" w:rsidTr="0037046B">
        <w:tc>
          <w:tcPr>
            <w:tcW w:w="1187" w:type="pct"/>
            <w:shd w:val="clear" w:color="auto" w:fill="D9D9D9" w:themeFill="background1" w:themeFillShade="D9"/>
          </w:tcPr>
          <w:p w14:paraId="2EA2EA32" w14:textId="77777777" w:rsidR="00925F78" w:rsidRPr="00925F78" w:rsidRDefault="00925F78">
            <w:pPr>
              <w:pStyle w:val="TableBody"/>
              <w:rPr>
                <w:rFonts w:cs="Arial"/>
                <w:b/>
              </w:rPr>
            </w:pPr>
            <w:r w:rsidRPr="00925F78">
              <w:rPr>
                <w:rFonts w:eastAsiaTheme="majorEastAsia"/>
                <w:b/>
                <w:caps/>
              </w:rPr>
              <w:t>Scenario 3</w:t>
            </w:r>
          </w:p>
        </w:tc>
        <w:tc>
          <w:tcPr>
            <w:tcW w:w="3813" w:type="pct"/>
            <w:shd w:val="clear" w:color="auto" w:fill="D9D9D9" w:themeFill="background1" w:themeFillShade="D9"/>
          </w:tcPr>
          <w:p w14:paraId="3AFF4C11" w14:textId="77777777" w:rsidR="00925F78" w:rsidRPr="00925F78" w:rsidRDefault="00925F78">
            <w:pPr>
              <w:pStyle w:val="TableBody"/>
              <w:rPr>
                <w:rFonts w:cs="Arial"/>
                <w:b/>
              </w:rPr>
            </w:pPr>
            <w:r w:rsidRPr="00925F78">
              <w:rPr>
                <w:b/>
              </w:rPr>
              <w:t>This scenario illustrates what could happen if one or more bands do not proceed to allocation via an auction (administrative reconfiguration and allocation of 900 MHz band and delay in allocation of the 850 MHz expansion band)</w:t>
            </w:r>
          </w:p>
        </w:tc>
      </w:tr>
      <w:tr w:rsidR="00925F78" w:rsidRPr="006D46E5" w14:paraId="0FC995C1" w14:textId="77777777" w:rsidTr="0037046B">
        <w:tc>
          <w:tcPr>
            <w:tcW w:w="1187" w:type="pct"/>
            <w:shd w:val="clear" w:color="auto" w:fill="F2F2F2" w:themeFill="background1" w:themeFillShade="F2"/>
          </w:tcPr>
          <w:p w14:paraId="3A5B04FF" w14:textId="77777777" w:rsidR="00925F78" w:rsidRPr="006D46E5" w:rsidRDefault="00925F78" w:rsidP="0077559E">
            <w:pPr>
              <w:pStyle w:val="TableBody"/>
              <w:rPr>
                <w:rFonts w:cs="Arial"/>
              </w:rPr>
            </w:pPr>
            <w:r w:rsidRPr="00FE4E15">
              <w:rPr>
                <w:rFonts w:eastAsiaTheme="majorEastAsia"/>
                <w:b/>
                <w:caps/>
              </w:rPr>
              <w:t>G</w:t>
            </w:r>
            <w:r w:rsidRPr="00FE4E15">
              <w:rPr>
                <w:rFonts w:eastAsiaTheme="majorEastAsia"/>
                <w:b/>
              </w:rPr>
              <w:t xml:space="preserve">eneral comment </w:t>
            </w:r>
          </w:p>
        </w:tc>
        <w:tc>
          <w:tcPr>
            <w:tcW w:w="3813" w:type="pct"/>
            <w:shd w:val="clear" w:color="auto" w:fill="F2F2F2" w:themeFill="background1" w:themeFillShade="F2"/>
          </w:tcPr>
          <w:p w14:paraId="50DB7FFB" w14:textId="77777777" w:rsidR="00925F78" w:rsidRPr="00746D64" w:rsidRDefault="00925F78" w:rsidP="00D2732D">
            <w:pPr>
              <w:pStyle w:val="TableBody"/>
              <w:rPr>
                <w:rFonts w:cs="Arial"/>
              </w:rPr>
            </w:pPr>
            <w:r>
              <w:t>Support expressed for this scenario focused on the prioritisation of the 5G bands (</w:t>
            </w:r>
            <w:r w:rsidRPr="00AF5C0D">
              <w:t xml:space="preserve">3.6 GHz and </w:t>
            </w:r>
            <w:r w:rsidR="00D2732D">
              <w:t>mmW</w:t>
            </w:r>
            <w:r w:rsidRPr="00AF5C0D">
              <w:t>ave bands</w:t>
            </w:r>
            <w:r>
              <w:t>), with preferences expressed for staggered but not serial allocations. Contrary views noted that the timing of the allocation was not optimal to facilitate 5G deployments. Main comments received were from the mobile network operators and equipment vendors.</w:t>
            </w:r>
          </w:p>
        </w:tc>
      </w:tr>
      <w:tr w:rsidR="00925F78" w:rsidRPr="006D46E5" w14:paraId="24661229" w14:textId="77777777" w:rsidTr="0037046B">
        <w:tc>
          <w:tcPr>
            <w:tcW w:w="1187" w:type="pct"/>
            <w:shd w:val="clear" w:color="auto" w:fill="FFFFFF" w:themeFill="background1"/>
          </w:tcPr>
          <w:p w14:paraId="4382D139" w14:textId="77777777" w:rsidR="00925F78" w:rsidRPr="006D46E5" w:rsidRDefault="00925F78" w:rsidP="0077559E">
            <w:pPr>
              <w:pStyle w:val="TableBody"/>
              <w:rPr>
                <w:rFonts w:cs="Arial"/>
              </w:rPr>
            </w:pPr>
            <w:r w:rsidRPr="00FE4E15">
              <w:rPr>
                <w:b/>
              </w:rPr>
              <w:t xml:space="preserve">Telstra </w:t>
            </w:r>
          </w:p>
        </w:tc>
        <w:tc>
          <w:tcPr>
            <w:tcW w:w="3813" w:type="pct"/>
          </w:tcPr>
          <w:p w14:paraId="0CA155D2" w14:textId="77777777" w:rsidR="00925F78" w:rsidRPr="00746D64" w:rsidRDefault="00925F78">
            <w:pPr>
              <w:pStyle w:val="TableBody"/>
              <w:rPr>
                <w:rFonts w:cs="Arial"/>
              </w:rPr>
            </w:pPr>
            <w:r w:rsidRPr="007D6390">
              <w:t xml:space="preserve">Not supportive. </w:t>
            </w:r>
            <w:r>
              <w:t>Telstra does</w:t>
            </w:r>
            <w:r w:rsidRPr="007D6390">
              <w:t xml:space="preserve"> not consider this scenario as being optimal because the two 5G pioneer bands are auctioned too late, the 900 </w:t>
            </w:r>
            <w:r w:rsidR="00111C5E">
              <w:t xml:space="preserve">MHz </w:t>
            </w:r>
            <w:r w:rsidRPr="007D6390">
              <w:t>band is not efficiently allocated through a market demand</w:t>
            </w:r>
            <w:r w:rsidR="00D2732D">
              <w:t>-</w:t>
            </w:r>
            <w:r w:rsidRPr="007D6390">
              <w:t xml:space="preserve">based process, and allocation of the 850 MHz band is delayed for too long. </w:t>
            </w:r>
            <w:r>
              <w:t>T</w:t>
            </w:r>
            <w:r w:rsidRPr="007D6390">
              <w:t xml:space="preserve">his scenario is the least efficient and optimal of all the options represented. </w:t>
            </w:r>
          </w:p>
        </w:tc>
      </w:tr>
      <w:tr w:rsidR="00925F78" w:rsidRPr="006D46E5" w14:paraId="69272A1A" w14:textId="77777777" w:rsidTr="0037046B">
        <w:tc>
          <w:tcPr>
            <w:tcW w:w="1187" w:type="pct"/>
            <w:shd w:val="clear" w:color="auto" w:fill="FFFFFF" w:themeFill="background1"/>
          </w:tcPr>
          <w:p w14:paraId="7AD3838F" w14:textId="77777777" w:rsidR="00925F78" w:rsidRPr="006D46E5" w:rsidRDefault="00925F78" w:rsidP="0077559E">
            <w:pPr>
              <w:pStyle w:val="TableBody"/>
              <w:rPr>
                <w:rFonts w:cs="Arial"/>
              </w:rPr>
            </w:pPr>
            <w:r w:rsidRPr="00FE4E15">
              <w:rPr>
                <w:b/>
              </w:rPr>
              <w:t xml:space="preserve">Vodafone </w:t>
            </w:r>
          </w:p>
        </w:tc>
        <w:tc>
          <w:tcPr>
            <w:tcW w:w="3813" w:type="pct"/>
          </w:tcPr>
          <w:p w14:paraId="1F6B0EE5" w14:textId="77777777" w:rsidR="00925F78" w:rsidRPr="00746D64" w:rsidRDefault="00925F78" w:rsidP="00D2732D">
            <w:pPr>
              <w:pStyle w:val="TableBody"/>
              <w:rPr>
                <w:rFonts w:cs="Arial"/>
              </w:rPr>
            </w:pPr>
            <w:r w:rsidRPr="007D6390">
              <w:t>Not supportive. Strongly recommends pooling at least the 3.</w:t>
            </w:r>
            <w:r w:rsidR="00D2732D" w:rsidRPr="007D6390">
              <w:t>6</w:t>
            </w:r>
            <w:r w:rsidR="00D2732D">
              <w:t> </w:t>
            </w:r>
            <w:r w:rsidRPr="007D6390">
              <w:t>GHz and 26 GHz bands, and potentially the 850 MHz expansion band</w:t>
            </w:r>
            <w:r>
              <w:t xml:space="preserve"> and</w:t>
            </w:r>
            <w:r w:rsidRPr="007D6390">
              <w:t xml:space="preserve"> the 1.5 GHz band, into one combined multi-band auction. This </w:t>
            </w:r>
            <w:r>
              <w:t>would</w:t>
            </w:r>
            <w:r w:rsidRPr="007D6390">
              <w:t xml:space="preserve"> allow bidders to plan a cohesive deployment strategy for 4.9G/5G and enable the ACMA to realise a fair market value for the different parts of the spectrum.</w:t>
            </w:r>
          </w:p>
        </w:tc>
      </w:tr>
    </w:tbl>
    <w:p w14:paraId="1E870927" w14:textId="77777777" w:rsidR="00C25A23" w:rsidRDefault="00C25A23" w:rsidP="005759E7">
      <w:pPr>
        <w:pStyle w:val="ACMASpaceaftertable"/>
      </w:pPr>
    </w:p>
    <w:p w14:paraId="3D76F19D" w14:textId="77777777" w:rsidR="003F4B80" w:rsidRDefault="00D2732D" w:rsidP="00344590">
      <w:pPr>
        <w:keepNext/>
        <w:keepLines/>
        <w:rPr>
          <w:rFonts w:eastAsiaTheme="majorEastAsia"/>
          <w:b/>
        </w:rPr>
      </w:pPr>
      <w:r>
        <w:rPr>
          <w:b/>
        </w:rPr>
        <w:lastRenderedPageBreak/>
        <w:t xml:space="preserve">Consultation </w:t>
      </w:r>
      <w:r w:rsidRPr="00344590">
        <w:rPr>
          <w:b/>
        </w:rPr>
        <w:t>question</w:t>
      </w:r>
      <w:r w:rsidR="00F16F31" w:rsidRPr="00344590">
        <w:rPr>
          <w:b/>
        </w:rPr>
        <w:t xml:space="preserve"> from </w:t>
      </w:r>
      <w:r w:rsidR="00350C72" w:rsidRPr="00344590">
        <w:rPr>
          <w:b/>
        </w:rPr>
        <w:t xml:space="preserve">2017–21 </w:t>
      </w:r>
      <w:r w:rsidR="00F16F31" w:rsidRPr="00344590">
        <w:rPr>
          <w:b/>
        </w:rPr>
        <w:t>FYSO</w:t>
      </w:r>
      <w:r w:rsidRPr="00344590">
        <w:rPr>
          <w:b/>
        </w:rPr>
        <w:t>:</w:t>
      </w:r>
      <w:r w:rsidRPr="00344590">
        <w:rPr>
          <w:b/>
        </w:rPr>
        <w:br/>
      </w:r>
      <w:r w:rsidR="003F4B80" w:rsidRPr="00344590">
        <w:rPr>
          <w:b/>
        </w:rPr>
        <w:t>Is there interest in the ACMA running sequential staggered allocations over the next four-year period?</w:t>
      </w:r>
    </w:p>
    <w:p w14:paraId="171FE2B6" w14:textId="77777777" w:rsidR="003F4B80" w:rsidRPr="00853818" w:rsidRDefault="003F4B80" w:rsidP="006F542F">
      <w:pPr>
        <w:keepNext/>
        <w:keepLines/>
      </w:pPr>
      <w:r>
        <w:t xml:space="preserve">A wide range of views were expressed about the sequential staggered approach to allocation. While there was general interest in accessing the identified spectrum, support for the sequential staggered allocations was highly qualified. </w:t>
      </w:r>
      <w:r w:rsidRPr="00853818">
        <w:t xml:space="preserve">Some submitters queried the speed of the proposed allocation, noting that planning was yet to conclude in the case of the </w:t>
      </w:r>
      <w:r w:rsidR="00D2732D">
        <w:t>mmWave</w:t>
      </w:r>
      <w:r w:rsidR="00D2732D" w:rsidRPr="00853818">
        <w:t xml:space="preserve"> </w:t>
      </w:r>
      <w:r w:rsidRPr="00853818">
        <w:t>band, and access may be limited</w:t>
      </w:r>
      <w:r w:rsidR="00D2732D">
        <w:t xml:space="preserve">, </w:t>
      </w:r>
      <w:r w:rsidRPr="00853818">
        <w:t xml:space="preserve">as some of the identified spectrum is expected </w:t>
      </w:r>
      <w:r w:rsidR="000B121E">
        <w:t xml:space="preserve">to </w:t>
      </w:r>
      <w:r w:rsidRPr="00853818">
        <w:t>remain encumbered for a few years.</w:t>
      </w:r>
      <w:r w:rsidR="00447762">
        <w:t xml:space="preserve"> </w:t>
      </w:r>
      <w:r w:rsidRPr="00853818">
        <w:t xml:space="preserve"> </w:t>
      </w:r>
    </w:p>
    <w:p w14:paraId="3D492F51" w14:textId="77777777" w:rsidR="003F4B80" w:rsidRDefault="003F4B80">
      <w:r w:rsidRPr="00853818">
        <w:t>Alternative</w:t>
      </w:r>
      <w:r w:rsidR="00D2732D">
        <w:t xml:space="preserve"> suggestions</w:t>
      </w:r>
      <w:r w:rsidRPr="00853818">
        <w:t xml:space="preserve"> to the FYSO’s staggered sequential allocation proposal were to combine allocations of potential complementary and substitutable 5G spectrum bands (3.6 GHz and </w:t>
      </w:r>
      <w:r w:rsidR="00D2732D">
        <w:t>mmW</w:t>
      </w:r>
      <w:r w:rsidRPr="00853818">
        <w:t>ave)</w:t>
      </w:r>
      <w:r>
        <w:t xml:space="preserve"> </w:t>
      </w:r>
      <w:r w:rsidRPr="00853818">
        <w:t>and delay allocations until early in the first half 2019</w:t>
      </w:r>
      <w:r w:rsidR="00355B27">
        <w:t>.</w:t>
      </w:r>
      <w:r w:rsidRPr="00853818">
        <w:t xml:space="preserve"> Another option suggested </w:t>
      </w:r>
      <w:r w:rsidR="002026C0">
        <w:t>was to</w:t>
      </w:r>
      <w:r w:rsidR="002026C0" w:rsidRPr="00853818">
        <w:t xml:space="preserve"> </w:t>
      </w:r>
      <w:r w:rsidRPr="00853818">
        <w:t>combin</w:t>
      </w:r>
      <w:r w:rsidR="002026C0">
        <w:t>e</w:t>
      </w:r>
      <w:r w:rsidRPr="00853818">
        <w:t xml:space="preserve"> all four of the identified bands into a single multi-band auction</w:t>
      </w:r>
      <w:r w:rsidR="00DC4EB3">
        <w:t>.</w:t>
      </w:r>
    </w:p>
    <w:p w14:paraId="3BA9100A" w14:textId="77777777" w:rsidR="00E74B57" w:rsidRPr="00344590" w:rsidRDefault="00D2732D" w:rsidP="00344590">
      <w:pPr>
        <w:keepNext/>
        <w:keepLines/>
        <w:rPr>
          <w:rFonts w:eastAsiaTheme="majorEastAsia"/>
          <w:b/>
        </w:rPr>
      </w:pPr>
      <w:r>
        <w:rPr>
          <w:b/>
        </w:rPr>
        <w:t>Consultation question</w:t>
      </w:r>
      <w:r w:rsidR="005759E7">
        <w:rPr>
          <w:b/>
        </w:rPr>
        <w:t xml:space="preserve"> </w:t>
      </w:r>
      <w:r w:rsidR="005759E7" w:rsidRPr="00344590">
        <w:rPr>
          <w:b/>
        </w:rPr>
        <w:t xml:space="preserve">from </w:t>
      </w:r>
      <w:r w:rsidR="00350C72" w:rsidRPr="00344590">
        <w:rPr>
          <w:b/>
        </w:rPr>
        <w:t xml:space="preserve">2017–21 </w:t>
      </w:r>
      <w:r w:rsidR="005759E7" w:rsidRPr="00344590">
        <w:rPr>
          <w:b/>
        </w:rPr>
        <w:t>FYSO</w:t>
      </w:r>
      <w:r w:rsidRPr="00344590">
        <w:rPr>
          <w:b/>
        </w:rPr>
        <w:t>:</w:t>
      </w:r>
      <w:r w:rsidRPr="00344590">
        <w:rPr>
          <w:b/>
        </w:rPr>
        <w:br/>
      </w:r>
      <w:r w:rsidR="003F4B80" w:rsidRPr="00344590">
        <w:rPr>
          <w:b/>
        </w:rPr>
        <w:t>Which bands would you like to see prioritised for allocation under the planning scenarios? Why?</w:t>
      </w:r>
    </w:p>
    <w:p w14:paraId="5FD932C3" w14:textId="77777777" w:rsidR="003F4B80" w:rsidRDefault="003F4B80" w:rsidP="005759E7">
      <w:pPr>
        <w:keepNext/>
        <w:keepLines/>
        <w:rPr>
          <w:rFonts w:eastAsiaTheme="majorEastAsia"/>
        </w:rPr>
      </w:pPr>
      <w:r>
        <w:rPr>
          <w:rFonts w:eastAsiaTheme="majorEastAsia"/>
        </w:rPr>
        <w:t xml:space="preserve">In contrast to the other bands, the 1.5 GHz band prioritisation elicited a consistent view from submitters indicating limited demand, but offering </w:t>
      </w:r>
      <w:r>
        <w:t>general encouragement for the ACMA to c</w:t>
      </w:r>
      <w:r w:rsidRPr="00827BEF">
        <w:t xml:space="preserve">ontinue planning the band and </w:t>
      </w:r>
      <w:r w:rsidR="00D2732D">
        <w:t xml:space="preserve">engaging </w:t>
      </w:r>
      <w:r>
        <w:t xml:space="preserve">in </w:t>
      </w:r>
      <w:r w:rsidRPr="00827BEF">
        <w:t>international studies</w:t>
      </w:r>
      <w:r>
        <w:t xml:space="preserve">. </w:t>
      </w:r>
      <w:r w:rsidRPr="00D32781">
        <w:rPr>
          <w:rFonts w:eastAsiaTheme="majorEastAsia"/>
        </w:rPr>
        <w:t xml:space="preserve">There was no consensus about the prioritisation of the </w:t>
      </w:r>
      <w:r>
        <w:rPr>
          <w:rFonts w:eastAsiaTheme="majorEastAsia"/>
        </w:rPr>
        <w:t>other four</w:t>
      </w:r>
      <w:r w:rsidRPr="00D32781">
        <w:rPr>
          <w:rFonts w:eastAsiaTheme="majorEastAsia"/>
        </w:rPr>
        <w:t xml:space="preserve"> bands</w:t>
      </w:r>
      <w:r>
        <w:rPr>
          <w:rFonts w:eastAsiaTheme="majorEastAsia"/>
        </w:rPr>
        <w:t xml:space="preserve">, consistent with </w:t>
      </w:r>
      <w:r w:rsidR="002026C0">
        <w:rPr>
          <w:rFonts w:eastAsiaTheme="majorEastAsia"/>
        </w:rPr>
        <w:t>submitters’</w:t>
      </w:r>
      <w:r>
        <w:rPr>
          <w:rFonts w:eastAsiaTheme="majorEastAsia"/>
        </w:rPr>
        <w:t xml:space="preserve"> views about the allocation scenarios.</w:t>
      </w:r>
    </w:p>
    <w:p w14:paraId="2A7D4898" w14:textId="77777777" w:rsidR="00D2732D" w:rsidRDefault="003F4B80" w:rsidP="00CA45D7">
      <w:pPr>
        <w:rPr>
          <w:rFonts w:eastAsiaTheme="majorEastAsia"/>
        </w:rPr>
      </w:pPr>
      <w:r>
        <w:rPr>
          <w:rFonts w:eastAsiaTheme="majorEastAsia"/>
        </w:rPr>
        <w:t xml:space="preserve">A summary of submitter’s views is outlined in Table </w:t>
      </w:r>
      <w:r w:rsidR="00D2732D">
        <w:rPr>
          <w:rFonts w:eastAsiaTheme="majorEastAsia"/>
        </w:rPr>
        <w:t xml:space="preserve">14 </w:t>
      </w:r>
      <w:r>
        <w:rPr>
          <w:rFonts w:eastAsiaTheme="majorEastAsia"/>
        </w:rPr>
        <w:t>below.</w:t>
      </w:r>
    </w:p>
    <w:p w14:paraId="2356BC52" w14:textId="77777777" w:rsidR="00FE4E15" w:rsidRDefault="00FE4E15" w:rsidP="00CA45D7">
      <w:pPr>
        <w:rPr>
          <w:rFonts w:eastAsiaTheme="majorEastAsia"/>
        </w:rPr>
        <w:sectPr w:rsidR="00FE4E15" w:rsidSect="00947E20">
          <w:headerReference w:type="even" r:id="rId49"/>
          <w:headerReference w:type="default" r:id="rId50"/>
          <w:footerReference w:type="even" r:id="rId51"/>
          <w:footerReference w:type="default" r:id="rId52"/>
          <w:type w:val="oddPage"/>
          <w:pgSz w:w="11906" w:h="16838" w:code="9"/>
          <w:pgMar w:top="1945" w:right="3101" w:bottom="1134" w:left="1134" w:header="709" w:footer="119" w:gutter="0"/>
          <w:pgNumType w:start="1"/>
          <w:cols w:space="708"/>
          <w:docGrid w:linePitch="360"/>
        </w:sectPr>
      </w:pPr>
      <w:r>
        <w:rPr>
          <w:rFonts w:eastAsiaTheme="majorEastAsia"/>
        </w:rPr>
        <w:br w:type="page"/>
      </w:r>
    </w:p>
    <w:p w14:paraId="51836C1B" w14:textId="77777777" w:rsidR="003F4B80" w:rsidRDefault="003F4B80" w:rsidP="00F57787">
      <w:pPr>
        <w:pStyle w:val="ACMATableHeader"/>
        <w:rPr>
          <w:rFonts w:eastAsiaTheme="majorEastAsia"/>
        </w:rPr>
      </w:pPr>
      <w:r w:rsidRPr="003F258D">
        <w:rPr>
          <w:rFonts w:eastAsiaTheme="majorEastAsia"/>
        </w:rPr>
        <w:lastRenderedPageBreak/>
        <w:t>Which bands would you like to see prioritised for allocation under the planning scenarios</w:t>
      </w:r>
      <w:r w:rsidR="00CC15B2">
        <w:rPr>
          <w:rFonts w:eastAsiaTheme="majorEastAsia"/>
        </w:rPr>
        <w:t xml:space="preserve"> </w:t>
      </w:r>
      <w:r w:rsidR="00CC15B2">
        <w:t>from 2017</w:t>
      </w:r>
      <w:r w:rsidR="00972721">
        <w:t>–</w:t>
      </w:r>
      <w:r w:rsidR="00CC15B2">
        <w:t>21</w:t>
      </w:r>
      <w:r w:rsidR="00817176">
        <w:t xml:space="preserve"> FYSO</w:t>
      </w:r>
      <w:r w:rsidR="00972721">
        <w:t>?</w:t>
      </w:r>
      <w:r w:rsidR="00447762">
        <w:t xml:space="preserve"> </w:t>
      </w:r>
    </w:p>
    <w:tbl>
      <w:tblPr>
        <w:tblW w:w="1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Caption w:val="Table title to go here"/>
        <w:tblDescription w:val="Table description to go here"/>
      </w:tblPr>
      <w:tblGrid>
        <w:gridCol w:w="1991"/>
        <w:gridCol w:w="2268"/>
        <w:gridCol w:w="2268"/>
        <w:gridCol w:w="2268"/>
        <w:gridCol w:w="2268"/>
        <w:gridCol w:w="2268"/>
      </w:tblGrid>
      <w:tr w:rsidR="00766243" w:rsidRPr="009D54DB" w14:paraId="6ACA453A" w14:textId="77777777" w:rsidTr="00870E53">
        <w:trPr>
          <w:tblHeader/>
        </w:trPr>
        <w:tc>
          <w:tcPr>
            <w:tcW w:w="1991" w:type="dxa"/>
            <w:shd w:val="clear" w:color="auto" w:fill="404040" w:themeFill="text1" w:themeFillTint="BF"/>
          </w:tcPr>
          <w:p w14:paraId="39D72B3D" w14:textId="77777777" w:rsidR="00766243" w:rsidRPr="009D54DB" w:rsidRDefault="00766243">
            <w:pPr>
              <w:pStyle w:val="TableHeading"/>
              <w:rPr>
                <w:rFonts w:cs="Arial"/>
                <w:color w:val="FFFFFF" w:themeColor="background1"/>
                <w:szCs w:val="20"/>
              </w:rPr>
            </w:pPr>
            <w:r w:rsidRPr="009D54DB">
              <w:rPr>
                <w:rFonts w:eastAsiaTheme="majorEastAsia" w:cs="Arial"/>
                <w:color w:val="FFFFFF" w:themeColor="background1"/>
                <w:szCs w:val="20"/>
              </w:rPr>
              <w:t>Submitter</w:t>
            </w:r>
          </w:p>
        </w:tc>
        <w:tc>
          <w:tcPr>
            <w:tcW w:w="2268" w:type="dxa"/>
            <w:shd w:val="clear" w:color="auto" w:fill="404040" w:themeFill="text1" w:themeFillTint="BF"/>
          </w:tcPr>
          <w:p w14:paraId="0EA29E6D" w14:textId="77777777" w:rsidR="00766243" w:rsidRPr="009D54DB" w:rsidRDefault="00766243" w:rsidP="005759E7">
            <w:pPr>
              <w:pStyle w:val="TableBody"/>
            </w:pPr>
            <w:r w:rsidRPr="009D54DB">
              <w:rPr>
                <w:rFonts w:eastAsiaTheme="majorEastAsia" w:cs="Arial"/>
                <w:b/>
                <w:color w:val="FFFFFF" w:themeColor="background1"/>
                <w:szCs w:val="20"/>
              </w:rPr>
              <w:t>3.6 GHz</w:t>
            </w:r>
          </w:p>
        </w:tc>
        <w:tc>
          <w:tcPr>
            <w:tcW w:w="2268" w:type="dxa"/>
            <w:shd w:val="clear" w:color="auto" w:fill="404040" w:themeFill="text1" w:themeFillTint="BF"/>
          </w:tcPr>
          <w:p w14:paraId="0FA47838" w14:textId="77777777" w:rsidR="00766243" w:rsidRPr="009D54DB" w:rsidRDefault="00766243">
            <w:pPr>
              <w:pStyle w:val="TableHeading"/>
              <w:rPr>
                <w:rFonts w:cs="Arial"/>
                <w:color w:val="FFFFFF" w:themeColor="background1"/>
                <w:szCs w:val="20"/>
              </w:rPr>
            </w:pPr>
            <w:r w:rsidRPr="009D54DB">
              <w:rPr>
                <w:rFonts w:eastAsiaTheme="majorEastAsia" w:cs="Arial"/>
                <w:color w:val="FFFFFF" w:themeColor="background1"/>
                <w:szCs w:val="20"/>
              </w:rPr>
              <w:t>900 MHz</w:t>
            </w:r>
          </w:p>
        </w:tc>
        <w:tc>
          <w:tcPr>
            <w:tcW w:w="2268" w:type="dxa"/>
            <w:shd w:val="clear" w:color="auto" w:fill="404040" w:themeFill="text1" w:themeFillTint="BF"/>
          </w:tcPr>
          <w:p w14:paraId="33A4ADCC" w14:textId="77777777" w:rsidR="00766243" w:rsidRPr="009D54DB" w:rsidRDefault="00766243">
            <w:pPr>
              <w:pStyle w:val="TableHeading"/>
              <w:rPr>
                <w:rFonts w:cs="Arial"/>
                <w:color w:val="FFFFFF" w:themeColor="background1"/>
                <w:szCs w:val="20"/>
              </w:rPr>
            </w:pPr>
            <w:r w:rsidRPr="009D54DB">
              <w:rPr>
                <w:rFonts w:eastAsiaTheme="majorEastAsia" w:cs="Arial"/>
                <w:color w:val="FFFFFF" w:themeColor="background1"/>
                <w:szCs w:val="20"/>
              </w:rPr>
              <w:t>850 MHz expansion band</w:t>
            </w:r>
          </w:p>
        </w:tc>
        <w:tc>
          <w:tcPr>
            <w:tcW w:w="2268" w:type="dxa"/>
            <w:shd w:val="clear" w:color="auto" w:fill="404040" w:themeFill="text1" w:themeFillTint="BF"/>
          </w:tcPr>
          <w:p w14:paraId="4FAC4074" w14:textId="77777777" w:rsidR="00766243" w:rsidRPr="009D54DB" w:rsidRDefault="00766243">
            <w:pPr>
              <w:pStyle w:val="TableHeading"/>
              <w:rPr>
                <w:rFonts w:cs="Arial"/>
                <w:color w:val="FFFFFF" w:themeColor="background1"/>
                <w:szCs w:val="20"/>
              </w:rPr>
            </w:pPr>
            <w:r w:rsidRPr="009D54DB">
              <w:rPr>
                <w:rFonts w:eastAsiaTheme="majorEastAsia" w:cs="Arial"/>
                <w:color w:val="FFFFFF" w:themeColor="background1"/>
                <w:szCs w:val="20"/>
              </w:rPr>
              <w:t>mmWave</w:t>
            </w:r>
          </w:p>
        </w:tc>
        <w:tc>
          <w:tcPr>
            <w:tcW w:w="2268" w:type="dxa"/>
            <w:shd w:val="clear" w:color="auto" w:fill="404040" w:themeFill="text1" w:themeFillTint="BF"/>
          </w:tcPr>
          <w:p w14:paraId="1E3177B6" w14:textId="77777777" w:rsidR="00766243" w:rsidRPr="009D54DB" w:rsidRDefault="00766243">
            <w:pPr>
              <w:pStyle w:val="TableHeading"/>
              <w:rPr>
                <w:rFonts w:cs="Arial"/>
                <w:color w:val="FFFFFF" w:themeColor="background1"/>
                <w:szCs w:val="20"/>
              </w:rPr>
            </w:pPr>
            <w:r w:rsidRPr="009D54DB">
              <w:rPr>
                <w:rFonts w:eastAsiaTheme="majorEastAsia" w:cs="Arial"/>
                <w:color w:val="FFFFFF" w:themeColor="background1"/>
                <w:szCs w:val="20"/>
              </w:rPr>
              <w:t>1.5 GHz</w:t>
            </w:r>
          </w:p>
        </w:tc>
      </w:tr>
      <w:tr w:rsidR="00AE3E97" w:rsidRPr="009D54DB" w14:paraId="44FA322C" w14:textId="77777777" w:rsidTr="00870E53">
        <w:tc>
          <w:tcPr>
            <w:tcW w:w="1991" w:type="dxa"/>
          </w:tcPr>
          <w:p w14:paraId="6CCEA02E" w14:textId="77777777" w:rsidR="00AE3E97" w:rsidRPr="009D54DB" w:rsidRDefault="00AE3E97" w:rsidP="0077559E">
            <w:pPr>
              <w:pStyle w:val="TableBody"/>
              <w:rPr>
                <w:rFonts w:cs="Arial"/>
                <w:szCs w:val="20"/>
              </w:rPr>
            </w:pPr>
            <w:r w:rsidRPr="009D54DB">
              <w:rPr>
                <w:rFonts w:cs="Arial"/>
                <w:szCs w:val="20"/>
              </w:rPr>
              <w:t>Telstra</w:t>
            </w:r>
          </w:p>
        </w:tc>
        <w:tc>
          <w:tcPr>
            <w:tcW w:w="2268" w:type="dxa"/>
          </w:tcPr>
          <w:p w14:paraId="4DE3E3F2" w14:textId="77777777" w:rsidR="00AE3E97" w:rsidRPr="009D54DB" w:rsidRDefault="00AE3E97">
            <w:pPr>
              <w:pStyle w:val="TableBody"/>
              <w:rPr>
                <w:rFonts w:cs="Arial"/>
                <w:szCs w:val="20"/>
              </w:rPr>
            </w:pPr>
          </w:p>
        </w:tc>
        <w:tc>
          <w:tcPr>
            <w:tcW w:w="2268" w:type="dxa"/>
          </w:tcPr>
          <w:p w14:paraId="3AAC8FA9" w14:textId="77777777" w:rsidR="00AE3E97" w:rsidRPr="009D54DB" w:rsidRDefault="00AE3E97">
            <w:pPr>
              <w:pStyle w:val="TableBody"/>
              <w:rPr>
                <w:rFonts w:cs="Arial"/>
                <w:szCs w:val="20"/>
              </w:rPr>
            </w:pPr>
            <w:r w:rsidRPr="005759E7">
              <w:rPr>
                <w:rFonts w:eastAsiaTheme="majorEastAsia" w:cs="Arial"/>
                <w:szCs w:val="20"/>
              </w:rPr>
              <w:t>Supports allocation of 900</w:t>
            </w:r>
            <w:r w:rsidR="009D54DB">
              <w:rPr>
                <w:rFonts w:eastAsiaTheme="majorEastAsia" w:cs="Arial"/>
                <w:szCs w:val="20"/>
              </w:rPr>
              <w:t xml:space="preserve"> MHz</w:t>
            </w:r>
            <w:r w:rsidRPr="005759E7">
              <w:rPr>
                <w:rFonts w:eastAsiaTheme="majorEastAsia" w:cs="Arial"/>
                <w:szCs w:val="20"/>
              </w:rPr>
              <w:t xml:space="preserve"> and a combined allocation of 850 </w:t>
            </w:r>
            <w:r w:rsidR="009D54DB">
              <w:rPr>
                <w:rFonts w:eastAsiaTheme="majorEastAsia" w:cs="Arial"/>
                <w:szCs w:val="20"/>
              </w:rPr>
              <w:t xml:space="preserve">MHz </w:t>
            </w:r>
            <w:r w:rsidRPr="005759E7">
              <w:rPr>
                <w:rFonts w:eastAsiaTheme="majorEastAsia" w:cs="Arial"/>
                <w:szCs w:val="20"/>
              </w:rPr>
              <w:t>and 900</w:t>
            </w:r>
            <w:r w:rsidR="009D54DB">
              <w:rPr>
                <w:rFonts w:eastAsiaTheme="majorEastAsia" w:cs="Arial"/>
                <w:szCs w:val="20"/>
              </w:rPr>
              <w:t xml:space="preserve"> MHz</w:t>
            </w:r>
            <w:r w:rsidRPr="005759E7">
              <w:rPr>
                <w:rFonts w:eastAsiaTheme="majorEastAsia" w:cs="Arial"/>
                <w:szCs w:val="20"/>
              </w:rPr>
              <w:t>, but lower priority than 3.6GHz and 26 GHz</w:t>
            </w:r>
          </w:p>
        </w:tc>
        <w:tc>
          <w:tcPr>
            <w:tcW w:w="2268" w:type="dxa"/>
          </w:tcPr>
          <w:p w14:paraId="09100A95" w14:textId="77777777" w:rsidR="00AE3E97" w:rsidRPr="009D54DB" w:rsidRDefault="00AE3E97">
            <w:pPr>
              <w:pStyle w:val="TableBody"/>
              <w:rPr>
                <w:rFonts w:cs="Arial"/>
                <w:szCs w:val="20"/>
              </w:rPr>
            </w:pPr>
            <w:r w:rsidRPr="005759E7">
              <w:rPr>
                <w:rFonts w:eastAsiaTheme="majorEastAsia" w:cs="Arial"/>
                <w:szCs w:val="20"/>
              </w:rPr>
              <w:t>Interested in commercial negotiations to achieve the downshift, but allow the ACMA to implement the downshift at 850</w:t>
            </w:r>
            <w:r w:rsidR="009D54DB">
              <w:rPr>
                <w:rFonts w:eastAsiaTheme="majorEastAsia" w:cs="Arial"/>
                <w:szCs w:val="20"/>
              </w:rPr>
              <w:t xml:space="preserve"> MHz</w:t>
            </w:r>
            <w:r w:rsidRPr="005759E7">
              <w:rPr>
                <w:rFonts w:eastAsiaTheme="majorEastAsia" w:cs="Arial"/>
                <w:szCs w:val="20"/>
              </w:rPr>
              <w:t xml:space="preserve"> licence expiry if commercial agreement not achieved</w:t>
            </w:r>
          </w:p>
        </w:tc>
        <w:tc>
          <w:tcPr>
            <w:tcW w:w="2268" w:type="dxa"/>
          </w:tcPr>
          <w:p w14:paraId="4772B4D8" w14:textId="77777777" w:rsidR="00AE3E97" w:rsidRPr="009D54DB" w:rsidRDefault="00AE3E97">
            <w:pPr>
              <w:pStyle w:val="TableBody"/>
              <w:rPr>
                <w:rFonts w:cs="Arial"/>
                <w:szCs w:val="20"/>
              </w:rPr>
            </w:pPr>
          </w:p>
        </w:tc>
        <w:tc>
          <w:tcPr>
            <w:tcW w:w="2268" w:type="dxa"/>
          </w:tcPr>
          <w:p w14:paraId="16909D96" w14:textId="77777777" w:rsidR="00AE3E97" w:rsidRPr="009D54DB" w:rsidRDefault="00AE3E97">
            <w:pPr>
              <w:pStyle w:val="TableBody"/>
              <w:rPr>
                <w:rFonts w:cs="Arial"/>
                <w:szCs w:val="20"/>
              </w:rPr>
            </w:pPr>
          </w:p>
        </w:tc>
      </w:tr>
      <w:tr w:rsidR="00AE3E97" w:rsidRPr="009D54DB" w14:paraId="67F2F91A" w14:textId="77777777" w:rsidTr="00870E53">
        <w:tc>
          <w:tcPr>
            <w:tcW w:w="1991" w:type="dxa"/>
            <w:shd w:val="clear" w:color="auto" w:fill="F2F2F2" w:themeFill="background1" w:themeFillShade="F2"/>
          </w:tcPr>
          <w:p w14:paraId="4D63A20B" w14:textId="77777777" w:rsidR="00AE3E97" w:rsidRPr="009D54DB" w:rsidRDefault="00AE3E97" w:rsidP="0077559E">
            <w:pPr>
              <w:pStyle w:val="TableBody"/>
              <w:rPr>
                <w:rFonts w:cs="Arial"/>
                <w:szCs w:val="20"/>
              </w:rPr>
            </w:pPr>
            <w:r w:rsidRPr="009D54DB">
              <w:rPr>
                <w:rFonts w:cs="Arial"/>
                <w:szCs w:val="20"/>
              </w:rPr>
              <w:t>VHA</w:t>
            </w:r>
          </w:p>
        </w:tc>
        <w:tc>
          <w:tcPr>
            <w:tcW w:w="2268" w:type="dxa"/>
            <w:shd w:val="clear" w:color="auto" w:fill="F2F2F2" w:themeFill="background1" w:themeFillShade="F2"/>
          </w:tcPr>
          <w:p w14:paraId="024C5498" w14:textId="77777777" w:rsidR="00AE3E97" w:rsidRPr="009D54DB" w:rsidRDefault="00AE3E97" w:rsidP="009D54DB">
            <w:pPr>
              <w:pStyle w:val="TableBody"/>
              <w:rPr>
                <w:rFonts w:cs="Arial"/>
                <w:szCs w:val="20"/>
              </w:rPr>
            </w:pPr>
            <w:r w:rsidRPr="005759E7">
              <w:rPr>
                <w:rFonts w:cs="Arial"/>
                <w:szCs w:val="20"/>
              </w:rPr>
              <w:t xml:space="preserve">Recommends pooling at least the 3.6 GHz and 26 GHz bands, and potentially the 850 MHz expansion band and the 1.5 GHz band, into a multi-band auction </w:t>
            </w:r>
          </w:p>
        </w:tc>
        <w:tc>
          <w:tcPr>
            <w:tcW w:w="2268" w:type="dxa"/>
            <w:shd w:val="clear" w:color="auto" w:fill="F2F2F2" w:themeFill="background1" w:themeFillShade="F2"/>
          </w:tcPr>
          <w:p w14:paraId="45560178" w14:textId="77777777" w:rsidR="00AE3E97" w:rsidRPr="009D54DB" w:rsidRDefault="00AE3E97" w:rsidP="00E14287">
            <w:pPr>
              <w:pStyle w:val="TableBody"/>
              <w:rPr>
                <w:rFonts w:cs="Arial"/>
                <w:szCs w:val="20"/>
              </w:rPr>
            </w:pPr>
            <w:r w:rsidRPr="005759E7">
              <w:rPr>
                <w:rFonts w:eastAsiaTheme="majorEastAsia" w:cs="Arial"/>
                <w:szCs w:val="20"/>
              </w:rPr>
              <w:t>Strongly opposes reallocation of the 900 MHz band.</w:t>
            </w:r>
            <w:r w:rsidR="009D54DB">
              <w:rPr>
                <w:rFonts w:eastAsiaTheme="majorEastAsia" w:cs="Arial"/>
                <w:szCs w:val="20"/>
              </w:rPr>
              <w:t xml:space="preserve"> </w:t>
            </w:r>
            <w:r w:rsidRPr="005759E7">
              <w:rPr>
                <w:rFonts w:eastAsiaTheme="majorEastAsia" w:cs="Arial"/>
                <w:szCs w:val="20"/>
              </w:rPr>
              <w:t>Simultaneous allocation of 900</w:t>
            </w:r>
            <w:r w:rsidR="009D54DB">
              <w:rPr>
                <w:rFonts w:eastAsiaTheme="majorEastAsia" w:cs="Arial"/>
                <w:szCs w:val="20"/>
              </w:rPr>
              <w:t xml:space="preserve"> MHz</w:t>
            </w:r>
            <w:r w:rsidRPr="005759E7">
              <w:rPr>
                <w:rFonts w:eastAsiaTheme="majorEastAsia" w:cs="Arial"/>
                <w:szCs w:val="20"/>
              </w:rPr>
              <w:t xml:space="preserve"> and 850</w:t>
            </w:r>
            <w:r w:rsidR="009D54DB">
              <w:rPr>
                <w:rFonts w:eastAsiaTheme="majorEastAsia" w:cs="Arial"/>
                <w:szCs w:val="20"/>
              </w:rPr>
              <w:t xml:space="preserve"> MHz</w:t>
            </w:r>
            <w:r w:rsidRPr="005759E7">
              <w:rPr>
                <w:rFonts w:eastAsiaTheme="majorEastAsia" w:cs="Arial"/>
                <w:szCs w:val="20"/>
              </w:rPr>
              <w:t xml:space="preserve"> is ill</w:t>
            </w:r>
            <w:r w:rsidR="00E14287">
              <w:rPr>
                <w:rFonts w:eastAsiaTheme="majorEastAsia" w:cs="Arial"/>
                <w:szCs w:val="20"/>
              </w:rPr>
              <w:t>-</w:t>
            </w:r>
            <w:r w:rsidRPr="005759E7">
              <w:rPr>
                <w:rFonts w:eastAsiaTheme="majorEastAsia" w:cs="Arial"/>
                <w:szCs w:val="20"/>
              </w:rPr>
              <w:t>conceived, as they are not direct substitutes</w:t>
            </w:r>
          </w:p>
        </w:tc>
        <w:tc>
          <w:tcPr>
            <w:tcW w:w="2268" w:type="dxa"/>
            <w:shd w:val="clear" w:color="auto" w:fill="F2F2F2" w:themeFill="background1" w:themeFillShade="F2"/>
          </w:tcPr>
          <w:p w14:paraId="0F831F8E" w14:textId="77777777" w:rsidR="00AE3E97" w:rsidRPr="009D54DB" w:rsidRDefault="00AE3E97">
            <w:pPr>
              <w:pStyle w:val="TableBody"/>
              <w:rPr>
                <w:rFonts w:cs="Arial"/>
                <w:szCs w:val="20"/>
              </w:rPr>
            </w:pPr>
            <w:r w:rsidRPr="005759E7">
              <w:rPr>
                <w:rFonts w:eastAsiaTheme="majorEastAsia" w:cs="Arial"/>
                <w:szCs w:val="20"/>
              </w:rPr>
              <w:t>Accelerate clearance of the 850 band as incumbents no longer represent the highest value use</w:t>
            </w:r>
          </w:p>
        </w:tc>
        <w:tc>
          <w:tcPr>
            <w:tcW w:w="2268" w:type="dxa"/>
            <w:shd w:val="clear" w:color="auto" w:fill="F2F2F2" w:themeFill="background1" w:themeFillShade="F2"/>
          </w:tcPr>
          <w:p w14:paraId="345E5597" w14:textId="77777777" w:rsidR="00AE3E97" w:rsidRPr="009D54DB" w:rsidRDefault="00AE3E97">
            <w:pPr>
              <w:pStyle w:val="TableBody"/>
              <w:rPr>
                <w:rFonts w:cs="Arial"/>
                <w:szCs w:val="20"/>
              </w:rPr>
            </w:pPr>
          </w:p>
        </w:tc>
        <w:tc>
          <w:tcPr>
            <w:tcW w:w="2268" w:type="dxa"/>
            <w:shd w:val="clear" w:color="auto" w:fill="F2F2F2" w:themeFill="background1" w:themeFillShade="F2"/>
          </w:tcPr>
          <w:p w14:paraId="220654E1" w14:textId="77777777" w:rsidR="00AE3E97" w:rsidRPr="009D54DB" w:rsidRDefault="00AE3E97">
            <w:pPr>
              <w:pStyle w:val="TableBody"/>
              <w:rPr>
                <w:rFonts w:cs="Arial"/>
                <w:szCs w:val="20"/>
              </w:rPr>
            </w:pPr>
          </w:p>
        </w:tc>
      </w:tr>
      <w:tr w:rsidR="00AE3E97" w:rsidRPr="009D54DB" w14:paraId="7DE5C722" w14:textId="77777777" w:rsidTr="00870E53">
        <w:tc>
          <w:tcPr>
            <w:tcW w:w="1991" w:type="dxa"/>
          </w:tcPr>
          <w:p w14:paraId="6F4B5194" w14:textId="77777777" w:rsidR="00AE3E97" w:rsidRPr="009D54DB" w:rsidRDefault="009D54DB" w:rsidP="0077559E">
            <w:pPr>
              <w:pStyle w:val="TableBody"/>
              <w:rPr>
                <w:rFonts w:cs="Arial"/>
                <w:szCs w:val="20"/>
              </w:rPr>
            </w:pPr>
            <w:r>
              <w:rPr>
                <w:rFonts w:cs="Arial"/>
                <w:szCs w:val="20"/>
              </w:rPr>
              <w:t>NBN Co</w:t>
            </w:r>
          </w:p>
        </w:tc>
        <w:tc>
          <w:tcPr>
            <w:tcW w:w="2268" w:type="dxa"/>
          </w:tcPr>
          <w:p w14:paraId="378593A0" w14:textId="77777777" w:rsidR="00AE3E97" w:rsidRPr="009D54DB" w:rsidRDefault="00AE3E97">
            <w:pPr>
              <w:pStyle w:val="TableBody"/>
              <w:rPr>
                <w:rFonts w:cs="Arial"/>
                <w:szCs w:val="20"/>
              </w:rPr>
            </w:pPr>
          </w:p>
        </w:tc>
        <w:tc>
          <w:tcPr>
            <w:tcW w:w="2268" w:type="dxa"/>
          </w:tcPr>
          <w:p w14:paraId="1A7D3A84" w14:textId="77777777" w:rsidR="00AE3E97" w:rsidRPr="009D54DB" w:rsidRDefault="00AE3E97">
            <w:pPr>
              <w:pStyle w:val="TableBody"/>
              <w:rPr>
                <w:rFonts w:cs="Arial"/>
                <w:szCs w:val="20"/>
              </w:rPr>
            </w:pPr>
          </w:p>
        </w:tc>
        <w:tc>
          <w:tcPr>
            <w:tcW w:w="2268" w:type="dxa"/>
          </w:tcPr>
          <w:p w14:paraId="513AA82D" w14:textId="77777777" w:rsidR="00AE3E97" w:rsidRPr="009D54DB" w:rsidRDefault="00AE3E97">
            <w:pPr>
              <w:pStyle w:val="TableBody"/>
              <w:rPr>
                <w:rFonts w:cs="Arial"/>
                <w:szCs w:val="20"/>
              </w:rPr>
            </w:pPr>
          </w:p>
        </w:tc>
        <w:tc>
          <w:tcPr>
            <w:tcW w:w="2268" w:type="dxa"/>
          </w:tcPr>
          <w:p w14:paraId="5252B876" w14:textId="77777777" w:rsidR="00AE3E97" w:rsidRPr="009D54DB" w:rsidRDefault="00AE3E97">
            <w:pPr>
              <w:pStyle w:val="TableBody"/>
              <w:rPr>
                <w:rFonts w:cs="Arial"/>
                <w:szCs w:val="20"/>
              </w:rPr>
            </w:pPr>
            <w:r w:rsidRPr="005759E7">
              <w:rPr>
                <w:rFonts w:eastAsiaTheme="majorEastAsia" w:cs="Arial"/>
                <w:szCs w:val="20"/>
              </w:rPr>
              <w:t>Does not support accelerating mmWave planning</w:t>
            </w:r>
          </w:p>
        </w:tc>
        <w:tc>
          <w:tcPr>
            <w:tcW w:w="2268" w:type="dxa"/>
          </w:tcPr>
          <w:p w14:paraId="4A7B7935" w14:textId="77777777" w:rsidR="00AE3E97" w:rsidRPr="009D54DB" w:rsidRDefault="00AE3E97">
            <w:pPr>
              <w:pStyle w:val="TableBody"/>
              <w:rPr>
                <w:rFonts w:cs="Arial"/>
                <w:szCs w:val="20"/>
              </w:rPr>
            </w:pPr>
          </w:p>
        </w:tc>
      </w:tr>
      <w:tr w:rsidR="00AE3E97" w:rsidRPr="009D54DB" w14:paraId="6AFF814B" w14:textId="77777777" w:rsidTr="00870E53">
        <w:tc>
          <w:tcPr>
            <w:tcW w:w="1991" w:type="dxa"/>
            <w:shd w:val="clear" w:color="auto" w:fill="F2F2F2" w:themeFill="background1" w:themeFillShade="F2"/>
          </w:tcPr>
          <w:p w14:paraId="73155E3B" w14:textId="77777777" w:rsidR="00AE3E97" w:rsidRPr="009D54DB" w:rsidRDefault="00AE3E97" w:rsidP="0077559E">
            <w:pPr>
              <w:pStyle w:val="TableBody"/>
              <w:rPr>
                <w:rFonts w:cs="Arial"/>
                <w:szCs w:val="20"/>
              </w:rPr>
            </w:pPr>
            <w:r w:rsidRPr="00350C72">
              <w:rPr>
                <w:rFonts w:cs="Arial"/>
                <w:szCs w:val="20"/>
              </w:rPr>
              <w:t>Comm</w:t>
            </w:r>
            <w:r w:rsidR="009D54DB" w:rsidRPr="00350C72">
              <w:rPr>
                <w:rFonts w:cs="Arial"/>
                <w:szCs w:val="20"/>
              </w:rPr>
              <w:t>unication</w:t>
            </w:r>
            <w:r w:rsidRPr="00350C72">
              <w:rPr>
                <w:rFonts w:cs="Arial"/>
                <w:szCs w:val="20"/>
              </w:rPr>
              <w:t>s Alliance Spectrum Satellite Working Group</w:t>
            </w:r>
          </w:p>
        </w:tc>
        <w:tc>
          <w:tcPr>
            <w:tcW w:w="2268" w:type="dxa"/>
            <w:shd w:val="clear" w:color="auto" w:fill="F2F2F2" w:themeFill="background1" w:themeFillShade="F2"/>
          </w:tcPr>
          <w:p w14:paraId="15CCF971" w14:textId="77777777" w:rsidR="00AE3E97" w:rsidRPr="009D54DB" w:rsidRDefault="00AE3E97" w:rsidP="005759E7">
            <w:pPr>
              <w:pStyle w:val="TableBody"/>
              <w:keepNext/>
              <w:keepLines/>
              <w:rPr>
                <w:rFonts w:cs="Arial"/>
                <w:szCs w:val="20"/>
              </w:rPr>
            </w:pPr>
            <w:r w:rsidRPr="005759E7">
              <w:rPr>
                <w:rFonts w:eastAsiaTheme="majorEastAsia" w:cs="Arial"/>
                <w:szCs w:val="20"/>
              </w:rPr>
              <w:t xml:space="preserve">Encourage the creation of one or more earth station protection zones on the </w:t>
            </w:r>
            <w:r w:rsidR="009D54DB">
              <w:rPr>
                <w:rFonts w:eastAsiaTheme="majorEastAsia" w:cs="Arial"/>
                <w:szCs w:val="20"/>
              </w:rPr>
              <w:t>e</w:t>
            </w:r>
            <w:r w:rsidRPr="005759E7">
              <w:rPr>
                <w:rFonts w:eastAsiaTheme="majorEastAsia" w:cs="Arial"/>
                <w:szCs w:val="20"/>
              </w:rPr>
              <w:t xml:space="preserve">ast coast, the North and continue interest in the West </w:t>
            </w:r>
          </w:p>
        </w:tc>
        <w:tc>
          <w:tcPr>
            <w:tcW w:w="2268" w:type="dxa"/>
            <w:shd w:val="clear" w:color="auto" w:fill="F2F2F2" w:themeFill="background1" w:themeFillShade="F2"/>
          </w:tcPr>
          <w:p w14:paraId="738A2F33" w14:textId="77777777" w:rsidR="00AE3E97" w:rsidRPr="009D54DB" w:rsidRDefault="00AE3E97" w:rsidP="005759E7">
            <w:pPr>
              <w:pStyle w:val="TableBody"/>
              <w:keepNext/>
              <w:keepLines/>
              <w:rPr>
                <w:rFonts w:cs="Arial"/>
                <w:szCs w:val="20"/>
              </w:rPr>
            </w:pPr>
          </w:p>
        </w:tc>
        <w:tc>
          <w:tcPr>
            <w:tcW w:w="2268" w:type="dxa"/>
            <w:shd w:val="clear" w:color="auto" w:fill="F2F2F2" w:themeFill="background1" w:themeFillShade="F2"/>
          </w:tcPr>
          <w:p w14:paraId="1741BEDA" w14:textId="77777777" w:rsidR="00AE3E97" w:rsidRPr="009D54DB" w:rsidRDefault="00AE3E97" w:rsidP="005759E7">
            <w:pPr>
              <w:pStyle w:val="TableBody"/>
              <w:keepNext/>
              <w:keepLines/>
              <w:rPr>
                <w:rFonts w:cs="Arial"/>
                <w:szCs w:val="20"/>
              </w:rPr>
            </w:pPr>
          </w:p>
        </w:tc>
        <w:tc>
          <w:tcPr>
            <w:tcW w:w="2268" w:type="dxa"/>
            <w:shd w:val="clear" w:color="auto" w:fill="F2F2F2" w:themeFill="background1" w:themeFillShade="F2"/>
          </w:tcPr>
          <w:p w14:paraId="50436678" w14:textId="77777777" w:rsidR="00AE3E97" w:rsidRPr="009D54DB" w:rsidRDefault="00AE3E97" w:rsidP="005759E7">
            <w:pPr>
              <w:pStyle w:val="TableBody"/>
              <w:keepNext/>
              <w:keepLines/>
              <w:rPr>
                <w:rFonts w:cs="Arial"/>
                <w:szCs w:val="20"/>
              </w:rPr>
            </w:pPr>
            <w:r w:rsidRPr="005759E7">
              <w:rPr>
                <w:rFonts w:eastAsiaTheme="majorEastAsia" w:cs="Arial"/>
                <w:szCs w:val="20"/>
              </w:rPr>
              <w:t xml:space="preserve">ACMA planning for </w:t>
            </w:r>
            <w:r w:rsidR="009D54DB">
              <w:rPr>
                <w:rFonts w:eastAsiaTheme="majorEastAsia" w:cs="Arial"/>
                <w:szCs w:val="20"/>
              </w:rPr>
              <w:t>mm</w:t>
            </w:r>
            <w:r w:rsidRPr="005759E7">
              <w:rPr>
                <w:rFonts w:eastAsiaTheme="majorEastAsia" w:cs="Arial"/>
                <w:szCs w:val="20"/>
              </w:rPr>
              <w:t>Wave (26 GHz) and 1.5 GHz bands should be concluded subsequent to international studies</w:t>
            </w:r>
          </w:p>
        </w:tc>
        <w:tc>
          <w:tcPr>
            <w:tcW w:w="2268" w:type="dxa"/>
            <w:shd w:val="clear" w:color="auto" w:fill="F2F2F2" w:themeFill="background1" w:themeFillShade="F2"/>
          </w:tcPr>
          <w:p w14:paraId="44BEE90D" w14:textId="77777777" w:rsidR="00AE3E97" w:rsidRPr="009D54DB" w:rsidRDefault="00AE3E97" w:rsidP="005759E7">
            <w:pPr>
              <w:pStyle w:val="TableBody"/>
              <w:keepNext/>
              <w:keepLines/>
              <w:rPr>
                <w:rFonts w:cs="Arial"/>
                <w:szCs w:val="20"/>
              </w:rPr>
            </w:pPr>
            <w:r w:rsidRPr="005759E7">
              <w:rPr>
                <w:rFonts w:eastAsiaTheme="majorEastAsia" w:cs="Arial"/>
                <w:szCs w:val="20"/>
              </w:rPr>
              <w:t>Planning should also take account of spectrum</w:t>
            </w:r>
            <w:r w:rsidR="007261F6" w:rsidRPr="005759E7">
              <w:rPr>
                <w:rFonts w:eastAsiaTheme="majorEastAsia" w:cs="Arial"/>
                <w:szCs w:val="20"/>
              </w:rPr>
              <w:t>-</w:t>
            </w:r>
            <w:r w:rsidRPr="005759E7">
              <w:rPr>
                <w:rFonts w:eastAsiaTheme="majorEastAsia" w:cs="Arial"/>
                <w:szCs w:val="20"/>
              </w:rPr>
              <w:t>sharing studies and satellite as well as mobile broadband</w:t>
            </w:r>
          </w:p>
        </w:tc>
      </w:tr>
      <w:tr w:rsidR="00AE3E97" w:rsidRPr="009D54DB" w14:paraId="66646879" w14:textId="77777777" w:rsidTr="00870E53">
        <w:tc>
          <w:tcPr>
            <w:tcW w:w="1991" w:type="dxa"/>
          </w:tcPr>
          <w:p w14:paraId="671017D3" w14:textId="77777777" w:rsidR="00AE3E97" w:rsidRPr="009D54DB" w:rsidRDefault="00AE3E97" w:rsidP="0077559E">
            <w:pPr>
              <w:pStyle w:val="TableBody"/>
              <w:rPr>
                <w:rFonts w:cs="Arial"/>
                <w:szCs w:val="20"/>
              </w:rPr>
            </w:pPr>
            <w:r w:rsidRPr="009D54DB">
              <w:rPr>
                <w:rFonts w:cs="Arial"/>
                <w:szCs w:val="20"/>
              </w:rPr>
              <w:t>AMTA</w:t>
            </w:r>
          </w:p>
        </w:tc>
        <w:tc>
          <w:tcPr>
            <w:tcW w:w="2268" w:type="dxa"/>
          </w:tcPr>
          <w:p w14:paraId="6F6EE3F9" w14:textId="77777777" w:rsidR="00AE3E97" w:rsidRPr="009D54DB" w:rsidRDefault="00AE3E97">
            <w:pPr>
              <w:pStyle w:val="TableBody"/>
              <w:rPr>
                <w:rFonts w:cs="Arial"/>
                <w:szCs w:val="20"/>
              </w:rPr>
            </w:pPr>
          </w:p>
        </w:tc>
        <w:tc>
          <w:tcPr>
            <w:tcW w:w="2268" w:type="dxa"/>
          </w:tcPr>
          <w:p w14:paraId="0C2CBDFF" w14:textId="77777777" w:rsidR="00AE3E97" w:rsidRPr="009D54DB" w:rsidRDefault="00AE3E97">
            <w:pPr>
              <w:pStyle w:val="TableBody"/>
              <w:rPr>
                <w:rFonts w:cs="Arial"/>
                <w:szCs w:val="20"/>
              </w:rPr>
            </w:pPr>
          </w:p>
        </w:tc>
        <w:tc>
          <w:tcPr>
            <w:tcW w:w="2268" w:type="dxa"/>
          </w:tcPr>
          <w:p w14:paraId="2B81A0E7" w14:textId="77777777" w:rsidR="00AE3E97" w:rsidRPr="009D54DB" w:rsidRDefault="00AE3E97">
            <w:pPr>
              <w:pStyle w:val="TableBody"/>
              <w:rPr>
                <w:rFonts w:cs="Arial"/>
                <w:szCs w:val="20"/>
              </w:rPr>
            </w:pPr>
          </w:p>
        </w:tc>
        <w:tc>
          <w:tcPr>
            <w:tcW w:w="2268" w:type="dxa"/>
          </w:tcPr>
          <w:p w14:paraId="2706796A" w14:textId="77777777" w:rsidR="00AE3E97" w:rsidRPr="009D54DB" w:rsidRDefault="00AE3E97" w:rsidP="009D54DB">
            <w:pPr>
              <w:pStyle w:val="TableBody"/>
              <w:rPr>
                <w:rFonts w:cs="Arial"/>
                <w:szCs w:val="20"/>
              </w:rPr>
            </w:pPr>
            <w:r w:rsidRPr="005759E7">
              <w:rPr>
                <w:rFonts w:eastAsiaTheme="majorEastAsia" w:cs="Arial"/>
                <w:szCs w:val="20"/>
              </w:rPr>
              <w:t xml:space="preserve">Supports accelerating timelines for </w:t>
            </w:r>
            <w:r w:rsidR="009D54DB" w:rsidRPr="005759E7">
              <w:rPr>
                <w:rFonts w:eastAsiaTheme="majorEastAsia" w:cs="Arial"/>
                <w:szCs w:val="20"/>
              </w:rPr>
              <w:t>mm</w:t>
            </w:r>
            <w:r w:rsidR="009D54DB">
              <w:rPr>
                <w:rFonts w:eastAsiaTheme="majorEastAsia" w:cs="Arial"/>
                <w:szCs w:val="20"/>
              </w:rPr>
              <w:t>Wave bands</w:t>
            </w:r>
            <w:r w:rsidR="009D54DB" w:rsidRPr="005759E7">
              <w:rPr>
                <w:rFonts w:eastAsiaTheme="majorEastAsia" w:cs="Arial"/>
                <w:szCs w:val="20"/>
              </w:rPr>
              <w:t xml:space="preserve"> </w:t>
            </w:r>
            <w:r w:rsidRPr="005759E7">
              <w:rPr>
                <w:rFonts w:eastAsiaTheme="majorEastAsia" w:cs="Arial"/>
                <w:szCs w:val="20"/>
              </w:rPr>
              <w:t>and 5G</w:t>
            </w:r>
          </w:p>
        </w:tc>
        <w:tc>
          <w:tcPr>
            <w:tcW w:w="2268" w:type="dxa"/>
          </w:tcPr>
          <w:p w14:paraId="3E6C9387" w14:textId="77777777" w:rsidR="00AE3E97" w:rsidRPr="009D54DB" w:rsidRDefault="00AE3E97">
            <w:pPr>
              <w:pStyle w:val="TableBody"/>
              <w:rPr>
                <w:rFonts w:cs="Arial"/>
                <w:szCs w:val="20"/>
              </w:rPr>
            </w:pPr>
            <w:r w:rsidRPr="005759E7">
              <w:rPr>
                <w:rFonts w:eastAsiaTheme="majorEastAsia" w:cs="Arial"/>
                <w:szCs w:val="20"/>
              </w:rPr>
              <w:t>Supports continued band planning</w:t>
            </w:r>
          </w:p>
        </w:tc>
      </w:tr>
      <w:tr w:rsidR="00AE3E97" w:rsidRPr="009D54DB" w14:paraId="748D21DC" w14:textId="77777777" w:rsidTr="00870E53">
        <w:tc>
          <w:tcPr>
            <w:tcW w:w="1991" w:type="dxa"/>
            <w:shd w:val="clear" w:color="auto" w:fill="F2F2F2" w:themeFill="background1" w:themeFillShade="F2"/>
          </w:tcPr>
          <w:p w14:paraId="3508E045" w14:textId="77777777" w:rsidR="00AE3E97" w:rsidRPr="009D54DB" w:rsidRDefault="00AE3E97" w:rsidP="0077559E">
            <w:pPr>
              <w:pStyle w:val="TableBody"/>
              <w:rPr>
                <w:rFonts w:cs="Arial"/>
                <w:szCs w:val="20"/>
              </w:rPr>
            </w:pPr>
            <w:r w:rsidRPr="009D54DB">
              <w:rPr>
                <w:rFonts w:cs="Arial"/>
                <w:szCs w:val="20"/>
              </w:rPr>
              <w:lastRenderedPageBreak/>
              <w:t>Inmarsat</w:t>
            </w:r>
          </w:p>
        </w:tc>
        <w:tc>
          <w:tcPr>
            <w:tcW w:w="2268" w:type="dxa"/>
            <w:shd w:val="clear" w:color="auto" w:fill="F2F2F2" w:themeFill="background1" w:themeFillShade="F2"/>
          </w:tcPr>
          <w:p w14:paraId="309089A3" w14:textId="77777777" w:rsidR="00AE3E97" w:rsidRPr="009D54DB" w:rsidRDefault="00AE3E97">
            <w:pPr>
              <w:pStyle w:val="TableBody"/>
              <w:rPr>
                <w:rFonts w:cs="Arial"/>
                <w:szCs w:val="20"/>
              </w:rPr>
            </w:pPr>
          </w:p>
        </w:tc>
        <w:tc>
          <w:tcPr>
            <w:tcW w:w="2268" w:type="dxa"/>
            <w:shd w:val="clear" w:color="auto" w:fill="F2F2F2" w:themeFill="background1" w:themeFillShade="F2"/>
          </w:tcPr>
          <w:p w14:paraId="33FD1280" w14:textId="77777777" w:rsidR="00AE3E97" w:rsidRPr="009D54DB" w:rsidRDefault="00AE3E97">
            <w:pPr>
              <w:pStyle w:val="TableBody"/>
              <w:rPr>
                <w:rFonts w:cs="Arial"/>
                <w:szCs w:val="20"/>
              </w:rPr>
            </w:pPr>
          </w:p>
        </w:tc>
        <w:tc>
          <w:tcPr>
            <w:tcW w:w="2268" w:type="dxa"/>
            <w:shd w:val="clear" w:color="auto" w:fill="F2F2F2" w:themeFill="background1" w:themeFillShade="F2"/>
          </w:tcPr>
          <w:p w14:paraId="0EBB7BA4" w14:textId="77777777" w:rsidR="00AE3E97" w:rsidRPr="009D54DB" w:rsidRDefault="00AE3E97">
            <w:pPr>
              <w:pStyle w:val="TableBody"/>
              <w:rPr>
                <w:rFonts w:cs="Arial"/>
                <w:szCs w:val="20"/>
              </w:rPr>
            </w:pPr>
          </w:p>
        </w:tc>
        <w:tc>
          <w:tcPr>
            <w:tcW w:w="2268" w:type="dxa"/>
            <w:shd w:val="clear" w:color="auto" w:fill="F2F2F2" w:themeFill="background1" w:themeFillShade="F2"/>
          </w:tcPr>
          <w:p w14:paraId="4982EC76" w14:textId="77777777" w:rsidR="00AE3E97" w:rsidRPr="005759E7" w:rsidRDefault="00AE3E97">
            <w:pPr>
              <w:pStyle w:val="TableBody"/>
              <w:rPr>
                <w:rFonts w:cs="Arial"/>
                <w:szCs w:val="20"/>
              </w:rPr>
            </w:pPr>
            <w:r w:rsidRPr="005759E7">
              <w:rPr>
                <w:rFonts w:cs="Arial"/>
                <w:szCs w:val="20"/>
              </w:rPr>
              <w:t>Interest in the 2</w:t>
            </w:r>
            <w:r w:rsidR="00C56B71">
              <w:rPr>
                <w:rFonts w:cs="Arial"/>
                <w:szCs w:val="20"/>
              </w:rPr>
              <w:t xml:space="preserve"> </w:t>
            </w:r>
            <w:r w:rsidRPr="005759E7">
              <w:rPr>
                <w:rFonts w:cs="Arial"/>
                <w:szCs w:val="20"/>
              </w:rPr>
              <w:t>GHz band for mobile satellite services</w:t>
            </w:r>
          </w:p>
        </w:tc>
        <w:tc>
          <w:tcPr>
            <w:tcW w:w="2268" w:type="dxa"/>
            <w:shd w:val="clear" w:color="auto" w:fill="F2F2F2" w:themeFill="background1" w:themeFillShade="F2"/>
          </w:tcPr>
          <w:p w14:paraId="3EB65950" w14:textId="77777777" w:rsidR="00AE3E97" w:rsidRPr="005759E7" w:rsidRDefault="00AE3E97">
            <w:pPr>
              <w:pStyle w:val="TableBody"/>
              <w:rPr>
                <w:rFonts w:cs="Arial"/>
                <w:szCs w:val="20"/>
              </w:rPr>
            </w:pPr>
            <w:r w:rsidRPr="005759E7">
              <w:rPr>
                <w:rFonts w:cs="Arial"/>
                <w:szCs w:val="20"/>
              </w:rPr>
              <w:t xml:space="preserve">Don’t delay 1.5 GHz band access for mobile satellite </w:t>
            </w:r>
          </w:p>
        </w:tc>
      </w:tr>
      <w:tr w:rsidR="00AE3E97" w:rsidRPr="009D54DB" w14:paraId="225C8CA9" w14:textId="77777777" w:rsidTr="00870E53">
        <w:tc>
          <w:tcPr>
            <w:tcW w:w="1991" w:type="dxa"/>
            <w:shd w:val="clear" w:color="auto" w:fill="auto"/>
          </w:tcPr>
          <w:p w14:paraId="6558DFEB" w14:textId="77777777" w:rsidR="00AE3E97" w:rsidRPr="009D54DB" w:rsidRDefault="00AE3E97" w:rsidP="0077559E">
            <w:pPr>
              <w:pStyle w:val="TableBody"/>
              <w:rPr>
                <w:rFonts w:cs="Arial"/>
                <w:szCs w:val="20"/>
              </w:rPr>
            </w:pPr>
            <w:r w:rsidRPr="009D54DB">
              <w:rPr>
                <w:rFonts w:cs="Arial"/>
                <w:szCs w:val="20"/>
              </w:rPr>
              <w:t>ASTRA</w:t>
            </w:r>
          </w:p>
        </w:tc>
        <w:tc>
          <w:tcPr>
            <w:tcW w:w="2268" w:type="dxa"/>
            <w:shd w:val="clear" w:color="auto" w:fill="auto"/>
          </w:tcPr>
          <w:p w14:paraId="1D9322E6" w14:textId="77777777" w:rsidR="00AE3E97" w:rsidRPr="009D54DB" w:rsidRDefault="00AE3E97">
            <w:pPr>
              <w:pStyle w:val="TableBody"/>
              <w:rPr>
                <w:rFonts w:cs="Arial"/>
                <w:szCs w:val="20"/>
              </w:rPr>
            </w:pPr>
            <w:r w:rsidRPr="005759E7">
              <w:rPr>
                <w:rFonts w:eastAsiaTheme="majorEastAsia" w:cs="Arial"/>
                <w:szCs w:val="20"/>
              </w:rPr>
              <w:t>Supports the development of east coast earth station protection zones as part of the 3.6</w:t>
            </w:r>
            <w:r w:rsidR="00E14287">
              <w:rPr>
                <w:rFonts w:eastAsiaTheme="majorEastAsia" w:cs="Arial"/>
                <w:szCs w:val="20"/>
              </w:rPr>
              <w:t xml:space="preserve"> </w:t>
            </w:r>
            <w:r w:rsidRPr="005759E7">
              <w:rPr>
                <w:rFonts w:eastAsiaTheme="majorEastAsia" w:cs="Arial"/>
                <w:szCs w:val="20"/>
              </w:rPr>
              <w:t>GHz licence framework and take into account protection for all satellite bands</w:t>
            </w:r>
          </w:p>
        </w:tc>
        <w:tc>
          <w:tcPr>
            <w:tcW w:w="2268" w:type="dxa"/>
            <w:shd w:val="clear" w:color="auto" w:fill="auto"/>
          </w:tcPr>
          <w:p w14:paraId="30AE93F1" w14:textId="77777777" w:rsidR="00AE3E97" w:rsidRPr="009D54DB" w:rsidRDefault="00AE3E97">
            <w:pPr>
              <w:pStyle w:val="TableBody"/>
              <w:rPr>
                <w:rFonts w:cs="Arial"/>
                <w:szCs w:val="20"/>
              </w:rPr>
            </w:pPr>
          </w:p>
        </w:tc>
        <w:tc>
          <w:tcPr>
            <w:tcW w:w="2268" w:type="dxa"/>
            <w:shd w:val="clear" w:color="auto" w:fill="auto"/>
          </w:tcPr>
          <w:p w14:paraId="346E5BD8" w14:textId="77777777" w:rsidR="00AE3E97" w:rsidRPr="009D54DB" w:rsidRDefault="00AE3E97">
            <w:pPr>
              <w:pStyle w:val="TableBody"/>
              <w:rPr>
                <w:rFonts w:cs="Arial"/>
                <w:szCs w:val="20"/>
              </w:rPr>
            </w:pPr>
          </w:p>
        </w:tc>
        <w:tc>
          <w:tcPr>
            <w:tcW w:w="2268" w:type="dxa"/>
            <w:shd w:val="clear" w:color="auto" w:fill="auto"/>
          </w:tcPr>
          <w:p w14:paraId="08C63867" w14:textId="77777777" w:rsidR="00AE3E97" w:rsidRPr="009D54DB" w:rsidRDefault="00AE3E97" w:rsidP="009D54DB">
            <w:pPr>
              <w:pStyle w:val="TableBody"/>
              <w:rPr>
                <w:rFonts w:cs="Arial"/>
                <w:szCs w:val="20"/>
              </w:rPr>
            </w:pPr>
            <w:r w:rsidRPr="005759E7">
              <w:rPr>
                <w:rFonts w:eastAsiaTheme="majorEastAsia" w:cs="Arial"/>
                <w:szCs w:val="20"/>
              </w:rPr>
              <w:t>Considers that the replanning of the mmWave bands should protect the primary allocation of 24.65</w:t>
            </w:r>
            <w:r w:rsidR="009D54DB">
              <w:rPr>
                <w:rFonts w:eastAsiaTheme="majorEastAsia" w:cs="Arial"/>
                <w:szCs w:val="20"/>
              </w:rPr>
              <w:t>–</w:t>
            </w:r>
            <w:r w:rsidRPr="005759E7">
              <w:rPr>
                <w:rFonts w:eastAsiaTheme="majorEastAsia" w:cs="Arial"/>
                <w:szCs w:val="20"/>
              </w:rPr>
              <w:t xml:space="preserve"> 25.25 GHz for </w:t>
            </w:r>
            <w:r w:rsidRPr="00350C72">
              <w:rPr>
                <w:rFonts w:eastAsiaTheme="majorEastAsia" w:cs="Arial"/>
                <w:szCs w:val="20"/>
              </w:rPr>
              <w:t>BSS</w:t>
            </w:r>
            <w:r w:rsidRPr="005759E7">
              <w:rPr>
                <w:rFonts w:eastAsiaTheme="majorEastAsia" w:cs="Arial"/>
                <w:szCs w:val="20"/>
              </w:rPr>
              <w:t xml:space="preserve"> earth</w:t>
            </w:r>
            <w:r w:rsidR="009D54DB">
              <w:rPr>
                <w:rFonts w:eastAsiaTheme="majorEastAsia" w:cs="Arial"/>
                <w:szCs w:val="20"/>
              </w:rPr>
              <w:t>-</w:t>
            </w:r>
            <w:r w:rsidRPr="005759E7">
              <w:rPr>
                <w:rFonts w:eastAsiaTheme="majorEastAsia" w:cs="Arial"/>
                <w:szCs w:val="20"/>
              </w:rPr>
              <w:t>to</w:t>
            </w:r>
            <w:r w:rsidR="009D54DB">
              <w:rPr>
                <w:rFonts w:eastAsiaTheme="majorEastAsia" w:cs="Arial"/>
                <w:szCs w:val="20"/>
              </w:rPr>
              <w:t>-</w:t>
            </w:r>
            <w:r w:rsidRPr="005759E7">
              <w:rPr>
                <w:rFonts w:eastAsiaTheme="majorEastAsia" w:cs="Arial"/>
                <w:szCs w:val="20"/>
              </w:rPr>
              <w:t>space</w:t>
            </w:r>
          </w:p>
        </w:tc>
        <w:tc>
          <w:tcPr>
            <w:tcW w:w="2268" w:type="dxa"/>
            <w:shd w:val="clear" w:color="auto" w:fill="auto"/>
          </w:tcPr>
          <w:p w14:paraId="376E6D1C" w14:textId="77777777" w:rsidR="00AE3E97" w:rsidRPr="009D54DB" w:rsidRDefault="00AE3E97">
            <w:pPr>
              <w:pStyle w:val="TableBody"/>
              <w:rPr>
                <w:rFonts w:cs="Arial"/>
                <w:szCs w:val="20"/>
              </w:rPr>
            </w:pPr>
          </w:p>
        </w:tc>
      </w:tr>
      <w:tr w:rsidR="00AE3E97" w:rsidRPr="009D54DB" w14:paraId="7411FB83" w14:textId="77777777" w:rsidTr="00870E53">
        <w:tc>
          <w:tcPr>
            <w:tcW w:w="1991" w:type="dxa"/>
            <w:shd w:val="clear" w:color="auto" w:fill="F2F2F2" w:themeFill="background1" w:themeFillShade="F2"/>
          </w:tcPr>
          <w:p w14:paraId="538CFFCB" w14:textId="77777777" w:rsidR="00AE3E97" w:rsidRPr="009D54DB" w:rsidRDefault="00AE3E97" w:rsidP="0077559E">
            <w:pPr>
              <w:pStyle w:val="TableBody"/>
              <w:rPr>
                <w:rFonts w:cs="Arial"/>
                <w:szCs w:val="20"/>
              </w:rPr>
            </w:pPr>
            <w:r w:rsidRPr="009D54DB">
              <w:rPr>
                <w:rFonts w:cs="Arial"/>
                <w:szCs w:val="20"/>
              </w:rPr>
              <w:t xml:space="preserve">NSW </w:t>
            </w:r>
            <w:r w:rsidRPr="00350C72">
              <w:rPr>
                <w:rFonts w:cs="Arial"/>
                <w:szCs w:val="20"/>
              </w:rPr>
              <w:t>Telco</w:t>
            </w:r>
            <w:r w:rsidRPr="009D54DB">
              <w:rPr>
                <w:rFonts w:cs="Arial"/>
                <w:szCs w:val="20"/>
              </w:rPr>
              <w:t xml:space="preserve"> Authority</w:t>
            </w:r>
          </w:p>
        </w:tc>
        <w:tc>
          <w:tcPr>
            <w:tcW w:w="2268" w:type="dxa"/>
            <w:shd w:val="clear" w:color="auto" w:fill="F2F2F2" w:themeFill="background1" w:themeFillShade="F2"/>
          </w:tcPr>
          <w:p w14:paraId="633DE4C3" w14:textId="77777777" w:rsidR="00AE3E97" w:rsidRPr="009D54DB" w:rsidRDefault="00AE3E97">
            <w:pPr>
              <w:pStyle w:val="TableBody"/>
              <w:rPr>
                <w:rFonts w:cs="Arial"/>
                <w:szCs w:val="20"/>
              </w:rPr>
            </w:pPr>
          </w:p>
        </w:tc>
        <w:tc>
          <w:tcPr>
            <w:tcW w:w="2268" w:type="dxa"/>
            <w:shd w:val="clear" w:color="auto" w:fill="F2F2F2" w:themeFill="background1" w:themeFillShade="F2"/>
          </w:tcPr>
          <w:p w14:paraId="587DFAC2" w14:textId="77777777" w:rsidR="00AE3E97" w:rsidRPr="009D54DB" w:rsidRDefault="00AE3E97">
            <w:pPr>
              <w:pStyle w:val="TableBody"/>
              <w:rPr>
                <w:rFonts w:cs="Arial"/>
                <w:szCs w:val="20"/>
              </w:rPr>
            </w:pPr>
          </w:p>
        </w:tc>
        <w:tc>
          <w:tcPr>
            <w:tcW w:w="2268" w:type="dxa"/>
            <w:shd w:val="clear" w:color="auto" w:fill="F2F2F2" w:themeFill="background1" w:themeFillShade="F2"/>
          </w:tcPr>
          <w:p w14:paraId="7409D038" w14:textId="77777777" w:rsidR="00AE3E97" w:rsidRPr="009D54DB" w:rsidRDefault="00AE3E97">
            <w:pPr>
              <w:pStyle w:val="TableBody"/>
              <w:rPr>
                <w:rFonts w:cs="Arial"/>
                <w:szCs w:val="20"/>
              </w:rPr>
            </w:pPr>
            <w:r w:rsidRPr="005759E7">
              <w:rPr>
                <w:rFonts w:eastAsiaTheme="majorEastAsia" w:cs="Arial"/>
                <w:szCs w:val="20"/>
              </w:rPr>
              <w:t>Ensure 5</w:t>
            </w:r>
            <w:r w:rsidR="009D54DB">
              <w:rPr>
                <w:rFonts w:eastAsiaTheme="majorEastAsia" w:cs="Arial"/>
                <w:szCs w:val="20"/>
              </w:rPr>
              <w:t xml:space="preserve"> </w:t>
            </w:r>
            <w:r w:rsidRPr="005759E7">
              <w:rPr>
                <w:rFonts w:eastAsiaTheme="majorEastAsia" w:cs="Arial"/>
                <w:szCs w:val="20"/>
              </w:rPr>
              <w:t>MHz paired of 850</w:t>
            </w:r>
            <w:r w:rsidR="009D54DB">
              <w:rPr>
                <w:rFonts w:eastAsiaTheme="majorEastAsia" w:cs="Arial"/>
                <w:szCs w:val="20"/>
              </w:rPr>
              <w:t xml:space="preserve"> MHz</w:t>
            </w:r>
            <w:r w:rsidRPr="005759E7">
              <w:rPr>
                <w:rFonts w:eastAsiaTheme="majorEastAsia" w:cs="Arial"/>
                <w:szCs w:val="20"/>
              </w:rPr>
              <w:t xml:space="preserve"> is not auctioned, so</w:t>
            </w:r>
            <w:r w:rsidR="009D54DB">
              <w:rPr>
                <w:rFonts w:eastAsiaTheme="majorEastAsia" w:cs="Arial"/>
                <w:szCs w:val="20"/>
              </w:rPr>
              <w:t xml:space="preserve"> it is</w:t>
            </w:r>
            <w:r w:rsidRPr="005759E7">
              <w:rPr>
                <w:rFonts w:eastAsiaTheme="majorEastAsia" w:cs="Arial"/>
                <w:szCs w:val="20"/>
              </w:rPr>
              <w:t xml:space="preserve"> available for public safety agencies</w:t>
            </w:r>
          </w:p>
        </w:tc>
        <w:tc>
          <w:tcPr>
            <w:tcW w:w="2268" w:type="dxa"/>
            <w:shd w:val="clear" w:color="auto" w:fill="F2F2F2" w:themeFill="background1" w:themeFillShade="F2"/>
          </w:tcPr>
          <w:p w14:paraId="3785FC31" w14:textId="77777777" w:rsidR="00AE3E97" w:rsidRPr="009D54DB" w:rsidRDefault="00AE3E97">
            <w:pPr>
              <w:pStyle w:val="TableBody"/>
              <w:rPr>
                <w:rFonts w:cs="Arial"/>
                <w:szCs w:val="20"/>
              </w:rPr>
            </w:pPr>
          </w:p>
        </w:tc>
        <w:tc>
          <w:tcPr>
            <w:tcW w:w="2268" w:type="dxa"/>
            <w:shd w:val="clear" w:color="auto" w:fill="F2F2F2" w:themeFill="background1" w:themeFillShade="F2"/>
          </w:tcPr>
          <w:p w14:paraId="2A28A36B" w14:textId="77777777" w:rsidR="00AE3E97" w:rsidRPr="009D54DB" w:rsidRDefault="00AE3E97">
            <w:pPr>
              <w:pStyle w:val="TableBody"/>
              <w:rPr>
                <w:rFonts w:cs="Arial"/>
                <w:szCs w:val="20"/>
              </w:rPr>
            </w:pPr>
          </w:p>
        </w:tc>
      </w:tr>
      <w:tr w:rsidR="00AE3E97" w:rsidRPr="009D54DB" w14:paraId="1F01A5CE" w14:textId="77777777" w:rsidTr="00870E53">
        <w:tc>
          <w:tcPr>
            <w:tcW w:w="1991" w:type="dxa"/>
            <w:shd w:val="clear" w:color="auto" w:fill="auto"/>
          </w:tcPr>
          <w:p w14:paraId="70EAC0E8" w14:textId="77777777" w:rsidR="00AE3E97" w:rsidRPr="009D54DB" w:rsidRDefault="00AE3E97" w:rsidP="0077559E">
            <w:pPr>
              <w:pStyle w:val="TableBody"/>
              <w:rPr>
                <w:rFonts w:cs="Arial"/>
                <w:szCs w:val="20"/>
              </w:rPr>
            </w:pPr>
            <w:r w:rsidRPr="009D54DB">
              <w:rPr>
                <w:rFonts w:cs="Arial"/>
                <w:szCs w:val="20"/>
              </w:rPr>
              <w:t>Motorola Solutions</w:t>
            </w:r>
          </w:p>
        </w:tc>
        <w:tc>
          <w:tcPr>
            <w:tcW w:w="2268" w:type="dxa"/>
            <w:shd w:val="clear" w:color="auto" w:fill="auto"/>
          </w:tcPr>
          <w:p w14:paraId="78F768E8" w14:textId="77777777" w:rsidR="00AE3E97" w:rsidRPr="009D54DB" w:rsidRDefault="00AE3E97">
            <w:pPr>
              <w:pStyle w:val="TableBody"/>
              <w:rPr>
                <w:rFonts w:cs="Arial"/>
                <w:szCs w:val="20"/>
              </w:rPr>
            </w:pPr>
          </w:p>
        </w:tc>
        <w:tc>
          <w:tcPr>
            <w:tcW w:w="2268" w:type="dxa"/>
            <w:shd w:val="clear" w:color="auto" w:fill="auto"/>
          </w:tcPr>
          <w:p w14:paraId="46808A63" w14:textId="77777777" w:rsidR="00AE3E97" w:rsidRPr="009D54DB" w:rsidRDefault="00AE3E97">
            <w:pPr>
              <w:pStyle w:val="TableBody"/>
              <w:rPr>
                <w:rFonts w:cs="Arial"/>
                <w:szCs w:val="20"/>
              </w:rPr>
            </w:pPr>
          </w:p>
        </w:tc>
        <w:tc>
          <w:tcPr>
            <w:tcW w:w="2268" w:type="dxa"/>
            <w:shd w:val="clear" w:color="auto" w:fill="auto"/>
          </w:tcPr>
          <w:p w14:paraId="4C49C66A" w14:textId="77777777" w:rsidR="00AE3E97" w:rsidRPr="009D54DB" w:rsidRDefault="009D54DB" w:rsidP="00673940">
            <w:pPr>
              <w:pStyle w:val="TableBody"/>
              <w:rPr>
                <w:rFonts w:cs="Arial"/>
                <w:szCs w:val="20"/>
              </w:rPr>
            </w:pPr>
            <w:r>
              <w:rPr>
                <w:rFonts w:eastAsiaTheme="majorEastAsia" w:cs="Arial"/>
                <w:szCs w:val="20"/>
              </w:rPr>
              <w:t>D</w:t>
            </w:r>
            <w:r w:rsidRPr="002D6080">
              <w:rPr>
                <w:rFonts w:eastAsiaTheme="majorEastAsia" w:cs="Arial"/>
                <w:szCs w:val="20"/>
              </w:rPr>
              <w:t>ecision should proceed to allocation with no further delay</w:t>
            </w:r>
            <w:r>
              <w:rPr>
                <w:rFonts w:eastAsiaTheme="majorEastAsia" w:cs="Arial"/>
                <w:szCs w:val="20"/>
              </w:rPr>
              <w:t>, g</w:t>
            </w:r>
            <w:r w:rsidR="00AE3E97" w:rsidRPr="005759E7">
              <w:rPr>
                <w:rFonts w:eastAsiaTheme="majorEastAsia" w:cs="Arial"/>
                <w:szCs w:val="20"/>
              </w:rPr>
              <w:t xml:space="preserve">iven the previous ACMA decision on a PPDR allocation in </w:t>
            </w:r>
            <w:r w:rsidR="00673940" w:rsidRPr="005759E7">
              <w:rPr>
                <w:rFonts w:eastAsiaTheme="majorEastAsia" w:cs="Arial"/>
                <w:szCs w:val="20"/>
              </w:rPr>
              <w:t>800</w:t>
            </w:r>
            <w:r w:rsidR="00673940">
              <w:rPr>
                <w:rFonts w:eastAsiaTheme="majorEastAsia" w:cs="Arial"/>
                <w:szCs w:val="20"/>
              </w:rPr>
              <w:t> </w:t>
            </w:r>
            <w:r w:rsidR="00AE3E97" w:rsidRPr="005759E7">
              <w:rPr>
                <w:rFonts w:eastAsiaTheme="majorEastAsia" w:cs="Arial"/>
                <w:szCs w:val="20"/>
              </w:rPr>
              <w:t>MHz</w:t>
            </w:r>
          </w:p>
        </w:tc>
        <w:tc>
          <w:tcPr>
            <w:tcW w:w="2268" w:type="dxa"/>
            <w:shd w:val="clear" w:color="auto" w:fill="auto"/>
          </w:tcPr>
          <w:p w14:paraId="454DB12A" w14:textId="77777777" w:rsidR="00AE3E97" w:rsidRPr="009D54DB" w:rsidRDefault="00AE3E97">
            <w:pPr>
              <w:pStyle w:val="TableBody"/>
              <w:rPr>
                <w:rFonts w:cs="Arial"/>
                <w:szCs w:val="20"/>
              </w:rPr>
            </w:pPr>
          </w:p>
        </w:tc>
        <w:tc>
          <w:tcPr>
            <w:tcW w:w="2268" w:type="dxa"/>
            <w:shd w:val="clear" w:color="auto" w:fill="auto"/>
          </w:tcPr>
          <w:p w14:paraId="50927E3C" w14:textId="77777777" w:rsidR="00AE3E97" w:rsidRPr="009D54DB" w:rsidRDefault="00AE3E97">
            <w:pPr>
              <w:pStyle w:val="TableBody"/>
              <w:rPr>
                <w:rFonts w:cs="Arial"/>
                <w:szCs w:val="20"/>
              </w:rPr>
            </w:pPr>
          </w:p>
        </w:tc>
      </w:tr>
      <w:tr w:rsidR="00AE3E97" w:rsidRPr="009D54DB" w14:paraId="46E40965" w14:textId="77777777" w:rsidTr="00870E53">
        <w:tc>
          <w:tcPr>
            <w:tcW w:w="1991" w:type="dxa"/>
            <w:shd w:val="clear" w:color="auto" w:fill="F2F2F2" w:themeFill="background1" w:themeFillShade="F2"/>
          </w:tcPr>
          <w:p w14:paraId="1D4299CB" w14:textId="77777777" w:rsidR="00AE3E97" w:rsidRPr="009D54DB" w:rsidRDefault="00AE3E97" w:rsidP="0077559E">
            <w:pPr>
              <w:pStyle w:val="TableBody"/>
              <w:rPr>
                <w:rFonts w:cs="Arial"/>
                <w:szCs w:val="20"/>
              </w:rPr>
            </w:pPr>
            <w:r w:rsidRPr="009D54DB">
              <w:rPr>
                <w:rFonts w:cs="Arial"/>
                <w:szCs w:val="20"/>
              </w:rPr>
              <w:t>Facebook</w:t>
            </w:r>
          </w:p>
        </w:tc>
        <w:tc>
          <w:tcPr>
            <w:tcW w:w="2268" w:type="dxa"/>
            <w:shd w:val="clear" w:color="auto" w:fill="F2F2F2" w:themeFill="background1" w:themeFillShade="F2"/>
          </w:tcPr>
          <w:p w14:paraId="1F12BEF0" w14:textId="77777777" w:rsidR="00AE3E97" w:rsidRPr="009D54DB" w:rsidRDefault="00AE3E97">
            <w:pPr>
              <w:pStyle w:val="TableBody"/>
              <w:rPr>
                <w:rFonts w:cs="Arial"/>
                <w:szCs w:val="20"/>
              </w:rPr>
            </w:pPr>
          </w:p>
        </w:tc>
        <w:tc>
          <w:tcPr>
            <w:tcW w:w="2268" w:type="dxa"/>
            <w:shd w:val="clear" w:color="auto" w:fill="F2F2F2" w:themeFill="background1" w:themeFillShade="F2"/>
          </w:tcPr>
          <w:p w14:paraId="2D33CDE3" w14:textId="77777777" w:rsidR="00AE3E97" w:rsidRPr="009D54DB" w:rsidRDefault="00AE3E97">
            <w:pPr>
              <w:pStyle w:val="TableBody"/>
              <w:rPr>
                <w:rFonts w:cs="Arial"/>
                <w:szCs w:val="20"/>
              </w:rPr>
            </w:pPr>
          </w:p>
        </w:tc>
        <w:tc>
          <w:tcPr>
            <w:tcW w:w="2268" w:type="dxa"/>
            <w:shd w:val="clear" w:color="auto" w:fill="F2F2F2" w:themeFill="background1" w:themeFillShade="F2"/>
          </w:tcPr>
          <w:p w14:paraId="376E48FE" w14:textId="77777777" w:rsidR="00AE3E97" w:rsidRPr="009D54DB" w:rsidRDefault="00AE3E97">
            <w:pPr>
              <w:pStyle w:val="TableBody"/>
              <w:rPr>
                <w:rFonts w:cs="Arial"/>
                <w:szCs w:val="20"/>
              </w:rPr>
            </w:pPr>
          </w:p>
        </w:tc>
        <w:tc>
          <w:tcPr>
            <w:tcW w:w="2268" w:type="dxa"/>
            <w:shd w:val="clear" w:color="auto" w:fill="F2F2F2" w:themeFill="background1" w:themeFillShade="F2"/>
          </w:tcPr>
          <w:p w14:paraId="1CF315B6" w14:textId="77777777" w:rsidR="00AE3E97" w:rsidRPr="009D54DB" w:rsidRDefault="00AE3E97">
            <w:pPr>
              <w:pStyle w:val="TableBody"/>
              <w:rPr>
                <w:rFonts w:cs="Arial"/>
                <w:szCs w:val="20"/>
              </w:rPr>
            </w:pPr>
            <w:r w:rsidRPr="005759E7">
              <w:rPr>
                <w:rFonts w:eastAsiaTheme="majorEastAsia" w:cs="Arial"/>
                <w:szCs w:val="20"/>
              </w:rPr>
              <w:t>Support for 5G</w:t>
            </w:r>
          </w:p>
        </w:tc>
        <w:tc>
          <w:tcPr>
            <w:tcW w:w="2268" w:type="dxa"/>
            <w:shd w:val="clear" w:color="auto" w:fill="F2F2F2" w:themeFill="background1" w:themeFillShade="F2"/>
          </w:tcPr>
          <w:p w14:paraId="3494AE00" w14:textId="77777777" w:rsidR="00AE3E97" w:rsidRPr="009D54DB" w:rsidRDefault="00AE3E97">
            <w:pPr>
              <w:pStyle w:val="TableBody"/>
              <w:rPr>
                <w:rFonts w:cs="Arial"/>
                <w:szCs w:val="20"/>
              </w:rPr>
            </w:pPr>
          </w:p>
        </w:tc>
      </w:tr>
      <w:tr w:rsidR="00AE3E97" w:rsidRPr="009D54DB" w14:paraId="1D0B258D" w14:textId="77777777" w:rsidTr="00870E53">
        <w:tc>
          <w:tcPr>
            <w:tcW w:w="1991" w:type="dxa"/>
            <w:shd w:val="clear" w:color="auto" w:fill="auto"/>
          </w:tcPr>
          <w:p w14:paraId="354947E6" w14:textId="77777777" w:rsidR="00AE3E97" w:rsidRPr="009D54DB" w:rsidRDefault="00AE3E97" w:rsidP="0077559E">
            <w:pPr>
              <w:pStyle w:val="TableBody"/>
              <w:rPr>
                <w:rFonts w:cs="Arial"/>
                <w:szCs w:val="20"/>
              </w:rPr>
            </w:pPr>
            <w:r w:rsidRPr="009D54DB">
              <w:rPr>
                <w:rFonts w:cs="Arial"/>
                <w:szCs w:val="20"/>
              </w:rPr>
              <w:t>Samsung</w:t>
            </w:r>
          </w:p>
        </w:tc>
        <w:tc>
          <w:tcPr>
            <w:tcW w:w="2268" w:type="dxa"/>
            <w:shd w:val="clear" w:color="auto" w:fill="auto"/>
          </w:tcPr>
          <w:p w14:paraId="57582516" w14:textId="77777777" w:rsidR="00AE3E97" w:rsidRPr="009D54DB" w:rsidRDefault="00AE3E97" w:rsidP="009D54DB">
            <w:pPr>
              <w:pStyle w:val="TableBody"/>
              <w:rPr>
                <w:rFonts w:cs="Arial"/>
                <w:szCs w:val="20"/>
              </w:rPr>
            </w:pPr>
            <w:r w:rsidRPr="005759E7">
              <w:rPr>
                <w:rFonts w:cs="Arial"/>
                <w:szCs w:val="20"/>
              </w:rPr>
              <w:t xml:space="preserve">Lower bands below </w:t>
            </w:r>
            <w:r w:rsidR="009D54DB" w:rsidRPr="005759E7">
              <w:rPr>
                <w:rFonts w:cs="Arial"/>
                <w:szCs w:val="20"/>
              </w:rPr>
              <w:t>6</w:t>
            </w:r>
            <w:r w:rsidR="009D54DB">
              <w:rPr>
                <w:rFonts w:cs="Arial"/>
                <w:szCs w:val="20"/>
              </w:rPr>
              <w:t> </w:t>
            </w:r>
            <w:r w:rsidRPr="005759E7">
              <w:rPr>
                <w:rFonts w:cs="Arial"/>
                <w:szCs w:val="20"/>
              </w:rPr>
              <w:t>GHz (focusing on 3.</w:t>
            </w:r>
            <w:r w:rsidR="009D54DB" w:rsidRPr="005759E7">
              <w:rPr>
                <w:rFonts w:cs="Arial"/>
                <w:szCs w:val="20"/>
              </w:rPr>
              <w:t>6</w:t>
            </w:r>
            <w:r w:rsidR="009D54DB">
              <w:rPr>
                <w:rFonts w:cs="Arial"/>
                <w:szCs w:val="20"/>
              </w:rPr>
              <w:t> </w:t>
            </w:r>
            <w:r w:rsidRPr="005759E7">
              <w:rPr>
                <w:rFonts w:cs="Arial"/>
                <w:szCs w:val="20"/>
              </w:rPr>
              <w:t>GHz band) but also mmWave bands will be necessary to realize new services in 5G era, taking into account the varied ITU references and global investigations</w:t>
            </w:r>
          </w:p>
        </w:tc>
        <w:tc>
          <w:tcPr>
            <w:tcW w:w="2268" w:type="dxa"/>
            <w:shd w:val="clear" w:color="auto" w:fill="auto"/>
          </w:tcPr>
          <w:p w14:paraId="6B93915C" w14:textId="77777777" w:rsidR="00AE3E97" w:rsidRPr="009D54DB" w:rsidRDefault="00AE3E97">
            <w:pPr>
              <w:pStyle w:val="TableBody"/>
              <w:rPr>
                <w:rFonts w:cs="Arial"/>
                <w:szCs w:val="20"/>
              </w:rPr>
            </w:pPr>
          </w:p>
        </w:tc>
        <w:tc>
          <w:tcPr>
            <w:tcW w:w="2268" w:type="dxa"/>
            <w:shd w:val="clear" w:color="auto" w:fill="auto"/>
          </w:tcPr>
          <w:p w14:paraId="173C647F" w14:textId="77777777" w:rsidR="00AE3E97" w:rsidRPr="009D54DB" w:rsidRDefault="00AE3E97">
            <w:pPr>
              <w:pStyle w:val="TableBody"/>
              <w:rPr>
                <w:rFonts w:cs="Arial"/>
                <w:szCs w:val="20"/>
              </w:rPr>
            </w:pPr>
          </w:p>
        </w:tc>
        <w:tc>
          <w:tcPr>
            <w:tcW w:w="2268" w:type="dxa"/>
            <w:shd w:val="clear" w:color="auto" w:fill="auto"/>
          </w:tcPr>
          <w:p w14:paraId="02E8092C" w14:textId="77777777" w:rsidR="00AE3E97" w:rsidRPr="009D54DB" w:rsidRDefault="00AE3E97">
            <w:pPr>
              <w:pStyle w:val="TableBody"/>
              <w:rPr>
                <w:rFonts w:cs="Arial"/>
                <w:szCs w:val="20"/>
              </w:rPr>
            </w:pPr>
            <w:r w:rsidRPr="005759E7">
              <w:rPr>
                <w:rFonts w:cs="Arial"/>
                <w:szCs w:val="20"/>
              </w:rPr>
              <w:t>mmWave bands are required to provide wider contiguous bandwidth to support the high</w:t>
            </w:r>
            <w:r w:rsidR="009D54DB">
              <w:rPr>
                <w:rFonts w:cs="Arial"/>
                <w:szCs w:val="20"/>
              </w:rPr>
              <w:t>-</w:t>
            </w:r>
            <w:r w:rsidRPr="005759E7">
              <w:rPr>
                <w:rFonts w:cs="Arial"/>
                <w:szCs w:val="20"/>
              </w:rPr>
              <w:t>data throughput that is an essential characteristic of the full 5G vision</w:t>
            </w:r>
          </w:p>
        </w:tc>
        <w:tc>
          <w:tcPr>
            <w:tcW w:w="2268" w:type="dxa"/>
            <w:shd w:val="clear" w:color="auto" w:fill="auto"/>
          </w:tcPr>
          <w:p w14:paraId="1AB496D5" w14:textId="77777777" w:rsidR="00AE3E97" w:rsidRPr="009D54DB" w:rsidRDefault="00AE3E97">
            <w:pPr>
              <w:pStyle w:val="TableBody"/>
              <w:rPr>
                <w:rFonts w:cs="Arial"/>
                <w:szCs w:val="20"/>
              </w:rPr>
            </w:pPr>
          </w:p>
        </w:tc>
      </w:tr>
      <w:tr w:rsidR="00AE3E97" w:rsidRPr="009D54DB" w14:paraId="473DEADE" w14:textId="77777777" w:rsidTr="00870E53">
        <w:tc>
          <w:tcPr>
            <w:tcW w:w="1991" w:type="dxa"/>
            <w:shd w:val="clear" w:color="auto" w:fill="F2F2F2" w:themeFill="background1" w:themeFillShade="F2"/>
          </w:tcPr>
          <w:p w14:paraId="4FAC573B" w14:textId="77777777" w:rsidR="00AE3E97" w:rsidRPr="009D54DB" w:rsidRDefault="00AE3E97" w:rsidP="0077559E">
            <w:pPr>
              <w:pStyle w:val="TableBody"/>
              <w:rPr>
                <w:rFonts w:cs="Arial"/>
                <w:szCs w:val="20"/>
              </w:rPr>
            </w:pPr>
            <w:r w:rsidRPr="009D54DB">
              <w:rPr>
                <w:rFonts w:cs="Arial"/>
                <w:szCs w:val="20"/>
              </w:rPr>
              <w:lastRenderedPageBreak/>
              <w:t>Qualcomm</w:t>
            </w:r>
          </w:p>
        </w:tc>
        <w:tc>
          <w:tcPr>
            <w:tcW w:w="2268" w:type="dxa"/>
            <w:shd w:val="clear" w:color="auto" w:fill="F2F2F2" w:themeFill="background1" w:themeFillShade="F2"/>
          </w:tcPr>
          <w:p w14:paraId="219B5770" w14:textId="77777777" w:rsidR="00AE3E97" w:rsidRPr="009D54DB" w:rsidRDefault="00AE3E97">
            <w:pPr>
              <w:pStyle w:val="TableBody"/>
              <w:rPr>
                <w:rFonts w:cs="Arial"/>
                <w:szCs w:val="20"/>
              </w:rPr>
            </w:pPr>
          </w:p>
        </w:tc>
        <w:tc>
          <w:tcPr>
            <w:tcW w:w="2268" w:type="dxa"/>
            <w:shd w:val="clear" w:color="auto" w:fill="F2F2F2" w:themeFill="background1" w:themeFillShade="F2"/>
          </w:tcPr>
          <w:p w14:paraId="5F7637D5" w14:textId="77777777" w:rsidR="00AE3E97" w:rsidRPr="009D54DB" w:rsidRDefault="00AE3E97">
            <w:pPr>
              <w:pStyle w:val="TableBody"/>
              <w:rPr>
                <w:rFonts w:cs="Arial"/>
                <w:szCs w:val="20"/>
              </w:rPr>
            </w:pPr>
          </w:p>
        </w:tc>
        <w:tc>
          <w:tcPr>
            <w:tcW w:w="2268" w:type="dxa"/>
            <w:shd w:val="clear" w:color="auto" w:fill="F2F2F2" w:themeFill="background1" w:themeFillShade="F2"/>
          </w:tcPr>
          <w:p w14:paraId="5548BF8B" w14:textId="77777777" w:rsidR="00AE3E97" w:rsidRPr="009D54DB" w:rsidRDefault="00AE3E97">
            <w:pPr>
              <w:pStyle w:val="TableBody"/>
              <w:rPr>
                <w:rFonts w:cs="Arial"/>
                <w:szCs w:val="20"/>
              </w:rPr>
            </w:pPr>
          </w:p>
        </w:tc>
        <w:tc>
          <w:tcPr>
            <w:tcW w:w="2268" w:type="dxa"/>
            <w:shd w:val="clear" w:color="auto" w:fill="F2F2F2" w:themeFill="background1" w:themeFillShade="F2"/>
          </w:tcPr>
          <w:p w14:paraId="62E9172D" w14:textId="77777777" w:rsidR="00AE3E97" w:rsidRPr="009D54DB" w:rsidRDefault="00AE3E97">
            <w:pPr>
              <w:pStyle w:val="TableBody"/>
              <w:rPr>
                <w:rFonts w:cs="Arial"/>
                <w:szCs w:val="20"/>
              </w:rPr>
            </w:pPr>
            <w:r w:rsidRPr="005759E7">
              <w:rPr>
                <w:rFonts w:eastAsiaTheme="majorEastAsia" w:cs="Arial"/>
                <w:szCs w:val="20"/>
              </w:rPr>
              <w:t>Accelerate timeline for release of 5G and mmWave spectrum</w:t>
            </w:r>
            <w:r w:rsidR="00447762">
              <w:rPr>
                <w:rFonts w:eastAsiaTheme="majorEastAsia" w:cs="Arial"/>
                <w:szCs w:val="20"/>
              </w:rPr>
              <w:t xml:space="preserve"> </w:t>
            </w:r>
          </w:p>
        </w:tc>
        <w:tc>
          <w:tcPr>
            <w:tcW w:w="2268" w:type="dxa"/>
            <w:shd w:val="clear" w:color="auto" w:fill="F2F2F2" w:themeFill="background1" w:themeFillShade="F2"/>
          </w:tcPr>
          <w:p w14:paraId="232B17D4" w14:textId="77777777" w:rsidR="00AE3E97" w:rsidRPr="009D54DB" w:rsidRDefault="00AE3E97">
            <w:pPr>
              <w:pStyle w:val="TableBody"/>
              <w:rPr>
                <w:rFonts w:cs="Arial"/>
                <w:szCs w:val="20"/>
              </w:rPr>
            </w:pPr>
          </w:p>
        </w:tc>
      </w:tr>
      <w:tr w:rsidR="00AE3E97" w:rsidRPr="009D54DB" w14:paraId="2E6128C0" w14:textId="77777777" w:rsidTr="00870E53">
        <w:tc>
          <w:tcPr>
            <w:tcW w:w="1991" w:type="dxa"/>
            <w:shd w:val="clear" w:color="auto" w:fill="auto"/>
          </w:tcPr>
          <w:p w14:paraId="2D683219" w14:textId="77777777" w:rsidR="00AE3E97" w:rsidRPr="009D54DB" w:rsidRDefault="00AE3E97" w:rsidP="005759E7">
            <w:pPr>
              <w:pStyle w:val="TableBody"/>
              <w:keepNext/>
              <w:keepLines/>
              <w:rPr>
                <w:rFonts w:cs="Arial"/>
                <w:szCs w:val="20"/>
              </w:rPr>
            </w:pPr>
            <w:r w:rsidRPr="009D54DB">
              <w:rPr>
                <w:rFonts w:cs="Arial"/>
                <w:szCs w:val="20"/>
              </w:rPr>
              <w:t>Cambium Networks</w:t>
            </w:r>
          </w:p>
        </w:tc>
        <w:tc>
          <w:tcPr>
            <w:tcW w:w="2268" w:type="dxa"/>
            <w:shd w:val="clear" w:color="auto" w:fill="auto"/>
          </w:tcPr>
          <w:p w14:paraId="1156AEB2" w14:textId="77777777" w:rsidR="00AE3E97" w:rsidRPr="009D54DB" w:rsidRDefault="00AE3E97" w:rsidP="005759E7">
            <w:pPr>
              <w:pStyle w:val="TableBody"/>
              <w:keepNext/>
              <w:keepLines/>
              <w:rPr>
                <w:rFonts w:cs="Arial"/>
                <w:szCs w:val="20"/>
              </w:rPr>
            </w:pPr>
          </w:p>
        </w:tc>
        <w:tc>
          <w:tcPr>
            <w:tcW w:w="2268" w:type="dxa"/>
            <w:shd w:val="clear" w:color="auto" w:fill="auto"/>
          </w:tcPr>
          <w:p w14:paraId="45788C53" w14:textId="77777777" w:rsidR="00AE3E97" w:rsidRPr="009D54DB" w:rsidRDefault="00AE3E97" w:rsidP="005759E7">
            <w:pPr>
              <w:pStyle w:val="TableBody"/>
              <w:keepNext/>
              <w:keepLines/>
              <w:rPr>
                <w:rFonts w:cs="Arial"/>
                <w:szCs w:val="20"/>
              </w:rPr>
            </w:pPr>
            <w:r w:rsidRPr="005759E7">
              <w:rPr>
                <w:rFonts w:eastAsiaTheme="majorEastAsia" w:cs="Arial"/>
                <w:szCs w:val="20"/>
              </w:rPr>
              <w:t xml:space="preserve">There is a </w:t>
            </w:r>
            <w:r w:rsidR="008A2387" w:rsidRPr="005759E7">
              <w:rPr>
                <w:rFonts w:eastAsiaTheme="majorEastAsia" w:cs="Arial"/>
                <w:szCs w:val="20"/>
              </w:rPr>
              <w:t>lot</w:t>
            </w:r>
            <w:r w:rsidRPr="005759E7">
              <w:rPr>
                <w:rFonts w:eastAsiaTheme="majorEastAsia" w:cs="Arial"/>
                <w:szCs w:val="20"/>
              </w:rPr>
              <w:t xml:space="preserve"> of unused </w:t>
            </w:r>
            <w:r w:rsidR="009D54DB">
              <w:rPr>
                <w:rFonts w:eastAsiaTheme="majorEastAsia" w:cs="Arial"/>
                <w:szCs w:val="20"/>
              </w:rPr>
              <w:t>‘</w:t>
            </w:r>
            <w:r w:rsidRPr="005759E7">
              <w:rPr>
                <w:rFonts w:eastAsiaTheme="majorEastAsia" w:cs="Arial"/>
                <w:szCs w:val="20"/>
              </w:rPr>
              <w:t>mobile spectrum</w:t>
            </w:r>
            <w:r w:rsidR="009D54DB">
              <w:rPr>
                <w:rFonts w:eastAsiaTheme="majorEastAsia" w:cs="Arial"/>
                <w:szCs w:val="20"/>
              </w:rPr>
              <w:t>’</w:t>
            </w:r>
            <w:r w:rsidRPr="005759E7">
              <w:rPr>
                <w:rFonts w:eastAsiaTheme="majorEastAsia" w:cs="Arial"/>
                <w:szCs w:val="20"/>
              </w:rPr>
              <w:t xml:space="preserve"> regionally</w:t>
            </w:r>
            <w:r w:rsidR="009D54DB">
              <w:rPr>
                <w:rFonts w:eastAsiaTheme="majorEastAsia" w:cs="Arial"/>
                <w:szCs w:val="20"/>
              </w:rPr>
              <w:t xml:space="preserve">, </w:t>
            </w:r>
            <w:r w:rsidRPr="005759E7">
              <w:rPr>
                <w:rFonts w:eastAsiaTheme="majorEastAsia" w:cs="Arial"/>
                <w:szCs w:val="20"/>
              </w:rPr>
              <w:t>e.g.</w:t>
            </w:r>
            <w:r w:rsidR="009D54DB">
              <w:rPr>
                <w:rFonts w:eastAsiaTheme="majorEastAsia" w:cs="Arial"/>
                <w:szCs w:val="20"/>
              </w:rPr>
              <w:t>,</w:t>
            </w:r>
            <w:r w:rsidRPr="005759E7">
              <w:rPr>
                <w:rFonts w:eastAsiaTheme="majorEastAsia" w:cs="Arial"/>
                <w:szCs w:val="20"/>
              </w:rPr>
              <w:t xml:space="preserve"> 40</w:t>
            </w:r>
            <w:r w:rsidR="009D54DB">
              <w:rPr>
                <w:rFonts w:eastAsiaTheme="majorEastAsia" w:cs="Arial"/>
                <w:szCs w:val="20"/>
              </w:rPr>
              <w:t xml:space="preserve"> </w:t>
            </w:r>
            <w:r w:rsidRPr="005759E7">
              <w:rPr>
                <w:rFonts w:eastAsiaTheme="majorEastAsia" w:cs="Arial"/>
                <w:szCs w:val="20"/>
              </w:rPr>
              <w:t>MHz of 900</w:t>
            </w:r>
            <w:r w:rsidR="009D54DB">
              <w:rPr>
                <w:rFonts w:eastAsiaTheme="majorEastAsia" w:cs="Arial"/>
                <w:szCs w:val="20"/>
              </w:rPr>
              <w:t xml:space="preserve"> </w:t>
            </w:r>
            <w:r w:rsidRPr="005759E7">
              <w:rPr>
                <w:rFonts w:eastAsiaTheme="majorEastAsia" w:cs="Arial"/>
                <w:szCs w:val="20"/>
              </w:rPr>
              <w:t xml:space="preserve">MHz makes a </w:t>
            </w:r>
            <w:r w:rsidR="008A2387" w:rsidRPr="005759E7">
              <w:rPr>
                <w:rFonts w:eastAsiaTheme="majorEastAsia" w:cs="Arial"/>
                <w:szCs w:val="20"/>
              </w:rPr>
              <w:t xml:space="preserve">huge </w:t>
            </w:r>
            <w:r w:rsidRPr="005759E7">
              <w:rPr>
                <w:rFonts w:eastAsiaTheme="majorEastAsia" w:cs="Arial"/>
                <w:szCs w:val="20"/>
              </w:rPr>
              <w:t>difference to delivering effective rural broadband and another 10</w:t>
            </w:r>
            <w:r w:rsidR="00F66522">
              <w:rPr>
                <w:rFonts w:eastAsiaTheme="majorEastAsia" w:cs="Arial"/>
                <w:szCs w:val="20"/>
              </w:rPr>
              <w:t xml:space="preserve"> </w:t>
            </w:r>
            <w:r w:rsidRPr="005759E7">
              <w:rPr>
                <w:rFonts w:eastAsiaTheme="majorEastAsia" w:cs="Arial"/>
                <w:szCs w:val="20"/>
              </w:rPr>
              <w:t>MHz licensed spectrum for narrowband IoT</w:t>
            </w:r>
          </w:p>
        </w:tc>
        <w:tc>
          <w:tcPr>
            <w:tcW w:w="2268" w:type="dxa"/>
            <w:shd w:val="clear" w:color="auto" w:fill="auto"/>
          </w:tcPr>
          <w:p w14:paraId="3CAC25B1" w14:textId="77777777" w:rsidR="00AE3E97" w:rsidRPr="009D54DB" w:rsidRDefault="00AE3E97">
            <w:pPr>
              <w:pStyle w:val="TableBody"/>
              <w:rPr>
                <w:rFonts w:cs="Arial"/>
                <w:szCs w:val="20"/>
              </w:rPr>
            </w:pPr>
          </w:p>
        </w:tc>
        <w:tc>
          <w:tcPr>
            <w:tcW w:w="2268" w:type="dxa"/>
            <w:shd w:val="clear" w:color="auto" w:fill="auto"/>
          </w:tcPr>
          <w:p w14:paraId="332ED377" w14:textId="77777777" w:rsidR="00AE3E97" w:rsidRPr="009D54DB" w:rsidRDefault="00AE3E97">
            <w:pPr>
              <w:pStyle w:val="TableBody"/>
              <w:rPr>
                <w:rFonts w:cs="Arial"/>
                <w:szCs w:val="20"/>
              </w:rPr>
            </w:pPr>
          </w:p>
        </w:tc>
        <w:tc>
          <w:tcPr>
            <w:tcW w:w="2268" w:type="dxa"/>
            <w:shd w:val="clear" w:color="auto" w:fill="auto"/>
          </w:tcPr>
          <w:p w14:paraId="26733FBE" w14:textId="77777777" w:rsidR="00AE3E97" w:rsidRPr="009D54DB" w:rsidRDefault="00AE3E97">
            <w:pPr>
              <w:pStyle w:val="TableBody"/>
              <w:rPr>
                <w:rFonts w:cs="Arial"/>
                <w:szCs w:val="20"/>
              </w:rPr>
            </w:pPr>
          </w:p>
        </w:tc>
      </w:tr>
      <w:tr w:rsidR="00AE3E97" w:rsidRPr="009D54DB" w14:paraId="2B5475F0" w14:textId="77777777" w:rsidTr="00870E53">
        <w:tc>
          <w:tcPr>
            <w:tcW w:w="1991" w:type="dxa"/>
            <w:shd w:val="clear" w:color="auto" w:fill="F2F2F2" w:themeFill="background1" w:themeFillShade="F2"/>
          </w:tcPr>
          <w:p w14:paraId="60652796" w14:textId="77777777" w:rsidR="00AE3E97" w:rsidRPr="009D54DB" w:rsidRDefault="00AE3E97" w:rsidP="0077559E">
            <w:pPr>
              <w:pStyle w:val="TableBody"/>
              <w:rPr>
                <w:rFonts w:cs="Arial"/>
                <w:szCs w:val="20"/>
              </w:rPr>
            </w:pPr>
            <w:r w:rsidRPr="009D54DB">
              <w:rPr>
                <w:rFonts w:cs="Arial"/>
                <w:szCs w:val="20"/>
              </w:rPr>
              <w:t>Huawei</w:t>
            </w:r>
          </w:p>
        </w:tc>
        <w:tc>
          <w:tcPr>
            <w:tcW w:w="2268" w:type="dxa"/>
            <w:shd w:val="clear" w:color="auto" w:fill="F2F2F2" w:themeFill="background1" w:themeFillShade="F2"/>
          </w:tcPr>
          <w:p w14:paraId="23AC9D88" w14:textId="77777777" w:rsidR="00AE3E97" w:rsidRPr="009D54DB" w:rsidRDefault="00AE3E97">
            <w:pPr>
              <w:pStyle w:val="TableBody"/>
              <w:rPr>
                <w:rFonts w:cs="Arial"/>
                <w:szCs w:val="20"/>
              </w:rPr>
            </w:pPr>
          </w:p>
        </w:tc>
        <w:tc>
          <w:tcPr>
            <w:tcW w:w="2268" w:type="dxa"/>
            <w:shd w:val="clear" w:color="auto" w:fill="F2F2F2" w:themeFill="background1" w:themeFillShade="F2"/>
          </w:tcPr>
          <w:p w14:paraId="30241D6F" w14:textId="77777777" w:rsidR="00AE3E97" w:rsidRPr="009D54DB" w:rsidRDefault="00AE3E97">
            <w:pPr>
              <w:pStyle w:val="TableBody"/>
              <w:rPr>
                <w:rFonts w:cs="Arial"/>
                <w:szCs w:val="20"/>
              </w:rPr>
            </w:pPr>
          </w:p>
        </w:tc>
        <w:tc>
          <w:tcPr>
            <w:tcW w:w="2268" w:type="dxa"/>
            <w:shd w:val="clear" w:color="auto" w:fill="F2F2F2" w:themeFill="background1" w:themeFillShade="F2"/>
          </w:tcPr>
          <w:p w14:paraId="7489F98C" w14:textId="77777777" w:rsidR="00AE3E97" w:rsidRPr="009D54DB" w:rsidRDefault="00AE3E97">
            <w:pPr>
              <w:pStyle w:val="TableBody"/>
              <w:rPr>
                <w:rFonts w:cs="Arial"/>
                <w:szCs w:val="20"/>
              </w:rPr>
            </w:pPr>
          </w:p>
        </w:tc>
        <w:tc>
          <w:tcPr>
            <w:tcW w:w="2268" w:type="dxa"/>
            <w:shd w:val="clear" w:color="auto" w:fill="F2F2F2" w:themeFill="background1" w:themeFillShade="F2"/>
          </w:tcPr>
          <w:p w14:paraId="6C3761F9" w14:textId="77777777" w:rsidR="00AE3E97" w:rsidRPr="009D54DB" w:rsidRDefault="00AE3E97">
            <w:pPr>
              <w:pStyle w:val="TableBody"/>
              <w:rPr>
                <w:rFonts w:cs="Arial"/>
                <w:szCs w:val="20"/>
              </w:rPr>
            </w:pPr>
            <w:r w:rsidRPr="005759E7">
              <w:rPr>
                <w:rFonts w:eastAsiaTheme="majorEastAsia" w:cs="Arial"/>
                <w:szCs w:val="20"/>
              </w:rPr>
              <w:t>Prioritise the mmWave band as complementary to the 3.6 GHz band.</w:t>
            </w:r>
          </w:p>
        </w:tc>
        <w:tc>
          <w:tcPr>
            <w:tcW w:w="2268" w:type="dxa"/>
            <w:shd w:val="clear" w:color="auto" w:fill="F2F2F2" w:themeFill="background1" w:themeFillShade="F2"/>
          </w:tcPr>
          <w:p w14:paraId="23B67FE0" w14:textId="77777777" w:rsidR="00AE3E97" w:rsidRPr="009D54DB" w:rsidRDefault="00AE3E97">
            <w:pPr>
              <w:pStyle w:val="TableBody"/>
              <w:rPr>
                <w:rFonts w:cs="Arial"/>
                <w:szCs w:val="20"/>
              </w:rPr>
            </w:pPr>
          </w:p>
        </w:tc>
      </w:tr>
    </w:tbl>
    <w:p w14:paraId="623D4F8D" w14:textId="77777777" w:rsidR="00FE4E15" w:rsidRDefault="00FE4E15" w:rsidP="00F57787">
      <w:pPr>
        <w:pStyle w:val="ACMATableHeader"/>
        <w:numPr>
          <w:ilvl w:val="0"/>
          <w:numId w:val="0"/>
        </w:numPr>
        <w:sectPr w:rsidR="00FE4E15" w:rsidSect="00344590">
          <w:pgSz w:w="16838" w:h="11906" w:orient="landscape" w:code="9"/>
          <w:pgMar w:top="1134" w:right="1945" w:bottom="1560" w:left="1134" w:header="709" w:footer="119" w:gutter="0"/>
          <w:cols w:space="708"/>
          <w:docGrid w:linePitch="360"/>
        </w:sectPr>
      </w:pPr>
    </w:p>
    <w:p w14:paraId="6521CC7B" w14:textId="77777777" w:rsidR="003F4B80" w:rsidRPr="005759E7" w:rsidRDefault="003F4B80" w:rsidP="005759E7">
      <w:pPr>
        <w:pStyle w:val="Heading2"/>
      </w:pPr>
      <w:bookmarkStart w:id="287" w:name="_Toc510104964"/>
      <w:bookmarkStart w:id="288" w:name="_Toc510105761"/>
      <w:bookmarkStart w:id="289" w:name="_Toc510795093"/>
      <w:bookmarkStart w:id="290" w:name="_Toc511716294"/>
      <w:bookmarkStart w:id="291" w:name="_Toc511719105"/>
      <w:bookmarkStart w:id="292" w:name="_Toc514156709"/>
      <w:r w:rsidRPr="005759E7">
        <w:lastRenderedPageBreak/>
        <w:t>What we</w:t>
      </w:r>
      <w:r w:rsidR="009D54DB">
        <w:t>’</w:t>
      </w:r>
      <w:r w:rsidRPr="005759E7">
        <w:t>re proposing</w:t>
      </w:r>
      <w:bookmarkEnd w:id="287"/>
      <w:bookmarkEnd w:id="288"/>
      <w:bookmarkEnd w:id="289"/>
      <w:bookmarkEnd w:id="290"/>
      <w:bookmarkEnd w:id="291"/>
      <w:bookmarkEnd w:id="292"/>
    </w:p>
    <w:p w14:paraId="5CAE78FA" w14:textId="77777777" w:rsidR="00C25A23" w:rsidRDefault="00C25A23" w:rsidP="0077559E">
      <w:r>
        <w:t>The ACMA completed an auction in December 2017 for a multi-band allocation of unsold spectrum in four bands: 1800 MHz, 2</w:t>
      </w:r>
      <w:r w:rsidR="005234FD">
        <w:t xml:space="preserve"> </w:t>
      </w:r>
      <w:r>
        <w:t>GHz, 2.3 GHz and 3.4 GHz</w:t>
      </w:r>
      <w:r w:rsidR="005319E7">
        <w:t xml:space="preserve">. </w:t>
      </w:r>
      <w:r w:rsidR="000C6CE5">
        <w:t>It plans to offer t</w:t>
      </w:r>
      <w:r w:rsidR="005319E7">
        <w:t>he single lot that remained unsold at the conclusion of the auction for administrative allocation in Q1 2018</w:t>
      </w:r>
      <w:r w:rsidR="0037046B">
        <w:t>–</w:t>
      </w:r>
      <w:r w:rsidR="005319E7">
        <w:t>19.</w:t>
      </w:r>
    </w:p>
    <w:p w14:paraId="2C63F70C" w14:textId="77777777" w:rsidR="003F4B80" w:rsidRDefault="005234FD">
      <w:r>
        <w:t>T</w:t>
      </w:r>
      <w:r w:rsidR="003F4B80">
        <w:t xml:space="preserve">he remaining </w:t>
      </w:r>
      <w:r w:rsidR="003F4B80" w:rsidRPr="009F505F">
        <w:t xml:space="preserve">set of spectrum bands </w:t>
      </w:r>
      <w:r w:rsidR="002026C0">
        <w:t xml:space="preserve">under consideration for potential </w:t>
      </w:r>
      <w:r w:rsidR="003F4B80" w:rsidRPr="009F505F">
        <w:t>future allocation</w:t>
      </w:r>
      <w:r w:rsidR="003F4B80">
        <w:t xml:space="preserve"> is outlined in Table </w:t>
      </w:r>
      <w:r w:rsidR="004C73EF">
        <w:t>15</w:t>
      </w:r>
      <w:r w:rsidR="003F4B80">
        <w:t>.</w:t>
      </w:r>
      <w:r w:rsidR="003F4B80" w:rsidRPr="009F505F">
        <w:t xml:space="preserve"> </w:t>
      </w:r>
    </w:p>
    <w:p w14:paraId="1209543D" w14:textId="77777777" w:rsidR="00585FB9" w:rsidRDefault="00585FB9" w:rsidP="00F57787">
      <w:pPr>
        <w:pStyle w:val="ACMATableHeader"/>
      </w:pPr>
      <w:r w:rsidRPr="00B870EF">
        <w:t xml:space="preserve">Spectrum bands </w:t>
      </w:r>
      <w:r>
        <w:t>under consideration</w:t>
      </w:r>
    </w:p>
    <w:tbl>
      <w:tblPr>
        <w:tblStyle w:val="TableGrid"/>
        <w:tblW w:w="5000" w:type="pct"/>
        <w:tblCellMar>
          <w:top w:w="57" w:type="dxa"/>
          <w:left w:w="57" w:type="dxa"/>
          <w:bottom w:w="57" w:type="dxa"/>
          <w:right w:w="57" w:type="dxa"/>
        </w:tblCellMar>
        <w:tblLook w:val="04A0" w:firstRow="1" w:lastRow="0" w:firstColumn="1" w:lastColumn="0" w:noHBand="0" w:noVBand="1"/>
        <w:tblCaption w:val="Spectrum bands currently being considered for allocation"/>
        <w:tblDescription w:val="Table includes information about multi-band residual lots, 3.6 GHz band, 850 MHz band, 900 MHz band, mmWave band and 1.5 GHz band."/>
      </w:tblPr>
      <w:tblGrid>
        <w:gridCol w:w="1415"/>
        <w:gridCol w:w="1558"/>
        <w:gridCol w:w="1558"/>
        <w:gridCol w:w="3130"/>
      </w:tblGrid>
      <w:tr w:rsidR="00585FB9" w14:paraId="09FB2E69" w14:textId="77777777" w:rsidTr="00972721">
        <w:trPr>
          <w:tblHeader/>
        </w:trPr>
        <w:tc>
          <w:tcPr>
            <w:tcW w:w="923" w:type="pct"/>
            <w:shd w:val="clear" w:color="auto" w:fill="404040" w:themeFill="text1" w:themeFillTint="BF"/>
          </w:tcPr>
          <w:p w14:paraId="0AF16993" w14:textId="77777777" w:rsidR="00585FB9" w:rsidRPr="005A4D59" w:rsidRDefault="00585FB9" w:rsidP="00585FB9">
            <w:pPr>
              <w:pStyle w:val="TableHeading"/>
              <w:rPr>
                <w:color w:val="FFFFFF" w:themeColor="background1"/>
              </w:rPr>
            </w:pPr>
            <w:r w:rsidRPr="005A4D59">
              <w:rPr>
                <w:color w:val="FFFFFF" w:themeColor="background1"/>
              </w:rPr>
              <w:t>Band name</w:t>
            </w:r>
          </w:p>
        </w:tc>
        <w:tc>
          <w:tcPr>
            <w:tcW w:w="1017" w:type="pct"/>
            <w:shd w:val="clear" w:color="auto" w:fill="404040" w:themeFill="text1" w:themeFillTint="BF"/>
          </w:tcPr>
          <w:p w14:paraId="6A6BF5D4" w14:textId="77777777" w:rsidR="00585FB9" w:rsidRPr="005A4D59" w:rsidRDefault="00585FB9" w:rsidP="00585FB9">
            <w:pPr>
              <w:pStyle w:val="TableHeading"/>
              <w:rPr>
                <w:color w:val="FFFFFF" w:themeColor="background1"/>
              </w:rPr>
            </w:pPr>
            <w:r w:rsidRPr="005A4D59">
              <w:rPr>
                <w:color w:val="FFFFFF" w:themeColor="background1"/>
              </w:rPr>
              <w:t>Spectrum parameters</w:t>
            </w:r>
          </w:p>
        </w:tc>
        <w:tc>
          <w:tcPr>
            <w:tcW w:w="1017" w:type="pct"/>
            <w:shd w:val="clear" w:color="auto" w:fill="404040" w:themeFill="text1" w:themeFillTint="BF"/>
          </w:tcPr>
          <w:p w14:paraId="4AC2C684" w14:textId="77777777" w:rsidR="00585FB9" w:rsidRPr="005A4D59" w:rsidRDefault="00585FB9" w:rsidP="00585FB9">
            <w:pPr>
              <w:pStyle w:val="TableHeading"/>
              <w:rPr>
                <w:color w:val="FFFFFF" w:themeColor="background1"/>
              </w:rPr>
            </w:pPr>
            <w:r w:rsidRPr="005A4D59">
              <w:rPr>
                <w:color w:val="FFFFFF" w:themeColor="background1"/>
              </w:rPr>
              <w:t>Current use</w:t>
            </w:r>
          </w:p>
        </w:tc>
        <w:tc>
          <w:tcPr>
            <w:tcW w:w="2043" w:type="pct"/>
            <w:shd w:val="clear" w:color="auto" w:fill="404040" w:themeFill="text1" w:themeFillTint="BF"/>
          </w:tcPr>
          <w:p w14:paraId="2D46A380" w14:textId="77777777" w:rsidR="00585FB9" w:rsidRPr="005A4D59" w:rsidRDefault="00585FB9" w:rsidP="00585FB9">
            <w:pPr>
              <w:pStyle w:val="TableHeading"/>
              <w:rPr>
                <w:color w:val="FFFFFF" w:themeColor="background1"/>
              </w:rPr>
            </w:pPr>
            <w:r w:rsidRPr="005A4D59">
              <w:rPr>
                <w:color w:val="FFFFFF" w:themeColor="background1"/>
              </w:rPr>
              <w:t>Comments</w:t>
            </w:r>
          </w:p>
        </w:tc>
      </w:tr>
      <w:tr w:rsidR="00585FB9" w14:paraId="0AC18FED" w14:textId="77777777" w:rsidTr="00972721">
        <w:tc>
          <w:tcPr>
            <w:tcW w:w="923" w:type="pct"/>
            <w:shd w:val="clear" w:color="auto" w:fill="auto"/>
          </w:tcPr>
          <w:p w14:paraId="04301B82" w14:textId="77777777" w:rsidR="00585FB9" w:rsidRPr="00EF20E4" w:rsidRDefault="00585FB9" w:rsidP="00585FB9">
            <w:pPr>
              <w:spacing w:after="0"/>
              <w:rPr>
                <w:b/>
                <w:szCs w:val="20"/>
              </w:rPr>
            </w:pPr>
            <w:r w:rsidRPr="00EF20E4">
              <w:rPr>
                <w:b/>
                <w:szCs w:val="20"/>
              </w:rPr>
              <w:t>3.6 GHz band</w:t>
            </w:r>
          </w:p>
        </w:tc>
        <w:tc>
          <w:tcPr>
            <w:tcW w:w="1017" w:type="pct"/>
            <w:shd w:val="clear" w:color="auto" w:fill="auto"/>
          </w:tcPr>
          <w:p w14:paraId="449C07E5" w14:textId="77777777" w:rsidR="00585FB9" w:rsidRPr="00EF20E4" w:rsidRDefault="00585FB9" w:rsidP="00585FB9">
            <w:pPr>
              <w:spacing w:after="0"/>
              <w:rPr>
                <w:szCs w:val="20"/>
              </w:rPr>
            </w:pPr>
            <w:r w:rsidRPr="00EF20E4">
              <w:rPr>
                <w:szCs w:val="20"/>
              </w:rPr>
              <w:t>3575–3700 MHz</w:t>
            </w:r>
          </w:p>
        </w:tc>
        <w:tc>
          <w:tcPr>
            <w:tcW w:w="1017" w:type="pct"/>
            <w:shd w:val="clear" w:color="auto" w:fill="auto"/>
          </w:tcPr>
          <w:p w14:paraId="30E7A27A" w14:textId="77777777" w:rsidR="00585FB9" w:rsidRPr="00EF20E4" w:rsidRDefault="00585FB9" w:rsidP="00585FB9">
            <w:pPr>
              <w:spacing w:after="0"/>
              <w:rPr>
                <w:szCs w:val="20"/>
              </w:rPr>
            </w:pPr>
            <w:r w:rsidRPr="00EF20E4">
              <w:rPr>
                <w:szCs w:val="20"/>
              </w:rPr>
              <w:t xml:space="preserve">Point-to-point, FSS (satellite), </w:t>
            </w:r>
            <w:r w:rsidR="00350C72" w:rsidRPr="00EF20E4">
              <w:rPr>
                <w:szCs w:val="20"/>
              </w:rPr>
              <w:t>a</w:t>
            </w:r>
            <w:r w:rsidRPr="00EF20E4">
              <w:rPr>
                <w:szCs w:val="20"/>
              </w:rPr>
              <w:t xml:space="preserve">mateur, </w:t>
            </w:r>
            <w:r w:rsidR="00350C72" w:rsidRPr="00EF20E4">
              <w:rPr>
                <w:szCs w:val="20"/>
              </w:rPr>
              <w:t>r</w:t>
            </w:r>
            <w:r w:rsidRPr="00EF20E4">
              <w:rPr>
                <w:szCs w:val="20"/>
              </w:rPr>
              <w:t>egional WISPs</w:t>
            </w:r>
          </w:p>
        </w:tc>
        <w:tc>
          <w:tcPr>
            <w:tcW w:w="2043" w:type="pct"/>
            <w:shd w:val="clear" w:color="auto" w:fill="auto"/>
          </w:tcPr>
          <w:p w14:paraId="4150E455" w14:textId="77777777" w:rsidR="00585FB9" w:rsidRPr="00EF20E4" w:rsidRDefault="00585FB9" w:rsidP="005759E7">
            <w:pPr>
              <w:spacing w:after="40"/>
              <w:rPr>
                <w:szCs w:val="20"/>
              </w:rPr>
            </w:pPr>
            <w:r w:rsidRPr="00EF20E4">
              <w:rPr>
                <w:szCs w:val="20"/>
              </w:rPr>
              <w:t>Likely first 5G band.</w:t>
            </w:r>
          </w:p>
          <w:p w14:paraId="57546BB1" w14:textId="77777777" w:rsidR="005234FD" w:rsidRPr="00EF20E4" w:rsidRDefault="00585FB9" w:rsidP="005759E7">
            <w:pPr>
              <w:spacing w:after="40"/>
              <w:rPr>
                <w:szCs w:val="20"/>
              </w:rPr>
            </w:pPr>
            <w:r w:rsidRPr="00EF20E4">
              <w:rPr>
                <w:szCs w:val="20"/>
              </w:rPr>
              <w:t xml:space="preserve">Reallocation declaration made by the </w:t>
            </w:r>
            <w:r w:rsidR="005234FD" w:rsidRPr="00EF20E4">
              <w:rPr>
                <w:szCs w:val="20"/>
              </w:rPr>
              <w:t>m</w:t>
            </w:r>
            <w:r w:rsidRPr="00EF20E4">
              <w:rPr>
                <w:szCs w:val="20"/>
              </w:rPr>
              <w:t xml:space="preserve">inister </w:t>
            </w:r>
            <w:r w:rsidR="005234FD" w:rsidRPr="00EF20E4">
              <w:rPr>
                <w:szCs w:val="20"/>
              </w:rPr>
              <w:t>in</w:t>
            </w:r>
            <w:r w:rsidRPr="00EF20E4">
              <w:rPr>
                <w:szCs w:val="20"/>
              </w:rPr>
              <w:t xml:space="preserve"> March 2018</w:t>
            </w:r>
            <w:r w:rsidR="00673940" w:rsidRPr="00EF20E4">
              <w:rPr>
                <w:szCs w:val="20"/>
              </w:rPr>
              <w:t>.</w:t>
            </w:r>
          </w:p>
          <w:p w14:paraId="5CB444D5" w14:textId="77777777" w:rsidR="00585FB9" w:rsidRPr="00EF20E4" w:rsidRDefault="00585FB9" w:rsidP="005759E7">
            <w:pPr>
              <w:spacing w:after="40"/>
              <w:rPr>
                <w:szCs w:val="20"/>
              </w:rPr>
            </w:pPr>
            <w:r w:rsidRPr="00EF20E4">
              <w:rPr>
                <w:szCs w:val="20"/>
              </w:rPr>
              <w:t>Proceeding to auction, expected to commence in October 2018</w:t>
            </w:r>
            <w:r w:rsidR="00673940" w:rsidRPr="00EF20E4">
              <w:rPr>
                <w:szCs w:val="20"/>
              </w:rPr>
              <w:t>.</w:t>
            </w:r>
          </w:p>
        </w:tc>
      </w:tr>
      <w:tr w:rsidR="00445F0B" w14:paraId="34977E80" w14:textId="77777777" w:rsidTr="00972721">
        <w:tc>
          <w:tcPr>
            <w:tcW w:w="923" w:type="pct"/>
            <w:shd w:val="clear" w:color="auto" w:fill="F2F2F2" w:themeFill="background1" w:themeFillShade="F2"/>
          </w:tcPr>
          <w:p w14:paraId="3EBB23D5" w14:textId="77777777" w:rsidR="00445F0B" w:rsidRPr="00EF20E4" w:rsidRDefault="00445F0B" w:rsidP="00445F0B">
            <w:pPr>
              <w:spacing w:after="0"/>
              <w:rPr>
                <w:b/>
                <w:szCs w:val="20"/>
              </w:rPr>
            </w:pPr>
            <w:r w:rsidRPr="00EF20E4">
              <w:rPr>
                <w:b/>
                <w:szCs w:val="20"/>
              </w:rPr>
              <w:t>850 MHz band</w:t>
            </w:r>
          </w:p>
        </w:tc>
        <w:tc>
          <w:tcPr>
            <w:tcW w:w="1017" w:type="pct"/>
            <w:shd w:val="clear" w:color="auto" w:fill="F2F2F2" w:themeFill="background1" w:themeFillShade="F2"/>
          </w:tcPr>
          <w:p w14:paraId="2C5A66B7" w14:textId="77777777" w:rsidR="00445F0B" w:rsidRPr="00EF20E4" w:rsidRDefault="00445F0B" w:rsidP="00445F0B">
            <w:pPr>
              <w:spacing w:after="0"/>
              <w:rPr>
                <w:szCs w:val="20"/>
              </w:rPr>
            </w:pPr>
            <w:r w:rsidRPr="00EF20E4">
              <w:rPr>
                <w:szCs w:val="20"/>
              </w:rPr>
              <w:t>809–824 MHz and 855–870 MHz</w:t>
            </w:r>
          </w:p>
        </w:tc>
        <w:tc>
          <w:tcPr>
            <w:tcW w:w="1017" w:type="pct"/>
            <w:shd w:val="clear" w:color="auto" w:fill="F2F2F2" w:themeFill="background1" w:themeFillShade="F2"/>
          </w:tcPr>
          <w:p w14:paraId="23234722" w14:textId="77777777" w:rsidR="00445F0B" w:rsidRPr="00EF20E4" w:rsidRDefault="00445F0B" w:rsidP="00445F0B">
            <w:pPr>
              <w:spacing w:after="0"/>
              <w:rPr>
                <w:szCs w:val="20"/>
              </w:rPr>
            </w:pPr>
            <w:r w:rsidRPr="00EF20E4">
              <w:rPr>
                <w:szCs w:val="20"/>
              </w:rPr>
              <w:t>Fixed links, point-to-multipoint, land mobile</w:t>
            </w:r>
          </w:p>
        </w:tc>
        <w:tc>
          <w:tcPr>
            <w:tcW w:w="2043" w:type="pct"/>
            <w:shd w:val="clear" w:color="auto" w:fill="F2F2F2" w:themeFill="background1" w:themeFillShade="F2"/>
          </w:tcPr>
          <w:p w14:paraId="1B6CB63A" w14:textId="77777777" w:rsidR="00445F0B" w:rsidRPr="00EF20E4" w:rsidRDefault="00445F0B" w:rsidP="00445F0B">
            <w:pPr>
              <w:spacing w:after="40"/>
              <w:rPr>
                <w:szCs w:val="20"/>
              </w:rPr>
            </w:pPr>
            <w:r w:rsidRPr="00EF20E4">
              <w:rPr>
                <w:szCs w:val="20"/>
              </w:rPr>
              <w:t>Decision to re-farm has been made already, but lengthy clearance process up to 2024.</w:t>
            </w:r>
          </w:p>
        </w:tc>
      </w:tr>
      <w:tr w:rsidR="00585FB9" w14:paraId="550BFF93" w14:textId="77777777" w:rsidTr="00972721">
        <w:tc>
          <w:tcPr>
            <w:tcW w:w="875" w:type="pct"/>
            <w:shd w:val="clear" w:color="auto" w:fill="auto"/>
          </w:tcPr>
          <w:p w14:paraId="32DCCD84" w14:textId="77777777" w:rsidR="00585FB9" w:rsidRPr="00EF20E4" w:rsidRDefault="00585FB9" w:rsidP="00585FB9">
            <w:pPr>
              <w:spacing w:after="0"/>
              <w:rPr>
                <w:b/>
                <w:szCs w:val="20"/>
              </w:rPr>
            </w:pPr>
            <w:r w:rsidRPr="00EF20E4">
              <w:rPr>
                <w:b/>
                <w:szCs w:val="20"/>
              </w:rPr>
              <w:t>900 MHz band</w:t>
            </w:r>
          </w:p>
        </w:tc>
        <w:tc>
          <w:tcPr>
            <w:tcW w:w="947" w:type="pct"/>
            <w:shd w:val="clear" w:color="auto" w:fill="auto"/>
          </w:tcPr>
          <w:p w14:paraId="5BC512B3" w14:textId="77777777" w:rsidR="00585FB9" w:rsidRPr="00EF20E4" w:rsidRDefault="00585FB9" w:rsidP="00585FB9">
            <w:pPr>
              <w:spacing w:after="0"/>
              <w:rPr>
                <w:szCs w:val="20"/>
              </w:rPr>
            </w:pPr>
            <w:r w:rsidRPr="00EF20E4">
              <w:rPr>
                <w:szCs w:val="20"/>
              </w:rPr>
              <w:t>890–915 MHz and 935–960 MHz</w:t>
            </w:r>
          </w:p>
        </w:tc>
        <w:tc>
          <w:tcPr>
            <w:tcW w:w="907" w:type="pct"/>
            <w:shd w:val="clear" w:color="auto" w:fill="auto"/>
          </w:tcPr>
          <w:p w14:paraId="326B3D63" w14:textId="77777777" w:rsidR="00585FB9" w:rsidRPr="00EF20E4" w:rsidRDefault="00585FB9" w:rsidP="00585FB9">
            <w:pPr>
              <w:spacing w:after="0"/>
              <w:rPr>
                <w:szCs w:val="20"/>
              </w:rPr>
            </w:pPr>
            <w:r w:rsidRPr="00EF20E4">
              <w:rPr>
                <w:szCs w:val="20"/>
              </w:rPr>
              <w:t>2G mobile (GSM), 3G, 4G</w:t>
            </w:r>
          </w:p>
        </w:tc>
        <w:tc>
          <w:tcPr>
            <w:tcW w:w="1936" w:type="pct"/>
            <w:shd w:val="clear" w:color="auto" w:fill="auto"/>
          </w:tcPr>
          <w:p w14:paraId="571EC911" w14:textId="77777777" w:rsidR="00585FB9" w:rsidRPr="00EF20E4" w:rsidRDefault="00585FB9" w:rsidP="005759E7">
            <w:pPr>
              <w:spacing w:after="40"/>
              <w:rPr>
                <w:szCs w:val="20"/>
              </w:rPr>
            </w:pPr>
            <w:r w:rsidRPr="00EF20E4">
              <w:rPr>
                <w:szCs w:val="20"/>
              </w:rPr>
              <w:t>2G shutdown imminent.</w:t>
            </w:r>
            <w:r w:rsidR="00447762" w:rsidRPr="00EF20E4">
              <w:rPr>
                <w:szCs w:val="20"/>
              </w:rPr>
              <w:t xml:space="preserve"> </w:t>
            </w:r>
          </w:p>
          <w:p w14:paraId="531483AA" w14:textId="77777777" w:rsidR="00585FB9" w:rsidRPr="00EF20E4" w:rsidRDefault="00585FB9" w:rsidP="00835E98">
            <w:pPr>
              <w:spacing w:after="0"/>
              <w:rPr>
                <w:szCs w:val="20"/>
              </w:rPr>
            </w:pPr>
            <w:r w:rsidRPr="00EF20E4">
              <w:rPr>
                <w:szCs w:val="20"/>
              </w:rPr>
              <w:t xml:space="preserve">ACMA </w:t>
            </w:r>
            <w:r w:rsidR="00835E98" w:rsidRPr="00EF20E4">
              <w:rPr>
                <w:szCs w:val="20"/>
              </w:rPr>
              <w:t>decision on way forward</w:t>
            </w:r>
            <w:r w:rsidRPr="00EF20E4">
              <w:rPr>
                <w:szCs w:val="20"/>
              </w:rPr>
              <w:t xml:space="preserve"> challenged by two mobile network operators, indicating current use as a 3G band</w:t>
            </w:r>
            <w:r w:rsidR="00673940" w:rsidRPr="00EF20E4">
              <w:rPr>
                <w:szCs w:val="20"/>
              </w:rPr>
              <w:t>.</w:t>
            </w:r>
            <w:r w:rsidRPr="00EF20E4">
              <w:rPr>
                <w:szCs w:val="20"/>
              </w:rPr>
              <w:t xml:space="preserve"> </w:t>
            </w:r>
          </w:p>
        </w:tc>
      </w:tr>
      <w:tr w:rsidR="00445F0B" w14:paraId="563B2F51" w14:textId="77777777" w:rsidTr="00972721">
        <w:tc>
          <w:tcPr>
            <w:tcW w:w="875" w:type="pct"/>
            <w:shd w:val="clear" w:color="auto" w:fill="F2F2F2" w:themeFill="background1" w:themeFillShade="F2"/>
          </w:tcPr>
          <w:p w14:paraId="48589D0B" w14:textId="77777777" w:rsidR="00445F0B" w:rsidRPr="00EF20E4" w:rsidRDefault="00835E98" w:rsidP="00445F0B">
            <w:pPr>
              <w:spacing w:after="0"/>
              <w:rPr>
                <w:b/>
                <w:szCs w:val="20"/>
              </w:rPr>
            </w:pPr>
            <w:r w:rsidRPr="00EF20E4">
              <w:rPr>
                <w:b/>
                <w:szCs w:val="20"/>
              </w:rPr>
              <w:t xml:space="preserve">26 GHz </w:t>
            </w:r>
            <w:r w:rsidR="00445F0B" w:rsidRPr="00EF20E4">
              <w:rPr>
                <w:b/>
                <w:szCs w:val="20"/>
              </w:rPr>
              <w:t>band</w:t>
            </w:r>
          </w:p>
        </w:tc>
        <w:tc>
          <w:tcPr>
            <w:tcW w:w="947" w:type="pct"/>
            <w:shd w:val="clear" w:color="auto" w:fill="F2F2F2" w:themeFill="background1" w:themeFillShade="F2"/>
          </w:tcPr>
          <w:p w14:paraId="0A8D8564" w14:textId="77777777" w:rsidR="00445F0B" w:rsidRPr="00EF20E4" w:rsidRDefault="00445F0B" w:rsidP="00445F0B">
            <w:pPr>
              <w:spacing w:after="0"/>
              <w:rPr>
                <w:szCs w:val="20"/>
              </w:rPr>
            </w:pPr>
            <w:r w:rsidRPr="00EF20E4">
              <w:rPr>
                <w:szCs w:val="20"/>
              </w:rPr>
              <w:t>24.25–27.5 GHz</w:t>
            </w:r>
          </w:p>
        </w:tc>
        <w:tc>
          <w:tcPr>
            <w:tcW w:w="907" w:type="pct"/>
            <w:shd w:val="clear" w:color="auto" w:fill="F2F2F2" w:themeFill="background1" w:themeFillShade="F2"/>
          </w:tcPr>
          <w:p w14:paraId="7243115C" w14:textId="77777777" w:rsidR="00445F0B" w:rsidRPr="00EF20E4" w:rsidRDefault="00445F0B" w:rsidP="00445F0B">
            <w:pPr>
              <w:spacing w:after="0"/>
              <w:rPr>
                <w:szCs w:val="20"/>
              </w:rPr>
            </w:pPr>
            <w:r w:rsidRPr="00EF20E4">
              <w:rPr>
                <w:szCs w:val="20"/>
              </w:rPr>
              <w:t>Space research, FSS satellite (ESA, CSIRO, NASA), NBN</w:t>
            </w:r>
            <w:r w:rsidR="00DC54D4" w:rsidRPr="00EF20E4">
              <w:rPr>
                <w:szCs w:val="20"/>
              </w:rPr>
              <w:t xml:space="preserve"> Co</w:t>
            </w:r>
          </w:p>
        </w:tc>
        <w:tc>
          <w:tcPr>
            <w:tcW w:w="1936" w:type="pct"/>
            <w:shd w:val="clear" w:color="auto" w:fill="F2F2F2" w:themeFill="background1" w:themeFillShade="F2"/>
          </w:tcPr>
          <w:p w14:paraId="11FDF3EE" w14:textId="77777777" w:rsidR="00445F0B" w:rsidRPr="00EF20E4" w:rsidRDefault="00445F0B" w:rsidP="00445F0B">
            <w:pPr>
              <w:spacing w:after="40"/>
              <w:rPr>
                <w:szCs w:val="20"/>
              </w:rPr>
            </w:pPr>
            <w:r w:rsidRPr="00EF20E4">
              <w:rPr>
                <w:szCs w:val="20"/>
              </w:rPr>
              <w:t xml:space="preserve">Second of the 5G bands. </w:t>
            </w:r>
          </w:p>
          <w:p w14:paraId="5683AE87" w14:textId="77777777" w:rsidR="00445F0B" w:rsidRPr="00EF20E4" w:rsidRDefault="00445F0B" w:rsidP="00445F0B">
            <w:pPr>
              <w:spacing w:after="40"/>
              <w:rPr>
                <w:szCs w:val="20"/>
              </w:rPr>
            </w:pPr>
            <w:r w:rsidRPr="00EF20E4">
              <w:rPr>
                <w:szCs w:val="20"/>
              </w:rPr>
              <w:t>Strong market interest expressed in accelerating planning and allocation.</w:t>
            </w:r>
          </w:p>
          <w:p w14:paraId="14CB4C4F" w14:textId="77777777" w:rsidR="00445F0B" w:rsidRPr="00EF20E4" w:rsidRDefault="00445F0B" w:rsidP="00445F0B">
            <w:pPr>
              <w:spacing w:after="40"/>
              <w:rPr>
                <w:szCs w:val="20"/>
              </w:rPr>
            </w:pPr>
            <w:r w:rsidRPr="00EF20E4">
              <w:rPr>
                <w:szCs w:val="20"/>
              </w:rPr>
              <w:t>ACMA planning focus on 26 GHz band for acceleration.</w:t>
            </w:r>
          </w:p>
        </w:tc>
      </w:tr>
      <w:tr w:rsidR="00585FB9" w14:paraId="7FE2E57B" w14:textId="77777777" w:rsidTr="00972721">
        <w:tc>
          <w:tcPr>
            <w:tcW w:w="922" w:type="pct"/>
            <w:shd w:val="clear" w:color="auto" w:fill="auto"/>
          </w:tcPr>
          <w:p w14:paraId="37930E3E" w14:textId="77777777" w:rsidR="00585FB9" w:rsidRPr="00EF20E4" w:rsidRDefault="00585FB9" w:rsidP="00585FB9">
            <w:pPr>
              <w:spacing w:after="0"/>
              <w:rPr>
                <w:b/>
                <w:szCs w:val="20"/>
              </w:rPr>
            </w:pPr>
            <w:r w:rsidRPr="00EF20E4">
              <w:rPr>
                <w:b/>
                <w:szCs w:val="20"/>
              </w:rPr>
              <w:t>1.5 GHz band</w:t>
            </w:r>
          </w:p>
        </w:tc>
        <w:tc>
          <w:tcPr>
            <w:tcW w:w="1016" w:type="pct"/>
            <w:shd w:val="clear" w:color="auto" w:fill="auto"/>
          </w:tcPr>
          <w:p w14:paraId="1F9635DE" w14:textId="77777777" w:rsidR="00585FB9" w:rsidRPr="00EF20E4" w:rsidRDefault="00585FB9" w:rsidP="00585FB9">
            <w:pPr>
              <w:spacing w:after="0"/>
              <w:rPr>
                <w:szCs w:val="20"/>
              </w:rPr>
            </w:pPr>
            <w:r w:rsidRPr="00EF20E4">
              <w:rPr>
                <w:szCs w:val="20"/>
              </w:rPr>
              <w:t>1427–1518 MHz</w:t>
            </w:r>
          </w:p>
        </w:tc>
        <w:tc>
          <w:tcPr>
            <w:tcW w:w="1016" w:type="pct"/>
            <w:shd w:val="clear" w:color="auto" w:fill="auto"/>
          </w:tcPr>
          <w:p w14:paraId="609D5B37" w14:textId="77777777" w:rsidR="00585FB9" w:rsidRPr="00EF20E4" w:rsidRDefault="00585FB9" w:rsidP="00585FB9">
            <w:pPr>
              <w:spacing w:after="0"/>
              <w:rPr>
                <w:szCs w:val="20"/>
              </w:rPr>
            </w:pPr>
            <w:r w:rsidRPr="00EF20E4">
              <w:rPr>
                <w:szCs w:val="20"/>
              </w:rPr>
              <w:t>Point-to-point, some multipoint, Defence</w:t>
            </w:r>
          </w:p>
        </w:tc>
        <w:tc>
          <w:tcPr>
            <w:tcW w:w="2043" w:type="pct"/>
            <w:shd w:val="clear" w:color="auto" w:fill="auto"/>
          </w:tcPr>
          <w:p w14:paraId="0FC13775" w14:textId="77777777" w:rsidR="005234FD" w:rsidRPr="00EF20E4" w:rsidRDefault="00585FB9" w:rsidP="005759E7">
            <w:pPr>
              <w:spacing w:after="40"/>
              <w:rPr>
                <w:szCs w:val="20"/>
              </w:rPr>
            </w:pPr>
            <w:r w:rsidRPr="00EF20E4">
              <w:rPr>
                <w:szCs w:val="20"/>
              </w:rPr>
              <w:t xml:space="preserve">Technology standardisation progressing. </w:t>
            </w:r>
          </w:p>
          <w:p w14:paraId="02793B41" w14:textId="77777777" w:rsidR="00585FB9" w:rsidRPr="00EF20E4" w:rsidRDefault="00585FB9" w:rsidP="00585FB9">
            <w:pPr>
              <w:spacing w:after="0"/>
              <w:rPr>
                <w:szCs w:val="20"/>
              </w:rPr>
            </w:pPr>
            <w:r w:rsidRPr="00EF20E4">
              <w:rPr>
                <w:szCs w:val="20"/>
              </w:rPr>
              <w:t>Lower level of near-term domestic interest.</w:t>
            </w:r>
          </w:p>
        </w:tc>
      </w:tr>
    </w:tbl>
    <w:p w14:paraId="3E8A9AB8" w14:textId="77777777" w:rsidR="00585FB9" w:rsidRDefault="00585FB9" w:rsidP="005759E7">
      <w:pPr>
        <w:pStyle w:val="ACMASpaceaftertable"/>
      </w:pPr>
    </w:p>
    <w:p w14:paraId="665E5923" w14:textId="77777777" w:rsidR="003F4B80" w:rsidRDefault="003F4B80">
      <w:pPr>
        <w:rPr>
          <w:b/>
        </w:rPr>
      </w:pPr>
      <w:r>
        <w:rPr>
          <w:b/>
        </w:rPr>
        <w:t>3.6 GHz</w:t>
      </w:r>
      <w:r w:rsidR="00FF4136">
        <w:rPr>
          <w:rFonts w:asciiTheme="majorHAnsi" w:eastAsiaTheme="majorEastAsia" w:hAnsiTheme="majorHAnsi"/>
          <w:sz w:val="26"/>
          <w:szCs w:val="26"/>
        </w:rPr>
        <w:t>—</w:t>
      </w:r>
      <w:r>
        <w:t>While some submissions on the 2017</w:t>
      </w:r>
      <w:r w:rsidR="005234FD">
        <w:t>–</w:t>
      </w:r>
      <w:r>
        <w:t>18 allocation scenarios suggested a combined allocation of the 3.6</w:t>
      </w:r>
      <w:r w:rsidR="005234FD">
        <w:t xml:space="preserve"> </w:t>
      </w:r>
      <w:r>
        <w:t xml:space="preserve">GHz and </w:t>
      </w:r>
      <w:r w:rsidR="005234FD">
        <w:t>mmW</w:t>
      </w:r>
      <w:r>
        <w:t xml:space="preserve">ave bands, the </w:t>
      </w:r>
      <w:r w:rsidR="00190408">
        <w:t xml:space="preserve">ACMA recommended to the </w:t>
      </w:r>
      <w:r w:rsidR="0037046B">
        <w:t>m</w:t>
      </w:r>
      <w:r w:rsidR="00190408">
        <w:t xml:space="preserve">inister that he make reallocation declarations to proceed with the 3.6 GHz allocation independent of the mmWave bands. The </w:t>
      </w:r>
      <w:r w:rsidR="0037046B">
        <w:t>m</w:t>
      </w:r>
      <w:r w:rsidR="0037046B" w:rsidRPr="0037046B">
        <w:t>inister</w:t>
      </w:r>
      <w:r w:rsidR="0037046B">
        <w:t xml:space="preserve"> </w:t>
      </w:r>
      <w:r>
        <w:t xml:space="preserve">made </w:t>
      </w:r>
      <w:r w:rsidR="00304A26">
        <w:t xml:space="preserve">relevant </w:t>
      </w:r>
      <w:r>
        <w:t>reallocation declaration</w:t>
      </w:r>
      <w:r w:rsidR="00304A26">
        <w:t>s</w:t>
      </w:r>
      <w:r>
        <w:t xml:space="preserve"> </w:t>
      </w:r>
      <w:r w:rsidR="00190408">
        <w:t xml:space="preserve">consistent with this advice on 8 </w:t>
      </w:r>
      <w:r>
        <w:t>March 2018</w:t>
      </w:r>
      <w:r w:rsidR="001C6582">
        <w:rPr>
          <w:rStyle w:val="FootnoteReference"/>
        </w:rPr>
        <w:footnoteReference w:id="36"/>
      </w:r>
      <w:r>
        <w:t xml:space="preserve"> and the band is </w:t>
      </w:r>
      <w:r w:rsidR="005319E7">
        <w:t xml:space="preserve">now </w:t>
      </w:r>
      <w:r>
        <w:t>proceeding to an auction</w:t>
      </w:r>
      <w:r w:rsidR="005319E7">
        <w:t>, expected to</w:t>
      </w:r>
      <w:r>
        <w:t xml:space="preserve"> commenc</w:t>
      </w:r>
      <w:r w:rsidR="005319E7">
        <w:t>e</w:t>
      </w:r>
      <w:r>
        <w:t xml:space="preserve"> in October 2018.</w:t>
      </w:r>
      <w:r w:rsidR="005319E7">
        <w:t xml:space="preserve"> Attempting a </w:t>
      </w:r>
      <w:r w:rsidR="005319E7">
        <w:lastRenderedPageBreak/>
        <w:t>combined allocation of mm</w:t>
      </w:r>
      <w:r w:rsidR="002026C0">
        <w:t>Wave</w:t>
      </w:r>
      <w:r w:rsidR="005319E7">
        <w:t xml:space="preserve"> and 3.6 GHz bands would have the effect of delaying the 3.6 GHz allocation</w:t>
      </w:r>
      <w:r w:rsidR="002026C0">
        <w:t xml:space="preserve"> and would be inconsistent with the </w:t>
      </w:r>
      <w:r w:rsidR="005234FD">
        <w:t>m</w:t>
      </w:r>
      <w:r w:rsidR="000C6CE5">
        <w:t xml:space="preserve">inister’s </w:t>
      </w:r>
      <w:r w:rsidR="002026C0">
        <w:t>reallocation declaration</w:t>
      </w:r>
      <w:r w:rsidR="000C6CE5">
        <w:t>s</w:t>
      </w:r>
      <w:r w:rsidR="002026C0">
        <w:rPr>
          <w:rStyle w:val="FootnoteReference"/>
        </w:rPr>
        <w:footnoteReference w:id="37"/>
      </w:r>
      <w:r w:rsidR="005319E7">
        <w:t>.</w:t>
      </w:r>
    </w:p>
    <w:p w14:paraId="4C8E7AD1" w14:textId="77777777" w:rsidR="003F4B80" w:rsidRDefault="005234FD">
      <w:r>
        <w:rPr>
          <w:b/>
        </w:rPr>
        <w:t>mmW</w:t>
      </w:r>
      <w:r w:rsidR="003F4B80" w:rsidRPr="00D3636A">
        <w:rPr>
          <w:b/>
        </w:rPr>
        <w:t>ave spectrum</w:t>
      </w:r>
      <w:r w:rsidR="003F4B80">
        <w:rPr>
          <w:rFonts w:asciiTheme="majorHAnsi" w:eastAsiaTheme="majorEastAsia" w:hAnsiTheme="majorHAnsi"/>
          <w:sz w:val="26"/>
          <w:szCs w:val="26"/>
        </w:rPr>
        <w:t>—</w:t>
      </w:r>
      <w:r w:rsidR="003F4B80" w:rsidRPr="00D3636A">
        <w:rPr>
          <w:rFonts w:eastAsiaTheme="majorEastAsia"/>
        </w:rPr>
        <w:t xml:space="preserve">A number of </w:t>
      </w:r>
      <w:r w:rsidR="003F4B80">
        <w:rPr>
          <w:rFonts w:eastAsiaTheme="majorEastAsia"/>
        </w:rPr>
        <w:t xml:space="preserve">mmWave </w:t>
      </w:r>
      <w:r w:rsidR="003F4B80" w:rsidRPr="00D3636A">
        <w:rPr>
          <w:rFonts w:eastAsiaTheme="majorEastAsia"/>
        </w:rPr>
        <w:t>bands cou</w:t>
      </w:r>
      <w:r w:rsidR="003F4B80">
        <w:rPr>
          <w:rFonts w:eastAsiaTheme="majorEastAsia"/>
        </w:rPr>
        <w:t xml:space="preserve">ld be considered for allocation, with </w:t>
      </w:r>
      <w:r w:rsidR="003F4B80" w:rsidRPr="004C2B18">
        <w:t xml:space="preserve">strong interest from a number of submitters </w:t>
      </w:r>
      <w:r w:rsidR="003F4B80">
        <w:t>for</w:t>
      </w:r>
      <w:r w:rsidR="003F4B80" w:rsidRPr="004C2B18">
        <w:t xml:space="preserve"> early licensing of </w:t>
      </w:r>
      <w:r w:rsidR="000C6CE5">
        <w:t>the</w:t>
      </w:r>
      <w:r w:rsidR="003F4B80" w:rsidRPr="004C2B18">
        <w:t xml:space="preserve"> 24.25–27.5 GHz </w:t>
      </w:r>
      <w:r w:rsidR="00835E98">
        <w:t xml:space="preserve">band (the 26 GHz band) </w:t>
      </w:r>
      <w:r w:rsidR="003F4B80">
        <w:t>to follow after the allocation of the 3.6 GHz band</w:t>
      </w:r>
      <w:r w:rsidR="003F4B80" w:rsidRPr="004C2B18">
        <w:t xml:space="preserve">. A contrary view, noted by some mobile network operators and incumbent licensees, cautioned against an allocation until technology </w:t>
      </w:r>
      <w:r w:rsidR="003F4B80" w:rsidRPr="00E3624B">
        <w:t>standardisation</w:t>
      </w:r>
      <w:r w:rsidR="003F4B80">
        <w:t xml:space="preserve">, </w:t>
      </w:r>
      <w:r w:rsidR="003F4B80" w:rsidRPr="00E3624B">
        <w:t xml:space="preserve">international harmonisation </w:t>
      </w:r>
      <w:r w:rsidR="003F4B80">
        <w:t xml:space="preserve">and work on sharing models was </w:t>
      </w:r>
      <w:r w:rsidR="003F4B80" w:rsidRPr="00E3624B">
        <w:t xml:space="preserve">more advanced. To examine the suite of planning and allocation issues in a more detailed way, the ACMA is proposing to develop an options paper </w:t>
      </w:r>
      <w:r w:rsidR="00835E98">
        <w:t xml:space="preserve">in Q1 of the </w:t>
      </w:r>
      <w:r w:rsidR="003F4B80" w:rsidRPr="00E3624B">
        <w:t>201</w:t>
      </w:r>
      <w:r w:rsidR="00835E98">
        <w:t>8</w:t>
      </w:r>
      <w:r>
        <w:t>–</w:t>
      </w:r>
      <w:r w:rsidR="003F4B80" w:rsidRPr="00E3624B">
        <w:t>1</w:t>
      </w:r>
      <w:r w:rsidR="00835E98">
        <w:t>9</w:t>
      </w:r>
      <w:r w:rsidR="003F4B80" w:rsidRPr="00E3624B">
        <w:t xml:space="preserve"> </w:t>
      </w:r>
      <w:r w:rsidR="00355B27">
        <w:t xml:space="preserve">financial </w:t>
      </w:r>
      <w:r w:rsidR="003F4B80" w:rsidRPr="00E3624B">
        <w:t>year</w:t>
      </w:r>
      <w:r w:rsidR="003F4B80">
        <w:t xml:space="preserve"> to seek views on a set of proposals that the band proceeds to re</w:t>
      </w:r>
      <w:r w:rsidR="00214E77">
        <w:noBreakHyphen/>
      </w:r>
      <w:r w:rsidR="003F4B80">
        <w:t xml:space="preserve">allocation. </w:t>
      </w:r>
      <w:r w:rsidR="000C6CE5">
        <w:t>The paper will deal with licence design as well as outstanding planning issues and options.</w:t>
      </w:r>
      <w:r w:rsidR="00835E98">
        <w:t xml:space="preserve"> Further discussion on potential timings and risks are outlined below.</w:t>
      </w:r>
    </w:p>
    <w:p w14:paraId="110A7B5F" w14:textId="77777777" w:rsidR="003F4B80" w:rsidRDefault="003F4B80">
      <w:r>
        <w:rPr>
          <w:b/>
        </w:rPr>
        <w:t>9</w:t>
      </w:r>
      <w:r w:rsidRPr="00715B45">
        <w:rPr>
          <w:b/>
        </w:rPr>
        <w:t>00 MHz</w:t>
      </w:r>
      <w:r w:rsidRPr="006C5C79">
        <w:t>—In October 2017, the ACMA consulted on</w:t>
      </w:r>
      <w:r>
        <w:t xml:space="preserve"> its reallocation proposal in </w:t>
      </w:r>
      <w:hyperlink r:id="rId53" w:history="1">
        <w:r w:rsidRPr="005759E7">
          <w:rPr>
            <w:rStyle w:val="Hyperlink"/>
            <w:i/>
            <w:lang w:val="en"/>
          </w:rPr>
          <w:t>Reconfiguring the 890−915/935−960 MHz band: Way forward</w:t>
        </w:r>
      </w:hyperlink>
      <w:r w:rsidRPr="001E52AB">
        <w:t xml:space="preserve">. Submissions to the FYSO indicated that immediate interest in reallocation of this spectrum is substantially lower than for the mmWave band. </w:t>
      </w:r>
      <w:r w:rsidR="00D13FC5">
        <w:t>S</w:t>
      </w:r>
      <w:r w:rsidRPr="001E52AB">
        <w:t xml:space="preserve">ubmitters to the 900 MHz reconfiguration consultations also raised concerns about the </w:t>
      </w:r>
      <w:r w:rsidR="00D13FC5">
        <w:t xml:space="preserve">spectrum </w:t>
      </w:r>
      <w:r w:rsidRPr="001E52AB">
        <w:t xml:space="preserve">available for reallocation, </w:t>
      </w:r>
      <w:r w:rsidR="00D13FC5">
        <w:t>including</w:t>
      </w:r>
      <w:r w:rsidRPr="001E52AB">
        <w:t xml:space="preserve"> </w:t>
      </w:r>
      <w:r w:rsidR="00D13FC5">
        <w:t>the role of 900 MHz in</w:t>
      </w:r>
      <w:r w:rsidRPr="001E52AB">
        <w:t xml:space="preserve"> 3G regional coverage</w:t>
      </w:r>
      <w:r w:rsidR="005234FD">
        <w:t>,</w:t>
      </w:r>
      <w:r w:rsidRPr="001E52AB">
        <w:t xml:space="preserve"> and mitigations for consumers migrating from 2G to 3G and 4G technologies. The ACMA has sought additional information from the mobile network operators to inform its consideration of the reconfiguration issues in the band. </w:t>
      </w:r>
      <w:r>
        <w:t>F</w:t>
      </w:r>
      <w:r w:rsidRPr="001E52AB">
        <w:t xml:space="preserve">or the purposes of the allocation </w:t>
      </w:r>
      <w:r w:rsidR="00BA6010">
        <w:t>work plan</w:t>
      </w:r>
      <w:r w:rsidRPr="001E52AB">
        <w:t>, we are proposing that allocation of the 900</w:t>
      </w:r>
      <w:r>
        <w:t xml:space="preserve"> MHz </w:t>
      </w:r>
      <w:r w:rsidRPr="001E52AB">
        <w:t xml:space="preserve">/850 MHz </w:t>
      </w:r>
      <w:r>
        <w:t xml:space="preserve">‘expansion’ </w:t>
      </w:r>
      <w:r w:rsidRPr="001E52AB">
        <w:t xml:space="preserve">bands </w:t>
      </w:r>
      <w:r w:rsidR="00D13FC5">
        <w:t xml:space="preserve">would </w:t>
      </w:r>
      <w:r w:rsidRPr="001E52AB">
        <w:t>proceed after the mm</w:t>
      </w:r>
      <w:r>
        <w:t>Wave</w:t>
      </w:r>
      <w:r w:rsidRPr="001E52AB">
        <w:t xml:space="preserve"> </w:t>
      </w:r>
      <w:r>
        <w:t xml:space="preserve">band, giving additional time to </w:t>
      </w:r>
      <w:r w:rsidR="00D13FC5">
        <w:t xml:space="preserve">explore </w:t>
      </w:r>
      <w:r>
        <w:t>the outstanding issues for the 900 MHz band.</w:t>
      </w:r>
    </w:p>
    <w:p w14:paraId="5A2B9E03" w14:textId="77777777" w:rsidR="005B397B" w:rsidRDefault="003F4B80" w:rsidP="005B397B">
      <w:pPr>
        <w:pStyle w:val="CommentText"/>
      </w:pPr>
      <w:r w:rsidRPr="00D3636A">
        <w:rPr>
          <w:b/>
        </w:rPr>
        <w:t>850 MHz</w:t>
      </w:r>
      <w:r>
        <w:t>—</w:t>
      </w:r>
      <w:r w:rsidRPr="00D3636A">
        <w:t>In late 2015, the ACM</w:t>
      </w:r>
      <w:r>
        <w:t>A finalised a review of the 803–</w:t>
      </w:r>
      <w:r w:rsidRPr="00D3636A">
        <w:t>960 MHz band, deciding to reallocate the 850 MHz ‘expansion’ band for spectrum licences configured for wireless broadband. The band is being cleared progressively, and is expected to be fully cleared by 2024, although a significant portion of the band will be available for use from mid-2021</w:t>
      </w:r>
      <w:r>
        <w:t xml:space="preserve">. </w:t>
      </w:r>
    </w:p>
    <w:p w14:paraId="5659C343" w14:textId="77777777" w:rsidR="005B397B" w:rsidRDefault="005B397B" w:rsidP="005B397B">
      <w:pPr>
        <w:pStyle w:val="CommentText"/>
      </w:pPr>
      <w:r>
        <w:t>The long clearance process means that reallocation of 850 MHz expansion band spectrum is not urgent in itself. However</w:t>
      </w:r>
      <w:r w:rsidR="00AF675B">
        <w:t>,</w:t>
      </w:r>
      <w:r>
        <w:t xml:space="preserve"> its value as a complement to, or substitute for</w:t>
      </w:r>
      <w:r w:rsidR="00AF675B">
        <w:t>,</w:t>
      </w:r>
      <w:r>
        <w:t xml:space="preserve"> wireless broadband licences in the 900 MHz band makes it important to align </w:t>
      </w:r>
      <w:r w:rsidR="00AF675B">
        <w:t>850 </w:t>
      </w:r>
      <w:r>
        <w:t xml:space="preserve">MHz reallocation with </w:t>
      </w:r>
      <w:r w:rsidR="00252ACF">
        <w:t xml:space="preserve">any </w:t>
      </w:r>
      <w:r>
        <w:t xml:space="preserve">reallocation of 900 MHz. </w:t>
      </w:r>
    </w:p>
    <w:p w14:paraId="4CA4C9F0" w14:textId="77777777" w:rsidR="003F4B80" w:rsidRDefault="005B397B" w:rsidP="005B397B">
      <w:r>
        <w:t xml:space="preserve">The addition of a 1 MHz guard band between the 850 MHz band base-transmit segment and the 890–915/935–960 MHz base-receive segment </w:t>
      </w:r>
      <w:r w:rsidR="00252ACF">
        <w:t xml:space="preserve">is necessary to </w:t>
      </w:r>
      <w:r>
        <w:t>optimise the utility of the lower segment in the 890–915/935–960 MHz band</w:t>
      </w:r>
      <w:r w:rsidR="00252ACF">
        <w:t xml:space="preserve"> for wireless broadband</w:t>
      </w:r>
      <w:r>
        <w:t xml:space="preserve">. Prior to expiration of the current spectrum licences in 2028, this can only be achieved via a voluntary (negotiated) downshift of the existing 850 MHz band spectrum licences, which are held by VHA and Telstra. The availability of the </w:t>
      </w:r>
      <w:r w:rsidR="00AF675B">
        <w:t>1 </w:t>
      </w:r>
      <w:r>
        <w:t>MHz of spectrum immediately below the 850 MHz base</w:t>
      </w:r>
      <w:r w:rsidR="00AF675B">
        <w:t>-</w:t>
      </w:r>
      <w:r>
        <w:t xml:space="preserve">transmit segment </w:t>
      </w:r>
      <w:r w:rsidR="00252ACF">
        <w:t xml:space="preserve">to accommodate the downshift </w:t>
      </w:r>
      <w:r>
        <w:t xml:space="preserve">will be critical to </w:t>
      </w:r>
      <w:r w:rsidR="00252ACF">
        <w:t>these negotiations</w:t>
      </w:r>
      <w:r>
        <w:t xml:space="preserve">. </w:t>
      </w:r>
      <w:r w:rsidR="00AF675B">
        <w:t xml:space="preserve">The </w:t>
      </w:r>
      <w:r>
        <w:t>ACMA will consider further how this spectrum might best be brought into play in light of responses to its October 2017 discussion paper on 900 MHz reconfiguration.</w:t>
      </w:r>
    </w:p>
    <w:p w14:paraId="68E3EBE7" w14:textId="77777777" w:rsidR="00585FB9" w:rsidRDefault="003F4B80" w:rsidP="005759E7">
      <w:pPr>
        <w:keepNext/>
        <w:keepLines/>
        <w:rPr>
          <w:rFonts w:eastAsiaTheme="majorEastAsia"/>
        </w:rPr>
      </w:pPr>
      <w:r w:rsidRPr="00D3636A">
        <w:rPr>
          <w:b/>
        </w:rPr>
        <w:lastRenderedPageBreak/>
        <w:t>1.</w:t>
      </w:r>
      <w:r w:rsidRPr="00D3636A">
        <w:rPr>
          <w:rFonts w:eastAsiaTheme="majorEastAsia"/>
          <w:b/>
        </w:rPr>
        <w:t>5 GHz</w:t>
      </w:r>
      <w:r>
        <w:rPr>
          <w:rFonts w:eastAsiaTheme="majorEastAsia"/>
        </w:rPr>
        <w:t>—</w:t>
      </w:r>
      <w:r w:rsidR="00835E98">
        <w:rPr>
          <w:rFonts w:eastAsiaTheme="majorEastAsia"/>
        </w:rPr>
        <w:t>Potential u</w:t>
      </w:r>
      <w:r w:rsidRPr="00D3636A">
        <w:rPr>
          <w:rFonts w:eastAsiaTheme="majorEastAsia"/>
        </w:rPr>
        <w:t xml:space="preserve">se of </w:t>
      </w:r>
      <w:r w:rsidR="00585FB9">
        <w:rPr>
          <w:rFonts w:eastAsiaTheme="majorEastAsia"/>
        </w:rPr>
        <w:t xml:space="preserve">the </w:t>
      </w:r>
      <w:r w:rsidRPr="00D3636A">
        <w:rPr>
          <w:rFonts w:eastAsiaTheme="majorEastAsia"/>
        </w:rPr>
        <w:t xml:space="preserve">band has been </w:t>
      </w:r>
      <w:r w:rsidRPr="00BB38F9">
        <w:rPr>
          <w:rFonts w:eastAsiaTheme="majorEastAsia"/>
        </w:rPr>
        <w:t>identified for IMT. Ongoing work in international</w:t>
      </w:r>
      <w:r w:rsidRPr="00D3636A">
        <w:rPr>
          <w:rFonts w:eastAsiaTheme="majorEastAsia"/>
        </w:rPr>
        <w:t xml:space="preserve"> spectrum harmonisation and technology standardisation will clarify the amount of spectrum that could be made available for allocation. </w:t>
      </w:r>
    </w:p>
    <w:p w14:paraId="0ADDF675" w14:textId="77777777" w:rsidR="004C73EF" w:rsidRDefault="00112875" w:rsidP="00585FB9">
      <w:pPr>
        <w:rPr>
          <w:rFonts w:eastAsiaTheme="majorEastAsia"/>
        </w:rPr>
      </w:pPr>
      <w:r>
        <w:rPr>
          <w:rFonts w:eastAsiaTheme="majorEastAsia"/>
        </w:rPr>
        <w:t xml:space="preserve">The ACMA is yet to make a decision on </w:t>
      </w:r>
      <w:r w:rsidR="003F4B80" w:rsidRPr="00D3636A">
        <w:rPr>
          <w:rFonts w:eastAsiaTheme="majorEastAsia"/>
        </w:rPr>
        <w:t xml:space="preserve">the timing of the band allocation and the quantum of spectrum </w:t>
      </w:r>
      <w:r>
        <w:rPr>
          <w:rFonts w:eastAsiaTheme="majorEastAsia"/>
        </w:rPr>
        <w:t xml:space="preserve">that should be made </w:t>
      </w:r>
      <w:r w:rsidR="003F4B80" w:rsidRPr="00D3636A">
        <w:rPr>
          <w:rFonts w:eastAsiaTheme="majorEastAsia"/>
        </w:rPr>
        <w:t>available for allocation</w:t>
      </w:r>
      <w:r w:rsidR="003F4B80">
        <w:rPr>
          <w:rFonts w:eastAsiaTheme="majorEastAsia"/>
        </w:rPr>
        <w:t>—</w:t>
      </w:r>
      <w:r w:rsidR="003F4B80" w:rsidRPr="00D3636A">
        <w:rPr>
          <w:rFonts w:eastAsiaTheme="majorEastAsia"/>
        </w:rPr>
        <w:t xml:space="preserve">both elements are influenced by international developments. </w:t>
      </w:r>
      <w:r w:rsidR="003F4B80">
        <w:rPr>
          <w:rFonts w:eastAsiaTheme="majorEastAsia"/>
        </w:rPr>
        <w:t xml:space="preserve">While inclusion of this band in the allocation </w:t>
      </w:r>
      <w:r w:rsidR="00BA6010">
        <w:rPr>
          <w:rFonts w:eastAsiaTheme="majorEastAsia"/>
        </w:rPr>
        <w:t>work plan</w:t>
      </w:r>
      <w:r w:rsidR="003F4B80">
        <w:rPr>
          <w:rFonts w:eastAsiaTheme="majorEastAsia"/>
        </w:rPr>
        <w:t xml:space="preserve"> was not disputed by stakeholders, it remains a lower priority for immediate allocation.</w:t>
      </w:r>
    </w:p>
    <w:p w14:paraId="00448B73" w14:textId="77777777" w:rsidR="003F4B80" w:rsidRPr="005759E7" w:rsidRDefault="003F4B80" w:rsidP="005759E7">
      <w:pPr>
        <w:pStyle w:val="Heading2"/>
        <w:rPr>
          <w:rFonts w:eastAsiaTheme="majorEastAsia"/>
        </w:rPr>
      </w:pPr>
      <w:bookmarkStart w:id="293" w:name="_Toc510104965"/>
      <w:bookmarkStart w:id="294" w:name="_Toc510105762"/>
      <w:bookmarkStart w:id="295" w:name="_Toc510795094"/>
      <w:bookmarkStart w:id="296" w:name="_Toc511716295"/>
      <w:bookmarkStart w:id="297" w:name="_Toc511719106"/>
      <w:bookmarkStart w:id="298" w:name="_Toc514156710"/>
      <w:r w:rsidRPr="005759E7">
        <w:rPr>
          <w:rFonts w:eastAsiaTheme="majorEastAsia"/>
        </w:rPr>
        <w:t>Allocation scenarios for comment</w:t>
      </w:r>
      <w:bookmarkEnd w:id="293"/>
      <w:bookmarkEnd w:id="294"/>
      <w:bookmarkEnd w:id="295"/>
      <w:bookmarkEnd w:id="296"/>
      <w:bookmarkEnd w:id="297"/>
      <w:bookmarkEnd w:id="298"/>
    </w:p>
    <w:p w14:paraId="60A65CF1" w14:textId="77777777" w:rsidR="003F4B80" w:rsidRDefault="003F4B80" w:rsidP="00947F88">
      <w:r w:rsidRPr="009F505F">
        <w:t>Noting the status of planning and allocation decisions for each of the bands un</w:t>
      </w:r>
      <w:r>
        <w:t xml:space="preserve">der consideration, the ACMA is providing two </w:t>
      </w:r>
      <w:r w:rsidR="00304A26">
        <w:t>new</w:t>
      </w:r>
      <w:r>
        <w:t xml:space="preserve"> </w:t>
      </w:r>
      <w:r w:rsidRPr="009F505F">
        <w:t xml:space="preserve">allocation scenarios </w:t>
      </w:r>
      <w:r>
        <w:t>that</w:t>
      </w:r>
      <w:r w:rsidRPr="009F505F">
        <w:t xml:space="preserve"> respond to </w:t>
      </w:r>
      <w:r>
        <w:t>expressed demand</w:t>
      </w:r>
      <w:r w:rsidR="00ED5406">
        <w:t>,</w:t>
      </w:r>
      <w:r>
        <w:t xml:space="preserve"> while providing continued </w:t>
      </w:r>
      <w:r w:rsidR="00BE4890">
        <w:t xml:space="preserve">flexibility </w:t>
      </w:r>
      <w:r>
        <w:t>to adjust timing and sequencing in response to new information.</w:t>
      </w:r>
      <w:r w:rsidRPr="009F505F">
        <w:t xml:space="preserve"> </w:t>
      </w:r>
    </w:p>
    <w:p w14:paraId="69488329" w14:textId="77777777" w:rsidR="003F4B80" w:rsidRDefault="003F4B80" w:rsidP="00455D60">
      <w:r w:rsidRPr="009F505F">
        <w:t xml:space="preserve">The </w:t>
      </w:r>
      <w:r w:rsidRPr="009F505F">
        <w:rPr>
          <w:i/>
        </w:rPr>
        <w:t>Radiocommunications Act 1992</w:t>
      </w:r>
      <w:r w:rsidRPr="009F505F">
        <w:t xml:space="preserve"> establishes a set of mandatory processes for allocatin</w:t>
      </w:r>
      <w:r>
        <w:t>g</w:t>
      </w:r>
      <w:r w:rsidRPr="009F505F">
        <w:t xml:space="preserve"> spectrum. In the ACMA’s experience, this process </w:t>
      </w:r>
      <w:r w:rsidR="00BE4890" w:rsidRPr="009F505F">
        <w:t xml:space="preserve">takes </w:t>
      </w:r>
      <w:r w:rsidR="003304B3">
        <w:t xml:space="preserve">a minimum of </w:t>
      </w:r>
      <w:r w:rsidR="00BE4890" w:rsidRPr="009F505F">
        <w:t>approximately 12.5</w:t>
      </w:r>
      <w:r w:rsidR="00BE4890">
        <w:t> </w:t>
      </w:r>
      <w:r w:rsidR="00BE4890" w:rsidRPr="009F505F">
        <w:t>months</w:t>
      </w:r>
      <w:r w:rsidR="00BE4890">
        <w:t xml:space="preserve"> </w:t>
      </w:r>
      <w:r w:rsidRPr="009F505F">
        <w:t>from confirmation of the planning decision to the commencement of an auction</w:t>
      </w:r>
      <w:r w:rsidR="003304B3">
        <w:t xml:space="preserve"> (</w:t>
      </w:r>
      <w:r w:rsidR="00ED5406">
        <w:t>f</w:t>
      </w:r>
      <w:r w:rsidR="003304B3">
        <w:t xml:space="preserve">actors </w:t>
      </w:r>
      <w:r w:rsidR="00ED5406">
        <w:t xml:space="preserve">that </w:t>
      </w:r>
      <w:r w:rsidR="003304B3">
        <w:t>may lengthen the process include the need for more extensive than usual consultation with potential purchasers or the acquisition of new auction tools</w:t>
      </w:r>
      <w:r w:rsidR="004C0225">
        <w:t>)</w:t>
      </w:r>
      <w:r w:rsidR="003304B3">
        <w:t>.</w:t>
      </w:r>
      <w:r w:rsidRPr="009F505F">
        <w:t xml:space="preserve"> Some of these mandatory processes will be streamlined in the new Radiocommunications Bill, which is expected to simplify the decision-making process.</w:t>
      </w:r>
      <w:r>
        <w:t xml:space="preserve"> </w:t>
      </w:r>
      <w:r w:rsidRPr="009F505F">
        <w:t xml:space="preserve">The timing of </w:t>
      </w:r>
      <w:r w:rsidR="003E27C2">
        <w:t xml:space="preserve">one or more future </w:t>
      </w:r>
      <w:r w:rsidRPr="009F505F">
        <w:t xml:space="preserve">allocations may straddle the </w:t>
      </w:r>
      <w:r w:rsidR="0095317E">
        <w:t xml:space="preserve">commencement of </w:t>
      </w:r>
      <w:r w:rsidRPr="009F505F">
        <w:t>the new Radiocommunications Bill.</w:t>
      </w:r>
    </w:p>
    <w:p w14:paraId="1DDC9C8E" w14:textId="77777777" w:rsidR="004C0225" w:rsidRDefault="003F4B80" w:rsidP="00CA45D7">
      <w:r>
        <w:t xml:space="preserve">The identification of particular </w:t>
      </w:r>
      <w:r w:rsidR="00ED5406">
        <w:t xml:space="preserve">time frames </w:t>
      </w:r>
      <w:r>
        <w:t xml:space="preserve">is also informed by consideration of arrangements in adjacent bands if they are currently subject to spectrum licensing. </w:t>
      </w:r>
    </w:p>
    <w:p w14:paraId="336EB333" w14:textId="77777777" w:rsidR="003F4B80" w:rsidRDefault="003F4B80" w:rsidP="00CA45D7">
      <w:r>
        <w:t>This is a relevant consideration where there is an intention to align the expiry date of licences in the new band with the expiry date of existing adjacent spectrum licences</w:t>
      </w:r>
      <w:r w:rsidR="00ED5406">
        <w:t>,</w:t>
      </w:r>
      <w:r>
        <w:t xml:space="preserve"> in order to facilitate longer</w:t>
      </w:r>
      <w:r w:rsidR="00ED5406">
        <w:t>-</w:t>
      </w:r>
      <w:r>
        <w:t>term trading or potential change</w:t>
      </w:r>
      <w:r w:rsidR="00ED5406">
        <w:t>s</w:t>
      </w:r>
      <w:r>
        <w:t xml:space="preserve"> to planning arrangements at licence expiry. </w:t>
      </w:r>
      <w:r w:rsidR="003D39CF">
        <w:t>Where this is the case, t</w:t>
      </w:r>
      <w:r>
        <w:t xml:space="preserve">he identification of relevant timings </w:t>
      </w:r>
      <w:r w:rsidR="003D39CF">
        <w:t>is</w:t>
      </w:r>
      <w:r>
        <w:t xml:space="preserve"> also informed by </w:t>
      </w:r>
      <w:r w:rsidR="003D39CF">
        <w:t>how late an</w:t>
      </w:r>
      <w:r>
        <w:t xml:space="preserve"> auction can be </w:t>
      </w:r>
      <w:r w:rsidR="003D39CF">
        <w:t>postponed before the term of the resulting licences would be unreasonably short</w:t>
      </w:r>
      <w:r>
        <w:t>.</w:t>
      </w:r>
    </w:p>
    <w:p w14:paraId="38DD8D89" w14:textId="77777777" w:rsidR="003F4B80" w:rsidRPr="00171408" w:rsidRDefault="003F4B80" w:rsidP="00FB338B">
      <w:pPr>
        <w:pStyle w:val="Heading4"/>
        <w:keepNext w:val="0"/>
        <w:numPr>
          <w:ilvl w:val="3"/>
          <w:numId w:val="9"/>
        </w:numPr>
        <w:ind w:left="340" w:hanging="142"/>
        <w:rPr>
          <w:rFonts w:ascii="Arial" w:eastAsiaTheme="majorEastAsia" w:hAnsi="Arial" w:cs="Arial"/>
        </w:rPr>
      </w:pPr>
      <w:r w:rsidRPr="00171408">
        <w:rPr>
          <w:rFonts w:ascii="Arial" w:eastAsiaTheme="majorEastAsia" w:hAnsi="Arial" w:cs="Arial"/>
        </w:rPr>
        <w:t xml:space="preserve">Scenario </w:t>
      </w:r>
      <w:r>
        <w:rPr>
          <w:rFonts w:ascii="Arial" w:eastAsiaTheme="majorEastAsia" w:hAnsi="Arial" w:cs="Arial"/>
        </w:rPr>
        <w:t>1</w:t>
      </w:r>
      <w:r w:rsidR="00ED5406">
        <w:rPr>
          <w:rFonts w:ascii="Arial" w:eastAsiaTheme="majorEastAsia" w:hAnsi="Arial" w:cs="Arial"/>
        </w:rPr>
        <w:t>—</w:t>
      </w:r>
      <w:r w:rsidRPr="00B50B1E">
        <w:rPr>
          <w:rFonts w:ascii="Arial" w:eastAsiaTheme="majorEastAsia" w:hAnsi="Arial" w:cs="Arial"/>
        </w:rPr>
        <w:t xml:space="preserve">3.6 GHz prioritised, with </w:t>
      </w:r>
      <w:r w:rsidR="00E70C08">
        <w:rPr>
          <w:rFonts w:ascii="Arial" w:eastAsiaTheme="majorEastAsia" w:hAnsi="Arial" w:cs="Arial"/>
        </w:rPr>
        <w:t>26 GHz</w:t>
      </w:r>
      <w:r w:rsidR="00E70C08" w:rsidRPr="00B50B1E">
        <w:rPr>
          <w:rFonts w:ascii="Arial" w:eastAsiaTheme="majorEastAsia" w:hAnsi="Arial" w:cs="Arial"/>
        </w:rPr>
        <w:t xml:space="preserve"> </w:t>
      </w:r>
      <w:r w:rsidRPr="00B50B1E">
        <w:rPr>
          <w:rFonts w:ascii="Arial" w:eastAsiaTheme="majorEastAsia" w:hAnsi="Arial" w:cs="Arial"/>
        </w:rPr>
        <w:t>next</w:t>
      </w:r>
    </w:p>
    <w:p w14:paraId="268B8ABA" w14:textId="77777777" w:rsidR="003F4B80" w:rsidRDefault="003F4B80" w:rsidP="003F4B80">
      <w:r w:rsidRPr="009F505F">
        <w:t xml:space="preserve">In this scenario, the ACMA proceeds to allocate 3.6 GHz as outlined, with </w:t>
      </w:r>
      <w:r w:rsidR="00E70C08">
        <w:t>26 GHz</w:t>
      </w:r>
      <w:r w:rsidR="00E70C08" w:rsidRPr="009F505F">
        <w:t xml:space="preserve"> </w:t>
      </w:r>
      <w:r w:rsidRPr="009F505F">
        <w:t>prioritised ahead of the allocation of the 850 MHz expansion/900 MHz bands</w:t>
      </w:r>
      <w:r>
        <w:t xml:space="preserve"> (see Table </w:t>
      </w:r>
      <w:r w:rsidR="00027F41">
        <w:t>16</w:t>
      </w:r>
      <w:r w:rsidR="0083582F">
        <w:t>)</w:t>
      </w:r>
      <w:r w:rsidRPr="009F505F">
        <w:t xml:space="preserve">. </w:t>
      </w:r>
    </w:p>
    <w:p w14:paraId="5255BFC3" w14:textId="77777777" w:rsidR="003F4B80" w:rsidRDefault="003F4B80" w:rsidP="003F4B80">
      <w:r>
        <w:t>This scenario responds to the expressed demand to prioritise the 5G bands ahead of other allocations.</w:t>
      </w:r>
      <w:r w:rsidRPr="004D0F41">
        <w:t xml:space="preserve"> </w:t>
      </w:r>
    </w:p>
    <w:p w14:paraId="3EAA6C8A" w14:textId="77777777" w:rsidR="00890F31" w:rsidRDefault="00847DCA" w:rsidP="00BE6916">
      <w:r>
        <w:t>Notwithstanding</w:t>
      </w:r>
      <w:r w:rsidR="00971403">
        <w:t xml:space="preserve"> that</w:t>
      </w:r>
      <w:r>
        <w:t xml:space="preserve"> the</w:t>
      </w:r>
      <w:r w:rsidR="003D39CF">
        <w:t>re is</w:t>
      </w:r>
      <w:r w:rsidR="001308D1">
        <w:t xml:space="preserve"> </w:t>
      </w:r>
      <w:r w:rsidR="00835E98">
        <w:t xml:space="preserve">some </w:t>
      </w:r>
      <w:r>
        <w:t xml:space="preserve">demand for </w:t>
      </w:r>
      <w:r w:rsidR="001308D1">
        <w:t xml:space="preserve">as </w:t>
      </w:r>
      <w:r>
        <w:t xml:space="preserve">early </w:t>
      </w:r>
      <w:r w:rsidR="001308D1">
        <w:t xml:space="preserve">as possible </w:t>
      </w:r>
      <w:r>
        <w:t xml:space="preserve">access to </w:t>
      </w:r>
      <w:r w:rsidR="00E70C08">
        <w:t xml:space="preserve">26 GHz </w:t>
      </w:r>
      <w:r>
        <w:t xml:space="preserve">spectrum, the </w:t>
      </w:r>
      <w:r w:rsidR="0092792D">
        <w:t xml:space="preserve">broader range of </w:t>
      </w:r>
      <w:r w:rsidR="00E70C08">
        <w:t xml:space="preserve">26 GHz </w:t>
      </w:r>
      <w:r>
        <w:t>auction timing estimate</w:t>
      </w:r>
      <w:r w:rsidR="0092792D">
        <w:t>s</w:t>
      </w:r>
      <w:r>
        <w:t xml:space="preserve"> </w:t>
      </w:r>
      <w:r w:rsidR="0092792D">
        <w:t xml:space="preserve">now included </w:t>
      </w:r>
      <w:r>
        <w:t xml:space="preserve">in the </w:t>
      </w:r>
      <w:r w:rsidR="0092792D">
        <w:t xml:space="preserve">scenario reflects the ACMA’s concern that the extent of </w:t>
      </w:r>
      <w:r w:rsidR="00086611">
        <w:t xml:space="preserve">continuing </w:t>
      </w:r>
      <w:r w:rsidR="0092792D">
        <w:t xml:space="preserve">unresolved planning and licensing </w:t>
      </w:r>
      <w:r w:rsidR="00807ED2">
        <w:t xml:space="preserve">design </w:t>
      </w:r>
      <w:r w:rsidR="0092792D">
        <w:t xml:space="preserve">issues </w:t>
      </w:r>
      <w:r w:rsidR="00ED5406">
        <w:t>for the</w:t>
      </w:r>
      <w:r w:rsidR="0092792D">
        <w:t xml:space="preserve"> 26 GHz band </w:t>
      </w:r>
      <w:r w:rsidR="00807ED2">
        <w:t xml:space="preserve">may result in </w:t>
      </w:r>
      <w:r w:rsidR="0092792D">
        <w:t>delays</w:t>
      </w:r>
      <w:r w:rsidR="00ED5406">
        <w:t>,</w:t>
      </w:r>
      <w:r w:rsidR="0092792D">
        <w:t xml:space="preserve"> either prior to</w:t>
      </w:r>
      <w:r w:rsidR="00ED5406">
        <w:t>,</w:t>
      </w:r>
      <w:r w:rsidR="0092792D">
        <w:t xml:space="preserve"> or after</w:t>
      </w:r>
      <w:r w:rsidR="00ED5406">
        <w:t>,</w:t>
      </w:r>
      <w:r w:rsidR="0092792D">
        <w:t xml:space="preserve"> the decision to proceed with reallocation. </w:t>
      </w:r>
    </w:p>
    <w:p w14:paraId="2B12B5AA" w14:textId="77777777" w:rsidR="00A0082E" w:rsidRDefault="00890F31" w:rsidP="00BE6916">
      <w:r>
        <w:t xml:space="preserve">As noted earlier in the planning discussion, </w:t>
      </w:r>
      <w:r w:rsidR="007F5539">
        <w:t xml:space="preserve">indicative </w:t>
      </w:r>
      <w:r>
        <w:t xml:space="preserve">timelines for planning decisions </w:t>
      </w:r>
      <w:r w:rsidR="001A5088">
        <w:t xml:space="preserve">on the 26 GHz band have been extended </w:t>
      </w:r>
      <w:r w:rsidR="007F5539">
        <w:t>beyond those set out in</w:t>
      </w:r>
      <w:r w:rsidR="001A5088">
        <w:t xml:space="preserve"> last year’s FYSO. The reason for the delay reflects that </w:t>
      </w:r>
      <w:r>
        <w:t>the outcomes of some key technical coexistence considerations</w:t>
      </w:r>
      <w:r w:rsidR="001A5088">
        <w:t xml:space="preserve"> internationally are not yet </w:t>
      </w:r>
      <w:r w:rsidR="009127C7">
        <w:t>known</w:t>
      </w:r>
      <w:r w:rsidR="001A5088">
        <w:t xml:space="preserve">. </w:t>
      </w:r>
    </w:p>
    <w:p w14:paraId="07CFF1D5" w14:textId="77777777" w:rsidR="001A5088" w:rsidRDefault="00835E98" w:rsidP="00BE6916">
      <w:r>
        <w:lastRenderedPageBreak/>
        <w:t xml:space="preserve">While </w:t>
      </w:r>
      <w:r w:rsidR="009127C7">
        <w:t>our</w:t>
      </w:r>
      <w:r>
        <w:t xml:space="preserve"> understanding of the potential for coexistence with satellite uplinks in the 27</w:t>
      </w:r>
      <w:r w:rsidR="00673940">
        <w:t>–</w:t>
      </w:r>
      <w:r>
        <w:t xml:space="preserve">27.5 GHz is </w:t>
      </w:r>
      <w:r w:rsidR="00A0082E">
        <w:t xml:space="preserve">largely </w:t>
      </w:r>
      <w:r>
        <w:t xml:space="preserve">mature, coexistence with the passive </w:t>
      </w:r>
      <w:r w:rsidR="00673940">
        <w:t>e</w:t>
      </w:r>
      <w:r>
        <w:t xml:space="preserve">arth exploration satellite service (EESS (passive)) </w:t>
      </w:r>
      <w:r w:rsidR="00A0082E">
        <w:t xml:space="preserve">below 24 GHz remains unclear. The conclusion of these coexistence considerations </w:t>
      </w:r>
      <w:r w:rsidR="00B82D2E">
        <w:t>is</w:t>
      </w:r>
      <w:r w:rsidR="00A0082E">
        <w:t xml:space="preserve"> likely to influence unwanted </w:t>
      </w:r>
      <w:r w:rsidR="000E14B3">
        <w:t xml:space="preserve">emission </w:t>
      </w:r>
      <w:r w:rsidR="00A0082E">
        <w:t xml:space="preserve">limits on use in the </w:t>
      </w:r>
      <w:r w:rsidR="000E14B3">
        <w:t>2</w:t>
      </w:r>
      <w:r w:rsidR="00A0082E">
        <w:t>6 GHz band and</w:t>
      </w:r>
      <w:r w:rsidR="00673940">
        <w:t>,</w:t>
      </w:r>
      <w:r w:rsidR="00A0082E">
        <w:t xml:space="preserve"> therefore</w:t>
      </w:r>
      <w:r w:rsidR="00673940">
        <w:t>,</w:t>
      </w:r>
      <w:r w:rsidR="00A0082E">
        <w:t xml:space="preserve"> how much of the band </w:t>
      </w:r>
      <w:r w:rsidR="007F5539">
        <w:t xml:space="preserve">at the lower end </w:t>
      </w:r>
      <w:r w:rsidR="00A0082E">
        <w:t xml:space="preserve">is </w:t>
      </w:r>
      <w:r w:rsidR="000E14B3">
        <w:t>available</w:t>
      </w:r>
      <w:r w:rsidR="00A0082E">
        <w:t xml:space="preserve"> for </w:t>
      </w:r>
      <w:r w:rsidR="000E14B3">
        <w:t>any allocation</w:t>
      </w:r>
      <w:r w:rsidR="00A0082E">
        <w:t xml:space="preserve"> (</w:t>
      </w:r>
      <w:r w:rsidR="00673940">
        <w:t>that is,</w:t>
      </w:r>
      <w:r w:rsidR="00A0082E">
        <w:t xml:space="preserve"> what guard</w:t>
      </w:r>
      <w:r w:rsidR="000E14B3">
        <w:t xml:space="preserve"> </w:t>
      </w:r>
      <w:r w:rsidR="00A0082E">
        <w:t>bands are required).</w:t>
      </w:r>
      <w:r w:rsidR="000E14B3">
        <w:t xml:space="preserve"> </w:t>
      </w:r>
      <w:r w:rsidR="00A0082E">
        <w:t>Consideration o</w:t>
      </w:r>
      <w:r w:rsidR="007F5539">
        <w:t>f</w:t>
      </w:r>
      <w:r w:rsidR="00A0082E">
        <w:t xml:space="preserve"> these issues continue</w:t>
      </w:r>
      <w:r w:rsidR="000E14B3">
        <w:t>s</w:t>
      </w:r>
      <w:r w:rsidR="00A0082E">
        <w:t xml:space="preserve"> internationally </w:t>
      </w:r>
      <w:r w:rsidR="007F5539">
        <w:t>with</w:t>
      </w:r>
      <w:r w:rsidR="00A0082E">
        <w:t xml:space="preserve">in </w:t>
      </w:r>
      <w:r w:rsidR="007F5539">
        <w:t xml:space="preserve">relevant groups in </w:t>
      </w:r>
      <w:r w:rsidR="00A0082E">
        <w:t>the ITU</w:t>
      </w:r>
      <w:r w:rsidR="007F5539">
        <w:t>,</w:t>
      </w:r>
      <w:r w:rsidR="00A0082E">
        <w:t xml:space="preserve"> and in particular within Europe</w:t>
      </w:r>
      <w:r w:rsidR="00673940">
        <w:t>,</w:t>
      </w:r>
      <w:r w:rsidR="00A0082E">
        <w:t xml:space="preserve"> where</w:t>
      </w:r>
      <w:r w:rsidR="000E14B3">
        <w:t xml:space="preserve"> a consultation on the 26 GHz band is underway</w:t>
      </w:r>
      <w:r w:rsidR="006470D3">
        <w:rPr>
          <w:rStyle w:val="FootnoteReference"/>
        </w:rPr>
        <w:footnoteReference w:id="38"/>
      </w:r>
      <w:r w:rsidR="000E14B3">
        <w:t xml:space="preserve">. Given the importance and global </w:t>
      </w:r>
      <w:r w:rsidR="00B82D2E">
        <w:t>dimension</w:t>
      </w:r>
      <w:r w:rsidR="00914AC2">
        <w:t>s</w:t>
      </w:r>
      <w:r w:rsidR="000E14B3">
        <w:t xml:space="preserve"> of these considerations, t</w:t>
      </w:r>
      <w:r w:rsidR="00A0082E">
        <w:t>hese outcomes are expected to inform domestic planning considerations for the band.</w:t>
      </w:r>
    </w:p>
    <w:p w14:paraId="4F7D3F43" w14:textId="77777777" w:rsidR="007F5539" w:rsidRDefault="00DC54D4" w:rsidP="003F4B80">
      <w:r>
        <w:t xml:space="preserve">Due to the </w:t>
      </w:r>
      <w:r w:rsidR="00A0082E">
        <w:t xml:space="preserve">absence of timely </w:t>
      </w:r>
      <w:r w:rsidR="000E14B3">
        <w:t>international</w:t>
      </w:r>
      <w:r w:rsidR="00A0082E">
        <w:t xml:space="preserve"> con</w:t>
      </w:r>
      <w:r w:rsidR="000E14B3">
        <w:t>c</w:t>
      </w:r>
      <w:r w:rsidR="00A0082E">
        <w:t>l</w:t>
      </w:r>
      <w:r w:rsidR="000E14B3">
        <w:t>u</w:t>
      </w:r>
      <w:r w:rsidR="00A0082E">
        <w:t>s</w:t>
      </w:r>
      <w:r w:rsidR="000E14B3">
        <w:t>i</w:t>
      </w:r>
      <w:r w:rsidR="00A0082E">
        <w:t>on</w:t>
      </w:r>
      <w:r w:rsidR="000E14B3">
        <w:t>s</w:t>
      </w:r>
      <w:r w:rsidR="00A0082E">
        <w:t xml:space="preserve"> on </w:t>
      </w:r>
      <w:r w:rsidR="000E14B3">
        <w:t>these issues, in particular</w:t>
      </w:r>
      <w:r w:rsidR="00A0082E">
        <w:t xml:space="preserve"> </w:t>
      </w:r>
      <w:r w:rsidR="00E66578">
        <w:t>regarding</w:t>
      </w:r>
      <w:r w:rsidR="00A0082E">
        <w:t xml:space="preserve"> </w:t>
      </w:r>
      <w:r w:rsidR="000E14B3">
        <w:t>EESS (p</w:t>
      </w:r>
      <w:r w:rsidR="00A0082E">
        <w:t>assive</w:t>
      </w:r>
      <w:r w:rsidR="000E14B3">
        <w:t>)</w:t>
      </w:r>
      <w:r w:rsidR="00A0082E">
        <w:t xml:space="preserve"> </w:t>
      </w:r>
      <w:r w:rsidR="000E14B3">
        <w:t xml:space="preserve">compatibility, </w:t>
      </w:r>
      <w:r>
        <w:t>the ACMA’s</w:t>
      </w:r>
      <w:r w:rsidR="00914AC2">
        <w:t xml:space="preserve"> </w:t>
      </w:r>
      <w:r w:rsidR="00B82D2E">
        <w:t xml:space="preserve">preferred </w:t>
      </w:r>
      <w:r w:rsidR="000E14B3">
        <w:t xml:space="preserve">option </w:t>
      </w:r>
      <w:r w:rsidR="006470D3">
        <w:t>is</w:t>
      </w:r>
      <w:r w:rsidR="000E14B3">
        <w:t xml:space="preserve"> to </w:t>
      </w:r>
      <w:r w:rsidR="00A0082E">
        <w:t xml:space="preserve">delay </w:t>
      </w:r>
      <w:r w:rsidR="000E14B3">
        <w:t xml:space="preserve">consideration of the 26 GHz band </w:t>
      </w:r>
      <w:r w:rsidR="00A0082E">
        <w:t xml:space="preserve">until </w:t>
      </w:r>
      <w:r w:rsidR="000E14B3">
        <w:t>international clarity and consensus is achieved</w:t>
      </w:r>
      <w:r w:rsidR="007F5539">
        <w:t>, with the potential dual advantages of optimising the amount of spectrum available and heading of</w:t>
      </w:r>
      <w:r w:rsidR="00836444">
        <w:t>f</w:t>
      </w:r>
      <w:r w:rsidR="007F5539">
        <w:t xml:space="preserve"> the risk of potential fragmentation of holdings that could result if the lower part of the band were to be allocated at a later date</w:t>
      </w:r>
      <w:r w:rsidR="000E14B3">
        <w:t xml:space="preserve">. </w:t>
      </w:r>
    </w:p>
    <w:p w14:paraId="12F0C0BD" w14:textId="77777777" w:rsidR="00E4682B" w:rsidRDefault="000E14B3" w:rsidP="003F4B80">
      <w:r>
        <w:t>The alternative is to proceed</w:t>
      </w:r>
      <w:r w:rsidR="00A0082E">
        <w:t xml:space="preserve"> </w:t>
      </w:r>
      <w:r w:rsidR="009127C7">
        <w:t xml:space="preserve">initially </w:t>
      </w:r>
      <w:r w:rsidR="00A0082E">
        <w:t xml:space="preserve">with </w:t>
      </w:r>
      <w:r>
        <w:t>domestic consideration</w:t>
      </w:r>
      <w:r w:rsidR="00A0082E">
        <w:t xml:space="preserve"> </w:t>
      </w:r>
      <w:r>
        <w:t>of</w:t>
      </w:r>
      <w:r w:rsidR="00A0082E">
        <w:t xml:space="preserve"> a subset </w:t>
      </w:r>
      <w:r>
        <w:t>of</w:t>
      </w:r>
      <w:r w:rsidR="00A0082E">
        <w:t xml:space="preserve"> the </w:t>
      </w:r>
      <w:r w:rsidR="00673940">
        <w:t>26 </w:t>
      </w:r>
      <w:r w:rsidR="00A0082E">
        <w:t>G</w:t>
      </w:r>
      <w:r>
        <w:t>H</w:t>
      </w:r>
      <w:r w:rsidR="00A0082E">
        <w:t xml:space="preserve">z band where </w:t>
      </w:r>
      <w:r>
        <w:t>coexistence</w:t>
      </w:r>
      <w:r w:rsidR="002A70FF">
        <w:t xml:space="preserve"> is clear</w:t>
      </w:r>
      <w:r w:rsidR="00673940">
        <w:t>—</w:t>
      </w:r>
      <w:r w:rsidR="002A70FF">
        <w:t>under some circumstances</w:t>
      </w:r>
      <w:r w:rsidR="00673940">
        <w:t>,</w:t>
      </w:r>
      <w:r w:rsidR="002A70FF">
        <w:t xml:space="preserve"> this could be as little as 26.5</w:t>
      </w:r>
      <w:r w:rsidR="00673940">
        <w:t>–</w:t>
      </w:r>
      <w:r w:rsidR="002A70FF">
        <w:t xml:space="preserve">27.5 GHz initially. </w:t>
      </w:r>
      <w:r w:rsidR="00B82D2E">
        <w:t xml:space="preserve">A possible </w:t>
      </w:r>
      <w:r w:rsidR="006470D3">
        <w:t>third</w:t>
      </w:r>
      <w:r w:rsidR="00A0082E">
        <w:t xml:space="preserve"> option</w:t>
      </w:r>
      <w:r w:rsidR="00673940">
        <w:t>—</w:t>
      </w:r>
      <w:r w:rsidR="00B82D2E">
        <w:t xml:space="preserve">that of </w:t>
      </w:r>
      <w:r w:rsidR="00A0082E">
        <w:t xml:space="preserve">proceeding with </w:t>
      </w:r>
      <w:r w:rsidR="00B82D2E">
        <w:t>unique</w:t>
      </w:r>
      <w:r w:rsidR="00914AC2">
        <w:t>,</w:t>
      </w:r>
      <w:r w:rsidR="00B82D2E">
        <w:t xml:space="preserve"> </w:t>
      </w:r>
      <w:r w:rsidR="00A0082E">
        <w:t xml:space="preserve">Australian </w:t>
      </w:r>
      <w:r w:rsidR="002A70FF">
        <w:t>coexistence</w:t>
      </w:r>
      <w:r w:rsidR="00A0082E">
        <w:t xml:space="preserve"> </w:t>
      </w:r>
      <w:r w:rsidR="002A70FF">
        <w:t>requirements</w:t>
      </w:r>
      <w:r w:rsidR="00A0082E">
        <w:t xml:space="preserve"> </w:t>
      </w:r>
      <w:r w:rsidR="00B82D2E">
        <w:t xml:space="preserve">on devices </w:t>
      </w:r>
      <w:r w:rsidR="002A70FF">
        <w:t>(</w:t>
      </w:r>
      <w:r w:rsidR="00673940">
        <w:t>that is,</w:t>
      </w:r>
      <w:r w:rsidR="002A70FF">
        <w:t xml:space="preserve"> unwanted emission performance</w:t>
      </w:r>
      <w:r w:rsidR="007F5539">
        <w:t>, noting the aggregate interference contributed from the Australia IMT-2020 environment is likely to be significantly lower than the scenarios under consideration in Europe</w:t>
      </w:r>
      <w:r w:rsidR="002A70FF">
        <w:t xml:space="preserve">) </w:t>
      </w:r>
      <w:r w:rsidR="00A0082E">
        <w:t xml:space="preserve">is not </w:t>
      </w:r>
      <w:r w:rsidR="002A70FF">
        <w:t>considered</w:t>
      </w:r>
      <w:r w:rsidR="00A0082E">
        <w:t xml:space="preserve"> viable due to </w:t>
      </w:r>
      <w:r w:rsidR="002A70FF">
        <w:t>economy</w:t>
      </w:r>
      <w:r w:rsidR="007F5539">
        <w:t>-of-</w:t>
      </w:r>
      <w:r w:rsidR="00A0082E">
        <w:t xml:space="preserve">scale </w:t>
      </w:r>
      <w:r w:rsidR="002A70FF">
        <w:t>considerations</w:t>
      </w:r>
      <w:r w:rsidR="00A0082E">
        <w:t xml:space="preserve">. </w:t>
      </w:r>
    </w:p>
    <w:p w14:paraId="391ECC81" w14:textId="77777777" w:rsidR="00BD2B64" w:rsidRDefault="00914AC2" w:rsidP="00BD2B64">
      <w:r>
        <w:t>We expect t</w:t>
      </w:r>
      <w:r w:rsidR="00BD2B64">
        <w:t xml:space="preserve">he effect of </w:t>
      </w:r>
      <w:r w:rsidR="00B82D2E">
        <w:t xml:space="preserve">delaying until there is an international way forward on the full 26 GHz band </w:t>
      </w:r>
      <w:r>
        <w:t>will be</w:t>
      </w:r>
      <w:r w:rsidR="00B82D2E">
        <w:t xml:space="preserve"> to </w:t>
      </w:r>
      <w:r w:rsidR="00BD2B64">
        <w:t>extend the auction time</w:t>
      </w:r>
      <w:r>
        <w:t xml:space="preserve"> </w:t>
      </w:r>
      <w:r w:rsidR="00BD2B64">
        <w:t xml:space="preserve">frame by an indicative one to two quarters. Committing firmly to a more ambitious auction target date now, before the completion of outstanding studies and planning work, could carry some serious risks. </w:t>
      </w:r>
      <w:r>
        <w:t xml:space="preserve">In forming its </w:t>
      </w:r>
      <w:r w:rsidR="007F5539">
        <w:t>preliminary view, t</w:t>
      </w:r>
      <w:r w:rsidR="00E66578">
        <w:t xml:space="preserve">he ACMA </w:t>
      </w:r>
      <w:r>
        <w:t>sees major risks</w:t>
      </w:r>
      <w:r w:rsidR="00E66578">
        <w:t xml:space="preserve"> </w:t>
      </w:r>
      <w:r>
        <w:t>in</w:t>
      </w:r>
      <w:r w:rsidR="00E66578">
        <w:t xml:space="preserve"> proceeding with only part of the band to start with and revisiting the possibility of additional allocations later. Such an approach is likely to result in fragmented holdings</w:t>
      </w:r>
      <w:r w:rsidR="009127C7">
        <w:t>,</w:t>
      </w:r>
      <w:r w:rsidR="00E66578">
        <w:t xml:space="preserve"> which </w:t>
      </w:r>
      <w:r>
        <w:t>c</w:t>
      </w:r>
      <w:r w:rsidR="00E66578">
        <w:t>ould be difficult to rectify</w:t>
      </w:r>
      <w:r w:rsidR="00B82D2E">
        <w:t xml:space="preserve"> </w:t>
      </w:r>
      <w:r w:rsidR="00E66578">
        <w:t xml:space="preserve">in the future. </w:t>
      </w:r>
      <w:r w:rsidR="00A6444F">
        <w:t xml:space="preserve">The ACMA’s preference </w:t>
      </w:r>
      <w:r w:rsidR="00B82D2E">
        <w:t>is</w:t>
      </w:r>
      <w:r w:rsidR="00A6444F">
        <w:t xml:space="preserve"> </w:t>
      </w:r>
      <w:r w:rsidR="00673940">
        <w:t>‘</w:t>
      </w:r>
      <w:r w:rsidR="00A6444F">
        <w:t xml:space="preserve">to </w:t>
      </w:r>
      <w:r w:rsidR="00B86678">
        <w:t xml:space="preserve">do </w:t>
      </w:r>
      <w:r w:rsidR="00A6444F">
        <w:t>it once and do it right</w:t>
      </w:r>
      <w:r w:rsidR="00673940">
        <w:t>’</w:t>
      </w:r>
      <w:r w:rsidR="00B82D2E">
        <w:t>,</w:t>
      </w:r>
      <w:r w:rsidR="00A6444F">
        <w:t xml:space="preserve"> </w:t>
      </w:r>
      <w:r w:rsidR="00B82D2E">
        <w:t xml:space="preserve">meaning we would </w:t>
      </w:r>
      <w:r w:rsidR="00A6444F">
        <w:t xml:space="preserve">continue to monitor international studies on coexistence with EESS services </w:t>
      </w:r>
      <w:r w:rsidR="008863B6">
        <w:t xml:space="preserve">before releasing an options paper. </w:t>
      </w:r>
    </w:p>
    <w:p w14:paraId="6D985364" w14:textId="77777777" w:rsidR="002A70FF" w:rsidRDefault="00914AC2" w:rsidP="003F4B80">
      <w:r>
        <w:t>I</w:t>
      </w:r>
      <w:r w:rsidR="008863B6">
        <w:t xml:space="preserve">f these studies </w:t>
      </w:r>
      <w:r w:rsidR="00A6444F">
        <w:t>cannot be resolved in a sufficiently timely manner</w:t>
      </w:r>
      <w:r w:rsidR="008863B6">
        <w:t>,</w:t>
      </w:r>
      <w:r w:rsidR="00A6444F">
        <w:t xml:space="preserve"> </w:t>
      </w:r>
      <w:r>
        <w:t xml:space="preserve">the ACMA acknowledges that </w:t>
      </w:r>
      <w:r w:rsidR="0066295F">
        <w:t>the balance of the public interest may yet tip</w:t>
      </w:r>
      <w:r w:rsidR="00673940">
        <w:t>—</w:t>
      </w:r>
      <w:r w:rsidR="0066295F">
        <w:t>such that it becomes desirable</w:t>
      </w:r>
      <w:r w:rsidR="00673940">
        <w:t>,</w:t>
      </w:r>
      <w:r w:rsidR="0066295F">
        <w:t xml:space="preserve"> on balance</w:t>
      </w:r>
      <w:r w:rsidR="00673940">
        <w:t>,</w:t>
      </w:r>
      <w:r w:rsidR="0066295F">
        <w:t xml:space="preserve"> </w:t>
      </w:r>
      <w:r w:rsidR="00A6444F">
        <w:t xml:space="preserve">to </w:t>
      </w:r>
      <w:r w:rsidR="008863B6">
        <w:t>proceed with</w:t>
      </w:r>
      <w:r w:rsidR="00A6444F">
        <w:t xml:space="preserve"> a multi-stage allocation of the band</w:t>
      </w:r>
      <w:r w:rsidR="008863B6">
        <w:t xml:space="preserve">, with </w:t>
      </w:r>
      <w:r w:rsidR="00BD2B64">
        <w:t xml:space="preserve">the </w:t>
      </w:r>
      <w:r w:rsidR="008863B6">
        <w:t xml:space="preserve">first stage comprising the upper </w:t>
      </w:r>
      <w:r w:rsidR="00BD2B64">
        <w:t>portion of the band (</w:t>
      </w:r>
      <w:r w:rsidR="00673940">
        <w:t>for example,</w:t>
      </w:r>
      <w:r w:rsidR="00BD2B64">
        <w:t>. 26.5</w:t>
      </w:r>
      <w:r w:rsidR="00673940">
        <w:t>–</w:t>
      </w:r>
      <w:r w:rsidR="00BD2B64">
        <w:t>27.5 GHz</w:t>
      </w:r>
      <w:r w:rsidR="00673940">
        <w:t>,</w:t>
      </w:r>
      <w:r w:rsidR="00BD2B64">
        <w:t xml:space="preserve"> as mentioned above).</w:t>
      </w:r>
      <w:r w:rsidR="00A6444F">
        <w:t xml:space="preserve"> Under this scenario</w:t>
      </w:r>
      <w:r w:rsidR="00BD2B64">
        <w:t>,</w:t>
      </w:r>
      <w:r w:rsidR="00A6444F">
        <w:t xml:space="preserve"> the ACMA would need to consider ways</w:t>
      </w:r>
      <w:r w:rsidR="008863B6">
        <w:t xml:space="preserve"> to minimise longer-term fragmentation of spectrum holdings, which may be further complicated if studies indicated that additional deployment constraints on the later-released (lower) portion of the band are necessary.</w:t>
      </w:r>
      <w:r w:rsidR="006470D3">
        <w:t xml:space="preserve"> </w:t>
      </w:r>
    </w:p>
    <w:p w14:paraId="07C41E10" w14:textId="77777777" w:rsidR="00027F41" w:rsidRDefault="00914AC2" w:rsidP="003F4B80">
      <w:r>
        <w:t>T</w:t>
      </w:r>
      <w:r w:rsidR="00027F41">
        <w:t xml:space="preserve">he ACMA is </w:t>
      </w:r>
      <w:r>
        <w:t xml:space="preserve">currently </w:t>
      </w:r>
      <w:r w:rsidR="00027F41">
        <w:t xml:space="preserve">preparing a consultation paper outlining the various planning and configuration options for the </w:t>
      </w:r>
      <w:r w:rsidR="00E70C08">
        <w:t xml:space="preserve">26 GHz </w:t>
      </w:r>
      <w:r w:rsidR="00027F41">
        <w:t>band</w:t>
      </w:r>
      <w:r>
        <w:t>, although release timing is related to resolution of the outstanding international issues</w:t>
      </w:r>
      <w:r w:rsidR="008E77B0">
        <w:t xml:space="preserve"> referred to above</w:t>
      </w:r>
      <w:r w:rsidR="00027F41">
        <w:t>. Responses to the consultation will further inform the ACMA’s consideration of the timing of a</w:t>
      </w:r>
      <w:r w:rsidR="00835E98">
        <w:t xml:space="preserve"> possible</w:t>
      </w:r>
      <w:r w:rsidR="00027F41">
        <w:t xml:space="preserve"> a</w:t>
      </w:r>
      <w:r w:rsidR="00040782">
        <w:t>llocation</w:t>
      </w:r>
      <w:r w:rsidR="00027F41">
        <w:t xml:space="preserve"> for the band.</w:t>
      </w:r>
    </w:p>
    <w:p w14:paraId="09C213AC" w14:textId="77777777" w:rsidR="00040782" w:rsidRDefault="00027F41" w:rsidP="00040782">
      <w:r>
        <w:lastRenderedPageBreak/>
        <w:t>As a consequence of a</w:t>
      </w:r>
      <w:r w:rsidR="003F4B80">
        <w:t>ccelerating the allocation of the 5G band</w:t>
      </w:r>
      <w:r w:rsidR="00F65F83">
        <w:t>s</w:t>
      </w:r>
      <w:r>
        <w:t xml:space="preserve">, </w:t>
      </w:r>
      <w:r w:rsidR="003F4B80">
        <w:t>the timing for a combined 850/900 MHz band allocation</w:t>
      </w:r>
      <w:r w:rsidR="00040782">
        <w:t xml:space="preserve"> </w:t>
      </w:r>
      <w:r w:rsidR="001308D1">
        <w:t>has been</w:t>
      </w:r>
      <w:r w:rsidR="00040782">
        <w:t xml:space="preserve"> pushed out</w:t>
      </w:r>
      <w:r w:rsidR="003F4B80">
        <w:t xml:space="preserve">. </w:t>
      </w:r>
      <w:r w:rsidR="00225351">
        <w:t>T</w:t>
      </w:r>
      <w:r w:rsidR="00040782">
        <w:t>he timing outlined in the scenario reflects that reallocation of the 900 MHz band is still under consideration</w:t>
      </w:r>
      <w:r w:rsidR="00265FDD">
        <w:t>,</w:t>
      </w:r>
      <w:r w:rsidR="00040782">
        <w:t xml:space="preserve"> and also reflects the lower level of interest expressed by stakeholders for the remaining bands, compared with access to bands suitable for 5G. </w:t>
      </w:r>
      <w:r w:rsidR="00225351">
        <w:t>Finally, the ACMA has considered the lower level of urgency expressed by stakeholders for reallocation of the 1.5 GHz band. The scenario reflects the public interest in making spectrum available as soon as practicable once planning arrangements are settled.</w:t>
      </w:r>
      <w:r w:rsidR="00040782">
        <w:t xml:space="preserve"> </w:t>
      </w:r>
      <w:r w:rsidR="0036561C">
        <w:t>It is the scenario the ACMA is likely to use for work planning purposes.</w:t>
      </w:r>
      <w:r w:rsidR="00447762">
        <w:t xml:space="preserve"> </w:t>
      </w:r>
    </w:p>
    <w:p w14:paraId="75796860" w14:textId="77777777" w:rsidR="003F4B80" w:rsidRDefault="003F4B80" w:rsidP="00F57787">
      <w:pPr>
        <w:pStyle w:val="ACMATableHeader"/>
      </w:pPr>
      <w:r>
        <w:t>Scenario 1—</w:t>
      </w:r>
      <w:r w:rsidRPr="00066AA0">
        <w:t xml:space="preserve">3.6 GHz prioritised, with </w:t>
      </w:r>
      <w:r w:rsidR="00E70C08">
        <w:t>26 GHz</w:t>
      </w:r>
      <w:r w:rsidR="00E70C08" w:rsidRPr="00066AA0">
        <w:t xml:space="preserve"> </w:t>
      </w:r>
      <w:r w:rsidRPr="00066AA0">
        <w:t>next</w:t>
      </w:r>
    </w:p>
    <w:tbl>
      <w:tblPr>
        <w:tblStyle w:val="TableGrid"/>
        <w:tblW w:w="0" w:type="auto"/>
        <w:tblCellMar>
          <w:top w:w="57" w:type="dxa"/>
          <w:left w:w="57" w:type="dxa"/>
          <w:bottom w:w="57" w:type="dxa"/>
          <w:right w:w="57" w:type="dxa"/>
        </w:tblCellMar>
        <w:tblLook w:val="04A0" w:firstRow="1" w:lastRow="0" w:firstColumn="1" w:lastColumn="0" w:noHBand="0" w:noVBand="1"/>
        <w:tblCaption w:val="Scenario 2—3.6 GHz prioritised, with mmWave next"/>
        <w:tblDescription w:val="Shows planning decision and auction timeframes."/>
      </w:tblPr>
      <w:tblGrid>
        <w:gridCol w:w="1095"/>
        <w:gridCol w:w="1310"/>
        <w:gridCol w:w="1302"/>
        <w:gridCol w:w="1891"/>
        <w:gridCol w:w="2063"/>
      </w:tblGrid>
      <w:tr w:rsidR="003F4B80" w14:paraId="4AEA86EE" w14:textId="77777777" w:rsidTr="009D0090">
        <w:trPr>
          <w:tblHeader/>
        </w:trPr>
        <w:tc>
          <w:tcPr>
            <w:tcW w:w="0" w:type="auto"/>
            <w:shd w:val="clear" w:color="auto" w:fill="404040" w:themeFill="text1" w:themeFillTint="BF"/>
          </w:tcPr>
          <w:p w14:paraId="4DA6223C" w14:textId="77777777" w:rsidR="003F4B80" w:rsidRPr="00445F0B" w:rsidRDefault="003F4B80" w:rsidP="00445F0B">
            <w:pPr>
              <w:pStyle w:val="TableHeading"/>
              <w:rPr>
                <w:color w:val="FFFFFF" w:themeColor="background1"/>
              </w:rPr>
            </w:pPr>
          </w:p>
        </w:tc>
        <w:tc>
          <w:tcPr>
            <w:tcW w:w="1310" w:type="dxa"/>
            <w:shd w:val="clear" w:color="auto" w:fill="404040" w:themeFill="text1" w:themeFillTint="BF"/>
          </w:tcPr>
          <w:p w14:paraId="797C3F45" w14:textId="77777777" w:rsidR="003F4B80" w:rsidRPr="00445F0B" w:rsidRDefault="003F4B80" w:rsidP="00445F0B">
            <w:pPr>
              <w:pStyle w:val="TableHeading"/>
              <w:rPr>
                <w:color w:val="FFFFFF" w:themeColor="background1"/>
              </w:rPr>
            </w:pPr>
            <w:r w:rsidRPr="00445F0B">
              <w:rPr>
                <w:color w:val="FFFFFF" w:themeColor="background1"/>
              </w:rPr>
              <w:t>ACMA planning decision</w:t>
            </w:r>
          </w:p>
        </w:tc>
        <w:tc>
          <w:tcPr>
            <w:tcW w:w="1302" w:type="dxa"/>
            <w:shd w:val="clear" w:color="auto" w:fill="404040" w:themeFill="text1" w:themeFillTint="BF"/>
          </w:tcPr>
          <w:p w14:paraId="2E94345A" w14:textId="77777777" w:rsidR="003F4B80" w:rsidRPr="00445F0B" w:rsidRDefault="003F4B80" w:rsidP="00445F0B">
            <w:pPr>
              <w:pStyle w:val="TableHeading"/>
              <w:rPr>
                <w:color w:val="FFFFFF" w:themeColor="background1"/>
              </w:rPr>
            </w:pPr>
            <w:r w:rsidRPr="00445F0B">
              <w:rPr>
                <w:color w:val="FFFFFF" w:themeColor="background1"/>
              </w:rPr>
              <w:t>Min</w:t>
            </w:r>
            <w:r w:rsidR="00715BB9" w:rsidRPr="00445F0B">
              <w:rPr>
                <w:color w:val="FFFFFF" w:themeColor="background1"/>
              </w:rPr>
              <w:t>ister</w:t>
            </w:r>
            <w:r w:rsidRPr="00445F0B">
              <w:rPr>
                <w:color w:val="FFFFFF" w:themeColor="background1"/>
              </w:rPr>
              <w:t xml:space="preserve"> decision</w:t>
            </w:r>
            <w:r w:rsidR="00715BB9" w:rsidRPr="00445F0B">
              <w:rPr>
                <w:color w:val="FFFFFF" w:themeColor="background1"/>
              </w:rPr>
              <w:t xml:space="preserve"> where applicable</w:t>
            </w:r>
          </w:p>
        </w:tc>
        <w:tc>
          <w:tcPr>
            <w:tcW w:w="1891" w:type="dxa"/>
            <w:shd w:val="clear" w:color="auto" w:fill="404040" w:themeFill="text1" w:themeFillTint="BF"/>
          </w:tcPr>
          <w:p w14:paraId="06A924F5" w14:textId="77777777" w:rsidR="003F4B80" w:rsidRPr="00445F0B" w:rsidRDefault="003F4B80" w:rsidP="00445F0B">
            <w:pPr>
              <w:pStyle w:val="TableHeading"/>
              <w:rPr>
                <w:color w:val="FFFFFF" w:themeColor="background1"/>
              </w:rPr>
            </w:pPr>
            <w:r w:rsidRPr="00445F0B">
              <w:rPr>
                <w:color w:val="FFFFFF" w:themeColor="background1"/>
              </w:rPr>
              <w:t>Auction</w:t>
            </w:r>
          </w:p>
        </w:tc>
        <w:tc>
          <w:tcPr>
            <w:tcW w:w="2063" w:type="dxa"/>
            <w:shd w:val="clear" w:color="auto" w:fill="404040" w:themeFill="text1" w:themeFillTint="BF"/>
          </w:tcPr>
          <w:p w14:paraId="21FB90B0" w14:textId="77777777" w:rsidR="003F4B80" w:rsidRPr="00445F0B" w:rsidRDefault="003F4B80" w:rsidP="00445F0B">
            <w:pPr>
              <w:pStyle w:val="TableHeading"/>
              <w:rPr>
                <w:color w:val="FFFFFF" w:themeColor="background1"/>
              </w:rPr>
            </w:pPr>
            <w:r w:rsidRPr="00445F0B">
              <w:rPr>
                <w:color w:val="FFFFFF" w:themeColor="background1"/>
              </w:rPr>
              <w:t>Notes</w:t>
            </w:r>
          </w:p>
        </w:tc>
      </w:tr>
      <w:tr w:rsidR="00445F0B" w14:paraId="6FFD86C1" w14:textId="77777777" w:rsidTr="009D0090">
        <w:tc>
          <w:tcPr>
            <w:tcW w:w="0" w:type="auto"/>
            <w:shd w:val="clear" w:color="auto" w:fill="auto"/>
          </w:tcPr>
          <w:p w14:paraId="22472DE2" w14:textId="77777777" w:rsidR="00445F0B" w:rsidRPr="000F12F1" w:rsidRDefault="00445F0B" w:rsidP="00445F0B">
            <w:pPr>
              <w:spacing w:after="0"/>
              <w:rPr>
                <w:b/>
              </w:rPr>
            </w:pPr>
            <w:r w:rsidRPr="000F12F1">
              <w:rPr>
                <w:b/>
              </w:rPr>
              <w:t>3.6 GHz</w:t>
            </w:r>
          </w:p>
        </w:tc>
        <w:tc>
          <w:tcPr>
            <w:tcW w:w="1310" w:type="dxa"/>
            <w:shd w:val="clear" w:color="auto" w:fill="auto"/>
          </w:tcPr>
          <w:p w14:paraId="1FB7ED47" w14:textId="77777777" w:rsidR="00445F0B" w:rsidRDefault="00445F0B" w:rsidP="00445F0B">
            <w:pPr>
              <w:spacing w:after="0"/>
            </w:pPr>
            <w:r>
              <w:t>Q2 2017–18</w:t>
            </w:r>
          </w:p>
        </w:tc>
        <w:tc>
          <w:tcPr>
            <w:tcW w:w="1302" w:type="dxa"/>
            <w:shd w:val="clear" w:color="auto" w:fill="auto"/>
          </w:tcPr>
          <w:p w14:paraId="6E167CC7" w14:textId="77777777" w:rsidR="00445F0B" w:rsidRDefault="00445F0B" w:rsidP="00445F0B">
            <w:pPr>
              <w:spacing w:after="0"/>
            </w:pPr>
            <w:r>
              <w:t>Q3 2017–18</w:t>
            </w:r>
          </w:p>
        </w:tc>
        <w:tc>
          <w:tcPr>
            <w:tcW w:w="1891" w:type="dxa"/>
            <w:shd w:val="clear" w:color="auto" w:fill="auto"/>
          </w:tcPr>
          <w:p w14:paraId="6FBDE323" w14:textId="77777777" w:rsidR="00445F0B" w:rsidRDefault="00445F0B" w:rsidP="00445F0B">
            <w:pPr>
              <w:spacing w:after="0"/>
            </w:pPr>
            <w:r>
              <w:t>Q2 2018–19</w:t>
            </w:r>
          </w:p>
        </w:tc>
        <w:tc>
          <w:tcPr>
            <w:tcW w:w="2063" w:type="dxa"/>
            <w:shd w:val="clear" w:color="auto" w:fill="auto"/>
          </w:tcPr>
          <w:p w14:paraId="62BFB7DD" w14:textId="77777777" w:rsidR="00445F0B" w:rsidRPr="005759E7" w:rsidRDefault="00445F0B" w:rsidP="00445F0B">
            <w:pPr>
              <w:spacing w:after="0"/>
            </w:pPr>
            <w:r>
              <w:t>Expected allocation under 1992 Act</w:t>
            </w:r>
          </w:p>
        </w:tc>
      </w:tr>
      <w:tr w:rsidR="00283D92" w14:paraId="53463F0A" w14:textId="77777777" w:rsidTr="009D0090">
        <w:tc>
          <w:tcPr>
            <w:tcW w:w="0" w:type="auto"/>
            <w:shd w:val="clear" w:color="auto" w:fill="F2F2F2" w:themeFill="background1" w:themeFillShade="F2"/>
          </w:tcPr>
          <w:p w14:paraId="6C278269" w14:textId="77777777" w:rsidR="00283D92" w:rsidRPr="000F12F1" w:rsidRDefault="00283D92">
            <w:pPr>
              <w:spacing w:after="0"/>
              <w:rPr>
                <w:b/>
              </w:rPr>
            </w:pPr>
            <w:r w:rsidRPr="000F12F1">
              <w:rPr>
                <w:b/>
              </w:rPr>
              <w:t>26 GHz</w:t>
            </w:r>
          </w:p>
        </w:tc>
        <w:tc>
          <w:tcPr>
            <w:tcW w:w="1310" w:type="dxa"/>
            <w:shd w:val="clear" w:color="auto" w:fill="F2F2F2" w:themeFill="background1" w:themeFillShade="F2"/>
          </w:tcPr>
          <w:p w14:paraId="42C2F05A" w14:textId="77777777" w:rsidR="00283D92" w:rsidRPr="00780282" w:rsidRDefault="00283D92" w:rsidP="00835E98">
            <w:pPr>
              <w:spacing w:after="0"/>
              <w:rPr>
                <w:highlight w:val="cyan"/>
              </w:rPr>
            </w:pPr>
            <w:r w:rsidRPr="00283D92">
              <w:t>Q</w:t>
            </w:r>
            <w:r w:rsidR="00835E98">
              <w:t>2</w:t>
            </w:r>
            <w:r w:rsidRPr="00283D92">
              <w:t xml:space="preserve"> 2018–19</w:t>
            </w:r>
          </w:p>
        </w:tc>
        <w:tc>
          <w:tcPr>
            <w:tcW w:w="1302" w:type="dxa"/>
            <w:shd w:val="clear" w:color="auto" w:fill="F2F2F2" w:themeFill="background1" w:themeFillShade="F2"/>
          </w:tcPr>
          <w:p w14:paraId="4B8B906D" w14:textId="77777777" w:rsidR="00283D92" w:rsidRPr="00780282" w:rsidRDefault="00283D92" w:rsidP="00BE4FB5">
            <w:pPr>
              <w:spacing w:after="0"/>
              <w:rPr>
                <w:highlight w:val="cyan"/>
              </w:rPr>
            </w:pPr>
            <w:r w:rsidRPr="00283D92">
              <w:t>Q</w:t>
            </w:r>
            <w:r w:rsidR="00F35DEF">
              <w:t>3</w:t>
            </w:r>
            <w:r w:rsidRPr="00283D92">
              <w:t xml:space="preserve"> 2018</w:t>
            </w:r>
            <w:r w:rsidR="009D0090">
              <w:t>–</w:t>
            </w:r>
            <w:r w:rsidRPr="00283D92">
              <w:t xml:space="preserve">19 </w:t>
            </w:r>
          </w:p>
        </w:tc>
        <w:tc>
          <w:tcPr>
            <w:tcW w:w="1891" w:type="dxa"/>
            <w:shd w:val="clear" w:color="auto" w:fill="F2F2F2" w:themeFill="background1" w:themeFillShade="F2"/>
          </w:tcPr>
          <w:p w14:paraId="4430765F" w14:textId="77777777" w:rsidR="00283D92" w:rsidRDefault="00283D92">
            <w:pPr>
              <w:spacing w:after="0"/>
            </w:pPr>
            <w:r>
              <w:t>Q</w:t>
            </w:r>
            <w:r w:rsidR="00F35DEF">
              <w:t>4</w:t>
            </w:r>
            <w:r>
              <w:t xml:space="preserve"> 2019–20</w:t>
            </w:r>
          </w:p>
        </w:tc>
        <w:tc>
          <w:tcPr>
            <w:tcW w:w="2063" w:type="dxa"/>
            <w:shd w:val="clear" w:color="auto" w:fill="F2F2F2" w:themeFill="background1" w:themeFillShade="F2"/>
          </w:tcPr>
          <w:p w14:paraId="1239ED03" w14:textId="77777777" w:rsidR="00283D92" w:rsidRPr="005759E7" w:rsidRDefault="00283D92" w:rsidP="00283D92">
            <w:pPr>
              <w:spacing w:after="0"/>
            </w:pPr>
            <w:r w:rsidRPr="005759E7">
              <w:t>May be allocated under new Act</w:t>
            </w:r>
          </w:p>
        </w:tc>
      </w:tr>
      <w:tr w:rsidR="00283D92" w14:paraId="1618CC54" w14:textId="77777777" w:rsidTr="009D0090">
        <w:tc>
          <w:tcPr>
            <w:tcW w:w="0" w:type="auto"/>
            <w:shd w:val="clear" w:color="auto" w:fill="auto"/>
          </w:tcPr>
          <w:p w14:paraId="48ED5041" w14:textId="77777777" w:rsidR="00283D92" w:rsidRPr="000F12F1" w:rsidRDefault="00283D92" w:rsidP="00283D92">
            <w:pPr>
              <w:spacing w:after="0"/>
              <w:rPr>
                <w:b/>
              </w:rPr>
            </w:pPr>
            <w:r w:rsidRPr="000F12F1">
              <w:rPr>
                <w:b/>
              </w:rPr>
              <w:t>850/900 MHz</w:t>
            </w:r>
          </w:p>
        </w:tc>
        <w:tc>
          <w:tcPr>
            <w:tcW w:w="1310" w:type="dxa"/>
            <w:shd w:val="clear" w:color="auto" w:fill="auto"/>
          </w:tcPr>
          <w:p w14:paraId="532C9D7C" w14:textId="77777777" w:rsidR="00283D92" w:rsidRDefault="00283D92" w:rsidP="00283D92">
            <w:pPr>
              <w:spacing w:after="0"/>
            </w:pPr>
            <w:r>
              <w:t>Q2 2018–19</w:t>
            </w:r>
            <w:r w:rsidR="008D65A3">
              <w:t>*</w:t>
            </w:r>
          </w:p>
        </w:tc>
        <w:tc>
          <w:tcPr>
            <w:tcW w:w="1302" w:type="dxa"/>
            <w:shd w:val="clear" w:color="auto" w:fill="auto"/>
          </w:tcPr>
          <w:p w14:paraId="71A29003" w14:textId="77777777" w:rsidR="00283D92" w:rsidRDefault="00283D92" w:rsidP="00283D92">
            <w:pPr>
              <w:spacing w:after="0"/>
            </w:pPr>
            <w:r>
              <w:t>Q3 2019–20</w:t>
            </w:r>
          </w:p>
        </w:tc>
        <w:tc>
          <w:tcPr>
            <w:tcW w:w="1891" w:type="dxa"/>
            <w:shd w:val="clear" w:color="auto" w:fill="auto"/>
          </w:tcPr>
          <w:p w14:paraId="047BA77F" w14:textId="77777777" w:rsidR="00283D92" w:rsidRDefault="00283D92" w:rsidP="00283D92">
            <w:pPr>
              <w:spacing w:after="0"/>
            </w:pPr>
            <w:r>
              <w:t>Q1 2020–21</w:t>
            </w:r>
          </w:p>
        </w:tc>
        <w:tc>
          <w:tcPr>
            <w:tcW w:w="2063" w:type="dxa"/>
            <w:shd w:val="clear" w:color="auto" w:fill="auto"/>
          </w:tcPr>
          <w:p w14:paraId="16D575E7" w14:textId="77777777" w:rsidR="00283D92" w:rsidRPr="00455D60" w:rsidRDefault="00283D92" w:rsidP="00283D92">
            <w:pPr>
              <w:spacing w:after="0"/>
            </w:pPr>
            <w:r w:rsidRPr="005759E7">
              <w:t>May be allocated under new Act</w:t>
            </w:r>
          </w:p>
        </w:tc>
      </w:tr>
      <w:tr w:rsidR="00283D92" w14:paraId="5819D799" w14:textId="77777777" w:rsidTr="009D0090">
        <w:tc>
          <w:tcPr>
            <w:tcW w:w="0" w:type="auto"/>
            <w:shd w:val="clear" w:color="auto" w:fill="F2F2F2" w:themeFill="background1" w:themeFillShade="F2"/>
          </w:tcPr>
          <w:p w14:paraId="506368D7" w14:textId="77777777" w:rsidR="00283D92" w:rsidRPr="000F12F1" w:rsidRDefault="00283D92" w:rsidP="00283D92">
            <w:pPr>
              <w:spacing w:after="0"/>
              <w:rPr>
                <w:b/>
              </w:rPr>
            </w:pPr>
            <w:r w:rsidRPr="000F12F1">
              <w:rPr>
                <w:b/>
              </w:rPr>
              <w:t>1.5 GHz</w:t>
            </w:r>
          </w:p>
        </w:tc>
        <w:tc>
          <w:tcPr>
            <w:tcW w:w="1310" w:type="dxa"/>
            <w:shd w:val="clear" w:color="auto" w:fill="F2F2F2" w:themeFill="background1" w:themeFillShade="F2"/>
          </w:tcPr>
          <w:p w14:paraId="10B9CE09" w14:textId="77777777" w:rsidR="00283D92" w:rsidRPr="00283D92" w:rsidRDefault="00283D92" w:rsidP="00283D92">
            <w:pPr>
              <w:spacing w:after="0"/>
            </w:pPr>
            <w:r w:rsidRPr="00283D92">
              <w:t>Q1 2019–20</w:t>
            </w:r>
          </w:p>
        </w:tc>
        <w:tc>
          <w:tcPr>
            <w:tcW w:w="1302" w:type="dxa"/>
            <w:shd w:val="clear" w:color="auto" w:fill="F2F2F2" w:themeFill="background1" w:themeFillShade="F2"/>
          </w:tcPr>
          <w:p w14:paraId="4321DF26" w14:textId="77777777" w:rsidR="00283D92" w:rsidRPr="00283D92" w:rsidRDefault="00283D92" w:rsidP="00283D92">
            <w:pPr>
              <w:spacing w:after="0"/>
            </w:pPr>
            <w:r w:rsidRPr="00283D92">
              <w:t>Q</w:t>
            </w:r>
            <w:r w:rsidR="00E74B57">
              <w:t>2</w:t>
            </w:r>
            <w:r w:rsidRPr="00283D92">
              <w:t xml:space="preserve"> 2019–20</w:t>
            </w:r>
          </w:p>
        </w:tc>
        <w:tc>
          <w:tcPr>
            <w:tcW w:w="1891" w:type="dxa"/>
            <w:shd w:val="clear" w:color="auto" w:fill="F2F2F2" w:themeFill="background1" w:themeFillShade="F2"/>
          </w:tcPr>
          <w:p w14:paraId="057A9145" w14:textId="77777777" w:rsidR="00283D92" w:rsidRDefault="00283D92" w:rsidP="00283D92">
            <w:pPr>
              <w:spacing w:after="0"/>
            </w:pPr>
            <w:r>
              <w:t>Q4 2020–21</w:t>
            </w:r>
          </w:p>
        </w:tc>
        <w:tc>
          <w:tcPr>
            <w:tcW w:w="2063" w:type="dxa"/>
            <w:shd w:val="clear" w:color="auto" w:fill="F2F2F2" w:themeFill="background1" w:themeFillShade="F2"/>
          </w:tcPr>
          <w:p w14:paraId="4A23BD16" w14:textId="77777777" w:rsidR="00283D92" w:rsidRPr="00455D60" w:rsidRDefault="00283D92" w:rsidP="00283D92">
            <w:pPr>
              <w:spacing w:after="0"/>
            </w:pPr>
            <w:r w:rsidRPr="005759E7">
              <w:t>May be allocated under new Act</w:t>
            </w:r>
          </w:p>
        </w:tc>
      </w:tr>
    </w:tbl>
    <w:p w14:paraId="7270E3EB" w14:textId="77777777" w:rsidR="00C05934" w:rsidRDefault="008D65A3" w:rsidP="009D0090">
      <w:pPr>
        <w:pStyle w:val="ACMANotes"/>
      </w:pPr>
      <w:r>
        <w:t>* Note a planning decision has already been communicated for this band</w:t>
      </w:r>
      <w:r w:rsidR="000A4F28">
        <w:t xml:space="preserve"> (2017)</w:t>
      </w:r>
      <w:r>
        <w:t>, however further options are currently being considered</w:t>
      </w:r>
      <w:r w:rsidR="009D0090">
        <w:t>—</w:t>
      </w:r>
      <w:r>
        <w:t>the time</w:t>
      </w:r>
      <w:r w:rsidR="009D0090">
        <w:t xml:space="preserve"> </w:t>
      </w:r>
      <w:r>
        <w:t xml:space="preserve">frames </w:t>
      </w:r>
      <w:r w:rsidR="000A4F28">
        <w:t>described pertain to completing of that further consideration.</w:t>
      </w:r>
    </w:p>
    <w:p w14:paraId="6FE49851" w14:textId="77777777" w:rsidR="00C05934" w:rsidRDefault="00C05934" w:rsidP="00C05934">
      <w:pPr>
        <w:pStyle w:val="Heading4"/>
        <w:keepNext w:val="0"/>
        <w:numPr>
          <w:ilvl w:val="3"/>
          <w:numId w:val="9"/>
        </w:numPr>
        <w:ind w:left="284"/>
        <w:rPr>
          <w:rFonts w:ascii="Arial" w:hAnsi="Arial" w:cs="Arial"/>
        </w:rPr>
      </w:pPr>
      <w:r w:rsidRPr="00E07C0F">
        <w:rPr>
          <w:rFonts w:ascii="Arial" w:hAnsi="Arial" w:cs="Arial"/>
        </w:rPr>
        <w:t>Scenario 2</w:t>
      </w:r>
      <w:r w:rsidR="00265FDD">
        <w:rPr>
          <w:rFonts w:ascii="Arial" w:hAnsi="Arial" w:cs="Arial"/>
        </w:rPr>
        <w:t>—</w:t>
      </w:r>
      <w:r>
        <w:rPr>
          <w:rFonts w:ascii="Arial" w:hAnsi="Arial" w:cs="Arial"/>
        </w:rPr>
        <w:t>Pause after 5G allocations and reconsider whether one band does not proceed to auction</w:t>
      </w:r>
    </w:p>
    <w:p w14:paraId="1688B750" w14:textId="77777777" w:rsidR="00A27742" w:rsidRDefault="00A27742" w:rsidP="00A27742">
      <w:r w:rsidRPr="00E07C0F">
        <w:t xml:space="preserve">The scenario explores </w:t>
      </w:r>
      <w:r>
        <w:t xml:space="preserve">two sets of alternative possibilities; namely, a timing pause after allocation of the 5G bands to reassess likely market demand, and where a narrower set of bands proceeds to allocation via auction (see Table 17). </w:t>
      </w:r>
    </w:p>
    <w:p w14:paraId="15ED46E4" w14:textId="77777777" w:rsidR="00A27742" w:rsidRDefault="00A27742" w:rsidP="00A27742">
      <w:r>
        <w:t xml:space="preserve">Noting the expected industry focus on 5G network deployments over the next few years, it may be appropriate to reassess the relevant market circumstances once 5G networks are deployed to understand how these market changes will inform demand for other spectrum, following the conclusion of auctions for the 5G bands. </w:t>
      </w:r>
    </w:p>
    <w:p w14:paraId="4AC54F9A" w14:textId="77777777" w:rsidR="00A27742" w:rsidRDefault="00A27742" w:rsidP="00A27742">
      <w:pPr>
        <w:spacing w:after="80"/>
      </w:pPr>
      <w:r>
        <w:t>In relation to the scope of bands for inclusion in an allocation program, we have assumed that:</w:t>
      </w:r>
    </w:p>
    <w:p w14:paraId="0E8B9852" w14:textId="77777777" w:rsidR="00A27742" w:rsidRDefault="00A27742" w:rsidP="00A27742">
      <w:pPr>
        <w:pStyle w:val="ListBullet"/>
      </w:pPr>
      <w:r>
        <w:t xml:space="preserve">the 900 MHz band does not proceed to auction (for example, because it is administratively reconfigured and allocated), noting that the reallocation of 900 MHz is still under consideration by the ACMA </w:t>
      </w:r>
    </w:p>
    <w:p w14:paraId="1C5F3F4F" w14:textId="77777777" w:rsidR="00A27742" w:rsidRDefault="00A27742" w:rsidP="00A27742">
      <w:pPr>
        <w:pStyle w:val="ListBullet"/>
      </w:pPr>
      <w:r>
        <w:t xml:space="preserve">the 850 MHz expansion band allocation is then able to be delayed until closer to the </w:t>
      </w:r>
      <w:r w:rsidRPr="00FB7924">
        <w:t xml:space="preserve">completion of </w:t>
      </w:r>
      <w:r>
        <w:t xml:space="preserve">ongoing </w:t>
      </w:r>
      <w:r w:rsidRPr="00FB7924">
        <w:t>clearance</w:t>
      </w:r>
      <w:r>
        <w:t xml:space="preserve"> processes in the band</w:t>
      </w:r>
      <w:r w:rsidRPr="00FB7924">
        <w:t>, w</w:t>
      </w:r>
      <w:r>
        <w:t xml:space="preserve">hich will </w:t>
      </w:r>
      <w:r w:rsidRPr="00FB7924">
        <w:t xml:space="preserve">conclude </w:t>
      </w:r>
      <w:r>
        <w:t>in</w:t>
      </w:r>
      <w:r w:rsidRPr="00FB7924">
        <w:t xml:space="preserve"> 2024</w:t>
      </w:r>
    </w:p>
    <w:p w14:paraId="0D0C720C" w14:textId="77777777" w:rsidR="00A27742" w:rsidRDefault="00A27742" w:rsidP="00A27742">
      <w:pPr>
        <w:pStyle w:val="ListBulletLast"/>
      </w:pPr>
      <w:r>
        <w:t>the 1.5 GHz band is prioritised over the 850 MHz expansion band.</w:t>
      </w:r>
    </w:p>
    <w:p w14:paraId="33CFC58D" w14:textId="16A4611A" w:rsidR="00A27742" w:rsidRPr="00A27742" w:rsidRDefault="00A27742" w:rsidP="00A27742">
      <w:r>
        <w:t>As with</w:t>
      </w:r>
      <w:r w:rsidDel="00086611">
        <w:t xml:space="preserve"> </w:t>
      </w:r>
      <w:r>
        <w:t>Scenario 1, the allocation timing for the 1.5 GHz band reflects the expected conclusion of planning activities, as outlined in the mobile broadband work program. As the sequencing shows, the ACMA would be able to allocate</w:t>
      </w:r>
      <w:r w:rsidDel="00932575">
        <w:t xml:space="preserve"> </w:t>
      </w:r>
      <w:r>
        <w:t>the 1.5 GHz band before the 850 MHz band, if this sequence best addresses industry demand at the time.</w:t>
      </w:r>
    </w:p>
    <w:p w14:paraId="0EFD6720" w14:textId="77777777" w:rsidR="00932575" w:rsidRDefault="003F4B80" w:rsidP="005759E7">
      <w:pPr>
        <w:pStyle w:val="ACMATableHeader"/>
      </w:pPr>
      <w:r w:rsidRPr="00066AA0">
        <w:lastRenderedPageBreak/>
        <w:t>Scenario 2</w:t>
      </w:r>
      <w:r>
        <w:t>—</w:t>
      </w:r>
      <w:r w:rsidR="00197216">
        <w:t xml:space="preserve">Pause </w:t>
      </w:r>
      <w:r w:rsidR="00197216" w:rsidRPr="00455D60">
        <w:t>after</w:t>
      </w:r>
      <w:r w:rsidR="00197216">
        <w:t xml:space="preserve"> 5G allocations and reconsider whether one </w:t>
      </w:r>
      <w:r w:rsidR="00932575">
        <w:t xml:space="preserve">band does not proceed to allocation </w:t>
      </w:r>
    </w:p>
    <w:tbl>
      <w:tblPr>
        <w:tblStyle w:val="TableGrid"/>
        <w:tblW w:w="7667" w:type="dxa"/>
        <w:tblCellMar>
          <w:top w:w="57" w:type="dxa"/>
          <w:left w:w="57" w:type="dxa"/>
          <w:bottom w:w="57" w:type="dxa"/>
          <w:right w:w="57" w:type="dxa"/>
        </w:tblCellMar>
        <w:tblLook w:val="04A0" w:firstRow="1" w:lastRow="0" w:firstColumn="1" w:lastColumn="0" w:noHBand="0" w:noVBand="1"/>
        <w:tblCaption w:val="Scenario 2—3.6 GHz prioritised, with mmWave next"/>
        <w:tblDescription w:val="Shows planning decision and auction timeframes."/>
      </w:tblPr>
      <w:tblGrid>
        <w:gridCol w:w="1147"/>
        <w:gridCol w:w="1276"/>
        <w:gridCol w:w="1275"/>
        <w:gridCol w:w="1843"/>
        <w:gridCol w:w="2126"/>
      </w:tblGrid>
      <w:tr w:rsidR="00932575" w14:paraId="36931806" w14:textId="77777777" w:rsidTr="00A27742">
        <w:trPr>
          <w:tblHeader/>
        </w:trPr>
        <w:tc>
          <w:tcPr>
            <w:tcW w:w="1147" w:type="dxa"/>
            <w:shd w:val="clear" w:color="auto" w:fill="404040" w:themeFill="text1" w:themeFillTint="BF"/>
          </w:tcPr>
          <w:p w14:paraId="2A69F125" w14:textId="77777777" w:rsidR="00932575" w:rsidRPr="000724A6" w:rsidRDefault="00932575" w:rsidP="00692D0A">
            <w:pPr>
              <w:pStyle w:val="TableHeading"/>
              <w:keepNext/>
              <w:keepLines/>
              <w:rPr>
                <w:color w:val="FFFFFF" w:themeColor="background1"/>
              </w:rPr>
            </w:pPr>
          </w:p>
        </w:tc>
        <w:tc>
          <w:tcPr>
            <w:tcW w:w="1276" w:type="dxa"/>
            <w:shd w:val="clear" w:color="auto" w:fill="404040" w:themeFill="text1" w:themeFillTint="BF"/>
          </w:tcPr>
          <w:p w14:paraId="3D54ECF6" w14:textId="77777777" w:rsidR="00932575" w:rsidRPr="000724A6" w:rsidRDefault="00932575" w:rsidP="00692D0A">
            <w:pPr>
              <w:pStyle w:val="TableHeading"/>
              <w:keepNext/>
              <w:keepLines/>
              <w:rPr>
                <w:color w:val="FFFFFF" w:themeColor="background1"/>
              </w:rPr>
            </w:pPr>
            <w:r w:rsidRPr="000724A6">
              <w:rPr>
                <w:color w:val="FFFFFF" w:themeColor="background1"/>
              </w:rPr>
              <w:t>ACMA planning decision</w:t>
            </w:r>
          </w:p>
        </w:tc>
        <w:tc>
          <w:tcPr>
            <w:tcW w:w="1275" w:type="dxa"/>
            <w:shd w:val="clear" w:color="auto" w:fill="404040" w:themeFill="text1" w:themeFillTint="BF"/>
          </w:tcPr>
          <w:p w14:paraId="7E136F02" w14:textId="77777777" w:rsidR="00932575" w:rsidRPr="000724A6" w:rsidRDefault="00932575" w:rsidP="00692D0A">
            <w:pPr>
              <w:pStyle w:val="TableHeading"/>
              <w:keepNext/>
              <w:keepLines/>
              <w:rPr>
                <w:color w:val="FFFFFF" w:themeColor="background1"/>
              </w:rPr>
            </w:pPr>
            <w:r w:rsidRPr="000724A6">
              <w:rPr>
                <w:color w:val="FFFFFF" w:themeColor="background1"/>
              </w:rPr>
              <w:t>Min</w:t>
            </w:r>
            <w:r w:rsidR="00715BB9">
              <w:rPr>
                <w:color w:val="FFFFFF" w:themeColor="background1"/>
              </w:rPr>
              <w:t>ister decision where applicable</w:t>
            </w:r>
          </w:p>
        </w:tc>
        <w:tc>
          <w:tcPr>
            <w:tcW w:w="1843" w:type="dxa"/>
            <w:shd w:val="clear" w:color="auto" w:fill="404040" w:themeFill="text1" w:themeFillTint="BF"/>
          </w:tcPr>
          <w:p w14:paraId="4A96912B" w14:textId="77777777" w:rsidR="00932575" w:rsidRPr="000724A6" w:rsidRDefault="00932575" w:rsidP="00692D0A">
            <w:pPr>
              <w:pStyle w:val="TableHeading"/>
              <w:keepNext/>
              <w:keepLines/>
              <w:rPr>
                <w:color w:val="FFFFFF" w:themeColor="background1"/>
              </w:rPr>
            </w:pPr>
            <w:r w:rsidRPr="000724A6">
              <w:rPr>
                <w:color w:val="FFFFFF" w:themeColor="background1"/>
              </w:rPr>
              <w:t>Auction</w:t>
            </w:r>
          </w:p>
        </w:tc>
        <w:tc>
          <w:tcPr>
            <w:tcW w:w="2126" w:type="dxa"/>
            <w:shd w:val="clear" w:color="auto" w:fill="404040" w:themeFill="text1" w:themeFillTint="BF"/>
          </w:tcPr>
          <w:p w14:paraId="0D4BF8C3" w14:textId="77777777" w:rsidR="00932575" w:rsidRPr="000724A6" w:rsidRDefault="00932575" w:rsidP="00692D0A">
            <w:pPr>
              <w:pStyle w:val="TableHeading"/>
              <w:keepNext/>
              <w:keepLines/>
              <w:rPr>
                <w:color w:val="FFFFFF" w:themeColor="background1"/>
              </w:rPr>
            </w:pPr>
            <w:r w:rsidRPr="000724A6">
              <w:rPr>
                <w:color w:val="FFFFFF" w:themeColor="background1"/>
              </w:rPr>
              <w:t>Notes</w:t>
            </w:r>
          </w:p>
        </w:tc>
      </w:tr>
      <w:tr w:rsidR="00932575" w14:paraId="3016B865" w14:textId="77777777" w:rsidTr="00A27742">
        <w:tc>
          <w:tcPr>
            <w:tcW w:w="1147" w:type="dxa"/>
          </w:tcPr>
          <w:p w14:paraId="440D6716" w14:textId="77777777" w:rsidR="00932575" w:rsidRPr="000F12F1" w:rsidRDefault="00932575" w:rsidP="00692D0A">
            <w:pPr>
              <w:keepNext/>
              <w:keepLines/>
              <w:spacing w:after="0"/>
              <w:rPr>
                <w:b/>
              </w:rPr>
            </w:pPr>
            <w:r w:rsidRPr="000F12F1">
              <w:rPr>
                <w:b/>
              </w:rPr>
              <w:t>3.6 GHz</w:t>
            </w:r>
          </w:p>
        </w:tc>
        <w:tc>
          <w:tcPr>
            <w:tcW w:w="1276" w:type="dxa"/>
          </w:tcPr>
          <w:p w14:paraId="513886B7" w14:textId="77777777" w:rsidR="00932575" w:rsidRDefault="00932575" w:rsidP="00692D0A">
            <w:pPr>
              <w:keepNext/>
              <w:keepLines/>
              <w:spacing w:after="0"/>
            </w:pPr>
            <w:r>
              <w:t>Q2 2017</w:t>
            </w:r>
            <w:r w:rsidR="00F522DC">
              <w:t>–</w:t>
            </w:r>
            <w:r>
              <w:t>18</w:t>
            </w:r>
          </w:p>
        </w:tc>
        <w:tc>
          <w:tcPr>
            <w:tcW w:w="1275" w:type="dxa"/>
          </w:tcPr>
          <w:p w14:paraId="0094FE84" w14:textId="77777777" w:rsidR="00932575" w:rsidRDefault="00932575" w:rsidP="00692D0A">
            <w:pPr>
              <w:keepNext/>
              <w:keepLines/>
              <w:spacing w:after="0"/>
            </w:pPr>
            <w:r>
              <w:t>Q3 2017</w:t>
            </w:r>
            <w:r w:rsidR="009D0090">
              <w:t>–</w:t>
            </w:r>
            <w:r>
              <w:t>18</w:t>
            </w:r>
          </w:p>
        </w:tc>
        <w:tc>
          <w:tcPr>
            <w:tcW w:w="1843" w:type="dxa"/>
          </w:tcPr>
          <w:p w14:paraId="6EF4ADDF" w14:textId="77777777" w:rsidR="00932575" w:rsidRDefault="00932575" w:rsidP="00692D0A">
            <w:pPr>
              <w:keepNext/>
              <w:keepLines/>
              <w:spacing w:after="0"/>
            </w:pPr>
            <w:r>
              <w:t>Q2 2018</w:t>
            </w:r>
            <w:r w:rsidR="00F522DC">
              <w:t>–</w:t>
            </w:r>
            <w:r>
              <w:t>19</w:t>
            </w:r>
          </w:p>
        </w:tc>
        <w:tc>
          <w:tcPr>
            <w:tcW w:w="2126" w:type="dxa"/>
          </w:tcPr>
          <w:p w14:paraId="3BBF2C63" w14:textId="77777777" w:rsidR="00932575" w:rsidRDefault="00932575" w:rsidP="00692D0A">
            <w:pPr>
              <w:keepNext/>
              <w:keepLines/>
              <w:spacing w:after="0"/>
            </w:pPr>
            <w:r>
              <w:t>Expected allocation under 1992 Act</w:t>
            </w:r>
          </w:p>
        </w:tc>
      </w:tr>
      <w:tr w:rsidR="00932575" w14:paraId="7C919983" w14:textId="77777777" w:rsidTr="00A27742">
        <w:tc>
          <w:tcPr>
            <w:tcW w:w="1147" w:type="dxa"/>
            <w:shd w:val="clear" w:color="auto" w:fill="F2F2F2" w:themeFill="background1" w:themeFillShade="F2"/>
          </w:tcPr>
          <w:p w14:paraId="72ACB9C7" w14:textId="77777777" w:rsidR="00932575" w:rsidRPr="000F12F1" w:rsidRDefault="00932575">
            <w:pPr>
              <w:keepNext/>
              <w:keepLines/>
              <w:spacing w:after="0"/>
              <w:rPr>
                <w:b/>
              </w:rPr>
            </w:pPr>
            <w:r w:rsidRPr="000F12F1">
              <w:rPr>
                <w:b/>
              </w:rPr>
              <w:t>26 GHz</w:t>
            </w:r>
          </w:p>
        </w:tc>
        <w:tc>
          <w:tcPr>
            <w:tcW w:w="1276" w:type="dxa"/>
            <w:shd w:val="clear" w:color="auto" w:fill="F2F2F2" w:themeFill="background1" w:themeFillShade="F2"/>
          </w:tcPr>
          <w:p w14:paraId="6760053F" w14:textId="77777777" w:rsidR="00932575" w:rsidRPr="00283D92" w:rsidRDefault="00932575" w:rsidP="00835E98">
            <w:pPr>
              <w:keepNext/>
              <w:keepLines/>
              <w:spacing w:after="0"/>
            </w:pPr>
            <w:r w:rsidRPr="00283D92">
              <w:t>Q</w:t>
            </w:r>
            <w:r w:rsidR="00835E98">
              <w:t>2</w:t>
            </w:r>
            <w:r w:rsidRPr="00283D92">
              <w:t xml:space="preserve"> 201</w:t>
            </w:r>
            <w:r w:rsidR="00283D92" w:rsidRPr="00283D92">
              <w:t>8</w:t>
            </w:r>
            <w:r w:rsidR="00F522DC" w:rsidRPr="00283D92">
              <w:t>–</w:t>
            </w:r>
            <w:r w:rsidRPr="00283D92">
              <w:t>1</w:t>
            </w:r>
            <w:r w:rsidR="00283D92" w:rsidRPr="00283D92">
              <w:t>9</w:t>
            </w:r>
          </w:p>
        </w:tc>
        <w:tc>
          <w:tcPr>
            <w:tcW w:w="1275" w:type="dxa"/>
            <w:shd w:val="clear" w:color="auto" w:fill="F2F2F2" w:themeFill="background1" w:themeFillShade="F2"/>
          </w:tcPr>
          <w:p w14:paraId="69B628C3" w14:textId="77777777" w:rsidR="00932575" w:rsidRPr="00283D92" w:rsidRDefault="00932575" w:rsidP="00BE4FB5">
            <w:pPr>
              <w:keepNext/>
              <w:keepLines/>
              <w:spacing w:after="0"/>
            </w:pPr>
            <w:r w:rsidRPr="00283D92">
              <w:t>Q</w:t>
            </w:r>
            <w:r w:rsidR="00F35DEF">
              <w:t>3</w:t>
            </w:r>
            <w:r w:rsidRPr="00283D92">
              <w:t xml:space="preserve"> 2018</w:t>
            </w:r>
            <w:r w:rsidR="009D0090">
              <w:t>–</w:t>
            </w:r>
            <w:r w:rsidRPr="00283D92">
              <w:t xml:space="preserve">19 </w:t>
            </w:r>
          </w:p>
        </w:tc>
        <w:tc>
          <w:tcPr>
            <w:tcW w:w="1843" w:type="dxa"/>
            <w:shd w:val="clear" w:color="auto" w:fill="F2F2F2" w:themeFill="background1" w:themeFillShade="F2"/>
          </w:tcPr>
          <w:p w14:paraId="0C46A9BE" w14:textId="77777777" w:rsidR="00932575" w:rsidRDefault="00932575" w:rsidP="00BE4FB5">
            <w:pPr>
              <w:keepNext/>
              <w:keepLines/>
              <w:spacing w:after="0"/>
            </w:pPr>
            <w:r>
              <w:t>Q</w:t>
            </w:r>
            <w:r w:rsidR="00F35DEF">
              <w:t>4</w:t>
            </w:r>
            <w:r>
              <w:t xml:space="preserve"> 2019</w:t>
            </w:r>
            <w:r w:rsidR="00F522DC">
              <w:t>–</w:t>
            </w:r>
            <w:r>
              <w:t>20</w:t>
            </w:r>
          </w:p>
        </w:tc>
        <w:tc>
          <w:tcPr>
            <w:tcW w:w="2126" w:type="dxa"/>
            <w:shd w:val="clear" w:color="auto" w:fill="F2F2F2" w:themeFill="background1" w:themeFillShade="F2"/>
          </w:tcPr>
          <w:p w14:paraId="0DEA9CE4" w14:textId="77777777" w:rsidR="00932575" w:rsidRPr="005759E7" w:rsidRDefault="00932575" w:rsidP="00692D0A">
            <w:pPr>
              <w:keepNext/>
              <w:keepLines/>
              <w:spacing w:after="0"/>
            </w:pPr>
            <w:r w:rsidRPr="005759E7">
              <w:t>May be allocated under new Act</w:t>
            </w:r>
          </w:p>
        </w:tc>
      </w:tr>
      <w:tr w:rsidR="00932575" w14:paraId="3C5070CA" w14:textId="77777777" w:rsidTr="00A27742">
        <w:tc>
          <w:tcPr>
            <w:tcW w:w="1147" w:type="dxa"/>
            <w:shd w:val="clear" w:color="auto" w:fill="auto"/>
          </w:tcPr>
          <w:p w14:paraId="78BB29C0" w14:textId="77777777" w:rsidR="00932575" w:rsidRPr="00283D92" w:rsidRDefault="00932575" w:rsidP="00692D0A">
            <w:pPr>
              <w:keepNext/>
              <w:keepLines/>
              <w:spacing w:after="0"/>
              <w:rPr>
                <w:b/>
              </w:rPr>
            </w:pPr>
            <w:r w:rsidRPr="00283D92">
              <w:rPr>
                <w:b/>
              </w:rPr>
              <w:t>1.5 GHz</w:t>
            </w:r>
          </w:p>
        </w:tc>
        <w:tc>
          <w:tcPr>
            <w:tcW w:w="1276" w:type="dxa"/>
            <w:shd w:val="clear" w:color="auto" w:fill="auto"/>
          </w:tcPr>
          <w:p w14:paraId="3F3DB1FF" w14:textId="77777777" w:rsidR="00932575" w:rsidRPr="00283D92" w:rsidRDefault="00932575" w:rsidP="00692D0A">
            <w:pPr>
              <w:keepNext/>
              <w:keepLines/>
              <w:spacing w:after="0"/>
            </w:pPr>
            <w:r w:rsidRPr="00283D92">
              <w:t>Q2 2020</w:t>
            </w:r>
            <w:r w:rsidR="00F522DC" w:rsidRPr="00283D92">
              <w:t>–</w:t>
            </w:r>
            <w:r w:rsidRPr="00283D92">
              <w:t>21</w:t>
            </w:r>
          </w:p>
        </w:tc>
        <w:tc>
          <w:tcPr>
            <w:tcW w:w="1275" w:type="dxa"/>
            <w:shd w:val="clear" w:color="auto" w:fill="auto"/>
          </w:tcPr>
          <w:p w14:paraId="3CE2583B" w14:textId="77777777" w:rsidR="00932575" w:rsidRPr="00283D92" w:rsidRDefault="00932575" w:rsidP="00283D92">
            <w:pPr>
              <w:keepNext/>
              <w:keepLines/>
              <w:spacing w:after="0"/>
            </w:pPr>
            <w:r w:rsidRPr="00283D92">
              <w:t>Q</w:t>
            </w:r>
            <w:r w:rsidR="00E74B57">
              <w:t>3</w:t>
            </w:r>
            <w:r w:rsidRPr="00283D92">
              <w:t xml:space="preserve"> 202</w:t>
            </w:r>
            <w:r w:rsidR="00E74B57">
              <w:t>0</w:t>
            </w:r>
            <w:r w:rsidR="009D0090">
              <w:t>–</w:t>
            </w:r>
            <w:r w:rsidRPr="00283D92">
              <w:t>2</w:t>
            </w:r>
            <w:r w:rsidR="00E74B57">
              <w:t>1</w:t>
            </w:r>
            <w:r w:rsidRPr="00283D92">
              <w:t xml:space="preserve"> </w:t>
            </w:r>
          </w:p>
        </w:tc>
        <w:tc>
          <w:tcPr>
            <w:tcW w:w="1843" w:type="dxa"/>
            <w:shd w:val="clear" w:color="auto" w:fill="auto"/>
          </w:tcPr>
          <w:p w14:paraId="525FAC0B" w14:textId="77777777" w:rsidR="00932575" w:rsidRDefault="00932575" w:rsidP="00692D0A">
            <w:pPr>
              <w:keepNext/>
              <w:keepLines/>
              <w:spacing w:after="0"/>
            </w:pPr>
            <w:r>
              <w:t>Q4 2021</w:t>
            </w:r>
            <w:r w:rsidR="00F522DC">
              <w:t>–</w:t>
            </w:r>
            <w:r>
              <w:t>22</w:t>
            </w:r>
          </w:p>
        </w:tc>
        <w:tc>
          <w:tcPr>
            <w:tcW w:w="2126" w:type="dxa"/>
            <w:shd w:val="clear" w:color="auto" w:fill="auto"/>
          </w:tcPr>
          <w:p w14:paraId="3B580F51" w14:textId="77777777" w:rsidR="00932575" w:rsidRPr="00455D60" w:rsidRDefault="00932575" w:rsidP="00692D0A">
            <w:pPr>
              <w:keepNext/>
              <w:keepLines/>
              <w:spacing w:after="0"/>
            </w:pPr>
            <w:r w:rsidRPr="005759E7">
              <w:t>May be allocated under new Act</w:t>
            </w:r>
            <w:r w:rsidRPr="005759E7" w:rsidDel="001525AB">
              <w:t xml:space="preserve"> </w:t>
            </w:r>
          </w:p>
        </w:tc>
      </w:tr>
      <w:tr w:rsidR="00932575" w14:paraId="4BCA800B" w14:textId="77777777" w:rsidTr="00A27742">
        <w:tc>
          <w:tcPr>
            <w:tcW w:w="1147" w:type="dxa"/>
            <w:shd w:val="clear" w:color="auto" w:fill="F2F2F2" w:themeFill="background1" w:themeFillShade="F2"/>
          </w:tcPr>
          <w:p w14:paraId="7503D177" w14:textId="77777777" w:rsidR="00932575" w:rsidRPr="000F12F1" w:rsidRDefault="00932575" w:rsidP="00692D0A">
            <w:pPr>
              <w:keepNext/>
              <w:keepLines/>
              <w:spacing w:after="0"/>
              <w:rPr>
                <w:b/>
              </w:rPr>
            </w:pPr>
            <w:r w:rsidRPr="000F12F1">
              <w:rPr>
                <w:b/>
              </w:rPr>
              <w:t>850 MHz</w:t>
            </w:r>
            <w:r w:rsidRPr="000F12F1" w:rsidDel="001525AB">
              <w:rPr>
                <w:b/>
              </w:rPr>
              <w:t xml:space="preserve"> </w:t>
            </w:r>
          </w:p>
        </w:tc>
        <w:tc>
          <w:tcPr>
            <w:tcW w:w="1276" w:type="dxa"/>
            <w:shd w:val="clear" w:color="auto" w:fill="F2F2F2" w:themeFill="background1" w:themeFillShade="F2"/>
          </w:tcPr>
          <w:p w14:paraId="2E87CB80" w14:textId="77777777" w:rsidR="00932575" w:rsidRDefault="00932575" w:rsidP="00692D0A">
            <w:pPr>
              <w:keepNext/>
              <w:keepLines/>
              <w:spacing w:after="0"/>
            </w:pPr>
            <w:r>
              <w:t>Q3 2018</w:t>
            </w:r>
            <w:r w:rsidR="00F522DC">
              <w:t>–</w:t>
            </w:r>
            <w:r>
              <w:t>19</w:t>
            </w:r>
          </w:p>
        </w:tc>
        <w:tc>
          <w:tcPr>
            <w:tcW w:w="1275" w:type="dxa"/>
            <w:shd w:val="clear" w:color="auto" w:fill="F2F2F2" w:themeFill="background1" w:themeFillShade="F2"/>
          </w:tcPr>
          <w:p w14:paraId="2A96BE59" w14:textId="77777777" w:rsidR="00932575" w:rsidRDefault="00932575" w:rsidP="00692D0A">
            <w:pPr>
              <w:keepNext/>
              <w:keepLines/>
              <w:spacing w:after="0"/>
            </w:pPr>
            <w:r>
              <w:t>Q3 2021</w:t>
            </w:r>
            <w:r w:rsidR="00F522DC">
              <w:t>–</w:t>
            </w:r>
            <w:r>
              <w:t>22</w:t>
            </w:r>
          </w:p>
        </w:tc>
        <w:tc>
          <w:tcPr>
            <w:tcW w:w="1843" w:type="dxa"/>
            <w:shd w:val="clear" w:color="auto" w:fill="F2F2F2" w:themeFill="background1" w:themeFillShade="F2"/>
          </w:tcPr>
          <w:p w14:paraId="741135CB" w14:textId="77777777" w:rsidR="00932575" w:rsidRDefault="00932575" w:rsidP="00692D0A">
            <w:pPr>
              <w:keepNext/>
              <w:keepLines/>
              <w:spacing w:after="0"/>
            </w:pPr>
            <w:r>
              <w:t>Q2 2022</w:t>
            </w:r>
            <w:r w:rsidR="00F522DC">
              <w:t>–</w:t>
            </w:r>
            <w:r>
              <w:t>23</w:t>
            </w:r>
          </w:p>
        </w:tc>
        <w:tc>
          <w:tcPr>
            <w:tcW w:w="2126" w:type="dxa"/>
            <w:shd w:val="clear" w:color="auto" w:fill="F2F2F2" w:themeFill="background1" w:themeFillShade="F2"/>
          </w:tcPr>
          <w:p w14:paraId="5349A84D" w14:textId="77777777" w:rsidR="00932575" w:rsidRPr="00455D60" w:rsidRDefault="00932575" w:rsidP="00692D0A">
            <w:pPr>
              <w:keepNext/>
              <w:keepLines/>
              <w:spacing w:after="0"/>
            </w:pPr>
            <w:r w:rsidRPr="005759E7">
              <w:t>May be allocated under new Act</w:t>
            </w:r>
            <w:r w:rsidRPr="005759E7" w:rsidDel="001525AB">
              <w:t xml:space="preserve"> </w:t>
            </w:r>
          </w:p>
        </w:tc>
      </w:tr>
    </w:tbl>
    <w:p w14:paraId="329EF951" w14:textId="77777777" w:rsidR="00DA2077" w:rsidRDefault="00DA2077" w:rsidP="005759E7">
      <w:pPr>
        <w:pStyle w:val="ACMASpaceaftertable"/>
      </w:pPr>
      <w:bookmarkStart w:id="299" w:name="_Toc510104966"/>
      <w:bookmarkStart w:id="300" w:name="_Toc510105763"/>
      <w:bookmarkStart w:id="301" w:name="_Toc510795095"/>
      <w:bookmarkStart w:id="302" w:name="_Toc511716296"/>
      <w:bookmarkStart w:id="303" w:name="_Toc511719107"/>
    </w:p>
    <w:p w14:paraId="17CF71AB" w14:textId="77777777" w:rsidR="00183E47" w:rsidRPr="00495BFE" w:rsidRDefault="00183E47" w:rsidP="005759E7">
      <w:pPr>
        <w:pStyle w:val="Heading3"/>
      </w:pPr>
      <w:bookmarkStart w:id="304" w:name="_Toc514156711"/>
      <w:r w:rsidRPr="00495BFE">
        <w:t>Consultation question</w:t>
      </w:r>
      <w:bookmarkEnd w:id="299"/>
      <w:bookmarkEnd w:id="300"/>
      <w:bookmarkEnd w:id="301"/>
      <w:bookmarkEnd w:id="302"/>
      <w:bookmarkEnd w:id="303"/>
      <w:bookmarkEnd w:id="304"/>
      <w:r w:rsidRPr="00495BFE">
        <w:t xml:space="preserve"> </w:t>
      </w:r>
    </w:p>
    <w:p w14:paraId="0C486D6A" w14:textId="77777777" w:rsidR="00183E47" w:rsidRPr="0054532C" w:rsidRDefault="00183E47" w:rsidP="006F542F">
      <w:pPr>
        <w:pStyle w:val="ListNumber"/>
        <w:numPr>
          <w:ilvl w:val="0"/>
          <w:numId w:val="53"/>
        </w:numPr>
        <w:shd w:val="clear" w:color="auto" w:fill="auto"/>
        <w:rPr>
          <w:rFonts w:eastAsiaTheme="majorEastAsia"/>
        </w:rPr>
      </w:pPr>
      <w:r>
        <w:t>Do you have any comments about the ACMA approach to the forward allocations</w:t>
      </w:r>
      <w:r w:rsidR="000469EF">
        <w:t>, or the specific allocation scenarios</w:t>
      </w:r>
      <w:r>
        <w:t xml:space="preserve">? </w:t>
      </w:r>
    </w:p>
    <w:p w14:paraId="519A2923" w14:textId="77777777" w:rsidR="00C56B65" w:rsidRDefault="00C56B65" w:rsidP="00455D60">
      <w:pPr>
        <w:pStyle w:val="Heading1"/>
      </w:pPr>
      <w:bookmarkStart w:id="305" w:name="_Toc510104967"/>
      <w:bookmarkStart w:id="306" w:name="_Toc510105764"/>
      <w:bookmarkStart w:id="307" w:name="_Toc510795096"/>
      <w:bookmarkStart w:id="308" w:name="_Toc511716297"/>
      <w:bookmarkStart w:id="309" w:name="_Toc511719108"/>
      <w:bookmarkStart w:id="310" w:name="_Toc514156712"/>
      <w:bookmarkEnd w:id="198"/>
      <w:bookmarkEnd w:id="199"/>
      <w:bookmarkEnd w:id="200"/>
      <w:bookmarkEnd w:id="201"/>
      <w:bookmarkEnd w:id="202"/>
      <w:bookmarkEnd w:id="203"/>
      <w:r>
        <w:lastRenderedPageBreak/>
        <w:t xml:space="preserve">Spectrum review </w:t>
      </w:r>
      <w:r w:rsidRPr="00455D60">
        <w:t>implementation</w:t>
      </w:r>
      <w:bookmarkEnd w:id="305"/>
      <w:bookmarkEnd w:id="306"/>
      <w:bookmarkEnd w:id="307"/>
      <w:bookmarkEnd w:id="308"/>
      <w:bookmarkEnd w:id="309"/>
      <w:bookmarkEnd w:id="310"/>
    </w:p>
    <w:p w14:paraId="2229154F" w14:textId="77777777" w:rsidR="008B3780" w:rsidRPr="005759E7" w:rsidRDefault="008B3780" w:rsidP="00455D60">
      <w:pPr>
        <w:pStyle w:val="Heading2"/>
      </w:pPr>
      <w:bookmarkStart w:id="311" w:name="_Toc494115141"/>
      <w:bookmarkStart w:id="312" w:name="_Toc494807809"/>
      <w:bookmarkStart w:id="313" w:name="_Toc511716298"/>
      <w:bookmarkStart w:id="314" w:name="_Toc511719109"/>
      <w:bookmarkStart w:id="315" w:name="_Toc514156713"/>
      <w:r w:rsidRPr="005759E7">
        <w:t>The reform context</w:t>
      </w:r>
      <w:bookmarkEnd w:id="311"/>
      <w:bookmarkEnd w:id="312"/>
      <w:bookmarkEnd w:id="313"/>
      <w:bookmarkEnd w:id="314"/>
      <w:bookmarkEnd w:id="315"/>
    </w:p>
    <w:p w14:paraId="1D233944" w14:textId="77777777" w:rsidR="008B3780" w:rsidRPr="008B3780" w:rsidRDefault="009E41C8" w:rsidP="00455D60">
      <w:r>
        <w:t>T</w:t>
      </w:r>
      <w:r w:rsidR="008B3780" w:rsidRPr="008B3780">
        <w:t xml:space="preserve">he </w:t>
      </w:r>
      <w:r>
        <w:t>release of</w:t>
      </w:r>
      <w:r w:rsidR="008B3780" w:rsidRPr="008B3780">
        <w:t xml:space="preserve"> the </w:t>
      </w:r>
      <w:hyperlink r:id="rId54" w:history="1">
        <w:r w:rsidR="008B3780" w:rsidRPr="008B3780">
          <w:rPr>
            <w:rFonts w:cs="Arial"/>
            <w:color w:val="0000FF"/>
            <w:u w:val="single"/>
          </w:rPr>
          <w:t>Exposure Draft of the Radiocommunications Bill 2017</w:t>
        </w:r>
      </w:hyperlink>
      <w:r w:rsidR="008B3780" w:rsidRPr="008B3780">
        <w:t xml:space="preserve"> (the Bill) for public comment in May 2017</w:t>
      </w:r>
      <w:r>
        <w:t xml:space="preserve"> marked an important milestone in </w:t>
      </w:r>
      <w:r w:rsidR="008B3780" w:rsidRPr="008B3780">
        <w:t>the ACMA</w:t>
      </w:r>
      <w:r>
        <w:t>’s</w:t>
      </w:r>
      <w:r w:rsidR="008B3780" w:rsidRPr="008B3780">
        <w:t xml:space="preserve"> preparations for implementing new spectrum management arrangements on commencement of the new Act. </w:t>
      </w:r>
    </w:p>
    <w:p w14:paraId="6B5896B4" w14:textId="77777777" w:rsidR="008B3780" w:rsidRPr="008B3780" w:rsidRDefault="008B3780" w:rsidP="00455D60">
      <w:r w:rsidRPr="008B3780">
        <w:t xml:space="preserve">In commenting on the Exposure Draft of the Bill, stakeholders wanted additional information from the ACMA about how it intends using the discretion provided under the Bill to implement the </w:t>
      </w:r>
      <w:r w:rsidR="009E41C8">
        <w:t>government’s</w:t>
      </w:r>
      <w:r w:rsidRPr="008B3780">
        <w:t xml:space="preserve"> reform directions </w:t>
      </w:r>
      <w:r w:rsidR="009E41C8">
        <w:t xml:space="preserve">for </w:t>
      </w:r>
      <w:r w:rsidRPr="008B3780">
        <w:t>spectrum management.</w:t>
      </w:r>
    </w:p>
    <w:p w14:paraId="409A6FA7" w14:textId="77777777" w:rsidR="008B3780" w:rsidRDefault="008B3780" w:rsidP="005759E7">
      <w:pPr>
        <w:spacing w:after="80"/>
        <w:rPr>
          <w:rFonts w:cs="Arial"/>
          <w:szCs w:val="20"/>
        </w:rPr>
      </w:pPr>
      <w:r w:rsidRPr="008B3780">
        <w:t xml:space="preserve">While elements of the legislative scheme are still under development, </w:t>
      </w:r>
      <w:r w:rsidRPr="008B3780">
        <w:rPr>
          <w:rFonts w:cs="Arial"/>
          <w:szCs w:val="20"/>
        </w:rPr>
        <w:t>the ACMA</w:t>
      </w:r>
      <w:r>
        <w:rPr>
          <w:rFonts w:cs="Arial"/>
          <w:szCs w:val="20"/>
        </w:rPr>
        <w:t xml:space="preserve"> identified broad </w:t>
      </w:r>
      <w:r w:rsidRPr="008B3780">
        <w:rPr>
          <w:rFonts w:cs="Arial"/>
          <w:szCs w:val="20"/>
        </w:rPr>
        <w:t xml:space="preserve">reform directions and implementation paths. </w:t>
      </w:r>
      <w:r>
        <w:rPr>
          <w:rFonts w:cs="Arial"/>
          <w:szCs w:val="20"/>
        </w:rPr>
        <w:t>In last year</w:t>
      </w:r>
      <w:r w:rsidR="003E2DAE">
        <w:rPr>
          <w:rFonts w:cs="Arial"/>
          <w:szCs w:val="20"/>
        </w:rPr>
        <w:t>’</w:t>
      </w:r>
      <w:r>
        <w:rPr>
          <w:rFonts w:cs="Arial"/>
          <w:szCs w:val="20"/>
        </w:rPr>
        <w:t>s FYSO</w:t>
      </w:r>
      <w:r w:rsidR="00DA2077">
        <w:rPr>
          <w:rFonts w:cs="Arial"/>
          <w:szCs w:val="20"/>
        </w:rPr>
        <w:t>,</w:t>
      </w:r>
      <w:r>
        <w:rPr>
          <w:rFonts w:cs="Arial"/>
          <w:szCs w:val="20"/>
        </w:rPr>
        <w:t xml:space="preserve"> we sought feedback on</w:t>
      </w:r>
    </w:p>
    <w:p w14:paraId="7FBA21AC" w14:textId="77777777" w:rsidR="008B3780" w:rsidRPr="008B3780" w:rsidRDefault="008B3780" w:rsidP="005759E7">
      <w:pPr>
        <w:pStyle w:val="ListBullet"/>
      </w:pPr>
      <w:r w:rsidRPr="008B3780">
        <w:t>our intended approach to spectrum reform objectives and priorities</w:t>
      </w:r>
    </w:p>
    <w:p w14:paraId="22AAB2AE" w14:textId="77777777" w:rsidR="008B3780" w:rsidRPr="008B3780" w:rsidRDefault="008B3780" w:rsidP="005759E7">
      <w:pPr>
        <w:pStyle w:val="ListBullet"/>
      </w:pPr>
      <w:r w:rsidRPr="008B3780">
        <w:t>our work plan to implement the Spectrum Review reforms</w:t>
      </w:r>
    </w:p>
    <w:p w14:paraId="099585F8" w14:textId="77777777" w:rsidR="008B3780" w:rsidRPr="008B3780" w:rsidRDefault="008B3780" w:rsidP="005759E7">
      <w:pPr>
        <w:pStyle w:val="ListBulletLast"/>
      </w:pPr>
      <w:r w:rsidRPr="008B3780">
        <w:t xml:space="preserve">opportunities for </w:t>
      </w:r>
      <w:r>
        <w:t>user</w:t>
      </w:r>
      <w:r w:rsidRPr="008B3780">
        <w:t xml:space="preserve"> involvement in designing the revised spectrum management arrangements.</w:t>
      </w:r>
    </w:p>
    <w:p w14:paraId="48413CE1" w14:textId="77777777" w:rsidR="008B3780" w:rsidRDefault="008B3780" w:rsidP="0077559E">
      <w:pPr>
        <w:rPr>
          <w:rFonts w:cs="Arial"/>
          <w:szCs w:val="20"/>
        </w:rPr>
      </w:pPr>
      <w:r>
        <w:rPr>
          <w:rFonts w:cs="Arial"/>
          <w:szCs w:val="20"/>
        </w:rPr>
        <w:t xml:space="preserve">Here we reflect on the feedback provided </w:t>
      </w:r>
      <w:r w:rsidR="00A07743">
        <w:rPr>
          <w:rFonts w:cs="Arial"/>
          <w:szCs w:val="20"/>
        </w:rPr>
        <w:t xml:space="preserve">and </w:t>
      </w:r>
      <w:r>
        <w:rPr>
          <w:rFonts w:cs="Arial"/>
          <w:szCs w:val="20"/>
        </w:rPr>
        <w:t>give an update on spectrum review implementation activity and planned activity for the next year.</w:t>
      </w:r>
    </w:p>
    <w:p w14:paraId="09C97003" w14:textId="77777777" w:rsidR="008B3780" w:rsidRPr="005759E7" w:rsidRDefault="003E2DAE" w:rsidP="005759E7">
      <w:pPr>
        <w:pStyle w:val="Heading2"/>
      </w:pPr>
      <w:bookmarkStart w:id="316" w:name="_Toc510104968"/>
      <w:bookmarkStart w:id="317" w:name="_Toc510105765"/>
      <w:bookmarkStart w:id="318" w:name="_Toc510795097"/>
      <w:bookmarkStart w:id="319" w:name="_Toc511716299"/>
      <w:bookmarkStart w:id="320" w:name="_Toc511719110"/>
      <w:bookmarkStart w:id="321" w:name="_Toc514156714"/>
      <w:r w:rsidRPr="005759E7">
        <w:t>Feedback on ACMA approach to implementing the spectrum review</w:t>
      </w:r>
      <w:bookmarkEnd w:id="316"/>
      <w:bookmarkEnd w:id="317"/>
      <w:bookmarkEnd w:id="318"/>
      <w:bookmarkEnd w:id="319"/>
      <w:bookmarkEnd w:id="320"/>
      <w:bookmarkEnd w:id="321"/>
      <w:r w:rsidRPr="005759E7">
        <w:t xml:space="preserve"> </w:t>
      </w:r>
    </w:p>
    <w:p w14:paraId="0FDAE8A0" w14:textId="77777777" w:rsidR="00E76074" w:rsidRPr="00D90C62" w:rsidRDefault="003E2DAE" w:rsidP="0077559E">
      <w:pPr>
        <w:rPr>
          <w:rFonts w:cs="Arial"/>
        </w:rPr>
      </w:pPr>
      <w:r>
        <w:t xml:space="preserve">While stakeholders generally welcomed the objectives identified by the ACMA to guide its implementation of the Spectrum Review, </w:t>
      </w:r>
      <w:r w:rsidR="00A07743">
        <w:t xml:space="preserve">they </w:t>
      </w:r>
      <w:r>
        <w:t xml:space="preserve">requested additional flexibility within the licensing system to provide for a broader suite of licensing models and requests for allocations. </w:t>
      </w:r>
      <w:r w:rsidR="00E76074" w:rsidRPr="00D90C62">
        <w:rPr>
          <w:rFonts w:cs="Arial"/>
        </w:rPr>
        <w:t xml:space="preserve">Administratively, the ACMA was encouraged to ensure that all relevant regulatory instruments and related guidelines are published in the same location, and that ACMA business units coordinate their consultation to avoid overlap and missed opportunities. </w:t>
      </w:r>
    </w:p>
    <w:p w14:paraId="5C1B0B2E" w14:textId="77777777" w:rsidR="004C3FE3" w:rsidRDefault="00E76074">
      <w:pPr>
        <w:rPr>
          <w:rFonts w:cs="Arial"/>
        </w:rPr>
      </w:pPr>
      <w:r w:rsidRPr="00D90C62">
        <w:rPr>
          <w:rFonts w:cs="Arial"/>
        </w:rPr>
        <w:t>Some stakeholders expressed concerns about the new regulatory regime, particularly the maintenance of existing rights of licensees</w:t>
      </w:r>
      <w:r w:rsidR="00C61FD4">
        <w:rPr>
          <w:rFonts w:cs="Arial"/>
        </w:rPr>
        <w:t xml:space="preserve"> and specific issues such as</w:t>
      </w:r>
      <w:r w:rsidRPr="00D90C62">
        <w:rPr>
          <w:rFonts w:cs="Arial"/>
        </w:rPr>
        <w:t xml:space="preserve"> licence term and</w:t>
      </w:r>
      <w:r w:rsidR="00DC6BF8">
        <w:rPr>
          <w:rFonts w:cs="Arial"/>
        </w:rPr>
        <w:t xml:space="preserve"> renewal. U</w:t>
      </w:r>
      <w:r w:rsidRPr="00D90C62">
        <w:rPr>
          <w:rFonts w:cs="Arial"/>
        </w:rPr>
        <w:t xml:space="preserve">nderstandably, a number of stakeholders were interested in the transitional arrangements under the </w:t>
      </w:r>
      <w:r w:rsidR="00C61FD4">
        <w:rPr>
          <w:rFonts w:cs="Arial"/>
        </w:rPr>
        <w:t>foreshadowed</w:t>
      </w:r>
      <w:r w:rsidRPr="00D90C62">
        <w:rPr>
          <w:rFonts w:cs="Arial"/>
        </w:rPr>
        <w:t xml:space="preserve"> Transitional and Consequential Amendments Bill, expressing </w:t>
      </w:r>
      <w:r w:rsidR="00DC6BF8">
        <w:rPr>
          <w:rFonts w:cs="Arial"/>
        </w:rPr>
        <w:t xml:space="preserve">a desire for further engagement with the ACMA on the drafting of replacement licences, and </w:t>
      </w:r>
      <w:r w:rsidR="0010768C">
        <w:rPr>
          <w:rFonts w:cs="Arial"/>
        </w:rPr>
        <w:t xml:space="preserve">on industry participants’ </w:t>
      </w:r>
      <w:r w:rsidR="00DC6BF8">
        <w:rPr>
          <w:rFonts w:cs="Arial"/>
        </w:rPr>
        <w:t xml:space="preserve">responsibilities as a result of the </w:t>
      </w:r>
      <w:r w:rsidR="004C3FE3">
        <w:rPr>
          <w:rFonts w:cs="Arial"/>
        </w:rPr>
        <w:t>new legislative requirements.</w:t>
      </w:r>
    </w:p>
    <w:p w14:paraId="1488C160" w14:textId="77777777" w:rsidR="00E4682B" w:rsidRDefault="00E76074" w:rsidP="005759E7">
      <w:r>
        <w:t>The ACMA is committed to consult</w:t>
      </w:r>
      <w:r w:rsidR="00473F85">
        <w:t>ation with</w:t>
      </w:r>
      <w:r>
        <w:t xml:space="preserve"> stakeholders on the development of the new regulatory arrangements, including instruments.</w:t>
      </w:r>
      <w:r w:rsidR="004C3FE3">
        <w:t xml:space="preserve"> We will continue to communicate relevant time</w:t>
      </w:r>
      <w:r w:rsidR="00DA2077">
        <w:t xml:space="preserve"> frame</w:t>
      </w:r>
      <w:r w:rsidR="004C3FE3">
        <w:t xml:space="preserve"> information and promote opportunities to engage with us in the development of the new regulatory arrangements.</w:t>
      </w:r>
    </w:p>
    <w:p w14:paraId="5D6F354C" w14:textId="77777777" w:rsidR="00E76074" w:rsidRPr="005759E7" w:rsidRDefault="00E76074" w:rsidP="00445F0B">
      <w:pPr>
        <w:pStyle w:val="Heading2"/>
        <w:keepLines/>
      </w:pPr>
      <w:bookmarkStart w:id="322" w:name="_Toc510104969"/>
      <w:bookmarkStart w:id="323" w:name="_Toc510105766"/>
      <w:bookmarkStart w:id="324" w:name="_Toc510795098"/>
      <w:bookmarkStart w:id="325" w:name="_Toc511716300"/>
      <w:bookmarkStart w:id="326" w:name="_Toc511719111"/>
      <w:bookmarkStart w:id="327" w:name="_Toc514156715"/>
      <w:r w:rsidRPr="005759E7">
        <w:lastRenderedPageBreak/>
        <w:t>What</w:t>
      </w:r>
      <w:r w:rsidR="00DA2077" w:rsidRPr="005759E7">
        <w:t>’</w:t>
      </w:r>
      <w:r w:rsidRPr="005759E7">
        <w:t>s changed from the planned activity</w:t>
      </w:r>
      <w:bookmarkEnd w:id="322"/>
      <w:bookmarkEnd w:id="323"/>
      <w:bookmarkEnd w:id="324"/>
      <w:bookmarkEnd w:id="325"/>
      <w:bookmarkEnd w:id="326"/>
      <w:r w:rsidR="00DA2077">
        <w:t>?</w:t>
      </w:r>
      <w:bookmarkEnd w:id="327"/>
      <w:r w:rsidRPr="005759E7">
        <w:t xml:space="preserve"> </w:t>
      </w:r>
    </w:p>
    <w:p w14:paraId="0E5C9202" w14:textId="77777777" w:rsidR="003D68F1" w:rsidRDefault="003D68F1" w:rsidP="00445F0B">
      <w:pPr>
        <w:keepNext/>
        <w:keepLines/>
        <w:rPr>
          <w:rFonts w:cs="Arial"/>
        </w:rPr>
      </w:pPr>
      <w:r>
        <w:t xml:space="preserve">The ACMA’s implementation of regulatory arrangements is being undertaken </w:t>
      </w:r>
      <w:r w:rsidRPr="00D90C62">
        <w:rPr>
          <w:rFonts w:cs="Arial"/>
        </w:rPr>
        <w:t>in concert with the introduction to Parliament of the new Radiocommunications Bill (and related legislation) and the ACMA’s broader spectrum management reform</w:t>
      </w:r>
      <w:r w:rsidR="00DA2077">
        <w:rPr>
          <w:rFonts w:cs="Arial"/>
        </w:rPr>
        <w:t>,</w:t>
      </w:r>
      <w:r w:rsidRPr="00D90C62">
        <w:rPr>
          <w:rFonts w:cs="Arial"/>
        </w:rPr>
        <w:t xml:space="preserve"> such as the design and implementation of the single licensing system. </w:t>
      </w:r>
    </w:p>
    <w:p w14:paraId="105A11B3" w14:textId="77777777" w:rsidR="00E76074" w:rsidRDefault="00E76074" w:rsidP="00445F0B">
      <w:pPr>
        <w:keepNext/>
        <w:keepLines/>
      </w:pPr>
      <w:r>
        <w:t xml:space="preserve">The </w:t>
      </w:r>
      <w:r w:rsidR="0037046B">
        <w:t>m</w:t>
      </w:r>
      <w:r w:rsidR="001556CE">
        <w:t xml:space="preserve">inister is expected to </w:t>
      </w:r>
      <w:r>
        <w:t xml:space="preserve">release a second Exposure Draft of the Radiocommunication Bill, along with a Transitional and Consequential </w:t>
      </w:r>
      <w:r w:rsidR="003D68F1">
        <w:t xml:space="preserve">Amendments </w:t>
      </w:r>
      <w:r>
        <w:t xml:space="preserve">Bill </w:t>
      </w:r>
      <w:r w:rsidRPr="00760066">
        <w:t>and a radiocommunications</w:t>
      </w:r>
      <w:r>
        <w:t xml:space="preserve"> Taxation Bill during 2018 (collectively referred to as ED2).</w:t>
      </w:r>
      <w:r w:rsidR="009D0090">
        <w:t xml:space="preserve"> </w:t>
      </w:r>
      <w:r w:rsidR="001556CE">
        <w:t>The release of ED2 will be a key juncture in relation to consultation on new regulatory arrangements.</w:t>
      </w:r>
    </w:p>
    <w:p w14:paraId="6A65B1A1" w14:textId="77777777" w:rsidR="00D365CA" w:rsidRPr="00455D60" w:rsidRDefault="00D365CA" w:rsidP="00455D60">
      <w:pPr>
        <w:pStyle w:val="Heading3"/>
      </w:pPr>
      <w:bookmarkStart w:id="328" w:name="_Toc511716301"/>
      <w:bookmarkStart w:id="329" w:name="_Toc511719112"/>
      <w:bookmarkStart w:id="330" w:name="_Toc514156716"/>
      <w:r w:rsidRPr="00455D60">
        <w:t xml:space="preserve">Thematic review </w:t>
      </w:r>
      <w:r w:rsidR="00CE3EF0" w:rsidRPr="00455D60">
        <w:t>of sunsetting instruments</w:t>
      </w:r>
      <w:bookmarkEnd w:id="328"/>
      <w:bookmarkEnd w:id="329"/>
      <w:bookmarkEnd w:id="330"/>
    </w:p>
    <w:p w14:paraId="5A5C50C4" w14:textId="77777777" w:rsidR="0024022B" w:rsidRDefault="0024022B" w:rsidP="009D0090">
      <w:pPr>
        <w:rPr>
          <w:iCs/>
        </w:rPr>
      </w:pPr>
      <w:r w:rsidRPr="009C75E3">
        <w:t xml:space="preserve">The ACMA and </w:t>
      </w:r>
      <w:r w:rsidR="00DA2077">
        <w:t>DoCA</w:t>
      </w:r>
      <w:r w:rsidRPr="009C75E3">
        <w:t xml:space="preserve"> applied to the Attorney-General to align the sunsetting dates of </w:t>
      </w:r>
      <w:r w:rsidR="00086D27">
        <w:t>21</w:t>
      </w:r>
      <w:r>
        <w:t xml:space="preserve"> </w:t>
      </w:r>
      <w:r w:rsidRPr="009C75E3">
        <w:t>instruments relevant to spectrum management processes, resulting in a new sunsetting date for them of 1 April 2023.</w:t>
      </w:r>
      <w:r w:rsidR="00447762">
        <w:t xml:space="preserve"> </w:t>
      </w:r>
    </w:p>
    <w:p w14:paraId="229362E5" w14:textId="77777777" w:rsidR="0024022B" w:rsidRPr="009D0090" w:rsidRDefault="0024022B" w:rsidP="001556CE">
      <w:r>
        <w:rPr>
          <w:w w:val="105"/>
        </w:rPr>
        <w:t xml:space="preserve">This new </w:t>
      </w:r>
      <w:r w:rsidRPr="009D0090">
        <w:t>sunsetting date allows the Department and the ACMA to undertake a review and implement its findings in preparation for the proposed new Radiocommunications Act, Radiocommunications Taxation Act and the proposed new spectrum management framework.</w:t>
      </w:r>
    </w:p>
    <w:p w14:paraId="0B45B00E" w14:textId="77777777" w:rsidR="00D365CA" w:rsidRDefault="004A2F78" w:rsidP="005759E7">
      <w:r>
        <w:t>T</w:t>
      </w:r>
      <w:r w:rsidRPr="009C75E3">
        <w:t>he</w:t>
      </w:r>
      <w:r w:rsidR="00C948F5">
        <w:t>se arrangements are given effect in the</w:t>
      </w:r>
      <w:r w:rsidRPr="009C75E3">
        <w:t xml:space="preserve"> Legislation (Radiocommunications Instruments) Sunset-altering Declaration 2018 </w:t>
      </w:r>
      <w:r>
        <w:t xml:space="preserve">made </w:t>
      </w:r>
      <w:r w:rsidRPr="009C75E3">
        <w:t xml:space="preserve">under section 51A of the </w:t>
      </w:r>
      <w:r w:rsidRPr="005759E7">
        <w:rPr>
          <w:i/>
        </w:rPr>
        <w:t>Legislation Act 2003</w:t>
      </w:r>
      <w:r w:rsidR="00D365CA" w:rsidRPr="009C75E3">
        <w:t>.</w:t>
      </w:r>
    </w:p>
    <w:p w14:paraId="0B7FB9CB" w14:textId="77777777" w:rsidR="0020762C" w:rsidRDefault="0020762C">
      <w:pPr>
        <w:spacing w:before="60" w:after="60" w:line="240" w:lineRule="auto"/>
        <w:rPr>
          <w:rFonts w:cs="Arial"/>
        </w:rPr>
      </w:pPr>
      <w:r w:rsidRPr="004E4DF6">
        <w:rPr>
          <w:rFonts w:cs="Arial"/>
        </w:rPr>
        <w:t xml:space="preserve">The ACMA expects that these instruments will be replaced by the new regulatory arrangements under the Bill before this date. </w:t>
      </w:r>
      <w:r w:rsidR="00117D3F">
        <w:rPr>
          <w:rFonts w:cs="Arial"/>
        </w:rPr>
        <w:t xml:space="preserve">More information, along with the affected instruments, is provided at </w:t>
      </w:r>
      <w:r w:rsidR="00D365CA" w:rsidRPr="00FC654E">
        <w:rPr>
          <w:rFonts w:cs="Arial"/>
        </w:rPr>
        <w:t xml:space="preserve">Appendix </w:t>
      </w:r>
      <w:r w:rsidR="004A2F78" w:rsidRPr="00FC654E">
        <w:rPr>
          <w:rFonts w:cs="Arial"/>
        </w:rPr>
        <w:t>A</w:t>
      </w:r>
      <w:r w:rsidR="004A2F78">
        <w:rPr>
          <w:rFonts w:cs="Arial"/>
        </w:rPr>
        <w:t>.</w:t>
      </w:r>
    </w:p>
    <w:p w14:paraId="3E0756C5" w14:textId="77777777" w:rsidR="002A5E66" w:rsidRPr="005759E7" w:rsidRDefault="002A5E66" w:rsidP="005759E7">
      <w:pPr>
        <w:pStyle w:val="Heading2"/>
      </w:pPr>
      <w:bookmarkStart w:id="331" w:name="_Toc510104970"/>
      <w:bookmarkStart w:id="332" w:name="_Toc510105767"/>
      <w:bookmarkStart w:id="333" w:name="_Toc510795099"/>
      <w:bookmarkStart w:id="334" w:name="_Toc511716302"/>
      <w:bookmarkStart w:id="335" w:name="_Toc511719113"/>
      <w:bookmarkStart w:id="336" w:name="_Toc514156717"/>
      <w:r w:rsidRPr="005759E7">
        <w:t>Progress achieved</w:t>
      </w:r>
      <w:bookmarkEnd w:id="331"/>
      <w:bookmarkEnd w:id="332"/>
      <w:bookmarkEnd w:id="333"/>
      <w:bookmarkEnd w:id="334"/>
      <w:bookmarkEnd w:id="335"/>
      <w:bookmarkEnd w:id="336"/>
    </w:p>
    <w:p w14:paraId="3A989BFC" w14:textId="77777777" w:rsidR="004E4DF6" w:rsidRDefault="004E4DF6" w:rsidP="0077559E">
      <w:r>
        <w:t>At the Rad</w:t>
      </w:r>
      <w:r w:rsidR="00DA2077">
        <w:t>C</w:t>
      </w:r>
      <w:r>
        <w:t xml:space="preserve">omms </w:t>
      </w:r>
      <w:r w:rsidR="00DA2077">
        <w:t>2017c</w:t>
      </w:r>
      <w:r>
        <w:t>onference, the ACMA provided an opportunity for stakeholder engagement on licensing reform issues</w:t>
      </w:r>
      <w:r w:rsidR="00E351F4">
        <w:t>, where it outlined initial design parameters for licences under the single licensing scheme</w:t>
      </w:r>
      <w:r>
        <w:t>.</w:t>
      </w:r>
    </w:p>
    <w:p w14:paraId="0BA4D2EA" w14:textId="77777777" w:rsidR="002A5E66" w:rsidRDefault="002A5E66">
      <w:r w:rsidRPr="002A5E66">
        <w:t xml:space="preserve">The </w:t>
      </w:r>
      <w:r w:rsidR="00DA2077">
        <w:t>g</w:t>
      </w:r>
      <w:r w:rsidRPr="002A5E66">
        <w:t xml:space="preserve">overnment released its final Spectrum Pricing Review Report </w:t>
      </w:r>
      <w:r w:rsidR="00DA2077">
        <w:t>in</w:t>
      </w:r>
      <w:r w:rsidRPr="002A5E66">
        <w:t xml:space="preserve"> February 2018</w:t>
      </w:r>
      <w:r w:rsidR="00473F85">
        <w:t>,</w:t>
      </w:r>
      <w:r w:rsidRPr="002A5E66">
        <w:t xml:space="preserve"> which makes 11 recommendations to improve spectrum</w:t>
      </w:r>
      <w:r w:rsidR="00DA2077">
        <w:t>-</w:t>
      </w:r>
      <w:r w:rsidRPr="002A5E66">
        <w:t>pricing arrangements, ranging from a review of the administrative pricing formula, to how reserve prices might be set for spectrum auctions.</w:t>
      </w:r>
      <w:r w:rsidR="00915A32">
        <w:t xml:space="preserve"> T</w:t>
      </w:r>
      <w:r w:rsidR="00E351F4">
        <w:t xml:space="preserve">he </w:t>
      </w:r>
      <w:r w:rsidR="00E351F4" w:rsidRPr="00D90C62">
        <w:t>ACMA has commenced implementation of some of the recommendations, such as exploring opportunities to transition bands from administrative to market allocation (recommendation 4</w:t>
      </w:r>
      <w:r w:rsidR="00E351F4">
        <w:t xml:space="preserve"> of the Pricing Review</w:t>
      </w:r>
      <w:r w:rsidR="00E351F4" w:rsidRPr="00D90C62">
        <w:t>).</w:t>
      </w:r>
    </w:p>
    <w:p w14:paraId="4D3C0F9B" w14:textId="77777777" w:rsidR="00542175" w:rsidRDefault="00542175">
      <w:r>
        <w:t>The ACMA intends finalising its interference management principles by Q</w:t>
      </w:r>
      <w:r w:rsidR="00CE38E8">
        <w:t>4</w:t>
      </w:r>
      <w:r>
        <w:t xml:space="preserve"> 2017–18. The principles will inform the development of an interference management framework, which will provide updated procedural guidance for licensees making interference complaints to the ACMA.</w:t>
      </w:r>
    </w:p>
    <w:p w14:paraId="142F9AC8" w14:textId="77777777" w:rsidR="004E4DF6" w:rsidRDefault="00051EBE">
      <w:r>
        <w:t xml:space="preserve">Consultation on </w:t>
      </w:r>
      <w:r w:rsidR="00325068">
        <w:t>c</w:t>
      </w:r>
      <w:r w:rsidR="00325068" w:rsidRPr="00D9474C">
        <w:rPr>
          <w:rFonts w:cs="Arial"/>
        </w:rPr>
        <w:t>oncepts and design principles for</w:t>
      </w:r>
      <w:r>
        <w:t xml:space="preserve"> the </w:t>
      </w:r>
      <w:r w:rsidR="004E4DF6">
        <w:t xml:space="preserve">Equipment Rules </w:t>
      </w:r>
      <w:r>
        <w:t xml:space="preserve">under the Bill </w:t>
      </w:r>
      <w:r w:rsidR="004E4DF6">
        <w:t xml:space="preserve">was delayed to ensure that there was an opportunity for stakeholder engagement after the </w:t>
      </w:r>
      <w:r w:rsidR="004E4DF6" w:rsidRPr="004E4DF6">
        <w:t>Christmas/New Ye</w:t>
      </w:r>
      <w:r w:rsidR="004E4DF6">
        <w:t>ar period. Consultation has now occurred.</w:t>
      </w:r>
    </w:p>
    <w:p w14:paraId="0151AC99" w14:textId="77777777" w:rsidR="00E351F4" w:rsidRDefault="00E351F4">
      <w:r>
        <w:t xml:space="preserve">The ACMA has continued to support </w:t>
      </w:r>
      <w:r w:rsidR="00B91108">
        <w:t xml:space="preserve">DoCA’s </w:t>
      </w:r>
      <w:r>
        <w:t xml:space="preserve">activities on drafting the new legislation and engaged with industry stakeholders at workshops conducted by </w:t>
      </w:r>
      <w:r w:rsidR="00B91108">
        <w:t>DoCA</w:t>
      </w:r>
      <w:r>
        <w:t>.</w:t>
      </w:r>
    </w:p>
    <w:p w14:paraId="35571711" w14:textId="77777777" w:rsidR="00C0236C" w:rsidRPr="005759E7" w:rsidRDefault="00E76074" w:rsidP="00455D60">
      <w:pPr>
        <w:pStyle w:val="Heading2"/>
      </w:pPr>
      <w:bookmarkStart w:id="337" w:name="_Toc514156718"/>
      <w:bookmarkStart w:id="338" w:name="_Toc510104971"/>
      <w:bookmarkStart w:id="339" w:name="_Toc510105768"/>
      <w:bookmarkStart w:id="340" w:name="_Toc510795100"/>
      <w:bookmarkStart w:id="341" w:name="_Toc511716303"/>
      <w:bookmarkStart w:id="342" w:name="_Toc511719114"/>
      <w:r w:rsidRPr="005759E7">
        <w:lastRenderedPageBreak/>
        <w:t xml:space="preserve">New/ongoing activities planned for </w:t>
      </w:r>
      <w:r w:rsidR="00B91108">
        <w:t>20</w:t>
      </w:r>
      <w:r w:rsidRPr="005759E7">
        <w:t>18</w:t>
      </w:r>
      <w:r w:rsidR="00B91108">
        <w:t>–</w:t>
      </w:r>
      <w:r w:rsidRPr="005759E7">
        <w:t>19</w:t>
      </w:r>
      <w:bookmarkEnd w:id="337"/>
      <w:r w:rsidRPr="005759E7">
        <w:t xml:space="preserve"> </w:t>
      </w:r>
      <w:bookmarkEnd w:id="338"/>
      <w:bookmarkEnd w:id="339"/>
      <w:bookmarkEnd w:id="340"/>
      <w:bookmarkEnd w:id="341"/>
      <w:bookmarkEnd w:id="342"/>
    </w:p>
    <w:p w14:paraId="691CA477" w14:textId="77777777" w:rsidR="00D45071" w:rsidRDefault="00D45071" w:rsidP="0077559E">
      <w:r>
        <w:t xml:space="preserve">The main areas of </w:t>
      </w:r>
      <w:r w:rsidR="00B91108">
        <w:t>S</w:t>
      </w:r>
      <w:r>
        <w:t xml:space="preserve">pectrum </w:t>
      </w:r>
      <w:r w:rsidR="00B91108">
        <w:t>R</w:t>
      </w:r>
      <w:r>
        <w:t xml:space="preserve">eview implementation activity that are expected to be undertaken in the year are outlined below. The ACMA </w:t>
      </w:r>
      <w:r w:rsidR="001556CE">
        <w:t xml:space="preserve">continues to work closely with the Department on the draft legislation and </w:t>
      </w:r>
      <w:r>
        <w:t xml:space="preserve">expects to release additional material for consultation after the release of the </w:t>
      </w:r>
      <w:r w:rsidR="00051EBE">
        <w:t>ED2</w:t>
      </w:r>
      <w:r>
        <w:t xml:space="preserve"> package. </w:t>
      </w:r>
    </w:p>
    <w:p w14:paraId="0ADE64E7" w14:textId="77777777" w:rsidR="000774DC" w:rsidRDefault="000774DC" w:rsidP="00B72DB2">
      <w:pPr>
        <w:pStyle w:val="Heading3"/>
      </w:pPr>
      <w:bookmarkStart w:id="343" w:name="_Toc510104972"/>
      <w:bookmarkStart w:id="344" w:name="_Toc510105769"/>
      <w:bookmarkStart w:id="345" w:name="_Toc510795101"/>
      <w:bookmarkStart w:id="346" w:name="_Toc511716304"/>
      <w:bookmarkStart w:id="347" w:name="_Toc511719115"/>
      <w:bookmarkStart w:id="348" w:name="_Toc514156719"/>
      <w:r>
        <w:t>Annual work program</w:t>
      </w:r>
      <w:bookmarkEnd w:id="343"/>
      <w:bookmarkEnd w:id="344"/>
      <w:bookmarkEnd w:id="345"/>
      <w:bookmarkEnd w:id="346"/>
      <w:bookmarkEnd w:id="347"/>
      <w:bookmarkEnd w:id="348"/>
    </w:p>
    <w:p w14:paraId="10D1B0DC" w14:textId="77777777" w:rsidR="000774DC" w:rsidRDefault="00473F85" w:rsidP="00B72DB2">
      <w:r>
        <w:t>The ACMA is planning</w:t>
      </w:r>
      <w:r w:rsidR="000774DC">
        <w:t xml:space="preserve"> to finalise the </w:t>
      </w:r>
      <w:r w:rsidR="00350C72">
        <w:t xml:space="preserve">2018–22 </w:t>
      </w:r>
      <w:r w:rsidR="008606C8">
        <w:t xml:space="preserve">FYSO </w:t>
      </w:r>
      <w:r w:rsidR="000774DC">
        <w:t>near the commencement of the 2018</w:t>
      </w:r>
      <w:r w:rsidR="00B91108">
        <w:t>–</w:t>
      </w:r>
      <w:r w:rsidR="000774DC">
        <w:t>19 financial year</w:t>
      </w:r>
      <w:r w:rsidR="00051EBE">
        <w:t xml:space="preserve">, in readiness to </w:t>
      </w:r>
      <w:r w:rsidR="008F6D6E">
        <w:t>transition smoothly to the</w:t>
      </w:r>
      <w:r w:rsidR="00051EBE">
        <w:t xml:space="preserve"> annual work program obligations expected to apply under the Bill.</w:t>
      </w:r>
    </w:p>
    <w:p w14:paraId="577AB193" w14:textId="77777777" w:rsidR="00E76074" w:rsidRPr="00D90C62" w:rsidRDefault="00D45071" w:rsidP="00CA45D7">
      <w:pPr>
        <w:pStyle w:val="Heading3"/>
        <w:keepNext w:val="0"/>
      </w:pPr>
      <w:bookmarkStart w:id="349" w:name="_Toc510104973"/>
      <w:bookmarkStart w:id="350" w:name="_Toc510105770"/>
      <w:bookmarkStart w:id="351" w:name="_Toc510795102"/>
      <w:bookmarkStart w:id="352" w:name="_Toc511716305"/>
      <w:bookmarkStart w:id="353" w:name="_Toc511719116"/>
      <w:bookmarkStart w:id="354" w:name="_Toc514156720"/>
      <w:r>
        <w:t>Licensing</w:t>
      </w:r>
      <w:bookmarkEnd w:id="349"/>
      <w:bookmarkEnd w:id="350"/>
      <w:bookmarkEnd w:id="351"/>
      <w:bookmarkEnd w:id="352"/>
      <w:bookmarkEnd w:id="353"/>
      <w:bookmarkEnd w:id="354"/>
      <w:r>
        <w:t xml:space="preserve"> </w:t>
      </w:r>
    </w:p>
    <w:p w14:paraId="18FB4373" w14:textId="77777777" w:rsidR="00F84A8F" w:rsidRDefault="00F84A8F" w:rsidP="0077559E">
      <w:r>
        <w:t xml:space="preserve">The ACMA intends to issue for consultation information about the </w:t>
      </w:r>
      <w:r w:rsidRPr="00F84A8F">
        <w:t xml:space="preserve">design </w:t>
      </w:r>
      <w:r>
        <w:t xml:space="preserve">of the new </w:t>
      </w:r>
      <w:r w:rsidRPr="00F84A8F">
        <w:t xml:space="preserve">licensing system and </w:t>
      </w:r>
      <w:r>
        <w:t xml:space="preserve">replacement licences, following release of </w:t>
      </w:r>
      <w:r w:rsidR="008F6D6E">
        <w:t>ED2</w:t>
      </w:r>
      <w:r>
        <w:t>.</w:t>
      </w:r>
      <w:r w:rsidR="00473F85">
        <w:t xml:space="preserve"> The package will also consult </w:t>
      </w:r>
      <w:r>
        <w:t xml:space="preserve">on approaches to the transition of </w:t>
      </w:r>
      <w:r w:rsidR="008F6D6E">
        <w:t xml:space="preserve">existing </w:t>
      </w:r>
      <w:r>
        <w:t>licences.</w:t>
      </w:r>
    </w:p>
    <w:p w14:paraId="7A574D98" w14:textId="77777777" w:rsidR="002A5E66" w:rsidRDefault="002A5E66" w:rsidP="00CA45D7">
      <w:pPr>
        <w:pStyle w:val="Heading3"/>
        <w:keepNext w:val="0"/>
      </w:pPr>
      <w:bookmarkStart w:id="355" w:name="_Toc510104974"/>
      <w:bookmarkStart w:id="356" w:name="_Toc510105771"/>
      <w:bookmarkStart w:id="357" w:name="_Toc510795103"/>
      <w:bookmarkStart w:id="358" w:name="_Toc511716306"/>
      <w:bookmarkStart w:id="359" w:name="_Toc511719117"/>
      <w:bookmarkStart w:id="360" w:name="_Toc514156721"/>
      <w:r>
        <w:t>Pricing</w:t>
      </w:r>
      <w:bookmarkEnd w:id="355"/>
      <w:bookmarkEnd w:id="356"/>
      <w:bookmarkEnd w:id="357"/>
      <w:bookmarkEnd w:id="358"/>
      <w:bookmarkEnd w:id="359"/>
      <w:bookmarkEnd w:id="360"/>
    </w:p>
    <w:p w14:paraId="0248B09E" w14:textId="77777777" w:rsidR="002A5E66" w:rsidRDefault="002A5E66" w:rsidP="005759E7">
      <w:pPr>
        <w:spacing w:after="80"/>
      </w:pPr>
      <w:r>
        <w:t>To implement recommendations</w:t>
      </w:r>
      <w:r w:rsidR="008F6D6E">
        <w:t xml:space="preserve"> of the government’s </w:t>
      </w:r>
      <w:r w:rsidR="008F6D6E" w:rsidRPr="002A5E66">
        <w:t>Spectrum Pricing Review</w:t>
      </w:r>
      <w:r>
        <w:t xml:space="preserve">, the ACMA intends to initiate </w:t>
      </w:r>
      <w:r w:rsidR="00B91108">
        <w:t xml:space="preserve">three </w:t>
      </w:r>
      <w:r>
        <w:t>substantive programs</w:t>
      </w:r>
      <w:r w:rsidR="008F6D6E">
        <w:t xml:space="preserve"> of work</w:t>
      </w:r>
      <w:r>
        <w:t>:</w:t>
      </w:r>
    </w:p>
    <w:p w14:paraId="39AC3C32" w14:textId="77777777" w:rsidR="002A5E66" w:rsidRPr="009361C2" w:rsidRDefault="001110F9" w:rsidP="005759E7">
      <w:pPr>
        <w:pStyle w:val="ListBullet"/>
      </w:pPr>
      <w:r w:rsidRPr="009361C2">
        <w:t xml:space="preserve">development of </w:t>
      </w:r>
      <w:r w:rsidR="002A5E66" w:rsidRPr="009361C2">
        <w:t>Spectrum Pricing Guidelines (recommendation 1) to provide better transparency and help licensees better understand how the ACMA approaches spectrum pricing.</w:t>
      </w:r>
      <w:r w:rsidR="00C0236C" w:rsidRPr="009361C2">
        <w:t xml:space="preserve"> </w:t>
      </w:r>
    </w:p>
    <w:p w14:paraId="1F8E16BF" w14:textId="77777777" w:rsidR="00C0236C" w:rsidRPr="009361C2" w:rsidRDefault="001110F9" w:rsidP="005759E7">
      <w:pPr>
        <w:pStyle w:val="ListBullet"/>
      </w:pPr>
      <w:r w:rsidRPr="009361C2">
        <w:t>a</w:t>
      </w:r>
      <w:r w:rsidR="002A5E66" w:rsidRPr="009361C2">
        <w:t xml:space="preserve"> review of how the ACMA administratively prices spectrum and the formula used to set many of the current apparatus licence taxes (recommendation 7). There is potential to improve the ACMA’s administrative pricing of spectrum so that it more closely reflects market value through approaches such as opportunity-cost based pricing.</w:t>
      </w:r>
      <w:r w:rsidR="00C0236C" w:rsidRPr="009361C2">
        <w:t xml:space="preserve"> </w:t>
      </w:r>
    </w:p>
    <w:p w14:paraId="290B59EE" w14:textId="77777777" w:rsidR="00727699" w:rsidRDefault="001110F9" w:rsidP="005759E7">
      <w:pPr>
        <w:pStyle w:val="ListBulletLast"/>
      </w:pPr>
      <w:r w:rsidRPr="009361C2">
        <w:t xml:space="preserve">simplification of </w:t>
      </w:r>
      <w:r w:rsidR="002A5E66" w:rsidRPr="009361C2">
        <w:t>industry cost recovery arrangements by combining separate taxes into a single radiocommunications licence tax.</w:t>
      </w:r>
      <w:r w:rsidRPr="009361C2">
        <w:t xml:space="preserve"> This is intended to occur in conjunction with the administrative pricing arrangements.</w:t>
      </w:r>
    </w:p>
    <w:p w14:paraId="3385D04F" w14:textId="77777777" w:rsidR="009C60F1" w:rsidRDefault="009C60F1" w:rsidP="009D0090">
      <w:r>
        <w:t>The ACMA will c</w:t>
      </w:r>
      <w:r w:rsidRPr="009361C2">
        <w:t xml:space="preserve">onsult on </w:t>
      </w:r>
      <w:r>
        <w:t xml:space="preserve">these </w:t>
      </w:r>
      <w:r w:rsidRPr="009361C2">
        <w:t xml:space="preserve">pricing </w:t>
      </w:r>
      <w:r>
        <w:t>programs following the release of ED2.</w:t>
      </w:r>
    </w:p>
    <w:p w14:paraId="2F95402A" w14:textId="77777777" w:rsidR="009B7D14" w:rsidRPr="00D90C62" w:rsidRDefault="009B7D14" w:rsidP="009B7D14">
      <w:pPr>
        <w:pStyle w:val="Heading3"/>
        <w:keepNext w:val="0"/>
      </w:pPr>
      <w:bookmarkStart w:id="361" w:name="_Toc514156722"/>
      <w:bookmarkStart w:id="362" w:name="_Toc510104975"/>
      <w:bookmarkStart w:id="363" w:name="_Toc510105772"/>
      <w:bookmarkStart w:id="364" w:name="_Toc510795104"/>
      <w:bookmarkStart w:id="365" w:name="_Toc511716307"/>
      <w:bookmarkStart w:id="366" w:name="_Toc511719118"/>
      <w:r>
        <w:t>Planning</w:t>
      </w:r>
      <w:bookmarkEnd w:id="361"/>
    </w:p>
    <w:p w14:paraId="0BCB6074" w14:textId="77777777" w:rsidR="009B7D14" w:rsidRDefault="009B7D14" w:rsidP="009B7D14">
      <w:r>
        <w:t xml:space="preserve">The ACMA intends to </w:t>
      </w:r>
      <w:r w:rsidR="00F157C9">
        <w:t>consult on</w:t>
      </w:r>
      <w:r>
        <w:t xml:space="preserve"> </w:t>
      </w:r>
      <w:r w:rsidRPr="00F84A8F">
        <w:t xml:space="preserve">design </w:t>
      </w:r>
      <w:r>
        <w:t>options for the spectrum planning technical framework under the Bill, following release of ED2.</w:t>
      </w:r>
    </w:p>
    <w:p w14:paraId="144009C6" w14:textId="77777777" w:rsidR="00915A32" w:rsidRDefault="00915A32" w:rsidP="00947F88">
      <w:pPr>
        <w:pStyle w:val="Heading3"/>
        <w:keepNext w:val="0"/>
      </w:pPr>
      <w:bookmarkStart w:id="367" w:name="_Toc514156723"/>
      <w:r>
        <w:t xml:space="preserve">Equipment </w:t>
      </w:r>
      <w:r w:rsidR="00B91108">
        <w:t>r</w:t>
      </w:r>
      <w:r>
        <w:t>ules</w:t>
      </w:r>
      <w:bookmarkEnd w:id="362"/>
      <w:bookmarkEnd w:id="363"/>
      <w:bookmarkEnd w:id="364"/>
      <w:bookmarkEnd w:id="365"/>
      <w:bookmarkEnd w:id="366"/>
      <w:bookmarkEnd w:id="367"/>
    </w:p>
    <w:p w14:paraId="77C3BD47" w14:textId="77777777" w:rsidR="00542175" w:rsidRPr="00D9474C" w:rsidRDefault="00542175" w:rsidP="00B72DB2">
      <w:r w:rsidRPr="00D9474C">
        <w:t xml:space="preserve">Outcomes of </w:t>
      </w:r>
      <w:r w:rsidR="00D9474C">
        <w:t xml:space="preserve">the </w:t>
      </w:r>
      <w:r w:rsidR="00325068">
        <w:t>Q</w:t>
      </w:r>
      <w:r w:rsidR="00483883">
        <w:t>3</w:t>
      </w:r>
      <w:r w:rsidR="00325068">
        <w:t xml:space="preserve"> 2017</w:t>
      </w:r>
      <w:r w:rsidR="00B91108">
        <w:t>–</w:t>
      </w:r>
      <w:r w:rsidR="00325068">
        <w:t xml:space="preserve">18 </w:t>
      </w:r>
      <w:r w:rsidRPr="00D9474C">
        <w:t>consultation on concepts and design principles for equipment rules will be incorporated in</w:t>
      </w:r>
      <w:r w:rsidR="006F1CB1">
        <w:t>to a more detailed options paper for consultation, following the release of ED2.</w:t>
      </w:r>
    </w:p>
    <w:p w14:paraId="2B415085" w14:textId="77777777" w:rsidR="00542175" w:rsidRPr="00455D60" w:rsidRDefault="00915A32" w:rsidP="005759E7">
      <w:pPr>
        <w:pStyle w:val="Heading3"/>
      </w:pPr>
      <w:bookmarkStart w:id="368" w:name="_Toc510104976"/>
      <w:bookmarkStart w:id="369" w:name="_Toc510105773"/>
      <w:bookmarkStart w:id="370" w:name="_Toc510795105"/>
      <w:bookmarkStart w:id="371" w:name="_Toc511716308"/>
      <w:bookmarkStart w:id="372" w:name="_Toc511719119"/>
      <w:bookmarkStart w:id="373" w:name="_Toc514156724"/>
      <w:r w:rsidRPr="00455D60">
        <w:t>Accreditation</w:t>
      </w:r>
      <w:r w:rsidR="000774DC" w:rsidRPr="00455D60">
        <w:t xml:space="preserve"> arrangements</w:t>
      </w:r>
      <w:bookmarkEnd w:id="368"/>
      <w:bookmarkEnd w:id="369"/>
      <w:bookmarkEnd w:id="370"/>
      <w:bookmarkEnd w:id="371"/>
      <w:bookmarkEnd w:id="372"/>
      <w:bookmarkEnd w:id="373"/>
    </w:p>
    <w:p w14:paraId="03BABE62" w14:textId="77777777" w:rsidR="00286D6B" w:rsidRDefault="000774DC" w:rsidP="0077559E">
      <w:r>
        <w:t>The d</w:t>
      </w:r>
      <w:r w:rsidRPr="000774DC">
        <w:t>esign and development of ne</w:t>
      </w:r>
      <w:r>
        <w:t xml:space="preserve">w accreditation rules is intended for consultation after </w:t>
      </w:r>
      <w:r w:rsidR="00896BAC">
        <w:t xml:space="preserve">the </w:t>
      </w:r>
      <w:r>
        <w:t xml:space="preserve">release of </w:t>
      </w:r>
      <w:r w:rsidR="00051BCF">
        <w:t>ED2</w:t>
      </w:r>
      <w:r w:rsidR="00F84A8F">
        <w:t>.</w:t>
      </w:r>
    </w:p>
    <w:p w14:paraId="2E2674B1" w14:textId="77777777" w:rsidR="0001563E" w:rsidRPr="00B72DB2" w:rsidRDefault="0001563E" w:rsidP="005759E7">
      <w:pPr>
        <w:pStyle w:val="Heading3"/>
      </w:pPr>
      <w:bookmarkStart w:id="374" w:name="_Toc510104977"/>
      <w:bookmarkStart w:id="375" w:name="_Toc510105774"/>
      <w:bookmarkStart w:id="376" w:name="_Toc510795106"/>
      <w:bookmarkStart w:id="377" w:name="_Toc511716309"/>
      <w:bookmarkStart w:id="378" w:name="_Toc511719120"/>
      <w:bookmarkStart w:id="379" w:name="_Toc514156725"/>
      <w:r w:rsidRPr="00B72DB2">
        <w:t>Consultation question</w:t>
      </w:r>
      <w:bookmarkEnd w:id="374"/>
      <w:bookmarkEnd w:id="375"/>
      <w:bookmarkEnd w:id="376"/>
      <w:bookmarkEnd w:id="377"/>
      <w:bookmarkEnd w:id="378"/>
      <w:bookmarkEnd w:id="379"/>
      <w:r w:rsidRPr="00B72DB2">
        <w:t xml:space="preserve"> </w:t>
      </w:r>
    </w:p>
    <w:p w14:paraId="145781E5" w14:textId="77777777" w:rsidR="0001563E" w:rsidRPr="0054532C" w:rsidRDefault="00F61BE2" w:rsidP="006F542F">
      <w:pPr>
        <w:pStyle w:val="ListNumber"/>
        <w:numPr>
          <w:ilvl w:val="0"/>
          <w:numId w:val="53"/>
        </w:numPr>
        <w:shd w:val="clear" w:color="auto" w:fill="auto"/>
        <w:rPr>
          <w:rFonts w:eastAsiaTheme="majorEastAsia"/>
        </w:rPr>
      </w:pPr>
      <w:r>
        <w:t>Do you have any feedback on the ACMA’s approach to</w:t>
      </w:r>
      <w:r w:rsidR="0001563E">
        <w:t xml:space="preserve"> Spectrum Review Implementation? </w:t>
      </w:r>
    </w:p>
    <w:p w14:paraId="7C1EEEA0" w14:textId="77777777" w:rsidR="00286D6B" w:rsidRPr="00286D6B" w:rsidRDefault="00286D6B" w:rsidP="005759E7">
      <w:pPr>
        <w:pStyle w:val="Heading1"/>
      </w:pPr>
      <w:bookmarkStart w:id="380" w:name="_Toc510104978"/>
      <w:bookmarkStart w:id="381" w:name="_Toc510105775"/>
      <w:bookmarkStart w:id="382" w:name="_Toc510795107"/>
      <w:bookmarkStart w:id="383" w:name="_Toc511716310"/>
      <w:bookmarkStart w:id="384" w:name="_Toc511719121"/>
      <w:bookmarkStart w:id="385" w:name="_Toc514156726"/>
      <w:r>
        <w:lastRenderedPageBreak/>
        <w:t>Licensing</w:t>
      </w:r>
      <w:r w:rsidR="008B4A81">
        <w:t xml:space="preserve"> and licensing systems</w:t>
      </w:r>
      <w:bookmarkEnd w:id="380"/>
      <w:bookmarkEnd w:id="381"/>
      <w:bookmarkEnd w:id="382"/>
      <w:bookmarkEnd w:id="383"/>
      <w:bookmarkEnd w:id="384"/>
      <w:bookmarkEnd w:id="385"/>
    </w:p>
    <w:p w14:paraId="49B5786B" w14:textId="77777777" w:rsidR="008B4A81" w:rsidRPr="005759E7" w:rsidRDefault="008B4A81" w:rsidP="005759E7">
      <w:pPr>
        <w:pStyle w:val="Heading2"/>
      </w:pPr>
      <w:bookmarkStart w:id="386" w:name="_Toc510104979"/>
      <w:bookmarkStart w:id="387" w:name="_Toc510105776"/>
      <w:bookmarkStart w:id="388" w:name="_Toc510795108"/>
      <w:bookmarkStart w:id="389" w:name="_Toc511716311"/>
      <w:bookmarkStart w:id="390" w:name="_Toc511719122"/>
      <w:bookmarkStart w:id="391" w:name="_Toc514156727"/>
      <w:r w:rsidRPr="005759E7">
        <w:t>Progress achieved</w:t>
      </w:r>
      <w:bookmarkEnd w:id="386"/>
      <w:bookmarkEnd w:id="387"/>
      <w:bookmarkEnd w:id="388"/>
      <w:bookmarkEnd w:id="389"/>
      <w:bookmarkEnd w:id="390"/>
      <w:bookmarkEnd w:id="391"/>
    </w:p>
    <w:p w14:paraId="51D98A4B" w14:textId="77777777" w:rsidR="008B4A81" w:rsidRDefault="008B4A81" w:rsidP="005759E7">
      <w:pPr>
        <w:pStyle w:val="Heading3"/>
      </w:pPr>
      <w:bookmarkStart w:id="392" w:name="_Toc510104980"/>
      <w:bookmarkStart w:id="393" w:name="_Toc510105777"/>
      <w:bookmarkStart w:id="394" w:name="_Toc510795109"/>
      <w:bookmarkStart w:id="395" w:name="_Toc511716312"/>
      <w:bookmarkStart w:id="396" w:name="_Toc511719123"/>
      <w:bookmarkStart w:id="397" w:name="_Toc514156728"/>
      <w:r>
        <w:t xml:space="preserve">Body scanners in </w:t>
      </w:r>
      <w:r w:rsidRPr="00455D60">
        <w:t>airports</w:t>
      </w:r>
      <w:bookmarkEnd w:id="392"/>
      <w:bookmarkEnd w:id="393"/>
      <w:bookmarkEnd w:id="394"/>
      <w:bookmarkEnd w:id="395"/>
      <w:bookmarkEnd w:id="396"/>
      <w:bookmarkEnd w:id="397"/>
    </w:p>
    <w:p w14:paraId="219B4EE4" w14:textId="77777777" w:rsidR="008B4A81" w:rsidRDefault="008B4A81" w:rsidP="0077559E">
      <w:r>
        <w:t>In 2017</w:t>
      </w:r>
      <w:r w:rsidR="00B91108">
        <w:t>–</w:t>
      </w:r>
      <w:r>
        <w:t>18</w:t>
      </w:r>
      <w:r w:rsidR="00B91108">
        <w:t xml:space="preserve">, </w:t>
      </w:r>
      <w:r>
        <w:t xml:space="preserve">the ACMA commenced consultation on changes to licensing for body scanners at airports, following representations from the Office of Transport Security in the Department of Home Affairs. The ACMA expects to consider changes to the current applicable licensing </w:t>
      </w:r>
      <w:r w:rsidR="00B91108">
        <w:t>during</w:t>
      </w:r>
      <w:r>
        <w:t xml:space="preserve"> 2018</w:t>
      </w:r>
      <w:r w:rsidR="00B91108">
        <w:t>–</w:t>
      </w:r>
      <w:r>
        <w:t>19</w:t>
      </w:r>
      <w:r w:rsidR="00426CFA">
        <w:t>.</w:t>
      </w:r>
    </w:p>
    <w:p w14:paraId="5E2E4D07" w14:textId="77777777" w:rsidR="008B4A81" w:rsidRDefault="008B4A81" w:rsidP="005759E7">
      <w:pPr>
        <w:pStyle w:val="Heading3"/>
      </w:pPr>
      <w:bookmarkStart w:id="398" w:name="_Toc510104981"/>
      <w:bookmarkStart w:id="399" w:name="_Toc510105778"/>
      <w:bookmarkStart w:id="400" w:name="_Toc510795110"/>
      <w:bookmarkStart w:id="401" w:name="_Toc511716313"/>
      <w:bookmarkStart w:id="402" w:name="_Toc511719124"/>
      <w:bookmarkStart w:id="403" w:name="_Toc514156729"/>
      <w:r>
        <w:t xml:space="preserve">Licensing processing </w:t>
      </w:r>
      <w:r w:rsidRPr="00455D60">
        <w:t>system</w:t>
      </w:r>
      <w:bookmarkEnd w:id="398"/>
      <w:bookmarkEnd w:id="399"/>
      <w:bookmarkEnd w:id="400"/>
      <w:bookmarkEnd w:id="401"/>
      <w:bookmarkEnd w:id="402"/>
      <w:bookmarkEnd w:id="403"/>
    </w:p>
    <w:p w14:paraId="314DFB55" w14:textId="77777777" w:rsidR="008B4A81" w:rsidRPr="008B4A81" w:rsidRDefault="008B4A81" w:rsidP="0077559E">
      <w:r>
        <w:t xml:space="preserve">Work </w:t>
      </w:r>
      <w:r w:rsidR="00B2318D">
        <w:t>has been suspended</w:t>
      </w:r>
      <w:r>
        <w:t xml:space="preserve"> on developing an online portal </w:t>
      </w:r>
      <w:r w:rsidR="00B2318D">
        <w:t>d</w:t>
      </w:r>
      <w:r w:rsidR="00860E95">
        <w:t>ue</w:t>
      </w:r>
      <w:r w:rsidR="00B2318D">
        <w:t xml:space="preserve"> to re-prioritisation of ACMA ICT resources</w:t>
      </w:r>
      <w:r w:rsidR="00426CFA">
        <w:t>.</w:t>
      </w:r>
    </w:p>
    <w:p w14:paraId="17AFB40A" w14:textId="77777777" w:rsidR="00266584" w:rsidRPr="005759E7" w:rsidRDefault="008B4A81" w:rsidP="005759E7">
      <w:pPr>
        <w:pStyle w:val="Heading2"/>
      </w:pPr>
      <w:bookmarkStart w:id="404" w:name="_Toc510104982"/>
      <w:bookmarkStart w:id="405" w:name="_Toc510105779"/>
      <w:bookmarkStart w:id="406" w:name="_Toc510795111"/>
      <w:bookmarkStart w:id="407" w:name="_Toc511716314"/>
      <w:bookmarkStart w:id="408" w:name="_Toc511719125"/>
      <w:bookmarkStart w:id="409" w:name="_Toc514156730"/>
      <w:r w:rsidRPr="005759E7">
        <w:t xml:space="preserve">New/ongoing activities planned for </w:t>
      </w:r>
      <w:r w:rsidR="004A6CDE">
        <w:t>20</w:t>
      </w:r>
      <w:r w:rsidRPr="005759E7">
        <w:t>18</w:t>
      </w:r>
      <w:r w:rsidR="004A6CDE">
        <w:t>–</w:t>
      </w:r>
      <w:r w:rsidRPr="005759E7">
        <w:t>19 year</w:t>
      </w:r>
      <w:bookmarkEnd w:id="404"/>
      <w:bookmarkEnd w:id="405"/>
      <w:bookmarkEnd w:id="406"/>
      <w:bookmarkEnd w:id="407"/>
      <w:bookmarkEnd w:id="408"/>
      <w:bookmarkEnd w:id="409"/>
    </w:p>
    <w:p w14:paraId="4A9A9409" w14:textId="77777777" w:rsidR="008B4A81" w:rsidRDefault="00266584" w:rsidP="005759E7">
      <w:pPr>
        <w:pStyle w:val="Heading3"/>
      </w:pPr>
      <w:bookmarkStart w:id="410" w:name="_Toc510104983"/>
      <w:bookmarkStart w:id="411" w:name="_Toc510105780"/>
      <w:bookmarkStart w:id="412" w:name="_Toc510795112"/>
      <w:bookmarkStart w:id="413" w:name="_Toc511716315"/>
      <w:bookmarkStart w:id="414" w:name="_Toc511719126"/>
      <w:bookmarkStart w:id="415" w:name="_Toc514156731"/>
      <w:r>
        <w:t xml:space="preserve">Renew </w:t>
      </w:r>
      <w:r w:rsidRPr="00455D60">
        <w:t>arrangements</w:t>
      </w:r>
      <w:r>
        <w:t xml:space="preserve"> for amateur certificates of proficiency</w:t>
      </w:r>
      <w:bookmarkEnd w:id="410"/>
      <w:bookmarkEnd w:id="411"/>
      <w:bookmarkEnd w:id="412"/>
      <w:bookmarkEnd w:id="413"/>
      <w:bookmarkEnd w:id="414"/>
      <w:bookmarkEnd w:id="415"/>
    </w:p>
    <w:p w14:paraId="272E0426" w14:textId="77777777" w:rsidR="008B4A81" w:rsidRDefault="00266584" w:rsidP="0077559E">
      <w:r>
        <w:t xml:space="preserve">The ACMA currently arranges for the delivery of amateur certificates of proficiency through a delegation of powers and a </w:t>
      </w:r>
      <w:r w:rsidR="00E830BA">
        <w:t>d</w:t>
      </w:r>
      <w:r>
        <w:t xml:space="preserve">eed with the Wireless </w:t>
      </w:r>
      <w:r w:rsidR="002D62C3">
        <w:t>I</w:t>
      </w:r>
      <w:r>
        <w:t>nstitute of Australia</w:t>
      </w:r>
      <w:r w:rsidR="002D62C3">
        <w:t xml:space="preserve"> (WIA)</w:t>
      </w:r>
      <w:r>
        <w:t xml:space="preserve">. The current </w:t>
      </w:r>
      <w:r w:rsidR="00E830BA">
        <w:t>d</w:t>
      </w:r>
      <w:r>
        <w:t xml:space="preserve">eed is due to expire in February 2019. Before that time, the ACMA will consider </w:t>
      </w:r>
      <w:r w:rsidR="00C10DEF">
        <w:t xml:space="preserve">options </w:t>
      </w:r>
      <w:r>
        <w:t xml:space="preserve">for continued availability of </w:t>
      </w:r>
      <w:r w:rsidR="008B4A81" w:rsidDel="00C10DEF">
        <w:t xml:space="preserve">amateur </w:t>
      </w:r>
      <w:r w:rsidR="00C10DEF">
        <w:t>qualifications, including continuation of existing certificate of proficiency arrangements or other potential training and qualification frameworks</w:t>
      </w:r>
      <w:r w:rsidR="008B4A81">
        <w:t>.</w:t>
      </w:r>
      <w:r w:rsidR="00903166">
        <w:t xml:space="preserve"> Any modification of the existing arrangements would include </w:t>
      </w:r>
      <w:r w:rsidR="005C6E0F">
        <w:t xml:space="preserve">public </w:t>
      </w:r>
      <w:r w:rsidR="00903166">
        <w:t xml:space="preserve">consultation </w:t>
      </w:r>
      <w:r w:rsidR="00C10DEF">
        <w:t>about any required changes to</w:t>
      </w:r>
      <w:r w:rsidR="00903166">
        <w:t xml:space="preserve"> related legislative instruments</w:t>
      </w:r>
      <w:r w:rsidR="00C10DEF">
        <w:t>.</w:t>
      </w:r>
    </w:p>
    <w:p w14:paraId="2B61E858" w14:textId="77777777" w:rsidR="002D62C3" w:rsidRDefault="002D62C3" w:rsidP="002D62C3">
      <w:pPr>
        <w:pStyle w:val="Heading3"/>
        <w:rPr>
          <w:rFonts w:ascii="Calibri" w:hAnsi="Calibri"/>
        </w:rPr>
      </w:pPr>
      <w:bookmarkStart w:id="416" w:name="_Toc514156732"/>
      <w:r>
        <w:t>Consideration of changes to amateur licence conditions</w:t>
      </w:r>
      <w:bookmarkEnd w:id="416"/>
    </w:p>
    <w:p w14:paraId="661B36D5" w14:textId="77777777" w:rsidR="002D62C3" w:rsidRDefault="002D62C3" w:rsidP="002D62C3">
      <w:pPr>
        <w:spacing w:after="80"/>
      </w:pPr>
      <w:r>
        <w:t>The ACMA has received submissions from the WIA and the Radio Amateur Society of Australia requesting changes to the conditions under which amateur licensees operate. In addition to requests for access to frequency bands detailed above, these submissions seek:</w:t>
      </w:r>
    </w:p>
    <w:p w14:paraId="3D13726E" w14:textId="77777777" w:rsidR="002D62C3" w:rsidRDefault="002D62C3" w:rsidP="002D62C3">
      <w:pPr>
        <w:pStyle w:val="ListBullet"/>
      </w:pPr>
      <w:r>
        <w:t>a review of permitted transmitter output power levels</w:t>
      </w:r>
    </w:p>
    <w:p w14:paraId="2E19B2C4" w14:textId="77777777" w:rsidR="002D62C3" w:rsidRDefault="002D62C3" w:rsidP="002D62C3">
      <w:pPr>
        <w:pStyle w:val="ListBullet"/>
      </w:pPr>
      <w:r>
        <w:t>the relaxation of permitted bandwidths and emission modes in certain circumstances</w:t>
      </w:r>
    </w:p>
    <w:p w14:paraId="2AEBC3A6" w14:textId="77777777" w:rsidR="002D62C3" w:rsidRDefault="002D62C3" w:rsidP="002D62C3">
      <w:pPr>
        <w:pStyle w:val="ListBullet"/>
      </w:pPr>
      <w:r>
        <w:t xml:space="preserve">authorisation for foundation licensees to use digital modes and non-commercially manufactured equipment </w:t>
      </w:r>
    </w:p>
    <w:p w14:paraId="31BD84DB" w14:textId="77777777" w:rsidR="002D62C3" w:rsidRDefault="002D62C3" w:rsidP="002D62C3">
      <w:pPr>
        <w:pStyle w:val="ListBulletLast"/>
      </w:pPr>
      <w:r>
        <w:t>clearer definitions of certain terminology.</w:t>
      </w:r>
    </w:p>
    <w:p w14:paraId="4E9E9F52" w14:textId="77777777" w:rsidR="002D62C3" w:rsidRDefault="00242CFC" w:rsidP="0077559E">
      <w:r>
        <w:t>The ACM</w:t>
      </w:r>
      <w:r w:rsidR="002D62C3">
        <w:t xml:space="preserve">A will consider these requests. Any amendment to the licence conditions would follow </w:t>
      </w:r>
      <w:r w:rsidR="005C6E0F">
        <w:t xml:space="preserve">public </w:t>
      </w:r>
      <w:r w:rsidR="002D62C3">
        <w:t xml:space="preserve">consultation. </w:t>
      </w:r>
    </w:p>
    <w:p w14:paraId="3652FDDB" w14:textId="77777777" w:rsidR="00266584" w:rsidRDefault="000D7266" w:rsidP="00CA45D7">
      <w:pPr>
        <w:pStyle w:val="Heading3"/>
        <w:keepNext w:val="0"/>
      </w:pPr>
      <w:bookmarkStart w:id="417" w:name="_Toc510104984"/>
      <w:bookmarkStart w:id="418" w:name="_Toc510105781"/>
      <w:bookmarkStart w:id="419" w:name="_Toc510795113"/>
      <w:bookmarkStart w:id="420" w:name="_Toc511716316"/>
      <w:bookmarkStart w:id="421" w:name="_Toc511719127"/>
      <w:bookmarkStart w:id="422" w:name="_Toc514156733"/>
      <w:r>
        <w:t xml:space="preserve">Enabling trials of </w:t>
      </w:r>
      <w:r w:rsidR="00266584">
        <w:t xml:space="preserve">mobile phone jammers </w:t>
      </w:r>
      <w:bookmarkEnd w:id="417"/>
      <w:bookmarkEnd w:id="418"/>
      <w:r>
        <w:t>in prisons</w:t>
      </w:r>
      <w:bookmarkEnd w:id="419"/>
      <w:bookmarkEnd w:id="420"/>
      <w:bookmarkEnd w:id="421"/>
      <w:bookmarkEnd w:id="422"/>
    </w:p>
    <w:p w14:paraId="28E19812" w14:textId="77777777" w:rsidR="008B4A81" w:rsidRDefault="00266584" w:rsidP="0077559E">
      <w:r>
        <w:t xml:space="preserve">The ACMA currently facilitates jamming of mobile phones in Lithgow </w:t>
      </w:r>
      <w:r w:rsidR="000D7266">
        <w:t>C</w:t>
      </w:r>
      <w:r>
        <w:t>orrection</w:t>
      </w:r>
      <w:r w:rsidR="003B1074">
        <w:t>al</w:t>
      </w:r>
      <w:r>
        <w:t xml:space="preserve"> Centre through the </w:t>
      </w:r>
      <w:r w:rsidRPr="007A2ADC">
        <w:t>Radiocommunications (Field Trial by Corrective Services NSW of PMTS Jamming Devices at Lithgow Correctional Centre) Exemption Determination 2015</w:t>
      </w:r>
      <w:r>
        <w:t>. The instrument is due to expire on 1 November 2018. The ACMA will consider whether to extend the arrangements and the terms of such an extension before that time</w:t>
      </w:r>
      <w:r w:rsidR="00E830BA">
        <w:t>.</w:t>
      </w:r>
    </w:p>
    <w:p w14:paraId="7193B863" w14:textId="77777777" w:rsidR="00266584" w:rsidRDefault="00266584" w:rsidP="00760066">
      <w:pPr>
        <w:pStyle w:val="Heading3"/>
        <w:keepLines/>
      </w:pPr>
      <w:bookmarkStart w:id="423" w:name="_Toc510104985"/>
      <w:bookmarkStart w:id="424" w:name="_Toc510105782"/>
      <w:bookmarkStart w:id="425" w:name="_Toc510795114"/>
      <w:bookmarkStart w:id="426" w:name="_Toc511716317"/>
      <w:bookmarkStart w:id="427" w:name="_Toc511719128"/>
      <w:bookmarkStart w:id="428" w:name="_Toc514156734"/>
      <w:r>
        <w:lastRenderedPageBreak/>
        <w:t>Consider changes to VHF marine radio channels and their use</w:t>
      </w:r>
      <w:bookmarkEnd w:id="423"/>
      <w:bookmarkEnd w:id="424"/>
      <w:bookmarkEnd w:id="425"/>
      <w:bookmarkEnd w:id="426"/>
      <w:bookmarkEnd w:id="427"/>
      <w:bookmarkEnd w:id="428"/>
    </w:p>
    <w:p w14:paraId="4B15A39A" w14:textId="77777777" w:rsidR="00266584" w:rsidRDefault="00266584" w:rsidP="00760066">
      <w:pPr>
        <w:keepNext/>
        <w:keepLines/>
      </w:pPr>
      <w:r>
        <w:t>Following changes at World Radio Conference 2015, and representations from maritime radio users, in 2018</w:t>
      </w:r>
      <w:r w:rsidR="00B91108">
        <w:t>–</w:t>
      </w:r>
      <w:r>
        <w:t>19</w:t>
      </w:r>
      <w:r w:rsidR="00B91108">
        <w:t>,</w:t>
      </w:r>
      <w:r>
        <w:t xml:space="preserve"> the ACMA will consider changes to the channels specified for maritime radio and the specification of the uses for the channels.</w:t>
      </w:r>
    </w:p>
    <w:p w14:paraId="18322BAE" w14:textId="77777777" w:rsidR="002717D0" w:rsidRDefault="002717D0" w:rsidP="005759E7">
      <w:pPr>
        <w:pStyle w:val="Heading3"/>
      </w:pPr>
      <w:bookmarkStart w:id="429" w:name="_Toc510795115"/>
      <w:bookmarkStart w:id="430" w:name="_Toc511716318"/>
      <w:bookmarkStart w:id="431" w:name="_Toc511719129"/>
      <w:bookmarkStart w:id="432" w:name="_Toc514156735"/>
      <w:r>
        <w:t xml:space="preserve">400 MHz </w:t>
      </w:r>
      <w:r w:rsidRPr="00455D60">
        <w:t>band</w:t>
      </w:r>
      <w:bookmarkEnd w:id="429"/>
      <w:bookmarkEnd w:id="430"/>
      <w:bookmarkEnd w:id="431"/>
      <w:bookmarkEnd w:id="432"/>
    </w:p>
    <w:p w14:paraId="57C278CB" w14:textId="77777777" w:rsidR="00B514B8" w:rsidRDefault="002717D0" w:rsidP="00947F88">
      <w:pPr>
        <w:rPr>
          <w:rFonts w:cs="Arial"/>
          <w:szCs w:val="20"/>
        </w:rPr>
      </w:pPr>
      <w:r>
        <w:t xml:space="preserve">The ACMA is preparing for the final milestone period of the 400 MHz </w:t>
      </w:r>
      <w:r w:rsidR="00B91108">
        <w:t>i</w:t>
      </w:r>
      <w:r>
        <w:t>mplementation project</w:t>
      </w:r>
      <w:r w:rsidR="00B709BF">
        <w:t xml:space="preserve"> during 2019</w:t>
      </w:r>
      <w:r w:rsidR="00B91108">
        <w:t>–</w:t>
      </w:r>
      <w:r w:rsidR="00B709BF">
        <w:t>20</w:t>
      </w:r>
      <w:r>
        <w:rPr>
          <w:color w:val="1F497D"/>
        </w:rPr>
        <w:t>.</w:t>
      </w:r>
      <w:r>
        <w:t xml:space="preserve"> </w:t>
      </w:r>
      <w:r>
        <w:rPr>
          <w:color w:val="1F497D"/>
        </w:rPr>
        <w:t>T</w:t>
      </w:r>
      <w:r>
        <w:t>his will complete the necessary transition of licences to appropriate segments of the 400 MHz band. The ACMA continue</w:t>
      </w:r>
      <w:r w:rsidR="00992F7E">
        <w:t>s</w:t>
      </w:r>
      <w:r>
        <w:t xml:space="preserve"> to work closely with state and territory governments</w:t>
      </w:r>
      <w:r w:rsidR="00B91108">
        <w:t>,</w:t>
      </w:r>
      <w:r>
        <w:t xml:space="preserve"> as well as industry participants and representative organisations that are yet to complete their transition requirements in the 400 MHz band.</w:t>
      </w:r>
    </w:p>
    <w:p w14:paraId="5AA0E1A1" w14:textId="77777777" w:rsidR="00B96C20" w:rsidRDefault="00B96C20" w:rsidP="005759E7">
      <w:pPr>
        <w:pStyle w:val="Heading3"/>
      </w:pPr>
      <w:bookmarkStart w:id="433" w:name="_Toc510795116"/>
      <w:bookmarkStart w:id="434" w:name="_Toc511716319"/>
      <w:bookmarkStart w:id="435" w:name="_Toc511719130"/>
      <w:bookmarkStart w:id="436" w:name="_Toc514156736"/>
      <w:r>
        <w:t xml:space="preserve">Drone </w:t>
      </w:r>
      <w:r w:rsidRPr="00455D60">
        <w:t>regulation</w:t>
      </w:r>
      <w:bookmarkEnd w:id="433"/>
      <w:bookmarkEnd w:id="434"/>
      <w:bookmarkEnd w:id="435"/>
      <w:bookmarkEnd w:id="436"/>
    </w:p>
    <w:p w14:paraId="68FCCE2E" w14:textId="77777777" w:rsidR="00B72DB2" w:rsidRDefault="00B96C20">
      <w:r>
        <w:t>Remotely Piloted Aircraft Systems</w:t>
      </w:r>
      <w:r w:rsidR="00B91108">
        <w:t xml:space="preserve"> (</w:t>
      </w:r>
      <w:r>
        <w:t>also known as Unmanned Aerial Vehicles</w:t>
      </w:r>
      <w:r w:rsidR="00B91108">
        <w:t>),</w:t>
      </w:r>
      <w:r>
        <w:t xml:space="preserve"> commonly known as drones, have become increasingly popular with hobbyists and commercial users. Drones rely on use of radiocommunications for remote piloting and other uses such as video and sensing. The ACMA is currently considering the radiocommunications regulatory framework for the management of drones and drone jamming equipment. </w:t>
      </w:r>
    </w:p>
    <w:p w14:paraId="457E9BBE" w14:textId="77777777" w:rsidR="00B96C20" w:rsidRDefault="00B96C20" w:rsidP="00FC654E">
      <w:r>
        <w:t>The ACMA has engaged with an inter-departmental contact network</w:t>
      </w:r>
      <w:r w:rsidR="00B91108">
        <w:t>,</w:t>
      </w:r>
      <w:r>
        <w:t xml:space="preserve"> which is considering management of drones from a range of perspectives. During 2018</w:t>
      </w:r>
      <w:r w:rsidR="00B91108">
        <w:t>–</w:t>
      </w:r>
      <w:r>
        <w:t>19, the ACMA expects to review its existing regulatory measures for licensing drones and its legislative prohibitions and exemptions related to drone jamming</w:t>
      </w:r>
      <w:r w:rsidR="00B91108">
        <w:t>,</w:t>
      </w:r>
      <w:r>
        <w:t xml:space="preserve"> to </w:t>
      </w:r>
      <w:r w:rsidR="00B91108">
        <w:t xml:space="preserve">ensure </w:t>
      </w:r>
      <w:r>
        <w:t xml:space="preserve">that regulation remains fit for purpose. The ACMA </w:t>
      </w:r>
      <w:r w:rsidR="00C15BA7">
        <w:t xml:space="preserve">will work </w:t>
      </w:r>
      <w:r>
        <w:t>with drone users and relevant agencies</w:t>
      </w:r>
      <w:r w:rsidR="00C15BA7">
        <w:t>,</w:t>
      </w:r>
      <w:r>
        <w:t xml:space="preserve"> including aviation regulators</w:t>
      </w:r>
      <w:r w:rsidR="00C15BA7">
        <w:t>,</w:t>
      </w:r>
      <w:r>
        <w:t xml:space="preserve"> and law enforcement and security agencies. The ACMA will also continue to monitor international treatment of spectrum management and regulation for drones and drone jammers.</w:t>
      </w:r>
    </w:p>
    <w:p w14:paraId="2529AA7B" w14:textId="77777777" w:rsidR="00286D6B" w:rsidRPr="00286D6B" w:rsidRDefault="00286D6B" w:rsidP="005759E7">
      <w:pPr>
        <w:pStyle w:val="Heading1"/>
      </w:pPr>
      <w:bookmarkStart w:id="437" w:name="_Toc510104987"/>
      <w:bookmarkStart w:id="438" w:name="_Toc510105784"/>
      <w:bookmarkStart w:id="439" w:name="_Toc510795118"/>
      <w:bookmarkStart w:id="440" w:name="_Toc511716320"/>
      <w:bookmarkStart w:id="441" w:name="_Toc511719131"/>
      <w:bookmarkStart w:id="442" w:name="_Toc514156737"/>
      <w:r w:rsidRPr="00455D60">
        <w:lastRenderedPageBreak/>
        <w:t>Pricing</w:t>
      </w:r>
      <w:bookmarkEnd w:id="437"/>
      <w:bookmarkEnd w:id="438"/>
      <w:bookmarkEnd w:id="439"/>
      <w:bookmarkEnd w:id="440"/>
      <w:bookmarkEnd w:id="441"/>
      <w:bookmarkEnd w:id="442"/>
    </w:p>
    <w:p w14:paraId="4A7DFE16" w14:textId="77777777" w:rsidR="0058733B" w:rsidRPr="005759E7" w:rsidRDefault="0058733B" w:rsidP="005759E7">
      <w:pPr>
        <w:pStyle w:val="Heading2"/>
      </w:pPr>
      <w:bookmarkStart w:id="443" w:name="_Toc510104988"/>
      <w:bookmarkStart w:id="444" w:name="_Toc510105785"/>
      <w:bookmarkStart w:id="445" w:name="_Toc510795119"/>
      <w:bookmarkStart w:id="446" w:name="_Toc511716321"/>
      <w:bookmarkStart w:id="447" w:name="_Toc511719132"/>
      <w:bookmarkStart w:id="448" w:name="_Toc514156738"/>
      <w:r w:rsidRPr="005759E7">
        <w:t>Progress achieved</w:t>
      </w:r>
      <w:bookmarkEnd w:id="443"/>
      <w:bookmarkEnd w:id="444"/>
      <w:bookmarkEnd w:id="445"/>
      <w:bookmarkEnd w:id="446"/>
      <w:bookmarkEnd w:id="447"/>
      <w:bookmarkEnd w:id="448"/>
    </w:p>
    <w:p w14:paraId="5E895DD1" w14:textId="77777777" w:rsidR="0058733B" w:rsidRDefault="0058733B" w:rsidP="005759E7">
      <w:pPr>
        <w:pStyle w:val="Heading3"/>
      </w:pPr>
      <w:bookmarkStart w:id="449" w:name="_Toc510104989"/>
      <w:bookmarkStart w:id="450" w:name="_Toc510105786"/>
      <w:bookmarkStart w:id="451" w:name="_Toc510795120"/>
      <w:bookmarkStart w:id="452" w:name="_Toc511716322"/>
      <w:bookmarkStart w:id="453" w:name="_Toc511719133"/>
      <w:bookmarkStart w:id="454" w:name="_Toc514156739"/>
      <w:r>
        <w:t>Scientific</w:t>
      </w:r>
      <w:r w:rsidR="00C15BA7">
        <w:t>-</w:t>
      </w:r>
      <w:r w:rsidRPr="00455D60">
        <w:t>assigned</w:t>
      </w:r>
      <w:r>
        <w:t xml:space="preserve"> licences</w:t>
      </w:r>
      <w:bookmarkEnd w:id="449"/>
      <w:bookmarkEnd w:id="450"/>
      <w:bookmarkEnd w:id="451"/>
      <w:bookmarkEnd w:id="452"/>
      <w:bookmarkEnd w:id="453"/>
      <w:bookmarkEnd w:id="454"/>
    </w:p>
    <w:p w14:paraId="56E1143C" w14:textId="77777777" w:rsidR="00286D6B" w:rsidRDefault="00C15BA7" w:rsidP="0077559E">
      <w:r>
        <w:t>Following</w:t>
      </w:r>
      <w:r w:rsidR="0058733B">
        <w:t xml:space="preserve"> </w:t>
      </w:r>
      <w:r>
        <w:t xml:space="preserve">a November 2017 </w:t>
      </w:r>
      <w:r w:rsidR="00286D6B">
        <w:t>consultation on taxes associated with scientific</w:t>
      </w:r>
      <w:r>
        <w:t>-</w:t>
      </w:r>
      <w:r w:rsidR="00286D6B">
        <w:t>assigned licences</w:t>
      </w:r>
      <w:r>
        <w:t>, i</w:t>
      </w:r>
      <w:r w:rsidR="00286D6B">
        <w:t>n November 2017</w:t>
      </w:r>
      <w:r>
        <w:t>,</w:t>
      </w:r>
      <w:r w:rsidR="00286D6B">
        <w:t xml:space="preserve"> the ACMA made a decision to reduce taxes associated with scientific assigned licences by 90 per cent.</w:t>
      </w:r>
    </w:p>
    <w:p w14:paraId="13D21E90" w14:textId="77777777" w:rsidR="0058733B" w:rsidRDefault="0058733B" w:rsidP="00CA45D7">
      <w:pPr>
        <w:pStyle w:val="Heading3"/>
        <w:keepNext w:val="0"/>
      </w:pPr>
      <w:bookmarkStart w:id="455" w:name="_Toc510104990"/>
      <w:bookmarkStart w:id="456" w:name="_Toc510105787"/>
      <w:bookmarkStart w:id="457" w:name="_Toc510795121"/>
      <w:bookmarkStart w:id="458" w:name="_Toc511716323"/>
      <w:bookmarkStart w:id="459" w:name="_Toc511719134"/>
      <w:bookmarkStart w:id="460" w:name="_Toc514156740"/>
      <w:r>
        <w:t>Spectrum licence taxes</w:t>
      </w:r>
      <w:bookmarkEnd w:id="455"/>
      <w:bookmarkEnd w:id="456"/>
      <w:bookmarkEnd w:id="457"/>
      <w:bookmarkEnd w:id="458"/>
      <w:bookmarkEnd w:id="459"/>
      <w:bookmarkEnd w:id="460"/>
    </w:p>
    <w:p w14:paraId="7EEB28D7" w14:textId="77777777" w:rsidR="0058733B" w:rsidRDefault="00286D6B" w:rsidP="0077559E">
      <w:r>
        <w:t xml:space="preserve">The ACMA is </w:t>
      </w:r>
      <w:r w:rsidR="0058733B">
        <w:t xml:space="preserve">currently </w:t>
      </w:r>
      <w:r>
        <w:t xml:space="preserve">consulting on changes to spectrum licence taxes to account for changes in the indirect cost of spectrum management and census data. </w:t>
      </w:r>
      <w:r w:rsidR="0056373A">
        <w:rPr>
          <w:rFonts w:cs="Arial"/>
          <w:szCs w:val="20"/>
        </w:rPr>
        <w:t xml:space="preserve">The ACMA expects to make the relevant changes </w:t>
      </w:r>
      <w:r w:rsidR="00C15BA7">
        <w:rPr>
          <w:rFonts w:cs="Arial"/>
          <w:szCs w:val="20"/>
        </w:rPr>
        <w:t>before</w:t>
      </w:r>
      <w:r w:rsidR="0056373A">
        <w:rPr>
          <w:rFonts w:cs="Arial"/>
          <w:szCs w:val="20"/>
        </w:rPr>
        <w:t xml:space="preserve"> the end of Q4 2017</w:t>
      </w:r>
      <w:r w:rsidR="00C15BA7">
        <w:rPr>
          <w:rFonts w:cs="Arial"/>
          <w:szCs w:val="20"/>
        </w:rPr>
        <w:t>–</w:t>
      </w:r>
      <w:r w:rsidR="0056373A">
        <w:rPr>
          <w:rFonts w:cs="Arial"/>
          <w:szCs w:val="20"/>
        </w:rPr>
        <w:t>18. Subsequent changes to spectrum licence taxes will also be required to account for new bands to be spectrum licensed</w:t>
      </w:r>
      <w:r w:rsidR="00C15BA7">
        <w:rPr>
          <w:rFonts w:cs="Arial"/>
          <w:szCs w:val="20"/>
        </w:rPr>
        <w:t>,</w:t>
      </w:r>
      <w:r w:rsidR="0056373A">
        <w:rPr>
          <w:rFonts w:cs="Arial"/>
          <w:szCs w:val="20"/>
        </w:rPr>
        <w:t xml:space="preserve"> such as the 3.6 GHz band.</w:t>
      </w:r>
    </w:p>
    <w:p w14:paraId="1E8AB898" w14:textId="77777777" w:rsidR="0058733B" w:rsidRDefault="0058733B" w:rsidP="00CA45D7">
      <w:pPr>
        <w:pStyle w:val="Heading3"/>
        <w:keepNext w:val="0"/>
      </w:pPr>
      <w:bookmarkStart w:id="461" w:name="_Toc510104991"/>
      <w:bookmarkStart w:id="462" w:name="_Toc510105788"/>
      <w:bookmarkStart w:id="463" w:name="_Toc510795122"/>
      <w:bookmarkStart w:id="464" w:name="_Toc511716324"/>
      <w:bookmarkStart w:id="465" w:name="_Toc511719135"/>
      <w:bookmarkStart w:id="466" w:name="_Toc514156741"/>
      <w:r>
        <w:t>Apparatus licence taxes</w:t>
      </w:r>
      <w:bookmarkEnd w:id="461"/>
      <w:bookmarkEnd w:id="462"/>
      <w:bookmarkEnd w:id="463"/>
      <w:bookmarkEnd w:id="464"/>
      <w:bookmarkEnd w:id="465"/>
      <w:bookmarkEnd w:id="466"/>
    </w:p>
    <w:p w14:paraId="4AD855B1" w14:textId="77777777" w:rsidR="00286D6B" w:rsidRDefault="00286D6B" w:rsidP="0077559E">
      <w:r>
        <w:t>Adjustments</w:t>
      </w:r>
      <w:r w:rsidR="0058733B">
        <w:t xml:space="preserve"> were</w:t>
      </w:r>
      <w:r>
        <w:t xml:space="preserve"> made to apparatus licence taxes to account for changes in census data and inflation</w:t>
      </w:r>
      <w:r w:rsidR="00C15BA7">
        <w:t>,</w:t>
      </w:r>
      <w:r>
        <w:t xml:space="preserve"> and </w:t>
      </w:r>
      <w:r w:rsidR="0058733B">
        <w:t xml:space="preserve">to </w:t>
      </w:r>
      <w:r>
        <w:t xml:space="preserve">clarify the application of taxes for PMTS Class B services in </w:t>
      </w:r>
      <w:r w:rsidR="00C15BA7">
        <w:t>e</w:t>
      </w:r>
      <w:r>
        <w:t xml:space="preserve">xternal </w:t>
      </w:r>
      <w:r w:rsidR="00C15BA7">
        <w:t>t</w:t>
      </w:r>
      <w:r>
        <w:t>erritories</w:t>
      </w:r>
      <w:r w:rsidR="0058733B">
        <w:t xml:space="preserve">. </w:t>
      </w:r>
      <w:r>
        <w:t xml:space="preserve">The adjustments came into effect </w:t>
      </w:r>
      <w:r w:rsidR="00C15BA7">
        <w:t>in</w:t>
      </w:r>
      <w:r>
        <w:t xml:space="preserve"> April 2018.</w:t>
      </w:r>
    </w:p>
    <w:p w14:paraId="685C4329" w14:textId="77777777" w:rsidR="0056373A" w:rsidRPr="0056373A" w:rsidRDefault="0056373A">
      <w:r w:rsidRPr="0056373A">
        <w:t xml:space="preserve">The ACMA will continue to make changes to the apparatus licence tax regime to account for matters </w:t>
      </w:r>
      <w:r w:rsidR="00C15BA7">
        <w:t>including</w:t>
      </w:r>
      <w:r w:rsidR="00C15BA7" w:rsidRPr="0056373A">
        <w:t xml:space="preserve"> </w:t>
      </w:r>
      <w:r w:rsidRPr="0056373A">
        <w:t>adjusting taxes for inflation.</w:t>
      </w:r>
    </w:p>
    <w:p w14:paraId="36897042" w14:textId="77777777" w:rsidR="002E0DAD" w:rsidRDefault="002E0DAD" w:rsidP="00CA45D7">
      <w:pPr>
        <w:pStyle w:val="Heading3"/>
        <w:keepNext w:val="0"/>
      </w:pPr>
      <w:bookmarkStart w:id="467" w:name="_Toc510104992"/>
      <w:bookmarkStart w:id="468" w:name="_Toc510105789"/>
      <w:bookmarkStart w:id="469" w:name="_Toc510795123"/>
      <w:bookmarkStart w:id="470" w:name="_Toc511716325"/>
      <w:bookmarkStart w:id="471" w:name="_Toc511719136"/>
      <w:bookmarkStart w:id="472" w:name="_Toc514156742"/>
      <w:r>
        <w:t>400 MHz monitoring framework and opportunity</w:t>
      </w:r>
      <w:r w:rsidR="00C15BA7">
        <w:t>-</w:t>
      </w:r>
      <w:r>
        <w:t>cost pricing</w:t>
      </w:r>
      <w:bookmarkEnd w:id="467"/>
      <w:bookmarkEnd w:id="468"/>
      <w:bookmarkEnd w:id="469"/>
      <w:bookmarkEnd w:id="470"/>
      <w:bookmarkEnd w:id="471"/>
      <w:bookmarkEnd w:id="472"/>
    </w:p>
    <w:p w14:paraId="51A47130" w14:textId="77777777" w:rsidR="00A72CCF" w:rsidRDefault="001C0F1C" w:rsidP="0077559E">
      <w:r w:rsidRPr="00F342D2">
        <w:t xml:space="preserve">After releasing a consultation paper in November 2016 on </w:t>
      </w:r>
      <w:r w:rsidR="006E5115">
        <w:t>opportunity</w:t>
      </w:r>
      <w:r w:rsidR="00C15BA7">
        <w:t>-</w:t>
      </w:r>
      <w:r w:rsidR="006E5115">
        <w:t xml:space="preserve">cost pricing </w:t>
      </w:r>
      <w:r w:rsidRPr="00F342D2">
        <w:t xml:space="preserve">in the 400 MHz band, </w:t>
      </w:r>
      <w:r w:rsidR="00A72CCF">
        <w:t>the</w:t>
      </w:r>
      <w:r w:rsidRPr="00F342D2">
        <w:t xml:space="preserve"> ACMA has reviewed the monitoring framework for the </w:t>
      </w:r>
      <w:r w:rsidR="00C15BA7" w:rsidRPr="00F342D2">
        <w:t>400</w:t>
      </w:r>
      <w:r w:rsidR="00C15BA7">
        <w:t> </w:t>
      </w:r>
      <w:r w:rsidRPr="00F342D2">
        <w:t xml:space="preserve">MHz band. The updated monitoring analysis indicates that demand </w:t>
      </w:r>
      <w:r w:rsidR="009171B9">
        <w:t xml:space="preserve">growth </w:t>
      </w:r>
      <w:r w:rsidRPr="00F342D2">
        <w:t>has not been as strong as previously thought, in part reflecting a shift to the use of low</w:t>
      </w:r>
      <w:r w:rsidR="00C15BA7">
        <w:t>-</w:t>
      </w:r>
      <w:r w:rsidRPr="00F342D2">
        <w:t>power devices by licensees. Given this, a planned third increase to licence tax rates is not currently justified</w:t>
      </w:r>
      <w:r w:rsidR="00D93CDF">
        <w:t xml:space="preserve"> and will not be implemented.</w:t>
      </w:r>
    </w:p>
    <w:p w14:paraId="2C9716C8" w14:textId="77777777" w:rsidR="001C0F1C" w:rsidRPr="00F342D2" w:rsidRDefault="001C0F1C">
      <w:r w:rsidRPr="00F342D2">
        <w:t xml:space="preserve">The demand monitoring framework has been updated and a </w:t>
      </w:r>
      <w:r w:rsidR="001D5AFF">
        <w:t>r</w:t>
      </w:r>
      <w:r w:rsidRPr="00F342D2">
        <w:t xml:space="preserve">esponse </w:t>
      </w:r>
      <w:r w:rsidR="001D5AFF">
        <w:t>p</w:t>
      </w:r>
      <w:r w:rsidRPr="00F342D2">
        <w:t xml:space="preserve">aper was published in </w:t>
      </w:r>
      <w:r>
        <w:t>Q3 2017</w:t>
      </w:r>
      <w:r w:rsidR="00C15BA7">
        <w:t>–</w:t>
      </w:r>
      <w:r>
        <w:t>18.</w:t>
      </w:r>
      <w:r w:rsidR="0056373A">
        <w:t xml:space="preserve"> </w:t>
      </w:r>
      <w:r w:rsidRPr="00F342D2">
        <w:t xml:space="preserve">Monitoring will continue on a semi-regular basis and increases can be re-instated if demand accelerates. In releasing the </w:t>
      </w:r>
      <w:r w:rsidR="001D5AFF">
        <w:t>r</w:t>
      </w:r>
      <w:r w:rsidRPr="00F342D2">
        <w:t xml:space="preserve">esponse </w:t>
      </w:r>
      <w:r w:rsidR="001D5AFF">
        <w:t>p</w:t>
      </w:r>
      <w:r w:rsidRPr="00F342D2">
        <w:t xml:space="preserve">aper, the ACMA invited </w:t>
      </w:r>
      <w:r w:rsidRPr="00F16F31">
        <w:t>interested stakeholders to engage with ACMA staff on understanding more detail about the monitoring framework</w:t>
      </w:r>
      <w:r w:rsidRPr="00F342D2">
        <w:t xml:space="preserve"> and how it could be applied.</w:t>
      </w:r>
    </w:p>
    <w:p w14:paraId="3B51B00D" w14:textId="77777777" w:rsidR="00B514B8" w:rsidRDefault="00F342D2" w:rsidP="00585FB9">
      <w:pPr>
        <w:rPr>
          <w:szCs w:val="20"/>
        </w:rPr>
      </w:pPr>
      <w:r>
        <w:t xml:space="preserve">Feedback to the </w:t>
      </w:r>
      <w:r w:rsidR="00350C72">
        <w:t xml:space="preserve">2017–21 </w:t>
      </w:r>
      <w:r>
        <w:t>FYSO related to a number of potential changes to apparatus licence taxes and the flagging of information about reviews in the FYSO</w:t>
      </w:r>
      <w:r w:rsidR="00585FB9">
        <w:t>. A</w:t>
      </w:r>
      <w:r w:rsidRPr="00FC654E">
        <w:t xml:space="preserve"> number of submissions suggested that the ACMA should review spectrum pricing for particular services (such as satellite services in </w:t>
      </w:r>
      <w:r w:rsidR="008478B4">
        <w:rPr>
          <w:szCs w:val="20"/>
        </w:rPr>
        <w:t>Ka</w:t>
      </w:r>
      <w:r w:rsidR="00C15BA7">
        <w:rPr>
          <w:szCs w:val="20"/>
        </w:rPr>
        <w:t>-</w:t>
      </w:r>
      <w:r>
        <w:rPr>
          <w:szCs w:val="20"/>
        </w:rPr>
        <w:t xml:space="preserve"> and </w:t>
      </w:r>
      <w:r w:rsidRPr="00FC654E">
        <w:rPr>
          <w:szCs w:val="20"/>
        </w:rPr>
        <w:t>Ku</w:t>
      </w:r>
      <w:r w:rsidR="00C15BA7">
        <w:rPr>
          <w:szCs w:val="20"/>
        </w:rPr>
        <w:t>-</w:t>
      </w:r>
      <w:r w:rsidRPr="00FC654E">
        <w:rPr>
          <w:szCs w:val="20"/>
        </w:rPr>
        <w:t>band</w:t>
      </w:r>
      <w:r w:rsidR="008478B4">
        <w:rPr>
          <w:szCs w:val="20"/>
        </w:rPr>
        <w:t>s</w:t>
      </w:r>
      <w:r w:rsidRPr="00FC654E">
        <w:rPr>
          <w:szCs w:val="20"/>
        </w:rPr>
        <w:t xml:space="preserve">, and HPON services). The ACMA anticipates that the general pricing review </w:t>
      </w:r>
      <w:r w:rsidR="000C6DAD">
        <w:rPr>
          <w:szCs w:val="20"/>
        </w:rPr>
        <w:t>flowing from</w:t>
      </w:r>
      <w:r w:rsidRPr="00FC654E">
        <w:rPr>
          <w:szCs w:val="20"/>
        </w:rPr>
        <w:t xml:space="preserve"> recommendation 7 of the Spectrum Pricing Review will address pricing adjustments required across a number of industries and spectrum bands.</w:t>
      </w:r>
      <w:r w:rsidR="00585FB9">
        <w:rPr>
          <w:szCs w:val="20"/>
        </w:rPr>
        <w:t xml:space="preserve"> </w:t>
      </w:r>
    </w:p>
    <w:p w14:paraId="47DBC1CE" w14:textId="77777777" w:rsidR="00286D6B" w:rsidRPr="005759E7" w:rsidRDefault="002E0DAD" w:rsidP="005759E7">
      <w:pPr>
        <w:pStyle w:val="Heading2"/>
      </w:pPr>
      <w:bookmarkStart w:id="473" w:name="_Toc514156743"/>
      <w:bookmarkStart w:id="474" w:name="_Toc510104993"/>
      <w:bookmarkStart w:id="475" w:name="_Toc510105790"/>
      <w:bookmarkStart w:id="476" w:name="_Toc510795124"/>
      <w:bookmarkStart w:id="477" w:name="_Toc511716326"/>
      <w:bookmarkStart w:id="478" w:name="_Toc511719137"/>
      <w:r w:rsidRPr="005759E7">
        <w:t xml:space="preserve">New/ongoing activities planned for </w:t>
      </w:r>
      <w:r w:rsidR="00C15BA7">
        <w:t>20</w:t>
      </w:r>
      <w:r w:rsidRPr="005759E7">
        <w:t>18</w:t>
      </w:r>
      <w:r w:rsidR="00C15BA7">
        <w:t>–</w:t>
      </w:r>
      <w:r w:rsidRPr="005759E7">
        <w:t>19</w:t>
      </w:r>
      <w:bookmarkEnd w:id="473"/>
      <w:r w:rsidRPr="005759E7">
        <w:t xml:space="preserve"> </w:t>
      </w:r>
      <w:bookmarkEnd w:id="474"/>
      <w:bookmarkEnd w:id="475"/>
      <w:bookmarkEnd w:id="476"/>
      <w:bookmarkEnd w:id="477"/>
      <w:bookmarkEnd w:id="478"/>
    </w:p>
    <w:p w14:paraId="54A6E8EE" w14:textId="77777777" w:rsidR="00F342D2" w:rsidRDefault="000D6B90">
      <w:r>
        <w:t xml:space="preserve">The ACMA is implementing </w:t>
      </w:r>
      <w:r w:rsidR="00286D6B">
        <w:t xml:space="preserve">new tax arrangements </w:t>
      </w:r>
      <w:r w:rsidR="00624F54">
        <w:t xml:space="preserve">for apparatus licences </w:t>
      </w:r>
      <w:r w:rsidR="00286D6B">
        <w:t xml:space="preserve">associated with </w:t>
      </w:r>
      <w:r w:rsidR="00624F54">
        <w:t xml:space="preserve">the transmitters used by commercial radio and television </w:t>
      </w:r>
      <w:r w:rsidR="00286D6B">
        <w:t>broadcasters</w:t>
      </w:r>
      <w:r w:rsidR="00624F54">
        <w:t xml:space="preserve"> in the Broadcasting Services Bands. The changes </w:t>
      </w:r>
      <w:r>
        <w:t xml:space="preserve">result from the media reform package </w:t>
      </w:r>
      <w:r w:rsidR="001556CE">
        <w:t xml:space="preserve">passed by Parliament </w:t>
      </w:r>
      <w:r>
        <w:t>in 2017</w:t>
      </w:r>
      <w:r w:rsidR="00286D6B">
        <w:t>.</w:t>
      </w:r>
      <w:r w:rsidR="00C95B03">
        <w:t xml:space="preserve"> </w:t>
      </w:r>
      <w:r w:rsidR="00F342D2" w:rsidRPr="00F342D2">
        <w:t>The first assessment of taxes is not expected until late in Q4 2017</w:t>
      </w:r>
      <w:r w:rsidR="00C15BA7">
        <w:t>–</w:t>
      </w:r>
      <w:r w:rsidR="00495210">
        <w:t>18</w:t>
      </w:r>
      <w:r w:rsidR="00F342D2" w:rsidRPr="00F342D2">
        <w:t xml:space="preserve"> or Q1 2018</w:t>
      </w:r>
      <w:r w:rsidR="00C15BA7">
        <w:t>–</w:t>
      </w:r>
      <w:r w:rsidR="00495210">
        <w:t>19</w:t>
      </w:r>
      <w:r w:rsidR="00F342D2" w:rsidRPr="00F342D2">
        <w:t>.</w:t>
      </w:r>
    </w:p>
    <w:p w14:paraId="2242DE49" w14:textId="77777777" w:rsidR="00F342D2" w:rsidRDefault="00F342D2">
      <w:r>
        <w:lastRenderedPageBreak/>
        <w:t xml:space="preserve">After 30 June 2019, the ACMA must conduct a review of the </w:t>
      </w:r>
      <w:r w:rsidRPr="005759E7">
        <w:rPr>
          <w:i/>
        </w:rPr>
        <w:t>Commercial Broadcasting (Tax) Act 2017.</w:t>
      </w:r>
      <w:r>
        <w:t xml:space="preserve"> In 2018</w:t>
      </w:r>
      <w:r w:rsidR="00C15BA7">
        <w:t>–</w:t>
      </w:r>
      <w:r>
        <w:t>19</w:t>
      </w:r>
      <w:r w:rsidR="00C15BA7">
        <w:t xml:space="preserve">, </w:t>
      </w:r>
      <w:r>
        <w:t xml:space="preserve">the ACMA may make announcements about any preparation it is undertaking </w:t>
      </w:r>
      <w:r w:rsidR="00C15BA7">
        <w:t xml:space="preserve">for </w:t>
      </w:r>
      <w:r>
        <w:t>the review.</w:t>
      </w:r>
    </w:p>
    <w:p w14:paraId="7A56589A" w14:textId="77777777" w:rsidR="00D3495C" w:rsidRPr="00D3495C" w:rsidRDefault="00D3495C">
      <w:r w:rsidRPr="00D3495C">
        <w:t xml:space="preserve">The ACMA is consulting on proposed amendments to spectrum licence taxes to account for changes in the indirect cost of spectrum management and </w:t>
      </w:r>
      <w:r w:rsidR="00CB368F">
        <w:t>to</w:t>
      </w:r>
      <w:r w:rsidRPr="00D3495C">
        <w:t xml:space="preserve"> census data</w:t>
      </w:r>
      <w:r w:rsidR="00C15BA7">
        <w:t>,</w:t>
      </w:r>
      <w:r w:rsidRPr="00D3495C">
        <w:t xml:space="preserve"> and expects to make the relevant changes prior to the end of Q4 2017</w:t>
      </w:r>
      <w:r w:rsidR="00C15BA7">
        <w:t>–</w:t>
      </w:r>
      <w:r w:rsidR="00EA0960">
        <w:t>18</w:t>
      </w:r>
      <w:r w:rsidRPr="00D3495C">
        <w:t xml:space="preserve">. Subsequent changes to spectrum licence taxes will also be required to </w:t>
      </w:r>
      <w:r w:rsidR="00C15BA7">
        <w:t>enable</w:t>
      </w:r>
      <w:r w:rsidRPr="00D3495C">
        <w:t xml:space="preserve"> new bands to be spectrum licensed</w:t>
      </w:r>
      <w:r w:rsidR="00C15BA7">
        <w:t>,</w:t>
      </w:r>
      <w:r w:rsidRPr="00D3495C">
        <w:t xml:space="preserve"> such as the 3.6 GHz band. The ACMA will continue to make changes to the apparatus licence tax regime</w:t>
      </w:r>
      <w:r w:rsidR="006A26C9">
        <w:t xml:space="preserve">, including </w:t>
      </w:r>
      <w:r w:rsidRPr="00D3495C">
        <w:t>adjusting taxes for inflation.</w:t>
      </w:r>
    </w:p>
    <w:p w14:paraId="5D921417" w14:textId="77777777" w:rsidR="00286D6B" w:rsidRDefault="00286D6B" w:rsidP="005759E7">
      <w:pPr>
        <w:pStyle w:val="Heading1"/>
      </w:pPr>
      <w:bookmarkStart w:id="479" w:name="_Toc510104994"/>
      <w:bookmarkStart w:id="480" w:name="_Toc510105791"/>
      <w:bookmarkStart w:id="481" w:name="_Toc510795125"/>
      <w:bookmarkStart w:id="482" w:name="_Toc511716327"/>
      <w:bookmarkStart w:id="483" w:name="_Toc511719138"/>
      <w:bookmarkStart w:id="484" w:name="_Toc514156744"/>
      <w:r>
        <w:lastRenderedPageBreak/>
        <w:t>Compliance and enforcement</w:t>
      </w:r>
      <w:bookmarkEnd w:id="479"/>
      <w:bookmarkEnd w:id="480"/>
      <w:bookmarkEnd w:id="481"/>
      <w:bookmarkEnd w:id="482"/>
      <w:bookmarkEnd w:id="483"/>
      <w:bookmarkEnd w:id="484"/>
    </w:p>
    <w:p w14:paraId="481991D8" w14:textId="77777777" w:rsidR="001F307F" w:rsidRPr="005759E7" w:rsidRDefault="001F307F" w:rsidP="005759E7">
      <w:pPr>
        <w:pStyle w:val="Heading2"/>
      </w:pPr>
      <w:bookmarkStart w:id="485" w:name="_Toc511716328"/>
      <w:bookmarkStart w:id="486" w:name="_Toc511719139"/>
      <w:bookmarkStart w:id="487" w:name="_Toc514156745"/>
      <w:bookmarkStart w:id="488" w:name="_Toc510104995"/>
      <w:bookmarkStart w:id="489" w:name="_Toc510105792"/>
      <w:bookmarkStart w:id="490" w:name="_Toc510795126"/>
      <w:r w:rsidRPr="005759E7">
        <w:t>Priority Compliance Areas</w:t>
      </w:r>
      <w:bookmarkEnd w:id="485"/>
      <w:bookmarkEnd w:id="486"/>
      <w:bookmarkEnd w:id="487"/>
    </w:p>
    <w:p w14:paraId="17FCDCFE" w14:textId="77777777" w:rsidR="001F307F" w:rsidRDefault="001F307F" w:rsidP="00E63BF5">
      <w:r w:rsidRPr="001F307F">
        <w:t xml:space="preserve">The ACMA’s Priority Compliance Area (PCA) program </w:t>
      </w:r>
      <w:r w:rsidRPr="00E87F7D">
        <w:t>commenced in 2012</w:t>
      </w:r>
      <w:r w:rsidR="006A26C9">
        <w:t>–</w:t>
      </w:r>
      <w:r w:rsidRPr="00E87F7D">
        <w:t xml:space="preserve">13 and is now an integral part of </w:t>
      </w:r>
      <w:r>
        <w:t>our</w:t>
      </w:r>
      <w:r w:rsidRPr="00E87F7D">
        <w:t xml:space="preserve"> approach to compliance and enforcement. Centred on a risk-based methodology, this program aims to systematically identify and address high</w:t>
      </w:r>
      <w:r w:rsidR="006A26C9">
        <w:t>-</w:t>
      </w:r>
      <w:r w:rsidRPr="00E87F7D">
        <w:t xml:space="preserve">risk compliance issues. The purpose of PCAs is to maximise the regulatory reach of the ACMA in a strategic and resource efficient manner. PCAs focus on the risks of harmful interference, risks to spectrum utility, and risks to public safety or compliance activities that are in the public interest. </w:t>
      </w:r>
    </w:p>
    <w:p w14:paraId="5AB6C7BA" w14:textId="77777777" w:rsidR="001F307F" w:rsidRDefault="001F307F" w:rsidP="005759E7">
      <w:pPr>
        <w:spacing w:after="80"/>
      </w:pPr>
      <w:r>
        <w:t>PCAs are set annually. In 2017</w:t>
      </w:r>
      <w:r w:rsidR="006A26C9">
        <w:t>–</w:t>
      </w:r>
      <w:r>
        <w:t>18, the ACMA PCA programs focused on:</w:t>
      </w:r>
    </w:p>
    <w:p w14:paraId="3119010A" w14:textId="77777777" w:rsidR="001F307F" w:rsidRDefault="001F307F" w:rsidP="005759E7">
      <w:pPr>
        <w:pStyle w:val="ListBullet"/>
      </w:pPr>
      <w:r w:rsidRPr="00455D60">
        <w:t>Commonwealth</w:t>
      </w:r>
      <w:r>
        <w:t xml:space="preserve"> Games </w:t>
      </w:r>
      <w:r w:rsidR="006A26C9">
        <w:t>p</w:t>
      </w:r>
      <w:r>
        <w:t>reparation</w:t>
      </w:r>
      <w:r w:rsidR="006A26C9">
        <w:t>—</w:t>
      </w:r>
      <w:r>
        <w:t>compliance program</w:t>
      </w:r>
    </w:p>
    <w:p w14:paraId="2749A7A3" w14:textId="77777777" w:rsidR="001F307F" w:rsidRDefault="006A26C9" w:rsidP="005759E7">
      <w:pPr>
        <w:pStyle w:val="ListBulletLast"/>
      </w:pPr>
      <w:r>
        <w:t>m</w:t>
      </w:r>
      <w:r w:rsidR="001F307F">
        <w:t>obile handset compliance</w:t>
      </w:r>
      <w:r>
        <w:t>.</w:t>
      </w:r>
    </w:p>
    <w:p w14:paraId="4FB0EB3C" w14:textId="77777777" w:rsidR="003A4CBB" w:rsidRDefault="003A4CBB" w:rsidP="001D3119">
      <w:r>
        <w:t>In April 2017</w:t>
      </w:r>
      <w:r w:rsidR="006A26C9">
        <w:t>,</w:t>
      </w:r>
      <w:r>
        <w:t xml:space="preserve"> the ACMA consulted with industry through tune-ups held in Sydney and Melbourne on draft </w:t>
      </w:r>
      <w:r w:rsidR="006A26C9">
        <w:t>PCAs</w:t>
      </w:r>
      <w:r>
        <w:t xml:space="preserve"> for 2018</w:t>
      </w:r>
      <w:r w:rsidR="006A26C9">
        <w:t>–</w:t>
      </w:r>
      <w:r>
        <w:t>19.</w:t>
      </w:r>
    </w:p>
    <w:p w14:paraId="513D4087" w14:textId="77777777" w:rsidR="006B6F6E" w:rsidRPr="005759E7" w:rsidRDefault="007A7B25" w:rsidP="005759E7">
      <w:pPr>
        <w:pStyle w:val="Heading2"/>
      </w:pPr>
      <w:bookmarkStart w:id="491" w:name="_Toc511716329"/>
      <w:bookmarkStart w:id="492" w:name="_Toc511719140"/>
      <w:bookmarkStart w:id="493" w:name="_Toc514156746"/>
      <w:r w:rsidRPr="005759E7">
        <w:t>Progress achieved</w:t>
      </w:r>
      <w:bookmarkEnd w:id="488"/>
      <w:bookmarkEnd w:id="489"/>
      <w:bookmarkEnd w:id="490"/>
      <w:bookmarkEnd w:id="491"/>
      <w:bookmarkEnd w:id="492"/>
      <w:bookmarkEnd w:id="493"/>
    </w:p>
    <w:p w14:paraId="35E14BD1" w14:textId="77777777" w:rsidR="004651B1" w:rsidRPr="00FC654E" w:rsidRDefault="004651B1" w:rsidP="00947F88">
      <w:pPr>
        <w:pStyle w:val="Heading3"/>
        <w:keepNext w:val="0"/>
        <w:rPr>
          <w:color w:val="000000" w:themeColor="text1"/>
        </w:rPr>
      </w:pPr>
      <w:bookmarkStart w:id="494" w:name="_Toc510104996"/>
      <w:bookmarkStart w:id="495" w:name="_Toc510105793"/>
      <w:bookmarkStart w:id="496" w:name="_Toc510795127"/>
      <w:bookmarkStart w:id="497" w:name="_Toc511716330"/>
      <w:bookmarkStart w:id="498" w:name="_Toc511719141"/>
      <w:bookmarkStart w:id="499" w:name="_Toc514156747"/>
      <w:r w:rsidRPr="00FC654E">
        <w:t xml:space="preserve">Commonwealth Games </w:t>
      </w:r>
      <w:r w:rsidR="006A26C9">
        <w:t>p</w:t>
      </w:r>
      <w:r w:rsidRPr="00FC654E">
        <w:t>reparation</w:t>
      </w:r>
      <w:r w:rsidR="006A26C9">
        <w:t>—</w:t>
      </w:r>
      <w:r w:rsidRPr="00FC654E">
        <w:t>compliance program</w:t>
      </w:r>
      <w:bookmarkEnd w:id="494"/>
      <w:bookmarkEnd w:id="495"/>
      <w:bookmarkEnd w:id="496"/>
      <w:bookmarkEnd w:id="497"/>
      <w:bookmarkEnd w:id="498"/>
      <w:bookmarkEnd w:id="499"/>
      <w:r w:rsidRPr="00FC654E">
        <w:rPr>
          <w:color w:val="000000" w:themeColor="text1"/>
        </w:rPr>
        <w:t xml:space="preserve"> </w:t>
      </w:r>
    </w:p>
    <w:p w14:paraId="1F26636D" w14:textId="77777777" w:rsidR="004651B1" w:rsidRDefault="00D3495C" w:rsidP="0077559E">
      <w:r w:rsidRPr="00D3495C">
        <w:t>The ACMA completed the set up and testing of an extensive monitoring network inside the main stadiums</w:t>
      </w:r>
      <w:r w:rsidR="006A26C9">
        <w:t>,</w:t>
      </w:r>
      <w:r w:rsidRPr="00D3495C">
        <w:t xml:space="preserve"> as well as a wide area network located on the Gold Coast.</w:t>
      </w:r>
    </w:p>
    <w:p w14:paraId="1EC0FF8D" w14:textId="77777777" w:rsidR="004651B1" w:rsidRDefault="004651B1" w:rsidP="0077559E">
      <w:pPr>
        <w:rPr>
          <w:color w:val="000000" w:themeColor="text1"/>
        </w:rPr>
      </w:pPr>
      <w:r w:rsidRPr="00FC654E">
        <w:rPr>
          <w:color w:val="000000" w:themeColor="text1"/>
        </w:rPr>
        <w:t xml:space="preserve">The ACMA conducted work on the Gold Coast </w:t>
      </w:r>
      <w:r w:rsidR="00127B59">
        <w:rPr>
          <w:color w:val="000000" w:themeColor="text1"/>
        </w:rPr>
        <w:t xml:space="preserve">and in </w:t>
      </w:r>
      <w:r w:rsidRPr="00FC654E">
        <w:rPr>
          <w:color w:val="000000" w:themeColor="text1"/>
        </w:rPr>
        <w:t xml:space="preserve">Brisbane, Townsville and Cairns between August 2017 and March 2018. The compliance program focused on the interference risks associated with the operation of unlicensed, non-standard hand held two-way radios in </w:t>
      </w:r>
      <w:r w:rsidR="00127B59">
        <w:rPr>
          <w:color w:val="000000" w:themeColor="text1"/>
        </w:rPr>
        <w:t xml:space="preserve">the </w:t>
      </w:r>
      <w:r w:rsidRPr="00FC654E">
        <w:rPr>
          <w:color w:val="000000" w:themeColor="text1"/>
        </w:rPr>
        <w:t>400</w:t>
      </w:r>
      <w:r w:rsidR="00D038FC">
        <w:rPr>
          <w:color w:val="000000" w:themeColor="text1"/>
        </w:rPr>
        <w:t xml:space="preserve"> </w:t>
      </w:r>
      <w:r w:rsidRPr="00FC654E">
        <w:rPr>
          <w:color w:val="000000" w:themeColor="text1"/>
        </w:rPr>
        <w:t>MH</w:t>
      </w:r>
      <w:r w:rsidR="00D038FC">
        <w:rPr>
          <w:color w:val="000000" w:themeColor="text1"/>
        </w:rPr>
        <w:t>z</w:t>
      </w:r>
      <w:r w:rsidRPr="00FC654E">
        <w:rPr>
          <w:color w:val="000000" w:themeColor="text1"/>
        </w:rPr>
        <w:t xml:space="preserve">/Harmonised Government Spectrum </w:t>
      </w:r>
      <w:r w:rsidR="00127B59">
        <w:rPr>
          <w:color w:val="000000" w:themeColor="text1"/>
        </w:rPr>
        <w:t xml:space="preserve">band </w:t>
      </w:r>
      <w:r w:rsidRPr="00FC654E">
        <w:rPr>
          <w:color w:val="000000" w:themeColor="text1"/>
        </w:rPr>
        <w:t>and equipment operating in other band segments that were utilised during the games.</w:t>
      </w:r>
    </w:p>
    <w:p w14:paraId="6D188B7A" w14:textId="77777777" w:rsidR="004651B1" w:rsidRPr="00FC654E" w:rsidRDefault="004651B1">
      <w:pPr>
        <w:rPr>
          <w:color w:val="000000" w:themeColor="text1"/>
        </w:rPr>
      </w:pPr>
      <w:r w:rsidRPr="004651B1">
        <w:rPr>
          <w:color w:val="000000" w:themeColor="text1"/>
        </w:rPr>
        <w:t>The ACMA’s compliance presence resulted in 1</w:t>
      </w:r>
      <w:r w:rsidR="006A26C9">
        <w:rPr>
          <w:color w:val="000000" w:themeColor="text1"/>
        </w:rPr>
        <w:t>,</w:t>
      </w:r>
      <w:r w:rsidRPr="004651B1">
        <w:rPr>
          <w:color w:val="000000" w:themeColor="text1"/>
        </w:rPr>
        <w:t xml:space="preserve">262 site visits, 13 awareness visits, 231 compliance tasks, </w:t>
      </w:r>
      <w:r w:rsidR="006A26C9">
        <w:rPr>
          <w:color w:val="000000" w:themeColor="text1"/>
        </w:rPr>
        <w:t xml:space="preserve">and </w:t>
      </w:r>
      <w:r w:rsidRPr="004651B1">
        <w:rPr>
          <w:color w:val="000000" w:themeColor="text1"/>
        </w:rPr>
        <w:t>201 warning notices and one infringement notice issued.</w:t>
      </w:r>
    </w:p>
    <w:p w14:paraId="61ABBD8E" w14:textId="77777777" w:rsidR="006A26C9" w:rsidRDefault="00D3495C" w:rsidP="005759E7">
      <w:pPr>
        <w:spacing w:after="80"/>
      </w:pPr>
      <w:r w:rsidRPr="00D3495C">
        <w:t>The ACMA achieved all milestones as outlined in the contract between the ACMA and Gold Coast 2018 Commonwe</w:t>
      </w:r>
      <w:r w:rsidR="00840A6D">
        <w:t>alth Games Corporation (GOLDOC)</w:t>
      </w:r>
      <w:r w:rsidR="006A26C9">
        <w:t>:</w:t>
      </w:r>
    </w:p>
    <w:p w14:paraId="1493E2B4" w14:textId="77777777" w:rsidR="006A26C9" w:rsidRDefault="006A26C9" w:rsidP="005759E7">
      <w:pPr>
        <w:pStyle w:val="ListBullet"/>
        <w:rPr>
          <w:rFonts w:cs="Arial"/>
        </w:rPr>
      </w:pPr>
      <w:r>
        <w:t>a</w:t>
      </w:r>
      <w:r w:rsidRPr="00FC654E">
        <w:t xml:space="preserve">ll Games contract requirements </w:t>
      </w:r>
      <w:r>
        <w:t>were</w:t>
      </w:r>
      <w:r w:rsidRPr="00FC654E">
        <w:t xml:space="preserve"> met</w:t>
      </w:r>
    </w:p>
    <w:p w14:paraId="086CDF5F" w14:textId="77777777" w:rsidR="006A26C9" w:rsidRDefault="006A26C9" w:rsidP="005759E7">
      <w:pPr>
        <w:pStyle w:val="ListBullet"/>
        <w:rPr>
          <w:rFonts w:cs="Arial"/>
        </w:rPr>
      </w:pPr>
      <w:r>
        <w:t>a</w:t>
      </w:r>
      <w:r w:rsidRPr="00FC654E">
        <w:t>ll area</w:t>
      </w:r>
      <w:r>
        <w:t>-</w:t>
      </w:r>
      <w:r w:rsidRPr="00FC654E">
        <w:t xml:space="preserve">wide and in-venue monitoring networks </w:t>
      </w:r>
      <w:r>
        <w:t>were</w:t>
      </w:r>
      <w:r w:rsidRPr="00FC654E">
        <w:t xml:space="preserve"> installed and in operation </w:t>
      </w:r>
      <w:r>
        <w:t>during</w:t>
      </w:r>
      <w:r w:rsidRPr="00FC654E">
        <w:t xml:space="preserve"> the Games </w:t>
      </w:r>
    </w:p>
    <w:p w14:paraId="53C1FA08" w14:textId="77777777" w:rsidR="00D3495C" w:rsidRDefault="006A26C9" w:rsidP="005759E7">
      <w:pPr>
        <w:pStyle w:val="ListBulletLast"/>
      </w:pPr>
      <w:r>
        <w:t>a</w:t>
      </w:r>
      <w:r w:rsidRPr="00FC654E">
        <w:t xml:space="preserve">ll frequency authorisations for use of spectrum in the Gold Coast during the Games </w:t>
      </w:r>
      <w:r>
        <w:t>were</w:t>
      </w:r>
      <w:r w:rsidRPr="00FC654E">
        <w:t xml:space="preserve"> issued. </w:t>
      </w:r>
    </w:p>
    <w:p w14:paraId="53A1D96D" w14:textId="77777777" w:rsidR="007A7B25" w:rsidRDefault="007A7B25">
      <w:r>
        <w:t xml:space="preserve">Pre-games planning was undertaken in the </w:t>
      </w:r>
      <w:r w:rsidR="00127B59">
        <w:t>12 months prior to</w:t>
      </w:r>
      <w:r>
        <w:t xml:space="preserve"> March 2018</w:t>
      </w:r>
      <w:r w:rsidR="00840A6D">
        <w:t xml:space="preserve">. </w:t>
      </w:r>
    </w:p>
    <w:p w14:paraId="031F003F" w14:textId="77777777" w:rsidR="00A770EF" w:rsidRDefault="00A770EF">
      <w:r>
        <w:t xml:space="preserve">A report on the ACMA’s </w:t>
      </w:r>
      <w:r w:rsidR="002C3994">
        <w:t xml:space="preserve">Commonwealth Games </w:t>
      </w:r>
      <w:r w:rsidR="00696268">
        <w:t>PCA will be published in Q1 2018–</w:t>
      </w:r>
      <w:r w:rsidR="002C3994">
        <w:t>19.</w:t>
      </w:r>
    </w:p>
    <w:p w14:paraId="5759159A" w14:textId="77777777" w:rsidR="00144811" w:rsidRPr="0067774B" w:rsidRDefault="00144811" w:rsidP="00947F88">
      <w:pPr>
        <w:pStyle w:val="Heading3"/>
        <w:keepNext w:val="0"/>
      </w:pPr>
      <w:bookmarkStart w:id="500" w:name="_Toc510104997"/>
      <w:bookmarkStart w:id="501" w:name="_Toc510105794"/>
      <w:bookmarkStart w:id="502" w:name="_Toc510795128"/>
      <w:bookmarkStart w:id="503" w:name="_Toc511716331"/>
      <w:bookmarkStart w:id="504" w:name="_Toc511719142"/>
      <w:bookmarkStart w:id="505" w:name="_Toc514156748"/>
      <w:r w:rsidRPr="00EF4C9E">
        <w:t>Audit of mobile handset compliance</w:t>
      </w:r>
      <w:r w:rsidR="006A26C9">
        <w:t>—</w:t>
      </w:r>
      <w:r w:rsidRPr="00FB05C9">
        <w:t>technical standards audit program</w:t>
      </w:r>
      <w:bookmarkEnd w:id="500"/>
      <w:bookmarkEnd w:id="501"/>
      <w:bookmarkEnd w:id="502"/>
      <w:bookmarkEnd w:id="503"/>
      <w:bookmarkEnd w:id="504"/>
      <w:bookmarkEnd w:id="505"/>
    </w:p>
    <w:p w14:paraId="0F9E8EF1" w14:textId="77777777" w:rsidR="00840A6D" w:rsidRDefault="007A7B25" w:rsidP="0077559E">
      <w:r>
        <w:t xml:space="preserve">An audit of mobile handsets for compliance with technical standards </w:t>
      </w:r>
      <w:r w:rsidR="00840A6D">
        <w:t>was</w:t>
      </w:r>
      <w:r>
        <w:t xml:space="preserve"> undertaken as part of the ACMA’s routine monitoring</w:t>
      </w:r>
      <w:r w:rsidR="006A26C9">
        <w:t>,</w:t>
      </w:r>
      <w:r>
        <w:t xml:space="preserve"> rather than in response to non-compliance issues.</w:t>
      </w:r>
    </w:p>
    <w:p w14:paraId="50DE5D6F" w14:textId="77777777" w:rsidR="006B6F6E" w:rsidRPr="005759E7" w:rsidRDefault="006B6F6E" w:rsidP="005759E7">
      <w:pPr>
        <w:pStyle w:val="Heading2"/>
        <w:keepLines/>
      </w:pPr>
      <w:bookmarkStart w:id="506" w:name="_Toc514156749"/>
      <w:bookmarkStart w:id="507" w:name="_Toc510104998"/>
      <w:bookmarkStart w:id="508" w:name="_Toc510105795"/>
      <w:bookmarkStart w:id="509" w:name="_Toc510795129"/>
      <w:bookmarkStart w:id="510" w:name="_Toc511716332"/>
      <w:bookmarkStart w:id="511" w:name="_Toc511719143"/>
      <w:r w:rsidRPr="005759E7">
        <w:lastRenderedPageBreak/>
        <w:t xml:space="preserve">New/ongoing activities planned for </w:t>
      </w:r>
      <w:r w:rsidR="006A26C9">
        <w:t>20</w:t>
      </w:r>
      <w:r w:rsidRPr="005759E7">
        <w:t>18</w:t>
      </w:r>
      <w:r w:rsidR="006A26C9">
        <w:t>–</w:t>
      </w:r>
      <w:r w:rsidRPr="005759E7">
        <w:t>19</w:t>
      </w:r>
      <w:bookmarkEnd w:id="506"/>
      <w:r w:rsidRPr="005759E7">
        <w:t xml:space="preserve"> </w:t>
      </w:r>
      <w:bookmarkEnd w:id="507"/>
      <w:bookmarkEnd w:id="508"/>
      <w:bookmarkEnd w:id="509"/>
      <w:bookmarkEnd w:id="510"/>
      <w:bookmarkEnd w:id="511"/>
    </w:p>
    <w:p w14:paraId="7DB359C4" w14:textId="77777777" w:rsidR="004651B1" w:rsidRPr="009C75E3" w:rsidRDefault="004651B1" w:rsidP="005759E7">
      <w:pPr>
        <w:pStyle w:val="Heading3"/>
        <w:keepLines/>
      </w:pPr>
      <w:bookmarkStart w:id="512" w:name="_Toc510104999"/>
      <w:bookmarkStart w:id="513" w:name="_Toc510105796"/>
      <w:bookmarkStart w:id="514" w:name="_Toc510795130"/>
      <w:bookmarkStart w:id="515" w:name="_Toc511716333"/>
      <w:bookmarkStart w:id="516" w:name="_Toc511719144"/>
      <w:bookmarkStart w:id="517" w:name="_Toc514156750"/>
      <w:r w:rsidRPr="009C75E3">
        <w:t>Audit of mobile handset compliance</w:t>
      </w:r>
      <w:r w:rsidR="006A26C9">
        <w:t>—</w:t>
      </w:r>
      <w:r w:rsidRPr="009C75E3">
        <w:t>technical standards audit program</w:t>
      </w:r>
      <w:bookmarkEnd w:id="512"/>
      <w:bookmarkEnd w:id="513"/>
      <w:bookmarkEnd w:id="514"/>
      <w:bookmarkEnd w:id="515"/>
      <w:bookmarkEnd w:id="516"/>
      <w:bookmarkEnd w:id="517"/>
    </w:p>
    <w:p w14:paraId="6487AA5D" w14:textId="77777777" w:rsidR="00652503" w:rsidRDefault="00E0708F" w:rsidP="005759E7">
      <w:pPr>
        <w:rPr>
          <w:b/>
          <w:bCs/>
        </w:rPr>
      </w:pPr>
      <w:r w:rsidRPr="00CD4A5B">
        <w:t>The ACMA’s audit of 13 mobi</w:t>
      </w:r>
      <w:r w:rsidRPr="002E3B22">
        <w:t>le phone handset suppliers has concluded</w:t>
      </w:r>
      <w:r w:rsidR="006A26C9">
        <w:t xml:space="preserve"> and found</w:t>
      </w:r>
      <w:r w:rsidRPr="002E3B22">
        <w:t xml:space="preserve"> </w:t>
      </w:r>
      <w:r w:rsidR="006A26C9">
        <w:t>c</w:t>
      </w:r>
      <w:r w:rsidRPr="002E3B22">
        <w:t>ompliance was high. This completes the ACMA’s suite of EME compliance programs</w:t>
      </w:r>
      <w:r w:rsidR="00455D60">
        <w:t xml:space="preserve"> and an online</w:t>
      </w:r>
      <w:r w:rsidR="006A26C9" w:rsidRPr="00FF01E8">
        <w:t xml:space="preserve"> rep</w:t>
      </w:r>
      <w:r w:rsidR="006A26C9">
        <w:t xml:space="preserve">ort </w:t>
      </w:r>
      <w:r w:rsidR="00455D60">
        <w:t xml:space="preserve">will be published </w:t>
      </w:r>
      <w:r w:rsidR="006A26C9">
        <w:t>in July 2018</w:t>
      </w:r>
      <w:r w:rsidR="00455D60">
        <w:t>.</w:t>
      </w:r>
      <w:r w:rsidRPr="002E3B22">
        <w:t xml:space="preserve"> </w:t>
      </w:r>
      <w:bookmarkStart w:id="518" w:name="_Toc496625026"/>
    </w:p>
    <w:p w14:paraId="439F9CDC" w14:textId="77777777" w:rsidR="006E61C3" w:rsidRDefault="007D7B0F" w:rsidP="00947F88">
      <w:pPr>
        <w:pStyle w:val="Heading3"/>
        <w:keepNext w:val="0"/>
      </w:pPr>
      <w:bookmarkStart w:id="519" w:name="_Toc511716334"/>
      <w:bookmarkStart w:id="520" w:name="_Toc511719145"/>
      <w:bookmarkStart w:id="521" w:name="_Toc514156751"/>
      <w:r>
        <w:t>Priority Compliance Areas</w:t>
      </w:r>
      <w:bookmarkEnd w:id="519"/>
      <w:bookmarkEnd w:id="520"/>
      <w:bookmarkEnd w:id="521"/>
    </w:p>
    <w:bookmarkEnd w:id="518"/>
    <w:p w14:paraId="5D516D0D" w14:textId="77777777" w:rsidR="004651B1" w:rsidRDefault="007D7B0F" w:rsidP="0077559E">
      <w:r>
        <w:t xml:space="preserve">The ACMA’s </w:t>
      </w:r>
      <w:r w:rsidR="00455D60">
        <w:t>PCAs</w:t>
      </w:r>
      <w:r>
        <w:t xml:space="preserve"> for 2018</w:t>
      </w:r>
      <w:r w:rsidR="00455D60">
        <w:t>–</w:t>
      </w:r>
      <w:r>
        <w:t>19 will be finalised in Q4 2017</w:t>
      </w:r>
      <w:r w:rsidR="00455D60">
        <w:t>–</w:t>
      </w:r>
      <w:r>
        <w:t>18</w:t>
      </w:r>
      <w:r w:rsidR="004651B1" w:rsidRPr="004651B1">
        <w:t>.</w:t>
      </w:r>
    </w:p>
    <w:p w14:paraId="17D1705B" w14:textId="77777777" w:rsidR="00286D6B" w:rsidRDefault="00286D6B" w:rsidP="005759E7">
      <w:pPr>
        <w:pStyle w:val="Heading1"/>
      </w:pPr>
      <w:bookmarkStart w:id="522" w:name="_Toc510105001"/>
      <w:bookmarkStart w:id="523" w:name="_Toc510105798"/>
      <w:bookmarkStart w:id="524" w:name="_Toc510795132"/>
      <w:bookmarkStart w:id="525" w:name="_Toc511716335"/>
      <w:bookmarkStart w:id="526" w:name="_Toc511719146"/>
      <w:bookmarkStart w:id="527" w:name="_Toc514156752"/>
      <w:r>
        <w:lastRenderedPageBreak/>
        <w:t xml:space="preserve">International </w:t>
      </w:r>
      <w:r w:rsidRPr="00455D60">
        <w:t>engagement</w:t>
      </w:r>
      <w:bookmarkEnd w:id="522"/>
      <w:bookmarkEnd w:id="523"/>
      <w:bookmarkEnd w:id="524"/>
      <w:bookmarkEnd w:id="525"/>
      <w:bookmarkEnd w:id="526"/>
      <w:bookmarkEnd w:id="527"/>
    </w:p>
    <w:p w14:paraId="58D0045C" w14:textId="77777777" w:rsidR="007F1A09" w:rsidRDefault="007F1A09" w:rsidP="007F1A09">
      <w:bookmarkStart w:id="528" w:name="_Toc510105002"/>
      <w:bookmarkStart w:id="529" w:name="_Toc510105799"/>
      <w:r>
        <w:t>The ACMA,</w:t>
      </w:r>
      <w:r w:rsidR="001556CE">
        <w:t xml:space="preserve"> </w:t>
      </w:r>
      <w:r w:rsidR="009D0090">
        <w:t>DoCA</w:t>
      </w:r>
      <w:r w:rsidR="001556CE">
        <w:t>,</w:t>
      </w:r>
      <w:r>
        <w:t xml:space="preserve"> Australian industry and government stakeholders participate in international radiocommunications forums to promote and protect Australian interests in spectrum management, including spectrum harmonisation and international frequency coordination. </w:t>
      </w:r>
    </w:p>
    <w:p w14:paraId="3F442B31" w14:textId="77777777" w:rsidR="007F1A09" w:rsidRDefault="007F1A09" w:rsidP="007F1A09">
      <w:r>
        <w:t>The peak international forum is the International Telecommunication Union’s (ITU) World Radiocommunication Conference (WRC), which reviews and revises the Radio Regulations, the international treaty regarding use of the spectrum and satellite orbits. The next</w:t>
      </w:r>
      <w:r w:rsidR="00455D60">
        <w:t xml:space="preserve"> conference</w:t>
      </w:r>
      <w:r>
        <w:t xml:space="preserve"> is scheduled for 28 October – 22 November 2019 (WRC-19). WRC-19 will be considering a large agenda concerning a range of new frequency allocation and procedural matters</w:t>
      </w:r>
      <w:r w:rsidR="00455D60">
        <w:t xml:space="preserve">, </w:t>
      </w:r>
      <w:r>
        <w:t>includ</w:t>
      </w:r>
      <w:r w:rsidR="00455D60">
        <w:t>ing</w:t>
      </w:r>
      <w:r>
        <w:t xml:space="preserve"> possible allocations for satellite services and identification of spectrum suitable for 5G services.</w:t>
      </w:r>
      <w:r w:rsidR="00447762">
        <w:t xml:space="preserve"> </w:t>
      </w:r>
    </w:p>
    <w:p w14:paraId="3539D49D" w14:textId="77777777" w:rsidR="007F1A09" w:rsidRDefault="001556CE" w:rsidP="007F1A09">
      <w:r>
        <w:t xml:space="preserve">In line with the </w:t>
      </w:r>
      <w:r w:rsidR="009D0090">
        <w:t>g</w:t>
      </w:r>
      <w:r>
        <w:t xml:space="preserve">overnment’s agreement to Recommendation 4 of the 2017 </w:t>
      </w:r>
      <w:r w:rsidRPr="001556CE">
        <w:rPr>
          <w:i/>
        </w:rPr>
        <w:t>Review of the ACMA</w:t>
      </w:r>
      <w:r>
        <w:t xml:space="preserve">, </w:t>
      </w:r>
      <w:r w:rsidR="009D0090">
        <w:t>DoCA</w:t>
      </w:r>
      <w:r w:rsidR="007F1A09">
        <w:t xml:space="preserve"> will lead the Australian delegation at WRC-19, as well as other </w:t>
      </w:r>
      <w:r w:rsidR="00AC631A">
        <w:t xml:space="preserve">key </w:t>
      </w:r>
      <w:r>
        <w:t xml:space="preserve">policy-related </w:t>
      </w:r>
      <w:r w:rsidR="007F1A09">
        <w:t>WRC</w:t>
      </w:r>
      <w:r w:rsidR="00455D60">
        <w:t>-</w:t>
      </w:r>
      <w:r w:rsidR="007F1A09">
        <w:t xml:space="preserve">related ITU </w:t>
      </w:r>
      <w:r>
        <w:t xml:space="preserve">and </w:t>
      </w:r>
      <w:r w:rsidR="007F1A09">
        <w:t xml:space="preserve">Asia-Pacific Telecommunity (APT) </w:t>
      </w:r>
      <w:r>
        <w:t xml:space="preserve">meetings including the APT </w:t>
      </w:r>
      <w:r w:rsidR="007F1A09">
        <w:t>Conference Preparatory Group for WRC-19 (APG-19). The ACMA will continue to be closely involved in supporting Australian preparatory processes and providing technical expertise for these meetings.</w:t>
      </w:r>
    </w:p>
    <w:p w14:paraId="069E4E66" w14:textId="77777777" w:rsidR="007F1A09" w:rsidRDefault="007F1A09" w:rsidP="007F1A09">
      <w:r>
        <w:t>In addition to the</w:t>
      </w:r>
      <w:r w:rsidR="001556CE">
        <w:t xml:space="preserve"> policy-related</w:t>
      </w:r>
      <w:r>
        <w:t xml:space="preserve"> meetings, there are a number of other forums within the ITU and regionally within the APT that consider issues of significance to Australian spectrum management</w:t>
      </w:r>
      <w:r w:rsidR="00AC631A">
        <w:t>, such as ITU-R Study Groups and Working Parties</w:t>
      </w:r>
      <w:r w:rsidR="0075302B">
        <w:t>,</w:t>
      </w:r>
      <w:r w:rsidR="00CC5B97">
        <w:t xml:space="preserve"> and the APT Wireless Group (AWG)</w:t>
      </w:r>
      <w:r>
        <w:t>. The ACMA manages and, along with industry, provides technical expertise for the preparatory groups contributing to these forums.</w:t>
      </w:r>
    </w:p>
    <w:p w14:paraId="02325DD9" w14:textId="77777777" w:rsidR="007F1A09" w:rsidRDefault="007F1A09" w:rsidP="007F1A09">
      <w:r>
        <w:t xml:space="preserve">In addition to the management and participation </w:t>
      </w:r>
      <w:r w:rsidR="00AC631A">
        <w:t xml:space="preserve">in </w:t>
      </w:r>
      <w:r w:rsidR="00455D60">
        <w:t>these</w:t>
      </w:r>
      <w:r>
        <w:t xml:space="preserve"> various formal international forums, the ACMA undertakes informal bilateral and multilateral engagement with peer regulators from around the world. This engagement is invaluable in both coordinating international activities and in sharing information and learnings from other spectrum managers on issues of common interest.</w:t>
      </w:r>
      <w:r w:rsidR="00447762">
        <w:t xml:space="preserve"> </w:t>
      </w:r>
    </w:p>
    <w:p w14:paraId="6147098C" w14:textId="77777777" w:rsidR="00D31129" w:rsidRDefault="00D31129" w:rsidP="00053BAC">
      <w:pPr>
        <w:pStyle w:val="Heading3"/>
      </w:pPr>
      <w:bookmarkStart w:id="530" w:name="_Toc510105003"/>
      <w:bookmarkStart w:id="531" w:name="_Toc510105800"/>
      <w:bookmarkStart w:id="532" w:name="_Toc510795133"/>
      <w:bookmarkStart w:id="533" w:name="_Toc511716336"/>
      <w:bookmarkStart w:id="534" w:name="_Toc511719147"/>
      <w:bookmarkStart w:id="535" w:name="_Toc514156753"/>
      <w:bookmarkEnd w:id="528"/>
      <w:bookmarkEnd w:id="529"/>
      <w:r>
        <w:t>Progress achieved</w:t>
      </w:r>
      <w:bookmarkEnd w:id="530"/>
      <w:bookmarkEnd w:id="531"/>
      <w:bookmarkEnd w:id="532"/>
      <w:bookmarkEnd w:id="533"/>
      <w:bookmarkEnd w:id="534"/>
      <w:bookmarkEnd w:id="535"/>
    </w:p>
    <w:p w14:paraId="7D463725" w14:textId="77777777" w:rsidR="003D3044" w:rsidRDefault="0072518B" w:rsidP="00053BAC">
      <w:r>
        <w:t>During 2017</w:t>
      </w:r>
      <w:r w:rsidR="00455D60">
        <w:t>–</w:t>
      </w:r>
      <w:r>
        <w:t>18, t</w:t>
      </w:r>
      <w:r w:rsidR="001556CE">
        <w:t xml:space="preserve">he ACMA, working with </w:t>
      </w:r>
      <w:r w:rsidR="009D0090">
        <w:t>DoCA</w:t>
      </w:r>
      <w:r w:rsidR="001556CE">
        <w:t xml:space="preserve">, </w:t>
      </w:r>
      <w:r>
        <w:t>continued</w:t>
      </w:r>
      <w:r w:rsidR="003D3044">
        <w:t xml:space="preserve"> to manage</w:t>
      </w:r>
      <w:r>
        <w:t>,</w:t>
      </w:r>
      <w:r w:rsidR="003D3044">
        <w:t xml:space="preserve"> and provide technical expertise </w:t>
      </w:r>
      <w:r>
        <w:t>to</w:t>
      </w:r>
      <w:r w:rsidR="003D3044">
        <w:t xml:space="preserve"> Australian preparatory processes for international spectrum management forums through the established framework</w:t>
      </w:r>
      <w:r w:rsidR="00455D60">
        <w:t>,</w:t>
      </w:r>
      <w:r w:rsidR="003D3044">
        <w:t xml:space="preserve"> including the Australian Radiocommunication Study Groups (ARSGs).</w:t>
      </w:r>
    </w:p>
    <w:p w14:paraId="09BE7DE1" w14:textId="77777777" w:rsidR="003D3044" w:rsidRDefault="00D31129" w:rsidP="00053BAC">
      <w:r>
        <w:t>ACMA staff headed delegations to a number of ITU Radiocommunication Sector (ITU-R) meetings during 2017</w:t>
      </w:r>
      <w:r w:rsidR="00455D60">
        <w:t>–</w:t>
      </w:r>
      <w:r>
        <w:t xml:space="preserve">18, including meetings of ITU-R Study Groups 4 and 5 and their associated Working Parties, and Task Group 5/1. The ACMA also supported </w:t>
      </w:r>
      <w:r w:rsidR="003D3044">
        <w:t xml:space="preserve">industry led </w:t>
      </w:r>
      <w:r>
        <w:t>Australian delegations to ITU-R Study Groups 3, 6 and 7 and their associated Working Parties.</w:t>
      </w:r>
      <w:r w:rsidR="003D3044">
        <w:t xml:space="preserve"> </w:t>
      </w:r>
      <w:r>
        <w:t xml:space="preserve">ACMA staff </w:t>
      </w:r>
      <w:r w:rsidR="001556CE">
        <w:t xml:space="preserve">also </w:t>
      </w:r>
      <w:r>
        <w:t xml:space="preserve">headed delegations to </w:t>
      </w:r>
      <w:r w:rsidR="003D3044">
        <w:t>regional AWG</w:t>
      </w:r>
      <w:r>
        <w:t xml:space="preserve"> meetings</w:t>
      </w:r>
      <w:r w:rsidR="003D3044">
        <w:t>.</w:t>
      </w:r>
    </w:p>
    <w:p w14:paraId="6BEFE8E4" w14:textId="77777777" w:rsidR="00053BAC" w:rsidRDefault="003D3044" w:rsidP="00053BAC">
      <w:r>
        <w:t xml:space="preserve">The ACMA </w:t>
      </w:r>
      <w:r w:rsidR="00455D60">
        <w:t>and</w:t>
      </w:r>
      <w:r>
        <w:t xml:space="preserve"> </w:t>
      </w:r>
      <w:r w:rsidR="009D0090">
        <w:t>DoCA</w:t>
      </w:r>
      <w:r w:rsidR="001556CE">
        <w:t xml:space="preserve"> </w:t>
      </w:r>
      <w:r w:rsidR="00D31129">
        <w:t>co-headed delegation</w:t>
      </w:r>
      <w:r w:rsidR="0072518B">
        <w:t>s</w:t>
      </w:r>
      <w:r w:rsidR="00D31129">
        <w:t xml:space="preserve"> to </w:t>
      </w:r>
      <w:r w:rsidR="001556CE">
        <w:t xml:space="preserve">the second meeting of the </w:t>
      </w:r>
      <w:r>
        <w:t>APG19</w:t>
      </w:r>
      <w:r w:rsidR="001556CE">
        <w:t xml:space="preserve"> (APG 19-2)</w:t>
      </w:r>
      <w:r>
        <w:t xml:space="preserve"> held in July 2017 and </w:t>
      </w:r>
      <w:r w:rsidR="001556CE">
        <w:t>the third meeting (</w:t>
      </w:r>
      <w:r>
        <w:t>APG19-3</w:t>
      </w:r>
      <w:r w:rsidR="001556CE">
        <w:t>)</w:t>
      </w:r>
      <w:r>
        <w:t xml:space="preserve"> in March 2018.</w:t>
      </w:r>
      <w:r w:rsidR="006E190F">
        <w:t xml:space="preserve"> The APG19-3 meeting, with over 400 </w:t>
      </w:r>
      <w:r w:rsidR="0072518B">
        <w:t>delegates</w:t>
      </w:r>
      <w:r w:rsidR="006E190F">
        <w:t>, was hosted</w:t>
      </w:r>
      <w:r w:rsidR="0072518B">
        <w:t xml:space="preserve"> in Perth</w:t>
      </w:r>
      <w:r w:rsidR="006E190F">
        <w:t xml:space="preserve"> by the Australian </w:t>
      </w:r>
      <w:r w:rsidR="00455D60">
        <w:t>G</w:t>
      </w:r>
      <w:r w:rsidR="006E190F">
        <w:t xml:space="preserve">overnment and </w:t>
      </w:r>
      <w:r w:rsidR="00455D60">
        <w:t xml:space="preserve">was </w:t>
      </w:r>
      <w:r w:rsidR="006E190F">
        <w:t xml:space="preserve">organised by the ACMA and </w:t>
      </w:r>
      <w:r w:rsidR="00455D60">
        <w:t>DoCA</w:t>
      </w:r>
      <w:r w:rsidR="006E190F">
        <w:t>.</w:t>
      </w:r>
      <w:r w:rsidR="00447762">
        <w:t xml:space="preserve">  </w:t>
      </w:r>
    </w:p>
    <w:p w14:paraId="6DC66FF5" w14:textId="77777777" w:rsidR="00D31129" w:rsidRDefault="00D31129" w:rsidP="00053BAC">
      <w:pPr>
        <w:pStyle w:val="Heading3"/>
      </w:pPr>
      <w:bookmarkStart w:id="536" w:name="_Toc510105004"/>
      <w:bookmarkStart w:id="537" w:name="_Toc510105801"/>
      <w:bookmarkStart w:id="538" w:name="_Toc510795134"/>
      <w:bookmarkStart w:id="539" w:name="_Toc511716337"/>
      <w:bookmarkStart w:id="540" w:name="_Toc511719148"/>
      <w:bookmarkStart w:id="541" w:name="_Toc514156754"/>
      <w:r>
        <w:lastRenderedPageBreak/>
        <w:t xml:space="preserve">New/ongoing activities planned for </w:t>
      </w:r>
      <w:r w:rsidR="00455D60">
        <w:t>20</w:t>
      </w:r>
      <w:r>
        <w:t>18</w:t>
      </w:r>
      <w:r w:rsidR="00455D60">
        <w:t>–</w:t>
      </w:r>
      <w:r>
        <w:t>19</w:t>
      </w:r>
      <w:bookmarkEnd w:id="536"/>
      <w:bookmarkEnd w:id="537"/>
      <w:bookmarkEnd w:id="538"/>
      <w:bookmarkEnd w:id="539"/>
      <w:bookmarkEnd w:id="540"/>
      <w:bookmarkEnd w:id="541"/>
    </w:p>
    <w:p w14:paraId="70C1F107" w14:textId="77777777" w:rsidR="003D3044" w:rsidRDefault="003D3044" w:rsidP="00053BAC">
      <w:r>
        <w:t>The ACMA will continue to manage</w:t>
      </w:r>
      <w:r w:rsidR="0072518B">
        <w:t>,</w:t>
      </w:r>
      <w:r>
        <w:t xml:space="preserve"> and provide technical expertise for Australian engagement in international spectrum management forums through the established consultative frameworks.</w:t>
      </w:r>
      <w:r w:rsidR="00447762">
        <w:t xml:space="preserve"> </w:t>
      </w:r>
    </w:p>
    <w:p w14:paraId="5B489074" w14:textId="77777777" w:rsidR="006C3A84" w:rsidRDefault="00A71B9E" w:rsidP="006E190F">
      <w:r>
        <w:t xml:space="preserve">The </w:t>
      </w:r>
      <w:r w:rsidR="006E190F">
        <w:t>s</w:t>
      </w:r>
      <w:r>
        <w:t xml:space="preserve">econd </w:t>
      </w:r>
      <w:r w:rsidR="007132A4">
        <w:t xml:space="preserve">meeting </w:t>
      </w:r>
      <w:r>
        <w:t>of the Conference Preparatory Meeting for WRC-19 (CPM 19-2)</w:t>
      </w:r>
      <w:r w:rsidR="00BB4EA4" w:rsidRPr="00BB4EA4">
        <w:t xml:space="preserve"> </w:t>
      </w:r>
      <w:r w:rsidR="003D3044">
        <w:t xml:space="preserve">is scheduled for </w:t>
      </w:r>
      <w:r w:rsidR="00CC5B97">
        <w:t>1</w:t>
      </w:r>
      <w:r w:rsidR="004F2763">
        <w:t>8</w:t>
      </w:r>
      <w:r w:rsidR="00CC5B97">
        <w:t xml:space="preserve">-28 </w:t>
      </w:r>
      <w:r w:rsidR="006E190F">
        <w:t xml:space="preserve">February 2019 and </w:t>
      </w:r>
      <w:r w:rsidR="00BB4EA4" w:rsidRPr="00BB4EA4">
        <w:t xml:space="preserve">will </w:t>
      </w:r>
      <w:r w:rsidR="007132A4">
        <w:t>finalise</w:t>
      </w:r>
      <w:r w:rsidR="005467AD" w:rsidRPr="00BB4EA4">
        <w:t xml:space="preserve"> </w:t>
      </w:r>
      <w:r w:rsidR="00BB4EA4" w:rsidRPr="00BB4EA4">
        <w:t xml:space="preserve">a consolidated </w:t>
      </w:r>
      <w:r w:rsidR="005467AD">
        <w:t>r</w:t>
      </w:r>
      <w:r w:rsidR="00BB4EA4" w:rsidRPr="00BB4EA4">
        <w:t>eport to WRC-19 o</w:t>
      </w:r>
      <w:r w:rsidR="0072518B">
        <w:t>n</w:t>
      </w:r>
      <w:r w:rsidR="00BB4EA4" w:rsidRPr="00BB4EA4" w:rsidDel="0072518B">
        <w:t xml:space="preserve"> </w:t>
      </w:r>
      <w:r w:rsidR="00BB4EA4" w:rsidRPr="00BB4EA4">
        <w:t xml:space="preserve">ITU-R Preparatory Studies undertaken since 2015. The CPM report will include possible solutions to address WRC-19 agenda items to be used in support of the work of WRC-19. </w:t>
      </w:r>
      <w:r w:rsidR="006E190F">
        <w:t xml:space="preserve">The </w:t>
      </w:r>
      <w:r w:rsidR="005467AD">
        <w:t>f</w:t>
      </w:r>
      <w:r w:rsidR="006E190F">
        <w:t xml:space="preserve">ourth meeting </w:t>
      </w:r>
      <w:r w:rsidR="004F2763">
        <w:t xml:space="preserve">of the APT Conference Preparatory Group for WRC-19 </w:t>
      </w:r>
      <w:r w:rsidR="006E190F">
        <w:t xml:space="preserve">(APG19-4) will be held </w:t>
      </w:r>
      <w:r w:rsidR="004F2763">
        <w:t>from 7</w:t>
      </w:r>
      <w:r w:rsidR="009D0090">
        <w:t>–</w:t>
      </w:r>
      <w:r w:rsidR="004F2763">
        <w:t xml:space="preserve">12 January 2019, </w:t>
      </w:r>
      <w:r w:rsidR="006E190F">
        <w:t xml:space="preserve">just prior to the CPM meeting. </w:t>
      </w:r>
      <w:r w:rsidR="005467AD">
        <w:t>DoCA</w:t>
      </w:r>
      <w:r w:rsidR="00BB4EA4" w:rsidRPr="00BB4EA4">
        <w:t xml:space="preserve"> will head the Australian </w:t>
      </w:r>
      <w:r w:rsidR="005467AD">
        <w:t>d</w:t>
      </w:r>
      <w:r w:rsidR="00BB4EA4" w:rsidRPr="00BB4EA4">
        <w:t>elegation to th</w:t>
      </w:r>
      <w:r w:rsidR="006E190F">
        <w:t xml:space="preserve">ese </w:t>
      </w:r>
      <w:r w:rsidR="00BB4EA4" w:rsidRPr="00BB4EA4">
        <w:t>meeting</w:t>
      </w:r>
      <w:r w:rsidR="006E190F">
        <w:t>s</w:t>
      </w:r>
      <w:r w:rsidR="00BB4EA4" w:rsidRPr="00BB4EA4">
        <w:t>.</w:t>
      </w:r>
    </w:p>
    <w:p w14:paraId="09DA962C" w14:textId="77777777" w:rsidR="00BB4EA4" w:rsidRDefault="006E190F" w:rsidP="00053BAC">
      <w:r>
        <w:t xml:space="preserve">Australia will also participate in various ITU-R and AWG forums over the coming year, with exact dates to be confirmed. </w:t>
      </w:r>
    </w:p>
    <w:p w14:paraId="21BFDC45" w14:textId="77777777" w:rsidR="0001563E" w:rsidRPr="00E63BF5" w:rsidRDefault="0001563E" w:rsidP="005759E7">
      <w:pPr>
        <w:pStyle w:val="Heading3"/>
      </w:pPr>
      <w:bookmarkStart w:id="542" w:name="_Toc510105006"/>
      <w:bookmarkStart w:id="543" w:name="_Toc510105803"/>
      <w:bookmarkStart w:id="544" w:name="_Toc510795135"/>
      <w:bookmarkStart w:id="545" w:name="_Toc511716338"/>
      <w:bookmarkStart w:id="546" w:name="_Toc511719149"/>
      <w:bookmarkStart w:id="547" w:name="_Toc514156755"/>
      <w:r w:rsidRPr="00E63BF5">
        <w:t>Consultation question</w:t>
      </w:r>
      <w:bookmarkEnd w:id="542"/>
      <w:bookmarkEnd w:id="543"/>
      <w:bookmarkEnd w:id="544"/>
      <w:bookmarkEnd w:id="545"/>
      <w:bookmarkEnd w:id="546"/>
      <w:bookmarkEnd w:id="547"/>
      <w:r w:rsidRPr="00E63BF5">
        <w:t xml:space="preserve"> </w:t>
      </w:r>
    </w:p>
    <w:p w14:paraId="58720514" w14:textId="77777777" w:rsidR="0001563E" w:rsidRPr="005759E7" w:rsidRDefault="0001563E" w:rsidP="006F542F">
      <w:pPr>
        <w:pStyle w:val="ListNumber"/>
        <w:numPr>
          <w:ilvl w:val="0"/>
          <w:numId w:val="53"/>
        </w:numPr>
        <w:shd w:val="clear" w:color="auto" w:fill="auto"/>
        <w:spacing w:after="240"/>
        <w:rPr>
          <w:rFonts w:eastAsiaTheme="majorEastAsia"/>
        </w:rPr>
      </w:pPr>
      <w:r>
        <w:t xml:space="preserve">Do you have any comments about the ACMA’s planned activities for </w:t>
      </w:r>
      <w:r w:rsidR="005467AD">
        <w:t>l</w:t>
      </w:r>
      <w:r>
        <w:t xml:space="preserve">icensing and </w:t>
      </w:r>
      <w:r w:rsidR="005467AD">
        <w:t>l</w:t>
      </w:r>
      <w:r>
        <w:t xml:space="preserve">icensing </w:t>
      </w:r>
      <w:r w:rsidR="005467AD">
        <w:t>s</w:t>
      </w:r>
      <w:r>
        <w:t xml:space="preserve">ystems, </w:t>
      </w:r>
      <w:r w:rsidR="005467AD">
        <w:t>p</w:t>
      </w:r>
      <w:r>
        <w:t xml:space="preserve">ricing, </w:t>
      </w:r>
      <w:r w:rsidR="005467AD">
        <w:t>c</w:t>
      </w:r>
      <w:r>
        <w:t xml:space="preserve">ompliance and </w:t>
      </w:r>
      <w:r w:rsidR="005467AD">
        <w:t>e</w:t>
      </w:r>
      <w:r>
        <w:t xml:space="preserve">nforcement, and </w:t>
      </w:r>
      <w:r w:rsidR="005467AD">
        <w:t>i</w:t>
      </w:r>
      <w:r>
        <w:t xml:space="preserve">nternational </w:t>
      </w:r>
      <w:r w:rsidR="005467AD">
        <w:t>e</w:t>
      </w:r>
      <w:r>
        <w:t xml:space="preserve">ngagement? </w:t>
      </w:r>
    </w:p>
    <w:p w14:paraId="2939AB15" w14:textId="77777777" w:rsidR="005467AD" w:rsidRPr="005467AD" w:rsidRDefault="005467AD" w:rsidP="005759E7">
      <w:pPr>
        <w:pStyle w:val="Heading1"/>
      </w:pPr>
      <w:bookmarkStart w:id="548" w:name="_Toc514156756"/>
      <w:r w:rsidRPr="005467AD">
        <w:lastRenderedPageBreak/>
        <w:t>Appendix A—Sunsetting instruments</w:t>
      </w:r>
      <w:bookmarkEnd w:id="548"/>
    </w:p>
    <w:p w14:paraId="2464FDCD" w14:textId="77777777" w:rsidR="00B94C86" w:rsidRDefault="00B94C86" w:rsidP="00F16F31">
      <w:pPr>
        <w:pStyle w:val="Heading2"/>
      </w:pPr>
      <w:bookmarkStart w:id="549" w:name="_Toc491854137"/>
      <w:bookmarkStart w:id="550" w:name="_Toc494115204"/>
      <w:bookmarkStart w:id="551" w:name="_Toc509581839"/>
      <w:bookmarkStart w:id="552" w:name="_Toc509585155"/>
      <w:bookmarkStart w:id="553" w:name="_Toc509585691"/>
      <w:bookmarkStart w:id="554" w:name="_Toc510105009"/>
      <w:bookmarkStart w:id="555" w:name="_Toc510105806"/>
      <w:bookmarkStart w:id="556" w:name="_Toc510795138"/>
      <w:bookmarkStart w:id="557" w:name="_Toc511716341"/>
      <w:bookmarkStart w:id="558" w:name="_Toc511719152"/>
      <w:bookmarkStart w:id="559" w:name="_Toc514156757"/>
      <w:r>
        <w:t>I</w:t>
      </w:r>
      <w:r w:rsidRPr="008C37D5">
        <w:t xml:space="preserve">nstruments </w:t>
      </w:r>
      <w:r w:rsidR="00D038FC">
        <w:t xml:space="preserve">previously </w:t>
      </w:r>
      <w:r w:rsidRPr="008C37D5">
        <w:t>due to sunset on 1 October 2018</w:t>
      </w:r>
      <w:bookmarkEnd w:id="549"/>
      <w:bookmarkEnd w:id="550"/>
      <w:bookmarkEnd w:id="551"/>
      <w:bookmarkEnd w:id="552"/>
      <w:bookmarkEnd w:id="553"/>
      <w:bookmarkEnd w:id="554"/>
      <w:bookmarkEnd w:id="555"/>
      <w:bookmarkEnd w:id="556"/>
      <w:bookmarkEnd w:id="557"/>
      <w:bookmarkEnd w:id="558"/>
      <w:bookmarkEnd w:id="559"/>
    </w:p>
    <w:p w14:paraId="51696BA7" w14:textId="77777777" w:rsidR="00A01828" w:rsidRPr="00A01828" w:rsidRDefault="00A01828" w:rsidP="00F57787">
      <w:pPr>
        <w:pStyle w:val="ACMATableHeader"/>
      </w:pPr>
      <w:r w:rsidRPr="00A01828">
        <w:t xml:space="preserve">Instruments </w:t>
      </w:r>
      <w:r w:rsidR="00D038FC">
        <w:t xml:space="preserve">previously due to </w:t>
      </w:r>
      <w:r w:rsidRPr="00A01828">
        <w:t>sunset on 1 October 2018</w:t>
      </w:r>
    </w:p>
    <w:tbl>
      <w:tblPr>
        <w:tblStyle w:val="TableGrid"/>
        <w:tblW w:w="4710" w:type="pct"/>
        <w:tblLayout w:type="fixed"/>
        <w:tblCellMar>
          <w:top w:w="57" w:type="dxa"/>
          <w:left w:w="57" w:type="dxa"/>
          <w:bottom w:w="57" w:type="dxa"/>
          <w:right w:w="57" w:type="dxa"/>
        </w:tblCellMar>
        <w:tblLook w:val="04A0" w:firstRow="1" w:lastRow="0" w:firstColumn="1" w:lastColumn="0" w:noHBand="0" w:noVBand="1"/>
        <w:tblCaption w:val="Shows name of instrument, enabling legislation and status."/>
      </w:tblPr>
      <w:tblGrid>
        <w:gridCol w:w="3141"/>
        <w:gridCol w:w="2298"/>
        <w:gridCol w:w="1778"/>
      </w:tblGrid>
      <w:tr w:rsidR="00E027D3" w:rsidRPr="00E027D3" w14:paraId="30BF56E4" w14:textId="77777777" w:rsidTr="00BE6916">
        <w:trPr>
          <w:tblHeader/>
        </w:trPr>
        <w:tc>
          <w:tcPr>
            <w:tcW w:w="2176" w:type="pct"/>
            <w:shd w:val="clear" w:color="auto" w:fill="404040" w:themeFill="text1" w:themeFillTint="BF"/>
          </w:tcPr>
          <w:p w14:paraId="5453B8C3" w14:textId="77777777" w:rsidR="00E027D3" w:rsidRPr="00BE6916" w:rsidRDefault="00E027D3" w:rsidP="00BE6916">
            <w:pPr>
              <w:pStyle w:val="TableHeading"/>
              <w:rPr>
                <w:color w:val="FFFFFF" w:themeColor="background1"/>
              </w:rPr>
            </w:pPr>
            <w:r w:rsidRPr="00BE6916">
              <w:rPr>
                <w:color w:val="FFFFFF" w:themeColor="background1"/>
              </w:rPr>
              <w:t>Instrument</w:t>
            </w:r>
          </w:p>
        </w:tc>
        <w:tc>
          <w:tcPr>
            <w:tcW w:w="1592" w:type="pct"/>
            <w:shd w:val="clear" w:color="auto" w:fill="404040" w:themeFill="text1" w:themeFillTint="BF"/>
          </w:tcPr>
          <w:p w14:paraId="2AE3FB8A" w14:textId="77777777" w:rsidR="00E027D3" w:rsidRPr="00BE6916" w:rsidRDefault="00E027D3" w:rsidP="00BE6916">
            <w:pPr>
              <w:pStyle w:val="TableHeading"/>
              <w:rPr>
                <w:color w:val="FFFFFF" w:themeColor="background1"/>
              </w:rPr>
            </w:pPr>
            <w:r w:rsidRPr="00BE6916">
              <w:rPr>
                <w:color w:val="FFFFFF" w:themeColor="background1"/>
              </w:rPr>
              <w:t>Enabling provision</w:t>
            </w:r>
          </w:p>
        </w:tc>
        <w:tc>
          <w:tcPr>
            <w:tcW w:w="1233" w:type="pct"/>
            <w:shd w:val="clear" w:color="auto" w:fill="404040" w:themeFill="text1" w:themeFillTint="BF"/>
          </w:tcPr>
          <w:p w14:paraId="0735A9CA" w14:textId="77777777" w:rsidR="00E027D3" w:rsidRPr="00BE6916" w:rsidRDefault="00E027D3" w:rsidP="00BE6916">
            <w:pPr>
              <w:pStyle w:val="TableHeading"/>
              <w:rPr>
                <w:color w:val="FFFFFF" w:themeColor="background1"/>
              </w:rPr>
            </w:pPr>
            <w:r w:rsidRPr="00BE6916">
              <w:rPr>
                <w:color w:val="FFFFFF" w:themeColor="background1"/>
              </w:rPr>
              <w:t>Status</w:t>
            </w:r>
          </w:p>
        </w:tc>
      </w:tr>
      <w:tr w:rsidR="00E027D3" w:rsidRPr="00A76A7A" w14:paraId="4C6535FD" w14:textId="77777777" w:rsidTr="00E027D3">
        <w:tc>
          <w:tcPr>
            <w:tcW w:w="2176" w:type="pct"/>
            <w:shd w:val="clear" w:color="auto" w:fill="auto"/>
          </w:tcPr>
          <w:p w14:paraId="37753E9F" w14:textId="77777777" w:rsidR="00E027D3" w:rsidRPr="005759E7" w:rsidRDefault="00E027D3" w:rsidP="00445F0B">
            <w:pPr>
              <w:spacing w:after="0"/>
              <w:rPr>
                <w:rFonts w:cs="Arial"/>
                <w:color w:val="000000"/>
                <w:szCs w:val="20"/>
              </w:rPr>
            </w:pPr>
            <w:r w:rsidRPr="005759E7">
              <w:rPr>
                <w:rFonts w:cs="Arial"/>
                <w:color w:val="000000"/>
                <w:szCs w:val="20"/>
              </w:rPr>
              <w:t>Radiocommunications (Devices Used in the Inshore Boating Radio Services Band) Standard 2008</w:t>
            </w:r>
          </w:p>
        </w:tc>
        <w:tc>
          <w:tcPr>
            <w:tcW w:w="1592" w:type="pct"/>
            <w:shd w:val="clear" w:color="auto" w:fill="auto"/>
          </w:tcPr>
          <w:p w14:paraId="27F032C7" w14:textId="77777777" w:rsidR="00E027D3" w:rsidRPr="005759E7" w:rsidRDefault="00E027D3" w:rsidP="00445F0B">
            <w:pPr>
              <w:spacing w:after="0"/>
              <w:rPr>
                <w:rFonts w:cs="Arial"/>
                <w:i/>
                <w:color w:val="000000"/>
                <w:szCs w:val="20"/>
              </w:rPr>
            </w:pPr>
            <w:r w:rsidRPr="005759E7">
              <w:rPr>
                <w:rFonts w:cs="Arial"/>
                <w:i/>
                <w:color w:val="000000"/>
                <w:szCs w:val="20"/>
              </w:rPr>
              <w:t>Radiocommunications Act 1992</w:t>
            </w:r>
            <w:r w:rsidRPr="005759E7">
              <w:rPr>
                <w:rFonts w:cs="Arial"/>
                <w:color w:val="000000"/>
                <w:szCs w:val="20"/>
              </w:rPr>
              <w:t xml:space="preserve"> — s 162(1)</w:t>
            </w:r>
          </w:p>
        </w:tc>
        <w:tc>
          <w:tcPr>
            <w:tcW w:w="1233" w:type="pct"/>
            <w:shd w:val="clear" w:color="auto" w:fill="auto"/>
          </w:tcPr>
          <w:p w14:paraId="44D8CE0A" w14:textId="77777777" w:rsidR="00E027D3" w:rsidRPr="005759E7" w:rsidRDefault="00E027D3" w:rsidP="00D038FC">
            <w:pPr>
              <w:spacing w:after="0"/>
              <w:rPr>
                <w:rFonts w:cs="Arial"/>
                <w:szCs w:val="20"/>
              </w:rPr>
            </w:pPr>
            <w:r w:rsidRPr="005759E7">
              <w:rPr>
                <w:rFonts w:cs="Arial"/>
                <w:szCs w:val="20"/>
              </w:rPr>
              <w:t xml:space="preserve">Authority remade </w:t>
            </w:r>
            <w:r w:rsidR="00D038FC">
              <w:rPr>
                <w:rFonts w:cs="Arial"/>
                <w:szCs w:val="20"/>
              </w:rPr>
              <w:t xml:space="preserve">a new </w:t>
            </w:r>
            <w:r w:rsidRPr="005759E7">
              <w:rPr>
                <w:rFonts w:cs="Arial"/>
                <w:szCs w:val="20"/>
              </w:rPr>
              <w:t>standard on 17 August 2017</w:t>
            </w:r>
          </w:p>
        </w:tc>
      </w:tr>
      <w:tr w:rsidR="00E027D3" w:rsidRPr="00A76A7A" w14:paraId="7952F095" w14:textId="77777777" w:rsidTr="009D0090">
        <w:tc>
          <w:tcPr>
            <w:tcW w:w="2176" w:type="pct"/>
            <w:shd w:val="clear" w:color="auto" w:fill="auto"/>
          </w:tcPr>
          <w:p w14:paraId="61D51B60" w14:textId="77777777" w:rsidR="00E027D3" w:rsidRPr="005759E7" w:rsidRDefault="00E027D3" w:rsidP="00F72652">
            <w:pPr>
              <w:spacing w:after="0"/>
              <w:rPr>
                <w:rFonts w:cs="Arial"/>
                <w:color w:val="000000"/>
                <w:szCs w:val="20"/>
              </w:rPr>
            </w:pPr>
            <w:r w:rsidRPr="005759E7">
              <w:rPr>
                <w:rFonts w:cs="Arial"/>
                <w:color w:val="000000"/>
                <w:szCs w:val="20"/>
              </w:rPr>
              <w:t>Radiocommunications (HF CB and Handphone Equipment) Standard 2008</w:t>
            </w:r>
          </w:p>
        </w:tc>
        <w:tc>
          <w:tcPr>
            <w:tcW w:w="1592" w:type="pct"/>
            <w:shd w:val="clear" w:color="auto" w:fill="auto"/>
          </w:tcPr>
          <w:p w14:paraId="4788245E" w14:textId="77777777" w:rsidR="00E027D3" w:rsidRPr="005759E7" w:rsidRDefault="00E027D3" w:rsidP="00F72652">
            <w:pPr>
              <w:spacing w:after="0"/>
              <w:rPr>
                <w:rFonts w:cs="Arial"/>
                <w:color w:val="000000"/>
                <w:szCs w:val="20"/>
              </w:rPr>
            </w:pPr>
            <w:r w:rsidRPr="005759E7">
              <w:rPr>
                <w:rFonts w:cs="Arial"/>
                <w:i/>
                <w:color w:val="000000"/>
                <w:szCs w:val="20"/>
              </w:rPr>
              <w:t>Radiocommunications Act 1992</w:t>
            </w:r>
            <w:r w:rsidRPr="005759E7">
              <w:rPr>
                <w:rFonts w:cs="Arial"/>
                <w:color w:val="000000"/>
                <w:szCs w:val="20"/>
              </w:rPr>
              <w:t xml:space="preserve"> — s 162(1)</w:t>
            </w:r>
          </w:p>
        </w:tc>
        <w:tc>
          <w:tcPr>
            <w:tcW w:w="1233" w:type="pct"/>
            <w:shd w:val="clear" w:color="auto" w:fill="auto"/>
          </w:tcPr>
          <w:p w14:paraId="4CE7F29B" w14:textId="77777777" w:rsidR="00E027D3" w:rsidRPr="005759E7" w:rsidRDefault="00E027D3" w:rsidP="00D038FC">
            <w:pPr>
              <w:spacing w:after="0"/>
              <w:rPr>
                <w:rFonts w:cs="Arial"/>
                <w:szCs w:val="20"/>
              </w:rPr>
            </w:pPr>
            <w:r w:rsidRPr="005759E7">
              <w:rPr>
                <w:rFonts w:cs="Arial"/>
                <w:szCs w:val="20"/>
              </w:rPr>
              <w:t xml:space="preserve">Authority remade </w:t>
            </w:r>
            <w:r w:rsidR="00D038FC">
              <w:rPr>
                <w:rFonts w:cs="Arial"/>
                <w:szCs w:val="20"/>
              </w:rPr>
              <w:t xml:space="preserve">a new </w:t>
            </w:r>
            <w:r w:rsidRPr="005759E7">
              <w:rPr>
                <w:rFonts w:cs="Arial"/>
                <w:szCs w:val="20"/>
              </w:rPr>
              <w:t>standard on 17 August 2017</w:t>
            </w:r>
          </w:p>
        </w:tc>
      </w:tr>
      <w:tr w:rsidR="00E027D3" w:rsidRPr="00A76A7A" w14:paraId="37A819B2" w14:textId="77777777" w:rsidTr="00E027D3">
        <w:tc>
          <w:tcPr>
            <w:tcW w:w="2176" w:type="pct"/>
            <w:shd w:val="clear" w:color="auto" w:fill="auto"/>
          </w:tcPr>
          <w:p w14:paraId="7DE480E2" w14:textId="77777777" w:rsidR="00E027D3" w:rsidRPr="005759E7" w:rsidRDefault="00E027D3" w:rsidP="0044524E">
            <w:pPr>
              <w:spacing w:after="0"/>
              <w:rPr>
                <w:rFonts w:cs="Arial"/>
                <w:color w:val="000000"/>
                <w:szCs w:val="20"/>
              </w:rPr>
            </w:pPr>
            <w:r w:rsidRPr="005759E7">
              <w:rPr>
                <w:rFonts w:cs="Arial"/>
                <w:color w:val="000000"/>
                <w:szCs w:val="20"/>
              </w:rPr>
              <w:t>Radiocommunications Advisory Guidelines (Co-ordinating the operation of transmitters in the 500 MHz Bands)</w:t>
            </w:r>
          </w:p>
        </w:tc>
        <w:tc>
          <w:tcPr>
            <w:tcW w:w="1592" w:type="pct"/>
            <w:shd w:val="clear" w:color="auto" w:fill="auto"/>
          </w:tcPr>
          <w:p w14:paraId="42314893" w14:textId="77777777" w:rsidR="00E027D3" w:rsidRPr="005759E7" w:rsidRDefault="00E027D3" w:rsidP="0044524E">
            <w:pPr>
              <w:spacing w:after="0"/>
              <w:rPr>
                <w:rFonts w:cs="Arial"/>
                <w:i/>
                <w:color w:val="000000"/>
                <w:szCs w:val="20"/>
              </w:rPr>
            </w:pPr>
            <w:r w:rsidRPr="005759E7">
              <w:rPr>
                <w:rFonts w:cs="Arial"/>
                <w:i/>
                <w:color w:val="000000"/>
                <w:szCs w:val="20"/>
              </w:rPr>
              <w:t>Radiocommunications Act 1992</w:t>
            </w:r>
            <w:r w:rsidRPr="005759E7">
              <w:rPr>
                <w:rFonts w:cs="Arial"/>
                <w:color w:val="000000"/>
                <w:szCs w:val="20"/>
              </w:rPr>
              <w:t xml:space="preserve"> — s 262(1)</w:t>
            </w:r>
          </w:p>
        </w:tc>
        <w:tc>
          <w:tcPr>
            <w:tcW w:w="1233" w:type="pct"/>
            <w:shd w:val="clear" w:color="auto" w:fill="auto"/>
          </w:tcPr>
          <w:p w14:paraId="77BA0D96" w14:textId="77777777" w:rsidR="00E027D3" w:rsidRPr="005759E7" w:rsidRDefault="00E027D3" w:rsidP="0044524E">
            <w:pPr>
              <w:spacing w:after="0"/>
              <w:rPr>
                <w:rFonts w:cs="Arial"/>
                <w:szCs w:val="20"/>
              </w:rPr>
            </w:pPr>
            <w:r w:rsidRPr="005759E7">
              <w:rPr>
                <w:rFonts w:cs="Arial"/>
                <w:szCs w:val="20"/>
              </w:rPr>
              <w:t>Revoked by Authority resolution on 6 March 2014</w:t>
            </w:r>
          </w:p>
        </w:tc>
      </w:tr>
    </w:tbl>
    <w:p w14:paraId="46EE9236" w14:textId="77777777" w:rsidR="00B94C86" w:rsidRDefault="00B94C86" w:rsidP="005759E7">
      <w:pPr>
        <w:pStyle w:val="ACMASpaceaftertable"/>
      </w:pPr>
    </w:p>
    <w:p w14:paraId="496C0592" w14:textId="77777777" w:rsidR="006259E4" w:rsidRPr="004B37A3" w:rsidRDefault="006259E4" w:rsidP="005759E7">
      <w:pPr>
        <w:pStyle w:val="Heading2"/>
      </w:pPr>
      <w:bookmarkStart w:id="560" w:name="_Toc514156758"/>
      <w:bookmarkStart w:id="561" w:name="_Toc461445519"/>
      <w:bookmarkStart w:id="562" w:name="_Toc463351357"/>
      <w:bookmarkStart w:id="563" w:name="_Toc491854139"/>
      <w:bookmarkStart w:id="564" w:name="_Toc494115205"/>
      <w:r w:rsidRPr="00FC654E">
        <w:t xml:space="preserve">Thematic review </w:t>
      </w:r>
      <w:r w:rsidR="00402652">
        <w:t>of sunsetting instruments</w:t>
      </w:r>
      <w:bookmarkEnd w:id="560"/>
    </w:p>
    <w:p w14:paraId="501E97B7" w14:textId="77777777" w:rsidR="0060293D" w:rsidRPr="00A76A7A" w:rsidRDefault="0060293D" w:rsidP="005759E7">
      <w:r w:rsidRPr="009C75E3">
        <w:t xml:space="preserve">The ACMA and </w:t>
      </w:r>
      <w:r w:rsidR="00A76A7A">
        <w:t>DoCA</w:t>
      </w:r>
      <w:r w:rsidRPr="009C75E3">
        <w:t xml:space="preserve"> applied to the Attorney-General to align the sunsetting dates of </w:t>
      </w:r>
      <w:r>
        <w:t xml:space="preserve">21 </w:t>
      </w:r>
      <w:r w:rsidRPr="009C75E3">
        <w:t>instruments relevant to spectrum management processes, resulting in a new sunsetting date for them of 1 April 2023.</w:t>
      </w:r>
      <w:r w:rsidR="00447762">
        <w:t xml:space="preserve"> </w:t>
      </w:r>
    </w:p>
    <w:p w14:paraId="40AF33FA" w14:textId="77777777" w:rsidR="0060293D" w:rsidRPr="005759E7" w:rsidRDefault="0060293D" w:rsidP="005759E7">
      <w:r w:rsidRPr="005759E7">
        <w:t xml:space="preserve">This new sunsetting date allows </w:t>
      </w:r>
      <w:r w:rsidR="00A76A7A">
        <w:t>DoCA</w:t>
      </w:r>
      <w:r w:rsidRPr="005759E7">
        <w:t xml:space="preserve"> and</w:t>
      </w:r>
      <w:r w:rsidR="00B60B11" w:rsidRPr="005759E7">
        <w:t xml:space="preserve"> the ACMA to undertake a review</w:t>
      </w:r>
      <w:r w:rsidRPr="005759E7">
        <w:t xml:space="preserve"> and implement its findings in preparation for th</w:t>
      </w:r>
      <w:r w:rsidR="00B60B11" w:rsidRPr="005759E7">
        <w:t xml:space="preserve">e proposed new </w:t>
      </w:r>
      <w:r w:rsidR="00972721">
        <w:t>Radiocommunications</w:t>
      </w:r>
      <w:r w:rsidR="00972721" w:rsidRPr="005759E7">
        <w:t xml:space="preserve"> </w:t>
      </w:r>
      <w:r w:rsidR="00B60B11" w:rsidRPr="005759E7">
        <w:t xml:space="preserve">Act, </w:t>
      </w:r>
      <w:r w:rsidR="00972721">
        <w:t xml:space="preserve">Radiocommunications </w:t>
      </w:r>
      <w:r w:rsidRPr="005759E7">
        <w:t>Tax</w:t>
      </w:r>
      <w:r w:rsidR="00F84DD4">
        <w:t>ation</w:t>
      </w:r>
      <w:r w:rsidRPr="005759E7">
        <w:t xml:space="preserve"> Act and the proposed new spectrum management framework.</w:t>
      </w:r>
    </w:p>
    <w:p w14:paraId="1C69D843" w14:textId="77777777" w:rsidR="008E7142" w:rsidRPr="005759E7" w:rsidRDefault="008E7142" w:rsidP="005759E7">
      <w:r w:rsidRPr="005759E7">
        <w:t>The Legislation (Radiocommunications Instruments) Sunset-altering Declaration 2018</w:t>
      </w:r>
      <w:r w:rsidR="00A76A7A">
        <w:t>,</w:t>
      </w:r>
      <w:r w:rsidRPr="005759E7">
        <w:t xml:space="preserve"> </w:t>
      </w:r>
      <w:r w:rsidRPr="00A76A7A">
        <w:t xml:space="preserve">made </w:t>
      </w:r>
      <w:r w:rsidRPr="009C75E3">
        <w:t xml:space="preserve">under section 51A of the </w:t>
      </w:r>
      <w:r w:rsidRPr="00A76A7A">
        <w:rPr>
          <w:i/>
        </w:rPr>
        <w:t>Legislation Act 2003</w:t>
      </w:r>
      <w:r w:rsidR="00A76A7A">
        <w:t>,</w:t>
      </w:r>
      <w:r w:rsidRPr="00A76A7A">
        <w:t xml:space="preserve"> gives effect to this change.</w:t>
      </w:r>
    </w:p>
    <w:p w14:paraId="239A3F09" w14:textId="77777777" w:rsidR="00B60B11" w:rsidRPr="005759E7" w:rsidRDefault="00B60B11" w:rsidP="005759E7">
      <w:r w:rsidRPr="005759E7">
        <w:t xml:space="preserve">The instruments administrated by </w:t>
      </w:r>
      <w:r w:rsidR="00A76A7A">
        <w:t>DoCA</w:t>
      </w:r>
      <w:r w:rsidRPr="005759E7">
        <w:t xml:space="preserve"> are at </w:t>
      </w:r>
      <w:r w:rsidR="009909CD" w:rsidRPr="005759E7">
        <w:t>Table</w:t>
      </w:r>
      <w:r w:rsidR="00A01828" w:rsidRPr="005759E7">
        <w:t xml:space="preserve"> 19</w:t>
      </w:r>
      <w:r w:rsidRPr="005759E7">
        <w:t xml:space="preserve">, with the related instruments administrated by the ACMA at </w:t>
      </w:r>
      <w:r w:rsidR="009909CD" w:rsidRPr="005759E7">
        <w:t xml:space="preserve">Table </w:t>
      </w:r>
      <w:r w:rsidR="00A01828" w:rsidRPr="005759E7">
        <w:t>20</w:t>
      </w:r>
      <w:r w:rsidR="003E4A13" w:rsidRPr="005759E7">
        <w:t>.</w:t>
      </w:r>
      <w:r w:rsidR="00447762">
        <w:t xml:space="preserve"> </w:t>
      </w:r>
    </w:p>
    <w:p w14:paraId="6F70F4B0" w14:textId="77777777" w:rsidR="00A01828" w:rsidRPr="00FC5BF2" w:rsidRDefault="00A01828" w:rsidP="00F57787">
      <w:pPr>
        <w:pStyle w:val="ACMATableHeader"/>
      </w:pPr>
      <w:r w:rsidRPr="00A01828">
        <w:t xml:space="preserve">Sunsetting instruments administered by </w:t>
      </w:r>
      <w:r w:rsidR="00A76A7A">
        <w:t>DoCA—</w:t>
      </w:r>
      <w:r w:rsidRPr="00A01828">
        <w:t>new sunsetting date 1 April 2023</w:t>
      </w:r>
    </w:p>
    <w:tbl>
      <w:tblPr>
        <w:tblW w:w="76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697"/>
      </w:tblGrid>
      <w:tr w:rsidR="00B60B11" w:rsidRPr="00A76A7A" w14:paraId="26C8CFB7" w14:textId="77777777" w:rsidTr="005759E7">
        <w:trPr>
          <w:trHeight w:val="214"/>
        </w:trPr>
        <w:tc>
          <w:tcPr>
            <w:tcW w:w="7697" w:type="dxa"/>
            <w:tcBorders>
              <w:right w:val="single" w:sz="4" w:space="0" w:color="auto"/>
            </w:tcBorders>
            <w:shd w:val="clear" w:color="auto" w:fill="404040" w:themeFill="text1" w:themeFillTint="BF"/>
          </w:tcPr>
          <w:p w14:paraId="5B67FB86" w14:textId="77777777" w:rsidR="00B60B11" w:rsidRPr="005759E7" w:rsidRDefault="00A76A7A" w:rsidP="005759E7">
            <w:pPr>
              <w:pStyle w:val="TableHeading"/>
              <w:rPr>
                <w:b w:val="0"/>
                <w:color w:val="FFFFFF" w:themeColor="background1"/>
                <w:szCs w:val="20"/>
              </w:rPr>
            </w:pPr>
            <w:r w:rsidRPr="005759E7">
              <w:rPr>
                <w:rFonts w:cs="Arial"/>
                <w:color w:val="FFFFFF" w:themeColor="background1"/>
                <w:w w:val="105"/>
                <w:szCs w:val="20"/>
              </w:rPr>
              <w:t xml:space="preserve">Legislation title </w:t>
            </w:r>
          </w:p>
          <w:p w14:paraId="3F29199F" w14:textId="77777777" w:rsidR="00B60B11" w:rsidRPr="005759E7" w:rsidRDefault="00B60B11" w:rsidP="00A76A7A">
            <w:pPr>
              <w:pStyle w:val="TableParagraph"/>
              <w:spacing w:before="0" w:line="46" w:lineRule="exact"/>
              <w:ind w:left="0" w:right="446"/>
              <w:jc w:val="center"/>
              <w:rPr>
                <w:i/>
                <w:color w:val="FFFFFF" w:themeColor="background1"/>
                <w:sz w:val="20"/>
                <w:szCs w:val="20"/>
              </w:rPr>
            </w:pPr>
            <w:r w:rsidRPr="005759E7">
              <w:rPr>
                <w:i/>
                <w:color w:val="FFFFFF" w:themeColor="background1"/>
                <w:w w:val="106"/>
                <w:sz w:val="20"/>
                <w:szCs w:val="20"/>
              </w:rPr>
              <w:t>:</w:t>
            </w:r>
          </w:p>
        </w:tc>
      </w:tr>
      <w:tr w:rsidR="00B60B11" w:rsidRPr="00A76A7A" w14:paraId="16296CA8" w14:textId="77777777" w:rsidTr="005759E7">
        <w:trPr>
          <w:trHeight w:val="124"/>
        </w:trPr>
        <w:tc>
          <w:tcPr>
            <w:tcW w:w="7697" w:type="dxa"/>
            <w:tcBorders>
              <w:right w:val="single" w:sz="4" w:space="0" w:color="auto"/>
            </w:tcBorders>
            <w:shd w:val="clear" w:color="auto" w:fill="F2F2F2" w:themeFill="background1" w:themeFillShade="F2"/>
          </w:tcPr>
          <w:p w14:paraId="00D568FD" w14:textId="77777777" w:rsidR="00B60B11" w:rsidRPr="00FF131C" w:rsidRDefault="00B60B11" w:rsidP="005759E7">
            <w:pPr>
              <w:spacing w:after="0"/>
            </w:pPr>
            <w:r w:rsidRPr="00FF131C">
              <w:t xml:space="preserve">Enabling Act: </w:t>
            </w:r>
            <w:r w:rsidRPr="00FF131C">
              <w:rPr>
                <w:i/>
              </w:rPr>
              <w:t>Radiocommunications Taxes Collection Act 1983</w:t>
            </w:r>
          </w:p>
        </w:tc>
      </w:tr>
      <w:tr w:rsidR="00B60B11" w:rsidRPr="00A76A7A" w14:paraId="28BA6980" w14:textId="77777777" w:rsidTr="005759E7">
        <w:trPr>
          <w:trHeight w:val="282"/>
        </w:trPr>
        <w:tc>
          <w:tcPr>
            <w:tcW w:w="7697" w:type="dxa"/>
            <w:tcBorders>
              <w:right w:val="single" w:sz="4" w:space="0" w:color="auto"/>
            </w:tcBorders>
          </w:tcPr>
          <w:p w14:paraId="4E3A2C18" w14:textId="77777777" w:rsidR="00B60B11" w:rsidRPr="00FF131C" w:rsidRDefault="00B60B11" w:rsidP="005759E7">
            <w:pPr>
              <w:spacing w:after="0"/>
            </w:pPr>
            <w:r w:rsidRPr="00FF131C">
              <w:t>Radiocommunications Taxes Collection Regulations 1985</w:t>
            </w:r>
          </w:p>
        </w:tc>
      </w:tr>
      <w:tr w:rsidR="00B60B11" w:rsidRPr="00A76A7A" w14:paraId="27F39299" w14:textId="77777777" w:rsidTr="005759E7">
        <w:trPr>
          <w:trHeight w:val="160"/>
        </w:trPr>
        <w:tc>
          <w:tcPr>
            <w:tcW w:w="7697" w:type="dxa"/>
            <w:tcBorders>
              <w:right w:val="single" w:sz="4" w:space="0" w:color="auto"/>
            </w:tcBorders>
            <w:shd w:val="clear" w:color="auto" w:fill="F2F2F2" w:themeFill="background1" w:themeFillShade="F2"/>
          </w:tcPr>
          <w:p w14:paraId="126E2E51" w14:textId="77777777" w:rsidR="00B60B11" w:rsidRPr="00FF131C" w:rsidRDefault="00B60B11" w:rsidP="005759E7">
            <w:pPr>
              <w:spacing w:after="0"/>
            </w:pPr>
            <w:r w:rsidRPr="00FF131C">
              <w:t xml:space="preserve">Enabling Act: </w:t>
            </w:r>
            <w:r w:rsidRPr="00FF131C">
              <w:rPr>
                <w:i/>
              </w:rPr>
              <w:t>Radiocommunications Act 1992</w:t>
            </w:r>
          </w:p>
        </w:tc>
      </w:tr>
      <w:tr w:rsidR="00A27742" w:rsidRPr="00A76A7A" w14:paraId="15971096" w14:textId="77777777" w:rsidTr="00A27742">
        <w:trPr>
          <w:trHeight w:val="160"/>
        </w:trPr>
        <w:tc>
          <w:tcPr>
            <w:tcW w:w="7697" w:type="dxa"/>
            <w:tcBorders>
              <w:right w:val="single" w:sz="4" w:space="0" w:color="auto"/>
            </w:tcBorders>
            <w:shd w:val="clear" w:color="auto" w:fill="auto"/>
          </w:tcPr>
          <w:p w14:paraId="6A5D3A6B" w14:textId="7BA1C3E3" w:rsidR="00A27742" w:rsidRPr="00FF131C" w:rsidRDefault="00A27742" w:rsidP="00A27742">
            <w:pPr>
              <w:spacing w:after="0"/>
            </w:pPr>
            <w:r w:rsidRPr="00FF131C">
              <w:t>Radiocommunications Regulations 1993</w:t>
            </w:r>
          </w:p>
        </w:tc>
      </w:tr>
      <w:tr w:rsidR="00A27742" w:rsidRPr="00A76A7A" w14:paraId="3634BE96" w14:textId="77777777" w:rsidTr="00A27742">
        <w:trPr>
          <w:trHeight w:val="160"/>
        </w:trPr>
        <w:tc>
          <w:tcPr>
            <w:tcW w:w="7697" w:type="dxa"/>
            <w:tcBorders>
              <w:right w:val="single" w:sz="4" w:space="0" w:color="auto"/>
            </w:tcBorders>
            <w:shd w:val="clear" w:color="auto" w:fill="auto"/>
          </w:tcPr>
          <w:p w14:paraId="1C20ED1A" w14:textId="07E4DED1" w:rsidR="00A27742" w:rsidRPr="00FF131C" w:rsidRDefault="00A27742" w:rsidP="00A27742">
            <w:pPr>
              <w:spacing w:after="0"/>
            </w:pPr>
            <w:r w:rsidRPr="00FF131C">
              <w:t>Radiocommunications (Coordination) Regulations</w:t>
            </w:r>
          </w:p>
        </w:tc>
      </w:tr>
    </w:tbl>
    <w:p w14:paraId="1FACE7C0" w14:textId="77777777" w:rsidR="00D365CA" w:rsidRDefault="00D365CA" w:rsidP="00FC654E">
      <w:pPr>
        <w:autoSpaceDE w:val="0"/>
        <w:autoSpaceDN w:val="0"/>
        <w:adjustRightInd w:val="0"/>
        <w:spacing w:before="120" w:after="0" w:line="240" w:lineRule="auto"/>
        <w:rPr>
          <w:rFonts w:cs="Arial"/>
          <w:szCs w:val="20"/>
        </w:rPr>
      </w:pPr>
    </w:p>
    <w:p w14:paraId="474386B1" w14:textId="77777777" w:rsidR="00A01828" w:rsidRDefault="00A01828" w:rsidP="00F57787">
      <w:pPr>
        <w:pStyle w:val="ACMATableHeader"/>
      </w:pPr>
      <w:r w:rsidRPr="00A01828">
        <w:lastRenderedPageBreak/>
        <w:t>Sunsetting instruments made by the ACMA</w:t>
      </w:r>
      <w:r w:rsidR="00A76A7A">
        <w:t>—</w:t>
      </w:r>
      <w:r w:rsidRPr="00A01828">
        <w:t xml:space="preserve">new sunsetting date </w:t>
      </w:r>
      <w:r w:rsidR="00A76A7A" w:rsidRPr="00A01828">
        <w:t>1</w:t>
      </w:r>
      <w:r w:rsidR="00A76A7A">
        <w:t> </w:t>
      </w:r>
      <w:r w:rsidRPr="00A01828">
        <w:t>April 2023</w:t>
      </w:r>
    </w:p>
    <w:tbl>
      <w:tblPr>
        <w:tblW w:w="7637"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637"/>
      </w:tblGrid>
      <w:tr w:rsidR="00B60B11" w14:paraId="1A89561F" w14:textId="77777777" w:rsidTr="00BE6916">
        <w:trPr>
          <w:trHeight w:val="281"/>
        </w:trPr>
        <w:tc>
          <w:tcPr>
            <w:tcW w:w="7637" w:type="dxa"/>
            <w:tcBorders>
              <w:right w:val="single" w:sz="4" w:space="0" w:color="auto"/>
            </w:tcBorders>
            <w:shd w:val="clear" w:color="auto" w:fill="404040" w:themeFill="text1" w:themeFillTint="BF"/>
            <w:vAlign w:val="center"/>
          </w:tcPr>
          <w:p w14:paraId="04931B42" w14:textId="77777777" w:rsidR="00B60B11" w:rsidRDefault="00B60B11" w:rsidP="005759E7">
            <w:pPr>
              <w:pStyle w:val="TableHeading"/>
              <w:rPr>
                <w:sz w:val="18"/>
              </w:rPr>
            </w:pPr>
            <w:r w:rsidRPr="005759E7">
              <w:rPr>
                <w:rFonts w:cs="Arial"/>
                <w:color w:val="FFFFFF" w:themeColor="background1"/>
                <w:w w:val="105"/>
                <w:szCs w:val="20"/>
              </w:rPr>
              <w:t>L</w:t>
            </w:r>
            <w:r w:rsidR="00A76A7A">
              <w:rPr>
                <w:rFonts w:cs="Arial"/>
                <w:color w:val="FFFFFF" w:themeColor="background1"/>
                <w:w w:val="105"/>
                <w:szCs w:val="20"/>
              </w:rPr>
              <w:t>egislation title</w:t>
            </w:r>
          </w:p>
        </w:tc>
      </w:tr>
      <w:tr w:rsidR="00B60B11" w14:paraId="68EF75C9" w14:textId="77777777" w:rsidTr="005759E7">
        <w:trPr>
          <w:trHeight w:val="191"/>
        </w:trPr>
        <w:tc>
          <w:tcPr>
            <w:tcW w:w="7637" w:type="dxa"/>
            <w:tcBorders>
              <w:right w:val="single" w:sz="4" w:space="0" w:color="auto"/>
            </w:tcBorders>
            <w:shd w:val="clear" w:color="auto" w:fill="F2F2F2" w:themeFill="background1" w:themeFillShade="F2"/>
            <w:vAlign w:val="center"/>
          </w:tcPr>
          <w:p w14:paraId="21B99E02" w14:textId="77777777" w:rsidR="00B60B11" w:rsidRPr="00FF131C" w:rsidRDefault="00B60B11" w:rsidP="005759E7">
            <w:pPr>
              <w:spacing w:after="0"/>
            </w:pPr>
            <w:r w:rsidRPr="00FF131C">
              <w:t xml:space="preserve">Enabling Act: </w:t>
            </w:r>
            <w:r w:rsidRPr="00FF131C">
              <w:rPr>
                <w:i/>
              </w:rPr>
              <w:t>Radiocommunications Act 1992</w:t>
            </w:r>
          </w:p>
        </w:tc>
      </w:tr>
      <w:tr w:rsidR="00B60B11" w14:paraId="564238F5" w14:textId="77777777" w:rsidTr="005759E7">
        <w:trPr>
          <w:trHeight w:val="384"/>
        </w:trPr>
        <w:tc>
          <w:tcPr>
            <w:tcW w:w="7637" w:type="dxa"/>
            <w:tcBorders>
              <w:right w:val="single" w:sz="4" w:space="0" w:color="auto"/>
            </w:tcBorders>
          </w:tcPr>
          <w:p w14:paraId="45868FAA" w14:textId="77777777" w:rsidR="00B60B11" w:rsidRPr="00FF131C" w:rsidRDefault="00B60B11" w:rsidP="005759E7">
            <w:pPr>
              <w:spacing w:after="0"/>
            </w:pPr>
            <w:r w:rsidRPr="00FF131C">
              <w:t>Radiocommunications Advisory Guidelines (Use of Electronic Counter Measures for Bomb Disposal Activities) 2010</w:t>
            </w:r>
          </w:p>
        </w:tc>
      </w:tr>
      <w:tr w:rsidR="00B60B11" w14:paraId="4114A7E7" w14:textId="77777777" w:rsidTr="00BE6916">
        <w:trPr>
          <w:trHeight w:val="184"/>
        </w:trPr>
        <w:tc>
          <w:tcPr>
            <w:tcW w:w="7637" w:type="dxa"/>
          </w:tcPr>
          <w:p w14:paraId="459004CB" w14:textId="77777777" w:rsidR="00B60B11" w:rsidRPr="00FF131C" w:rsidRDefault="00B60B11" w:rsidP="005759E7">
            <w:pPr>
              <w:spacing w:after="0"/>
            </w:pPr>
            <w:r w:rsidRPr="00FF131C">
              <w:t>Radiocommunications Spectrum Marketing Plan (2.3 GHz Band) 2009</w:t>
            </w:r>
          </w:p>
        </w:tc>
      </w:tr>
      <w:tr w:rsidR="00B60B11" w14:paraId="781E6373" w14:textId="77777777" w:rsidTr="00BE6916">
        <w:trPr>
          <w:trHeight w:val="377"/>
        </w:trPr>
        <w:tc>
          <w:tcPr>
            <w:tcW w:w="7637" w:type="dxa"/>
          </w:tcPr>
          <w:p w14:paraId="507A1FAF" w14:textId="77777777" w:rsidR="00B60B11" w:rsidRPr="00FF131C" w:rsidRDefault="00B60B11" w:rsidP="005759E7">
            <w:pPr>
              <w:spacing w:after="0"/>
            </w:pPr>
            <w:r w:rsidRPr="00FF131C">
              <w:t>Radiocommunications (Prohibited Devices) (Use of Electronic Counter Measures for Bomb Disposal Activities) Exemption Determination 2010</w:t>
            </w:r>
          </w:p>
        </w:tc>
      </w:tr>
      <w:tr w:rsidR="00B60B11" w14:paraId="0A64A114" w14:textId="77777777" w:rsidTr="00BE6916">
        <w:trPr>
          <w:trHeight w:val="178"/>
        </w:trPr>
        <w:tc>
          <w:tcPr>
            <w:tcW w:w="7637" w:type="dxa"/>
          </w:tcPr>
          <w:p w14:paraId="40DA1BAD" w14:textId="77777777" w:rsidR="00B60B11" w:rsidRPr="00FF131C" w:rsidRDefault="00B60B11" w:rsidP="005759E7">
            <w:pPr>
              <w:spacing w:after="0"/>
            </w:pPr>
            <w:r w:rsidRPr="00FF131C">
              <w:t>Radiocommunications (Prohibition of PMTS Jamming Devices) Declaration 2011</w:t>
            </w:r>
          </w:p>
        </w:tc>
      </w:tr>
      <w:tr w:rsidR="00B60B11" w14:paraId="596FE371" w14:textId="77777777" w:rsidTr="00BE6916">
        <w:trPr>
          <w:trHeight w:val="262"/>
        </w:trPr>
        <w:tc>
          <w:tcPr>
            <w:tcW w:w="7637" w:type="dxa"/>
          </w:tcPr>
          <w:p w14:paraId="51843EF3" w14:textId="77777777" w:rsidR="00B60B11" w:rsidRPr="00FF131C" w:rsidRDefault="00B60B11" w:rsidP="005759E7">
            <w:pPr>
              <w:spacing w:after="0"/>
            </w:pPr>
            <w:r w:rsidRPr="00FF131C">
              <w:t>Radiocommunications (Mid-West Radio Quiet Zone) Frequency Band Plan 2011</w:t>
            </w:r>
          </w:p>
        </w:tc>
      </w:tr>
      <w:tr w:rsidR="00B60B11" w14:paraId="122C337A" w14:textId="77777777" w:rsidTr="00BE6916">
        <w:trPr>
          <w:trHeight w:val="62"/>
        </w:trPr>
        <w:tc>
          <w:tcPr>
            <w:tcW w:w="7637" w:type="dxa"/>
          </w:tcPr>
          <w:p w14:paraId="347546DC" w14:textId="77777777" w:rsidR="00B60B11" w:rsidRPr="00FF131C" w:rsidRDefault="00B60B11" w:rsidP="005759E7">
            <w:pPr>
              <w:spacing w:after="0"/>
            </w:pPr>
            <w:r w:rsidRPr="00FF131C">
              <w:t>Radiocommunications (UHF CB Radio Equipment) Standard 2011 (No</w:t>
            </w:r>
            <w:r w:rsidRPr="00FF131C">
              <w:rPr>
                <w:color w:val="3F4141"/>
              </w:rPr>
              <w:t xml:space="preserve">. </w:t>
            </w:r>
            <w:r w:rsidRPr="00FF131C">
              <w:t>1)</w:t>
            </w:r>
          </w:p>
        </w:tc>
      </w:tr>
      <w:tr w:rsidR="00B60B11" w14:paraId="0206BDEA" w14:textId="77777777" w:rsidTr="00BE6916">
        <w:trPr>
          <w:trHeight w:val="100"/>
        </w:trPr>
        <w:tc>
          <w:tcPr>
            <w:tcW w:w="7637" w:type="dxa"/>
          </w:tcPr>
          <w:p w14:paraId="44BF82B9" w14:textId="77777777" w:rsidR="00B60B11" w:rsidRPr="00FF131C" w:rsidRDefault="00B60B11" w:rsidP="005759E7">
            <w:pPr>
              <w:spacing w:after="0"/>
            </w:pPr>
            <w:r w:rsidRPr="00FF131C">
              <w:t>1900-1920 MHz Frequency Band Plan 2012</w:t>
            </w:r>
          </w:p>
        </w:tc>
      </w:tr>
      <w:tr w:rsidR="00B60B11" w14:paraId="26F1D963" w14:textId="77777777" w:rsidTr="00BE6916">
        <w:trPr>
          <w:trHeight w:val="308"/>
        </w:trPr>
        <w:tc>
          <w:tcPr>
            <w:tcW w:w="7637" w:type="dxa"/>
          </w:tcPr>
          <w:p w14:paraId="57B07127" w14:textId="77777777" w:rsidR="00B60B11" w:rsidRPr="00FF131C" w:rsidRDefault="00B60B11" w:rsidP="005759E7">
            <w:pPr>
              <w:spacing w:after="0"/>
            </w:pPr>
            <w:r w:rsidRPr="00FF131C">
              <w:t xml:space="preserve">Radiocommunications (PMTS Jamming Devices - Visiting Forces and Suppliers) Exemption Determination 2011 </w:t>
            </w:r>
          </w:p>
        </w:tc>
      </w:tr>
      <w:tr w:rsidR="00B60B11" w14:paraId="146A1142" w14:textId="77777777" w:rsidTr="00BE6916">
        <w:trPr>
          <w:trHeight w:val="392"/>
        </w:trPr>
        <w:tc>
          <w:tcPr>
            <w:tcW w:w="7637" w:type="dxa"/>
          </w:tcPr>
          <w:p w14:paraId="272D6AE1" w14:textId="77777777" w:rsidR="00B60B11" w:rsidRPr="00FF131C" w:rsidRDefault="00B60B11" w:rsidP="005759E7">
            <w:pPr>
              <w:spacing w:after="0"/>
            </w:pPr>
            <w:r w:rsidRPr="00FF131C">
              <w:t>Radiocommunications (Public Mobile Telecommunications Services Surveillance Device) Exemption Determination 2011</w:t>
            </w:r>
          </w:p>
        </w:tc>
      </w:tr>
      <w:tr w:rsidR="00B60B11" w14:paraId="52775D77" w14:textId="77777777" w:rsidTr="00BE6916">
        <w:trPr>
          <w:trHeight w:val="462"/>
        </w:trPr>
        <w:tc>
          <w:tcPr>
            <w:tcW w:w="7637" w:type="dxa"/>
          </w:tcPr>
          <w:p w14:paraId="4424CA72" w14:textId="414C3557" w:rsidR="00B60B11" w:rsidRPr="00FF131C" w:rsidRDefault="00B60B11" w:rsidP="00FF131C">
            <w:pPr>
              <w:spacing w:after="0"/>
            </w:pPr>
            <w:r w:rsidRPr="00FF131C">
              <w:t>Radiocommunications Licence Conditions (Aircraft Licence) Determination 2011 (No.</w:t>
            </w:r>
            <w:r w:rsidR="00FF131C">
              <w:t> </w:t>
            </w:r>
            <w:r w:rsidRPr="00FF131C">
              <w:t>1)</w:t>
            </w:r>
          </w:p>
        </w:tc>
      </w:tr>
      <w:tr w:rsidR="00DA41D4" w:rsidRPr="00765643" w14:paraId="47D4C216" w14:textId="77777777" w:rsidTr="005759E7">
        <w:trPr>
          <w:trHeight w:val="262"/>
        </w:trPr>
        <w:tc>
          <w:tcPr>
            <w:tcW w:w="7637" w:type="dxa"/>
            <w:tcBorders>
              <w:top w:val="single" w:sz="4" w:space="0" w:color="000000"/>
              <w:left w:val="single" w:sz="4" w:space="0" w:color="000000"/>
              <w:bottom w:val="single" w:sz="4" w:space="0" w:color="000000"/>
              <w:right w:val="single" w:sz="4" w:space="0" w:color="000000"/>
            </w:tcBorders>
          </w:tcPr>
          <w:p w14:paraId="48498734" w14:textId="77777777" w:rsidR="00DA41D4" w:rsidRPr="00FF131C" w:rsidRDefault="00DA41D4" w:rsidP="005759E7">
            <w:pPr>
              <w:spacing w:after="0"/>
            </w:pPr>
            <w:r w:rsidRPr="00FF131C">
              <w:t>Television Outside Broadcast (1980-2110 MHz and 2170-2300 MHz) Frequency Band Plan 2012</w:t>
            </w:r>
          </w:p>
        </w:tc>
      </w:tr>
      <w:tr w:rsidR="00DA41D4" w:rsidRPr="00765643" w14:paraId="0E77ECEA" w14:textId="77777777" w:rsidTr="005759E7">
        <w:trPr>
          <w:trHeight w:val="346"/>
        </w:trPr>
        <w:tc>
          <w:tcPr>
            <w:tcW w:w="7637" w:type="dxa"/>
            <w:tcBorders>
              <w:top w:val="single" w:sz="4" w:space="0" w:color="000000"/>
              <w:left w:val="single" w:sz="4" w:space="0" w:color="000000"/>
              <w:bottom w:val="single" w:sz="4" w:space="0" w:color="000000"/>
              <w:right w:val="single" w:sz="4" w:space="0" w:color="000000"/>
            </w:tcBorders>
          </w:tcPr>
          <w:p w14:paraId="4826AAEC" w14:textId="77777777" w:rsidR="00DA41D4" w:rsidRPr="00FF131C" w:rsidRDefault="00DA41D4" w:rsidP="005759E7">
            <w:pPr>
              <w:spacing w:after="0"/>
            </w:pPr>
            <w:r w:rsidRPr="00FF131C">
              <w:t>Radiocommunications (118</w:t>
            </w:r>
            <w:r w:rsidR="00FB75A6" w:rsidRPr="00FF131C">
              <w:t xml:space="preserve"> </w:t>
            </w:r>
            <w:r w:rsidRPr="00FF131C">
              <w:t>MHz to 137</w:t>
            </w:r>
            <w:r w:rsidR="00FB75A6" w:rsidRPr="00FF131C">
              <w:t xml:space="preserve"> </w:t>
            </w:r>
            <w:r w:rsidRPr="00FF131C">
              <w:t>MHz Amplitude Modulated Equipment — Aeronautical Radio Service) Standard 2012</w:t>
            </w:r>
          </w:p>
        </w:tc>
      </w:tr>
      <w:tr w:rsidR="00DA41D4" w:rsidRPr="00765643" w14:paraId="0C7A20C6" w14:textId="77777777" w:rsidTr="005759E7">
        <w:trPr>
          <w:trHeight w:val="429"/>
        </w:trPr>
        <w:tc>
          <w:tcPr>
            <w:tcW w:w="7637" w:type="dxa"/>
            <w:tcBorders>
              <w:top w:val="single" w:sz="4" w:space="0" w:color="000000"/>
              <w:left w:val="single" w:sz="4" w:space="0" w:color="000000"/>
              <w:bottom w:val="single" w:sz="4" w:space="0" w:color="000000"/>
              <w:right w:val="single" w:sz="4" w:space="0" w:color="000000"/>
            </w:tcBorders>
          </w:tcPr>
          <w:p w14:paraId="29C883EF" w14:textId="77777777" w:rsidR="00DA41D4" w:rsidRPr="00FF131C" w:rsidRDefault="00DA41D4" w:rsidP="005759E7">
            <w:pPr>
              <w:spacing w:after="0"/>
            </w:pPr>
            <w:r w:rsidRPr="00FF131C">
              <w:t>Radiocommunications Advisory Guidelines (Managing Interference from Spectrum Licensed Transmitters – 800 MHz Band) 2012</w:t>
            </w:r>
          </w:p>
        </w:tc>
      </w:tr>
      <w:tr w:rsidR="00DA41D4" w:rsidRPr="00765643" w14:paraId="1963075A" w14:textId="77777777" w:rsidTr="005759E7">
        <w:trPr>
          <w:trHeight w:val="357"/>
        </w:trPr>
        <w:tc>
          <w:tcPr>
            <w:tcW w:w="7637" w:type="dxa"/>
            <w:tcBorders>
              <w:top w:val="single" w:sz="4" w:space="0" w:color="000000"/>
              <w:left w:val="single" w:sz="4" w:space="0" w:color="000000"/>
              <w:bottom w:val="single" w:sz="4" w:space="0" w:color="000000"/>
              <w:right w:val="single" w:sz="4" w:space="0" w:color="000000"/>
            </w:tcBorders>
          </w:tcPr>
          <w:p w14:paraId="44480134" w14:textId="77777777" w:rsidR="00DA41D4" w:rsidRPr="00FF131C" w:rsidRDefault="00DA41D4" w:rsidP="005759E7">
            <w:pPr>
              <w:spacing w:after="0"/>
            </w:pPr>
            <w:r w:rsidRPr="00FF131C">
              <w:t>Radiocommunications Advisory Guidelines (Managing Interference to Spectrum Licensed Receivers - 800 MHz Band) 2012</w:t>
            </w:r>
          </w:p>
        </w:tc>
      </w:tr>
      <w:tr w:rsidR="00DA41D4" w:rsidRPr="00765643" w14:paraId="1CFDFD80" w14:textId="77777777" w:rsidTr="005759E7">
        <w:trPr>
          <w:trHeight w:val="299"/>
        </w:trPr>
        <w:tc>
          <w:tcPr>
            <w:tcW w:w="7637" w:type="dxa"/>
            <w:tcBorders>
              <w:top w:val="single" w:sz="4" w:space="0" w:color="000000"/>
              <w:left w:val="single" w:sz="4" w:space="0" w:color="000000"/>
              <w:bottom w:val="single" w:sz="4" w:space="0" w:color="000000"/>
              <w:right w:val="single" w:sz="4" w:space="0" w:color="000000"/>
            </w:tcBorders>
          </w:tcPr>
          <w:p w14:paraId="071DCAE9" w14:textId="77777777" w:rsidR="00DA41D4" w:rsidRPr="00FF131C" w:rsidRDefault="00DA41D4" w:rsidP="005759E7">
            <w:pPr>
              <w:spacing w:after="0"/>
            </w:pPr>
            <w:r w:rsidRPr="00FF131C">
              <w:t>Radiocommunications (Digital Radio Multiplex Transmitter Licences - Application Fee) Determination 2012</w:t>
            </w:r>
          </w:p>
        </w:tc>
      </w:tr>
      <w:tr w:rsidR="00DA41D4" w:rsidRPr="00765643" w14:paraId="3DDA0E0A" w14:textId="77777777" w:rsidTr="005759E7">
        <w:trPr>
          <w:trHeight w:val="241"/>
        </w:trPr>
        <w:tc>
          <w:tcPr>
            <w:tcW w:w="7637" w:type="dxa"/>
            <w:tcBorders>
              <w:top w:val="single" w:sz="4" w:space="0" w:color="000000"/>
              <w:left w:val="single" w:sz="4" w:space="0" w:color="000000"/>
              <w:bottom w:val="single" w:sz="4" w:space="0" w:color="000000"/>
              <w:right w:val="single" w:sz="4" w:space="0" w:color="000000"/>
            </w:tcBorders>
          </w:tcPr>
          <w:p w14:paraId="56F2DB75" w14:textId="77777777" w:rsidR="00DA41D4" w:rsidRPr="00FF131C" w:rsidRDefault="00DA41D4" w:rsidP="005759E7">
            <w:pPr>
              <w:spacing w:after="0"/>
            </w:pPr>
            <w:r w:rsidRPr="00FF131C">
              <w:t>Radiocommunications (subsection 145(3) Certificates) Determination 2012</w:t>
            </w:r>
          </w:p>
        </w:tc>
      </w:tr>
      <w:tr w:rsidR="00DA41D4" w:rsidRPr="00765643" w14:paraId="11216F18" w14:textId="77777777" w:rsidTr="005759E7">
        <w:trPr>
          <w:trHeight w:val="324"/>
        </w:trPr>
        <w:tc>
          <w:tcPr>
            <w:tcW w:w="7637" w:type="dxa"/>
            <w:tcBorders>
              <w:top w:val="single" w:sz="4" w:space="0" w:color="000000"/>
              <w:left w:val="single" w:sz="4" w:space="0" w:color="000000"/>
              <w:bottom w:val="single" w:sz="4" w:space="0" w:color="000000"/>
              <w:right w:val="single" w:sz="4" w:space="0" w:color="000000"/>
            </w:tcBorders>
          </w:tcPr>
          <w:p w14:paraId="71597D1B" w14:textId="77777777" w:rsidR="00DA41D4" w:rsidRPr="00FF131C" w:rsidRDefault="00DA41D4" w:rsidP="005759E7">
            <w:pPr>
              <w:spacing w:after="0"/>
            </w:pPr>
            <w:r w:rsidRPr="00FF131C">
              <w:t>Radiocommunications (Trading Rules for Spectrum Licences) Determination 2012</w:t>
            </w:r>
          </w:p>
        </w:tc>
      </w:tr>
      <w:tr w:rsidR="00DA41D4" w:rsidRPr="00765643" w14:paraId="50FEF5DE" w14:textId="77777777" w:rsidTr="005759E7">
        <w:trPr>
          <w:trHeight w:val="407"/>
        </w:trPr>
        <w:tc>
          <w:tcPr>
            <w:tcW w:w="7637" w:type="dxa"/>
            <w:tcBorders>
              <w:top w:val="single" w:sz="4" w:space="0" w:color="000000"/>
              <w:left w:val="single" w:sz="4" w:space="0" w:color="000000"/>
              <w:bottom w:val="single" w:sz="4" w:space="0" w:color="000000"/>
              <w:right w:val="single" w:sz="4" w:space="0" w:color="000000"/>
            </w:tcBorders>
          </w:tcPr>
          <w:p w14:paraId="4AAFAFFA" w14:textId="77777777" w:rsidR="00DA41D4" w:rsidRPr="00FF131C" w:rsidRDefault="00DA41D4" w:rsidP="005759E7">
            <w:pPr>
              <w:spacing w:after="0"/>
            </w:pPr>
            <w:r w:rsidRPr="00FF131C">
              <w:t>Radiocommunications (Unacceptable Levels of Interference – 800 MHz Band) Determination 2012</w:t>
            </w:r>
          </w:p>
        </w:tc>
      </w:tr>
    </w:tbl>
    <w:p w14:paraId="602B1CA3" w14:textId="77777777" w:rsidR="00A76A7A" w:rsidRDefault="00A76A7A">
      <w:pPr>
        <w:spacing w:after="0" w:line="240" w:lineRule="auto"/>
      </w:pPr>
    </w:p>
    <w:p w14:paraId="70F694FE" w14:textId="77777777" w:rsidR="00F16F31" w:rsidRDefault="00F16F31" w:rsidP="00CA45D7">
      <w:pPr>
        <w:pStyle w:val="Heading1"/>
      </w:pPr>
      <w:bookmarkStart w:id="565" w:name="_Toc514156759"/>
      <w:bookmarkStart w:id="566" w:name="_Toc463351358"/>
      <w:bookmarkStart w:id="567" w:name="_Toc491854141"/>
      <w:bookmarkStart w:id="568" w:name="_Toc494115206"/>
      <w:bookmarkStart w:id="569" w:name="_Toc509581840"/>
      <w:bookmarkStart w:id="570" w:name="_Toc509585156"/>
      <w:bookmarkStart w:id="571" w:name="_Toc509585692"/>
      <w:bookmarkStart w:id="572" w:name="_Toc510105012"/>
      <w:bookmarkStart w:id="573" w:name="_Toc510105809"/>
      <w:bookmarkStart w:id="574" w:name="_Toc510795139"/>
      <w:bookmarkStart w:id="575" w:name="_Toc511716342"/>
      <w:bookmarkStart w:id="576" w:name="_Toc511719153"/>
      <w:bookmarkEnd w:id="561"/>
      <w:bookmarkEnd w:id="562"/>
      <w:bookmarkEnd w:id="563"/>
      <w:bookmarkEnd w:id="564"/>
      <w:r>
        <w:lastRenderedPageBreak/>
        <w:t>Invitation to comment</w:t>
      </w:r>
      <w:bookmarkEnd w:id="565"/>
    </w:p>
    <w:p w14:paraId="3EBED72C" w14:textId="77777777" w:rsidR="00F16F31" w:rsidRDefault="00F16F31" w:rsidP="0044524E">
      <w:pPr>
        <w:spacing w:after="80"/>
      </w:pPr>
      <w:r w:rsidRPr="005E7226">
        <w:t xml:space="preserve">The ACMA invites comments on the issues set out </w:t>
      </w:r>
      <w:r w:rsidR="00B24775">
        <w:t>i</w:t>
      </w:r>
      <w:r w:rsidR="00B24775" w:rsidRPr="00A30CFC">
        <w:t xml:space="preserve">n </w:t>
      </w:r>
      <w:r w:rsidR="00B24775">
        <w:t xml:space="preserve">this draft 2018–22 FYSO </w:t>
      </w:r>
      <w:r w:rsidR="00B24775" w:rsidRPr="00A30CFC">
        <w:t xml:space="preserve">and any other comments you would like to </w:t>
      </w:r>
      <w:r w:rsidR="00B24775">
        <w:t>make.</w:t>
      </w:r>
      <w:r>
        <w:t xml:space="preserve"> The specific questions throughout the paper are </w:t>
      </w:r>
      <w:r w:rsidR="0044524E">
        <w:t>collated</w:t>
      </w:r>
      <w:r>
        <w:t xml:space="preserve"> below:</w:t>
      </w:r>
    </w:p>
    <w:p w14:paraId="3A519969" w14:textId="77777777" w:rsidR="00F16F31" w:rsidRPr="0044524E" w:rsidRDefault="00F16F31" w:rsidP="0044524E">
      <w:pPr>
        <w:pStyle w:val="ListNumber"/>
        <w:numPr>
          <w:ilvl w:val="0"/>
          <w:numId w:val="50"/>
        </w:numPr>
        <w:shd w:val="clear" w:color="auto" w:fill="auto"/>
        <w:ind w:left="284" w:hanging="284"/>
        <w:rPr>
          <w:rFonts w:eastAsiaTheme="majorEastAsia"/>
        </w:rPr>
      </w:pPr>
      <w:r>
        <w:t>What further improvements could be made to the FYSO to make it easier for stakeholders to engage with the ACMA on its work program</w:t>
      </w:r>
      <w:r w:rsidRPr="00A30CFC">
        <w:t>?</w:t>
      </w:r>
    </w:p>
    <w:p w14:paraId="67773698" w14:textId="77777777" w:rsidR="005759E7" w:rsidRPr="0054532C" w:rsidRDefault="005759E7" w:rsidP="0044524E">
      <w:pPr>
        <w:pStyle w:val="ListNumber"/>
        <w:shd w:val="clear" w:color="auto" w:fill="auto"/>
        <w:ind w:left="284" w:hanging="284"/>
        <w:rPr>
          <w:rFonts w:eastAsiaTheme="majorEastAsia"/>
        </w:rPr>
      </w:pPr>
      <w:r>
        <w:t>Are there other technology developments or sources of spectrum demand the ACMA should be aware of in considering spectrum management over the next five years</w:t>
      </w:r>
      <w:r w:rsidRPr="00A30CFC">
        <w:t>?</w:t>
      </w:r>
    </w:p>
    <w:p w14:paraId="6376632C" w14:textId="77777777" w:rsidR="00FC5F1B" w:rsidRPr="005759E7" w:rsidRDefault="00FC5F1B" w:rsidP="0044524E">
      <w:pPr>
        <w:pStyle w:val="ListNumber"/>
        <w:shd w:val="clear" w:color="auto" w:fill="auto"/>
        <w:ind w:left="284" w:hanging="284"/>
        <w:rPr>
          <w:rFonts w:eastAsiaTheme="majorEastAsia"/>
        </w:rPr>
      </w:pPr>
      <w:r w:rsidRPr="003D0F3F">
        <w:t xml:space="preserve">Do you have any feedback on </w:t>
      </w:r>
      <w:r>
        <w:t>the ACMA’s plans for monitoring, initial investigation, preliminary replanning or re-farming of bands</w:t>
      </w:r>
      <w:r w:rsidRPr="003D0F3F">
        <w:t xml:space="preserve">? </w:t>
      </w:r>
    </w:p>
    <w:p w14:paraId="4FC775C9" w14:textId="77777777" w:rsidR="00FC5F1B" w:rsidRPr="003D0F3F" w:rsidRDefault="00FC5F1B" w:rsidP="0044524E">
      <w:pPr>
        <w:pStyle w:val="ListNumber"/>
        <w:shd w:val="clear" w:color="auto" w:fill="auto"/>
        <w:ind w:left="284" w:hanging="284"/>
        <w:rPr>
          <w:rFonts w:eastAsiaTheme="majorEastAsia"/>
        </w:rPr>
      </w:pPr>
      <w:r w:rsidRPr="003D0F3F">
        <w:t xml:space="preserve">Do you have any feedback on </w:t>
      </w:r>
      <w:r w:rsidRPr="00402652">
        <w:t>optimising estab</w:t>
      </w:r>
      <w:r w:rsidRPr="001567F7">
        <w:t>lished planning frameworks</w:t>
      </w:r>
      <w:r w:rsidRPr="003D0F3F">
        <w:t xml:space="preserve">? </w:t>
      </w:r>
    </w:p>
    <w:p w14:paraId="31FE81F4" w14:textId="77777777" w:rsidR="00F13068" w:rsidRPr="006F542F" w:rsidRDefault="00F13068" w:rsidP="006F542F">
      <w:pPr>
        <w:pStyle w:val="ListNumber"/>
        <w:shd w:val="clear" w:color="auto" w:fill="auto"/>
        <w:ind w:left="284" w:hanging="284"/>
        <w:rPr>
          <w:rFonts w:eastAsiaTheme="majorEastAsia"/>
        </w:rPr>
      </w:pPr>
      <w:r w:rsidRPr="00E11EAD">
        <w:t>Do you have any comments about the ACMA approach to the forward allocations, or the specific allocation scenarios?</w:t>
      </w:r>
    </w:p>
    <w:p w14:paraId="0BCC30A1" w14:textId="77777777" w:rsidR="00F13068" w:rsidRPr="006F542F" w:rsidRDefault="00F13068" w:rsidP="006F542F">
      <w:pPr>
        <w:pStyle w:val="ListNumber"/>
        <w:shd w:val="clear" w:color="auto" w:fill="auto"/>
        <w:ind w:left="284" w:hanging="284"/>
        <w:rPr>
          <w:rFonts w:eastAsiaTheme="majorEastAsia"/>
        </w:rPr>
      </w:pPr>
      <w:r w:rsidRPr="009E7A4B">
        <w:t>Do you have any feedback on the ACMA’s approach to Spectrum Review Implementation?</w:t>
      </w:r>
    </w:p>
    <w:p w14:paraId="337252CD" w14:textId="77777777" w:rsidR="00F16F31" w:rsidRPr="0044524E" w:rsidRDefault="00445F0B" w:rsidP="00F13068">
      <w:pPr>
        <w:pStyle w:val="ListNumber"/>
        <w:shd w:val="clear" w:color="auto" w:fill="auto"/>
        <w:spacing w:after="240"/>
        <w:ind w:left="284" w:hanging="284"/>
        <w:rPr>
          <w:rFonts w:eastAsiaTheme="majorEastAsia"/>
        </w:rPr>
      </w:pPr>
      <w:r>
        <w:t xml:space="preserve">Do you have any comments about the ACMA’s planned activities for licensing and licensing systems, pricing, compliance and enforcement, and international engagement? </w:t>
      </w:r>
    </w:p>
    <w:p w14:paraId="43DF52CC" w14:textId="77777777" w:rsidR="00B24775" w:rsidRDefault="00B24775" w:rsidP="00B24775">
      <w:r w:rsidRPr="00A30CFC">
        <w:t>The feedback you provide will</w:t>
      </w:r>
      <w:r>
        <w:t xml:space="preserve"> inform and refine the priority activities included in the finalised</w:t>
      </w:r>
      <w:r w:rsidRPr="00A30CFC">
        <w:t xml:space="preserve"> 2018–22 spectrum work </w:t>
      </w:r>
      <w:r>
        <w:t>program</w:t>
      </w:r>
      <w:r w:rsidRPr="00A30CFC">
        <w:t xml:space="preserve">. We aim to publish a final version </w:t>
      </w:r>
      <w:r>
        <w:t xml:space="preserve">of the work program in the first quarter of the </w:t>
      </w:r>
      <w:r w:rsidRPr="00A30CFC">
        <w:t>2018–19 financial year</w:t>
      </w:r>
    </w:p>
    <w:p w14:paraId="69782B28" w14:textId="77777777" w:rsidR="00B94C86" w:rsidRPr="00F16F31" w:rsidRDefault="00B94C86" w:rsidP="005759E7">
      <w:pPr>
        <w:pStyle w:val="Heading2"/>
      </w:pPr>
      <w:bookmarkStart w:id="577" w:name="_Toc514156760"/>
      <w:r w:rsidRPr="00F16F31">
        <w:t>Making a submission</w:t>
      </w:r>
      <w:bookmarkEnd w:id="566"/>
      <w:bookmarkEnd w:id="567"/>
      <w:bookmarkEnd w:id="568"/>
      <w:bookmarkEnd w:id="569"/>
      <w:bookmarkEnd w:id="570"/>
      <w:bookmarkEnd w:id="571"/>
      <w:bookmarkEnd w:id="572"/>
      <w:bookmarkEnd w:id="573"/>
      <w:bookmarkEnd w:id="574"/>
      <w:bookmarkEnd w:id="575"/>
      <w:bookmarkEnd w:id="576"/>
      <w:bookmarkEnd w:id="577"/>
    </w:p>
    <w:p w14:paraId="421C8F93" w14:textId="77777777" w:rsidR="00B94C86" w:rsidRDefault="00D30AEF" w:rsidP="00947F88">
      <w:hyperlink r:id="rId55" w:history="1">
        <w:r w:rsidR="00B94C86" w:rsidRPr="00F16F31">
          <w:rPr>
            <w:rStyle w:val="Hyperlink"/>
            <w:b/>
            <w:bCs/>
          </w:rPr>
          <w:t>Online submissions</w:t>
        </w:r>
      </w:hyperlink>
      <w:r w:rsidR="00B94C86" w:rsidRPr="00F16F31">
        <w:t>—submissions can be made via the comment function or by uploading a document. The online consultation page provides details.</w:t>
      </w:r>
    </w:p>
    <w:p w14:paraId="5CBCBF69" w14:textId="77777777" w:rsidR="00361A93" w:rsidRDefault="00B94C86" w:rsidP="0044524E">
      <w:pPr>
        <w:spacing w:after="80"/>
      </w:pPr>
      <w:r w:rsidRPr="001357EF">
        <w:rPr>
          <w:b/>
        </w:rPr>
        <w:t>Submissions by post</w:t>
      </w:r>
      <w:r w:rsidRPr="001357EF">
        <w:t>—</w:t>
      </w:r>
      <w:r w:rsidR="001357EF">
        <w:t>please address submissions to</w:t>
      </w:r>
      <w:r w:rsidR="00361A93">
        <w:t>:</w:t>
      </w:r>
      <w:r w:rsidR="00361A93">
        <w:br/>
      </w:r>
      <w:r w:rsidR="001357EF">
        <w:t>Spectrum Review Implementation Branch,</w:t>
      </w:r>
      <w:r w:rsidR="0005707A">
        <w:t xml:space="preserve"> </w:t>
      </w:r>
      <w:r w:rsidR="005A15C2">
        <w:t>f</w:t>
      </w:r>
      <w:r w:rsidR="0005707A">
        <w:t>ive</w:t>
      </w:r>
      <w:r w:rsidR="005A15C2">
        <w:t>-</w:t>
      </w:r>
      <w:r w:rsidR="00361A93">
        <w:t>y</w:t>
      </w:r>
      <w:r w:rsidR="0005707A">
        <w:t xml:space="preserve">ear </w:t>
      </w:r>
      <w:r w:rsidR="005A15C2">
        <w:t>s</w:t>
      </w:r>
      <w:r w:rsidR="0005707A">
        <w:t xml:space="preserve">pectrum </w:t>
      </w:r>
      <w:r w:rsidR="005A15C2">
        <w:t>o</w:t>
      </w:r>
      <w:r w:rsidR="0005707A">
        <w:t xml:space="preserve">utlook. </w:t>
      </w:r>
    </w:p>
    <w:p w14:paraId="50080426" w14:textId="77777777" w:rsidR="00B94C86" w:rsidRPr="001357EF" w:rsidRDefault="0005707A" w:rsidP="0044524E">
      <w:pPr>
        <w:spacing w:after="80"/>
      </w:pPr>
      <w:r>
        <w:t>Submissions can be sent t</w:t>
      </w:r>
      <w:r w:rsidR="00265AC6">
        <w:t xml:space="preserve">o either one of the ACMA offices </w:t>
      </w:r>
      <w:r>
        <w:t>below</w:t>
      </w:r>
      <w:r w:rsidR="00B94C86" w:rsidRPr="001357EF">
        <w:t xml:space="preserve">: </w:t>
      </w:r>
    </w:p>
    <w:p w14:paraId="5E93F9F3" w14:textId="77777777" w:rsidR="001357EF" w:rsidRPr="0044524E" w:rsidRDefault="0027091F" w:rsidP="0044524E">
      <w:pPr>
        <w:pStyle w:val="ListBullet"/>
      </w:pPr>
      <w:r w:rsidRPr="0044524E">
        <w:t>Sydney</w:t>
      </w:r>
      <w:r w:rsidR="005A15C2" w:rsidRPr="0044524E">
        <w:t>:</w:t>
      </w:r>
      <w:r w:rsidR="001357EF" w:rsidRPr="0044524E">
        <w:t xml:space="preserve"> </w:t>
      </w:r>
      <w:r w:rsidRPr="0044524E">
        <w:t>PO Box Q500, Queen Victoria Building NSW 1230</w:t>
      </w:r>
    </w:p>
    <w:p w14:paraId="6DE8B871" w14:textId="77777777" w:rsidR="001357EF" w:rsidRDefault="0027091F" w:rsidP="0044524E">
      <w:pPr>
        <w:pStyle w:val="ListBullet"/>
      </w:pPr>
      <w:r w:rsidRPr="0044524E">
        <w:t>Canberra</w:t>
      </w:r>
      <w:r w:rsidR="005A15C2" w:rsidRPr="0044524E">
        <w:t>:</w:t>
      </w:r>
      <w:r w:rsidR="001357EF" w:rsidRPr="0044524E">
        <w:t xml:space="preserve"> </w:t>
      </w:r>
      <w:r w:rsidRPr="0044524E">
        <w:t>PO Box 78, Belconnen</w:t>
      </w:r>
      <w:r w:rsidRPr="001357EF">
        <w:t xml:space="preserve"> ACT 2616</w:t>
      </w:r>
    </w:p>
    <w:p w14:paraId="13F8A6BD" w14:textId="77777777" w:rsidR="004C180A" w:rsidRDefault="004C180A" w:rsidP="0044524E">
      <w:pPr>
        <w:pStyle w:val="ListBulletLast"/>
      </w:pPr>
      <w:r w:rsidRPr="001357EF">
        <w:t>Melbourne</w:t>
      </w:r>
      <w:r w:rsidR="005A15C2">
        <w:t>:</w:t>
      </w:r>
      <w:r w:rsidRPr="001357EF">
        <w:t xml:space="preserve"> PO Box 13112 Law Courts, Melbourne Vic 8010</w:t>
      </w:r>
    </w:p>
    <w:p w14:paraId="4521527D" w14:textId="5153FE6C" w:rsidR="004C180A" w:rsidRDefault="004C180A" w:rsidP="00F72652">
      <w:pPr>
        <w:rPr>
          <w:rStyle w:val="Strong"/>
          <w:bCs w:val="0"/>
        </w:rPr>
      </w:pPr>
      <w:r w:rsidRPr="004C180A">
        <w:rPr>
          <w:rStyle w:val="Strong"/>
        </w:rPr>
        <w:t xml:space="preserve">The closing date for submissions is </w:t>
      </w:r>
      <w:r w:rsidRPr="00F808AA">
        <w:rPr>
          <w:rStyle w:val="Strong"/>
        </w:rPr>
        <w:t xml:space="preserve">COB, </w:t>
      </w:r>
      <w:r w:rsidR="00FD15C4">
        <w:rPr>
          <w:rStyle w:val="Strong"/>
        </w:rPr>
        <w:t>Friday</w:t>
      </w:r>
      <w:r w:rsidR="0044524E">
        <w:rPr>
          <w:rStyle w:val="Strong"/>
        </w:rPr>
        <w:t xml:space="preserve"> </w:t>
      </w:r>
      <w:r w:rsidR="007B788C">
        <w:rPr>
          <w:rStyle w:val="Strong"/>
        </w:rPr>
        <w:t>15</w:t>
      </w:r>
      <w:r w:rsidR="000B195C" w:rsidRPr="000F4F50">
        <w:rPr>
          <w:rStyle w:val="Strong"/>
        </w:rPr>
        <w:t xml:space="preserve"> </w:t>
      </w:r>
      <w:r w:rsidR="00150E32" w:rsidRPr="004F74D5">
        <w:rPr>
          <w:rStyle w:val="Strong"/>
        </w:rPr>
        <w:t>June</w:t>
      </w:r>
      <w:r w:rsidR="00F04CE6" w:rsidRPr="004F74D5">
        <w:rPr>
          <w:rStyle w:val="Strong"/>
          <w:bCs w:val="0"/>
        </w:rPr>
        <w:t xml:space="preserve"> </w:t>
      </w:r>
      <w:r w:rsidRPr="000F4F50">
        <w:rPr>
          <w:rStyle w:val="Strong"/>
          <w:bCs w:val="0"/>
        </w:rPr>
        <w:t>201</w:t>
      </w:r>
      <w:r w:rsidR="00150E32" w:rsidRPr="000F4F50">
        <w:rPr>
          <w:rStyle w:val="Strong"/>
          <w:bCs w:val="0"/>
        </w:rPr>
        <w:t>8</w:t>
      </w:r>
      <w:r w:rsidRPr="000F4F50">
        <w:rPr>
          <w:rStyle w:val="Strong"/>
          <w:bCs w:val="0"/>
        </w:rPr>
        <w:t>.</w:t>
      </w:r>
    </w:p>
    <w:p w14:paraId="2A66573C" w14:textId="77777777" w:rsidR="004C180A" w:rsidRPr="005E7226" w:rsidRDefault="004C180A" w:rsidP="00F72652">
      <w:r w:rsidRPr="005E7226">
        <w:t xml:space="preserve">Electronic submissions in Microsoft Word or Rich Text Format are preferred. </w:t>
      </w:r>
    </w:p>
    <w:p w14:paraId="332D59C3" w14:textId="77777777" w:rsidR="001357EF" w:rsidRDefault="001357EF" w:rsidP="00F72652">
      <w:pPr>
        <w:pStyle w:val="BodySubHeader"/>
      </w:pPr>
      <w:r>
        <w:t>Enquiries</w:t>
      </w:r>
    </w:p>
    <w:p w14:paraId="6DD953D2" w14:textId="77777777" w:rsidR="001357EF" w:rsidRPr="0027091F" w:rsidRDefault="001357EF" w:rsidP="00F72652">
      <w:pPr>
        <w:pStyle w:val="ListBullet"/>
      </w:pPr>
      <w:r w:rsidRPr="0027091F">
        <w:t>Consultation enquiries can be emailed to:</w:t>
      </w:r>
      <w:r>
        <w:t xml:space="preserve"> </w:t>
      </w:r>
      <w:hyperlink r:id="rId56" w:history="1">
        <w:r w:rsidR="00032946" w:rsidRPr="00760066">
          <w:rPr>
            <w:rStyle w:val="Hyperlink"/>
          </w:rPr>
          <w:t>spectrumworkprogram@acma.gov.au</w:t>
        </w:r>
      </w:hyperlink>
    </w:p>
    <w:p w14:paraId="45719227" w14:textId="77777777" w:rsidR="00B94C86" w:rsidRDefault="00B94C86" w:rsidP="00F72652">
      <w:pPr>
        <w:pStyle w:val="ListBulletLast"/>
      </w:pPr>
      <w:r w:rsidRPr="005E7226">
        <w:t xml:space="preserve">Media enquiries </w:t>
      </w:r>
      <w:r>
        <w:t>can</w:t>
      </w:r>
      <w:r w:rsidRPr="005E7226">
        <w:t xml:space="preserve"> be directed to Emma Rossi on 02 9334 7719 or by email to </w:t>
      </w:r>
      <w:hyperlink r:id="rId57" w:history="1">
        <w:r w:rsidRPr="00250B07">
          <w:rPr>
            <w:rStyle w:val="Hyperlink"/>
          </w:rPr>
          <w:t>media@acma.gov.au</w:t>
        </w:r>
      </w:hyperlink>
      <w:r w:rsidRPr="005E7226">
        <w:t xml:space="preserve">. </w:t>
      </w:r>
    </w:p>
    <w:p w14:paraId="3100CD8B" w14:textId="77777777" w:rsidR="00B94C86" w:rsidRPr="005E7226" w:rsidRDefault="00B94C86" w:rsidP="00F72652">
      <w:pPr>
        <w:pStyle w:val="BodySubHeader"/>
      </w:pPr>
      <w:r w:rsidRPr="005E7226">
        <w:t xml:space="preserve">Effective consultation </w:t>
      </w:r>
    </w:p>
    <w:p w14:paraId="06DA0C24" w14:textId="77777777" w:rsidR="004C180A" w:rsidRPr="005E7226" w:rsidRDefault="004C180A" w:rsidP="00F72652">
      <w:r w:rsidRPr="005E7226">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w:t>
      </w:r>
      <w:hyperlink r:id="rId58" w:history="1">
        <w:r w:rsidRPr="00250B07">
          <w:rPr>
            <w:rStyle w:val="Hyperlink"/>
            <w:i/>
          </w:rPr>
          <w:t xml:space="preserve">Effective consultation—a guide to making a </w:t>
        </w:r>
        <w:r w:rsidRPr="00250B07">
          <w:rPr>
            <w:rStyle w:val="Hyperlink"/>
            <w:i/>
          </w:rPr>
          <w:lastRenderedPageBreak/>
          <w:t>submission</w:t>
        </w:r>
      </w:hyperlink>
      <w:r w:rsidRPr="005E7226">
        <w:t>. This guide provides information about the ACMA’s formal written public consultation processes and practical guidance on how to make a submission.</w:t>
      </w:r>
    </w:p>
    <w:p w14:paraId="76106EDB" w14:textId="77777777" w:rsidR="004C180A" w:rsidRPr="005E7226" w:rsidRDefault="004C180A" w:rsidP="00B24775">
      <w:pPr>
        <w:pStyle w:val="BodySubHeader"/>
        <w:keepNext/>
      </w:pPr>
      <w:bookmarkStart w:id="578" w:name="_Toc300909558"/>
      <w:bookmarkStart w:id="579" w:name="_Toc348105639"/>
      <w:r w:rsidRPr="005E7226">
        <w:t>Publication of submissions</w:t>
      </w:r>
      <w:bookmarkEnd w:id="578"/>
      <w:bookmarkEnd w:id="579"/>
    </w:p>
    <w:p w14:paraId="6F79C716" w14:textId="77777777" w:rsidR="004C180A" w:rsidRPr="005E7226" w:rsidRDefault="004C180A" w:rsidP="00F72652">
      <w:r w:rsidRPr="005E7226">
        <w:t>In general, the ACMA publishes all submissions it receives. 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the claim.</w:t>
      </w:r>
    </w:p>
    <w:p w14:paraId="2DD776D4" w14:textId="77777777" w:rsidR="004C180A" w:rsidRPr="005E7226" w:rsidRDefault="004C180A" w:rsidP="00F72652">
      <w:r w:rsidRPr="005E7226">
        <w:t xml:space="preserve">The ACMA will consider each confidentiality claim on a case-by-case basis. If the ACMA accepts a claim, it will not publish the confidential information unless authorised or required by law to do so. </w:t>
      </w:r>
    </w:p>
    <w:p w14:paraId="3DF662C8" w14:textId="77777777" w:rsidR="004C180A" w:rsidRPr="005E7226" w:rsidRDefault="004C180A" w:rsidP="00F72652">
      <w:pPr>
        <w:pStyle w:val="BodySubHeader"/>
      </w:pPr>
      <w:bookmarkStart w:id="580" w:name="_Toc265246234"/>
      <w:bookmarkStart w:id="581" w:name="_Toc300909559"/>
      <w:bookmarkStart w:id="582" w:name="_Toc348105640"/>
      <w:r w:rsidRPr="005E7226">
        <w:t>Release of submissions where authorised or required by law</w:t>
      </w:r>
      <w:bookmarkEnd w:id="580"/>
      <w:bookmarkEnd w:id="581"/>
      <w:bookmarkEnd w:id="582"/>
    </w:p>
    <w:p w14:paraId="30385C3D" w14:textId="77777777" w:rsidR="0077559E" w:rsidRPr="005E7226" w:rsidRDefault="004C180A" w:rsidP="00F72652">
      <w:r w:rsidRPr="005E7226">
        <w:t xml:space="preserve">Any submissions provided to the ACMA may be released under the </w:t>
      </w:r>
      <w:hyperlink r:id="rId59" w:history="1">
        <w:r w:rsidRPr="00DF56AF">
          <w:rPr>
            <w:rStyle w:val="Hyperlink"/>
            <w:i/>
          </w:rPr>
          <w:t>Freedom of Information Act 1982</w:t>
        </w:r>
      </w:hyperlink>
      <w:r w:rsidRPr="005E7226">
        <w:t xml:space="preserve"> (unless an exemption applies) or shared with </w:t>
      </w:r>
      <w:r>
        <w:t xml:space="preserve">various </w:t>
      </w:r>
      <w:r w:rsidRPr="005E7226">
        <w:t xml:space="preserve">other </w:t>
      </w:r>
      <w:r>
        <w:t>g</w:t>
      </w:r>
      <w:r w:rsidRPr="005E7226">
        <w:t xml:space="preserve">overnment agencies </w:t>
      </w:r>
      <w:r>
        <w:t xml:space="preserve">and certain other parties </w:t>
      </w:r>
      <w:r w:rsidRPr="005E7226">
        <w:t xml:space="preserve">under Part 7A of the </w:t>
      </w:r>
      <w:hyperlink r:id="rId60" w:history="1">
        <w:r w:rsidRPr="00DF56AF">
          <w:rPr>
            <w:rStyle w:val="Hyperlink"/>
            <w:i/>
          </w:rPr>
          <w:t>Australian Communications and Media Authority Act 2005</w:t>
        </w:r>
      </w:hyperlink>
      <w:r w:rsidRPr="005E7226">
        <w:t xml:space="preserve">. The ACMA may also be required to release submissions for other reasons including for the purpose of parliamentary processes or where otherwise required by law (for example, under a court subpoena). While the ACMA seeks to consult submitters of confidential information before that information is provided to another party, the ACMA cannot guarantee that confidential information will not be released through these or other legal means. </w:t>
      </w:r>
    </w:p>
    <w:p w14:paraId="7D3751DE" w14:textId="77777777" w:rsidR="004C180A" w:rsidRPr="0041233F" w:rsidRDefault="004C180A" w:rsidP="00F72652">
      <w:pPr>
        <w:pStyle w:val="BodySubHeader"/>
      </w:pPr>
      <w:r w:rsidRPr="0041233F">
        <w:t>Privacy</w:t>
      </w:r>
    </w:p>
    <w:p w14:paraId="4E4CBD50" w14:textId="77777777" w:rsidR="004C180A" w:rsidRDefault="004C180A" w:rsidP="00F72652">
      <w:r w:rsidRPr="0041233F">
        <w:t xml:space="preserve">The </w:t>
      </w:r>
      <w:hyperlink r:id="rId61" w:history="1">
        <w:r w:rsidRPr="00E7431C">
          <w:rPr>
            <w:rStyle w:val="Hyperlink"/>
            <w:rFonts w:cs="Arial"/>
            <w:i/>
            <w:szCs w:val="20"/>
          </w:rPr>
          <w:t>Privacy Act 1988</w:t>
        </w:r>
      </w:hyperlink>
      <w:r w:rsidRPr="0041233F">
        <w:t xml:space="preserve"> imposes obligations on the ACMA in relation to the collection, security, quality, access, use and disclosure of personal information. These obligations are detailed in the </w:t>
      </w:r>
      <w:hyperlink r:id="rId62" w:history="1">
        <w:r w:rsidRPr="004B31A4">
          <w:rPr>
            <w:rStyle w:val="Hyperlink"/>
            <w:rFonts w:cs="Arial"/>
            <w:i/>
            <w:szCs w:val="20"/>
          </w:rPr>
          <w:t>Australian Privacy Principles</w:t>
        </w:r>
      </w:hyperlink>
      <w:r w:rsidRPr="0041233F">
        <w:t>.</w:t>
      </w:r>
    </w:p>
    <w:p w14:paraId="71079614" w14:textId="77777777" w:rsidR="004C180A" w:rsidRPr="001A44EC" w:rsidRDefault="004C180A" w:rsidP="00F72652">
      <w:r w:rsidRPr="001A44EC">
        <w:t xml:space="preserve">The ACMA may only collect personal information if it is reasonably necessary for, or directly related to, one or more of its functions or activities. </w:t>
      </w:r>
    </w:p>
    <w:p w14:paraId="4B156C4F" w14:textId="77777777" w:rsidR="004C180A" w:rsidRPr="001A44EC" w:rsidRDefault="004C180A" w:rsidP="00F72652">
      <w:pPr>
        <w:spacing w:after="80"/>
      </w:pPr>
      <w:r w:rsidRPr="001A44EC">
        <w:t>The purposes for which personal information is being collected (such as the names and contact details of submitters) are to:</w:t>
      </w:r>
    </w:p>
    <w:p w14:paraId="0FE8F409" w14:textId="77777777" w:rsidR="004C180A" w:rsidRPr="005808C5" w:rsidRDefault="004C180A" w:rsidP="00FB338B">
      <w:pPr>
        <w:pStyle w:val="ListBullet2"/>
        <w:numPr>
          <w:ilvl w:val="0"/>
          <w:numId w:val="25"/>
        </w:numPr>
      </w:pPr>
      <w:r w:rsidRPr="005808C5">
        <w:t xml:space="preserve">contribute to the transparency of the consultation process by clarifying, where appropriate, whose views are represented by a submission </w:t>
      </w:r>
    </w:p>
    <w:p w14:paraId="76E6AEDE" w14:textId="77777777" w:rsidR="004C180A" w:rsidRDefault="004C180A" w:rsidP="00FB338B">
      <w:pPr>
        <w:pStyle w:val="ListBullet2"/>
        <w:numPr>
          <w:ilvl w:val="0"/>
          <w:numId w:val="25"/>
        </w:numPr>
      </w:pPr>
      <w:r>
        <w:t>enable</w:t>
      </w:r>
      <w:r w:rsidRPr="0041233F">
        <w:t xml:space="preserve"> the ACMA to contact submitters where follow</w:t>
      </w:r>
      <w:r>
        <w:t>-</w:t>
      </w:r>
      <w:r w:rsidRPr="0041233F">
        <w:t>up is required</w:t>
      </w:r>
      <w:r>
        <w:t xml:space="preserve"> </w:t>
      </w:r>
      <w:r w:rsidRPr="005808C5">
        <w:t>or to notify them of related matters (except where submitters indicate they do not wish to be notified of such matters).</w:t>
      </w:r>
    </w:p>
    <w:p w14:paraId="0ACF844C" w14:textId="77777777" w:rsidR="004C180A" w:rsidRDefault="004C180A" w:rsidP="00F72652">
      <w:r w:rsidRPr="005808C5">
        <w:t>The ACMA will not use the personal information collected for any other purpose, unless the submitter has provided their consent or the ACMA is otherwise permitted to do so under the Privacy Act.</w:t>
      </w:r>
      <w:r w:rsidRPr="00977564">
        <w:t xml:space="preserve"> </w:t>
      </w:r>
    </w:p>
    <w:p w14:paraId="5612FEA5" w14:textId="77777777" w:rsidR="004C180A" w:rsidRPr="005808C5" w:rsidRDefault="004C180A" w:rsidP="00F72652">
      <w:r w:rsidRPr="0041233F">
        <w:t xml:space="preserve">Submissions in response to this paper are voluntary. </w:t>
      </w:r>
      <w:r>
        <w:t xml:space="preserve">As mentioned above, </w:t>
      </w:r>
      <w:r w:rsidRPr="0041233F">
        <w:t xml:space="preserve">the ACMA generally publishes </w:t>
      </w:r>
      <w:r>
        <w:t xml:space="preserve">all </w:t>
      </w:r>
      <w:r w:rsidRPr="0041233F">
        <w:t>submissions</w:t>
      </w:r>
      <w:r>
        <w:t xml:space="preserve"> </w:t>
      </w:r>
      <w:r w:rsidRPr="005808C5">
        <w:t>it</w:t>
      </w:r>
      <w:r w:rsidRPr="0041233F">
        <w:t xml:space="preserve"> receive</w:t>
      </w:r>
      <w:r w:rsidRPr="005808C5">
        <w:t>s</w:t>
      </w:r>
      <w:r>
        <w:t xml:space="preserve">, </w:t>
      </w:r>
      <w:r w:rsidRPr="00FB2D58">
        <w:t>including any personal information in the submissions. If a submitter has made a con</w:t>
      </w:r>
      <w:r w:rsidRPr="005808C5">
        <w:t xml:space="preserve">fidentiality claim over personal </w:t>
      </w:r>
      <w:r w:rsidRPr="001A44EC">
        <w:t>information</w:t>
      </w:r>
      <w:r w:rsidRPr="005808C5">
        <w:t xml:space="preserve"> </w:t>
      </w:r>
      <w:r>
        <w:t>that</w:t>
      </w:r>
      <w:r w:rsidRPr="005808C5">
        <w:t xml:space="preserve"> the ACMA has accepted, the submission will be published without</w:t>
      </w:r>
      <w:r>
        <w:t xml:space="preserve"> that information</w:t>
      </w:r>
      <w:r w:rsidRPr="005808C5">
        <w:t>.</w:t>
      </w:r>
      <w:r>
        <w:t xml:space="preserve"> </w:t>
      </w:r>
      <w:r w:rsidRPr="005808C5">
        <w:t>The ACMA will not release th</w:t>
      </w:r>
      <w:r>
        <w:t>e</w:t>
      </w:r>
      <w:r w:rsidRPr="005808C5">
        <w:t xml:space="preserve"> </w:t>
      </w:r>
      <w:r>
        <w:t xml:space="preserve">personal </w:t>
      </w:r>
      <w:r w:rsidRPr="005808C5">
        <w:t xml:space="preserve">information unless authorised or required by law to do so. </w:t>
      </w:r>
    </w:p>
    <w:p w14:paraId="31BFF222" w14:textId="77777777" w:rsidR="004C180A" w:rsidRPr="00F97DD3" w:rsidRDefault="004C180A" w:rsidP="00F72652">
      <w:r>
        <w:t>I</w:t>
      </w:r>
      <w:r w:rsidRPr="005808C5">
        <w:t xml:space="preserve">f a submitter wishes to make a submission anonymously or use a pseudonym, they </w:t>
      </w:r>
      <w:r>
        <w:t>are asked</w:t>
      </w:r>
      <w:r w:rsidRPr="005808C5">
        <w:t xml:space="preserve"> to contact the ACMA to see whether it is practicable to do so in light of the subject matter of the </w:t>
      </w:r>
      <w:r w:rsidRPr="001A44EC">
        <w:t>consultation</w:t>
      </w:r>
      <w:r>
        <w:t>. If it is practicable, the ACMA will notify the submitter of any procedures that need to be followed and whether there are any other consequences of making a submission in that way</w:t>
      </w:r>
      <w:r w:rsidRPr="005808C5">
        <w:t>.</w:t>
      </w:r>
      <w:r w:rsidRPr="00537604">
        <w:t xml:space="preserve"> </w:t>
      </w:r>
    </w:p>
    <w:p w14:paraId="2BB8D54C" w14:textId="77777777" w:rsidR="00FF3C69" w:rsidRDefault="004C180A" w:rsidP="00F72652">
      <w:r w:rsidRPr="005F7354">
        <w:lastRenderedPageBreak/>
        <w:t xml:space="preserve">Further information on the Privacy Act and the ACMA’s privacy policy is available at </w:t>
      </w:r>
      <w:hyperlink r:id="rId63" w:tooltip="ACMA Privacy Policy" w:history="1">
        <w:r>
          <w:rPr>
            <w:rStyle w:val="Hyperlink"/>
          </w:rPr>
          <w:t>www.acma.gov.au/privacypolicy</w:t>
        </w:r>
      </w:hyperlink>
      <w:r w:rsidRPr="005F7354">
        <w:t xml:space="preserve">. The privacy policy contains details about how an individual may access personal information about them that is held by the ACMA, and seek the correction of such information. It also </w:t>
      </w:r>
      <w:r w:rsidRPr="001A44EC">
        <w:t>explains</w:t>
      </w:r>
      <w:r w:rsidRPr="005F7354">
        <w:t xml:space="preserve"> how an individual may complain about a breach of the Privacy Act and how the ACMA will deal with such a complaint.</w:t>
      </w:r>
      <w:r w:rsidR="00FA73CF">
        <w:t xml:space="preserve"> </w:t>
      </w:r>
    </w:p>
    <w:sectPr w:rsidR="00FF3C69" w:rsidSect="00760066">
      <w:headerReference w:type="even" r:id="rId64"/>
      <w:headerReference w:type="default" r:id="rId65"/>
      <w:footerReference w:type="even" r:id="rId66"/>
      <w:footerReference w:type="default" r:id="rId67"/>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F9BA3" w14:textId="77777777" w:rsidR="005012D4" w:rsidRDefault="005012D4">
      <w:r>
        <w:separator/>
      </w:r>
    </w:p>
    <w:p w14:paraId="76D293E1" w14:textId="77777777" w:rsidR="005012D4" w:rsidRDefault="005012D4"/>
  </w:endnote>
  <w:endnote w:type="continuationSeparator" w:id="0">
    <w:p w14:paraId="566CB51C" w14:textId="77777777" w:rsidR="005012D4" w:rsidRDefault="005012D4">
      <w:r>
        <w:continuationSeparator/>
      </w:r>
    </w:p>
    <w:p w14:paraId="236CE3DE" w14:textId="77777777" w:rsidR="005012D4" w:rsidRDefault="005012D4"/>
  </w:endnote>
  <w:endnote w:type="continuationNotice" w:id="1">
    <w:p w14:paraId="5FBDE3E1" w14:textId="77777777" w:rsidR="005012D4" w:rsidRDefault="005012D4">
      <w:pPr>
        <w:spacing w:after="0" w:line="240" w:lineRule="auto"/>
      </w:pPr>
    </w:p>
    <w:p w14:paraId="12DC2281" w14:textId="77777777" w:rsidR="005012D4" w:rsidRDefault="00501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53D0A" w14:textId="77777777" w:rsidR="00785757" w:rsidRDefault="0078575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08CB2" w14:textId="6C256029" w:rsidR="005012D4" w:rsidRPr="00622A3B" w:rsidRDefault="005012D4" w:rsidP="00947E20">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30AEF">
      <w:rPr>
        <w:noProof/>
        <w:color w:val="505050"/>
      </w:rPr>
      <w:t>17</w:t>
    </w:r>
    <w:r w:rsidRPr="00575AC5">
      <w:rPr>
        <w:color w:val="505050"/>
      </w:rPr>
      <w:fldChar w:fldCharType="end"/>
    </w:r>
  </w:p>
  <w:p w14:paraId="6DE27006" w14:textId="77777777" w:rsidR="005012D4" w:rsidRDefault="005012D4" w:rsidP="0037046B">
    <w:pPr>
      <w:pStyle w:val="Footer"/>
      <w:spacing w:after="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D49A3" w14:textId="3A11DCDC" w:rsidR="005012D4" w:rsidRPr="00622A3B" w:rsidRDefault="005012D4"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30AEF">
      <w:rPr>
        <w:noProof/>
      </w:rPr>
      <w:t>74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0DEF9D6" w14:textId="77777777" w:rsidR="005012D4" w:rsidRPr="00A5474E" w:rsidRDefault="005012D4" w:rsidP="00A5474E">
    <w:pPr>
      <w:pStyle w:val="Footer"/>
    </w:pPr>
  </w:p>
  <w:p w14:paraId="152357E4" w14:textId="77777777" w:rsidR="005012D4" w:rsidRDefault="005012D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C678C" w14:textId="29E251F6" w:rsidR="005012D4" w:rsidRPr="00622A3B" w:rsidRDefault="005012D4"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30AEF">
      <w:rPr>
        <w:noProof/>
        <w:color w:val="505050"/>
      </w:rPr>
      <w:t>75</w:t>
    </w:r>
    <w:r w:rsidRPr="00575AC5">
      <w:rPr>
        <w:color w:val="505050"/>
      </w:rPr>
      <w:fldChar w:fldCharType="end"/>
    </w:r>
  </w:p>
  <w:p w14:paraId="7B8D2EFC" w14:textId="77777777" w:rsidR="005012D4" w:rsidRPr="00A5474E" w:rsidRDefault="005012D4" w:rsidP="00A5474E">
    <w:pPr>
      <w:pStyle w:val="Footer"/>
    </w:pPr>
  </w:p>
  <w:p w14:paraId="72508489" w14:textId="77777777" w:rsidR="005012D4" w:rsidRDefault="005012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D4E4A" w14:textId="77777777" w:rsidR="005012D4" w:rsidRPr="00A5474E" w:rsidRDefault="005012D4" w:rsidP="00A5474E">
    <w:pPr>
      <w:pStyle w:val="Footer"/>
    </w:pPr>
    <w:r>
      <w:rPr>
        <w:noProof/>
      </w:rPr>
      <w:drawing>
        <wp:inline distT="0" distB="0" distL="0" distR="0" wp14:anchorId="0F3875DB" wp14:editId="040E1C84">
          <wp:extent cx="3483864" cy="249613"/>
          <wp:effectExtent l="0" t="0" r="0" b="0"/>
          <wp:docPr id="11" name="Picture 11"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2="http://schemas.microsoft.com/office/drawing/2015/10/21/chartex"/>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028A4" w14:textId="77777777" w:rsidR="00785757" w:rsidRDefault="007857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2FB13" w14:textId="77777777" w:rsidR="005012D4" w:rsidRDefault="005012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8B09E" w14:textId="77777777" w:rsidR="005012D4" w:rsidRDefault="005012D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049A" w14:textId="64BFECE9" w:rsidR="005012D4" w:rsidRPr="00622A3B" w:rsidRDefault="005012D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30AEF">
      <w:rPr>
        <w:noProof/>
        <w:color w:val="505050"/>
      </w:rPr>
      <w:t>iv</w:t>
    </w:r>
    <w:r w:rsidRPr="002E4DDC">
      <w:rPr>
        <w:color w:val="505050"/>
      </w:rPr>
      <w:fldChar w:fldCharType="end"/>
    </w:r>
  </w:p>
  <w:p w14:paraId="35A93FC5" w14:textId="77777777" w:rsidR="005012D4" w:rsidRPr="00A5474E" w:rsidRDefault="005012D4"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AEE54" w14:textId="7F3CC055" w:rsidR="005012D4" w:rsidRPr="00622A3B" w:rsidRDefault="005012D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30AEF">
      <w:rPr>
        <w:noProof/>
        <w:color w:val="505050"/>
      </w:rPr>
      <w:t>v</w:t>
    </w:r>
    <w:r w:rsidRPr="002E4DDC">
      <w:rPr>
        <w:color w:val="505050"/>
      </w:rPr>
      <w:fldChar w:fldCharType="end"/>
    </w:r>
  </w:p>
  <w:p w14:paraId="6235F078" w14:textId="77777777" w:rsidR="005012D4" w:rsidRPr="00A5474E" w:rsidRDefault="005012D4"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E7091" w14:textId="2DAB51F8" w:rsidR="005012D4" w:rsidRPr="00622A3B" w:rsidRDefault="005012D4"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30AEF">
      <w:rPr>
        <w:noProof/>
        <w:color w:val="505050"/>
      </w:rPr>
      <w:t>iii</w:t>
    </w:r>
    <w:r w:rsidRPr="002E4DDC">
      <w:rPr>
        <w:color w:val="505050"/>
      </w:rPr>
      <w:fldChar w:fldCharType="end"/>
    </w:r>
  </w:p>
  <w:p w14:paraId="3B711EC0" w14:textId="77777777" w:rsidR="005012D4" w:rsidRPr="00A5474E" w:rsidRDefault="005012D4" w:rsidP="00A547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EE5C" w14:textId="0FB7397C" w:rsidR="005012D4" w:rsidRPr="00622A3B" w:rsidRDefault="005012D4"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30AEF">
      <w:rPr>
        <w:noProof/>
      </w:rPr>
      <w:t>16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17C1452" w14:textId="77777777" w:rsidR="005012D4" w:rsidRDefault="005012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C5933" w14:textId="77777777" w:rsidR="005012D4" w:rsidRDefault="005012D4">
      <w:r>
        <w:separator/>
      </w:r>
    </w:p>
  </w:footnote>
  <w:footnote w:type="continuationSeparator" w:id="0">
    <w:p w14:paraId="6FB18A82" w14:textId="77777777" w:rsidR="005012D4" w:rsidRDefault="005012D4">
      <w:r>
        <w:continuationSeparator/>
      </w:r>
    </w:p>
    <w:p w14:paraId="091BA334" w14:textId="77777777" w:rsidR="005012D4" w:rsidRDefault="005012D4"/>
  </w:footnote>
  <w:footnote w:type="continuationNotice" w:id="1">
    <w:p w14:paraId="25FD37D3" w14:textId="77777777" w:rsidR="005012D4" w:rsidRDefault="005012D4">
      <w:pPr>
        <w:spacing w:after="0" w:line="240" w:lineRule="auto"/>
      </w:pPr>
    </w:p>
    <w:p w14:paraId="7E535E5C" w14:textId="77777777" w:rsidR="005012D4" w:rsidRDefault="005012D4"/>
  </w:footnote>
  <w:footnote w:id="2">
    <w:p w14:paraId="2C68B225" w14:textId="77777777" w:rsidR="005012D4" w:rsidRPr="007342CC" w:rsidRDefault="005012D4" w:rsidP="00C11FCB">
      <w:pPr>
        <w:pStyle w:val="Footer"/>
        <w:spacing w:after="0" w:line="200" w:lineRule="atLeast"/>
        <w:rPr>
          <w:rFonts w:cs="Arial"/>
          <w:szCs w:val="16"/>
        </w:rPr>
      </w:pPr>
      <w:r w:rsidRPr="007342CC">
        <w:rPr>
          <w:rStyle w:val="FootnoteReference"/>
          <w:rFonts w:cs="Arial"/>
          <w:szCs w:val="16"/>
        </w:rPr>
        <w:footnoteRef/>
      </w:r>
      <w:r w:rsidRPr="007342CC">
        <w:rPr>
          <w:rFonts w:cs="Arial"/>
          <w:szCs w:val="16"/>
        </w:rPr>
        <w:t xml:space="preserve"> </w:t>
      </w:r>
      <w:r w:rsidRPr="004A0EC1">
        <w:rPr>
          <w:rFonts w:cs="Arial"/>
          <w:szCs w:val="16"/>
        </w:rPr>
        <w:t xml:space="preserve">Report </w:t>
      </w:r>
      <w:hyperlink r:id="rId1" w:history="1">
        <w:r w:rsidRPr="004A0EC1">
          <w:rPr>
            <w:rStyle w:val="Hyperlink"/>
            <w:rFonts w:cs="Arial"/>
            <w:szCs w:val="16"/>
          </w:rPr>
          <w:t>ITU-R M.2410-0</w:t>
        </w:r>
      </w:hyperlink>
      <w:r w:rsidRPr="004A0EC1">
        <w:rPr>
          <w:rFonts w:cs="Arial"/>
          <w:szCs w:val="16"/>
        </w:rPr>
        <w:t xml:space="preserve"> Minimum requirements related to technical performance </w:t>
      </w:r>
      <w:r>
        <w:rPr>
          <w:rFonts w:cs="Arial"/>
          <w:szCs w:val="16"/>
        </w:rPr>
        <w:t xml:space="preserve">for IMT-2020 radio interface(s), </w:t>
      </w:r>
      <w:r w:rsidRPr="004A0EC1">
        <w:rPr>
          <w:rFonts w:cs="Arial"/>
          <w:szCs w:val="16"/>
        </w:rPr>
        <w:t>completed in November 2017</w:t>
      </w:r>
      <w:r>
        <w:rPr>
          <w:rFonts w:cs="Arial"/>
          <w:szCs w:val="16"/>
        </w:rPr>
        <w:t>.</w:t>
      </w:r>
    </w:p>
  </w:footnote>
  <w:footnote w:id="3">
    <w:p w14:paraId="47870624" w14:textId="77777777" w:rsidR="005012D4" w:rsidRPr="00E25DFF" w:rsidRDefault="005012D4" w:rsidP="00C11FCB">
      <w:pPr>
        <w:pStyle w:val="Footer"/>
        <w:spacing w:after="0" w:line="200" w:lineRule="atLeast"/>
        <w:rPr>
          <w:lang w:val="en-US"/>
        </w:rPr>
      </w:pPr>
      <w:r w:rsidRPr="007342CC">
        <w:rPr>
          <w:rStyle w:val="FootnoteReference"/>
          <w:rFonts w:cs="Arial"/>
          <w:szCs w:val="16"/>
        </w:rPr>
        <w:footnoteRef/>
      </w:r>
      <w:r w:rsidRPr="007342CC">
        <w:rPr>
          <w:rFonts w:cs="Arial"/>
          <w:szCs w:val="16"/>
        </w:rPr>
        <w:t xml:space="preserve"> See </w:t>
      </w:r>
      <w:hyperlink r:id="rId2" w:history="1">
        <w:r w:rsidRPr="007342CC">
          <w:rPr>
            <w:rStyle w:val="Hyperlink"/>
            <w:rFonts w:cs="Arial"/>
            <w:szCs w:val="16"/>
          </w:rPr>
          <w:t>5G-NR workplan for eMBB</w:t>
        </w:r>
      </w:hyperlink>
      <w:r w:rsidRPr="007342CC">
        <w:rPr>
          <w:rFonts w:cs="Arial"/>
          <w:szCs w:val="16"/>
          <w:lang w:val="en-US"/>
        </w:rPr>
        <w:t>.</w:t>
      </w:r>
    </w:p>
  </w:footnote>
  <w:footnote w:id="4">
    <w:p w14:paraId="22035E9C" w14:textId="77777777" w:rsidR="005012D4" w:rsidRPr="007342CC" w:rsidRDefault="005012D4" w:rsidP="00C11FCB">
      <w:pPr>
        <w:pStyle w:val="Footer"/>
        <w:spacing w:after="0" w:line="200" w:lineRule="atLeast"/>
        <w:rPr>
          <w:rFonts w:cs="Arial"/>
          <w:lang w:val="en-US"/>
        </w:rPr>
      </w:pPr>
      <w:r w:rsidRPr="00D1185A">
        <w:rPr>
          <w:rStyle w:val="FootnoteReference"/>
          <w:szCs w:val="16"/>
        </w:rPr>
        <w:footnoteRef/>
      </w:r>
      <w:r w:rsidRPr="00E25DFF">
        <w:rPr>
          <w:szCs w:val="16"/>
        </w:rPr>
        <w:t xml:space="preserve"> </w:t>
      </w:r>
      <w:r w:rsidRPr="006F542F">
        <w:rPr>
          <w:color w:val="auto"/>
          <w:szCs w:val="16"/>
        </w:rPr>
        <w:t>Millimetre waves (or mmWaves) span 30 to 300 GHz (i.e. a wavelength of 1 cm to 1 mm), however</w:t>
      </w:r>
      <w:r>
        <w:rPr>
          <w:color w:val="auto"/>
          <w:szCs w:val="16"/>
        </w:rPr>
        <w:t>,</w:t>
      </w:r>
      <w:r w:rsidRPr="006F542F">
        <w:rPr>
          <w:color w:val="auto"/>
          <w:szCs w:val="16"/>
        </w:rPr>
        <w:t xml:space="preserve"> in the current 5G context, mmWave bands in consideration span from around 24 GHz up to 86 GHz.</w:t>
      </w:r>
    </w:p>
  </w:footnote>
  <w:footnote w:id="5">
    <w:p w14:paraId="76513DBE" w14:textId="77777777" w:rsidR="005012D4" w:rsidRPr="00D210EA" w:rsidRDefault="005012D4" w:rsidP="006F542F">
      <w:pPr>
        <w:pStyle w:val="FootnoteText"/>
      </w:pPr>
      <w:r w:rsidRPr="00D210EA">
        <w:rPr>
          <w:rStyle w:val="FootnoteReference"/>
        </w:rPr>
        <w:footnoteRef/>
      </w:r>
      <w:r w:rsidRPr="00D210EA">
        <w:t xml:space="preserve"> </w:t>
      </w:r>
      <w:r>
        <w:t xml:space="preserve">See </w:t>
      </w:r>
      <w:hyperlink r:id="rId3" w:history="1">
        <w:r w:rsidRPr="00D210EA">
          <w:rPr>
            <w:rStyle w:val="Hyperlink"/>
            <w:i/>
          </w:rPr>
          <w:t>Impacts of 5G on productivity and economic growth</w:t>
        </w:r>
      </w:hyperlink>
      <w:r>
        <w:t>, Bureau of Communications and Arts Research, 9 April 2018.</w:t>
      </w:r>
    </w:p>
  </w:footnote>
  <w:footnote w:id="6">
    <w:p w14:paraId="25BA8F45" w14:textId="77777777" w:rsidR="005012D4" w:rsidRDefault="005012D4" w:rsidP="00C11FCB">
      <w:pPr>
        <w:pStyle w:val="FootnoteText"/>
      </w:pPr>
      <w:r>
        <w:rPr>
          <w:rStyle w:val="FootnoteReference"/>
        </w:rPr>
        <w:footnoteRef/>
      </w:r>
      <w:r>
        <w:t xml:space="preserve"> Sen. The Hon. Mitch Fifield, </w:t>
      </w:r>
      <w:hyperlink r:id="rId4" w:anchor=".WeVEz2epXSo" w:history="1">
        <w:r w:rsidRPr="00F053CF">
          <w:rPr>
            <w:rStyle w:val="Hyperlink"/>
          </w:rPr>
          <w:t>Turnbull Government to convene 5G working group</w:t>
        </w:r>
      </w:hyperlink>
      <w:r>
        <w:t>, media release, 12 October 2017.</w:t>
      </w:r>
    </w:p>
  </w:footnote>
  <w:footnote w:id="7">
    <w:p w14:paraId="01171D9E" w14:textId="77777777" w:rsidR="005012D4" w:rsidRDefault="005012D4" w:rsidP="00665B86">
      <w:pPr>
        <w:pStyle w:val="FootnoteText"/>
      </w:pPr>
      <w:r>
        <w:rPr>
          <w:rStyle w:val="FootnoteReference"/>
        </w:rPr>
        <w:footnoteRef/>
      </w:r>
      <w:r>
        <w:t xml:space="preserve"> </w:t>
      </w:r>
      <w:r w:rsidRPr="00F2691D">
        <w:rPr>
          <w:rStyle w:val="tgc"/>
          <w:rFonts w:cs="Arial"/>
          <w:bCs/>
          <w:color w:val="222222"/>
        </w:rPr>
        <w:t>Digital</w:t>
      </w:r>
      <w:r>
        <w:rPr>
          <w:rStyle w:val="tgc"/>
          <w:rFonts w:cs="Arial"/>
          <w:color w:val="222222"/>
        </w:rPr>
        <w:t xml:space="preserve"> Video Broadcasting – Terrestrial it is the </w:t>
      </w:r>
      <w:r w:rsidRPr="00F2691D">
        <w:rPr>
          <w:rStyle w:val="tgc"/>
          <w:rFonts w:cs="Arial"/>
          <w:bCs/>
          <w:color w:val="222222"/>
        </w:rPr>
        <w:t>DVB</w:t>
      </w:r>
      <w:r>
        <w:rPr>
          <w:rStyle w:val="tgc"/>
          <w:rFonts w:cs="Arial"/>
          <w:color w:val="222222"/>
        </w:rPr>
        <w:t xml:space="preserve"> European-based consortium standard for the broadcast transmission of </w:t>
      </w:r>
      <w:r w:rsidRPr="00F2691D">
        <w:rPr>
          <w:rStyle w:val="tgc"/>
          <w:rFonts w:cs="Arial"/>
          <w:bCs/>
          <w:color w:val="222222"/>
        </w:rPr>
        <w:t>digital</w:t>
      </w:r>
      <w:r>
        <w:rPr>
          <w:rStyle w:val="tgc"/>
          <w:rFonts w:cs="Arial"/>
          <w:color w:val="222222"/>
        </w:rPr>
        <w:t xml:space="preserve"> terrestrial </w:t>
      </w:r>
      <w:r w:rsidRPr="00F2691D">
        <w:rPr>
          <w:rStyle w:val="tgc"/>
          <w:rFonts w:cs="Arial"/>
          <w:bCs/>
          <w:color w:val="222222"/>
        </w:rPr>
        <w:t>television</w:t>
      </w:r>
      <w:r>
        <w:rPr>
          <w:rStyle w:val="tgc"/>
          <w:rFonts w:cs="Arial"/>
          <w:color w:val="222222"/>
        </w:rPr>
        <w:t xml:space="preserve"> that was first published in 1997.</w:t>
      </w:r>
    </w:p>
  </w:footnote>
  <w:footnote w:id="8">
    <w:p w14:paraId="6ED7D7D0" w14:textId="77777777" w:rsidR="005012D4" w:rsidRDefault="005012D4" w:rsidP="00665B86">
      <w:pPr>
        <w:pStyle w:val="FootnoteText"/>
      </w:pPr>
      <w:r>
        <w:rPr>
          <w:rStyle w:val="FootnoteReference"/>
        </w:rPr>
        <w:footnoteRef/>
      </w:r>
      <w:r>
        <w:t xml:space="preserve"> A five-fold increase would be relative to a DVB-T multiplex carrying MPEG-2 encoded services and </w:t>
      </w:r>
      <w:r w:rsidRPr="005759E7">
        <w:rPr>
          <w:rStyle w:val="tgc"/>
          <w:rFonts w:cs="Arial"/>
          <w:color w:val="222222"/>
        </w:rPr>
        <w:t>assumes: carriage of a similar quality and mix of SD and HD services, HEVC encoding being up to four times as efficient as MPEG-2, and DVB-T2 transmission parameters that provide a payload capacity of up to 34 Mbit/s.</w:t>
      </w:r>
    </w:p>
  </w:footnote>
  <w:footnote w:id="9">
    <w:p w14:paraId="697F4737" w14:textId="77777777" w:rsidR="005012D4" w:rsidRDefault="005012D4" w:rsidP="00665B86">
      <w:pPr>
        <w:pStyle w:val="FootnoteText"/>
      </w:pPr>
      <w:r>
        <w:rPr>
          <w:rStyle w:val="FootnoteReference"/>
          <w:rFonts w:eastAsiaTheme="majorEastAsia"/>
        </w:rPr>
        <w:footnoteRef/>
      </w:r>
      <w:r>
        <w:t xml:space="preserve"> FSS earth stations (as the name suggests) are intended to be at fixed locations on land. Spectrum planning, coordination and regulatory arrangements for FSS are designed on the principle that earth stations are at a fixed location and as such, moving earth stations are not typically supported by existing FSS arrangements.</w:t>
      </w:r>
    </w:p>
  </w:footnote>
  <w:footnote w:id="10">
    <w:p w14:paraId="52DBE9B6" w14:textId="77777777" w:rsidR="005012D4" w:rsidRDefault="005012D4" w:rsidP="00B52756">
      <w:pPr>
        <w:pStyle w:val="FootnoteText"/>
      </w:pPr>
      <w:r>
        <w:rPr>
          <w:rStyle w:val="FootnoteReference"/>
        </w:rPr>
        <w:footnoteRef/>
      </w:r>
      <w:r>
        <w:t xml:space="preserve"> In this context, a lower-tier user is a user that has lower priority compared to another user under a DSA arrangement. </w:t>
      </w:r>
    </w:p>
  </w:footnote>
  <w:footnote w:id="11">
    <w:p w14:paraId="59A1D810" w14:textId="77777777" w:rsidR="005012D4" w:rsidRDefault="005012D4" w:rsidP="005759E7">
      <w:pPr>
        <w:pStyle w:val="FootnoteText"/>
      </w:pPr>
      <w:r>
        <w:rPr>
          <w:rStyle w:val="FootnoteReference"/>
        </w:rPr>
        <w:footnoteRef/>
      </w:r>
      <w:r>
        <w:t xml:space="preserve"> This lower boundary (617 MHz) is based on the bottom edge of the 2 x 35 MHz plan identified for the US 600 MHz band. The size of any guard band between the bottom of possible 600 MHz arrangements and the upper edge of ongoing broadcasting would need to be considered as part of any review of the band. The upper boundary aligns with the top edge of the US 600 MHz band plan, noting that the top edge of the highest channel used for broadcasting in Australia ceases at 694 MHz. </w:t>
      </w:r>
    </w:p>
  </w:footnote>
  <w:footnote w:id="12">
    <w:p w14:paraId="30EABBB3" w14:textId="77777777" w:rsidR="005012D4" w:rsidRDefault="005012D4" w:rsidP="009C0BE6">
      <w:pPr>
        <w:pStyle w:val="FootnoteText"/>
      </w:pPr>
      <w:r>
        <w:rPr>
          <w:rStyle w:val="FootnoteReference"/>
        </w:rPr>
        <w:footnoteRef/>
      </w:r>
      <w:r>
        <w:t xml:space="preserve"> </w:t>
      </w:r>
      <w:r>
        <w:rPr>
          <w:rStyle w:val="FooterChar"/>
        </w:rPr>
        <w:t xml:space="preserve">Minister of Communications Malcolm Turnbull’s speech to RadComms 2014, available at </w:t>
      </w:r>
      <w:hyperlink r:id="rId5" w:history="1">
        <w:r>
          <w:rPr>
            <w:rStyle w:val="Hyperlink"/>
            <w:rFonts w:eastAsiaTheme="majorEastAsia"/>
          </w:rPr>
          <w:t>www.malcolmturnbull.com.au/media/radcomms-2014-spectrum-in-the-age-of-digital-innovation</w:t>
        </w:r>
      </w:hyperlink>
      <w:r>
        <w:rPr>
          <w:rStyle w:val="FooterChar"/>
        </w:rPr>
        <w:t xml:space="preserve">. </w:t>
      </w:r>
    </w:p>
  </w:footnote>
  <w:footnote w:id="13">
    <w:p w14:paraId="382F8C5B" w14:textId="77777777" w:rsidR="005012D4" w:rsidRDefault="005012D4" w:rsidP="003E4A13">
      <w:pPr>
        <w:pStyle w:val="FootnoteText"/>
      </w:pPr>
      <w:r>
        <w:rPr>
          <w:rStyle w:val="FootnoteReference"/>
        </w:rPr>
        <w:footnoteRef/>
      </w:r>
      <w:r>
        <w:t xml:space="preserve"> Information available on the </w:t>
      </w:r>
      <w:hyperlink r:id="rId6" w:anchor="block-menu-block-4" w:history="1">
        <w:r>
          <w:rPr>
            <w:rStyle w:val="Hyperlink"/>
            <w:rFonts w:eastAsiaTheme="majorEastAsia"/>
          </w:rPr>
          <w:t>FCC website</w:t>
        </w:r>
      </w:hyperlink>
      <w:r>
        <w:t>.</w:t>
      </w:r>
    </w:p>
  </w:footnote>
  <w:footnote w:id="14">
    <w:p w14:paraId="13286018" w14:textId="77777777" w:rsidR="005012D4" w:rsidRDefault="005012D4" w:rsidP="003E4A13">
      <w:pPr>
        <w:pStyle w:val="FootnoteText"/>
      </w:pPr>
      <w:r>
        <w:rPr>
          <w:rStyle w:val="FootnoteReference"/>
        </w:rPr>
        <w:footnoteRef/>
      </w:r>
      <w:r>
        <w:t xml:space="preserve"> WiMAX networks in India, Medicine Industry News and Marketplace, June 19 2006, </w:t>
      </w:r>
      <w:hyperlink r:id="rId7" w:history="1">
        <w:r>
          <w:rPr>
            <w:rStyle w:val="Hyperlink"/>
            <w:rFonts w:eastAsiaTheme="majorEastAsia"/>
          </w:rPr>
          <w:t>www.wimax-industry.com/ar/7c.htm</w:t>
        </w:r>
      </w:hyperlink>
      <w:r w:rsidRPr="005759E7">
        <w:rPr>
          <w:rStyle w:val="Hyperlink"/>
          <w:rFonts w:eastAsiaTheme="majorEastAsia"/>
          <w:color w:val="auto"/>
          <w:u w:val="none"/>
        </w:rPr>
        <w:t>.</w:t>
      </w:r>
    </w:p>
  </w:footnote>
  <w:footnote w:id="15">
    <w:p w14:paraId="0EFB34D1" w14:textId="77777777" w:rsidR="005012D4" w:rsidRDefault="005012D4" w:rsidP="003E4A13">
      <w:pPr>
        <w:pStyle w:val="FootnoteText"/>
      </w:pPr>
      <w:r>
        <w:rPr>
          <w:rStyle w:val="FootnoteReference"/>
        </w:rPr>
        <w:footnoteRef/>
      </w:r>
      <w:r>
        <w:t xml:space="preserve"> GSA – Global mobile Suppliers Association, </w:t>
      </w:r>
      <w:hyperlink r:id="rId8" w:history="1">
        <w:r>
          <w:rPr>
            <w:rStyle w:val="Hyperlink"/>
            <w:rFonts w:eastAsiaTheme="majorEastAsia"/>
          </w:rPr>
          <w:t>The case for new 5G spectrum</w:t>
        </w:r>
      </w:hyperlink>
      <w:r>
        <w:t>, November 2016.</w:t>
      </w:r>
    </w:p>
  </w:footnote>
  <w:footnote w:id="16">
    <w:p w14:paraId="5625DCF6" w14:textId="77777777" w:rsidR="005012D4" w:rsidRDefault="005012D4" w:rsidP="003E4A13">
      <w:pPr>
        <w:pStyle w:val="FootnoteText"/>
      </w:pPr>
      <w:r>
        <w:rPr>
          <w:rStyle w:val="FootnoteReference"/>
        </w:rPr>
        <w:footnoteRef/>
      </w:r>
      <w:r>
        <w:t xml:space="preserve"> </w:t>
      </w:r>
      <w:hyperlink r:id="rId9" w:history="1">
        <w:r>
          <w:rPr>
            <w:rStyle w:val="Hyperlink"/>
            <w:rFonts w:eastAsiaTheme="majorEastAsia"/>
          </w:rPr>
          <w:t>ECC PT1 (17)055</w:t>
        </w:r>
      </w:hyperlink>
      <w:r>
        <w:t>- Mandate to CEPT to develop harmonised technical conditions for spectrum use in support of the introduction of next-generation (5G) terrestrial wireless systems in the Union.</w:t>
      </w:r>
    </w:p>
  </w:footnote>
  <w:footnote w:id="17">
    <w:p w14:paraId="059ABB90" w14:textId="77777777" w:rsidR="005012D4" w:rsidRPr="00A519D0" w:rsidRDefault="005012D4" w:rsidP="005759E7">
      <w:pPr>
        <w:pStyle w:val="FootnoteText"/>
      </w:pPr>
      <w:r>
        <w:rPr>
          <w:rStyle w:val="FootnoteReference"/>
        </w:rPr>
        <w:footnoteRef/>
      </w:r>
      <w:r>
        <w:t xml:space="preserve"> ECC Report 281, </w:t>
      </w:r>
      <w:r w:rsidRPr="00D46770">
        <w:rPr>
          <w:i/>
        </w:rPr>
        <w:t>Analysis of the suitability of the regulatory technical conditions for 5G MFCN operation in the 3400-3800 MHz band</w:t>
      </w:r>
      <w:r>
        <w:t xml:space="preserve"> and CEPT Report 67, </w:t>
      </w:r>
      <w:r w:rsidRPr="00D46770">
        <w:rPr>
          <w:i/>
        </w:rPr>
        <w:t>Review of the harmonised technical conditions applicable to the 3.4-3.8 GHz ('3.6 GHz') frequency band</w:t>
      </w:r>
      <w:r>
        <w:t>.</w:t>
      </w:r>
    </w:p>
  </w:footnote>
  <w:footnote w:id="18">
    <w:p w14:paraId="1C1A2FE6" w14:textId="77777777" w:rsidR="005012D4" w:rsidRDefault="005012D4" w:rsidP="00EB6D74">
      <w:pPr>
        <w:pStyle w:val="FootnoteText"/>
      </w:pPr>
      <w:r>
        <w:rPr>
          <w:rStyle w:val="FootnoteReference"/>
        </w:rPr>
        <w:footnoteRef/>
      </w:r>
      <w:r>
        <w:t xml:space="preserve"> GSA–Global mobile Suppliers Association, </w:t>
      </w:r>
      <w:hyperlink r:id="rId10" w:history="1">
        <w:r>
          <w:rPr>
            <w:rStyle w:val="Hyperlink"/>
            <w:rFonts w:eastAsiaTheme="majorEastAsia"/>
          </w:rPr>
          <w:t>The case for new 5G spectrum</w:t>
        </w:r>
      </w:hyperlink>
      <w:r>
        <w:t>, November 2016.</w:t>
      </w:r>
    </w:p>
  </w:footnote>
  <w:footnote w:id="19">
    <w:p w14:paraId="33AC40F4" w14:textId="77777777" w:rsidR="005012D4" w:rsidRDefault="005012D4" w:rsidP="00EB6D74">
      <w:pPr>
        <w:pStyle w:val="FootnoteText"/>
      </w:pPr>
      <w:r>
        <w:rPr>
          <w:rStyle w:val="FootnoteReference"/>
        </w:rPr>
        <w:footnoteRef/>
      </w:r>
      <w:r>
        <w:t xml:space="preserve"> Vodafone, </w:t>
      </w:r>
      <w:hyperlink r:id="rId11" w:history="1">
        <w:r>
          <w:rPr>
            <w:rStyle w:val="Hyperlink"/>
            <w:rFonts w:eastAsiaTheme="majorEastAsia"/>
          </w:rPr>
          <w:t>Vodafone and Nokia conduct Australia’s first live public 5G trial</w:t>
        </w:r>
      </w:hyperlink>
      <w:r>
        <w:t>, 12 October 2016.</w:t>
      </w:r>
    </w:p>
  </w:footnote>
  <w:footnote w:id="20">
    <w:p w14:paraId="7244A588" w14:textId="77777777" w:rsidR="005012D4" w:rsidRDefault="005012D4" w:rsidP="00EB6D74">
      <w:pPr>
        <w:pStyle w:val="FootnoteText"/>
      </w:pPr>
      <w:r>
        <w:rPr>
          <w:rStyle w:val="FootnoteReference"/>
        </w:rPr>
        <w:footnoteRef/>
      </w:r>
      <w:r>
        <w:t xml:space="preserve"> Ericsson, </w:t>
      </w:r>
      <w:hyperlink r:id="rId12" w:history="1">
        <w:r>
          <w:rPr>
            <w:rStyle w:val="Hyperlink"/>
            <w:rFonts w:eastAsiaTheme="majorEastAsia"/>
          </w:rPr>
          <w:t>Ericsson and SoftBank trial 5G in 4.5 GHz band</w:t>
        </w:r>
      </w:hyperlink>
      <w:r>
        <w:t>, 31 August 2017.</w:t>
      </w:r>
    </w:p>
  </w:footnote>
  <w:footnote w:id="21">
    <w:p w14:paraId="4E8F4AE4" w14:textId="77777777" w:rsidR="005012D4" w:rsidRDefault="005012D4" w:rsidP="005759E7">
      <w:pPr>
        <w:pStyle w:val="FootnoteText"/>
      </w:pPr>
      <w:r>
        <w:rPr>
          <w:rStyle w:val="FootnoteReference"/>
        </w:rPr>
        <w:footnoteRef/>
      </w:r>
      <w:r>
        <w:t xml:space="preserve"> </w:t>
      </w:r>
      <w:hyperlink r:id="rId13" w:history="1">
        <w:r w:rsidRPr="000E605D">
          <w:rPr>
            <w:rStyle w:val="Hyperlink"/>
          </w:rPr>
          <w:t>Spectrum for 4G and 5G, Qualcomm, December 2017</w:t>
        </w:r>
      </w:hyperlink>
      <w:r w:rsidRPr="005759E7">
        <w:rPr>
          <w:rStyle w:val="Hyperlink"/>
          <w:color w:val="auto"/>
          <w:u w:val="none"/>
        </w:rPr>
        <w:t>.</w:t>
      </w:r>
      <w:r>
        <w:t xml:space="preserve"> </w:t>
      </w:r>
    </w:p>
  </w:footnote>
  <w:footnote w:id="22">
    <w:p w14:paraId="6A38E9A9" w14:textId="77777777" w:rsidR="005012D4" w:rsidRDefault="005012D4" w:rsidP="003E4A13">
      <w:pPr>
        <w:pStyle w:val="FootnoteText"/>
        <w:rPr>
          <w:rFonts w:cs="Arial"/>
        </w:rPr>
      </w:pPr>
      <w:r>
        <w:rPr>
          <w:rStyle w:val="FootnoteReference"/>
        </w:rPr>
        <w:footnoteRef/>
      </w:r>
      <w:r>
        <w:rPr>
          <w:rFonts w:cs="Arial"/>
        </w:rPr>
        <w:t xml:space="preserve"> In accordance with ITU-R Resolution </w:t>
      </w:r>
      <w:r>
        <w:rPr>
          <w:rFonts w:cs="Arial"/>
          <w:b/>
        </w:rPr>
        <w:t>646</w:t>
      </w:r>
      <w:r>
        <w:rPr>
          <w:rFonts w:cs="Arial"/>
        </w:rPr>
        <w:t>.</w:t>
      </w:r>
    </w:p>
  </w:footnote>
  <w:footnote w:id="23">
    <w:p w14:paraId="2468FA9F" w14:textId="77777777" w:rsidR="005012D4" w:rsidRDefault="005012D4" w:rsidP="005759E7">
      <w:pPr>
        <w:pStyle w:val="FootnoteText"/>
      </w:pPr>
      <w:r>
        <w:rPr>
          <w:rStyle w:val="FootnoteReference"/>
        </w:rPr>
        <w:footnoteRef/>
      </w:r>
      <w:r>
        <w:t xml:space="preserve"> </w:t>
      </w:r>
      <w:hyperlink r:id="rId14" w:history="1">
        <w:r w:rsidRPr="000E605D">
          <w:rPr>
            <w:rStyle w:val="Hyperlink"/>
          </w:rPr>
          <w:t>Spectrum for 4G and 5G, Qualcomm, December 2017</w:t>
        </w:r>
      </w:hyperlink>
      <w:r>
        <w:t xml:space="preserve"> </w:t>
      </w:r>
    </w:p>
  </w:footnote>
  <w:footnote w:id="24">
    <w:p w14:paraId="6A6373C3" w14:textId="77777777" w:rsidR="005012D4" w:rsidRDefault="005012D4" w:rsidP="003E4A13">
      <w:pPr>
        <w:pStyle w:val="FootnoteText"/>
      </w:pPr>
      <w:r>
        <w:rPr>
          <w:rStyle w:val="FootnoteReference"/>
        </w:rPr>
        <w:footnoteRef/>
      </w:r>
      <w:r>
        <w:t xml:space="preserve"> The Radio Spectrum Policy Group (RSPG) is a high-level advisory group that assists the European Commission in the development of radio spectrum policy.</w:t>
      </w:r>
    </w:p>
  </w:footnote>
  <w:footnote w:id="25">
    <w:p w14:paraId="045CDD0E" w14:textId="77777777" w:rsidR="005012D4" w:rsidRDefault="005012D4" w:rsidP="003E4A13">
      <w:pPr>
        <w:pStyle w:val="FootnoteText"/>
      </w:pPr>
      <w:r>
        <w:rPr>
          <w:rStyle w:val="FootnoteReference"/>
        </w:rPr>
        <w:footnoteRef/>
      </w:r>
      <w:r>
        <w:t xml:space="preserve"> Report and Order and Further Notice of Proposed Rulemaking, </w:t>
      </w:r>
      <w:hyperlink r:id="rId15" w:history="1">
        <w:r>
          <w:rPr>
            <w:rStyle w:val="Hyperlink"/>
            <w:rFonts w:eastAsiaTheme="majorEastAsia"/>
          </w:rPr>
          <w:t>FCC 16-89</w:t>
        </w:r>
      </w:hyperlink>
      <w:r w:rsidRPr="005759E7">
        <w:rPr>
          <w:rStyle w:val="Hyperlink"/>
          <w:rFonts w:eastAsiaTheme="majorEastAsia"/>
          <w:color w:val="auto"/>
          <w:u w:val="none"/>
        </w:rPr>
        <w:t>.</w:t>
      </w:r>
      <w:r>
        <w:t xml:space="preserve"> </w:t>
      </w:r>
    </w:p>
  </w:footnote>
  <w:footnote w:id="26">
    <w:p w14:paraId="7999140F" w14:textId="77777777" w:rsidR="005012D4" w:rsidRDefault="005012D4" w:rsidP="003E4A13">
      <w:pPr>
        <w:pStyle w:val="FootnoteText"/>
      </w:pPr>
      <w:r>
        <w:rPr>
          <w:rStyle w:val="FootnoteReference"/>
        </w:rPr>
        <w:footnoteRef/>
      </w:r>
      <w:r>
        <w:t xml:space="preserve"> Report and Order and Further Notice of Proposed Rulemaking, </w:t>
      </w:r>
      <w:hyperlink r:id="rId16" w:history="1">
        <w:r>
          <w:rPr>
            <w:rStyle w:val="Hyperlink"/>
            <w:rFonts w:eastAsiaTheme="majorEastAsia"/>
          </w:rPr>
          <w:t>FCC 16-89</w:t>
        </w:r>
      </w:hyperlink>
      <w:r w:rsidRPr="005759E7">
        <w:rPr>
          <w:rStyle w:val="Hyperlink"/>
          <w:rFonts w:eastAsiaTheme="majorEastAsia"/>
          <w:color w:val="auto"/>
          <w:u w:val="none"/>
        </w:rPr>
        <w:t>.</w:t>
      </w:r>
      <w:r>
        <w:t xml:space="preserve"> </w:t>
      </w:r>
    </w:p>
  </w:footnote>
  <w:footnote w:id="27">
    <w:p w14:paraId="00A38993" w14:textId="77777777" w:rsidR="005012D4" w:rsidRDefault="005012D4" w:rsidP="003E4A13">
      <w:pPr>
        <w:pStyle w:val="FootnoteText"/>
      </w:pPr>
      <w:r>
        <w:rPr>
          <w:rStyle w:val="FootnoteReference"/>
        </w:rPr>
        <w:footnoteRef/>
      </w:r>
      <w:r>
        <w:t xml:space="preserve"> Contribution to WRC-15, </w:t>
      </w:r>
      <w:hyperlink r:id="rId17" w:history="1">
        <w:r>
          <w:rPr>
            <w:rStyle w:val="Hyperlink"/>
            <w:rFonts w:eastAsiaTheme="majorEastAsia"/>
          </w:rPr>
          <w:t>Revision 1 to Document 102(Add.24)</w:t>
        </w:r>
      </w:hyperlink>
      <w:r>
        <w:t>, Korea (Republic of).</w:t>
      </w:r>
    </w:p>
  </w:footnote>
  <w:footnote w:id="28">
    <w:p w14:paraId="1CE18546" w14:textId="77777777" w:rsidR="005012D4" w:rsidRDefault="005012D4" w:rsidP="002E3B22">
      <w:pPr>
        <w:pStyle w:val="FootnoteText"/>
        <w:ind w:left="113" w:hanging="113"/>
      </w:pPr>
      <w:r>
        <w:rPr>
          <w:rStyle w:val="FootnoteReference"/>
        </w:rPr>
        <w:footnoteRef/>
      </w:r>
      <w:r>
        <w:t xml:space="preserve"> Refer to </w:t>
      </w:r>
      <w:hyperlink r:id="rId18" w:history="1">
        <w:r>
          <w:rPr>
            <w:rStyle w:val="Hyperlink"/>
            <w:rFonts w:eastAsiaTheme="majorEastAsia"/>
          </w:rPr>
          <w:t>www.acma.gov.au/theACMA/25-ghz-band-review</w:t>
        </w:r>
      </w:hyperlink>
      <w:r>
        <w:t>.</w:t>
      </w:r>
    </w:p>
  </w:footnote>
  <w:footnote w:id="29">
    <w:p w14:paraId="12C2A31A" w14:textId="77777777" w:rsidR="005012D4" w:rsidRDefault="005012D4" w:rsidP="002E3B22">
      <w:pPr>
        <w:pStyle w:val="FootnoteText"/>
        <w:ind w:left="113" w:hanging="113"/>
      </w:pPr>
      <w:r>
        <w:rPr>
          <w:rStyle w:val="FootnoteReference"/>
        </w:rPr>
        <w:footnoteRef/>
      </w:r>
      <w:r>
        <w:t xml:space="preserve"> Available from the </w:t>
      </w:r>
      <w:hyperlink r:id="rId19" w:history="1">
        <w:r>
          <w:rPr>
            <w:rStyle w:val="Hyperlink"/>
            <w:rFonts w:eastAsiaTheme="majorEastAsia"/>
          </w:rPr>
          <w:t>ACMA website</w:t>
        </w:r>
      </w:hyperlink>
      <w:r>
        <w:t xml:space="preserve"> and last revised September 2013.</w:t>
      </w:r>
    </w:p>
  </w:footnote>
  <w:footnote w:id="30">
    <w:p w14:paraId="4FF7E52A" w14:textId="77777777" w:rsidR="005012D4" w:rsidRDefault="005012D4" w:rsidP="002E3B22">
      <w:pPr>
        <w:pStyle w:val="FootnoteText"/>
      </w:pPr>
      <w:r>
        <w:rPr>
          <w:rStyle w:val="FootnoteReference"/>
        </w:rPr>
        <w:footnoteRef/>
      </w:r>
      <w:r>
        <w:t xml:space="preserve"> Available on the ITU-R website at </w:t>
      </w:r>
      <w:hyperlink r:id="rId20" w:history="1">
        <w:r>
          <w:rPr>
            <w:rStyle w:val="Hyperlink"/>
            <w:rFonts w:eastAsiaTheme="majorEastAsia"/>
          </w:rPr>
          <w:t>www.itu.int/rec/R-REC-M.1036/en</w:t>
        </w:r>
      </w:hyperlink>
      <w:r w:rsidRPr="005759E7">
        <w:rPr>
          <w:rStyle w:val="Hyperlink"/>
          <w:rFonts w:eastAsiaTheme="majorEastAsia"/>
          <w:color w:val="auto"/>
          <w:u w:val="none"/>
        </w:rPr>
        <w:t>.</w:t>
      </w:r>
      <w:r>
        <w:t xml:space="preserve"> </w:t>
      </w:r>
    </w:p>
  </w:footnote>
  <w:footnote w:id="31">
    <w:p w14:paraId="741F4DBD" w14:textId="77777777" w:rsidR="005012D4" w:rsidRDefault="005012D4" w:rsidP="005759E7">
      <w:pPr>
        <w:pStyle w:val="FootnoteText"/>
      </w:pPr>
      <w:r>
        <w:rPr>
          <w:rStyle w:val="FootnoteReference"/>
        </w:rPr>
        <w:footnoteRef/>
      </w:r>
      <w:r>
        <w:t xml:space="preserve"> </w:t>
      </w:r>
      <w:r w:rsidRPr="00543753">
        <w:rPr>
          <w:rFonts w:cs="Arial"/>
        </w:rPr>
        <w:t xml:space="preserve">Refer to the </w:t>
      </w:r>
      <w:hyperlink r:id="rId21" w:history="1">
        <w:r w:rsidRPr="00543753">
          <w:rPr>
            <w:rStyle w:val="Hyperlink"/>
            <w:rFonts w:cs="Arial"/>
            <w:bCs/>
          </w:rPr>
          <w:t>Radiocommunications (Spectrum Re-allocation—3.6 GHz Band for Adelaide and Eastern Metropolitan Australia) Declaration 2018</w:t>
        </w:r>
      </w:hyperlink>
      <w:r w:rsidRPr="00543753">
        <w:rPr>
          <w:rFonts w:cs="Arial"/>
        </w:rPr>
        <w:t xml:space="preserve">, </w:t>
      </w:r>
      <w:hyperlink r:id="rId22" w:history="1">
        <w:r w:rsidRPr="00543753">
          <w:rPr>
            <w:rStyle w:val="Hyperlink"/>
            <w:rFonts w:cs="Arial"/>
            <w:bCs/>
          </w:rPr>
          <w:t>Radiocommunications (Spectrum Re-allocation—3.6 GHz Band for Perth) Declaration 2018</w:t>
        </w:r>
      </w:hyperlink>
      <w:r w:rsidRPr="00543753">
        <w:rPr>
          <w:rFonts w:cs="Arial"/>
        </w:rPr>
        <w:t xml:space="preserve"> and </w:t>
      </w:r>
      <w:hyperlink r:id="rId23" w:history="1">
        <w:r w:rsidRPr="00543753">
          <w:rPr>
            <w:rStyle w:val="Hyperlink"/>
            <w:rFonts w:cs="Arial"/>
            <w:bCs/>
          </w:rPr>
          <w:t>Radiocommunications (Spectrum Re-allocation—3.6 GHz Band for Regional Australia) Declaration 2018</w:t>
        </w:r>
      </w:hyperlink>
      <w:r w:rsidRPr="005759E7">
        <w:rPr>
          <w:rStyle w:val="Hyperlink"/>
          <w:rFonts w:cs="Arial"/>
          <w:bCs/>
          <w:color w:val="auto"/>
          <w:u w:val="none"/>
        </w:rPr>
        <w:t>.</w:t>
      </w:r>
    </w:p>
  </w:footnote>
  <w:footnote w:id="32">
    <w:p w14:paraId="6FF64D22" w14:textId="77777777" w:rsidR="005012D4" w:rsidRDefault="005012D4" w:rsidP="005759E7">
      <w:pPr>
        <w:pStyle w:val="FootnoteText"/>
      </w:pPr>
      <w:r>
        <w:rPr>
          <w:rStyle w:val="FootnoteReference"/>
        </w:rPr>
        <w:footnoteRef/>
      </w:r>
      <w:r>
        <w:t xml:space="preserve"> </w:t>
      </w:r>
      <w:r w:rsidRPr="00543753">
        <w:rPr>
          <w:rFonts w:cs="Arial"/>
        </w:rPr>
        <w:t xml:space="preserve">Refer to the </w:t>
      </w:r>
      <w:hyperlink r:id="rId24" w:history="1">
        <w:r w:rsidRPr="00543753">
          <w:rPr>
            <w:rStyle w:val="Hyperlink"/>
            <w:rFonts w:cs="Arial"/>
            <w:bCs/>
          </w:rPr>
          <w:t>Radiocommunications (Spectrum Re-allocation—3.6 GHz Band for Adelaide and Eastern Metropolitan Australia) Declaration 2018</w:t>
        </w:r>
      </w:hyperlink>
      <w:r w:rsidRPr="00543753">
        <w:rPr>
          <w:rFonts w:cs="Arial"/>
        </w:rPr>
        <w:t xml:space="preserve">, </w:t>
      </w:r>
      <w:hyperlink r:id="rId25" w:history="1">
        <w:r w:rsidRPr="00543753">
          <w:rPr>
            <w:rStyle w:val="Hyperlink"/>
            <w:rFonts w:cs="Arial"/>
            <w:bCs/>
          </w:rPr>
          <w:t>Radiocommunications (Spectrum Re-allocation—3.6 GHz Band for Perth) Declaration 2018</w:t>
        </w:r>
      </w:hyperlink>
      <w:r w:rsidRPr="00543753">
        <w:rPr>
          <w:rFonts w:cs="Arial"/>
        </w:rPr>
        <w:t xml:space="preserve"> and </w:t>
      </w:r>
      <w:hyperlink r:id="rId26" w:history="1">
        <w:r w:rsidRPr="00543753">
          <w:rPr>
            <w:rStyle w:val="Hyperlink"/>
            <w:rFonts w:cs="Arial"/>
            <w:bCs/>
          </w:rPr>
          <w:t>Radiocommunications (Spectrum Re-allocation—3.6 GHz Band for Regional Australia) Declaration 2018</w:t>
        </w:r>
      </w:hyperlink>
      <w:r w:rsidRPr="005759E7">
        <w:rPr>
          <w:rStyle w:val="Hyperlink"/>
          <w:rFonts w:cs="Arial"/>
          <w:bCs/>
          <w:color w:val="auto"/>
          <w:u w:val="none"/>
        </w:rPr>
        <w:t>.</w:t>
      </w:r>
    </w:p>
  </w:footnote>
  <w:footnote w:id="33">
    <w:p w14:paraId="56FA0CC2" w14:textId="77777777" w:rsidR="005012D4" w:rsidRDefault="005012D4" w:rsidP="005759E7">
      <w:pPr>
        <w:pStyle w:val="FootnoteText"/>
      </w:pPr>
      <w:r>
        <w:rPr>
          <w:rStyle w:val="FootnoteReference"/>
        </w:rPr>
        <w:footnoteRef/>
      </w:r>
      <w:r>
        <w:t xml:space="preserve"> For example, those of </w:t>
      </w:r>
      <w:r w:rsidRPr="00552CAE">
        <w:rPr>
          <w:rFonts w:cs="Arial"/>
          <w:szCs w:val="20"/>
        </w:rPr>
        <w:t xml:space="preserve">the </w:t>
      </w:r>
      <w:r w:rsidRPr="00E325A7">
        <w:rPr>
          <w:rFonts w:cs="Arial"/>
          <w:szCs w:val="20"/>
        </w:rPr>
        <w:t>Radiocommunications (Communication with Space Object) Class Licence 2015</w:t>
      </w:r>
      <w:r>
        <w:rPr>
          <w:rFonts w:cs="Arial"/>
          <w:szCs w:val="20"/>
        </w:rPr>
        <w:t xml:space="preserve">, </w:t>
      </w:r>
      <w:hyperlink r:id="rId27" w:history="1">
        <w:r w:rsidRPr="00D220D6">
          <w:rPr>
            <w:rStyle w:val="Hyperlink"/>
            <w:rFonts w:cs="Arial"/>
            <w:szCs w:val="20"/>
            <w:lang w:val="en"/>
          </w:rPr>
          <w:t>Radiocommunications (Foreign Space Objects) Determination 2014</w:t>
        </w:r>
      </w:hyperlink>
      <w:r>
        <w:rPr>
          <w:rFonts w:cs="Arial"/>
          <w:szCs w:val="20"/>
          <w:lang w:val="en"/>
        </w:rPr>
        <w:t xml:space="preserve">, </w:t>
      </w:r>
      <w:r w:rsidRPr="00D220D6">
        <w:rPr>
          <w:rFonts w:cs="Arial"/>
          <w:szCs w:val="20"/>
          <w:lang w:val="en"/>
        </w:rPr>
        <w:t>Radiocommunications (Australian Space Objects) Determination 2014</w:t>
      </w:r>
      <w:r>
        <w:rPr>
          <w:rFonts w:cs="Arial"/>
          <w:szCs w:val="20"/>
          <w:lang w:val="en"/>
        </w:rPr>
        <w:t>.</w:t>
      </w:r>
    </w:p>
  </w:footnote>
  <w:footnote w:id="34">
    <w:p w14:paraId="51C84E9C" w14:textId="77777777" w:rsidR="005012D4" w:rsidRDefault="005012D4" w:rsidP="000B35F0">
      <w:pPr>
        <w:pStyle w:val="FootnoteText"/>
      </w:pPr>
      <w:r>
        <w:rPr>
          <w:rStyle w:val="FootnoteReference"/>
        </w:rPr>
        <w:footnoteRef/>
      </w:r>
      <w:r>
        <w:t xml:space="preserve"> </w:t>
      </w:r>
      <w:hyperlink r:id="rId28" w:history="1">
        <w:r>
          <w:rPr>
            <w:rStyle w:val="Hyperlink"/>
          </w:rPr>
          <w:t>Business operating procedures</w:t>
        </w:r>
      </w:hyperlink>
      <w:r>
        <w:t>, including those related to space licensing, are available on the ACMA website.</w:t>
      </w:r>
    </w:p>
  </w:footnote>
  <w:footnote w:id="35">
    <w:p w14:paraId="0C7C923D" w14:textId="77777777" w:rsidR="005012D4" w:rsidRDefault="005012D4" w:rsidP="0037046B">
      <w:pPr>
        <w:pStyle w:val="FootnoteText"/>
      </w:pPr>
      <w:r>
        <w:rPr>
          <w:rStyle w:val="FootnoteReference"/>
        </w:rPr>
        <w:footnoteRef/>
      </w:r>
      <w:r>
        <w:t xml:space="preserve"> See </w:t>
      </w:r>
      <w:hyperlink r:id="rId29" w:history="1">
        <w:r w:rsidRPr="00DB69B8">
          <w:rPr>
            <w:rStyle w:val="Hyperlink"/>
          </w:rPr>
          <w:t>https://www.minister.defence.gov.au/minister/marise-payne/media-releases/minister-defence-industry-minister-defence-boon-australian</w:t>
        </w:r>
      </w:hyperlink>
      <w:r>
        <w:t>.</w:t>
      </w:r>
    </w:p>
  </w:footnote>
  <w:footnote w:id="36">
    <w:p w14:paraId="2202E04A" w14:textId="77777777" w:rsidR="005012D4" w:rsidRDefault="005012D4" w:rsidP="005759E7">
      <w:pPr>
        <w:pStyle w:val="FootnoteText"/>
      </w:pPr>
      <w:r>
        <w:rPr>
          <w:rStyle w:val="FootnoteReference"/>
        </w:rPr>
        <w:footnoteRef/>
      </w:r>
      <w:r>
        <w:t xml:space="preserve"> </w:t>
      </w:r>
      <w:hyperlink r:id="rId30" w:history="1">
        <w:r w:rsidRPr="003C7C0E">
          <w:rPr>
            <w:rStyle w:val="Hyperlink"/>
          </w:rPr>
          <w:t>One reallocation declaration</w:t>
        </w:r>
      </w:hyperlink>
      <w:r>
        <w:t xml:space="preserve"> relates to mainland capital cities other than Perth, a </w:t>
      </w:r>
      <w:hyperlink r:id="rId31" w:history="1">
        <w:r w:rsidRPr="003C7C0E">
          <w:rPr>
            <w:rStyle w:val="Hyperlink"/>
          </w:rPr>
          <w:t>second</w:t>
        </w:r>
      </w:hyperlink>
      <w:r>
        <w:t xml:space="preserve"> relates to Perth, and a </w:t>
      </w:r>
      <w:hyperlink r:id="rId32" w:history="1">
        <w:r w:rsidRPr="003C7C0E">
          <w:rPr>
            <w:rStyle w:val="Hyperlink"/>
          </w:rPr>
          <w:t>third</w:t>
        </w:r>
      </w:hyperlink>
      <w:r>
        <w:t xml:space="preserve"> relates to regional Australia.</w:t>
      </w:r>
    </w:p>
  </w:footnote>
  <w:footnote w:id="37">
    <w:p w14:paraId="63633E36" w14:textId="77777777" w:rsidR="005012D4" w:rsidRDefault="005012D4" w:rsidP="005759E7">
      <w:pPr>
        <w:pStyle w:val="FootnoteText"/>
      </w:pPr>
      <w:r>
        <w:rPr>
          <w:rStyle w:val="FootnoteReference"/>
        </w:rPr>
        <w:footnoteRef/>
      </w:r>
      <w:r>
        <w:t xml:space="preserve"> The reallocation declaration specifies a reallocation deadline of 12 months before the end of the reallocation period (subsection 153B(5) of the </w:t>
      </w:r>
      <w:r w:rsidRPr="00CA45D7">
        <w:rPr>
          <w:i/>
        </w:rPr>
        <w:t>Radiocommunications Act 1992</w:t>
      </w:r>
      <w:r>
        <w:rPr>
          <w:i/>
        </w:rPr>
        <w:t>)</w:t>
      </w:r>
      <w:r>
        <w:t>. Section 153K has the effect of revoking the reallocation declaration if no spectrum licence is allocated by the reallocation deadline. To avoid revocation of the reallocation declaration, the ACMA needs to have allocated one or more spectrum licences by 8 March 2019.</w:t>
      </w:r>
    </w:p>
  </w:footnote>
  <w:footnote w:id="38">
    <w:p w14:paraId="71569AD2" w14:textId="77777777" w:rsidR="005012D4" w:rsidRDefault="005012D4" w:rsidP="0037046B">
      <w:pPr>
        <w:pStyle w:val="FootnoteText"/>
      </w:pPr>
      <w:r>
        <w:rPr>
          <w:rStyle w:val="FootnoteReference"/>
        </w:rPr>
        <w:footnoteRef/>
      </w:r>
      <w:r>
        <w:t xml:space="preserve"> See</w:t>
      </w:r>
      <w:r w:rsidRPr="006470D3">
        <w:t xml:space="preserve"> </w:t>
      </w:r>
      <w:hyperlink r:id="rId33" w:history="1">
        <w:r w:rsidRPr="00484078">
          <w:rPr>
            <w:rStyle w:val="Hyperlink"/>
          </w:rPr>
          <w:t>https://www.cept.org/files/9522/Draft%20ECC%20Decision%20(18)FF%20PF.docx</w:t>
        </w:r>
      </w:hyperlink>
      <w:r w:rsidRPr="009D009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A299C" w14:textId="77777777" w:rsidR="00785757" w:rsidRDefault="0078575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05A7E" w14:textId="77777777" w:rsidR="005012D4" w:rsidRPr="006F542F" w:rsidRDefault="005012D4" w:rsidP="00704E9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A5304" w14:textId="77777777" w:rsidR="005012D4" w:rsidRPr="00A5474E" w:rsidRDefault="005012D4" w:rsidP="00543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DF159" w14:textId="77777777" w:rsidR="005012D4" w:rsidRPr="00A5474E" w:rsidRDefault="005012D4" w:rsidP="00A5474E">
    <w:pPr>
      <w:pStyle w:val="Header"/>
    </w:pPr>
    <w:r>
      <w:rPr>
        <w:noProof/>
      </w:rPr>
      <w:drawing>
        <wp:inline distT="0" distB="0" distL="0" distR="0" wp14:anchorId="13540350" wp14:editId="190FD3AE">
          <wp:extent cx="6388100" cy="520700"/>
          <wp:effectExtent l="0" t="0" r="0" b="12700"/>
          <wp:docPr id="10" name="Picture 10"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717F9" w14:textId="77777777" w:rsidR="005012D4" w:rsidRDefault="005012D4" w:rsidP="005759E7">
    <w:pPr>
      <w:pStyle w:val="TOCHeading"/>
    </w:pPr>
    <w:r w:rsidRPr="0029593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41EC5" w14:textId="77777777" w:rsidR="005012D4" w:rsidRDefault="005012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9FD2" w14:textId="77777777" w:rsidR="005012D4" w:rsidRDefault="005012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5012D4" w14:paraId="275C005B" w14:textId="77777777" w:rsidTr="005435F9">
      <w:trPr>
        <w:trHeight w:hRule="exact" w:val="988"/>
      </w:trPr>
      <w:tc>
        <w:tcPr>
          <w:tcW w:w="7678" w:type="dxa"/>
          <w:shd w:val="clear" w:color="auto" w:fill="auto"/>
        </w:tcPr>
        <w:p w14:paraId="13A47653" w14:textId="77777777" w:rsidR="005012D4" w:rsidRDefault="005012D4" w:rsidP="005435F9">
          <w:pPr>
            <w:pStyle w:val="Header"/>
          </w:pPr>
        </w:p>
      </w:tc>
    </w:tr>
    <w:tr w:rsidR="005012D4" w14:paraId="33B7A925" w14:textId="77777777" w:rsidTr="005435F9">
      <w:tc>
        <w:tcPr>
          <w:tcW w:w="7678" w:type="dxa"/>
          <w:shd w:val="clear" w:color="auto" w:fill="auto"/>
        </w:tcPr>
        <w:p w14:paraId="0F86715D" w14:textId="77777777" w:rsidR="005012D4" w:rsidRDefault="005012D4" w:rsidP="005435F9">
          <w:pPr>
            <w:pStyle w:val="GridTable31"/>
          </w:pPr>
          <w:r>
            <w:t xml:space="preserve">Contents </w:t>
          </w:r>
          <w:r w:rsidRPr="00915B1C">
            <w:rPr>
              <w:b w:val="0"/>
              <w:spacing w:val="0"/>
              <w:sz w:val="28"/>
              <w:szCs w:val="28"/>
            </w:rPr>
            <w:t>(Continued)</w:t>
          </w:r>
        </w:p>
      </w:tc>
    </w:tr>
    <w:tr w:rsidR="005012D4" w14:paraId="730B1CDD" w14:textId="77777777" w:rsidTr="005435F9">
      <w:trPr>
        <w:trHeight w:val="1220"/>
      </w:trPr>
      <w:tc>
        <w:tcPr>
          <w:tcW w:w="7678" w:type="dxa"/>
          <w:shd w:val="clear" w:color="auto" w:fill="auto"/>
        </w:tcPr>
        <w:p w14:paraId="27E0B84D" w14:textId="77777777" w:rsidR="005012D4" w:rsidRDefault="005012D4" w:rsidP="005435F9"/>
      </w:tc>
    </w:tr>
  </w:tbl>
  <w:p w14:paraId="0C5F41A6" w14:textId="77777777" w:rsidR="005012D4" w:rsidRPr="00652FC3" w:rsidRDefault="005012D4" w:rsidP="004C4F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5012D4" w14:paraId="305BCA02" w14:textId="77777777" w:rsidTr="00F16F31">
      <w:trPr>
        <w:trHeight w:hRule="exact" w:val="988"/>
      </w:trPr>
      <w:tc>
        <w:tcPr>
          <w:tcW w:w="7678" w:type="dxa"/>
          <w:shd w:val="clear" w:color="auto" w:fill="auto"/>
        </w:tcPr>
        <w:p w14:paraId="167562CB" w14:textId="77777777" w:rsidR="005012D4" w:rsidRDefault="005012D4" w:rsidP="00F16F31">
          <w:pPr>
            <w:pStyle w:val="Header"/>
          </w:pPr>
        </w:p>
      </w:tc>
    </w:tr>
    <w:tr w:rsidR="005012D4" w14:paraId="51BBB723" w14:textId="77777777" w:rsidTr="00F16F31">
      <w:tc>
        <w:tcPr>
          <w:tcW w:w="7678" w:type="dxa"/>
          <w:shd w:val="clear" w:color="auto" w:fill="auto"/>
        </w:tcPr>
        <w:p w14:paraId="4C617469" w14:textId="77777777" w:rsidR="005012D4" w:rsidRDefault="005012D4" w:rsidP="00F16F31">
          <w:pPr>
            <w:pStyle w:val="GridTable31"/>
          </w:pPr>
          <w:r>
            <w:t xml:space="preserve">Contents </w:t>
          </w:r>
          <w:r w:rsidRPr="00915B1C">
            <w:rPr>
              <w:b w:val="0"/>
              <w:spacing w:val="0"/>
              <w:sz w:val="28"/>
              <w:szCs w:val="28"/>
            </w:rPr>
            <w:t>(Continued)</w:t>
          </w:r>
        </w:p>
      </w:tc>
    </w:tr>
    <w:tr w:rsidR="005012D4" w14:paraId="6B18E7E3" w14:textId="77777777" w:rsidTr="00F16F31">
      <w:trPr>
        <w:trHeight w:val="1220"/>
      </w:trPr>
      <w:tc>
        <w:tcPr>
          <w:tcW w:w="7678" w:type="dxa"/>
          <w:shd w:val="clear" w:color="auto" w:fill="auto"/>
        </w:tcPr>
        <w:p w14:paraId="296D8F23" w14:textId="77777777" w:rsidR="005012D4" w:rsidRDefault="005012D4" w:rsidP="00F16F31"/>
      </w:tc>
    </w:tr>
  </w:tbl>
  <w:p w14:paraId="3584D5D1" w14:textId="77777777" w:rsidR="005012D4" w:rsidRPr="00A5474E" w:rsidRDefault="005012D4" w:rsidP="005435F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4539F" w14:textId="77777777" w:rsidR="005012D4" w:rsidRDefault="005012D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385C" w14:textId="77777777" w:rsidR="005012D4" w:rsidRDefault="005012D4">
    <w:pPr>
      <w:pStyle w:val="Header"/>
    </w:pPr>
  </w:p>
  <w:p w14:paraId="0E340441" w14:textId="77777777" w:rsidR="005012D4" w:rsidRDefault="005012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62EF640"/>
    <w:lvl w:ilvl="0">
      <w:start w:val="1"/>
      <w:numFmt w:val="decimal"/>
      <w:lvlText w:val="%1."/>
      <w:lvlJc w:val="left"/>
      <w:pPr>
        <w:tabs>
          <w:tab w:val="num" w:pos="1492"/>
        </w:tabs>
        <w:ind w:left="1492" w:hanging="360"/>
      </w:pPr>
    </w:lvl>
  </w:abstractNum>
  <w:abstractNum w:abstractNumId="1">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nsid w:val="FFFFFF88"/>
    <w:multiLevelType w:val="singleLevel"/>
    <w:tmpl w:val="3FAE410A"/>
    <w:lvl w:ilvl="0">
      <w:start w:val="5"/>
      <w:numFmt w:val="decimal"/>
      <w:lvlText w:val="%1."/>
      <w:lvlJc w:val="left"/>
      <w:pPr>
        <w:ind w:left="360" w:hanging="360"/>
      </w:pPr>
      <w:rPr>
        <w:rFonts w:hint="default"/>
        <w:caps/>
        <w:sz w:val="20"/>
      </w:rPr>
    </w:lvl>
  </w:abstractNum>
  <w:abstractNum w:abstractNumId="3">
    <w:nsid w:val="FFFFFF89"/>
    <w:multiLevelType w:val="singleLevel"/>
    <w:tmpl w:val="C5DE8FD4"/>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nsid w:val="01EC78A3"/>
    <w:multiLevelType w:val="hybridMultilevel"/>
    <w:tmpl w:val="AA2AC26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1261C13"/>
    <w:multiLevelType w:val="hybridMultilevel"/>
    <w:tmpl w:val="576E690A"/>
    <w:lvl w:ilvl="0" w:tplc="34D2A7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B532BB"/>
    <w:multiLevelType w:val="hybridMultilevel"/>
    <w:tmpl w:val="DEA88E9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6712ADA"/>
    <w:multiLevelType w:val="hybridMultilevel"/>
    <w:tmpl w:val="2BC0C4AE"/>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7A2577F"/>
    <w:multiLevelType w:val="hybridMultilevel"/>
    <w:tmpl w:val="EBA6EB0C"/>
    <w:lvl w:ilvl="0" w:tplc="F89064B2">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A7E7AF3"/>
    <w:multiLevelType w:val="hybridMultilevel"/>
    <w:tmpl w:val="A82EA0B0"/>
    <w:lvl w:ilvl="0" w:tplc="D1C86270">
      <w:start w:val="1"/>
      <w:numFmt w:val="bullet"/>
      <w:lvlText w:val="&gt;"/>
      <w:lvlJc w:val="left"/>
      <w:pPr>
        <w:ind w:left="360" w:hanging="360"/>
      </w:pPr>
      <w:rPr>
        <w:rFonts w:ascii="HelveticaNeueLT Std Lt" w:hAnsi="HelveticaNeueLT Std Lt" w:hint="default"/>
        <w:sz w:val="20"/>
      </w:rPr>
    </w:lvl>
    <w:lvl w:ilvl="1" w:tplc="D1C86270">
      <w:start w:val="1"/>
      <w:numFmt w:val="bullet"/>
      <w:lvlText w:val="&gt;"/>
      <w:lvlJc w:val="left"/>
      <w:pPr>
        <w:ind w:left="1080" w:hanging="360"/>
      </w:pPr>
      <w:rPr>
        <w:rFonts w:ascii="HelveticaNeueLT Std Lt" w:hAnsi="HelveticaNeueLT Std Lt"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CA52D9D"/>
    <w:multiLevelType w:val="singleLevel"/>
    <w:tmpl w:val="3FAE410A"/>
    <w:lvl w:ilvl="0">
      <w:start w:val="5"/>
      <w:numFmt w:val="decimal"/>
      <w:lvlText w:val="%1."/>
      <w:lvlJc w:val="left"/>
      <w:pPr>
        <w:ind w:left="360" w:hanging="360"/>
      </w:pPr>
      <w:rPr>
        <w:rFonts w:hint="default"/>
        <w:caps/>
        <w:sz w:val="20"/>
      </w:rPr>
    </w:lvl>
  </w:abstractNum>
  <w:abstractNum w:abstractNumId="11">
    <w:nsid w:val="1D63173B"/>
    <w:multiLevelType w:val="hybridMultilevel"/>
    <w:tmpl w:val="E400906C"/>
    <w:lvl w:ilvl="0" w:tplc="34D2A7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0396120"/>
    <w:multiLevelType w:val="hybridMultilevel"/>
    <w:tmpl w:val="B95442E0"/>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1D821AC"/>
    <w:multiLevelType w:val="hybridMultilevel"/>
    <w:tmpl w:val="EA763EE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2195866"/>
    <w:multiLevelType w:val="hybridMultilevel"/>
    <w:tmpl w:val="10CCE35A"/>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47023E5"/>
    <w:multiLevelType w:val="hybridMultilevel"/>
    <w:tmpl w:val="731C5BFE"/>
    <w:lvl w:ilvl="0" w:tplc="08D2AB58">
      <w:start w:val="1"/>
      <w:numFmt w:val="bullet"/>
      <w:lvlText w:val="&gt;"/>
      <w:lvlJc w:val="left"/>
      <w:pPr>
        <w:ind w:left="1080" w:hanging="360"/>
      </w:pPr>
      <w:rPr>
        <w:rFonts w:ascii="HelveticaNeueLT Std Lt" w:hAnsi="HelveticaNeueLT Std L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4ED51AA"/>
    <w:multiLevelType w:val="hybridMultilevel"/>
    <w:tmpl w:val="493E57CC"/>
    <w:lvl w:ilvl="0" w:tplc="34D2A7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90C6948"/>
    <w:multiLevelType w:val="hybridMultilevel"/>
    <w:tmpl w:val="7730067A"/>
    <w:lvl w:ilvl="0" w:tplc="300E0102">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5673"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nsid w:val="30530E9F"/>
    <w:multiLevelType w:val="hybridMultilevel"/>
    <w:tmpl w:val="3D94D9F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94D73C6"/>
    <w:multiLevelType w:val="hybridMultilevel"/>
    <w:tmpl w:val="8B747E50"/>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F9A3FD6"/>
    <w:multiLevelType w:val="hybridMultilevel"/>
    <w:tmpl w:val="7F9E54F0"/>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13B29F2"/>
    <w:multiLevelType w:val="hybridMultilevel"/>
    <w:tmpl w:val="6A409F7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14F2F0E"/>
    <w:multiLevelType w:val="hybridMultilevel"/>
    <w:tmpl w:val="C3760D4A"/>
    <w:lvl w:ilvl="0" w:tplc="D1C86270">
      <w:start w:val="1"/>
      <w:numFmt w:val="bullet"/>
      <w:lvlText w:val="&gt;"/>
      <w:lvlJc w:val="left"/>
      <w:pPr>
        <w:ind w:left="360" w:hanging="360"/>
      </w:pPr>
      <w:rPr>
        <w:rFonts w:ascii="HelveticaNeueLT Std Lt" w:hAnsi="HelveticaNeueLT Std Lt"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2364675"/>
    <w:multiLevelType w:val="hybridMultilevel"/>
    <w:tmpl w:val="65DE928A"/>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5AA21F0"/>
    <w:multiLevelType w:val="hybridMultilevel"/>
    <w:tmpl w:val="C1A2DF66"/>
    <w:lvl w:ilvl="0" w:tplc="0E38EB94">
      <w:start w:val="1"/>
      <w:numFmt w:val="decimal"/>
      <w:pStyle w:val="ACMATableHeader"/>
      <w:lvlText w:val="Table %1:"/>
      <w:lvlJc w:val="left"/>
      <w:pPr>
        <w:tabs>
          <w:tab w:val="num" w:pos="3091"/>
        </w:tabs>
        <w:ind w:left="3091" w:hanging="96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DB1CE7"/>
    <w:multiLevelType w:val="hybridMultilevel"/>
    <w:tmpl w:val="1EC23908"/>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3AA41DB"/>
    <w:multiLevelType w:val="hybridMultilevel"/>
    <w:tmpl w:val="5E4C076A"/>
    <w:lvl w:ilvl="0" w:tplc="CD1E7A42">
      <w:start w:val="1"/>
      <w:numFmt w:val="decimal"/>
      <w:pStyle w:val="ListNumb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247FCA"/>
    <w:multiLevelType w:val="hybridMultilevel"/>
    <w:tmpl w:val="6F30EF94"/>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4C4741E"/>
    <w:multiLevelType w:val="hybridMultilevel"/>
    <w:tmpl w:val="06BA87B2"/>
    <w:lvl w:ilvl="0" w:tplc="9C40EA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071478"/>
    <w:multiLevelType w:val="hybridMultilevel"/>
    <w:tmpl w:val="6B3444A0"/>
    <w:lvl w:ilvl="0" w:tplc="01D2533A">
      <w:start w:val="1"/>
      <w:numFmt w:val="decimal"/>
      <w:pStyle w:val="ACMAFigureHeader"/>
      <w:lvlText w:val="Figure %1: "/>
      <w:lvlJc w:val="left"/>
      <w:pPr>
        <w:tabs>
          <w:tab w:val="num" w:pos="1021"/>
        </w:tabs>
        <w:ind w:left="1021" w:hanging="1021"/>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8D1012"/>
    <w:multiLevelType w:val="hybridMultilevel"/>
    <w:tmpl w:val="7D9A2152"/>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E544E79"/>
    <w:multiLevelType w:val="hybridMultilevel"/>
    <w:tmpl w:val="7F2A0998"/>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F596A34"/>
    <w:multiLevelType w:val="hybridMultilevel"/>
    <w:tmpl w:val="D1E24E2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8331E1D"/>
    <w:multiLevelType w:val="hybridMultilevel"/>
    <w:tmpl w:val="E988C04E"/>
    <w:lvl w:ilvl="0" w:tplc="08D2AB58">
      <w:start w:val="1"/>
      <w:numFmt w:val="bullet"/>
      <w:lvlText w:val="&gt;"/>
      <w:lvlJc w:val="left"/>
      <w:pPr>
        <w:ind w:left="1080" w:hanging="360"/>
      </w:pPr>
      <w:rPr>
        <w:rFonts w:ascii="HelveticaNeueLT Std Lt" w:hAnsi="HelveticaNeueLT Std L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7A850E27"/>
    <w:multiLevelType w:val="hybridMultilevel"/>
    <w:tmpl w:val="5C5A47DC"/>
    <w:lvl w:ilvl="0" w:tplc="34D2A7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EFF558E"/>
    <w:multiLevelType w:val="hybridMultilevel"/>
    <w:tmpl w:val="D84ED868"/>
    <w:lvl w:ilvl="0" w:tplc="C2D8703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7FDE49FE"/>
    <w:multiLevelType w:val="hybridMultilevel"/>
    <w:tmpl w:val="CF1C0650"/>
    <w:lvl w:ilvl="0" w:tplc="08D2AB58">
      <w:start w:val="1"/>
      <w:numFmt w:val="bullet"/>
      <w:lvlText w:val="&gt;"/>
      <w:lvlJc w:val="left"/>
      <w:pPr>
        <w:ind w:left="1080" w:hanging="360"/>
      </w:pPr>
      <w:rPr>
        <w:rFonts w:ascii="HelveticaNeueLT Std Lt" w:hAnsi="HelveticaNeueLT Std L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18"/>
  </w:num>
  <w:num w:numId="5">
    <w:abstractNumId w:val="32"/>
  </w:num>
  <w:num w:numId="6">
    <w:abstractNumId w:val="26"/>
  </w:num>
  <w:num w:numId="7">
    <w:abstractNumId w:val="29"/>
  </w:num>
  <w:num w:numId="8">
    <w:abstractNumId w:val="3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3"/>
  </w:num>
  <w:num w:numId="12">
    <w:abstractNumId w:val="17"/>
  </w:num>
  <w:num w:numId="13">
    <w:abstractNumId w:val="2"/>
  </w:num>
  <w:num w:numId="14">
    <w:abstractNumId w:val="28"/>
  </w:num>
  <w:num w:numId="15">
    <w:abstractNumId w:val="24"/>
  </w:num>
  <w:num w:numId="16">
    <w:abstractNumId w:val="9"/>
  </w:num>
  <w:num w:numId="17">
    <w:abstractNumId w:val="37"/>
  </w:num>
  <w:num w:numId="18">
    <w:abstractNumId w:val="34"/>
  </w:num>
  <w:num w:numId="19">
    <w:abstractNumId w:val="15"/>
  </w:num>
  <w:num w:numId="20">
    <w:abstractNumId w:val="6"/>
  </w:num>
  <w:num w:numId="21">
    <w:abstractNumId w:val="7"/>
  </w:num>
  <w:num w:numId="22">
    <w:abstractNumId w:val="4"/>
  </w:num>
  <w:num w:numId="23">
    <w:abstractNumId w:val="27"/>
  </w:num>
  <w:num w:numId="24">
    <w:abstractNumId w:val="21"/>
  </w:num>
  <w:num w:numId="25">
    <w:abstractNumId w:val="36"/>
  </w:num>
  <w:num w:numId="26">
    <w:abstractNumId w:val="12"/>
  </w:num>
  <w:num w:numId="27">
    <w:abstractNumId w:val="14"/>
  </w:num>
  <w:num w:numId="28">
    <w:abstractNumId w:val="35"/>
  </w:num>
  <w:num w:numId="29">
    <w:abstractNumId w:val="22"/>
  </w:num>
  <w:num w:numId="30">
    <w:abstractNumId w:val="25"/>
  </w:num>
  <w:num w:numId="31">
    <w:abstractNumId w:val="13"/>
  </w:num>
  <w:num w:numId="32">
    <w:abstractNumId w:val="30"/>
  </w:num>
  <w:num w:numId="33">
    <w:abstractNumId w:val="20"/>
  </w:num>
  <w:num w:numId="34">
    <w:abstractNumId w:val="40"/>
  </w:num>
  <w:num w:numId="35">
    <w:abstractNumId w:val="38"/>
  </w:num>
  <w:num w:numId="36">
    <w:abstractNumId w:val="16"/>
  </w:num>
  <w:num w:numId="37">
    <w:abstractNumId w:val="8"/>
  </w:num>
  <w:num w:numId="38">
    <w:abstractNumId w:val="26"/>
    <w:lvlOverride w:ilvl="0">
      <w:startOverride w:val="1"/>
    </w:lvlOverride>
  </w:num>
  <w:num w:numId="39">
    <w:abstractNumId w:val="3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5"/>
  </w:num>
  <w:num w:numId="43">
    <w:abstractNumId w:val="0"/>
  </w:num>
  <w:num w:numId="44">
    <w:abstractNumId w:val="3"/>
  </w:num>
  <w:num w:numId="45">
    <w:abstractNumId w:val="32"/>
  </w:num>
  <w:num w:numId="46">
    <w:abstractNumId w:val="26"/>
  </w:num>
  <w:num w:numId="47">
    <w:abstractNumId w:val="3"/>
  </w:num>
  <w:num w:numId="48">
    <w:abstractNumId w:val="3"/>
  </w:num>
  <w:num w:numId="49">
    <w:abstractNumId w:val="3"/>
  </w:num>
  <w:num w:numId="50">
    <w:abstractNumId w:val="28"/>
    <w:lvlOverride w:ilvl="0">
      <w:startOverride w:val="1"/>
    </w:lvlOverride>
  </w:num>
  <w:num w:numId="51">
    <w:abstractNumId w:val="39"/>
  </w:num>
  <w:num w:numId="52">
    <w:abstractNumId w:val="2"/>
    <w:lvlOverride w:ilvl="0">
      <w:startOverride w:val="4"/>
    </w:lvlOverride>
  </w:num>
  <w:num w:numId="5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16385">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wNTQ1MzW2MLMwNjNV0lEKTi0uzszPAykwMqwFAJIM//ItAAAA"/>
  </w:docVars>
  <w:rsids>
    <w:rsidRoot w:val="00835321"/>
    <w:rsid w:val="00000432"/>
    <w:rsid w:val="00000C59"/>
    <w:rsid w:val="00001253"/>
    <w:rsid w:val="000017BB"/>
    <w:rsid w:val="000018BA"/>
    <w:rsid w:val="0000263D"/>
    <w:rsid w:val="00003B1B"/>
    <w:rsid w:val="00004E6F"/>
    <w:rsid w:val="00005734"/>
    <w:rsid w:val="000063D7"/>
    <w:rsid w:val="00010667"/>
    <w:rsid w:val="00011B67"/>
    <w:rsid w:val="00011E1E"/>
    <w:rsid w:val="00011FC0"/>
    <w:rsid w:val="0001205D"/>
    <w:rsid w:val="000127CC"/>
    <w:rsid w:val="000129D5"/>
    <w:rsid w:val="000130D4"/>
    <w:rsid w:val="0001563E"/>
    <w:rsid w:val="00015AE7"/>
    <w:rsid w:val="000163DF"/>
    <w:rsid w:val="00016561"/>
    <w:rsid w:val="00016A25"/>
    <w:rsid w:val="00016E21"/>
    <w:rsid w:val="0001719C"/>
    <w:rsid w:val="00017D3B"/>
    <w:rsid w:val="0002060C"/>
    <w:rsid w:val="00020CC6"/>
    <w:rsid w:val="00021D6C"/>
    <w:rsid w:val="0002224D"/>
    <w:rsid w:val="0002224E"/>
    <w:rsid w:val="000222DF"/>
    <w:rsid w:val="00023468"/>
    <w:rsid w:val="00023B7B"/>
    <w:rsid w:val="000242D7"/>
    <w:rsid w:val="0002443B"/>
    <w:rsid w:val="00024681"/>
    <w:rsid w:val="00024F5C"/>
    <w:rsid w:val="00025E4A"/>
    <w:rsid w:val="00025F2D"/>
    <w:rsid w:val="0002661A"/>
    <w:rsid w:val="00026F91"/>
    <w:rsid w:val="00027F41"/>
    <w:rsid w:val="00031CC2"/>
    <w:rsid w:val="00032946"/>
    <w:rsid w:val="00033EF9"/>
    <w:rsid w:val="00034F62"/>
    <w:rsid w:val="000361CE"/>
    <w:rsid w:val="00036358"/>
    <w:rsid w:val="000366A5"/>
    <w:rsid w:val="00036E61"/>
    <w:rsid w:val="00040782"/>
    <w:rsid w:val="00040AD7"/>
    <w:rsid w:val="00040F5C"/>
    <w:rsid w:val="00040F6A"/>
    <w:rsid w:val="00042376"/>
    <w:rsid w:val="00043E19"/>
    <w:rsid w:val="00043F7E"/>
    <w:rsid w:val="0004462A"/>
    <w:rsid w:val="000469EF"/>
    <w:rsid w:val="00046F64"/>
    <w:rsid w:val="0004764C"/>
    <w:rsid w:val="00047667"/>
    <w:rsid w:val="000478C7"/>
    <w:rsid w:val="0005011A"/>
    <w:rsid w:val="0005045A"/>
    <w:rsid w:val="00050DB6"/>
    <w:rsid w:val="00051BCF"/>
    <w:rsid w:val="00051C1E"/>
    <w:rsid w:val="00051EBE"/>
    <w:rsid w:val="000539F9"/>
    <w:rsid w:val="00053BAC"/>
    <w:rsid w:val="00053BAF"/>
    <w:rsid w:val="00054C27"/>
    <w:rsid w:val="00055D50"/>
    <w:rsid w:val="00055EC3"/>
    <w:rsid w:val="000563CE"/>
    <w:rsid w:val="0005707A"/>
    <w:rsid w:val="0005707C"/>
    <w:rsid w:val="0005708D"/>
    <w:rsid w:val="00057C54"/>
    <w:rsid w:val="00060686"/>
    <w:rsid w:val="000610F4"/>
    <w:rsid w:val="00061DEE"/>
    <w:rsid w:val="000632B1"/>
    <w:rsid w:val="000643CB"/>
    <w:rsid w:val="00064C61"/>
    <w:rsid w:val="000659B6"/>
    <w:rsid w:val="00065DE2"/>
    <w:rsid w:val="000661FE"/>
    <w:rsid w:val="0006686F"/>
    <w:rsid w:val="00066AA0"/>
    <w:rsid w:val="00066DD0"/>
    <w:rsid w:val="0006722A"/>
    <w:rsid w:val="000673C8"/>
    <w:rsid w:val="00067AE6"/>
    <w:rsid w:val="00070ABF"/>
    <w:rsid w:val="000724A6"/>
    <w:rsid w:val="00072815"/>
    <w:rsid w:val="000729C4"/>
    <w:rsid w:val="00072C10"/>
    <w:rsid w:val="000732CF"/>
    <w:rsid w:val="00073827"/>
    <w:rsid w:val="00074165"/>
    <w:rsid w:val="00075B96"/>
    <w:rsid w:val="00076A6C"/>
    <w:rsid w:val="000774DC"/>
    <w:rsid w:val="00077B95"/>
    <w:rsid w:val="00077EE8"/>
    <w:rsid w:val="00080B90"/>
    <w:rsid w:val="00080DA2"/>
    <w:rsid w:val="000818BF"/>
    <w:rsid w:val="0008196A"/>
    <w:rsid w:val="00082B03"/>
    <w:rsid w:val="000834A6"/>
    <w:rsid w:val="000836B5"/>
    <w:rsid w:val="00086611"/>
    <w:rsid w:val="00086D27"/>
    <w:rsid w:val="000901C6"/>
    <w:rsid w:val="000915ED"/>
    <w:rsid w:val="0009209D"/>
    <w:rsid w:val="0009247A"/>
    <w:rsid w:val="0009281A"/>
    <w:rsid w:val="00092D6A"/>
    <w:rsid w:val="000934C7"/>
    <w:rsid w:val="000936D7"/>
    <w:rsid w:val="000942DA"/>
    <w:rsid w:val="0009633A"/>
    <w:rsid w:val="000969BD"/>
    <w:rsid w:val="000969BF"/>
    <w:rsid w:val="000973CA"/>
    <w:rsid w:val="000977F0"/>
    <w:rsid w:val="000A0BEB"/>
    <w:rsid w:val="000A0C22"/>
    <w:rsid w:val="000A1113"/>
    <w:rsid w:val="000A1400"/>
    <w:rsid w:val="000A27F5"/>
    <w:rsid w:val="000A2BE0"/>
    <w:rsid w:val="000A34CE"/>
    <w:rsid w:val="000A38F5"/>
    <w:rsid w:val="000A3C43"/>
    <w:rsid w:val="000A4A51"/>
    <w:rsid w:val="000A4F28"/>
    <w:rsid w:val="000A5336"/>
    <w:rsid w:val="000A5A3C"/>
    <w:rsid w:val="000A5B13"/>
    <w:rsid w:val="000A5B2C"/>
    <w:rsid w:val="000A5D2B"/>
    <w:rsid w:val="000A66DA"/>
    <w:rsid w:val="000B0F65"/>
    <w:rsid w:val="000B121E"/>
    <w:rsid w:val="000B195C"/>
    <w:rsid w:val="000B2E24"/>
    <w:rsid w:val="000B35F0"/>
    <w:rsid w:val="000B392C"/>
    <w:rsid w:val="000B3A6E"/>
    <w:rsid w:val="000B4A3B"/>
    <w:rsid w:val="000B53C9"/>
    <w:rsid w:val="000B56A7"/>
    <w:rsid w:val="000B5DE3"/>
    <w:rsid w:val="000B6534"/>
    <w:rsid w:val="000B7554"/>
    <w:rsid w:val="000B7B73"/>
    <w:rsid w:val="000C080F"/>
    <w:rsid w:val="000C0A57"/>
    <w:rsid w:val="000C0BD4"/>
    <w:rsid w:val="000C0CA1"/>
    <w:rsid w:val="000C0D3C"/>
    <w:rsid w:val="000C1A29"/>
    <w:rsid w:val="000C230C"/>
    <w:rsid w:val="000C24A6"/>
    <w:rsid w:val="000C2F4B"/>
    <w:rsid w:val="000C3113"/>
    <w:rsid w:val="000C353A"/>
    <w:rsid w:val="000C3771"/>
    <w:rsid w:val="000C4B19"/>
    <w:rsid w:val="000C4D88"/>
    <w:rsid w:val="000C4ED6"/>
    <w:rsid w:val="000C56AF"/>
    <w:rsid w:val="000C5D75"/>
    <w:rsid w:val="000C600D"/>
    <w:rsid w:val="000C6AB4"/>
    <w:rsid w:val="000C6CCF"/>
    <w:rsid w:val="000C6CE5"/>
    <w:rsid w:val="000C6DAD"/>
    <w:rsid w:val="000C70F6"/>
    <w:rsid w:val="000C76E0"/>
    <w:rsid w:val="000D00D0"/>
    <w:rsid w:val="000D016D"/>
    <w:rsid w:val="000D27B0"/>
    <w:rsid w:val="000D3200"/>
    <w:rsid w:val="000D4773"/>
    <w:rsid w:val="000D4A26"/>
    <w:rsid w:val="000D4EE2"/>
    <w:rsid w:val="000D6B90"/>
    <w:rsid w:val="000D71D9"/>
    <w:rsid w:val="000D7266"/>
    <w:rsid w:val="000D76E0"/>
    <w:rsid w:val="000D7E8B"/>
    <w:rsid w:val="000D7F96"/>
    <w:rsid w:val="000E123C"/>
    <w:rsid w:val="000E14B3"/>
    <w:rsid w:val="000E2009"/>
    <w:rsid w:val="000E2019"/>
    <w:rsid w:val="000E3CCA"/>
    <w:rsid w:val="000E4449"/>
    <w:rsid w:val="000E5141"/>
    <w:rsid w:val="000E522F"/>
    <w:rsid w:val="000E55BB"/>
    <w:rsid w:val="000E575E"/>
    <w:rsid w:val="000E57E5"/>
    <w:rsid w:val="000E6097"/>
    <w:rsid w:val="000E6CF1"/>
    <w:rsid w:val="000E7525"/>
    <w:rsid w:val="000F0A4C"/>
    <w:rsid w:val="000F12F1"/>
    <w:rsid w:val="000F15C3"/>
    <w:rsid w:val="000F1900"/>
    <w:rsid w:val="000F25D8"/>
    <w:rsid w:val="000F38B6"/>
    <w:rsid w:val="000F4B2A"/>
    <w:rsid w:val="000F4F50"/>
    <w:rsid w:val="000F51E4"/>
    <w:rsid w:val="000F52C2"/>
    <w:rsid w:val="000F5B9F"/>
    <w:rsid w:val="000F6611"/>
    <w:rsid w:val="000F6E21"/>
    <w:rsid w:val="000F7DE0"/>
    <w:rsid w:val="00101103"/>
    <w:rsid w:val="001011D4"/>
    <w:rsid w:val="0010123C"/>
    <w:rsid w:val="0010179A"/>
    <w:rsid w:val="001017C7"/>
    <w:rsid w:val="001019D0"/>
    <w:rsid w:val="00101C69"/>
    <w:rsid w:val="00102B3D"/>
    <w:rsid w:val="00103829"/>
    <w:rsid w:val="0010610D"/>
    <w:rsid w:val="0010768C"/>
    <w:rsid w:val="0010781B"/>
    <w:rsid w:val="00107C5A"/>
    <w:rsid w:val="00107CDC"/>
    <w:rsid w:val="00110097"/>
    <w:rsid w:val="00110428"/>
    <w:rsid w:val="00111052"/>
    <w:rsid w:val="001110F9"/>
    <w:rsid w:val="00111428"/>
    <w:rsid w:val="001116B1"/>
    <w:rsid w:val="00111C5E"/>
    <w:rsid w:val="00111FCE"/>
    <w:rsid w:val="00112875"/>
    <w:rsid w:val="00113435"/>
    <w:rsid w:val="00114864"/>
    <w:rsid w:val="00114905"/>
    <w:rsid w:val="00114CE4"/>
    <w:rsid w:val="00114D15"/>
    <w:rsid w:val="00115B07"/>
    <w:rsid w:val="00115B0E"/>
    <w:rsid w:val="00115D43"/>
    <w:rsid w:val="001164EA"/>
    <w:rsid w:val="0011666A"/>
    <w:rsid w:val="001178EE"/>
    <w:rsid w:val="00117D3F"/>
    <w:rsid w:val="0012165E"/>
    <w:rsid w:val="00121983"/>
    <w:rsid w:val="00121F70"/>
    <w:rsid w:val="00122240"/>
    <w:rsid w:val="001229A5"/>
    <w:rsid w:val="001231D3"/>
    <w:rsid w:val="0012357B"/>
    <w:rsid w:val="0012381C"/>
    <w:rsid w:val="00123BA8"/>
    <w:rsid w:val="00123BF1"/>
    <w:rsid w:val="00123C05"/>
    <w:rsid w:val="00124080"/>
    <w:rsid w:val="0012489B"/>
    <w:rsid w:val="0012548D"/>
    <w:rsid w:val="00125FC9"/>
    <w:rsid w:val="001278FC"/>
    <w:rsid w:val="00127B59"/>
    <w:rsid w:val="00130017"/>
    <w:rsid w:val="001308D1"/>
    <w:rsid w:val="00130AFC"/>
    <w:rsid w:val="00130F91"/>
    <w:rsid w:val="0013101D"/>
    <w:rsid w:val="00132BC6"/>
    <w:rsid w:val="0013440A"/>
    <w:rsid w:val="001349ED"/>
    <w:rsid w:val="00134FFB"/>
    <w:rsid w:val="001352AC"/>
    <w:rsid w:val="00135353"/>
    <w:rsid w:val="001357EF"/>
    <w:rsid w:val="0013592F"/>
    <w:rsid w:val="00135D39"/>
    <w:rsid w:val="0013606C"/>
    <w:rsid w:val="00137279"/>
    <w:rsid w:val="00137424"/>
    <w:rsid w:val="001376E5"/>
    <w:rsid w:val="00140318"/>
    <w:rsid w:val="00141AD9"/>
    <w:rsid w:val="00142A89"/>
    <w:rsid w:val="00143993"/>
    <w:rsid w:val="00144072"/>
    <w:rsid w:val="00144235"/>
    <w:rsid w:val="00144811"/>
    <w:rsid w:val="00144B13"/>
    <w:rsid w:val="00145942"/>
    <w:rsid w:val="00146B1A"/>
    <w:rsid w:val="00146CE6"/>
    <w:rsid w:val="00147B0D"/>
    <w:rsid w:val="001501F4"/>
    <w:rsid w:val="00150E32"/>
    <w:rsid w:val="001511DE"/>
    <w:rsid w:val="00151DC8"/>
    <w:rsid w:val="001525AB"/>
    <w:rsid w:val="00152903"/>
    <w:rsid w:val="001537F1"/>
    <w:rsid w:val="00153945"/>
    <w:rsid w:val="00153E80"/>
    <w:rsid w:val="00153FD5"/>
    <w:rsid w:val="001540D8"/>
    <w:rsid w:val="00154804"/>
    <w:rsid w:val="00154EB9"/>
    <w:rsid w:val="001556CE"/>
    <w:rsid w:val="00155FA4"/>
    <w:rsid w:val="0015614F"/>
    <w:rsid w:val="001567F7"/>
    <w:rsid w:val="00156F2F"/>
    <w:rsid w:val="0015716C"/>
    <w:rsid w:val="001573B8"/>
    <w:rsid w:val="001577C2"/>
    <w:rsid w:val="001605F3"/>
    <w:rsid w:val="001608C5"/>
    <w:rsid w:val="00161584"/>
    <w:rsid w:val="001633C4"/>
    <w:rsid w:val="0016342C"/>
    <w:rsid w:val="001636C7"/>
    <w:rsid w:val="00164C38"/>
    <w:rsid w:val="001664C4"/>
    <w:rsid w:val="00166575"/>
    <w:rsid w:val="00171473"/>
    <w:rsid w:val="00171591"/>
    <w:rsid w:val="001724E2"/>
    <w:rsid w:val="00172B54"/>
    <w:rsid w:val="00172EB0"/>
    <w:rsid w:val="00173981"/>
    <w:rsid w:val="00176C26"/>
    <w:rsid w:val="00176E22"/>
    <w:rsid w:val="0017719D"/>
    <w:rsid w:val="001801F4"/>
    <w:rsid w:val="0018044B"/>
    <w:rsid w:val="001809E0"/>
    <w:rsid w:val="00181690"/>
    <w:rsid w:val="0018271D"/>
    <w:rsid w:val="0018396F"/>
    <w:rsid w:val="00183E47"/>
    <w:rsid w:val="00183EDF"/>
    <w:rsid w:val="00183FD7"/>
    <w:rsid w:val="00185CAB"/>
    <w:rsid w:val="00185D43"/>
    <w:rsid w:val="00186F06"/>
    <w:rsid w:val="001875B7"/>
    <w:rsid w:val="001878E8"/>
    <w:rsid w:val="00187AA5"/>
    <w:rsid w:val="00187CB3"/>
    <w:rsid w:val="00190408"/>
    <w:rsid w:val="0019050A"/>
    <w:rsid w:val="00190C3F"/>
    <w:rsid w:val="001910D4"/>
    <w:rsid w:val="00192392"/>
    <w:rsid w:val="0019258A"/>
    <w:rsid w:val="001936FE"/>
    <w:rsid w:val="00193CCF"/>
    <w:rsid w:val="0019432F"/>
    <w:rsid w:val="0019484B"/>
    <w:rsid w:val="00195C0E"/>
    <w:rsid w:val="001971EA"/>
    <w:rsid w:val="00197216"/>
    <w:rsid w:val="001976E3"/>
    <w:rsid w:val="001A0068"/>
    <w:rsid w:val="001A05F1"/>
    <w:rsid w:val="001A2904"/>
    <w:rsid w:val="001A42E7"/>
    <w:rsid w:val="001A44EC"/>
    <w:rsid w:val="001A47A9"/>
    <w:rsid w:val="001A4D89"/>
    <w:rsid w:val="001A5088"/>
    <w:rsid w:val="001A5B1D"/>
    <w:rsid w:val="001A6A34"/>
    <w:rsid w:val="001A7901"/>
    <w:rsid w:val="001B0F77"/>
    <w:rsid w:val="001B378A"/>
    <w:rsid w:val="001B3FA1"/>
    <w:rsid w:val="001B3FE4"/>
    <w:rsid w:val="001B50D7"/>
    <w:rsid w:val="001B58AA"/>
    <w:rsid w:val="001B5B22"/>
    <w:rsid w:val="001B64BF"/>
    <w:rsid w:val="001B696E"/>
    <w:rsid w:val="001B7E48"/>
    <w:rsid w:val="001C0300"/>
    <w:rsid w:val="001C0E03"/>
    <w:rsid w:val="001C0F1C"/>
    <w:rsid w:val="001C17CE"/>
    <w:rsid w:val="001C23FF"/>
    <w:rsid w:val="001C36CA"/>
    <w:rsid w:val="001C37A8"/>
    <w:rsid w:val="001C4306"/>
    <w:rsid w:val="001C44D1"/>
    <w:rsid w:val="001C4B76"/>
    <w:rsid w:val="001C4C83"/>
    <w:rsid w:val="001C4FFD"/>
    <w:rsid w:val="001C5E46"/>
    <w:rsid w:val="001C6582"/>
    <w:rsid w:val="001C6AEE"/>
    <w:rsid w:val="001C7630"/>
    <w:rsid w:val="001C777D"/>
    <w:rsid w:val="001D02A7"/>
    <w:rsid w:val="001D09EB"/>
    <w:rsid w:val="001D2969"/>
    <w:rsid w:val="001D2BC9"/>
    <w:rsid w:val="001D3119"/>
    <w:rsid w:val="001D3FAD"/>
    <w:rsid w:val="001D4358"/>
    <w:rsid w:val="001D53BE"/>
    <w:rsid w:val="001D5AFF"/>
    <w:rsid w:val="001D61B4"/>
    <w:rsid w:val="001D61D7"/>
    <w:rsid w:val="001D6D15"/>
    <w:rsid w:val="001E1B65"/>
    <w:rsid w:val="001E333A"/>
    <w:rsid w:val="001E3372"/>
    <w:rsid w:val="001E3956"/>
    <w:rsid w:val="001E3A98"/>
    <w:rsid w:val="001E4C2C"/>
    <w:rsid w:val="001E5274"/>
    <w:rsid w:val="001E6D41"/>
    <w:rsid w:val="001F2792"/>
    <w:rsid w:val="001F307F"/>
    <w:rsid w:val="001F3495"/>
    <w:rsid w:val="001F4473"/>
    <w:rsid w:val="001F51FF"/>
    <w:rsid w:val="001F55C9"/>
    <w:rsid w:val="001F5E1C"/>
    <w:rsid w:val="001F63F9"/>
    <w:rsid w:val="001F7558"/>
    <w:rsid w:val="001F75A5"/>
    <w:rsid w:val="002001E9"/>
    <w:rsid w:val="00200AE7"/>
    <w:rsid w:val="002013BD"/>
    <w:rsid w:val="00201DB8"/>
    <w:rsid w:val="00201DE5"/>
    <w:rsid w:val="00201FB7"/>
    <w:rsid w:val="002026BE"/>
    <w:rsid w:val="002026C0"/>
    <w:rsid w:val="00202F16"/>
    <w:rsid w:val="002038D0"/>
    <w:rsid w:val="00203F63"/>
    <w:rsid w:val="0020445B"/>
    <w:rsid w:val="0020488C"/>
    <w:rsid w:val="00205B57"/>
    <w:rsid w:val="00205F9D"/>
    <w:rsid w:val="00207199"/>
    <w:rsid w:val="0020762C"/>
    <w:rsid w:val="00207B11"/>
    <w:rsid w:val="002104A1"/>
    <w:rsid w:val="00210857"/>
    <w:rsid w:val="00211031"/>
    <w:rsid w:val="002133A1"/>
    <w:rsid w:val="00213C1A"/>
    <w:rsid w:val="00214171"/>
    <w:rsid w:val="00214E77"/>
    <w:rsid w:val="00215006"/>
    <w:rsid w:val="002152E1"/>
    <w:rsid w:val="002157E0"/>
    <w:rsid w:val="00216A57"/>
    <w:rsid w:val="00217C7C"/>
    <w:rsid w:val="0022070E"/>
    <w:rsid w:val="00220C13"/>
    <w:rsid w:val="002225DD"/>
    <w:rsid w:val="0022278D"/>
    <w:rsid w:val="0022334F"/>
    <w:rsid w:val="00225351"/>
    <w:rsid w:val="002254DB"/>
    <w:rsid w:val="0022550C"/>
    <w:rsid w:val="002256FC"/>
    <w:rsid w:val="00225AFF"/>
    <w:rsid w:val="00225B46"/>
    <w:rsid w:val="00225E2F"/>
    <w:rsid w:val="00226819"/>
    <w:rsid w:val="00226BDF"/>
    <w:rsid w:val="00231075"/>
    <w:rsid w:val="00231397"/>
    <w:rsid w:val="00231649"/>
    <w:rsid w:val="00231D4A"/>
    <w:rsid w:val="0023233B"/>
    <w:rsid w:val="00233101"/>
    <w:rsid w:val="00233817"/>
    <w:rsid w:val="00233C52"/>
    <w:rsid w:val="002340E3"/>
    <w:rsid w:val="00234509"/>
    <w:rsid w:val="0023477F"/>
    <w:rsid w:val="00235261"/>
    <w:rsid w:val="00236678"/>
    <w:rsid w:val="002367FF"/>
    <w:rsid w:val="00237373"/>
    <w:rsid w:val="0024022B"/>
    <w:rsid w:val="00240CE9"/>
    <w:rsid w:val="00242CFC"/>
    <w:rsid w:val="00242E62"/>
    <w:rsid w:val="0024313C"/>
    <w:rsid w:val="00243330"/>
    <w:rsid w:val="002434BA"/>
    <w:rsid w:val="00243966"/>
    <w:rsid w:val="00244F54"/>
    <w:rsid w:val="0024592D"/>
    <w:rsid w:val="00246089"/>
    <w:rsid w:val="00246093"/>
    <w:rsid w:val="002460B3"/>
    <w:rsid w:val="00246702"/>
    <w:rsid w:val="00246FEC"/>
    <w:rsid w:val="002474DE"/>
    <w:rsid w:val="00247C59"/>
    <w:rsid w:val="00247F2E"/>
    <w:rsid w:val="00247FE4"/>
    <w:rsid w:val="0025006A"/>
    <w:rsid w:val="00250766"/>
    <w:rsid w:val="0025081F"/>
    <w:rsid w:val="00250ADC"/>
    <w:rsid w:val="00250B07"/>
    <w:rsid w:val="002516E5"/>
    <w:rsid w:val="00251C73"/>
    <w:rsid w:val="00252285"/>
    <w:rsid w:val="00252ACF"/>
    <w:rsid w:val="00253744"/>
    <w:rsid w:val="002561FB"/>
    <w:rsid w:val="00257553"/>
    <w:rsid w:val="00257D00"/>
    <w:rsid w:val="0026070D"/>
    <w:rsid w:val="00260B3F"/>
    <w:rsid w:val="00260C3E"/>
    <w:rsid w:val="00260FB2"/>
    <w:rsid w:val="00262128"/>
    <w:rsid w:val="0026368B"/>
    <w:rsid w:val="002657D9"/>
    <w:rsid w:val="00265AC6"/>
    <w:rsid w:val="00265FDD"/>
    <w:rsid w:val="00266584"/>
    <w:rsid w:val="0027091F"/>
    <w:rsid w:val="00271262"/>
    <w:rsid w:val="0027128C"/>
    <w:rsid w:val="0027165D"/>
    <w:rsid w:val="002717D0"/>
    <w:rsid w:val="00273CEB"/>
    <w:rsid w:val="00273DB5"/>
    <w:rsid w:val="002740ED"/>
    <w:rsid w:val="00275EDA"/>
    <w:rsid w:val="002766EE"/>
    <w:rsid w:val="00276B85"/>
    <w:rsid w:val="002776F4"/>
    <w:rsid w:val="002803A9"/>
    <w:rsid w:val="00280702"/>
    <w:rsid w:val="002813BF"/>
    <w:rsid w:val="002819C9"/>
    <w:rsid w:val="00281C89"/>
    <w:rsid w:val="00282488"/>
    <w:rsid w:val="0028282F"/>
    <w:rsid w:val="00282A60"/>
    <w:rsid w:val="002838AB"/>
    <w:rsid w:val="00283C63"/>
    <w:rsid w:val="00283D92"/>
    <w:rsid w:val="0028468E"/>
    <w:rsid w:val="00284BC8"/>
    <w:rsid w:val="00284DD7"/>
    <w:rsid w:val="002856E7"/>
    <w:rsid w:val="00286401"/>
    <w:rsid w:val="00286D6B"/>
    <w:rsid w:val="00287537"/>
    <w:rsid w:val="00290182"/>
    <w:rsid w:val="00290D71"/>
    <w:rsid w:val="00290E92"/>
    <w:rsid w:val="00291371"/>
    <w:rsid w:val="00291714"/>
    <w:rsid w:val="002926FF"/>
    <w:rsid w:val="00292BAD"/>
    <w:rsid w:val="00293D5E"/>
    <w:rsid w:val="00294266"/>
    <w:rsid w:val="00294B52"/>
    <w:rsid w:val="00294C5C"/>
    <w:rsid w:val="0029522E"/>
    <w:rsid w:val="002957B9"/>
    <w:rsid w:val="0029593B"/>
    <w:rsid w:val="00296065"/>
    <w:rsid w:val="00297FC5"/>
    <w:rsid w:val="002A0417"/>
    <w:rsid w:val="002A0B90"/>
    <w:rsid w:val="002A16D8"/>
    <w:rsid w:val="002A1BB6"/>
    <w:rsid w:val="002A1BC8"/>
    <w:rsid w:val="002A2055"/>
    <w:rsid w:val="002A2220"/>
    <w:rsid w:val="002A3139"/>
    <w:rsid w:val="002A3EF2"/>
    <w:rsid w:val="002A4101"/>
    <w:rsid w:val="002A5E66"/>
    <w:rsid w:val="002A70FF"/>
    <w:rsid w:val="002A7BDB"/>
    <w:rsid w:val="002B0DED"/>
    <w:rsid w:val="002B1116"/>
    <w:rsid w:val="002B131A"/>
    <w:rsid w:val="002B19A2"/>
    <w:rsid w:val="002B2257"/>
    <w:rsid w:val="002B381A"/>
    <w:rsid w:val="002B44DC"/>
    <w:rsid w:val="002B4826"/>
    <w:rsid w:val="002B494D"/>
    <w:rsid w:val="002B4FCC"/>
    <w:rsid w:val="002B70FA"/>
    <w:rsid w:val="002B7290"/>
    <w:rsid w:val="002B7408"/>
    <w:rsid w:val="002B7CFD"/>
    <w:rsid w:val="002B7DE5"/>
    <w:rsid w:val="002B7F07"/>
    <w:rsid w:val="002C015E"/>
    <w:rsid w:val="002C0328"/>
    <w:rsid w:val="002C0657"/>
    <w:rsid w:val="002C210F"/>
    <w:rsid w:val="002C22BB"/>
    <w:rsid w:val="002C32FA"/>
    <w:rsid w:val="002C3994"/>
    <w:rsid w:val="002C3EA9"/>
    <w:rsid w:val="002C40B9"/>
    <w:rsid w:val="002C44EF"/>
    <w:rsid w:val="002C4ED3"/>
    <w:rsid w:val="002C53EE"/>
    <w:rsid w:val="002C61DA"/>
    <w:rsid w:val="002C689F"/>
    <w:rsid w:val="002C6A94"/>
    <w:rsid w:val="002D05FC"/>
    <w:rsid w:val="002D0853"/>
    <w:rsid w:val="002D19DF"/>
    <w:rsid w:val="002D2017"/>
    <w:rsid w:val="002D3600"/>
    <w:rsid w:val="002D3ADB"/>
    <w:rsid w:val="002D4532"/>
    <w:rsid w:val="002D51A6"/>
    <w:rsid w:val="002D570C"/>
    <w:rsid w:val="002D574A"/>
    <w:rsid w:val="002D5995"/>
    <w:rsid w:val="002D5F09"/>
    <w:rsid w:val="002D62C3"/>
    <w:rsid w:val="002D631C"/>
    <w:rsid w:val="002D64A5"/>
    <w:rsid w:val="002D6A60"/>
    <w:rsid w:val="002E0DAD"/>
    <w:rsid w:val="002E1796"/>
    <w:rsid w:val="002E1886"/>
    <w:rsid w:val="002E1C52"/>
    <w:rsid w:val="002E1FCB"/>
    <w:rsid w:val="002E2200"/>
    <w:rsid w:val="002E3B22"/>
    <w:rsid w:val="002E4DDC"/>
    <w:rsid w:val="002E7447"/>
    <w:rsid w:val="002F0BB4"/>
    <w:rsid w:val="002F10B6"/>
    <w:rsid w:val="002F5087"/>
    <w:rsid w:val="002F7C02"/>
    <w:rsid w:val="003003EF"/>
    <w:rsid w:val="003005AD"/>
    <w:rsid w:val="003006F0"/>
    <w:rsid w:val="0030075C"/>
    <w:rsid w:val="00302480"/>
    <w:rsid w:val="00302EE2"/>
    <w:rsid w:val="003039C5"/>
    <w:rsid w:val="00304A26"/>
    <w:rsid w:val="0030745A"/>
    <w:rsid w:val="00307607"/>
    <w:rsid w:val="00310564"/>
    <w:rsid w:val="00310B0C"/>
    <w:rsid w:val="00310D99"/>
    <w:rsid w:val="00311C13"/>
    <w:rsid w:val="00312848"/>
    <w:rsid w:val="00312AD8"/>
    <w:rsid w:val="00314997"/>
    <w:rsid w:val="0031549A"/>
    <w:rsid w:val="00315B96"/>
    <w:rsid w:val="003165E6"/>
    <w:rsid w:val="00317D67"/>
    <w:rsid w:val="003215B5"/>
    <w:rsid w:val="003221CF"/>
    <w:rsid w:val="003233ED"/>
    <w:rsid w:val="003242CC"/>
    <w:rsid w:val="00324848"/>
    <w:rsid w:val="003249A9"/>
    <w:rsid w:val="00324D9F"/>
    <w:rsid w:val="00325068"/>
    <w:rsid w:val="00327948"/>
    <w:rsid w:val="0033000F"/>
    <w:rsid w:val="00330303"/>
    <w:rsid w:val="003304B3"/>
    <w:rsid w:val="00331544"/>
    <w:rsid w:val="00331AE9"/>
    <w:rsid w:val="00331FCF"/>
    <w:rsid w:val="00332011"/>
    <w:rsid w:val="00332518"/>
    <w:rsid w:val="00332925"/>
    <w:rsid w:val="003332ED"/>
    <w:rsid w:val="003348B9"/>
    <w:rsid w:val="00335E58"/>
    <w:rsid w:val="003366B9"/>
    <w:rsid w:val="003368DC"/>
    <w:rsid w:val="003404D2"/>
    <w:rsid w:val="00340753"/>
    <w:rsid w:val="00340AD7"/>
    <w:rsid w:val="00341214"/>
    <w:rsid w:val="0034236B"/>
    <w:rsid w:val="00342CDC"/>
    <w:rsid w:val="00342E92"/>
    <w:rsid w:val="00343248"/>
    <w:rsid w:val="00343471"/>
    <w:rsid w:val="00343737"/>
    <w:rsid w:val="00343FBC"/>
    <w:rsid w:val="00344590"/>
    <w:rsid w:val="00344DC3"/>
    <w:rsid w:val="0034554A"/>
    <w:rsid w:val="00345927"/>
    <w:rsid w:val="00345C92"/>
    <w:rsid w:val="00345E2E"/>
    <w:rsid w:val="00347844"/>
    <w:rsid w:val="00350584"/>
    <w:rsid w:val="00350A37"/>
    <w:rsid w:val="00350C72"/>
    <w:rsid w:val="00350CCF"/>
    <w:rsid w:val="00351857"/>
    <w:rsid w:val="0035288E"/>
    <w:rsid w:val="00353B4E"/>
    <w:rsid w:val="003545E8"/>
    <w:rsid w:val="00354E2B"/>
    <w:rsid w:val="00355B27"/>
    <w:rsid w:val="003561BF"/>
    <w:rsid w:val="0035722E"/>
    <w:rsid w:val="00357812"/>
    <w:rsid w:val="00357B3C"/>
    <w:rsid w:val="003600AC"/>
    <w:rsid w:val="00360739"/>
    <w:rsid w:val="0036087D"/>
    <w:rsid w:val="00360933"/>
    <w:rsid w:val="003610E1"/>
    <w:rsid w:val="00361357"/>
    <w:rsid w:val="003618A0"/>
    <w:rsid w:val="00361A93"/>
    <w:rsid w:val="003620E7"/>
    <w:rsid w:val="00363FF5"/>
    <w:rsid w:val="003644BF"/>
    <w:rsid w:val="0036561C"/>
    <w:rsid w:val="003671BE"/>
    <w:rsid w:val="0037036F"/>
    <w:rsid w:val="0037046B"/>
    <w:rsid w:val="00371E74"/>
    <w:rsid w:val="00372485"/>
    <w:rsid w:val="0037254E"/>
    <w:rsid w:val="00373200"/>
    <w:rsid w:val="00375EF5"/>
    <w:rsid w:val="003762E0"/>
    <w:rsid w:val="003767A5"/>
    <w:rsid w:val="0037720C"/>
    <w:rsid w:val="0037746A"/>
    <w:rsid w:val="00377715"/>
    <w:rsid w:val="003803BB"/>
    <w:rsid w:val="00380438"/>
    <w:rsid w:val="00380B56"/>
    <w:rsid w:val="00380D3D"/>
    <w:rsid w:val="00381A31"/>
    <w:rsid w:val="00381D15"/>
    <w:rsid w:val="00381F16"/>
    <w:rsid w:val="003821B5"/>
    <w:rsid w:val="003826E0"/>
    <w:rsid w:val="00382C83"/>
    <w:rsid w:val="00382D2B"/>
    <w:rsid w:val="00383B34"/>
    <w:rsid w:val="00383CC6"/>
    <w:rsid w:val="00384455"/>
    <w:rsid w:val="003845CA"/>
    <w:rsid w:val="00384778"/>
    <w:rsid w:val="00385254"/>
    <w:rsid w:val="003859BE"/>
    <w:rsid w:val="003865B1"/>
    <w:rsid w:val="0038731A"/>
    <w:rsid w:val="00387C28"/>
    <w:rsid w:val="00390D04"/>
    <w:rsid w:val="00390F03"/>
    <w:rsid w:val="00391210"/>
    <w:rsid w:val="003934CA"/>
    <w:rsid w:val="00394934"/>
    <w:rsid w:val="00397236"/>
    <w:rsid w:val="003A04DB"/>
    <w:rsid w:val="003A06EE"/>
    <w:rsid w:val="003A09D8"/>
    <w:rsid w:val="003A0DB8"/>
    <w:rsid w:val="003A1815"/>
    <w:rsid w:val="003A1E74"/>
    <w:rsid w:val="003A216A"/>
    <w:rsid w:val="003A2294"/>
    <w:rsid w:val="003A28DC"/>
    <w:rsid w:val="003A2A8A"/>
    <w:rsid w:val="003A34F3"/>
    <w:rsid w:val="003A4386"/>
    <w:rsid w:val="003A4841"/>
    <w:rsid w:val="003A4CBB"/>
    <w:rsid w:val="003A5828"/>
    <w:rsid w:val="003A5F5B"/>
    <w:rsid w:val="003A68CB"/>
    <w:rsid w:val="003A6ADB"/>
    <w:rsid w:val="003A7120"/>
    <w:rsid w:val="003A789A"/>
    <w:rsid w:val="003B1074"/>
    <w:rsid w:val="003B12EC"/>
    <w:rsid w:val="003B26AE"/>
    <w:rsid w:val="003B2801"/>
    <w:rsid w:val="003B30B8"/>
    <w:rsid w:val="003B3D67"/>
    <w:rsid w:val="003B471E"/>
    <w:rsid w:val="003B4CCE"/>
    <w:rsid w:val="003B5304"/>
    <w:rsid w:val="003B6566"/>
    <w:rsid w:val="003B6A4D"/>
    <w:rsid w:val="003B7673"/>
    <w:rsid w:val="003C1253"/>
    <w:rsid w:val="003C1D9C"/>
    <w:rsid w:val="003C1DEA"/>
    <w:rsid w:val="003C297E"/>
    <w:rsid w:val="003C35C4"/>
    <w:rsid w:val="003C4B23"/>
    <w:rsid w:val="003C531B"/>
    <w:rsid w:val="003C64AD"/>
    <w:rsid w:val="003C77E0"/>
    <w:rsid w:val="003D0257"/>
    <w:rsid w:val="003D08DC"/>
    <w:rsid w:val="003D0A3D"/>
    <w:rsid w:val="003D0F3F"/>
    <w:rsid w:val="003D17D7"/>
    <w:rsid w:val="003D2678"/>
    <w:rsid w:val="003D2F75"/>
    <w:rsid w:val="003D3044"/>
    <w:rsid w:val="003D3608"/>
    <w:rsid w:val="003D379E"/>
    <w:rsid w:val="003D39CF"/>
    <w:rsid w:val="003D49A6"/>
    <w:rsid w:val="003D4A3D"/>
    <w:rsid w:val="003D5370"/>
    <w:rsid w:val="003D55D5"/>
    <w:rsid w:val="003D68F1"/>
    <w:rsid w:val="003D71A3"/>
    <w:rsid w:val="003D7F68"/>
    <w:rsid w:val="003D7FAC"/>
    <w:rsid w:val="003E0A99"/>
    <w:rsid w:val="003E1101"/>
    <w:rsid w:val="003E22C5"/>
    <w:rsid w:val="003E2342"/>
    <w:rsid w:val="003E27C2"/>
    <w:rsid w:val="003E2B8A"/>
    <w:rsid w:val="003E2DAE"/>
    <w:rsid w:val="003E3559"/>
    <w:rsid w:val="003E413E"/>
    <w:rsid w:val="003E4A13"/>
    <w:rsid w:val="003E5705"/>
    <w:rsid w:val="003E5FDA"/>
    <w:rsid w:val="003E6710"/>
    <w:rsid w:val="003E6CCC"/>
    <w:rsid w:val="003E6F65"/>
    <w:rsid w:val="003E7BA2"/>
    <w:rsid w:val="003F0C92"/>
    <w:rsid w:val="003F10EE"/>
    <w:rsid w:val="003F16F6"/>
    <w:rsid w:val="003F1A30"/>
    <w:rsid w:val="003F218E"/>
    <w:rsid w:val="003F259F"/>
    <w:rsid w:val="003F3244"/>
    <w:rsid w:val="003F3507"/>
    <w:rsid w:val="003F3841"/>
    <w:rsid w:val="003F4B5E"/>
    <w:rsid w:val="003F4B80"/>
    <w:rsid w:val="003F4DC7"/>
    <w:rsid w:val="003F5235"/>
    <w:rsid w:val="003F5274"/>
    <w:rsid w:val="003F692F"/>
    <w:rsid w:val="003F7378"/>
    <w:rsid w:val="003F7C76"/>
    <w:rsid w:val="003F7E3C"/>
    <w:rsid w:val="00400943"/>
    <w:rsid w:val="00400A16"/>
    <w:rsid w:val="00400B15"/>
    <w:rsid w:val="00402652"/>
    <w:rsid w:val="004027E4"/>
    <w:rsid w:val="00403070"/>
    <w:rsid w:val="004041C1"/>
    <w:rsid w:val="004044E4"/>
    <w:rsid w:val="00404753"/>
    <w:rsid w:val="00404ADB"/>
    <w:rsid w:val="00405CE3"/>
    <w:rsid w:val="00405EBA"/>
    <w:rsid w:val="004074FA"/>
    <w:rsid w:val="004105AD"/>
    <w:rsid w:val="0041071D"/>
    <w:rsid w:val="00410CA4"/>
    <w:rsid w:val="00410CC1"/>
    <w:rsid w:val="00410E40"/>
    <w:rsid w:val="00411137"/>
    <w:rsid w:val="004118DD"/>
    <w:rsid w:val="00412768"/>
    <w:rsid w:val="00413772"/>
    <w:rsid w:val="00414AFC"/>
    <w:rsid w:val="004151A7"/>
    <w:rsid w:val="00415310"/>
    <w:rsid w:val="004153E4"/>
    <w:rsid w:val="00415C9A"/>
    <w:rsid w:val="00415DFD"/>
    <w:rsid w:val="004169A4"/>
    <w:rsid w:val="004177A2"/>
    <w:rsid w:val="00420166"/>
    <w:rsid w:val="00420F38"/>
    <w:rsid w:val="00421661"/>
    <w:rsid w:val="00421709"/>
    <w:rsid w:val="004221D5"/>
    <w:rsid w:val="004235E7"/>
    <w:rsid w:val="00423763"/>
    <w:rsid w:val="004240D9"/>
    <w:rsid w:val="00424B56"/>
    <w:rsid w:val="00424F77"/>
    <w:rsid w:val="00426CFA"/>
    <w:rsid w:val="0042762F"/>
    <w:rsid w:val="00427CCF"/>
    <w:rsid w:val="00427DC7"/>
    <w:rsid w:val="004301E7"/>
    <w:rsid w:val="00431613"/>
    <w:rsid w:val="00431792"/>
    <w:rsid w:val="00431DCA"/>
    <w:rsid w:val="0043226D"/>
    <w:rsid w:val="0043231A"/>
    <w:rsid w:val="0043297A"/>
    <w:rsid w:val="00432EB2"/>
    <w:rsid w:val="00434876"/>
    <w:rsid w:val="0043599E"/>
    <w:rsid w:val="004368C6"/>
    <w:rsid w:val="00436CE8"/>
    <w:rsid w:val="0043714F"/>
    <w:rsid w:val="004373DC"/>
    <w:rsid w:val="00440EAF"/>
    <w:rsid w:val="00442798"/>
    <w:rsid w:val="00443291"/>
    <w:rsid w:val="00443370"/>
    <w:rsid w:val="004438B5"/>
    <w:rsid w:val="00444B04"/>
    <w:rsid w:val="0044524E"/>
    <w:rsid w:val="00445F0B"/>
    <w:rsid w:val="00447037"/>
    <w:rsid w:val="004471FF"/>
    <w:rsid w:val="00447762"/>
    <w:rsid w:val="00450041"/>
    <w:rsid w:val="00450643"/>
    <w:rsid w:val="0045124D"/>
    <w:rsid w:val="004518F9"/>
    <w:rsid w:val="0045211A"/>
    <w:rsid w:val="00454596"/>
    <w:rsid w:val="004555EC"/>
    <w:rsid w:val="0045598D"/>
    <w:rsid w:val="00455A05"/>
    <w:rsid w:val="00455D60"/>
    <w:rsid w:val="00455E70"/>
    <w:rsid w:val="00455E7F"/>
    <w:rsid w:val="0045604F"/>
    <w:rsid w:val="0045605D"/>
    <w:rsid w:val="00457766"/>
    <w:rsid w:val="0045799F"/>
    <w:rsid w:val="00457A4D"/>
    <w:rsid w:val="0046088C"/>
    <w:rsid w:val="0046135B"/>
    <w:rsid w:val="00461D47"/>
    <w:rsid w:val="00461D92"/>
    <w:rsid w:val="004651B1"/>
    <w:rsid w:val="00466184"/>
    <w:rsid w:val="00466E9A"/>
    <w:rsid w:val="004673D3"/>
    <w:rsid w:val="00467AAA"/>
    <w:rsid w:val="004714A2"/>
    <w:rsid w:val="00471595"/>
    <w:rsid w:val="004718CC"/>
    <w:rsid w:val="00472F67"/>
    <w:rsid w:val="004732CE"/>
    <w:rsid w:val="00473F85"/>
    <w:rsid w:val="0047410E"/>
    <w:rsid w:val="004746FE"/>
    <w:rsid w:val="00474A73"/>
    <w:rsid w:val="0047527A"/>
    <w:rsid w:val="00475875"/>
    <w:rsid w:val="00476411"/>
    <w:rsid w:val="00477123"/>
    <w:rsid w:val="00480A08"/>
    <w:rsid w:val="00481187"/>
    <w:rsid w:val="00481695"/>
    <w:rsid w:val="00482C0E"/>
    <w:rsid w:val="00482C23"/>
    <w:rsid w:val="004834FC"/>
    <w:rsid w:val="00483883"/>
    <w:rsid w:val="00483E07"/>
    <w:rsid w:val="004869C3"/>
    <w:rsid w:val="00486DA2"/>
    <w:rsid w:val="0048737F"/>
    <w:rsid w:val="004919C5"/>
    <w:rsid w:val="00491C9C"/>
    <w:rsid w:val="00491DC5"/>
    <w:rsid w:val="00492D9F"/>
    <w:rsid w:val="00493441"/>
    <w:rsid w:val="00493811"/>
    <w:rsid w:val="00495210"/>
    <w:rsid w:val="004952AE"/>
    <w:rsid w:val="00495A96"/>
    <w:rsid w:val="00495AEC"/>
    <w:rsid w:val="00495BB3"/>
    <w:rsid w:val="00495BFE"/>
    <w:rsid w:val="00496338"/>
    <w:rsid w:val="00497349"/>
    <w:rsid w:val="004978DD"/>
    <w:rsid w:val="004A053F"/>
    <w:rsid w:val="004A0EC1"/>
    <w:rsid w:val="004A12E3"/>
    <w:rsid w:val="004A18AB"/>
    <w:rsid w:val="004A21ED"/>
    <w:rsid w:val="004A23F6"/>
    <w:rsid w:val="004A2BF5"/>
    <w:rsid w:val="004A2F78"/>
    <w:rsid w:val="004A36BB"/>
    <w:rsid w:val="004A49FD"/>
    <w:rsid w:val="004A4E4E"/>
    <w:rsid w:val="004A56BB"/>
    <w:rsid w:val="004A5A1E"/>
    <w:rsid w:val="004A5E00"/>
    <w:rsid w:val="004A6929"/>
    <w:rsid w:val="004A6CDE"/>
    <w:rsid w:val="004A6E4C"/>
    <w:rsid w:val="004A6EBD"/>
    <w:rsid w:val="004B02AD"/>
    <w:rsid w:val="004B1751"/>
    <w:rsid w:val="004B1DFC"/>
    <w:rsid w:val="004B214B"/>
    <w:rsid w:val="004B3010"/>
    <w:rsid w:val="004B3099"/>
    <w:rsid w:val="004B334B"/>
    <w:rsid w:val="004B37A3"/>
    <w:rsid w:val="004B446D"/>
    <w:rsid w:val="004B5029"/>
    <w:rsid w:val="004B516D"/>
    <w:rsid w:val="004B519E"/>
    <w:rsid w:val="004B54E9"/>
    <w:rsid w:val="004B6295"/>
    <w:rsid w:val="004B65A9"/>
    <w:rsid w:val="004B71E8"/>
    <w:rsid w:val="004C0225"/>
    <w:rsid w:val="004C0253"/>
    <w:rsid w:val="004C03AD"/>
    <w:rsid w:val="004C05E2"/>
    <w:rsid w:val="004C180A"/>
    <w:rsid w:val="004C283C"/>
    <w:rsid w:val="004C2B05"/>
    <w:rsid w:val="004C2D31"/>
    <w:rsid w:val="004C3210"/>
    <w:rsid w:val="004C336E"/>
    <w:rsid w:val="004C3EDC"/>
    <w:rsid w:val="004C3FE3"/>
    <w:rsid w:val="004C4046"/>
    <w:rsid w:val="004C4A36"/>
    <w:rsid w:val="004C4F33"/>
    <w:rsid w:val="004C73EF"/>
    <w:rsid w:val="004C7505"/>
    <w:rsid w:val="004D08DB"/>
    <w:rsid w:val="004D1A17"/>
    <w:rsid w:val="004D2D68"/>
    <w:rsid w:val="004D3396"/>
    <w:rsid w:val="004D36F4"/>
    <w:rsid w:val="004D4BF1"/>
    <w:rsid w:val="004D56FF"/>
    <w:rsid w:val="004E03E6"/>
    <w:rsid w:val="004E0ABA"/>
    <w:rsid w:val="004E39D3"/>
    <w:rsid w:val="004E3E5F"/>
    <w:rsid w:val="004E3FFB"/>
    <w:rsid w:val="004E4739"/>
    <w:rsid w:val="004E4DF6"/>
    <w:rsid w:val="004E508A"/>
    <w:rsid w:val="004E58D9"/>
    <w:rsid w:val="004E616D"/>
    <w:rsid w:val="004E66A1"/>
    <w:rsid w:val="004F0511"/>
    <w:rsid w:val="004F1BDE"/>
    <w:rsid w:val="004F2763"/>
    <w:rsid w:val="004F2CEE"/>
    <w:rsid w:val="004F3B1F"/>
    <w:rsid w:val="004F4A6F"/>
    <w:rsid w:val="004F4D40"/>
    <w:rsid w:val="004F51BB"/>
    <w:rsid w:val="004F52E7"/>
    <w:rsid w:val="004F556E"/>
    <w:rsid w:val="004F591C"/>
    <w:rsid w:val="004F5923"/>
    <w:rsid w:val="004F595C"/>
    <w:rsid w:val="004F60E4"/>
    <w:rsid w:val="004F6DDC"/>
    <w:rsid w:val="004F7277"/>
    <w:rsid w:val="004F74D5"/>
    <w:rsid w:val="004F7A4E"/>
    <w:rsid w:val="004F7F44"/>
    <w:rsid w:val="00500F2E"/>
    <w:rsid w:val="00501215"/>
    <w:rsid w:val="005012D4"/>
    <w:rsid w:val="00501624"/>
    <w:rsid w:val="0050169B"/>
    <w:rsid w:val="00501947"/>
    <w:rsid w:val="005027FF"/>
    <w:rsid w:val="005037B4"/>
    <w:rsid w:val="00503E21"/>
    <w:rsid w:val="00506EFA"/>
    <w:rsid w:val="005079BF"/>
    <w:rsid w:val="005103C7"/>
    <w:rsid w:val="00512009"/>
    <w:rsid w:val="0051269A"/>
    <w:rsid w:val="00512E30"/>
    <w:rsid w:val="005134C5"/>
    <w:rsid w:val="00513DE0"/>
    <w:rsid w:val="00513E96"/>
    <w:rsid w:val="00515533"/>
    <w:rsid w:val="00515878"/>
    <w:rsid w:val="00515C93"/>
    <w:rsid w:val="0052019B"/>
    <w:rsid w:val="00520E51"/>
    <w:rsid w:val="005219A3"/>
    <w:rsid w:val="005219E7"/>
    <w:rsid w:val="00522D84"/>
    <w:rsid w:val="005234FD"/>
    <w:rsid w:val="00523791"/>
    <w:rsid w:val="00523C81"/>
    <w:rsid w:val="0052650D"/>
    <w:rsid w:val="005274D2"/>
    <w:rsid w:val="00527DE1"/>
    <w:rsid w:val="00527E06"/>
    <w:rsid w:val="00527F68"/>
    <w:rsid w:val="0053070A"/>
    <w:rsid w:val="00530A2E"/>
    <w:rsid w:val="0053110A"/>
    <w:rsid w:val="00531947"/>
    <w:rsid w:val="005319E7"/>
    <w:rsid w:val="00531AE0"/>
    <w:rsid w:val="00531B9A"/>
    <w:rsid w:val="00531D15"/>
    <w:rsid w:val="0053231D"/>
    <w:rsid w:val="0053302C"/>
    <w:rsid w:val="00533ABB"/>
    <w:rsid w:val="00534C7D"/>
    <w:rsid w:val="005351C1"/>
    <w:rsid w:val="00535224"/>
    <w:rsid w:val="00535AA9"/>
    <w:rsid w:val="00535B51"/>
    <w:rsid w:val="00537604"/>
    <w:rsid w:val="0053771D"/>
    <w:rsid w:val="00537FCA"/>
    <w:rsid w:val="00540EFB"/>
    <w:rsid w:val="00542175"/>
    <w:rsid w:val="00542377"/>
    <w:rsid w:val="005423CD"/>
    <w:rsid w:val="005429FE"/>
    <w:rsid w:val="0054358A"/>
    <w:rsid w:val="005435F9"/>
    <w:rsid w:val="00543919"/>
    <w:rsid w:val="00544E93"/>
    <w:rsid w:val="0054532C"/>
    <w:rsid w:val="005455E1"/>
    <w:rsid w:val="00545D9E"/>
    <w:rsid w:val="00545DF8"/>
    <w:rsid w:val="005460FB"/>
    <w:rsid w:val="005467AD"/>
    <w:rsid w:val="00547324"/>
    <w:rsid w:val="00547560"/>
    <w:rsid w:val="005476EB"/>
    <w:rsid w:val="005479B8"/>
    <w:rsid w:val="005514D8"/>
    <w:rsid w:val="00551782"/>
    <w:rsid w:val="00551873"/>
    <w:rsid w:val="00552A41"/>
    <w:rsid w:val="00552B68"/>
    <w:rsid w:val="005540A2"/>
    <w:rsid w:val="00554165"/>
    <w:rsid w:val="00554698"/>
    <w:rsid w:val="00555117"/>
    <w:rsid w:val="00557D3A"/>
    <w:rsid w:val="00560597"/>
    <w:rsid w:val="005608A9"/>
    <w:rsid w:val="00561CF6"/>
    <w:rsid w:val="00562562"/>
    <w:rsid w:val="005629C8"/>
    <w:rsid w:val="00562CD5"/>
    <w:rsid w:val="00563246"/>
    <w:rsid w:val="0056373A"/>
    <w:rsid w:val="00563955"/>
    <w:rsid w:val="00563AC8"/>
    <w:rsid w:val="00563EF1"/>
    <w:rsid w:val="00566897"/>
    <w:rsid w:val="00566AB4"/>
    <w:rsid w:val="0056784A"/>
    <w:rsid w:val="00567BD1"/>
    <w:rsid w:val="0057039D"/>
    <w:rsid w:val="00571BC2"/>
    <w:rsid w:val="0057302D"/>
    <w:rsid w:val="005732B0"/>
    <w:rsid w:val="005737ED"/>
    <w:rsid w:val="00574860"/>
    <w:rsid w:val="00575398"/>
    <w:rsid w:val="005759E7"/>
    <w:rsid w:val="00575AC5"/>
    <w:rsid w:val="0057605D"/>
    <w:rsid w:val="00576859"/>
    <w:rsid w:val="00577C8A"/>
    <w:rsid w:val="0058077F"/>
    <w:rsid w:val="00580796"/>
    <w:rsid w:val="005811D3"/>
    <w:rsid w:val="00581347"/>
    <w:rsid w:val="00581A5B"/>
    <w:rsid w:val="00581AC9"/>
    <w:rsid w:val="00581CBA"/>
    <w:rsid w:val="00583363"/>
    <w:rsid w:val="00583FEF"/>
    <w:rsid w:val="005849F8"/>
    <w:rsid w:val="00585DB1"/>
    <w:rsid w:val="00585FB9"/>
    <w:rsid w:val="00586ACB"/>
    <w:rsid w:val="0058733B"/>
    <w:rsid w:val="00590BC6"/>
    <w:rsid w:val="005910F5"/>
    <w:rsid w:val="005938DF"/>
    <w:rsid w:val="00593ECC"/>
    <w:rsid w:val="00594674"/>
    <w:rsid w:val="00594855"/>
    <w:rsid w:val="00594E9C"/>
    <w:rsid w:val="005952FE"/>
    <w:rsid w:val="005954B5"/>
    <w:rsid w:val="00595C7D"/>
    <w:rsid w:val="00595D76"/>
    <w:rsid w:val="005962BE"/>
    <w:rsid w:val="00596487"/>
    <w:rsid w:val="005968EC"/>
    <w:rsid w:val="00596931"/>
    <w:rsid w:val="00597B49"/>
    <w:rsid w:val="005A099B"/>
    <w:rsid w:val="005A0BCE"/>
    <w:rsid w:val="005A10E6"/>
    <w:rsid w:val="005A123C"/>
    <w:rsid w:val="005A128D"/>
    <w:rsid w:val="005A15C2"/>
    <w:rsid w:val="005A1939"/>
    <w:rsid w:val="005A19C7"/>
    <w:rsid w:val="005A2067"/>
    <w:rsid w:val="005A2D0B"/>
    <w:rsid w:val="005A2D9C"/>
    <w:rsid w:val="005A3620"/>
    <w:rsid w:val="005A4D59"/>
    <w:rsid w:val="005A4DAE"/>
    <w:rsid w:val="005A55FE"/>
    <w:rsid w:val="005A58BB"/>
    <w:rsid w:val="005A6A11"/>
    <w:rsid w:val="005A6B90"/>
    <w:rsid w:val="005A79E4"/>
    <w:rsid w:val="005A7B76"/>
    <w:rsid w:val="005B0403"/>
    <w:rsid w:val="005B169C"/>
    <w:rsid w:val="005B1F89"/>
    <w:rsid w:val="005B218E"/>
    <w:rsid w:val="005B347B"/>
    <w:rsid w:val="005B359B"/>
    <w:rsid w:val="005B397B"/>
    <w:rsid w:val="005B419F"/>
    <w:rsid w:val="005B4845"/>
    <w:rsid w:val="005B4BF4"/>
    <w:rsid w:val="005B4DD1"/>
    <w:rsid w:val="005B52CC"/>
    <w:rsid w:val="005B5334"/>
    <w:rsid w:val="005B57C4"/>
    <w:rsid w:val="005B64B6"/>
    <w:rsid w:val="005B7455"/>
    <w:rsid w:val="005B7C2B"/>
    <w:rsid w:val="005C3347"/>
    <w:rsid w:val="005C4545"/>
    <w:rsid w:val="005C5CE1"/>
    <w:rsid w:val="005C5E04"/>
    <w:rsid w:val="005C6303"/>
    <w:rsid w:val="005C6890"/>
    <w:rsid w:val="005C6E0F"/>
    <w:rsid w:val="005C7DDB"/>
    <w:rsid w:val="005D1745"/>
    <w:rsid w:val="005D1819"/>
    <w:rsid w:val="005D1833"/>
    <w:rsid w:val="005D212B"/>
    <w:rsid w:val="005D2191"/>
    <w:rsid w:val="005D2502"/>
    <w:rsid w:val="005D3500"/>
    <w:rsid w:val="005D3B4A"/>
    <w:rsid w:val="005D40BB"/>
    <w:rsid w:val="005D45F8"/>
    <w:rsid w:val="005D47F3"/>
    <w:rsid w:val="005D49BF"/>
    <w:rsid w:val="005D4AA5"/>
    <w:rsid w:val="005D554E"/>
    <w:rsid w:val="005D5C36"/>
    <w:rsid w:val="005D5C5B"/>
    <w:rsid w:val="005D5E78"/>
    <w:rsid w:val="005D6250"/>
    <w:rsid w:val="005D6A73"/>
    <w:rsid w:val="005D6EF8"/>
    <w:rsid w:val="005D6F4E"/>
    <w:rsid w:val="005D78F5"/>
    <w:rsid w:val="005D7C73"/>
    <w:rsid w:val="005E14A6"/>
    <w:rsid w:val="005E3ACD"/>
    <w:rsid w:val="005E3D56"/>
    <w:rsid w:val="005E4559"/>
    <w:rsid w:val="005E7226"/>
    <w:rsid w:val="005E75FE"/>
    <w:rsid w:val="005E7A57"/>
    <w:rsid w:val="005F2001"/>
    <w:rsid w:val="005F24B0"/>
    <w:rsid w:val="005F27D7"/>
    <w:rsid w:val="005F4236"/>
    <w:rsid w:val="005F7D28"/>
    <w:rsid w:val="00600432"/>
    <w:rsid w:val="00601133"/>
    <w:rsid w:val="00601B91"/>
    <w:rsid w:val="0060260E"/>
    <w:rsid w:val="0060293D"/>
    <w:rsid w:val="006038C6"/>
    <w:rsid w:val="00604269"/>
    <w:rsid w:val="00604315"/>
    <w:rsid w:val="0060463F"/>
    <w:rsid w:val="00604E26"/>
    <w:rsid w:val="00604FA2"/>
    <w:rsid w:val="006050A5"/>
    <w:rsid w:val="006052CF"/>
    <w:rsid w:val="00605919"/>
    <w:rsid w:val="006059F6"/>
    <w:rsid w:val="00607582"/>
    <w:rsid w:val="00607B8D"/>
    <w:rsid w:val="00607F18"/>
    <w:rsid w:val="0061002C"/>
    <w:rsid w:val="0061043D"/>
    <w:rsid w:val="00611F5C"/>
    <w:rsid w:val="00612905"/>
    <w:rsid w:val="00612A14"/>
    <w:rsid w:val="0061464D"/>
    <w:rsid w:val="00615E26"/>
    <w:rsid w:val="00616E09"/>
    <w:rsid w:val="00617754"/>
    <w:rsid w:val="00617E77"/>
    <w:rsid w:val="006204F6"/>
    <w:rsid w:val="006210F6"/>
    <w:rsid w:val="00621279"/>
    <w:rsid w:val="00622A3B"/>
    <w:rsid w:val="00622EEA"/>
    <w:rsid w:val="00623219"/>
    <w:rsid w:val="0062396C"/>
    <w:rsid w:val="00623D7E"/>
    <w:rsid w:val="00623FF9"/>
    <w:rsid w:val="00624035"/>
    <w:rsid w:val="00624F54"/>
    <w:rsid w:val="006252A4"/>
    <w:rsid w:val="006259E4"/>
    <w:rsid w:val="00625C8F"/>
    <w:rsid w:val="00625D7A"/>
    <w:rsid w:val="00626F16"/>
    <w:rsid w:val="0062777E"/>
    <w:rsid w:val="00627D1D"/>
    <w:rsid w:val="00627D4E"/>
    <w:rsid w:val="00627DB4"/>
    <w:rsid w:val="006306F7"/>
    <w:rsid w:val="00630E71"/>
    <w:rsid w:val="00632661"/>
    <w:rsid w:val="00632B89"/>
    <w:rsid w:val="0063338B"/>
    <w:rsid w:val="00634478"/>
    <w:rsid w:val="00634ACD"/>
    <w:rsid w:val="00634BCB"/>
    <w:rsid w:val="0063695E"/>
    <w:rsid w:val="00636D0D"/>
    <w:rsid w:val="006370A2"/>
    <w:rsid w:val="00640BB1"/>
    <w:rsid w:val="006415DC"/>
    <w:rsid w:val="0064167E"/>
    <w:rsid w:val="0064200C"/>
    <w:rsid w:val="00642D45"/>
    <w:rsid w:val="00642DDA"/>
    <w:rsid w:val="006435B1"/>
    <w:rsid w:val="00644373"/>
    <w:rsid w:val="006449C9"/>
    <w:rsid w:val="00644B95"/>
    <w:rsid w:val="00645039"/>
    <w:rsid w:val="00645915"/>
    <w:rsid w:val="00645C2C"/>
    <w:rsid w:val="00645DAC"/>
    <w:rsid w:val="006462AC"/>
    <w:rsid w:val="006468BB"/>
    <w:rsid w:val="00646DF3"/>
    <w:rsid w:val="006470D3"/>
    <w:rsid w:val="00647687"/>
    <w:rsid w:val="00647B1D"/>
    <w:rsid w:val="006500AF"/>
    <w:rsid w:val="0065139B"/>
    <w:rsid w:val="006516E6"/>
    <w:rsid w:val="006518CF"/>
    <w:rsid w:val="006519C3"/>
    <w:rsid w:val="006522E7"/>
    <w:rsid w:val="00652503"/>
    <w:rsid w:val="0065256F"/>
    <w:rsid w:val="00652B30"/>
    <w:rsid w:val="00652FC3"/>
    <w:rsid w:val="0065304E"/>
    <w:rsid w:val="006531C6"/>
    <w:rsid w:val="00653E5E"/>
    <w:rsid w:val="00655264"/>
    <w:rsid w:val="0065583E"/>
    <w:rsid w:val="00655C94"/>
    <w:rsid w:val="00656345"/>
    <w:rsid w:val="00656DC6"/>
    <w:rsid w:val="00660EC6"/>
    <w:rsid w:val="00661DC7"/>
    <w:rsid w:val="00662552"/>
    <w:rsid w:val="0066295F"/>
    <w:rsid w:val="0066390A"/>
    <w:rsid w:val="00664110"/>
    <w:rsid w:val="00664617"/>
    <w:rsid w:val="00664D17"/>
    <w:rsid w:val="00665286"/>
    <w:rsid w:val="00665B86"/>
    <w:rsid w:val="00665F9E"/>
    <w:rsid w:val="0066634A"/>
    <w:rsid w:val="00666520"/>
    <w:rsid w:val="00667ABF"/>
    <w:rsid w:val="00667C5B"/>
    <w:rsid w:val="00667E14"/>
    <w:rsid w:val="006701CA"/>
    <w:rsid w:val="00670822"/>
    <w:rsid w:val="00671274"/>
    <w:rsid w:val="006714C4"/>
    <w:rsid w:val="00672016"/>
    <w:rsid w:val="006732DE"/>
    <w:rsid w:val="00673940"/>
    <w:rsid w:val="006748B0"/>
    <w:rsid w:val="00675553"/>
    <w:rsid w:val="00675B90"/>
    <w:rsid w:val="00676443"/>
    <w:rsid w:val="00676637"/>
    <w:rsid w:val="00676909"/>
    <w:rsid w:val="0067774B"/>
    <w:rsid w:val="006803F9"/>
    <w:rsid w:val="00680A31"/>
    <w:rsid w:val="00680E12"/>
    <w:rsid w:val="00682E19"/>
    <w:rsid w:val="00682FD9"/>
    <w:rsid w:val="006842E9"/>
    <w:rsid w:val="0068668D"/>
    <w:rsid w:val="00686D72"/>
    <w:rsid w:val="006874C7"/>
    <w:rsid w:val="0068779F"/>
    <w:rsid w:val="00687958"/>
    <w:rsid w:val="00690922"/>
    <w:rsid w:val="00690C4F"/>
    <w:rsid w:val="0069108A"/>
    <w:rsid w:val="0069136C"/>
    <w:rsid w:val="00691896"/>
    <w:rsid w:val="00691EB8"/>
    <w:rsid w:val="00692645"/>
    <w:rsid w:val="00692CDE"/>
    <w:rsid w:val="00692D0A"/>
    <w:rsid w:val="00693073"/>
    <w:rsid w:val="00695362"/>
    <w:rsid w:val="0069613F"/>
    <w:rsid w:val="00696268"/>
    <w:rsid w:val="00696371"/>
    <w:rsid w:val="00696632"/>
    <w:rsid w:val="00697651"/>
    <w:rsid w:val="006977FF"/>
    <w:rsid w:val="006A01FA"/>
    <w:rsid w:val="006A043B"/>
    <w:rsid w:val="006A0E9E"/>
    <w:rsid w:val="006A1250"/>
    <w:rsid w:val="006A25C7"/>
    <w:rsid w:val="006A26C9"/>
    <w:rsid w:val="006A3C1E"/>
    <w:rsid w:val="006A4AAD"/>
    <w:rsid w:val="006A515F"/>
    <w:rsid w:val="006A5DF1"/>
    <w:rsid w:val="006A5E8A"/>
    <w:rsid w:val="006A6DA2"/>
    <w:rsid w:val="006A731B"/>
    <w:rsid w:val="006A7AB2"/>
    <w:rsid w:val="006A7C57"/>
    <w:rsid w:val="006A7EB2"/>
    <w:rsid w:val="006A7EFB"/>
    <w:rsid w:val="006B02C2"/>
    <w:rsid w:val="006B061F"/>
    <w:rsid w:val="006B2814"/>
    <w:rsid w:val="006B2DB6"/>
    <w:rsid w:val="006B2FAC"/>
    <w:rsid w:val="006B301B"/>
    <w:rsid w:val="006B397D"/>
    <w:rsid w:val="006B50AC"/>
    <w:rsid w:val="006B5401"/>
    <w:rsid w:val="006B5717"/>
    <w:rsid w:val="006B582F"/>
    <w:rsid w:val="006B6460"/>
    <w:rsid w:val="006B6F6E"/>
    <w:rsid w:val="006C0A86"/>
    <w:rsid w:val="006C0CEB"/>
    <w:rsid w:val="006C0D96"/>
    <w:rsid w:val="006C2247"/>
    <w:rsid w:val="006C25E5"/>
    <w:rsid w:val="006C2F18"/>
    <w:rsid w:val="006C3A84"/>
    <w:rsid w:val="006C3B1E"/>
    <w:rsid w:val="006C4303"/>
    <w:rsid w:val="006C44EA"/>
    <w:rsid w:val="006C47FD"/>
    <w:rsid w:val="006C5C19"/>
    <w:rsid w:val="006C70A0"/>
    <w:rsid w:val="006C7AC1"/>
    <w:rsid w:val="006C7F26"/>
    <w:rsid w:val="006D06A5"/>
    <w:rsid w:val="006D1162"/>
    <w:rsid w:val="006D18E9"/>
    <w:rsid w:val="006D1943"/>
    <w:rsid w:val="006D1E6A"/>
    <w:rsid w:val="006D2370"/>
    <w:rsid w:val="006D274E"/>
    <w:rsid w:val="006D27CB"/>
    <w:rsid w:val="006D2F08"/>
    <w:rsid w:val="006D32FD"/>
    <w:rsid w:val="006D4CE8"/>
    <w:rsid w:val="006D5321"/>
    <w:rsid w:val="006D576C"/>
    <w:rsid w:val="006D5865"/>
    <w:rsid w:val="006D5D04"/>
    <w:rsid w:val="006D64BD"/>
    <w:rsid w:val="006D6657"/>
    <w:rsid w:val="006D718C"/>
    <w:rsid w:val="006D7A3D"/>
    <w:rsid w:val="006D7FCE"/>
    <w:rsid w:val="006E113A"/>
    <w:rsid w:val="006E1486"/>
    <w:rsid w:val="006E190F"/>
    <w:rsid w:val="006E224B"/>
    <w:rsid w:val="006E4918"/>
    <w:rsid w:val="006E4B1B"/>
    <w:rsid w:val="006E5115"/>
    <w:rsid w:val="006E5445"/>
    <w:rsid w:val="006E61C3"/>
    <w:rsid w:val="006E63FE"/>
    <w:rsid w:val="006E6586"/>
    <w:rsid w:val="006E6FB1"/>
    <w:rsid w:val="006E7B70"/>
    <w:rsid w:val="006E7D93"/>
    <w:rsid w:val="006F149D"/>
    <w:rsid w:val="006F1CB1"/>
    <w:rsid w:val="006F2B02"/>
    <w:rsid w:val="006F2EE1"/>
    <w:rsid w:val="006F3F88"/>
    <w:rsid w:val="006F43A3"/>
    <w:rsid w:val="006F542F"/>
    <w:rsid w:val="006F799C"/>
    <w:rsid w:val="007013A2"/>
    <w:rsid w:val="007015A8"/>
    <w:rsid w:val="00701676"/>
    <w:rsid w:val="007016FF"/>
    <w:rsid w:val="0070191A"/>
    <w:rsid w:val="0070256F"/>
    <w:rsid w:val="007029A3"/>
    <w:rsid w:val="00704CB6"/>
    <w:rsid w:val="00704E91"/>
    <w:rsid w:val="00704F39"/>
    <w:rsid w:val="007054DB"/>
    <w:rsid w:val="0070568B"/>
    <w:rsid w:val="00706E4E"/>
    <w:rsid w:val="0070791C"/>
    <w:rsid w:val="00707D94"/>
    <w:rsid w:val="00710244"/>
    <w:rsid w:val="007103D3"/>
    <w:rsid w:val="0071080F"/>
    <w:rsid w:val="00711139"/>
    <w:rsid w:val="007115F4"/>
    <w:rsid w:val="0071176C"/>
    <w:rsid w:val="00712B57"/>
    <w:rsid w:val="007132A4"/>
    <w:rsid w:val="0071372D"/>
    <w:rsid w:val="0071383C"/>
    <w:rsid w:val="007141A7"/>
    <w:rsid w:val="00715722"/>
    <w:rsid w:val="00715BB9"/>
    <w:rsid w:val="00716EBD"/>
    <w:rsid w:val="0071796B"/>
    <w:rsid w:val="00721032"/>
    <w:rsid w:val="00721B55"/>
    <w:rsid w:val="00721FB7"/>
    <w:rsid w:val="00722618"/>
    <w:rsid w:val="007229D3"/>
    <w:rsid w:val="00722CA9"/>
    <w:rsid w:val="00723FFE"/>
    <w:rsid w:val="00724119"/>
    <w:rsid w:val="007244B2"/>
    <w:rsid w:val="0072518B"/>
    <w:rsid w:val="007251F1"/>
    <w:rsid w:val="00725322"/>
    <w:rsid w:val="007261F6"/>
    <w:rsid w:val="007269E8"/>
    <w:rsid w:val="00726CE4"/>
    <w:rsid w:val="0072754E"/>
    <w:rsid w:val="00727699"/>
    <w:rsid w:val="00727C16"/>
    <w:rsid w:val="00727DD8"/>
    <w:rsid w:val="00730994"/>
    <w:rsid w:val="00730A1C"/>
    <w:rsid w:val="00730E6E"/>
    <w:rsid w:val="00731991"/>
    <w:rsid w:val="00731E1C"/>
    <w:rsid w:val="00732A3E"/>
    <w:rsid w:val="00734143"/>
    <w:rsid w:val="007342CC"/>
    <w:rsid w:val="007344C4"/>
    <w:rsid w:val="00734EF8"/>
    <w:rsid w:val="007351C3"/>
    <w:rsid w:val="00735E3C"/>
    <w:rsid w:val="007365BD"/>
    <w:rsid w:val="00736757"/>
    <w:rsid w:val="00737694"/>
    <w:rsid w:val="00737E47"/>
    <w:rsid w:val="007404E8"/>
    <w:rsid w:val="00740EAC"/>
    <w:rsid w:val="00741C2B"/>
    <w:rsid w:val="00742CF1"/>
    <w:rsid w:val="00744956"/>
    <w:rsid w:val="00744A5E"/>
    <w:rsid w:val="00744F18"/>
    <w:rsid w:val="00745A5C"/>
    <w:rsid w:val="0074605F"/>
    <w:rsid w:val="00746463"/>
    <w:rsid w:val="007467F0"/>
    <w:rsid w:val="00747E94"/>
    <w:rsid w:val="00751602"/>
    <w:rsid w:val="00751AEC"/>
    <w:rsid w:val="00751E5B"/>
    <w:rsid w:val="0075253B"/>
    <w:rsid w:val="0075276B"/>
    <w:rsid w:val="00752857"/>
    <w:rsid w:val="0075302B"/>
    <w:rsid w:val="00753E8C"/>
    <w:rsid w:val="00754C83"/>
    <w:rsid w:val="0075534E"/>
    <w:rsid w:val="00756048"/>
    <w:rsid w:val="00756566"/>
    <w:rsid w:val="007567E5"/>
    <w:rsid w:val="0075730F"/>
    <w:rsid w:val="00760066"/>
    <w:rsid w:val="00760440"/>
    <w:rsid w:val="00763477"/>
    <w:rsid w:val="00764684"/>
    <w:rsid w:val="00765BF1"/>
    <w:rsid w:val="00765C17"/>
    <w:rsid w:val="00765DF8"/>
    <w:rsid w:val="00765F2B"/>
    <w:rsid w:val="00766243"/>
    <w:rsid w:val="00766749"/>
    <w:rsid w:val="00766D28"/>
    <w:rsid w:val="00767C1B"/>
    <w:rsid w:val="00767CEE"/>
    <w:rsid w:val="007714A9"/>
    <w:rsid w:val="00771F76"/>
    <w:rsid w:val="00772021"/>
    <w:rsid w:val="0077221D"/>
    <w:rsid w:val="00774F88"/>
    <w:rsid w:val="00774FDB"/>
    <w:rsid w:val="0077533E"/>
    <w:rsid w:val="0077559E"/>
    <w:rsid w:val="00776862"/>
    <w:rsid w:val="007777FF"/>
    <w:rsid w:val="00777BA2"/>
    <w:rsid w:val="00780282"/>
    <w:rsid w:val="00780AA5"/>
    <w:rsid w:val="00781408"/>
    <w:rsid w:val="0078141C"/>
    <w:rsid w:val="00781BEF"/>
    <w:rsid w:val="00783131"/>
    <w:rsid w:val="007834C7"/>
    <w:rsid w:val="007835D5"/>
    <w:rsid w:val="007846E9"/>
    <w:rsid w:val="00784F7F"/>
    <w:rsid w:val="0078544D"/>
    <w:rsid w:val="00785757"/>
    <w:rsid w:val="00785935"/>
    <w:rsid w:val="00785F7B"/>
    <w:rsid w:val="00786A4A"/>
    <w:rsid w:val="007878BD"/>
    <w:rsid w:val="0079118B"/>
    <w:rsid w:val="007916F4"/>
    <w:rsid w:val="00793A9D"/>
    <w:rsid w:val="0079442E"/>
    <w:rsid w:val="00794490"/>
    <w:rsid w:val="007944CA"/>
    <w:rsid w:val="007961C4"/>
    <w:rsid w:val="00796C4C"/>
    <w:rsid w:val="00796F25"/>
    <w:rsid w:val="00797676"/>
    <w:rsid w:val="007A1074"/>
    <w:rsid w:val="007A1856"/>
    <w:rsid w:val="007A2ADC"/>
    <w:rsid w:val="007A2E98"/>
    <w:rsid w:val="007A3263"/>
    <w:rsid w:val="007A3BA3"/>
    <w:rsid w:val="007A4188"/>
    <w:rsid w:val="007A4F06"/>
    <w:rsid w:val="007A52DC"/>
    <w:rsid w:val="007A55F0"/>
    <w:rsid w:val="007A591B"/>
    <w:rsid w:val="007A6CC0"/>
    <w:rsid w:val="007A6E64"/>
    <w:rsid w:val="007A78A6"/>
    <w:rsid w:val="007A7B25"/>
    <w:rsid w:val="007A7B2A"/>
    <w:rsid w:val="007A7FEC"/>
    <w:rsid w:val="007B0700"/>
    <w:rsid w:val="007B1499"/>
    <w:rsid w:val="007B1BBF"/>
    <w:rsid w:val="007B2960"/>
    <w:rsid w:val="007B300B"/>
    <w:rsid w:val="007B355D"/>
    <w:rsid w:val="007B38D6"/>
    <w:rsid w:val="007B3992"/>
    <w:rsid w:val="007B4644"/>
    <w:rsid w:val="007B49F7"/>
    <w:rsid w:val="007B6E82"/>
    <w:rsid w:val="007B6FDC"/>
    <w:rsid w:val="007B788C"/>
    <w:rsid w:val="007B7980"/>
    <w:rsid w:val="007C0715"/>
    <w:rsid w:val="007C0DEF"/>
    <w:rsid w:val="007C1AD3"/>
    <w:rsid w:val="007C297B"/>
    <w:rsid w:val="007C4C45"/>
    <w:rsid w:val="007C528A"/>
    <w:rsid w:val="007C58F2"/>
    <w:rsid w:val="007C5D5A"/>
    <w:rsid w:val="007C607F"/>
    <w:rsid w:val="007C633E"/>
    <w:rsid w:val="007C77FF"/>
    <w:rsid w:val="007C79DD"/>
    <w:rsid w:val="007D0DFE"/>
    <w:rsid w:val="007D12F2"/>
    <w:rsid w:val="007D1A97"/>
    <w:rsid w:val="007D243C"/>
    <w:rsid w:val="007D2800"/>
    <w:rsid w:val="007D2CD4"/>
    <w:rsid w:val="007D2CD6"/>
    <w:rsid w:val="007D3063"/>
    <w:rsid w:val="007D381B"/>
    <w:rsid w:val="007D3CEB"/>
    <w:rsid w:val="007D47D9"/>
    <w:rsid w:val="007D47F8"/>
    <w:rsid w:val="007D4AC7"/>
    <w:rsid w:val="007D5765"/>
    <w:rsid w:val="007D57F6"/>
    <w:rsid w:val="007D5F3E"/>
    <w:rsid w:val="007D6822"/>
    <w:rsid w:val="007D68B7"/>
    <w:rsid w:val="007D7B0F"/>
    <w:rsid w:val="007D7C29"/>
    <w:rsid w:val="007E06EA"/>
    <w:rsid w:val="007E0F6C"/>
    <w:rsid w:val="007E12CE"/>
    <w:rsid w:val="007E2F91"/>
    <w:rsid w:val="007E38A4"/>
    <w:rsid w:val="007E6189"/>
    <w:rsid w:val="007E65C0"/>
    <w:rsid w:val="007E6B17"/>
    <w:rsid w:val="007E7092"/>
    <w:rsid w:val="007E7683"/>
    <w:rsid w:val="007F1132"/>
    <w:rsid w:val="007F1A09"/>
    <w:rsid w:val="007F1E93"/>
    <w:rsid w:val="007F3368"/>
    <w:rsid w:val="007F3405"/>
    <w:rsid w:val="007F42FF"/>
    <w:rsid w:val="007F450D"/>
    <w:rsid w:val="007F49FA"/>
    <w:rsid w:val="007F4F3F"/>
    <w:rsid w:val="007F54C4"/>
    <w:rsid w:val="007F5539"/>
    <w:rsid w:val="007F5823"/>
    <w:rsid w:val="007F5DB8"/>
    <w:rsid w:val="007F5F84"/>
    <w:rsid w:val="007F63F9"/>
    <w:rsid w:val="007F6E9A"/>
    <w:rsid w:val="007F750B"/>
    <w:rsid w:val="007F799A"/>
    <w:rsid w:val="00802497"/>
    <w:rsid w:val="00802DC1"/>
    <w:rsid w:val="00803392"/>
    <w:rsid w:val="008041DB"/>
    <w:rsid w:val="008044B0"/>
    <w:rsid w:val="008044D4"/>
    <w:rsid w:val="00804B67"/>
    <w:rsid w:val="00804C21"/>
    <w:rsid w:val="00807059"/>
    <w:rsid w:val="00807B75"/>
    <w:rsid w:val="00807DE2"/>
    <w:rsid w:val="00807ED2"/>
    <w:rsid w:val="00810AB4"/>
    <w:rsid w:val="00810CDA"/>
    <w:rsid w:val="00812CB3"/>
    <w:rsid w:val="00813712"/>
    <w:rsid w:val="00813DA8"/>
    <w:rsid w:val="0081444A"/>
    <w:rsid w:val="00814B62"/>
    <w:rsid w:val="00814CF1"/>
    <w:rsid w:val="00814D40"/>
    <w:rsid w:val="00814D4D"/>
    <w:rsid w:val="00815878"/>
    <w:rsid w:val="00815CD2"/>
    <w:rsid w:val="00817176"/>
    <w:rsid w:val="008171A2"/>
    <w:rsid w:val="0081737B"/>
    <w:rsid w:val="00817862"/>
    <w:rsid w:val="00817B56"/>
    <w:rsid w:val="00820B1D"/>
    <w:rsid w:val="00820EA0"/>
    <w:rsid w:val="00821A88"/>
    <w:rsid w:val="00822330"/>
    <w:rsid w:val="00822711"/>
    <w:rsid w:val="008233A7"/>
    <w:rsid w:val="008234B1"/>
    <w:rsid w:val="00823AF4"/>
    <w:rsid w:val="00823C1E"/>
    <w:rsid w:val="00824291"/>
    <w:rsid w:val="0082440C"/>
    <w:rsid w:val="00824744"/>
    <w:rsid w:val="0082495D"/>
    <w:rsid w:val="00825C69"/>
    <w:rsid w:val="00825F8D"/>
    <w:rsid w:val="00825FA5"/>
    <w:rsid w:val="00826B12"/>
    <w:rsid w:val="00827CCE"/>
    <w:rsid w:val="008300DC"/>
    <w:rsid w:val="00830C1C"/>
    <w:rsid w:val="00831AC3"/>
    <w:rsid w:val="008327B5"/>
    <w:rsid w:val="00832CC8"/>
    <w:rsid w:val="008333F6"/>
    <w:rsid w:val="008343CD"/>
    <w:rsid w:val="00835321"/>
    <w:rsid w:val="008357C1"/>
    <w:rsid w:val="0083582F"/>
    <w:rsid w:val="00835E98"/>
    <w:rsid w:val="0083614A"/>
    <w:rsid w:val="00836444"/>
    <w:rsid w:val="00836BD4"/>
    <w:rsid w:val="008371CC"/>
    <w:rsid w:val="008408FF"/>
    <w:rsid w:val="00840966"/>
    <w:rsid w:val="00840A6D"/>
    <w:rsid w:val="0084138C"/>
    <w:rsid w:val="00841827"/>
    <w:rsid w:val="00841EE3"/>
    <w:rsid w:val="00842CA1"/>
    <w:rsid w:val="00843C96"/>
    <w:rsid w:val="008441D8"/>
    <w:rsid w:val="008444F6"/>
    <w:rsid w:val="00844869"/>
    <w:rsid w:val="00844FAD"/>
    <w:rsid w:val="0084523B"/>
    <w:rsid w:val="00845ABE"/>
    <w:rsid w:val="008460FB"/>
    <w:rsid w:val="008464F0"/>
    <w:rsid w:val="00846B14"/>
    <w:rsid w:val="008478B4"/>
    <w:rsid w:val="00847DCA"/>
    <w:rsid w:val="008504DB"/>
    <w:rsid w:val="00851F3F"/>
    <w:rsid w:val="00852665"/>
    <w:rsid w:val="00852E08"/>
    <w:rsid w:val="0085303F"/>
    <w:rsid w:val="00854677"/>
    <w:rsid w:val="0085542A"/>
    <w:rsid w:val="00856A0D"/>
    <w:rsid w:val="00856EDC"/>
    <w:rsid w:val="008579AB"/>
    <w:rsid w:val="008600BF"/>
    <w:rsid w:val="008602F8"/>
    <w:rsid w:val="008606C8"/>
    <w:rsid w:val="00860AE2"/>
    <w:rsid w:val="00860E95"/>
    <w:rsid w:val="00860F70"/>
    <w:rsid w:val="008610D7"/>
    <w:rsid w:val="008616F7"/>
    <w:rsid w:val="008623B5"/>
    <w:rsid w:val="00862758"/>
    <w:rsid w:val="00862B6F"/>
    <w:rsid w:val="00863342"/>
    <w:rsid w:val="0086351E"/>
    <w:rsid w:val="00863F47"/>
    <w:rsid w:val="008641A5"/>
    <w:rsid w:val="00865143"/>
    <w:rsid w:val="0086702B"/>
    <w:rsid w:val="00867EE8"/>
    <w:rsid w:val="00870ABA"/>
    <w:rsid w:val="00870E53"/>
    <w:rsid w:val="0087107B"/>
    <w:rsid w:val="008710E1"/>
    <w:rsid w:val="008716E5"/>
    <w:rsid w:val="00872AFA"/>
    <w:rsid w:val="00873BC3"/>
    <w:rsid w:val="008749FA"/>
    <w:rsid w:val="00875861"/>
    <w:rsid w:val="00875AEB"/>
    <w:rsid w:val="008765F6"/>
    <w:rsid w:val="008775B2"/>
    <w:rsid w:val="00877807"/>
    <w:rsid w:val="008778A6"/>
    <w:rsid w:val="00877A7D"/>
    <w:rsid w:val="00877FF2"/>
    <w:rsid w:val="00880204"/>
    <w:rsid w:val="00880248"/>
    <w:rsid w:val="008818A6"/>
    <w:rsid w:val="00881CA9"/>
    <w:rsid w:val="008823DA"/>
    <w:rsid w:val="00882E17"/>
    <w:rsid w:val="00883511"/>
    <w:rsid w:val="00883628"/>
    <w:rsid w:val="00883B95"/>
    <w:rsid w:val="00885544"/>
    <w:rsid w:val="00886039"/>
    <w:rsid w:val="0088634E"/>
    <w:rsid w:val="008863B6"/>
    <w:rsid w:val="008867A7"/>
    <w:rsid w:val="00887717"/>
    <w:rsid w:val="00887B0F"/>
    <w:rsid w:val="00887C01"/>
    <w:rsid w:val="00890AD1"/>
    <w:rsid w:val="00890D09"/>
    <w:rsid w:val="00890F31"/>
    <w:rsid w:val="008911CF"/>
    <w:rsid w:val="00891392"/>
    <w:rsid w:val="00893AB8"/>
    <w:rsid w:val="00894D74"/>
    <w:rsid w:val="008964D6"/>
    <w:rsid w:val="00896BAC"/>
    <w:rsid w:val="00896CB6"/>
    <w:rsid w:val="008A04C8"/>
    <w:rsid w:val="008A199D"/>
    <w:rsid w:val="008A1A2A"/>
    <w:rsid w:val="008A1FCC"/>
    <w:rsid w:val="008A2387"/>
    <w:rsid w:val="008A2740"/>
    <w:rsid w:val="008A29E2"/>
    <w:rsid w:val="008A36DA"/>
    <w:rsid w:val="008A3F77"/>
    <w:rsid w:val="008A40B1"/>
    <w:rsid w:val="008A508A"/>
    <w:rsid w:val="008A6913"/>
    <w:rsid w:val="008A6F3D"/>
    <w:rsid w:val="008A7B76"/>
    <w:rsid w:val="008A7D92"/>
    <w:rsid w:val="008B0279"/>
    <w:rsid w:val="008B0328"/>
    <w:rsid w:val="008B12DF"/>
    <w:rsid w:val="008B22C5"/>
    <w:rsid w:val="008B257B"/>
    <w:rsid w:val="008B28B0"/>
    <w:rsid w:val="008B2B2F"/>
    <w:rsid w:val="008B3020"/>
    <w:rsid w:val="008B3773"/>
    <w:rsid w:val="008B3780"/>
    <w:rsid w:val="008B4A81"/>
    <w:rsid w:val="008B5136"/>
    <w:rsid w:val="008B5BF8"/>
    <w:rsid w:val="008B6ECD"/>
    <w:rsid w:val="008B6F4A"/>
    <w:rsid w:val="008B70F3"/>
    <w:rsid w:val="008B71C4"/>
    <w:rsid w:val="008B76DF"/>
    <w:rsid w:val="008C0086"/>
    <w:rsid w:val="008C0F1F"/>
    <w:rsid w:val="008C10F4"/>
    <w:rsid w:val="008C20BC"/>
    <w:rsid w:val="008C29CE"/>
    <w:rsid w:val="008C4219"/>
    <w:rsid w:val="008C65F7"/>
    <w:rsid w:val="008C74A4"/>
    <w:rsid w:val="008C752F"/>
    <w:rsid w:val="008C7725"/>
    <w:rsid w:val="008C7C77"/>
    <w:rsid w:val="008C7ECA"/>
    <w:rsid w:val="008D15BC"/>
    <w:rsid w:val="008D1B09"/>
    <w:rsid w:val="008D21FC"/>
    <w:rsid w:val="008D2306"/>
    <w:rsid w:val="008D2F9F"/>
    <w:rsid w:val="008D5491"/>
    <w:rsid w:val="008D58AC"/>
    <w:rsid w:val="008D596D"/>
    <w:rsid w:val="008D65A3"/>
    <w:rsid w:val="008D664E"/>
    <w:rsid w:val="008D6A3E"/>
    <w:rsid w:val="008D7241"/>
    <w:rsid w:val="008D78B9"/>
    <w:rsid w:val="008E072E"/>
    <w:rsid w:val="008E0D94"/>
    <w:rsid w:val="008E2269"/>
    <w:rsid w:val="008E4767"/>
    <w:rsid w:val="008E62B5"/>
    <w:rsid w:val="008E6D05"/>
    <w:rsid w:val="008E7142"/>
    <w:rsid w:val="008E77B0"/>
    <w:rsid w:val="008E7A8C"/>
    <w:rsid w:val="008E7F61"/>
    <w:rsid w:val="008F0D2F"/>
    <w:rsid w:val="008F1416"/>
    <w:rsid w:val="008F1D98"/>
    <w:rsid w:val="008F2A30"/>
    <w:rsid w:val="008F44F6"/>
    <w:rsid w:val="008F512F"/>
    <w:rsid w:val="008F6D6E"/>
    <w:rsid w:val="00901C9D"/>
    <w:rsid w:val="00903166"/>
    <w:rsid w:val="00903285"/>
    <w:rsid w:val="009034B0"/>
    <w:rsid w:val="00903CE5"/>
    <w:rsid w:val="009043F0"/>
    <w:rsid w:val="0090505F"/>
    <w:rsid w:val="00905CBE"/>
    <w:rsid w:val="00906F40"/>
    <w:rsid w:val="0090731E"/>
    <w:rsid w:val="009076CC"/>
    <w:rsid w:val="009116B7"/>
    <w:rsid w:val="009127C7"/>
    <w:rsid w:val="00912CC4"/>
    <w:rsid w:val="00912F9C"/>
    <w:rsid w:val="00913DC4"/>
    <w:rsid w:val="00913F55"/>
    <w:rsid w:val="00914114"/>
    <w:rsid w:val="00914AC2"/>
    <w:rsid w:val="00915A32"/>
    <w:rsid w:val="00915B1C"/>
    <w:rsid w:val="009162DA"/>
    <w:rsid w:val="009171B9"/>
    <w:rsid w:val="009174F3"/>
    <w:rsid w:val="0091797D"/>
    <w:rsid w:val="00922434"/>
    <w:rsid w:val="009228EF"/>
    <w:rsid w:val="00922B08"/>
    <w:rsid w:val="00922BC2"/>
    <w:rsid w:val="00923CBA"/>
    <w:rsid w:val="00924CC4"/>
    <w:rsid w:val="00925884"/>
    <w:rsid w:val="00925F16"/>
    <w:rsid w:val="00925F78"/>
    <w:rsid w:val="00926339"/>
    <w:rsid w:val="009263D1"/>
    <w:rsid w:val="00926581"/>
    <w:rsid w:val="00926703"/>
    <w:rsid w:val="0092692C"/>
    <w:rsid w:val="0092762A"/>
    <w:rsid w:val="00927691"/>
    <w:rsid w:val="0092792D"/>
    <w:rsid w:val="00927A5F"/>
    <w:rsid w:val="009316F9"/>
    <w:rsid w:val="00932575"/>
    <w:rsid w:val="0093285F"/>
    <w:rsid w:val="009337DA"/>
    <w:rsid w:val="00934D96"/>
    <w:rsid w:val="009352F7"/>
    <w:rsid w:val="00935B63"/>
    <w:rsid w:val="009361C2"/>
    <w:rsid w:val="0094078F"/>
    <w:rsid w:val="00940D6C"/>
    <w:rsid w:val="00940FA3"/>
    <w:rsid w:val="0094186B"/>
    <w:rsid w:val="00941FB0"/>
    <w:rsid w:val="009425F5"/>
    <w:rsid w:val="00942667"/>
    <w:rsid w:val="009426D4"/>
    <w:rsid w:val="00943890"/>
    <w:rsid w:val="00943C4E"/>
    <w:rsid w:val="00944F0F"/>
    <w:rsid w:val="00945686"/>
    <w:rsid w:val="009465F5"/>
    <w:rsid w:val="00946A6B"/>
    <w:rsid w:val="00947319"/>
    <w:rsid w:val="00947754"/>
    <w:rsid w:val="00947A8E"/>
    <w:rsid w:val="00947E20"/>
    <w:rsid w:val="00947F25"/>
    <w:rsid w:val="00947F88"/>
    <w:rsid w:val="00950159"/>
    <w:rsid w:val="009506D3"/>
    <w:rsid w:val="00950ACD"/>
    <w:rsid w:val="00951B3B"/>
    <w:rsid w:val="0095317E"/>
    <w:rsid w:val="00953BB8"/>
    <w:rsid w:val="00954362"/>
    <w:rsid w:val="009543F7"/>
    <w:rsid w:val="0095465F"/>
    <w:rsid w:val="00954847"/>
    <w:rsid w:val="0095490B"/>
    <w:rsid w:val="009570E7"/>
    <w:rsid w:val="00960667"/>
    <w:rsid w:val="00960A33"/>
    <w:rsid w:val="00960E40"/>
    <w:rsid w:val="009618D8"/>
    <w:rsid w:val="00961BC8"/>
    <w:rsid w:val="00962DF3"/>
    <w:rsid w:val="009658BD"/>
    <w:rsid w:val="00966009"/>
    <w:rsid w:val="009667DB"/>
    <w:rsid w:val="00966B90"/>
    <w:rsid w:val="009704FD"/>
    <w:rsid w:val="00971403"/>
    <w:rsid w:val="00971432"/>
    <w:rsid w:val="00971914"/>
    <w:rsid w:val="00972098"/>
    <w:rsid w:val="0097259E"/>
    <w:rsid w:val="00972721"/>
    <w:rsid w:val="0097336E"/>
    <w:rsid w:val="00973B6F"/>
    <w:rsid w:val="00973F64"/>
    <w:rsid w:val="00974363"/>
    <w:rsid w:val="009745F7"/>
    <w:rsid w:val="0097464D"/>
    <w:rsid w:val="009759F5"/>
    <w:rsid w:val="00975A78"/>
    <w:rsid w:val="00976F86"/>
    <w:rsid w:val="009776EC"/>
    <w:rsid w:val="00981898"/>
    <w:rsid w:val="00981B4A"/>
    <w:rsid w:val="00981F3A"/>
    <w:rsid w:val="0098204B"/>
    <w:rsid w:val="00982C10"/>
    <w:rsid w:val="0098453B"/>
    <w:rsid w:val="009853BF"/>
    <w:rsid w:val="0098569B"/>
    <w:rsid w:val="00985FA1"/>
    <w:rsid w:val="00986CF2"/>
    <w:rsid w:val="00987648"/>
    <w:rsid w:val="00987995"/>
    <w:rsid w:val="00987B99"/>
    <w:rsid w:val="009909CD"/>
    <w:rsid w:val="00990BB9"/>
    <w:rsid w:val="009914A7"/>
    <w:rsid w:val="00991742"/>
    <w:rsid w:val="00991C4F"/>
    <w:rsid w:val="00992750"/>
    <w:rsid w:val="00992F7E"/>
    <w:rsid w:val="00993F1D"/>
    <w:rsid w:val="00994722"/>
    <w:rsid w:val="0099545C"/>
    <w:rsid w:val="0099577C"/>
    <w:rsid w:val="00996912"/>
    <w:rsid w:val="009977B2"/>
    <w:rsid w:val="00997BF0"/>
    <w:rsid w:val="009A117B"/>
    <w:rsid w:val="009A41EC"/>
    <w:rsid w:val="009A42F6"/>
    <w:rsid w:val="009A488C"/>
    <w:rsid w:val="009A499C"/>
    <w:rsid w:val="009A59A0"/>
    <w:rsid w:val="009A743D"/>
    <w:rsid w:val="009A7FC8"/>
    <w:rsid w:val="009A7FE9"/>
    <w:rsid w:val="009B0419"/>
    <w:rsid w:val="009B1481"/>
    <w:rsid w:val="009B1CDB"/>
    <w:rsid w:val="009B2601"/>
    <w:rsid w:val="009B3B19"/>
    <w:rsid w:val="009B44A6"/>
    <w:rsid w:val="009B4E9E"/>
    <w:rsid w:val="009B5F4A"/>
    <w:rsid w:val="009B70AB"/>
    <w:rsid w:val="009B723E"/>
    <w:rsid w:val="009B7D14"/>
    <w:rsid w:val="009B7D58"/>
    <w:rsid w:val="009C0645"/>
    <w:rsid w:val="009C0AAF"/>
    <w:rsid w:val="009C0BE6"/>
    <w:rsid w:val="009C0EA1"/>
    <w:rsid w:val="009C11AA"/>
    <w:rsid w:val="009C1690"/>
    <w:rsid w:val="009C2FFE"/>
    <w:rsid w:val="009C32EB"/>
    <w:rsid w:val="009C5A1C"/>
    <w:rsid w:val="009C60F1"/>
    <w:rsid w:val="009C6275"/>
    <w:rsid w:val="009C653D"/>
    <w:rsid w:val="009C6881"/>
    <w:rsid w:val="009C7446"/>
    <w:rsid w:val="009C7759"/>
    <w:rsid w:val="009C7876"/>
    <w:rsid w:val="009C78CE"/>
    <w:rsid w:val="009D0090"/>
    <w:rsid w:val="009D030A"/>
    <w:rsid w:val="009D043D"/>
    <w:rsid w:val="009D07C8"/>
    <w:rsid w:val="009D3517"/>
    <w:rsid w:val="009D3B58"/>
    <w:rsid w:val="009D46AD"/>
    <w:rsid w:val="009D4FAA"/>
    <w:rsid w:val="009D526D"/>
    <w:rsid w:val="009D54DB"/>
    <w:rsid w:val="009D6A9B"/>
    <w:rsid w:val="009D6C71"/>
    <w:rsid w:val="009D7F3D"/>
    <w:rsid w:val="009E0577"/>
    <w:rsid w:val="009E0631"/>
    <w:rsid w:val="009E08B9"/>
    <w:rsid w:val="009E0CB3"/>
    <w:rsid w:val="009E0F3F"/>
    <w:rsid w:val="009E16D0"/>
    <w:rsid w:val="009E1B6F"/>
    <w:rsid w:val="009E2FED"/>
    <w:rsid w:val="009E38FD"/>
    <w:rsid w:val="009E41C8"/>
    <w:rsid w:val="009F0108"/>
    <w:rsid w:val="009F02BC"/>
    <w:rsid w:val="009F07F5"/>
    <w:rsid w:val="009F0A1B"/>
    <w:rsid w:val="009F0DB3"/>
    <w:rsid w:val="009F13D6"/>
    <w:rsid w:val="009F1571"/>
    <w:rsid w:val="009F15B3"/>
    <w:rsid w:val="009F3174"/>
    <w:rsid w:val="009F419A"/>
    <w:rsid w:val="009F4C6B"/>
    <w:rsid w:val="009F572F"/>
    <w:rsid w:val="009F78A8"/>
    <w:rsid w:val="00A000D0"/>
    <w:rsid w:val="00A0010E"/>
    <w:rsid w:val="00A0013F"/>
    <w:rsid w:val="00A0073F"/>
    <w:rsid w:val="00A0082E"/>
    <w:rsid w:val="00A00930"/>
    <w:rsid w:val="00A00D1A"/>
    <w:rsid w:val="00A00E05"/>
    <w:rsid w:val="00A01828"/>
    <w:rsid w:val="00A02017"/>
    <w:rsid w:val="00A02176"/>
    <w:rsid w:val="00A02AD6"/>
    <w:rsid w:val="00A0369A"/>
    <w:rsid w:val="00A03B91"/>
    <w:rsid w:val="00A045E5"/>
    <w:rsid w:val="00A04782"/>
    <w:rsid w:val="00A06649"/>
    <w:rsid w:val="00A068F5"/>
    <w:rsid w:val="00A06EF0"/>
    <w:rsid w:val="00A07096"/>
    <w:rsid w:val="00A0713E"/>
    <w:rsid w:val="00A07318"/>
    <w:rsid w:val="00A07743"/>
    <w:rsid w:val="00A07C39"/>
    <w:rsid w:val="00A11370"/>
    <w:rsid w:val="00A11FAB"/>
    <w:rsid w:val="00A13290"/>
    <w:rsid w:val="00A140B6"/>
    <w:rsid w:val="00A1557E"/>
    <w:rsid w:val="00A15C39"/>
    <w:rsid w:val="00A16630"/>
    <w:rsid w:val="00A1766B"/>
    <w:rsid w:val="00A2003F"/>
    <w:rsid w:val="00A209E1"/>
    <w:rsid w:val="00A21435"/>
    <w:rsid w:val="00A21F95"/>
    <w:rsid w:val="00A224CE"/>
    <w:rsid w:val="00A22522"/>
    <w:rsid w:val="00A22809"/>
    <w:rsid w:val="00A23A67"/>
    <w:rsid w:val="00A24AFD"/>
    <w:rsid w:val="00A24F5C"/>
    <w:rsid w:val="00A25816"/>
    <w:rsid w:val="00A259CA"/>
    <w:rsid w:val="00A27742"/>
    <w:rsid w:val="00A277D5"/>
    <w:rsid w:val="00A30159"/>
    <w:rsid w:val="00A3090E"/>
    <w:rsid w:val="00A30CFC"/>
    <w:rsid w:val="00A312EF"/>
    <w:rsid w:val="00A31926"/>
    <w:rsid w:val="00A32DD7"/>
    <w:rsid w:val="00A32F96"/>
    <w:rsid w:val="00A341E4"/>
    <w:rsid w:val="00A3433F"/>
    <w:rsid w:val="00A3456F"/>
    <w:rsid w:val="00A35B03"/>
    <w:rsid w:val="00A36118"/>
    <w:rsid w:val="00A36272"/>
    <w:rsid w:val="00A37F49"/>
    <w:rsid w:val="00A403B2"/>
    <w:rsid w:val="00A407A1"/>
    <w:rsid w:val="00A40871"/>
    <w:rsid w:val="00A412AB"/>
    <w:rsid w:val="00A41307"/>
    <w:rsid w:val="00A4193E"/>
    <w:rsid w:val="00A41F11"/>
    <w:rsid w:val="00A42082"/>
    <w:rsid w:val="00A42544"/>
    <w:rsid w:val="00A42EE9"/>
    <w:rsid w:val="00A43459"/>
    <w:rsid w:val="00A440E0"/>
    <w:rsid w:val="00A442EF"/>
    <w:rsid w:val="00A46D09"/>
    <w:rsid w:val="00A47B4A"/>
    <w:rsid w:val="00A47CA1"/>
    <w:rsid w:val="00A50C01"/>
    <w:rsid w:val="00A50F3C"/>
    <w:rsid w:val="00A514D0"/>
    <w:rsid w:val="00A5154C"/>
    <w:rsid w:val="00A51D1A"/>
    <w:rsid w:val="00A5418D"/>
    <w:rsid w:val="00A5474E"/>
    <w:rsid w:val="00A55071"/>
    <w:rsid w:val="00A566E0"/>
    <w:rsid w:val="00A578BC"/>
    <w:rsid w:val="00A6130D"/>
    <w:rsid w:val="00A61702"/>
    <w:rsid w:val="00A61DC3"/>
    <w:rsid w:val="00A64234"/>
    <w:rsid w:val="00A642AF"/>
    <w:rsid w:val="00A6444F"/>
    <w:rsid w:val="00A648DF"/>
    <w:rsid w:val="00A650FF"/>
    <w:rsid w:val="00A65C7B"/>
    <w:rsid w:val="00A65ED8"/>
    <w:rsid w:val="00A66631"/>
    <w:rsid w:val="00A66C3A"/>
    <w:rsid w:val="00A66F9E"/>
    <w:rsid w:val="00A6709A"/>
    <w:rsid w:val="00A67202"/>
    <w:rsid w:val="00A674A0"/>
    <w:rsid w:val="00A6797B"/>
    <w:rsid w:val="00A679F9"/>
    <w:rsid w:val="00A705DE"/>
    <w:rsid w:val="00A70ADF"/>
    <w:rsid w:val="00A7142C"/>
    <w:rsid w:val="00A71466"/>
    <w:rsid w:val="00A71B9E"/>
    <w:rsid w:val="00A724E7"/>
    <w:rsid w:val="00A72CCF"/>
    <w:rsid w:val="00A73B27"/>
    <w:rsid w:val="00A7403A"/>
    <w:rsid w:val="00A74AB4"/>
    <w:rsid w:val="00A74B5E"/>
    <w:rsid w:val="00A75AAF"/>
    <w:rsid w:val="00A767B7"/>
    <w:rsid w:val="00A76A7A"/>
    <w:rsid w:val="00A770EF"/>
    <w:rsid w:val="00A801C0"/>
    <w:rsid w:val="00A804CD"/>
    <w:rsid w:val="00A805ED"/>
    <w:rsid w:val="00A8114F"/>
    <w:rsid w:val="00A817AC"/>
    <w:rsid w:val="00A81BED"/>
    <w:rsid w:val="00A81EC4"/>
    <w:rsid w:val="00A81FA7"/>
    <w:rsid w:val="00A82F70"/>
    <w:rsid w:val="00A84EFB"/>
    <w:rsid w:val="00A8617E"/>
    <w:rsid w:val="00A874CF"/>
    <w:rsid w:val="00A8766A"/>
    <w:rsid w:val="00A9171C"/>
    <w:rsid w:val="00A9185A"/>
    <w:rsid w:val="00A927C4"/>
    <w:rsid w:val="00A928C3"/>
    <w:rsid w:val="00A9310F"/>
    <w:rsid w:val="00A9506F"/>
    <w:rsid w:val="00A95A30"/>
    <w:rsid w:val="00A967FD"/>
    <w:rsid w:val="00A96B2C"/>
    <w:rsid w:val="00A97CE3"/>
    <w:rsid w:val="00AA15F2"/>
    <w:rsid w:val="00AA1709"/>
    <w:rsid w:val="00AA1CF5"/>
    <w:rsid w:val="00AA2C3D"/>
    <w:rsid w:val="00AA3298"/>
    <w:rsid w:val="00AA7D4C"/>
    <w:rsid w:val="00AB00AD"/>
    <w:rsid w:val="00AB0340"/>
    <w:rsid w:val="00AB156C"/>
    <w:rsid w:val="00AB1F7F"/>
    <w:rsid w:val="00AB3BD2"/>
    <w:rsid w:val="00AB4A4F"/>
    <w:rsid w:val="00AB4E9B"/>
    <w:rsid w:val="00AB55F3"/>
    <w:rsid w:val="00AB5DA2"/>
    <w:rsid w:val="00AB6814"/>
    <w:rsid w:val="00AB77C0"/>
    <w:rsid w:val="00AC04BA"/>
    <w:rsid w:val="00AC0BDE"/>
    <w:rsid w:val="00AC0E39"/>
    <w:rsid w:val="00AC12C6"/>
    <w:rsid w:val="00AC15AB"/>
    <w:rsid w:val="00AC20B4"/>
    <w:rsid w:val="00AC2377"/>
    <w:rsid w:val="00AC3D61"/>
    <w:rsid w:val="00AC4A08"/>
    <w:rsid w:val="00AC5133"/>
    <w:rsid w:val="00AC56CC"/>
    <w:rsid w:val="00AC5716"/>
    <w:rsid w:val="00AC631A"/>
    <w:rsid w:val="00AC6A99"/>
    <w:rsid w:val="00AC7336"/>
    <w:rsid w:val="00AC7D4B"/>
    <w:rsid w:val="00AD035B"/>
    <w:rsid w:val="00AD1671"/>
    <w:rsid w:val="00AD1AAE"/>
    <w:rsid w:val="00AD21B3"/>
    <w:rsid w:val="00AD283A"/>
    <w:rsid w:val="00AD3082"/>
    <w:rsid w:val="00AD32B4"/>
    <w:rsid w:val="00AD32C9"/>
    <w:rsid w:val="00AD35B8"/>
    <w:rsid w:val="00AD4AD0"/>
    <w:rsid w:val="00AD5347"/>
    <w:rsid w:val="00AD5379"/>
    <w:rsid w:val="00AD5436"/>
    <w:rsid w:val="00AD60CD"/>
    <w:rsid w:val="00AD6C8C"/>
    <w:rsid w:val="00AD733D"/>
    <w:rsid w:val="00AE04D3"/>
    <w:rsid w:val="00AE091D"/>
    <w:rsid w:val="00AE0FC6"/>
    <w:rsid w:val="00AE3B60"/>
    <w:rsid w:val="00AE3CA3"/>
    <w:rsid w:val="00AE3E97"/>
    <w:rsid w:val="00AE42E2"/>
    <w:rsid w:val="00AE4965"/>
    <w:rsid w:val="00AE4BCA"/>
    <w:rsid w:val="00AE4EFA"/>
    <w:rsid w:val="00AE53A1"/>
    <w:rsid w:val="00AE5744"/>
    <w:rsid w:val="00AE5DFA"/>
    <w:rsid w:val="00AE7615"/>
    <w:rsid w:val="00AE778C"/>
    <w:rsid w:val="00AF01C0"/>
    <w:rsid w:val="00AF12B6"/>
    <w:rsid w:val="00AF19BE"/>
    <w:rsid w:val="00AF2484"/>
    <w:rsid w:val="00AF2E71"/>
    <w:rsid w:val="00AF316F"/>
    <w:rsid w:val="00AF3299"/>
    <w:rsid w:val="00AF3348"/>
    <w:rsid w:val="00AF3B68"/>
    <w:rsid w:val="00AF63E7"/>
    <w:rsid w:val="00AF65F1"/>
    <w:rsid w:val="00AF668D"/>
    <w:rsid w:val="00AF675B"/>
    <w:rsid w:val="00AF6E17"/>
    <w:rsid w:val="00AF7F33"/>
    <w:rsid w:val="00B010BE"/>
    <w:rsid w:val="00B0165D"/>
    <w:rsid w:val="00B01B60"/>
    <w:rsid w:val="00B02062"/>
    <w:rsid w:val="00B02631"/>
    <w:rsid w:val="00B026E8"/>
    <w:rsid w:val="00B02C86"/>
    <w:rsid w:val="00B031F3"/>
    <w:rsid w:val="00B03387"/>
    <w:rsid w:val="00B051DA"/>
    <w:rsid w:val="00B052A4"/>
    <w:rsid w:val="00B108F7"/>
    <w:rsid w:val="00B10EA1"/>
    <w:rsid w:val="00B125DE"/>
    <w:rsid w:val="00B12C6F"/>
    <w:rsid w:val="00B13A1C"/>
    <w:rsid w:val="00B13EB7"/>
    <w:rsid w:val="00B13FDD"/>
    <w:rsid w:val="00B14DB9"/>
    <w:rsid w:val="00B1578F"/>
    <w:rsid w:val="00B17745"/>
    <w:rsid w:val="00B20CDD"/>
    <w:rsid w:val="00B2171A"/>
    <w:rsid w:val="00B225AD"/>
    <w:rsid w:val="00B22EB2"/>
    <w:rsid w:val="00B2318D"/>
    <w:rsid w:val="00B23C44"/>
    <w:rsid w:val="00B245F5"/>
    <w:rsid w:val="00B24775"/>
    <w:rsid w:val="00B24A60"/>
    <w:rsid w:val="00B25372"/>
    <w:rsid w:val="00B259A7"/>
    <w:rsid w:val="00B269A2"/>
    <w:rsid w:val="00B27442"/>
    <w:rsid w:val="00B27564"/>
    <w:rsid w:val="00B3091D"/>
    <w:rsid w:val="00B31167"/>
    <w:rsid w:val="00B31195"/>
    <w:rsid w:val="00B31AB7"/>
    <w:rsid w:val="00B31DB9"/>
    <w:rsid w:val="00B329D8"/>
    <w:rsid w:val="00B32BB9"/>
    <w:rsid w:val="00B3343F"/>
    <w:rsid w:val="00B33AE1"/>
    <w:rsid w:val="00B33B81"/>
    <w:rsid w:val="00B35476"/>
    <w:rsid w:val="00B36722"/>
    <w:rsid w:val="00B37C38"/>
    <w:rsid w:val="00B40C53"/>
    <w:rsid w:val="00B40D1E"/>
    <w:rsid w:val="00B40D3B"/>
    <w:rsid w:val="00B40EBB"/>
    <w:rsid w:val="00B4288C"/>
    <w:rsid w:val="00B43262"/>
    <w:rsid w:val="00B43510"/>
    <w:rsid w:val="00B43D42"/>
    <w:rsid w:val="00B43D9D"/>
    <w:rsid w:val="00B44100"/>
    <w:rsid w:val="00B4480C"/>
    <w:rsid w:val="00B45C75"/>
    <w:rsid w:val="00B465C9"/>
    <w:rsid w:val="00B466BB"/>
    <w:rsid w:val="00B46CBA"/>
    <w:rsid w:val="00B46F94"/>
    <w:rsid w:val="00B47C14"/>
    <w:rsid w:val="00B514B8"/>
    <w:rsid w:val="00B519AC"/>
    <w:rsid w:val="00B521E5"/>
    <w:rsid w:val="00B52691"/>
    <w:rsid w:val="00B52756"/>
    <w:rsid w:val="00B5403D"/>
    <w:rsid w:val="00B541B7"/>
    <w:rsid w:val="00B5473E"/>
    <w:rsid w:val="00B565D4"/>
    <w:rsid w:val="00B574FA"/>
    <w:rsid w:val="00B57DC3"/>
    <w:rsid w:val="00B6003C"/>
    <w:rsid w:val="00B60B11"/>
    <w:rsid w:val="00B616D9"/>
    <w:rsid w:val="00B61E9E"/>
    <w:rsid w:val="00B61F03"/>
    <w:rsid w:val="00B6218E"/>
    <w:rsid w:val="00B626E4"/>
    <w:rsid w:val="00B6279C"/>
    <w:rsid w:val="00B634AC"/>
    <w:rsid w:val="00B63F44"/>
    <w:rsid w:val="00B64D3E"/>
    <w:rsid w:val="00B65068"/>
    <w:rsid w:val="00B6657D"/>
    <w:rsid w:val="00B67A39"/>
    <w:rsid w:val="00B709BF"/>
    <w:rsid w:val="00B7138A"/>
    <w:rsid w:val="00B727E9"/>
    <w:rsid w:val="00B72C4A"/>
    <w:rsid w:val="00B72DB2"/>
    <w:rsid w:val="00B72F4A"/>
    <w:rsid w:val="00B73CFE"/>
    <w:rsid w:val="00B7404B"/>
    <w:rsid w:val="00B74EC3"/>
    <w:rsid w:val="00B760AC"/>
    <w:rsid w:val="00B767BF"/>
    <w:rsid w:val="00B7681C"/>
    <w:rsid w:val="00B771EC"/>
    <w:rsid w:val="00B77341"/>
    <w:rsid w:val="00B777C0"/>
    <w:rsid w:val="00B801AB"/>
    <w:rsid w:val="00B815D9"/>
    <w:rsid w:val="00B81A45"/>
    <w:rsid w:val="00B82D2E"/>
    <w:rsid w:val="00B830D0"/>
    <w:rsid w:val="00B83C27"/>
    <w:rsid w:val="00B83CC4"/>
    <w:rsid w:val="00B83F8F"/>
    <w:rsid w:val="00B84700"/>
    <w:rsid w:val="00B84904"/>
    <w:rsid w:val="00B84965"/>
    <w:rsid w:val="00B84BC3"/>
    <w:rsid w:val="00B84BDD"/>
    <w:rsid w:val="00B851E3"/>
    <w:rsid w:val="00B86678"/>
    <w:rsid w:val="00B870EF"/>
    <w:rsid w:val="00B872B3"/>
    <w:rsid w:val="00B87646"/>
    <w:rsid w:val="00B8783C"/>
    <w:rsid w:val="00B9014C"/>
    <w:rsid w:val="00B91108"/>
    <w:rsid w:val="00B911D6"/>
    <w:rsid w:val="00B91314"/>
    <w:rsid w:val="00B91BFC"/>
    <w:rsid w:val="00B92141"/>
    <w:rsid w:val="00B9217D"/>
    <w:rsid w:val="00B92812"/>
    <w:rsid w:val="00B937C5"/>
    <w:rsid w:val="00B94C86"/>
    <w:rsid w:val="00B95841"/>
    <w:rsid w:val="00B962CD"/>
    <w:rsid w:val="00B96C20"/>
    <w:rsid w:val="00B96DBC"/>
    <w:rsid w:val="00B97161"/>
    <w:rsid w:val="00B971FB"/>
    <w:rsid w:val="00B97667"/>
    <w:rsid w:val="00BA0673"/>
    <w:rsid w:val="00BA49E4"/>
    <w:rsid w:val="00BA5537"/>
    <w:rsid w:val="00BA5DA7"/>
    <w:rsid w:val="00BA6010"/>
    <w:rsid w:val="00BA7AE9"/>
    <w:rsid w:val="00BB048E"/>
    <w:rsid w:val="00BB1907"/>
    <w:rsid w:val="00BB38F9"/>
    <w:rsid w:val="00BB3B22"/>
    <w:rsid w:val="00BB45A1"/>
    <w:rsid w:val="00BB4EA4"/>
    <w:rsid w:val="00BB7686"/>
    <w:rsid w:val="00BC015C"/>
    <w:rsid w:val="00BC0D00"/>
    <w:rsid w:val="00BC0D50"/>
    <w:rsid w:val="00BC0E4C"/>
    <w:rsid w:val="00BC1967"/>
    <w:rsid w:val="00BC23F9"/>
    <w:rsid w:val="00BC3421"/>
    <w:rsid w:val="00BC429C"/>
    <w:rsid w:val="00BC732C"/>
    <w:rsid w:val="00BC7F0B"/>
    <w:rsid w:val="00BD1600"/>
    <w:rsid w:val="00BD186B"/>
    <w:rsid w:val="00BD2B64"/>
    <w:rsid w:val="00BD34F1"/>
    <w:rsid w:val="00BD3820"/>
    <w:rsid w:val="00BD4E1C"/>
    <w:rsid w:val="00BD54CD"/>
    <w:rsid w:val="00BD5B28"/>
    <w:rsid w:val="00BD60E3"/>
    <w:rsid w:val="00BD6168"/>
    <w:rsid w:val="00BD6CAB"/>
    <w:rsid w:val="00BE0423"/>
    <w:rsid w:val="00BE0BC1"/>
    <w:rsid w:val="00BE194D"/>
    <w:rsid w:val="00BE2580"/>
    <w:rsid w:val="00BE266D"/>
    <w:rsid w:val="00BE291C"/>
    <w:rsid w:val="00BE2CC9"/>
    <w:rsid w:val="00BE2DC0"/>
    <w:rsid w:val="00BE38BD"/>
    <w:rsid w:val="00BE3938"/>
    <w:rsid w:val="00BE3A94"/>
    <w:rsid w:val="00BE4890"/>
    <w:rsid w:val="00BE4C11"/>
    <w:rsid w:val="00BE4FB5"/>
    <w:rsid w:val="00BE59BE"/>
    <w:rsid w:val="00BE6916"/>
    <w:rsid w:val="00BE71C0"/>
    <w:rsid w:val="00BE75A7"/>
    <w:rsid w:val="00BE7AFE"/>
    <w:rsid w:val="00BF1606"/>
    <w:rsid w:val="00BF2007"/>
    <w:rsid w:val="00BF26C5"/>
    <w:rsid w:val="00BF3786"/>
    <w:rsid w:val="00BF3D4A"/>
    <w:rsid w:val="00BF3EC0"/>
    <w:rsid w:val="00BF456C"/>
    <w:rsid w:val="00BF4E58"/>
    <w:rsid w:val="00BF610C"/>
    <w:rsid w:val="00BF6675"/>
    <w:rsid w:val="00BF6CEA"/>
    <w:rsid w:val="00BF728D"/>
    <w:rsid w:val="00BF7348"/>
    <w:rsid w:val="00BF7A33"/>
    <w:rsid w:val="00BF7D9F"/>
    <w:rsid w:val="00C0060B"/>
    <w:rsid w:val="00C0067C"/>
    <w:rsid w:val="00C01D18"/>
    <w:rsid w:val="00C0236C"/>
    <w:rsid w:val="00C0277D"/>
    <w:rsid w:val="00C02CD4"/>
    <w:rsid w:val="00C03871"/>
    <w:rsid w:val="00C0454F"/>
    <w:rsid w:val="00C04FC0"/>
    <w:rsid w:val="00C0526F"/>
    <w:rsid w:val="00C0539D"/>
    <w:rsid w:val="00C053A1"/>
    <w:rsid w:val="00C05934"/>
    <w:rsid w:val="00C05D37"/>
    <w:rsid w:val="00C05DF9"/>
    <w:rsid w:val="00C0647F"/>
    <w:rsid w:val="00C0685A"/>
    <w:rsid w:val="00C06F98"/>
    <w:rsid w:val="00C10B00"/>
    <w:rsid w:val="00C10DEF"/>
    <w:rsid w:val="00C1152D"/>
    <w:rsid w:val="00C11FCB"/>
    <w:rsid w:val="00C12F75"/>
    <w:rsid w:val="00C132A1"/>
    <w:rsid w:val="00C14AD3"/>
    <w:rsid w:val="00C1500C"/>
    <w:rsid w:val="00C1576A"/>
    <w:rsid w:val="00C15BA7"/>
    <w:rsid w:val="00C16198"/>
    <w:rsid w:val="00C174A4"/>
    <w:rsid w:val="00C2083D"/>
    <w:rsid w:val="00C21030"/>
    <w:rsid w:val="00C21909"/>
    <w:rsid w:val="00C21912"/>
    <w:rsid w:val="00C21B53"/>
    <w:rsid w:val="00C23C75"/>
    <w:rsid w:val="00C23E35"/>
    <w:rsid w:val="00C24A53"/>
    <w:rsid w:val="00C25A23"/>
    <w:rsid w:val="00C260DF"/>
    <w:rsid w:val="00C26173"/>
    <w:rsid w:val="00C27140"/>
    <w:rsid w:val="00C30B26"/>
    <w:rsid w:val="00C319E5"/>
    <w:rsid w:val="00C32455"/>
    <w:rsid w:val="00C327A6"/>
    <w:rsid w:val="00C33A37"/>
    <w:rsid w:val="00C34A05"/>
    <w:rsid w:val="00C355ED"/>
    <w:rsid w:val="00C3604C"/>
    <w:rsid w:val="00C36639"/>
    <w:rsid w:val="00C367FC"/>
    <w:rsid w:val="00C374D1"/>
    <w:rsid w:val="00C400F4"/>
    <w:rsid w:val="00C4032F"/>
    <w:rsid w:val="00C404E9"/>
    <w:rsid w:val="00C40966"/>
    <w:rsid w:val="00C40E65"/>
    <w:rsid w:val="00C42276"/>
    <w:rsid w:val="00C42BCF"/>
    <w:rsid w:val="00C43A99"/>
    <w:rsid w:val="00C44047"/>
    <w:rsid w:val="00C443C7"/>
    <w:rsid w:val="00C45155"/>
    <w:rsid w:val="00C45395"/>
    <w:rsid w:val="00C4637D"/>
    <w:rsid w:val="00C4678B"/>
    <w:rsid w:val="00C46BF3"/>
    <w:rsid w:val="00C50635"/>
    <w:rsid w:val="00C50A4C"/>
    <w:rsid w:val="00C50B4E"/>
    <w:rsid w:val="00C5109E"/>
    <w:rsid w:val="00C52A58"/>
    <w:rsid w:val="00C52A8F"/>
    <w:rsid w:val="00C53383"/>
    <w:rsid w:val="00C533F4"/>
    <w:rsid w:val="00C5498F"/>
    <w:rsid w:val="00C54BEA"/>
    <w:rsid w:val="00C54DE0"/>
    <w:rsid w:val="00C55235"/>
    <w:rsid w:val="00C55263"/>
    <w:rsid w:val="00C55D45"/>
    <w:rsid w:val="00C55E57"/>
    <w:rsid w:val="00C567B9"/>
    <w:rsid w:val="00C56B65"/>
    <w:rsid w:val="00C56B71"/>
    <w:rsid w:val="00C56E61"/>
    <w:rsid w:val="00C57226"/>
    <w:rsid w:val="00C57888"/>
    <w:rsid w:val="00C603C6"/>
    <w:rsid w:val="00C60F01"/>
    <w:rsid w:val="00C61B31"/>
    <w:rsid w:val="00C61FD4"/>
    <w:rsid w:val="00C63BEC"/>
    <w:rsid w:val="00C6464C"/>
    <w:rsid w:val="00C64CD0"/>
    <w:rsid w:val="00C65B01"/>
    <w:rsid w:val="00C6684F"/>
    <w:rsid w:val="00C66850"/>
    <w:rsid w:val="00C66ADD"/>
    <w:rsid w:val="00C66FA9"/>
    <w:rsid w:val="00C67AF6"/>
    <w:rsid w:val="00C67DDB"/>
    <w:rsid w:val="00C67E91"/>
    <w:rsid w:val="00C70630"/>
    <w:rsid w:val="00C70674"/>
    <w:rsid w:val="00C7089C"/>
    <w:rsid w:val="00C70E70"/>
    <w:rsid w:val="00C7153A"/>
    <w:rsid w:val="00C72265"/>
    <w:rsid w:val="00C7245A"/>
    <w:rsid w:val="00C74ADE"/>
    <w:rsid w:val="00C74CA1"/>
    <w:rsid w:val="00C75BFD"/>
    <w:rsid w:val="00C75F8D"/>
    <w:rsid w:val="00C765F9"/>
    <w:rsid w:val="00C7660A"/>
    <w:rsid w:val="00C76DB6"/>
    <w:rsid w:val="00C77380"/>
    <w:rsid w:val="00C77641"/>
    <w:rsid w:val="00C81327"/>
    <w:rsid w:val="00C81934"/>
    <w:rsid w:val="00C81AB6"/>
    <w:rsid w:val="00C83887"/>
    <w:rsid w:val="00C83A57"/>
    <w:rsid w:val="00C84314"/>
    <w:rsid w:val="00C84323"/>
    <w:rsid w:val="00C8570C"/>
    <w:rsid w:val="00C86A25"/>
    <w:rsid w:val="00C87342"/>
    <w:rsid w:val="00C90475"/>
    <w:rsid w:val="00C90E70"/>
    <w:rsid w:val="00C919C5"/>
    <w:rsid w:val="00C92115"/>
    <w:rsid w:val="00C92594"/>
    <w:rsid w:val="00C932C4"/>
    <w:rsid w:val="00C94409"/>
    <w:rsid w:val="00C94652"/>
    <w:rsid w:val="00C948F5"/>
    <w:rsid w:val="00C95B03"/>
    <w:rsid w:val="00C96325"/>
    <w:rsid w:val="00C96D02"/>
    <w:rsid w:val="00C97736"/>
    <w:rsid w:val="00C979DB"/>
    <w:rsid w:val="00CA0245"/>
    <w:rsid w:val="00CA03C3"/>
    <w:rsid w:val="00CA049A"/>
    <w:rsid w:val="00CA0DFC"/>
    <w:rsid w:val="00CA26C9"/>
    <w:rsid w:val="00CA289D"/>
    <w:rsid w:val="00CA3025"/>
    <w:rsid w:val="00CA345A"/>
    <w:rsid w:val="00CA45D7"/>
    <w:rsid w:val="00CA57F5"/>
    <w:rsid w:val="00CA5FD2"/>
    <w:rsid w:val="00CA6DC3"/>
    <w:rsid w:val="00CB0353"/>
    <w:rsid w:val="00CB1E82"/>
    <w:rsid w:val="00CB2223"/>
    <w:rsid w:val="00CB2B01"/>
    <w:rsid w:val="00CB368F"/>
    <w:rsid w:val="00CB40F1"/>
    <w:rsid w:val="00CB4BA8"/>
    <w:rsid w:val="00CB4C45"/>
    <w:rsid w:val="00CB4E08"/>
    <w:rsid w:val="00CB52D7"/>
    <w:rsid w:val="00CB5716"/>
    <w:rsid w:val="00CB6389"/>
    <w:rsid w:val="00CB64EC"/>
    <w:rsid w:val="00CB687F"/>
    <w:rsid w:val="00CB6E97"/>
    <w:rsid w:val="00CC0240"/>
    <w:rsid w:val="00CC0445"/>
    <w:rsid w:val="00CC15B2"/>
    <w:rsid w:val="00CC18D6"/>
    <w:rsid w:val="00CC1E13"/>
    <w:rsid w:val="00CC38CA"/>
    <w:rsid w:val="00CC3CBB"/>
    <w:rsid w:val="00CC3FC1"/>
    <w:rsid w:val="00CC4D77"/>
    <w:rsid w:val="00CC5B35"/>
    <w:rsid w:val="00CC5B97"/>
    <w:rsid w:val="00CC61D5"/>
    <w:rsid w:val="00CC6732"/>
    <w:rsid w:val="00CC6D4C"/>
    <w:rsid w:val="00CC6E47"/>
    <w:rsid w:val="00CC7472"/>
    <w:rsid w:val="00CD1E47"/>
    <w:rsid w:val="00CD35A7"/>
    <w:rsid w:val="00CD3EAA"/>
    <w:rsid w:val="00CD459E"/>
    <w:rsid w:val="00CD4A5B"/>
    <w:rsid w:val="00CD5625"/>
    <w:rsid w:val="00CD6F0A"/>
    <w:rsid w:val="00CD77BB"/>
    <w:rsid w:val="00CE0B46"/>
    <w:rsid w:val="00CE2B49"/>
    <w:rsid w:val="00CE36AE"/>
    <w:rsid w:val="00CE38E8"/>
    <w:rsid w:val="00CE3C2E"/>
    <w:rsid w:val="00CE3C96"/>
    <w:rsid w:val="00CE3EF0"/>
    <w:rsid w:val="00CE4E75"/>
    <w:rsid w:val="00CE51A8"/>
    <w:rsid w:val="00CE5571"/>
    <w:rsid w:val="00CE6D4A"/>
    <w:rsid w:val="00CE7E15"/>
    <w:rsid w:val="00CF1EC4"/>
    <w:rsid w:val="00CF22C7"/>
    <w:rsid w:val="00CF26B7"/>
    <w:rsid w:val="00CF29B2"/>
    <w:rsid w:val="00CF322E"/>
    <w:rsid w:val="00CF369B"/>
    <w:rsid w:val="00CF3D41"/>
    <w:rsid w:val="00CF55DE"/>
    <w:rsid w:val="00CF6ED1"/>
    <w:rsid w:val="00CF7198"/>
    <w:rsid w:val="00CF75B8"/>
    <w:rsid w:val="00D004A3"/>
    <w:rsid w:val="00D00BC3"/>
    <w:rsid w:val="00D00E28"/>
    <w:rsid w:val="00D00FCC"/>
    <w:rsid w:val="00D0227D"/>
    <w:rsid w:val="00D0269E"/>
    <w:rsid w:val="00D028F7"/>
    <w:rsid w:val="00D034B2"/>
    <w:rsid w:val="00D038FC"/>
    <w:rsid w:val="00D045F3"/>
    <w:rsid w:val="00D04F2B"/>
    <w:rsid w:val="00D05A8D"/>
    <w:rsid w:val="00D05D6C"/>
    <w:rsid w:val="00D0698A"/>
    <w:rsid w:val="00D06996"/>
    <w:rsid w:val="00D06C1E"/>
    <w:rsid w:val="00D07192"/>
    <w:rsid w:val="00D110FC"/>
    <w:rsid w:val="00D12BB1"/>
    <w:rsid w:val="00D13FC5"/>
    <w:rsid w:val="00D15256"/>
    <w:rsid w:val="00D15810"/>
    <w:rsid w:val="00D16385"/>
    <w:rsid w:val="00D16411"/>
    <w:rsid w:val="00D169BA"/>
    <w:rsid w:val="00D16A11"/>
    <w:rsid w:val="00D16D4E"/>
    <w:rsid w:val="00D16FE3"/>
    <w:rsid w:val="00D170B9"/>
    <w:rsid w:val="00D210EA"/>
    <w:rsid w:val="00D21C04"/>
    <w:rsid w:val="00D22CAE"/>
    <w:rsid w:val="00D23863"/>
    <w:rsid w:val="00D24E0D"/>
    <w:rsid w:val="00D24EC9"/>
    <w:rsid w:val="00D25492"/>
    <w:rsid w:val="00D25F9B"/>
    <w:rsid w:val="00D263A8"/>
    <w:rsid w:val="00D27095"/>
    <w:rsid w:val="00D2732D"/>
    <w:rsid w:val="00D27F41"/>
    <w:rsid w:val="00D30AEF"/>
    <w:rsid w:val="00D31129"/>
    <w:rsid w:val="00D3165D"/>
    <w:rsid w:val="00D34107"/>
    <w:rsid w:val="00D34788"/>
    <w:rsid w:val="00D3495C"/>
    <w:rsid w:val="00D34C68"/>
    <w:rsid w:val="00D35A66"/>
    <w:rsid w:val="00D36441"/>
    <w:rsid w:val="00D365CA"/>
    <w:rsid w:val="00D37927"/>
    <w:rsid w:val="00D4064E"/>
    <w:rsid w:val="00D409F6"/>
    <w:rsid w:val="00D4102A"/>
    <w:rsid w:val="00D411B9"/>
    <w:rsid w:val="00D41227"/>
    <w:rsid w:val="00D42441"/>
    <w:rsid w:val="00D4263E"/>
    <w:rsid w:val="00D433F2"/>
    <w:rsid w:val="00D4390B"/>
    <w:rsid w:val="00D440E8"/>
    <w:rsid w:val="00D44420"/>
    <w:rsid w:val="00D4447A"/>
    <w:rsid w:val="00D447F5"/>
    <w:rsid w:val="00D4494E"/>
    <w:rsid w:val="00D44E9B"/>
    <w:rsid w:val="00D45071"/>
    <w:rsid w:val="00D456EC"/>
    <w:rsid w:val="00D46D0F"/>
    <w:rsid w:val="00D47533"/>
    <w:rsid w:val="00D47775"/>
    <w:rsid w:val="00D47AEB"/>
    <w:rsid w:val="00D47F6A"/>
    <w:rsid w:val="00D50A45"/>
    <w:rsid w:val="00D50DB9"/>
    <w:rsid w:val="00D51302"/>
    <w:rsid w:val="00D5184E"/>
    <w:rsid w:val="00D51FFF"/>
    <w:rsid w:val="00D52C43"/>
    <w:rsid w:val="00D52F13"/>
    <w:rsid w:val="00D5330A"/>
    <w:rsid w:val="00D53F9B"/>
    <w:rsid w:val="00D56202"/>
    <w:rsid w:val="00D56A3C"/>
    <w:rsid w:val="00D6330F"/>
    <w:rsid w:val="00D6507F"/>
    <w:rsid w:val="00D651D6"/>
    <w:rsid w:val="00D66004"/>
    <w:rsid w:val="00D66846"/>
    <w:rsid w:val="00D71068"/>
    <w:rsid w:val="00D71607"/>
    <w:rsid w:val="00D718B3"/>
    <w:rsid w:val="00D72626"/>
    <w:rsid w:val="00D730BC"/>
    <w:rsid w:val="00D735FC"/>
    <w:rsid w:val="00D73786"/>
    <w:rsid w:val="00D73912"/>
    <w:rsid w:val="00D741F2"/>
    <w:rsid w:val="00D74381"/>
    <w:rsid w:val="00D7587C"/>
    <w:rsid w:val="00D759BB"/>
    <w:rsid w:val="00D75C57"/>
    <w:rsid w:val="00D8016D"/>
    <w:rsid w:val="00D80CCD"/>
    <w:rsid w:val="00D811F1"/>
    <w:rsid w:val="00D81850"/>
    <w:rsid w:val="00D82D08"/>
    <w:rsid w:val="00D83A9B"/>
    <w:rsid w:val="00D83DFE"/>
    <w:rsid w:val="00D842C8"/>
    <w:rsid w:val="00D84904"/>
    <w:rsid w:val="00D84CFA"/>
    <w:rsid w:val="00D84DCC"/>
    <w:rsid w:val="00D85226"/>
    <w:rsid w:val="00D862E3"/>
    <w:rsid w:val="00D872D3"/>
    <w:rsid w:val="00D8757A"/>
    <w:rsid w:val="00D877B7"/>
    <w:rsid w:val="00D87B94"/>
    <w:rsid w:val="00D900BB"/>
    <w:rsid w:val="00D9088B"/>
    <w:rsid w:val="00D921A6"/>
    <w:rsid w:val="00D92D49"/>
    <w:rsid w:val="00D92E3D"/>
    <w:rsid w:val="00D92EC1"/>
    <w:rsid w:val="00D9352E"/>
    <w:rsid w:val="00D93549"/>
    <w:rsid w:val="00D93CDF"/>
    <w:rsid w:val="00D9474C"/>
    <w:rsid w:val="00D9633D"/>
    <w:rsid w:val="00D96DEA"/>
    <w:rsid w:val="00D970E3"/>
    <w:rsid w:val="00D97A62"/>
    <w:rsid w:val="00DA0918"/>
    <w:rsid w:val="00DA191A"/>
    <w:rsid w:val="00DA2077"/>
    <w:rsid w:val="00DA29A6"/>
    <w:rsid w:val="00DA33AA"/>
    <w:rsid w:val="00DA33AD"/>
    <w:rsid w:val="00DA3DB4"/>
    <w:rsid w:val="00DA41D4"/>
    <w:rsid w:val="00DA4290"/>
    <w:rsid w:val="00DA4E41"/>
    <w:rsid w:val="00DA6C00"/>
    <w:rsid w:val="00DA7873"/>
    <w:rsid w:val="00DB04B9"/>
    <w:rsid w:val="00DB0A03"/>
    <w:rsid w:val="00DB0CFD"/>
    <w:rsid w:val="00DB117A"/>
    <w:rsid w:val="00DB28D7"/>
    <w:rsid w:val="00DB2D6B"/>
    <w:rsid w:val="00DB34DD"/>
    <w:rsid w:val="00DB5173"/>
    <w:rsid w:val="00DB6391"/>
    <w:rsid w:val="00DB69B8"/>
    <w:rsid w:val="00DB72D8"/>
    <w:rsid w:val="00DB7873"/>
    <w:rsid w:val="00DB78F2"/>
    <w:rsid w:val="00DC107D"/>
    <w:rsid w:val="00DC151C"/>
    <w:rsid w:val="00DC187B"/>
    <w:rsid w:val="00DC281E"/>
    <w:rsid w:val="00DC2FCE"/>
    <w:rsid w:val="00DC3548"/>
    <w:rsid w:val="00DC3581"/>
    <w:rsid w:val="00DC41D9"/>
    <w:rsid w:val="00DC4C97"/>
    <w:rsid w:val="00DC4EB3"/>
    <w:rsid w:val="00DC54D4"/>
    <w:rsid w:val="00DC5583"/>
    <w:rsid w:val="00DC6BF8"/>
    <w:rsid w:val="00DC72D4"/>
    <w:rsid w:val="00DC7DC2"/>
    <w:rsid w:val="00DD058F"/>
    <w:rsid w:val="00DD0AA7"/>
    <w:rsid w:val="00DD0E1A"/>
    <w:rsid w:val="00DD1649"/>
    <w:rsid w:val="00DD21A7"/>
    <w:rsid w:val="00DD279F"/>
    <w:rsid w:val="00DD27BF"/>
    <w:rsid w:val="00DD2E57"/>
    <w:rsid w:val="00DD3044"/>
    <w:rsid w:val="00DD3658"/>
    <w:rsid w:val="00DD457C"/>
    <w:rsid w:val="00DD6EF5"/>
    <w:rsid w:val="00DD73C2"/>
    <w:rsid w:val="00DE05DB"/>
    <w:rsid w:val="00DE0828"/>
    <w:rsid w:val="00DE09E8"/>
    <w:rsid w:val="00DE2DE9"/>
    <w:rsid w:val="00DE319B"/>
    <w:rsid w:val="00DE3A1A"/>
    <w:rsid w:val="00DE3EAD"/>
    <w:rsid w:val="00DE585C"/>
    <w:rsid w:val="00DE5C10"/>
    <w:rsid w:val="00DE5CBC"/>
    <w:rsid w:val="00DE646F"/>
    <w:rsid w:val="00DE69A6"/>
    <w:rsid w:val="00DF085D"/>
    <w:rsid w:val="00DF0E95"/>
    <w:rsid w:val="00DF17EE"/>
    <w:rsid w:val="00DF1AC1"/>
    <w:rsid w:val="00DF26F8"/>
    <w:rsid w:val="00DF32B7"/>
    <w:rsid w:val="00DF34FE"/>
    <w:rsid w:val="00DF3812"/>
    <w:rsid w:val="00DF3A88"/>
    <w:rsid w:val="00DF56AA"/>
    <w:rsid w:val="00DF56AF"/>
    <w:rsid w:val="00DF6334"/>
    <w:rsid w:val="00DF78E7"/>
    <w:rsid w:val="00DF7F0C"/>
    <w:rsid w:val="00E004B6"/>
    <w:rsid w:val="00E00578"/>
    <w:rsid w:val="00E00864"/>
    <w:rsid w:val="00E027D3"/>
    <w:rsid w:val="00E029D8"/>
    <w:rsid w:val="00E02ED8"/>
    <w:rsid w:val="00E0570C"/>
    <w:rsid w:val="00E064B5"/>
    <w:rsid w:val="00E06C1C"/>
    <w:rsid w:val="00E0708F"/>
    <w:rsid w:val="00E07FB1"/>
    <w:rsid w:val="00E10A1D"/>
    <w:rsid w:val="00E10A3B"/>
    <w:rsid w:val="00E10FE3"/>
    <w:rsid w:val="00E110E0"/>
    <w:rsid w:val="00E11CEA"/>
    <w:rsid w:val="00E14131"/>
    <w:rsid w:val="00E14287"/>
    <w:rsid w:val="00E14596"/>
    <w:rsid w:val="00E15179"/>
    <w:rsid w:val="00E15371"/>
    <w:rsid w:val="00E20815"/>
    <w:rsid w:val="00E217F2"/>
    <w:rsid w:val="00E21D73"/>
    <w:rsid w:val="00E222FC"/>
    <w:rsid w:val="00E23C08"/>
    <w:rsid w:val="00E24104"/>
    <w:rsid w:val="00E246E6"/>
    <w:rsid w:val="00E257A9"/>
    <w:rsid w:val="00E302D0"/>
    <w:rsid w:val="00E305BF"/>
    <w:rsid w:val="00E30764"/>
    <w:rsid w:val="00E30B1D"/>
    <w:rsid w:val="00E325A7"/>
    <w:rsid w:val="00E3328B"/>
    <w:rsid w:val="00E34315"/>
    <w:rsid w:val="00E351F4"/>
    <w:rsid w:val="00E35707"/>
    <w:rsid w:val="00E35E3C"/>
    <w:rsid w:val="00E36449"/>
    <w:rsid w:val="00E364F0"/>
    <w:rsid w:val="00E36AA1"/>
    <w:rsid w:val="00E375DA"/>
    <w:rsid w:val="00E37A68"/>
    <w:rsid w:val="00E4040D"/>
    <w:rsid w:val="00E40D12"/>
    <w:rsid w:val="00E40FDF"/>
    <w:rsid w:val="00E41275"/>
    <w:rsid w:val="00E412B1"/>
    <w:rsid w:val="00E4159B"/>
    <w:rsid w:val="00E416C3"/>
    <w:rsid w:val="00E41ECB"/>
    <w:rsid w:val="00E4210C"/>
    <w:rsid w:val="00E42A87"/>
    <w:rsid w:val="00E42F71"/>
    <w:rsid w:val="00E43AB2"/>
    <w:rsid w:val="00E43CB7"/>
    <w:rsid w:val="00E4400D"/>
    <w:rsid w:val="00E45DC4"/>
    <w:rsid w:val="00E4682B"/>
    <w:rsid w:val="00E47212"/>
    <w:rsid w:val="00E47BC0"/>
    <w:rsid w:val="00E47E3F"/>
    <w:rsid w:val="00E504AE"/>
    <w:rsid w:val="00E51489"/>
    <w:rsid w:val="00E529C4"/>
    <w:rsid w:val="00E5300F"/>
    <w:rsid w:val="00E5311C"/>
    <w:rsid w:val="00E54C54"/>
    <w:rsid w:val="00E54D6D"/>
    <w:rsid w:val="00E54FDB"/>
    <w:rsid w:val="00E5617D"/>
    <w:rsid w:val="00E5638E"/>
    <w:rsid w:val="00E563D7"/>
    <w:rsid w:val="00E56874"/>
    <w:rsid w:val="00E57489"/>
    <w:rsid w:val="00E576D3"/>
    <w:rsid w:val="00E57BD4"/>
    <w:rsid w:val="00E57E5C"/>
    <w:rsid w:val="00E605E5"/>
    <w:rsid w:val="00E60636"/>
    <w:rsid w:val="00E608AD"/>
    <w:rsid w:val="00E617C3"/>
    <w:rsid w:val="00E62627"/>
    <w:rsid w:val="00E6326B"/>
    <w:rsid w:val="00E63300"/>
    <w:rsid w:val="00E6359C"/>
    <w:rsid w:val="00E63741"/>
    <w:rsid w:val="00E63BF5"/>
    <w:rsid w:val="00E64C55"/>
    <w:rsid w:val="00E655B6"/>
    <w:rsid w:val="00E662CD"/>
    <w:rsid w:val="00E66335"/>
    <w:rsid w:val="00E663F4"/>
    <w:rsid w:val="00E66578"/>
    <w:rsid w:val="00E666F2"/>
    <w:rsid w:val="00E6674F"/>
    <w:rsid w:val="00E66DD4"/>
    <w:rsid w:val="00E66F03"/>
    <w:rsid w:val="00E67DB8"/>
    <w:rsid w:val="00E706F9"/>
    <w:rsid w:val="00E70C08"/>
    <w:rsid w:val="00E70F23"/>
    <w:rsid w:val="00E71C54"/>
    <w:rsid w:val="00E72334"/>
    <w:rsid w:val="00E737FD"/>
    <w:rsid w:val="00E748CC"/>
    <w:rsid w:val="00E74917"/>
    <w:rsid w:val="00E74B57"/>
    <w:rsid w:val="00E75415"/>
    <w:rsid w:val="00E76074"/>
    <w:rsid w:val="00E76FC5"/>
    <w:rsid w:val="00E77352"/>
    <w:rsid w:val="00E773DF"/>
    <w:rsid w:val="00E775B1"/>
    <w:rsid w:val="00E77A5E"/>
    <w:rsid w:val="00E80126"/>
    <w:rsid w:val="00E803B3"/>
    <w:rsid w:val="00E80BF9"/>
    <w:rsid w:val="00E8112A"/>
    <w:rsid w:val="00E8152A"/>
    <w:rsid w:val="00E81D00"/>
    <w:rsid w:val="00E82D2F"/>
    <w:rsid w:val="00E830BA"/>
    <w:rsid w:val="00E8328C"/>
    <w:rsid w:val="00E8467A"/>
    <w:rsid w:val="00E849D5"/>
    <w:rsid w:val="00E85270"/>
    <w:rsid w:val="00E86F46"/>
    <w:rsid w:val="00E87F7D"/>
    <w:rsid w:val="00E90748"/>
    <w:rsid w:val="00E911A8"/>
    <w:rsid w:val="00E91567"/>
    <w:rsid w:val="00E92791"/>
    <w:rsid w:val="00E92E20"/>
    <w:rsid w:val="00E9320C"/>
    <w:rsid w:val="00E93629"/>
    <w:rsid w:val="00E93B5C"/>
    <w:rsid w:val="00E93BD6"/>
    <w:rsid w:val="00E9436B"/>
    <w:rsid w:val="00E94CEC"/>
    <w:rsid w:val="00E95720"/>
    <w:rsid w:val="00E95B07"/>
    <w:rsid w:val="00E96900"/>
    <w:rsid w:val="00E96BE7"/>
    <w:rsid w:val="00E972C7"/>
    <w:rsid w:val="00E9739F"/>
    <w:rsid w:val="00EA04EF"/>
    <w:rsid w:val="00EA0960"/>
    <w:rsid w:val="00EA135C"/>
    <w:rsid w:val="00EA2F63"/>
    <w:rsid w:val="00EA418C"/>
    <w:rsid w:val="00EA59BF"/>
    <w:rsid w:val="00EA62D2"/>
    <w:rsid w:val="00EA64AB"/>
    <w:rsid w:val="00EA687B"/>
    <w:rsid w:val="00EA6F19"/>
    <w:rsid w:val="00EA73F4"/>
    <w:rsid w:val="00EB0B5E"/>
    <w:rsid w:val="00EB167D"/>
    <w:rsid w:val="00EB16DB"/>
    <w:rsid w:val="00EB2A56"/>
    <w:rsid w:val="00EB3509"/>
    <w:rsid w:val="00EB3C47"/>
    <w:rsid w:val="00EB3C74"/>
    <w:rsid w:val="00EB3D99"/>
    <w:rsid w:val="00EB4153"/>
    <w:rsid w:val="00EB57F6"/>
    <w:rsid w:val="00EB5CC9"/>
    <w:rsid w:val="00EB66D1"/>
    <w:rsid w:val="00EB6D74"/>
    <w:rsid w:val="00EB7090"/>
    <w:rsid w:val="00EC1474"/>
    <w:rsid w:val="00EC1BBE"/>
    <w:rsid w:val="00EC2CF8"/>
    <w:rsid w:val="00EC42B6"/>
    <w:rsid w:val="00EC5388"/>
    <w:rsid w:val="00EC58F7"/>
    <w:rsid w:val="00EC5CD7"/>
    <w:rsid w:val="00EC7CC4"/>
    <w:rsid w:val="00EC7FE5"/>
    <w:rsid w:val="00ED028C"/>
    <w:rsid w:val="00ED0624"/>
    <w:rsid w:val="00ED28B7"/>
    <w:rsid w:val="00ED3944"/>
    <w:rsid w:val="00ED3A77"/>
    <w:rsid w:val="00ED4B30"/>
    <w:rsid w:val="00ED5001"/>
    <w:rsid w:val="00ED5406"/>
    <w:rsid w:val="00ED5F43"/>
    <w:rsid w:val="00ED67AD"/>
    <w:rsid w:val="00EE022E"/>
    <w:rsid w:val="00EE08CA"/>
    <w:rsid w:val="00EE1182"/>
    <w:rsid w:val="00EE298A"/>
    <w:rsid w:val="00EE2FDD"/>
    <w:rsid w:val="00EE35DA"/>
    <w:rsid w:val="00EE4410"/>
    <w:rsid w:val="00EE49F6"/>
    <w:rsid w:val="00EE4CA0"/>
    <w:rsid w:val="00EE5FB3"/>
    <w:rsid w:val="00EE710F"/>
    <w:rsid w:val="00EE7591"/>
    <w:rsid w:val="00EE7A0D"/>
    <w:rsid w:val="00EE7F79"/>
    <w:rsid w:val="00EF0223"/>
    <w:rsid w:val="00EF0431"/>
    <w:rsid w:val="00EF0E54"/>
    <w:rsid w:val="00EF0F26"/>
    <w:rsid w:val="00EF1B0A"/>
    <w:rsid w:val="00EF20E4"/>
    <w:rsid w:val="00EF3A10"/>
    <w:rsid w:val="00EF404A"/>
    <w:rsid w:val="00EF4987"/>
    <w:rsid w:val="00EF4C9E"/>
    <w:rsid w:val="00EF622A"/>
    <w:rsid w:val="00EF6BBE"/>
    <w:rsid w:val="00EF6FD5"/>
    <w:rsid w:val="00EF715A"/>
    <w:rsid w:val="00EF716D"/>
    <w:rsid w:val="00F021A4"/>
    <w:rsid w:val="00F03A14"/>
    <w:rsid w:val="00F03D7F"/>
    <w:rsid w:val="00F03DE8"/>
    <w:rsid w:val="00F04CE6"/>
    <w:rsid w:val="00F04FB3"/>
    <w:rsid w:val="00F063CB"/>
    <w:rsid w:val="00F066BB"/>
    <w:rsid w:val="00F06E14"/>
    <w:rsid w:val="00F06FD6"/>
    <w:rsid w:val="00F104EE"/>
    <w:rsid w:val="00F11148"/>
    <w:rsid w:val="00F11660"/>
    <w:rsid w:val="00F13068"/>
    <w:rsid w:val="00F131C4"/>
    <w:rsid w:val="00F14910"/>
    <w:rsid w:val="00F157C9"/>
    <w:rsid w:val="00F15806"/>
    <w:rsid w:val="00F15BFE"/>
    <w:rsid w:val="00F16026"/>
    <w:rsid w:val="00F16F31"/>
    <w:rsid w:val="00F173B6"/>
    <w:rsid w:val="00F179D4"/>
    <w:rsid w:val="00F20448"/>
    <w:rsid w:val="00F20D2E"/>
    <w:rsid w:val="00F21574"/>
    <w:rsid w:val="00F215BB"/>
    <w:rsid w:val="00F21914"/>
    <w:rsid w:val="00F22681"/>
    <w:rsid w:val="00F23532"/>
    <w:rsid w:val="00F24C85"/>
    <w:rsid w:val="00F24DE9"/>
    <w:rsid w:val="00F255D8"/>
    <w:rsid w:val="00F25D66"/>
    <w:rsid w:val="00F268C4"/>
    <w:rsid w:val="00F2691D"/>
    <w:rsid w:val="00F2704B"/>
    <w:rsid w:val="00F27917"/>
    <w:rsid w:val="00F31F27"/>
    <w:rsid w:val="00F32235"/>
    <w:rsid w:val="00F32B5C"/>
    <w:rsid w:val="00F33C56"/>
    <w:rsid w:val="00F33D0F"/>
    <w:rsid w:val="00F342D2"/>
    <w:rsid w:val="00F347C7"/>
    <w:rsid w:val="00F34848"/>
    <w:rsid w:val="00F349AA"/>
    <w:rsid w:val="00F34A96"/>
    <w:rsid w:val="00F35B00"/>
    <w:rsid w:val="00F35D15"/>
    <w:rsid w:val="00F35DEF"/>
    <w:rsid w:val="00F3621E"/>
    <w:rsid w:val="00F369CE"/>
    <w:rsid w:val="00F36B41"/>
    <w:rsid w:val="00F40063"/>
    <w:rsid w:val="00F407B0"/>
    <w:rsid w:val="00F41A04"/>
    <w:rsid w:val="00F41C31"/>
    <w:rsid w:val="00F41E17"/>
    <w:rsid w:val="00F4202B"/>
    <w:rsid w:val="00F42AB8"/>
    <w:rsid w:val="00F42D46"/>
    <w:rsid w:val="00F42E07"/>
    <w:rsid w:val="00F43889"/>
    <w:rsid w:val="00F4496C"/>
    <w:rsid w:val="00F449B0"/>
    <w:rsid w:val="00F44F3A"/>
    <w:rsid w:val="00F44F65"/>
    <w:rsid w:val="00F45C16"/>
    <w:rsid w:val="00F46EA9"/>
    <w:rsid w:val="00F503AE"/>
    <w:rsid w:val="00F50437"/>
    <w:rsid w:val="00F50D32"/>
    <w:rsid w:val="00F51F10"/>
    <w:rsid w:val="00F522DC"/>
    <w:rsid w:val="00F529A5"/>
    <w:rsid w:val="00F55892"/>
    <w:rsid w:val="00F55B3C"/>
    <w:rsid w:val="00F55CD9"/>
    <w:rsid w:val="00F56D4C"/>
    <w:rsid w:val="00F57787"/>
    <w:rsid w:val="00F603AA"/>
    <w:rsid w:val="00F60F00"/>
    <w:rsid w:val="00F610C4"/>
    <w:rsid w:val="00F6121B"/>
    <w:rsid w:val="00F614C0"/>
    <w:rsid w:val="00F61BE2"/>
    <w:rsid w:val="00F63049"/>
    <w:rsid w:val="00F636A9"/>
    <w:rsid w:val="00F64116"/>
    <w:rsid w:val="00F642DB"/>
    <w:rsid w:val="00F648AD"/>
    <w:rsid w:val="00F64B58"/>
    <w:rsid w:val="00F65481"/>
    <w:rsid w:val="00F656B5"/>
    <w:rsid w:val="00F65810"/>
    <w:rsid w:val="00F65DE1"/>
    <w:rsid w:val="00F65E8D"/>
    <w:rsid w:val="00F65F83"/>
    <w:rsid w:val="00F66522"/>
    <w:rsid w:val="00F67E85"/>
    <w:rsid w:val="00F70900"/>
    <w:rsid w:val="00F70A22"/>
    <w:rsid w:val="00F70F09"/>
    <w:rsid w:val="00F716FB"/>
    <w:rsid w:val="00F71D33"/>
    <w:rsid w:val="00F7244F"/>
    <w:rsid w:val="00F72652"/>
    <w:rsid w:val="00F73393"/>
    <w:rsid w:val="00F74066"/>
    <w:rsid w:val="00F7439E"/>
    <w:rsid w:val="00F74E38"/>
    <w:rsid w:val="00F76785"/>
    <w:rsid w:val="00F7709E"/>
    <w:rsid w:val="00F77FA7"/>
    <w:rsid w:val="00F807DE"/>
    <w:rsid w:val="00F808AA"/>
    <w:rsid w:val="00F80E09"/>
    <w:rsid w:val="00F80FB1"/>
    <w:rsid w:val="00F81DC1"/>
    <w:rsid w:val="00F831CE"/>
    <w:rsid w:val="00F83848"/>
    <w:rsid w:val="00F83EBA"/>
    <w:rsid w:val="00F83FE6"/>
    <w:rsid w:val="00F84899"/>
    <w:rsid w:val="00F84A8F"/>
    <w:rsid w:val="00F84DD4"/>
    <w:rsid w:val="00F850E7"/>
    <w:rsid w:val="00F85642"/>
    <w:rsid w:val="00F866D7"/>
    <w:rsid w:val="00F868F2"/>
    <w:rsid w:val="00F86A10"/>
    <w:rsid w:val="00F87685"/>
    <w:rsid w:val="00F9032D"/>
    <w:rsid w:val="00F90BA2"/>
    <w:rsid w:val="00F9107A"/>
    <w:rsid w:val="00F9206E"/>
    <w:rsid w:val="00F938A7"/>
    <w:rsid w:val="00F95E53"/>
    <w:rsid w:val="00F95F64"/>
    <w:rsid w:val="00F9709B"/>
    <w:rsid w:val="00F975E9"/>
    <w:rsid w:val="00F9779D"/>
    <w:rsid w:val="00F97D59"/>
    <w:rsid w:val="00FA0B97"/>
    <w:rsid w:val="00FA1030"/>
    <w:rsid w:val="00FA1B7D"/>
    <w:rsid w:val="00FA20BF"/>
    <w:rsid w:val="00FA2957"/>
    <w:rsid w:val="00FA47F2"/>
    <w:rsid w:val="00FA484C"/>
    <w:rsid w:val="00FA581F"/>
    <w:rsid w:val="00FA5ADE"/>
    <w:rsid w:val="00FA5C7E"/>
    <w:rsid w:val="00FA6837"/>
    <w:rsid w:val="00FA6B5B"/>
    <w:rsid w:val="00FA7157"/>
    <w:rsid w:val="00FA73CF"/>
    <w:rsid w:val="00FA7B20"/>
    <w:rsid w:val="00FA7F13"/>
    <w:rsid w:val="00FB0028"/>
    <w:rsid w:val="00FB0427"/>
    <w:rsid w:val="00FB05C9"/>
    <w:rsid w:val="00FB0E88"/>
    <w:rsid w:val="00FB338B"/>
    <w:rsid w:val="00FB3DD3"/>
    <w:rsid w:val="00FB68CB"/>
    <w:rsid w:val="00FB6B0A"/>
    <w:rsid w:val="00FB6D24"/>
    <w:rsid w:val="00FB742D"/>
    <w:rsid w:val="00FB75A6"/>
    <w:rsid w:val="00FB7724"/>
    <w:rsid w:val="00FC07B9"/>
    <w:rsid w:val="00FC1306"/>
    <w:rsid w:val="00FC18FA"/>
    <w:rsid w:val="00FC1D23"/>
    <w:rsid w:val="00FC1E04"/>
    <w:rsid w:val="00FC2DE9"/>
    <w:rsid w:val="00FC2E86"/>
    <w:rsid w:val="00FC315A"/>
    <w:rsid w:val="00FC44D3"/>
    <w:rsid w:val="00FC4E21"/>
    <w:rsid w:val="00FC5F1B"/>
    <w:rsid w:val="00FC5F6D"/>
    <w:rsid w:val="00FC654E"/>
    <w:rsid w:val="00FC6AAE"/>
    <w:rsid w:val="00FD0107"/>
    <w:rsid w:val="00FD147A"/>
    <w:rsid w:val="00FD15C4"/>
    <w:rsid w:val="00FD214F"/>
    <w:rsid w:val="00FD218A"/>
    <w:rsid w:val="00FD2362"/>
    <w:rsid w:val="00FD25FD"/>
    <w:rsid w:val="00FD2C2F"/>
    <w:rsid w:val="00FD3B31"/>
    <w:rsid w:val="00FD4AB9"/>
    <w:rsid w:val="00FD5A69"/>
    <w:rsid w:val="00FD665A"/>
    <w:rsid w:val="00FD67D3"/>
    <w:rsid w:val="00FD7639"/>
    <w:rsid w:val="00FD79AD"/>
    <w:rsid w:val="00FE00F0"/>
    <w:rsid w:val="00FE010A"/>
    <w:rsid w:val="00FE0565"/>
    <w:rsid w:val="00FE0D39"/>
    <w:rsid w:val="00FE1823"/>
    <w:rsid w:val="00FE2BE0"/>
    <w:rsid w:val="00FE2F73"/>
    <w:rsid w:val="00FE31F4"/>
    <w:rsid w:val="00FE36EC"/>
    <w:rsid w:val="00FE4764"/>
    <w:rsid w:val="00FE487A"/>
    <w:rsid w:val="00FE4E15"/>
    <w:rsid w:val="00FE5F71"/>
    <w:rsid w:val="00FE6142"/>
    <w:rsid w:val="00FF01E8"/>
    <w:rsid w:val="00FF0569"/>
    <w:rsid w:val="00FF131C"/>
    <w:rsid w:val="00FF206E"/>
    <w:rsid w:val="00FF21B8"/>
    <w:rsid w:val="00FF28DD"/>
    <w:rsid w:val="00FF3492"/>
    <w:rsid w:val="00FF3B1A"/>
    <w:rsid w:val="00FF3C69"/>
    <w:rsid w:val="00FF3EFD"/>
    <w:rsid w:val="00FF4136"/>
    <w:rsid w:val="00FF4735"/>
    <w:rsid w:val="00FF6747"/>
    <w:rsid w:val="00FF6B75"/>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red,#4d4d4f"/>
    </o:shapedefaults>
    <o:shapelayout v:ext="edit">
      <o:idmap v:ext="edit" data="1"/>
    </o:shapelayout>
  </w:shapeDefaults>
  <w:decimalSymbol w:val="."/>
  <w:listSeparator w:val=","/>
  <w14:docId w14:val="0555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uiPriority="67"/>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Normal"/>
    <w:next w:val="Normal"/>
    <w:link w:val="Heading4Char"/>
    <w:qFormat/>
    <w:rsid w:val="00872AFA"/>
    <w:pPr>
      <w:keepNext/>
      <w:spacing w:before="240" w:after="60"/>
      <w:ind w:left="288"/>
      <w:outlineLvl w:val="3"/>
    </w:pPr>
    <w:rPr>
      <w:rFonts w:ascii="Times New Roman" w:hAnsi="Times New Roman"/>
      <w:b/>
      <w:bCs/>
      <w:szCs w:val="20"/>
    </w:rPr>
  </w:style>
  <w:style w:type="paragraph" w:styleId="Heading5">
    <w:name w:val="heading 5"/>
    <w:basedOn w:val="Normal"/>
    <w:next w:val="Normal"/>
    <w:link w:val="Heading5Char"/>
    <w:qFormat/>
    <w:rsid w:val="00B14DB9"/>
    <w:pPr>
      <w:keepNext/>
      <w:spacing w:before="240" w:after="60"/>
      <w:outlineLvl w:val="4"/>
    </w:pPr>
    <w:rPr>
      <w:b/>
      <w:bCs/>
      <w:i/>
      <w:iCs/>
      <w:sz w:val="18"/>
      <w:szCs w:val="18"/>
    </w:rPr>
  </w:style>
  <w:style w:type="paragraph" w:styleId="Heading6">
    <w:name w:val="heading 6"/>
    <w:basedOn w:val="Normal"/>
    <w:next w:val="Normal"/>
    <w:link w:val="Heading6Char"/>
    <w:qFormat/>
    <w:rsid w:val="00AD5436"/>
    <w:pPr>
      <w:spacing w:before="240" w:after="60"/>
      <w:ind w:left="1152" w:hanging="432"/>
      <w:outlineLvl w:val="5"/>
    </w:pPr>
    <w:rPr>
      <w:rFonts w:ascii="Times New Roman" w:hAnsi="Times New Roman"/>
      <w:b/>
      <w:bCs/>
      <w:sz w:val="22"/>
      <w:szCs w:val="22"/>
    </w:rPr>
  </w:style>
  <w:style w:type="paragraph" w:styleId="Heading7">
    <w:name w:val="heading 7"/>
    <w:basedOn w:val="Normal"/>
    <w:next w:val="Normal"/>
    <w:link w:val="Heading7Char"/>
    <w:qFormat/>
    <w:rsid w:val="00AD5436"/>
    <w:pPr>
      <w:spacing w:before="240" w:after="60"/>
      <w:ind w:left="1296" w:hanging="288"/>
      <w:outlineLvl w:val="6"/>
    </w:pPr>
    <w:rPr>
      <w:rFonts w:ascii="Times New Roman" w:hAnsi="Times New Roman"/>
      <w:sz w:val="24"/>
    </w:rPr>
  </w:style>
  <w:style w:type="paragraph" w:styleId="Heading8">
    <w:name w:val="heading 8"/>
    <w:basedOn w:val="Normal"/>
    <w:next w:val="Normal"/>
    <w:semiHidden/>
    <w:qFormat/>
    <w:rsid w:val="00AD5436"/>
    <w:pPr>
      <w:spacing w:before="240" w:after="60"/>
      <w:ind w:left="1440" w:hanging="432"/>
      <w:outlineLvl w:val="7"/>
    </w:pPr>
    <w:rPr>
      <w:rFonts w:ascii="Times New Roman" w:hAnsi="Times New Roman"/>
      <w:i/>
      <w:iCs/>
      <w:sz w:val="24"/>
    </w:rPr>
  </w:style>
  <w:style w:type="paragraph" w:styleId="Heading9">
    <w:name w:val="heading 9"/>
    <w:basedOn w:val="Normal"/>
    <w:next w:val="Normal"/>
    <w:semiHidden/>
    <w:qFormat/>
    <w:rsid w:val="00AD5436"/>
    <w:pPr>
      <w:spacing w:before="240" w:after="60"/>
      <w:ind w:left="1584" w:hanging="14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link w:val="CaptionChar"/>
    <w:qFormat/>
    <w:rsid w:val="00E8152A"/>
    <w:pPr>
      <w:numPr>
        <w:numId w:val="8"/>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link w:val="ListBulletChar"/>
    <w:qFormat/>
    <w:rsid w:val="00A140B6"/>
    <w:pPr>
      <w:numPr>
        <w:numId w:val="44"/>
      </w:numPr>
      <w:spacing w:after="80"/>
    </w:pPr>
  </w:style>
  <w:style w:type="paragraph" w:styleId="ListBullet2">
    <w:name w:val="List Bullet 2"/>
    <w:basedOn w:val="Normal"/>
    <w:qFormat/>
    <w:rsid w:val="00294C5C"/>
    <w:pPr>
      <w:spacing w:after="80"/>
      <w:ind w:left="720" w:hanging="360"/>
    </w:pPr>
  </w:style>
  <w:style w:type="paragraph" w:styleId="ListNumber">
    <w:name w:val="List Number"/>
    <w:basedOn w:val="Normal"/>
    <w:qFormat/>
    <w:rsid w:val="003D0F3F"/>
    <w:pPr>
      <w:numPr>
        <w:numId w:val="14"/>
      </w:numPr>
      <w:shd w:val="clear" w:color="auto" w:fill="F2F2F2" w:themeFill="background1" w:themeFillShade="F2"/>
      <w:spacing w:after="80"/>
    </w:pPr>
    <w:rPr>
      <w:b/>
    </w:rPr>
  </w:style>
  <w:style w:type="paragraph" w:styleId="ListNumber2">
    <w:name w:val="List Number 2"/>
    <w:basedOn w:val="Normal"/>
    <w:qFormat/>
    <w:rsid w:val="00247C59"/>
    <w:pPr>
      <w:numPr>
        <w:numId w:val="3"/>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ALTS FOOTNOTE"/>
    <w:basedOn w:val="Normal"/>
    <w:link w:val="FootnoteTextChar"/>
    <w:rsid w:val="0037046B"/>
    <w:pPr>
      <w:spacing w:after="0" w:line="200" w:lineRule="atLeast"/>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uiPriority w:val="99"/>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CF75B8"/>
    <w:pPr>
      <w:numPr>
        <w:numId w:val="46"/>
      </w:numPr>
      <w:tabs>
        <w:tab w:val="num" w:pos="964"/>
      </w:tabs>
      <w:spacing w:after="160" w:line="240" w:lineRule="atLeast"/>
      <w:ind w:left="964"/>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CF75B8"/>
    <w:pPr>
      <w:numPr>
        <w:numId w:val="45"/>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7"/>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uiPriority w:val="99"/>
    <w:rsid w:val="00971914"/>
    <w:rPr>
      <w:rFonts w:ascii="Arial" w:hAnsi="Arial"/>
      <w:sz w:val="16"/>
    </w:rPr>
  </w:style>
  <w:style w:type="character" w:customStyle="1" w:styleId="Heading2Char">
    <w:name w:val="Heading 2 Char"/>
    <w:basedOn w:val="DefaultParagraphFont"/>
    <w:link w:val="Heading2"/>
    <w:rsid w:val="00835321"/>
    <w:rPr>
      <w:rFonts w:ascii="Arial" w:hAnsi="Arial" w:cs="Arial"/>
      <w:b/>
      <w:bCs/>
      <w:iCs/>
      <w:sz w:val="28"/>
      <w:szCs w:val="28"/>
    </w:rPr>
  </w:style>
  <w:style w:type="character" w:customStyle="1" w:styleId="Heading3Char">
    <w:name w:val="Heading 3 Char"/>
    <w:basedOn w:val="DefaultParagraphFont"/>
    <w:link w:val="Heading3"/>
    <w:rsid w:val="00835321"/>
    <w:rPr>
      <w:rFonts w:ascii="Arial" w:hAnsi="Arial" w:cs="Arial"/>
      <w:b/>
      <w:bCs/>
      <w:sz w:val="20"/>
      <w:szCs w:val="26"/>
    </w:rPr>
  </w:style>
  <w:style w:type="character" w:customStyle="1" w:styleId="Heading1Char">
    <w:name w:val="Heading 1 Char"/>
    <w:basedOn w:val="DefaultParagraphFont"/>
    <w:link w:val="Heading1"/>
    <w:rsid w:val="00835321"/>
    <w:rPr>
      <w:rFonts w:ascii="Arial" w:hAnsi="Arial" w:cs="Arial"/>
      <w:bCs/>
      <w:color w:val="323232"/>
      <w:kern w:val="32"/>
      <w:sz w:val="53"/>
      <w:szCs w:val="32"/>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ALTS FOOTNOTE Char"/>
    <w:basedOn w:val="DefaultParagraphFont"/>
    <w:link w:val="FootnoteText"/>
    <w:rsid w:val="0037046B"/>
    <w:rPr>
      <w:rFonts w:ascii="Arial" w:hAnsi="Arial"/>
      <w:sz w:val="16"/>
      <w:szCs w:val="16"/>
    </w:rPr>
  </w:style>
  <w:style w:type="paragraph" w:styleId="Title">
    <w:name w:val="Title"/>
    <w:basedOn w:val="Normal"/>
    <w:next w:val="Normal"/>
    <w:link w:val="TitleChar"/>
    <w:uiPriority w:val="10"/>
    <w:qFormat/>
    <w:rsid w:val="00835321"/>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35321"/>
    <w:rPr>
      <w:rFonts w:asciiTheme="majorHAnsi" w:eastAsiaTheme="majorEastAsia" w:hAnsiTheme="majorHAnsi" w:cstheme="majorBidi"/>
      <w:spacing w:val="-10"/>
      <w:kern w:val="28"/>
      <w:sz w:val="56"/>
      <w:szCs w:val="56"/>
      <w:lang w:eastAsia="en-US"/>
    </w:rPr>
  </w:style>
  <w:style w:type="character" w:customStyle="1" w:styleId="Heading4Char">
    <w:name w:val="Heading 4 Char"/>
    <w:basedOn w:val="DefaultParagraphFont"/>
    <w:link w:val="Heading4"/>
    <w:rsid w:val="00872AFA"/>
    <w:rPr>
      <w:b/>
      <w:bCs/>
      <w:sz w:val="20"/>
      <w:szCs w:val="20"/>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ACMA_ListParagraph"/>
    <w:basedOn w:val="Normal"/>
    <w:link w:val="ListParagraphChar"/>
    <w:uiPriority w:val="34"/>
    <w:qFormat/>
    <w:rsid w:val="0083532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rsid w:val="00835321"/>
    <w:rPr>
      <w:rFonts w:asciiTheme="minorHAnsi" w:eastAsiaTheme="minorHAnsi" w:hAnsiTheme="minorHAnsi" w:cstheme="minorBidi"/>
      <w:sz w:val="22"/>
      <w:szCs w:val="22"/>
      <w:lang w:eastAsia="en-US"/>
    </w:rPr>
  </w:style>
  <w:style w:type="character" w:customStyle="1" w:styleId="s1">
    <w:name w:val="s1"/>
    <w:basedOn w:val="DefaultParagraphFont"/>
    <w:rsid w:val="00835321"/>
    <w:rPr>
      <w:rFonts w:ascii=".SFUIText" w:hAnsi=".SFUIText" w:hint="default"/>
      <w:b w:val="0"/>
      <w:bCs w:val="0"/>
      <w:i w:val="0"/>
      <w:iCs w:val="0"/>
    </w:rPr>
  </w:style>
  <w:style w:type="character" w:customStyle="1" w:styleId="tgc">
    <w:name w:val="_tgc"/>
    <w:basedOn w:val="DefaultParagraphFont"/>
    <w:rsid w:val="00835321"/>
  </w:style>
  <w:style w:type="character" w:customStyle="1" w:styleId="s2">
    <w:name w:val="s2"/>
    <w:basedOn w:val="DefaultParagraphFont"/>
    <w:rsid w:val="00835321"/>
    <w:rPr>
      <w:color w:val="3789BD"/>
      <w:u w:val="single"/>
    </w:rPr>
  </w:style>
  <w:style w:type="character" w:styleId="IntenseEmphasis">
    <w:name w:val="Intense Emphasis"/>
    <w:basedOn w:val="DefaultParagraphFont"/>
    <w:uiPriority w:val="21"/>
    <w:qFormat/>
    <w:rsid w:val="00B94C86"/>
    <w:rPr>
      <w:i/>
      <w:iCs/>
      <w:color w:val="4F81BD" w:themeColor="accent1"/>
    </w:rPr>
  </w:style>
  <w:style w:type="table" w:customStyle="1" w:styleId="TableGrid2">
    <w:name w:val="Table Grid2"/>
    <w:basedOn w:val="TableNormal"/>
    <w:next w:val="TableGrid"/>
    <w:uiPriority w:val="59"/>
    <w:rsid w:val="00B94C86"/>
    <w:pPr>
      <w:spacing w:line="24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NumberedList">
    <w:name w:val="ACMA Numbered List"/>
    <w:rsid w:val="00B94C86"/>
    <w:pPr>
      <w:spacing w:before="20" w:after="20"/>
    </w:pPr>
    <w:rPr>
      <w:szCs w:val="20"/>
      <w:lang w:eastAsia="en-US"/>
    </w:rPr>
  </w:style>
  <w:style w:type="paragraph" w:customStyle="1" w:styleId="Default">
    <w:name w:val="Default"/>
    <w:rsid w:val="00B94C86"/>
    <w:pPr>
      <w:autoSpaceDE w:val="0"/>
      <w:autoSpaceDN w:val="0"/>
      <w:adjustRightInd w:val="0"/>
    </w:pPr>
    <w:rPr>
      <w:rFonts w:ascii="Arial" w:eastAsiaTheme="minorHAnsi" w:hAnsi="Arial" w:cs="Arial"/>
      <w:color w:val="000000"/>
      <w:lang w:eastAsia="en-US"/>
    </w:rPr>
  </w:style>
  <w:style w:type="paragraph" w:styleId="PlainText">
    <w:name w:val="Plain Text"/>
    <w:basedOn w:val="Normal"/>
    <w:link w:val="PlainTextChar"/>
    <w:uiPriority w:val="99"/>
    <w:semiHidden/>
    <w:unhideWhenUsed/>
    <w:rsid w:val="00B94C86"/>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B94C86"/>
    <w:rPr>
      <w:rFonts w:ascii="Calibri" w:eastAsiaTheme="minorHAnsi" w:hAnsi="Calibri" w:cstheme="minorBidi"/>
      <w:sz w:val="22"/>
      <w:szCs w:val="21"/>
      <w:lang w:eastAsia="en-US"/>
    </w:rPr>
  </w:style>
  <w:style w:type="paragraph" w:customStyle="1" w:styleId="p1">
    <w:name w:val="p1"/>
    <w:basedOn w:val="Normal"/>
    <w:rsid w:val="00B94C86"/>
    <w:pPr>
      <w:spacing w:after="0" w:line="240" w:lineRule="auto"/>
    </w:pPr>
    <w:rPr>
      <w:rFonts w:ascii=".SF UI Text" w:eastAsiaTheme="minorHAnsi" w:hAnsi=".SF UI Text"/>
      <w:color w:val="454545"/>
      <w:sz w:val="26"/>
      <w:szCs w:val="26"/>
    </w:rPr>
  </w:style>
  <w:style w:type="paragraph" w:customStyle="1" w:styleId="p2">
    <w:name w:val="p2"/>
    <w:basedOn w:val="Normal"/>
    <w:rsid w:val="00B94C86"/>
    <w:pPr>
      <w:spacing w:after="0" w:line="240" w:lineRule="auto"/>
    </w:pPr>
    <w:rPr>
      <w:rFonts w:ascii=".SF UI Text" w:eastAsiaTheme="minorHAnsi" w:hAnsi=".SF UI Text"/>
      <w:color w:val="454545"/>
      <w:sz w:val="26"/>
      <w:szCs w:val="26"/>
    </w:rPr>
  </w:style>
  <w:style w:type="character" w:customStyle="1" w:styleId="apple-converted-space">
    <w:name w:val="apple-converted-space"/>
    <w:basedOn w:val="DefaultParagraphFont"/>
    <w:rsid w:val="00B94C86"/>
  </w:style>
  <w:style w:type="character" w:customStyle="1" w:styleId="Heading5Char">
    <w:name w:val="Heading 5 Char"/>
    <w:basedOn w:val="DefaultParagraphFont"/>
    <w:link w:val="Heading5"/>
    <w:rsid w:val="00B14DB9"/>
    <w:rPr>
      <w:rFonts w:ascii="Arial" w:hAnsi="Arial"/>
      <w:b/>
      <w:bCs/>
      <w:i/>
      <w:iCs/>
      <w:sz w:val="18"/>
      <w:szCs w:val="18"/>
    </w:rPr>
  </w:style>
  <w:style w:type="character" w:customStyle="1" w:styleId="Heading6Char">
    <w:name w:val="Heading 6 Char"/>
    <w:basedOn w:val="DefaultParagraphFont"/>
    <w:link w:val="Heading6"/>
    <w:rsid w:val="00B94C86"/>
    <w:rPr>
      <w:b/>
      <w:bCs/>
      <w:sz w:val="22"/>
      <w:szCs w:val="22"/>
    </w:rPr>
  </w:style>
  <w:style w:type="paragraph" w:customStyle="1" w:styleId="Bullet1">
    <w:name w:val="Bullet 1"/>
    <w:basedOn w:val="ListBullet2"/>
    <w:qFormat/>
    <w:rsid w:val="00B94C86"/>
    <w:pPr>
      <w:spacing w:after="240" w:line="240" w:lineRule="auto"/>
      <w:ind w:left="567" w:hanging="567"/>
      <w:contextualSpacing/>
    </w:pPr>
    <w:rPr>
      <w:rFonts w:ascii="Calibri" w:eastAsia="Calibri" w:hAnsi="Calibri" w:cs="Calibri"/>
      <w:w w:val="105"/>
      <w:kern w:val="40"/>
      <w:sz w:val="22"/>
      <w:szCs w:val="22"/>
      <w:lang w:eastAsia="en-US"/>
    </w:rPr>
  </w:style>
  <w:style w:type="paragraph" w:styleId="NormalWeb">
    <w:name w:val="Normal (Web)"/>
    <w:basedOn w:val="Normal"/>
    <w:uiPriority w:val="99"/>
    <w:unhideWhenUsed/>
    <w:rsid w:val="00B94C86"/>
    <w:pPr>
      <w:spacing w:line="240" w:lineRule="auto"/>
    </w:pPr>
    <w:rPr>
      <w:rFonts w:ascii="Times New Roman" w:hAnsi="Times New Roman"/>
      <w:sz w:val="24"/>
    </w:rPr>
  </w:style>
  <w:style w:type="paragraph" w:customStyle="1" w:styleId="ACMABulletLevel1">
    <w:name w:val="ACMA Bullet Level 1"/>
    <w:rsid w:val="00B94C86"/>
    <w:pPr>
      <w:numPr>
        <w:numId w:val="10"/>
      </w:numPr>
      <w:spacing w:after="120"/>
    </w:pPr>
    <w:rPr>
      <w:szCs w:val="20"/>
      <w:lang w:eastAsia="en-US"/>
    </w:rPr>
  </w:style>
  <w:style w:type="table" w:customStyle="1" w:styleId="TableGrid1">
    <w:name w:val="Table Grid1"/>
    <w:basedOn w:val="TableNormal"/>
    <w:next w:val="TableGrid"/>
    <w:uiPriority w:val="59"/>
    <w:rsid w:val="00B94C86"/>
    <w:pPr>
      <w:spacing w:before="80" w:after="120"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94C86"/>
    <w:rPr>
      <w:rFonts w:asciiTheme="minorHAnsi" w:eastAsiaTheme="minorHAnsi" w:hAnsiTheme="minorHAnsi" w:cstheme="minorBidi"/>
      <w:sz w:val="22"/>
      <w:szCs w:val="22"/>
      <w:lang w:eastAsia="en-US"/>
    </w:rPr>
  </w:style>
  <w:style w:type="paragraph" w:styleId="Subtitle">
    <w:name w:val="Subtitle"/>
    <w:basedOn w:val="Normal"/>
    <w:next w:val="Normal"/>
    <w:link w:val="SubtitleChar"/>
    <w:uiPriority w:val="11"/>
    <w:qFormat/>
    <w:rsid w:val="00B94C86"/>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B94C86"/>
    <w:rPr>
      <w:rFonts w:asciiTheme="minorHAnsi" w:eastAsiaTheme="minorEastAsia" w:hAnsiTheme="minorHAnsi" w:cstheme="minorBidi"/>
      <w:color w:val="5A5A5A" w:themeColor="text1" w:themeTint="A5"/>
      <w:spacing w:val="15"/>
      <w:sz w:val="22"/>
      <w:szCs w:val="22"/>
      <w:lang w:eastAsia="en-US"/>
    </w:rPr>
  </w:style>
  <w:style w:type="character" w:customStyle="1" w:styleId="Heading7Char">
    <w:name w:val="Heading 7 Char"/>
    <w:basedOn w:val="DefaultParagraphFont"/>
    <w:link w:val="Heading7"/>
    <w:rsid w:val="00B94C86"/>
  </w:style>
  <w:style w:type="paragraph" w:styleId="NoSpacing">
    <w:name w:val="No Spacing"/>
    <w:link w:val="NoSpacingChar"/>
    <w:uiPriority w:val="1"/>
    <w:qFormat/>
    <w:rsid w:val="00B94C86"/>
    <w:rPr>
      <w:rFonts w:ascii="Arial" w:hAnsi="Arial"/>
      <w:sz w:val="20"/>
    </w:rPr>
  </w:style>
  <w:style w:type="paragraph" w:customStyle="1" w:styleId="ACMABodyText">
    <w:name w:val="ACMA Body Text"/>
    <w:link w:val="ACMABodyTextChar"/>
    <w:qFormat/>
    <w:rsid w:val="00B94C86"/>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rsid w:val="00B94C86"/>
    <w:rPr>
      <w:snapToGrid w:val="0"/>
      <w:szCs w:val="20"/>
      <w:lang w:eastAsia="en-US"/>
    </w:rPr>
  </w:style>
  <w:style w:type="paragraph" w:customStyle="1" w:styleId="ExecSummaryHeading">
    <w:name w:val="Exec Summary Heading"/>
    <w:basedOn w:val="Normal"/>
    <w:rsid w:val="00B94C86"/>
    <w:pPr>
      <w:spacing w:after="1440" w:line="550" w:lineRule="exact"/>
    </w:pPr>
    <w:rPr>
      <w:b/>
      <w:color w:val="4D4D4F"/>
      <w:spacing w:val="-18"/>
      <w:sz w:val="53"/>
    </w:rPr>
  </w:style>
  <w:style w:type="paragraph" w:customStyle="1" w:styleId="ACMABodyText0">
    <w:name w:val="ACMA_BodyText"/>
    <w:qFormat/>
    <w:rsid w:val="00B94C86"/>
    <w:pPr>
      <w:suppressAutoHyphens/>
      <w:spacing w:after="80" w:line="280" w:lineRule="atLeast"/>
    </w:pPr>
    <w:rPr>
      <w:rFonts w:ascii="Arial" w:hAnsi="Arial"/>
      <w:snapToGrid w:val="0"/>
      <w:sz w:val="19"/>
      <w:szCs w:val="20"/>
      <w:lang w:eastAsia="en-US"/>
    </w:rPr>
  </w:style>
  <w:style w:type="table" w:styleId="MediumGrid1-Accent5">
    <w:name w:val="Medium Grid 1 Accent 5"/>
    <w:basedOn w:val="TableNormal"/>
    <w:uiPriority w:val="67"/>
    <w:rsid w:val="00B94C86"/>
    <w:rPr>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ReportTitle">
    <w:name w:val="Report Title"/>
    <w:basedOn w:val="Normal"/>
    <w:rsid w:val="00B94C86"/>
    <w:pPr>
      <w:spacing w:after="0" w:line="560" w:lineRule="exact"/>
    </w:pPr>
    <w:rPr>
      <w:b/>
      <w:color w:val="4D4D4F"/>
      <w:spacing w:val="-28"/>
      <w:sz w:val="53"/>
    </w:rPr>
  </w:style>
  <w:style w:type="paragraph" w:customStyle="1" w:styleId="ReportSubtitle">
    <w:name w:val="Report Sub title"/>
    <w:basedOn w:val="Normal"/>
    <w:rsid w:val="00B94C86"/>
    <w:pPr>
      <w:spacing w:after="0" w:line="560" w:lineRule="exact"/>
    </w:pPr>
    <w:rPr>
      <w:color w:val="808285"/>
      <w:spacing w:val="-28"/>
      <w:sz w:val="53"/>
    </w:rPr>
  </w:style>
  <w:style w:type="paragraph" w:customStyle="1" w:styleId="ReportDate">
    <w:name w:val="Report Date"/>
    <w:basedOn w:val="ReportSubtitle"/>
    <w:rsid w:val="00B94C86"/>
    <w:pPr>
      <w:spacing w:line="240" w:lineRule="auto"/>
    </w:pPr>
    <w:rPr>
      <w:caps/>
      <w:spacing w:val="-10"/>
      <w:sz w:val="20"/>
    </w:rPr>
  </w:style>
  <w:style w:type="paragraph" w:customStyle="1" w:styleId="Bodysubheader0">
    <w:name w:val="Body sub header"/>
    <w:basedOn w:val="Normal"/>
    <w:next w:val="Normal"/>
    <w:rsid w:val="00B94C86"/>
    <w:pPr>
      <w:spacing w:after="0"/>
    </w:pPr>
    <w:rPr>
      <w:b/>
      <w:i/>
    </w:rPr>
  </w:style>
  <w:style w:type="paragraph" w:styleId="TOC9">
    <w:name w:val="toc 9"/>
    <w:aliases w:val="TOC ExecSumm"/>
    <w:basedOn w:val="Normal"/>
    <w:next w:val="Normal"/>
    <w:uiPriority w:val="39"/>
    <w:rsid w:val="00B94C86"/>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B94C86"/>
    <w:pPr>
      <w:spacing w:after="0" w:line="560" w:lineRule="exact"/>
    </w:pPr>
    <w:rPr>
      <w:color w:val="808285"/>
      <w:spacing w:val="-28"/>
      <w:sz w:val="53"/>
    </w:rPr>
  </w:style>
  <w:style w:type="character" w:customStyle="1" w:styleId="apple-style-span">
    <w:name w:val="apple-style-span"/>
    <w:basedOn w:val="DefaultParagraphFont"/>
    <w:rsid w:val="00B94C86"/>
  </w:style>
  <w:style w:type="character" w:customStyle="1" w:styleId="CaptionChar">
    <w:name w:val="Caption Char"/>
    <w:aliases w:val="Caption table Char"/>
    <w:basedOn w:val="DefaultParagraphFont"/>
    <w:link w:val="Caption"/>
    <w:rsid w:val="00B94C86"/>
    <w:rPr>
      <w:rFonts w:ascii="Arial" w:hAnsi="Arial"/>
      <w:b/>
      <w:bCs/>
      <w:color w:val="323232"/>
      <w:sz w:val="20"/>
      <w:szCs w:val="20"/>
    </w:rPr>
  </w:style>
  <w:style w:type="character" w:customStyle="1" w:styleId="NoSpacingChar">
    <w:name w:val="No Spacing Char"/>
    <w:link w:val="NoSpacing"/>
    <w:uiPriority w:val="1"/>
    <w:locked/>
    <w:rsid w:val="00B94C86"/>
    <w:rPr>
      <w:rFonts w:ascii="Arial" w:hAnsi="Arial"/>
      <w:sz w:val="20"/>
    </w:rPr>
  </w:style>
  <w:style w:type="paragraph" w:customStyle="1" w:styleId="StyleListParagraphListParagraph1ListParagraph11Recommendatio">
    <w:name w:val="Style List ParagraphList Paragraph1List Paragraph11Recommendatio..."/>
    <w:basedOn w:val="ListParagraph"/>
    <w:rsid w:val="00B94C86"/>
    <w:pPr>
      <w:spacing w:after="240" w:line="240" w:lineRule="auto"/>
      <w:ind w:left="1134" w:hanging="567"/>
    </w:pPr>
    <w:rPr>
      <w:rFonts w:eastAsia="Times New Roman" w:cs="Times New Roman"/>
      <w:szCs w:val="20"/>
    </w:rPr>
  </w:style>
  <w:style w:type="paragraph" w:customStyle="1" w:styleId="ACMAHeading3">
    <w:name w:val="ACMA Heading 3"/>
    <w:next w:val="ACMABodyText"/>
    <w:rsid w:val="00B94C86"/>
    <w:pPr>
      <w:keepNext/>
      <w:tabs>
        <w:tab w:val="num" w:pos="720"/>
      </w:tabs>
      <w:suppressAutoHyphens/>
      <w:spacing w:before="240"/>
      <w:outlineLvl w:val="3"/>
    </w:pPr>
    <w:rPr>
      <w:rFonts w:ascii="Arial" w:hAnsi="Arial"/>
      <w:b/>
      <w:szCs w:val="20"/>
      <w:lang w:val="en-US" w:eastAsia="en-US"/>
    </w:rPr>
  </w:style>
  <w:style w:type="paragraph" w:customStyle="1" w:styleId="Summary">
    <w:name w:val="Summary"/>
    <w:basedOn w:val="Normal"/>
    <w:next w:val="Normal"/>
    <w:autoRedefine/>
    <w:rsid w:val="00B94C86"/>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hAnsi="Times New Roman"/>
      <w:sz w:val="22"/>
      <w:szCs w:val="20"/>
      <w:lang w:val="es-ES_tradnl" w:eastAsia="en-US"/>
    </w:rPr>
  </w:style>
  <w:style w:type="paragraph" w:customStyle="1" w:styleId="enumlev1">
    <w:name w:val="enumlev1"/>
    <w:basedOn w:val="Normal"/>
    <w:rsid w:val="00B94C86"/>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hAnsi="Times New Roman"/>
      <w:sz w:val="24"/>
      <w:szCs w:val="20"/>
      <w:lang w:val="en-GB" w:eastAsia="en-US"/>
    </w:rPr>
  </w:style>
  <w:style w:type="paragraph" w:styleId="BodyTextIndent3">
    <w:name w:val="Body Text Indent 3"/>
    <w:basedOn w:val="Normal"/>
    <w:link w:val="BodyTextIndent3Char"/>
    <w:rsid w:val="00B94C86"/>
    <w:pPr>
      <w:spacing w:after="120"/>
      <w:ind w:left="283"/>
    </w:pPr>
    <w:rPr>
      <w:sz w:val="16"/>
      <w:szCs w:val="16"/>
    </w:rPr>
  </w:style>
  <w:style w:type="character" w:customStyle="1" w:styleId="BodyTextIndent3Char">
    <w:name w:val="Body Text Indent 3 Char"/>
    <w:basedOn w:val="DefaultParagraphFont"/>
    <w:link w:val="BodyTextIndent3"/>
    <w:rsid w:val="00B94C86"/>
    <w:rPr>
      <w:rFonts w:ascii="Arial" w:hAnsi="Arial"/>
      <w:sz w:val="16"/>
      <w:szCs w:val="16"/>
    </w:rPr>
  </w:style>
  <w:style w:type="paragraph" w:customStyle="1" w:styleId="Normalaftertitle">
    <w:name w:val="Normal after title"/>
    <w:basedOn w:val="Normal"/>
    <w:next w:val="Normal"/>
    <w:rsid w:val="00B94C86"/>
    <w:pPr>
      <w:tabs>
        <w:tab w:val="left" w:pos="1134"/>
        <w:tab w:val="left" w:pos="1871"/>
        <w:tab w:val="left" w:pos="2268"/>
      </w:tabs>
      <w:overflowPunct w:val="0"/>
      <w:autoSpaceDE w:val="0"/>
      <w:autoSpaceDN w:val="0"/>
      <w:adjustRightInd w:val="0"/>
      <w:spacing w:before="280" w:after="0" w:line="240" w:lineRule="auto"/>
    </w:pPr>
    <w:rPr>
      <w:rFonts w:ascii="Times New Roman" w:hAnsi="Times New Roman"/>
      <w:sz w:val="24"/>
      <w:szCs w:val="20"/>
      <w:lang w:val="en-GB" w:eastAsia="en-US"/>
    </w:rPr>
  </w:style>
  <w:style w:type="character" w:customStyle="1" w:styleId="ListBulletChar">
    <w:name w:val="List Bullet Char"/>
    <w:basedOn w:val="DefaultParagraphFont"/>
    <w:link w:val="ListBullet"/>
    <w:rsid w:val="009F0108"/>
    <w:rPr>
      <w:rFonts w:ascii="Arial" w:hAnsi="Arial"/>
      <w:sz w:val="20"/>
    </w:rPr>
  </w:style>
  <w:style w:type="table" w:customStyle="1" w:styleId="TableGrid3">
    <w:name w:val="Table Grid3"/>
    <w:basedOn w:val="TableNormal"/>
    <w:next w:val="TableGrid"/>
    <w:uiPriority w:val="39"/>
    <w:rsid w:val="00D169BA"/>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42AB8"/>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365CA"/>
    <w:pPr>
      <w:widowControl w:val="0"/>
      <w:autoSpaceDE w:val="0"/>
      <w:autoSpaceDN w:val="0"/>
      <w:spacing w:before="13" w:after="0" w:line="240" w:lineRule="auto"/>
      <w:ind w:left="113"/>
    </w:pPr>
    <w:rPr>
      <w:rFonts w:eastAsia="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5894">
      <w:bodyDiv w:val="1"/>
      <w:marLeft w:val="0"/>
      <w:marRight w:val="0"/>
      <w:marTop w:val="0"/>
      <w:marBottom w:val="0"/>
      <w:divBdr>
        <w:top w:val="none" w:sz="0" w:space="0" w:color="auto"/>
        <w:left w:val="none" w:sz="0" w:space="0" w:color="auto"/>
        <w:bottom w:val="none" w:sz="0" w:space="0" w:color="auto"/>
        <w:right w:val="none" w:sz="0" w:space="0" w:color="auto"/>
      </w:divBdr>
      <w:divsChild>
        <w:div w:id="109207078">
          <w:marLeft w:val="0"/>
          <w:marRight w:val="0"/>
          <w:marTop w:val="0"/>
          <w:marBottom w:val="0"/>
          <w:divBdr>
            <w:top w:val="none" w:sz="0" w:space="0" w:color="auto"/>
            <w:left w:val="none" w:sz="0" w:space="0" w:color="auto"/>
            <w:bottom w:val="none" w:sz="0" w:space="0" w:color="auto"/>
            <w:right w:val="none" w:sz="0" w:space="0" w:color="auto"/>
          </w:divBdr>
          <w:divsChild>
            <w:div w:id="1530871569">
              <w:marLeft w:val="0"/>
              <w:marRight w:val="0"/>
              <w:marTop w:val="0"/>
              <w:marBottom w:val="0"/>
              <w:divBdr>
                <w:top w:val="none" w:sz="0" w:space="0" w:color="auto"/>
                <w:left w:val="none" w:sz="0" w:space="0" w:color="auto"/>
                <w:bottom w:val="none" w:sz="0" w:space="0" w:color="auto"/>
                <w:right w:val="none" w:sz="0" w:space="0" w:color="auto"/>
              </w:divBdr>
              <w:divsChild>
                <w:div w:id="1888445366">
                  <w:marLeft w:val="0"/>
                  <w:marRight w:val="0"/>
                  <w:marTop w:val="0"/>
                  <w:marBottom w:val="0"/>
                  <w:divBdr>
                    <w:top w:val="none" w:sz="0" w:space="0" w:color="auto"/>
                    <w:left w:val="none" w:sz="0" w:space="0" w:color="auto"/>
                    <w:bottom w:val="none" w:sz="0" w:space="0" w:color="auto"/>
                    <w:right w:val="none" w:sz="0" w:space="0" w:color="auto"/>
                  </w:divBdr>
                  <w:divsChild>
                    <w:div w:id="1299530523">
                      <w:marLeft w:val="0"/>
                      <w:marRight w:val="0"/>
                      <w:marTop w:val="0"/>
                      <w:marBottom w:val="0"/>
                      <w:divBdr>
                        <w:top w:val="none" w:sz="0" w:space="0" w:color="auto"/>
                        <w:left w:val="none" w:sz="0" w:space="0" w:color="auto"/>
                        <w:bottom w:val="none" w:sz="0" w:space="0" w:color="auto"/>
                        <w:right w:val="none" w:sz="0" w:space="0" w:color="auto"/>
                      </w:divBdr>
                      <w:divsChild>
                        <w:div w:id="1059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84548">
      <w:bodyDiv w:val="1"/>
      <w:marLeft w:val="0"/>
      <w:marRight w:val="0"/>
      <w:marTop w:val="0"/>
      <w:marBottom w:val="0"/>
      <w:divBdr>
        <w:top w:val="none" w:sz="0" w:space="0" w:color="auto"/>
        <w:left w:val="none" w:sz="0" w:space="0" w:color="auto"/>
        <w:bottom w:val="none" w:sz="0" w:space="0" w:color="auto"/>
        <w:right w:val="none" w:sz="0" w:space="0" w:color="auto"/>
      </w:divBdr>
    </w:div>
    <w:div w:id="124079014">
      <w:bodyDiv w:val="1"/>
      <w:marLeft w:val="0"/>
      <w:marRight w:val="0"/>
      <w:marTop w:val="0"/>
      <w:marBottom w:val="0"/>
      <w:divBdr>
        <w:top w:val="none" w:sz="0" w:space="0" w:color="auto"/>
        <w:left w:val="none" w:sz="0" w:space="0" w:color="auto"/>
        <w:bottom w:val="none" w:sz="0" w:space="0" w:color="auto"/>
        <w:right w:val="none" w:sz="0" w:space="0" w:color="auto"/>
      </w:divBdr>
    </w:div>
    <w:div w:id="127208210">
      <w:bodyDiv w:val="1"/>
      <w:marLeft w:val="0"/>
      <w:marRight w:val="0"/>
      <w:marTop w:val="0"/>
      <w:marBottom w:val="0"/>
      <w:divBdr>
        <w:top w:val="none" w:sz="0" w:space="0" w:color="auto"/>
        <w:left w:val="none" w:sz="0" w:space="0" w:color="auto"/>
        <w:bottom w:val="none" w:sz="0" w:space="0" w:color="auto"/>
        <w:right w:val="none" w:sz="0" w:space="0" w:color="auto"/>
      </w:divBdr>
    </w:div>
    <w:div w:id="166986358">
      <w:bodyDiv w:val="1"/>
      <w:marLeft w:val="0"/>
      <w:marRight w:val="0"/>
      <w:marTop w:val="0"/>
      <w:marBottom w:val="0"/>
      <w:divBdr>
        <w:top w:val="none" w:sz="0" w:space="0" w:color="auto"/>
        <w:left w:val="none" w:sz="0" w:space="0" w:color="auto"/>
        <w:bottom w:val="none" w:sz="0" w:space="0" w:color="auto"/>
        <w:right w:val="none" w:sz="0" w:space="0" w:color="auto"/>
      </w:divBdr>
    </w:div>
    <w:div w:id="167717739">
      <w:bodyDiv w:val="1"/>
      <w:marLeft w:val="0"/>
      <w:marRight w:val="0"/>
      <w:marTop w:val="0"/>
      <w:marBottom w:val="0"/>
      <w:divBdr>
        <w:top w:val="none" w:sz="0" w:space="0" w:color="auto"/>
        <w:left w:val="none" w:sz="0" w:space="0" w:color="auto"/>
        <w:bottom w:val="none" w:sz="0" w:space="0" w:color="auto"/>
        <w:right w:val="none" w:sz="0" w:space="0" w:color="auto"/>
      </w:divBdr>
    </w:div>
    <w:div w:id="215238411">
      <w:bodyDiv w:val="1"/>
      <w:marLeft w:val="0"/>
      <w:marRight w:val="0"/>
      <w:marTop w:val="0"/>
      <w:marBottom w:val="0"/>
      <w:divBdr>
        <w:top w:val="none" w:sz="0" w:space="0" w:color="auto"/>
        <w:left w:val="none" w:sz="0" w:space="0" w:color="auto"/>
        <w:bottom w:val="none" w:sz="0" w:space="0" w:color="auto"/>
        <w:right w:val="none" w:sz="0" w:space="0" w:color="auto"/>
      </w:divBdr>
    </w:div>
    <w:div w:id="366759458">
      <w:bodyDiv w:val="1"/>
      <w:marLeft w:val="0"/>
      <w:marRight w:val="0"/>
      <w:marTop w:val="0"/>
      <w:marBottom w:val="0"/>
      <w:divBdr>
        <w:top w:val="none" w:sz="0" w:space="0" w:color="auto"/>
        <w:left w:val="none" w:sz="0" w:space="0" w:color="auto"/>
        <w:bottom w:val="none" w:sz="0" w:space="0" w:color="auto"/>
        <w:right w:val="none" w:sz="0" w:space="0" w:color="auto"/>
      </w:divBdr>
    </w:div>
    <w:div w:id="422990865">
      <w:bodyDiv w:val="1"/>
      <w:marLeft w:val="0"/>
      <w:marRight w:val="0"/>
      <w:marTop w:val="0"/>
      <w:marBottom w:val="0"/>
      <w:divBdr>
        <w:top w:val="none" w:sz="0" w:space="0" w:color="auto"/>
        <w:left w:val="none" w:sz="0" w:space="0" w:color="auto"/>
        <w:bottom w:val="none" w:sz="0" w:space="0" w:color="auto"/>
        <w:right w:val="none" w:sz="0" w:space="0" w:color="auto"/>
      </w:divBdr>
    </w:div>
    <w:div w:id="501629245">
      <w:bodyDiv w:val="1"/>
      <w:marLeft w:val="0"/>
      <w:marRight w:val="0"/>
      <w:marTop w:val="0"/>
      <w:marBottom w:val="0"/>
      <w:divBdr>
        <w:top w:val="none" w:sz="0" w:space="0" w:color="auto"/>
        <w:left w:val="none" w:sz="0" w:space="0" w:color="auto"/>
        <w:bottom w:val="none" w:sz="0" w:space="0" w:color="auto"/>
        <w:right w:val="none" w:sz="0" w:space="0" w:color="auto"/>
      </w:divBdr>
    </w:div>
    <w:div w:id="532884536">
      <w:bodyDiv w:val="1"/>
      <w:marLeft w:val="0"/>
      <w:marRight w:val="0"/>
      <w:marTop w:val="0"/>
      <w:marBottom w:val="0"/>
      <w:divBdr>
        <w:top w:val="none" w:sz="0" w:space="0" w:color="auto"/>
        <w:left w:val="none" w:sz="0" w:space="0" w:color="auto"/>
        <w:bottom w:val="none" w:sz="0" w:space="0" w:color="auto"/>
        <w:right w:val="none" w:sz="0" w:space="0" w:color="auto"/>
      </w:divBdr>
    </w:div>
    <w:div w:id="798718863">
      <w:bodyDiv w:val="1"/>
      <w:marLeft w:val="0"/>
      <w:marRight w:val="0"/>
      <w:marTop w:val="0"/>
      <w:marBottom w:val="0"/>
      <w:divBdr>
        <w:top w:val="none" w:sz="0" w:space="0" w:color="auto"/>
        <w:left w:val="none" w:sz="0" w:space="0" w:color="auto"/>
        <w:bottom w:val="none" w:sz="0" w:space="0" w:color="auto"/>
        <w:right w:val="none" w:sz="0" w:space="0" w:color="auto"/>
      </w:divBdr>
    </w:div>
    <w:div w:id="834807572">
      <w:bodyDiv w:val="1"/>
      <w:marLeft w:val="0"/>
      <w:marRight w:val="0"/>
      <w:marTop w:val="0"/>
      <w:marBottom w:val="0"/>
      <w:divBdr>
        <w:top w:val="none" w:sz="0" w:space="0" w:color="auto"/>
        <w:left w:val="none" w:sz="0" w:space="0" w:color="auto"/>
        <w:bottom w:val="none" w:sz="0" w:space="0" w:color="auto"/>
        <w:right w:val="none" w:sz="0" w:space="0" w:color="auto"/>
      </w:divBdr>
    </w:div>
    <w:div w:id="865220641">
      <w:bodyDiv w:val="1"/>
      <w:marLeft w:val="0"/>
      <w:marRight w:val="0"/>
      <w:marTop w:val="0"/>
      <w:marBottom w:val="0"/>
      <w:divBdr>
        <w:top w:val="none" w:sz="0" w:space="0" w:color="auto"/>
        <w:left w:val="none" w:sz="0" w:space="0" w:color="auto"/>
        <w:bottom w:val="none" w:sz="0" w:space="0" w:color="auto"/>
        <w:right w:val="none" w:sz="0" w:space="0" w:color="auto"/>
      </w:divBdr>
    </w:div>
    <w:div w:id="994063709">
      <w:bodyDiv w:val="1"/>
      <w:marLeft w:val="0"/>
      <w:marRight w:val="0"/>
      <w:marTop w:val="0"/>
      <w:marBottom w:val="0"/>
      <w:divBdr>
        <w:top w:val="none" w:sz="0" w:space="0" w:color="auto"/>
        <w:left w:val="none" w:sz="0" w:space="0" w:color="auto"/>
        <w:bottom w:val="none" w:sz="0" w:space="0" w:color="auto"/>
        <w:right w:val="none" w:sz="0" w:space="0" w:color="auto"/>
      </w:divBdr>
    </w:div>
    <w:div w:id="1061563174">
      <w:bodyDiv w:val="1"/>
      <w:marLeft w:val="0"/>
      <w:marRight w:val="0"/>
      <w:marTop w:val="0"/>
      <w:marBottom w:val="0"/>
      <w:divBdr>
        <w:top w:val="none" w:sz="0" w:space="0" w:color="auto"/>
        <w:left w:val="none" w:sz="0" w:space="0" w:color="auto"/>
        <w:bottom w:val="none" w:sz="0" w:space="0" w:color="auto"/>
        <w:right w:val="none" w:sz="0" w:space="0" w:color="auto"/>
      </w:divBdr>
    </w:div>
    <w:div w:id="1295017897">
      <w:bodyDiv w:val="1"/>
      <w:marLeft w:val="0"/>
      <w:marRight w:val="0"/>
      <w:marTop w:val="0"/>
      <w:marBottom w:val="0"/>
      <w:divBdr>
        <w:top w:val="none" w:sz="0" w:space="0" w:color="auto"/>
        <w:left w:val="none" w:sz="0" w:space="0" w:color="auto"/>
        <w:bottom w:val="none" w:sz="0" w:space="0" w:color="auto"/>
        <w:right w:val="none" w:sz="0" w:space="0" w:color="auto"/>
      </w:divBdr>
      <w:divsChild>
        <w:div w:id="975526590">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sChild>
                <w:div w:id="1073626164">
                  <w:marLeft w:val="0"/>
                  <w:marRight w:val="0"/>
                  <w:marTop w:val="0"/>
                  <w:marBottom w:val="0"/>
                  <w:divBdr>
                    <w:top w:val="none" w:sz="0" w:space="0" w:color="auto"/>
                    <w:left w:val="none" w:sz="0" w:space="0" w:color="auto"/>
                    <w:bottom w:val="none" w:sz="0" w:space="0" w:color="auto"/>
                    <w:right w:val="none" w:sz="0" w:space="0" w:color="auto"/>
                  </w:divBdr>
                  <w:divsChild>
                    <w:div w:id="39332532">
                      <w:marLeft w:val="0"/>
                      <w:marRight w:val="0"/>
                      <w:marTop w:val="0"/>
                      <w:marBottom w:val="0"/>
                      <w:divBdr>
                        <w:top w:val="none" w:sz="0" w:space="0" w:color="auto"/>
                        <w:left w:val="none" w:sz="0" w:space="0" w:color="auto"/>
                        <w:bottom w:val="none" w:sz="0" w:space="0" w:color="auto"/>
                        <w:right w:val="none" w:sz="0" w:space="0" w:color="auto"/>
                      </w:divBdr>
                      <w:divsChild>
                        <w:div w:id="2087025899">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sChild>
                                <w:div w:id="1674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670285">
      <w:bodyDiv w:val="1"/>
      <w:marLeft w:val="0"/>
      <w:marRight w:val="0"/>
      <w:marTop w:val="0"/>
      <w:marBottom w:val="0"/>
      <w:divBdr>
        <w:top w:val="none" w:sz="0" w:space="0" w:color="auto"/>
        <w:left w:val="none" w:sz="0" w:space="0" w:color="auto"/>
        <w:bottom w:val="none" w:sz="0" w:space="0" w:color="auto"/>
        <w:right w:val="none" w:sz="0" w:space="0" w:color="auto"/>
      </w:divBdr>
    </w:div>
    <w:div w:id="1320187251">
      <w:bodyDiv w:val="1"/>
      <w:marLeft w:val="0"/>
      <w:marRight w:val="0"/>
      <w:marTop w:val="0"/>
      <w:marBottom w:val="0"/>
      <w:divBdr>
        <w:top w:val="none" w:sz="0" w:space="0" w:color="auto"/>
        <w:left w:val="none" w:sz="0" w:space="0" w:color="auto"/>
        <w:bottom w:val="none" w:sz="0" w:space="0" w:color="auto"/>
        <w:right w:val="none" w:sz="0" w:space="0" w:color="auto"/>
      </w:divBdr>
    </w:div>
    <w:div w:id="1441148969">
      <w:bodyDiv w:val="1"/>
      <w:marLeft w:val="0"/>
      <w:marRight w:val="0"/>
      <w:marTop w:val="0"/>
      <w:marBottom w:val="0"/>
      <w:divBdr>
        <w:top w:val="none" w:sz="0" w:space="0" w:color="auto"/>
        <w:left w:val="none" w:sz="0" w:space="0" w:color="auto"/>
        <w:bottom w:val="none" w:sz="0" w:space="0" w:color="auto"/>
        <w:right w:val="none" w:sz="0" w:space="0" w:color="auto"/>
      </w:divBdr>
    </w:div>
    <w:div w:id="1456488667">
      <w:bodyDiv w:val="1"/>
      <w:marLeft w:val="0"/>
      <w:marRight w:val="0"/>
      <w:marTop w:val="0"/>
      <w:marBottom w:val="0"/>
      <w:divBdr>
        <w:top w:val="none" w:sz="0" w:space="0" w:color="auto"/>
        <w:left w:val="none" w:sz="0" w:space="0" w:color="auto"/>
        <w:bottom w:val="none" w:sz="0" w:space="0" w:color="auto"/>
        <w:right w:val="none" w:sz="0" w:space="0" w:color="auto"/>
      </w:divBdr>
    </w:div>
    <w:div w:id="1481849365">
      <w:bodyDiv w:val="1"/>
      <w:marLeft w:val="0"/>
      <w:marRight w:val="0"/>
      <w:marTop w:val="0"/>
      <w:marBottom w:val="0"/>
      <w:divBdr>
        <w:top w:val="none" w:sz="0" w:space="0" w:color="auto"/>
        <w:left w:val="none" w:sz="0" w:space="0" w:color="auto"/>
        <w:bottom w:val="none" w:sz="0" w:space="0" w:color="auto"/>
        <w:right w:val="none" w:sz="0" w:space="0" w:color="auto"/>
      </w:divBdr>
    </w:div>
    <w:div w:id="1535194643">
      <w:bodyDiv w:val="1"/>
      <w:marLeft w:val="0"/>
      <w:marRight w:val="0"/>
      <w:marTop w:val="0"/>
      <w:marBottom w:val="0"/>
      <w:divBdr>
        <w:top w:val="none" w:sz="0" w:space="0" w:color="auto"/>
        <w:left w:val="none" w:sz="0" w:space="0" w:color="auto"/>
        <w:bottom w:val="none" w:sz="0" w:space="0" w:color="auto"/>
        <w:right w:val="none" w:sz="0" w:space="0" w:color="auto"/>
      </w:divBdr>
    </w:div>
    <w:div w:id="1636369498">
      <w:bodyDiv w:val="1"/>
      <w:marLeft w:val="0"/>
      <w:marRight w:val="0"/>
      <w:marTop w:val="0"/>
      <w:marBottom w:val="0"/>
      <w:divBdr>
        <w:top w:val="none" w:sz="0" w:space="0" w:color="auto"/>
        <w:left w:val="none" w:sz="0" w:space="0" w:color="auto"/>
        <w:bottom w:val="none" w:sz="0" w:space="0" w:color="auto"/>
        <w:right w:val="none" w:sz="0" w:space="0" w:color="auto"/>
      </w:divBdr>
    </w:div>
    <w:div w:id="1675573876">
      <w:bodyDiv w:val="1"/>
      <w:marLeft w:val="0"/>
      <w:marRight w:val="0"/>
      <w:marTop w:val="0"/>
      <w:marBottom w:val="0"/>
      <w:divBdr>
        <w:top w:val="none" w:sz="0" w:space="0" w:color="auto"/>
        <w:left w:val="none" w:sz="0" w:space="0" w:color="auto"/>
        <w:bottom w:val="none" w:sz="0" w:space="0" w:color="auto"/>
        <w:right w:val="none" w:sz="0" w:space="0" w:color="auto"/>
      </w:divBdr>
    </w:div>
    <w:div w:id="1767269219">
      <w:bodyDiv w:val="1"/>
      <w:marLeft w:val="0"/>
      <w:marRight w:val="0"/>
      <w:marTop w:val="0"/>
      <w:marBottom w:val="0"/>
      <w:divBdr>
        <w:top w:val="none" w:sz="0" w:space="0" w:color="auto"/>
        <w:left w:val="none" w:sz="0" w:space="0" w:color="auto"/>
        <w:bottom w:val="none" w:sz="0" w:space="0" w:color="auto"/>
        <w:right w:val="none" w:sz="0" w:space="0" w:color="auto"/>
      </w:divBdr>
    </w:div>
    <w:div w:id="1847674053">
      <w:bodyDiv w:val="1"/>
      <w:marLeft w:val="0"/>
      <w:marRight w:val="0"/>
      <w:marTop w:val="0"/>
      <w:marBottom w:val="0"/>
      <w:divBdr>
        <w:top w:val="none" w:sz="0" w:space="0" w:color="auto"/>
        <w:left w:val="none" w:sz="0" w:space="0" w:color="auto"/>
        <w:bottom w:val="none" w:sz="0" w:space="0" w:color="auto"/>
        <w:right w:val="none" w:sz="0" w:space="0" w:color="auto"/>
      </w:divBdr>
    </w:div>
    <w:div w:id="1884753343">
      <w:bodyDiv w:val="1"/>
      <w:marLeft w:val="0"/>
      <w:marRight w:val="0"/>
      <w:marTop w:val="0"/>
      <w:marBottom w:val="0"/>
      <w:divBdr>
        <w:top w:val="none" w:sz="0" w:space="0" w:color="auto"/>
        <w:left w:val="none" w:sz="0" w:space="0" w:color="auto"/>
        <w:bottom w:val="none" w:sz="0" w:space="0" w:color="auto"/>
        <w:right w:val="none" w:sz="0" w:space="0" w:color="auto"/>
      </w:divBdr>
    </w:div>
    <w:div w:id="1980958774">
      <w:bodyDiv w:val="1"/>
      <w:marLeft w:val="0"/>
      <w:marRight w:val="0"/>
      <w:marTop w:val="0"/>
      <w:marBottom w:val="0"/>
      <w:divBdr>
        <w:top w:val="none" w:sz="0" w:space="0" w:color="auto"/>
        <w:left w:val="none" w:sz="0" w:space="0" w:color="auto"/>
        <w:bottom w:val="none" w:sz="0" w:space="0" w:color="auto"/>
        <w:right w:val="none" w:sz="0" w:space="0" w:color="auto"/>
      </w:divBdr>
    </w:div>
    <w:div w:id="2002082624">
      <w:bodyDiv w:val="1"/>
      <w:marLeft w:val="0"/>
      <w:marRight w:val="0"/>
      <w:marTop w:val="0"/>
      <w:marBottom w:val="0"/>
      <w:divBdr>
        <w:top w:val="none" w:sz="0" w:space="0" w:color="auto"/>
        <w:left w:val="none" w:sz="0" w:space="0" w:color="auto"/>
        <w:bottom w:val="none" w:sz="0" w:space="0" w:color="auto"/>
        <w:right w:val="none" w:sz="0" w:space="0" w:color="auto"/>
      </w:divBdr>
    </w:div>
    <w:div w:id="2007197715">
      <w:bodyDiv w:val="1"/>
      <w:marLeft w:val="0"/>
      <w:marRight w:val="0"/>
      <w:marTop w:val="0"/>
      <w:marBottom w:val="0"/>
      <w:divBdr>
        <w:top w:val="none" w:sz="0" w:space="0" w:color="auto"/>
        <w:left w:val="none" w:sz="0" w:space="0" w:color="auto"/>
        <w:bottom w:val="none" w:sz="0" w:space="0" w:color="auto"/>
        <w:right w:val="none" w:sz="0" w:space="0" w:color="auto"/>
      </w:divBdr>
    </w:div>
    <w:div w:id="208085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hyperlink" Target="https://www.comlaw.gov.au/Details/F2012L00731" TargetMode="External"/><Relationship Id="rId21" Type="http://schemas.openxmlformats.org/officeDocument/2006/relationships/footer" Target="footer5.xml"/><Relationship Id="rId34" Type="http://schemas.openxmlformats.org/officeDocument/2006/relationships/hyperlink" Target="http://www.itu.int/md/R00-CA-CIR-0226/en" TargetMode="External"/><Relationship Id="rId42" Type="http://schemas.openxmlformats.org/officeDocument/2006/relationships/hyperlink" Target="https://www.acma.gov.au/theACMA/future-approach-to-the-3_6-ghz-band" TargetMode="External"/><Relationship Id="rId47" Type="http://schemas.openxmlformats.org/officeDocument/2006/relationships/hyperlink" Target="http://archive.acma.gov.au/webwr/_assets/main/lib410135/aust_procedures-coordination_notification_of_satellite_systems.pdf" TargetMode="External"/><Relationship Id="rId50" Type="http://schemas.openxmlformats.org/officeDocument/2006/relationships/header" Target="header9.xml"/><Relationship Id="rId55" Type="http://schemas.openxmlformats.org/officeDocument/2006/relationships/hyperlink" Target="http://www.acma.gov.au/theACMA/Consultations/Consultations" TargetMode="External"/><Relationship Id="rId63" Type="http://schemas.openxmlformats.org/officeDocument/2006/relationships/hyperlink" Target="http://www.acma.gov.au/privacypolicy"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9" Type="http://schemas.openxmlformats.org/officeDocument/2006/relationships/hyperlink" Target="https://www.comlaw.gov.au/Series/F2015L014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yperlink" Target="https://www.comlaw.gov.au/Details/F2013L00827" TargetMode="External"/><Relationship Id="rId37" Type="http://schemas.openxmlformats.org/officeDocument/2006/relationships/hyperlink" Target="https://www.itu.int/md/R15-TG5.1-C-0193/en" TargetMode="External"/><Relationship Id="rId40" Type="http://schemas.openxmlformats.org/officeDocument/2006/relationships/hyperlink" Target="https://www.acma.gov.au/theACMA/future-approach-to-the-3_6-ghz-band" TargetMode="External"/><Relationship Id="rId45" Type="http://schemas.openxmlformats.org/officeDocument/2006/relationships/hyperlink" Target="http://www.acma.gov.au/~/media/Spectrum%20Licensing%20Policy/Information/Word%20Document/The%20ACMAs%20long-term%20strategy%20for%20the%20803960%20MHz%20band_decision%20paper%20docx.docx" TargetMode="External"/><Relationship Id="rId53" Type="http://schemas.openxmlformats.org/officeDocument/2006/relationships/hyperlink" Target="https://www.acma.gov.au/Home/theACMA/reconfiguring-the-890-915-935-960-mhz-band-way-forward" TargetMode="External"/><Relationship Id="rId58" Type="http://schemas.openxmlformats.org/officeDocument/2006/relationships/hyperlink" Target="http://www.acma.gov.au/theACMA/About/Corporate/Responsibilities/acma-evidenceinformed-regulation-and-effective-consultation" TargetMode="External"/><Relationship Id="rId66"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hyperlink" Target="https://www.communications.gov.au/departmental-news/5g-enabling-future-economy" TargetMode="External"/><Relationship Id="rId36" Type="http://schemas.openxmlformats.org/officeDocument/2006/relationships/hyperlink" Target="https://www.itu.int/md/R15-TG5.1-C-0117/en" TargetMode="External"/><Relationship Id="rId49" Type="http://schemas.openxmlformats.org/officeDocument/2006/relationships/header" Target="header8.xml"/><Relationship Id="rId57" Type="http://schemas.openxmlformats.org/officeDocument/2006/relationships/hyperlink" Target="mailto:media@acma.gov.au" TargetMode="External"/><Relationship Id="rId61" Type="http://schemas.openxmlformats.org/officeDocument/2006/relationships/hyperlink" Target="http://www.comlaw.gov.au/Series/C2004A03712"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ec.europa.eu/smart-regulation/roadmaps/docs/2015_cnect_017_uhf_en.pdf" TargetMode="External"/><Relationship Id="rId44" Type="http://schemas.openxmlformats.org/officeDocument/2006/relationships/hyperlink" Target="https://www.acma.gov.au/theACMA/-/media/AF3D0BB2F7BB456EB073DD48F1C0FB00.ashx" TargetMode="External"/><Relationship Id="rId52" Type="http://schemas.openxmlformats.org/officeDocument/2006/relationships/footer" Target="footer10.xml"/><Relationship Id="rId60" Type="http://schemas.openxmlformats.org/officeDocument/2006/relationships/hyperlink" Target="https://www.comlaw.gov.au/Series/C2005A00044" TargetMode="External"/><Relationship Id="rId65"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creativecommons.org/l/by/3.0/88x31.png" TargetMode="External"/><Relationship Id="rId22" Type="http://schemas.openxmlformats.org/officeDocument/2006/relationships/header" Target="header6.xml"/><Relationship Id="rId27" Type="http://schemas.openxmlformats.org/officeDocument/2006/relationships/hyperlink" Target="https://www.acma.gov.au/Industry/Spectrum/Spectrum-projects/Mobile-broadband/mobile-broadband-strategy-and-work-plan" TargetMode="External"/><Relationship Id="rId30" Type="http://schemas.openxmlformats.org/officeDocument/2006/relationships/hyperlink" Target="http://rspg-spectrum.eu/wp-content/uploads/2014/03/RSPG14-555final_Request-for-Opinion-UHF-band.pdf" TargetMode="External"/><Relationship Id="rId35" Type="http://schemas.openxmlformats.org/officeDocument/2006/relationships/hyperlink" Target="https://www.itu.int/md/R15-TG5.1-C-0076/en" TargetMode="External"/><Relationship Id="rId43" Type="http://schemas.openxmlformats.org/officeDocument/2006/relationships/hyperlink" Target="https://www.acma.gov.au/theACMA/spectrum-for-broadband-in-mmwave-bands" TargetMode="External"/><Relationship Id="rId48" Type="http://schemas.openxmlformats.org/officeDocument/2006/relationships/hyperlink" Target="http://www.acma.gov.au/Industry/Spectrum/Spectrum-planning/About-spectrum-planning/radiofrequency-planning-framework-spectrum-planning-acma" TargetMode="External"/><Relationship Id="rId56" Type="http://schemas.openxmlformats.org/officeDocument/2006/relationships/hyperlink" Target="mailto:spectrumworkprogram@acma.gov.au" TargetMode="External"/><Relationship Id="rId64" Type="http://schemas.openxmlformats.org/officeDocument/2006/relationships/header" Target="header10.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info@acma.gov.au" TargetMode="External"/><Relationship Id="rId25" Type="http://schemas.openxmlformats.org/officeDocument/2006/relationships/footer" Target="footer7.xml"/><Relationship Id="rId33" Type="http://schemas.openxmlformats.org/officeDocument/2006/relationships/hyperlink" Target="http://rspg-spectrum.eu/2016/06/public-consultation-on-5g-launched/" TargetMode="External"/><Relationship Id="rId38" Type="http://schemas.openxmlformats.org/officeDocument/2006/relationships/hyperlink" Target="https://www.itu.int/md/R15-TG5.1-C-0290/en" TargetMode="External"/><Relationship Id="rId46" Type="http://schemas.openxmlformats.org/officeDocument/2006/relationships/hyperlink" Target="https://www.acma.gov.au/theACMA/future-approach-to-the-3_6-ghz-band" TargetMode="External"/><Relationship Id="rId59" Type="http://schemas.openxmlformats.org/officeDocument/2006/relationships/hyperlink" Target="https://www.comlaw.gov.au/Series/C2004A02562" TargetMode="External"/><Relationship Id="rId67" Type="http://schemas.openxmlformats.org/officeDocument/2006/relationships/footer" Target="footer12.xml"/><Relationship Id="rId20" Type="http://schemas.openxmlformats.org/officeDocument/2006/relationships/footer" Target="footer4.xml"/><Relationship Id="rId41" Type="http://schemas.openxmlformats.org/officeDocument/2006/relationships/hyperlink" Target="https://www.acma.gov.au/theACMA/future-use-of-the-1_5-ghz-and-3_6-ghz-bands-2" TargetMode="External"/><Relationship Id="rId54" Type="http://schemas.openxmlformats.org/officeDocument/2006/relationships/hyperlink" Target="https://www.communications.gov.au/have-your-say/consultation-new-spectrum-legislation" TargetMode="External"/><Relationship Id="rId62" Type="http://schemas.openxmlformats.org/officeDocument/2006/relationships/hyperlink" Target="http://www.oaic.gov.au/privacy/privacy-resources/privacy-fact-sheets/other/privacy-fact-sheet-17-australian-privacy-principl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google.com.au/url?sa=t&amp;rct=j&amp;q=&amp;esrc=s&amp;source=web&amp;cd=10&amp;cad=rja&amp;uact=8&amp;ved=0ahUKEwi_yvCXi5zWAhWBQZQKHVGWCJ0QFghWMAk&amp;url=http%3A%2F%2Fwww2.caict.ac.cn%2Fzscp%2Fqqzkgz%2Fljyd%2F201611%2FP020161125552600506791.pdf&amp;usg=AFQjCNFC3W5_9fbfKj1nvBVkFqyGn2Qdpg" TargetMode="External"/><Relationship Id="rId13" Type="http://schemas.openxmlformats.org/officeDocument/2006/relationships/hyperlink" Target="https://www.google.com.au/url?sa=t&amp;rct=j&amp;q=&amp;esrc=s&amp;source=web&amp;cd=3&amp;cad=rja&amp;uact=8&amp;ved=0ahUKEwi6jp_qlJDaAhUGVrwKHYWmAUoQFggzMAI&amp;url=https%3A%2F%2Fwww.qualcomm.com%2Fmedia%2Fdocuments%2Ffiles%2Fspectrum-for-4g-and-5g.pdf&amp;usg=AOvVaw0FCBPB1Lj_Vaq2RucFO8x3" TargetMode="External"/><Relationship Id="rId18" Type="http://schemas.openxmlformats.org/officeDocument/2006/relationships/hyperlink" Target="http://www.acma.gov.au/theACMA/25-ghz-band-review" TargetMode="External"/><Relationship Id="rId26" Type="http://schemas.openxmlformats.org/officeDocument/2006/relationships/hyperlink" Target="https://www.legislation.gov.au/Details/F2018L00222" TargetMode="External"/><Relationship Id="rId3" Type="http://schemas.openxmlformats.org/officeDocument/2006/relationships/hyperlink" Target="https://www.communications.gov.au/departmental-news/impacts-5g-productivity-and-economic-growth" TargetMode="External"/><Relationship Id="rId21" Type="http://schemas.openxmlformats.org/officeDocument/2006/relationships/hyperlink" Target="https://www.legislation.gov.au/Details/F2018L00225" TargetMode="External"/><Relationship Id="rId7" Type="http://schemas.openxmlformats.org/officeDocument/2006/relationships/hyperlink" Target="http://www.wimax-industry.com/ar/7c.htm" TargetMode="External"/><Relationship Id="rId12" Type="http://schemas.openxmlformats.org/officeDocument/2006/relationships/hyperlink" Target="https://www.ericsson.com/en/news/2017/8/ericsson-and-softbank-trial-5g-in-4.5ghz-band" TargetMode="External"/><Relationship Id="rId17" Type="http://schemas.openxmlformats.org/officeDocument/2006/relationships/hyperlink" Target="https://www.itu.int/md/dologin_md.asp?lang=en&amp;id=R15-WRC15-C-0102!A21-A1!MSW-E" TargetMode="External"/><Relationship Id="rId25" Type="http://schemas.openxmlformats.org/officeDocument/2006/relationships/hyperlink" Target="https://www.legislation.gov.au/Details/F2018L00221" TargetMode="External"/><Relationship Id="rId33" Type="http://schemas.openxmlformats.org/officeDocument/2006/relationships/hyperlink" Target="https://www.cept.org/files/9522/Draft%20ECC%20Decision%20(18)FF%20PF.docx" TargetMode="External"/><Relationship Id="rId2" Type="http://schemas.openxmlformats.org/officeDocument/2006/relationships/hyperlink" Target="http://www.3gpp.org/news-events/3gpp-news/1836-5g_nr_workplan" TargetMode="External"/><Relationship Id="rId16" Type="http://schemas.openxmlformats.org/officeDocument/2006/relationships/hyperlink" Target="https://apps.fcc.gov/edocs_public/Query.do?numberFld=&amp;numberFld2=&amp;docket=14-177&amp;dateFld=&amp;docTitleDesc=" TargetMode="External"/><Relationship Id="rId20" Type="http://schemas.openxmlformats.org/officeDocument/2006/relationships/hyperlink" Target="https://www.itu.int/rec/R-REC-M.1036/en" TargetMode="External"/><Relationship Id="rId29" Type="http://schemas.openxmlformats.org/officeDocument/2006/relationships/hyperlink" Target="https://www.minister.defence.gov.au/minister/marise-payne/media-releases/minister-defence-industry-minister-defence-boon-australian" TargetMode="External"/><Relationship Id="rId1" Type="http://schemas.openxmlformats.org/officeDocument/2006/relationships/hyperlink" Target="https://www.itu.int/pub/R-REP-M.2410-2017" TargetMode="External"/><Relationship Id="rId6" Type="http://schemas.openxmlformats.org/officeDocument/2006/relationships/hyperlink" Target="https://www.fcc.gov/about-fcc/fcc-initiatives/incentive-auctions" TargetMode="External"/><Relationship Id="rId11" Type="http://schemas.openxmlformats.org/officeDocument/2006/relationships/hyperlink" Target="https://www.vodafone.com.au/media/vodafone-nokia-conduct-australias-first-live-public-5g-trial" TargetMode="External"/><Relationship Id="rId24" Type="http://schemas.openxmlformats.org/officeDocument/2006/relationships/hyperlink" Target="https://www.legislation.gov.au/Details/F2018L00225" TargetMode="External"/><Relationship Id="rId32" Type="http://schemas.openxmlformats.org/officeDocument/2006/relationships/hyperlink" Target="https://www.legislation.gov.au/Details/F2018L00222" TargetMode="External"/><Relationship Id="rId5" Type="http://schemas.openxmlformats.org/officeDocument/2006/relationships/hyperlink" Target="http://www.malcolmturnbull.com.au/media/radcomms-2014-spectrum-in-the-age-of-digital-innovation" TargetMode="External"/><Relationship Id="rId15" Type="http://schemas.openxmlformats.org/officeDocument/2006/relationships/hyperlink" Target="https://apps.fcc.gov/edocs_public/Query.do?numberFld=&amp;numberFld2=&amp;docket=14-177&amp;dateFld=&amp;docTitleDesc=" TargetMode="External"/><Relationship Id="rId23" Type="http://schemas.openxmlformats.org/officeDocument/2006/relationships/hyperlink" Target="https://www.legislation.gov.au/Details/F2018L00222" TargetMode="External"/><Relationship Id="rId28" Type="http://schemas.openxmlformats.org/officeDocument/2006/relationships/hyperlink" Target="https://www.acma.gov.au/Industry/Spectrum/Spectrum-planning/Current-APs-info-and-resources/business-operating-procedures-spectrum-planning-acma" TargetMode="External"/><Relationship Id="rId10" Type="http://schemas.openxmlformats.org/officeDocument/2006/relationships/hyperlink" Target="http://www.google.com.au/url?sa=t&amp;rct=j&amp;q=&amp;esrc=s&amp;source=web&amp;cd=10&amp;cad=rja&amp;uact=8&amp;ved=0ahUKEwi_yvCXi5zWAhWBQZQKHVGWCJ0QFghWMAk&amp;url=http%3A%2F%2Fwww2.caict.ac.cn%2Fzscp%2Fqqzkgz%2Fljyd%2F201611%2FP020161125552600506791.pdf&amp;usg=AFQjCNFC3W5_9fbfKj1nvBVkFqyGn2Qdpg" TargetMode="External"/><Relationship Id="rId19" Type="http://schemas.openxmlformats.org/officeDocument/2006/relationships/hyperlink" Target="http://www.acma.gov.au/~/media/Spectrum%20Engineering/Regulation/pdf/Embargo%20No%2023.pdf" TargetMode="External"/><Relationship Id="rId31" Type="http://schemas.openxmlformats.org/officeDocument/2006/relationships/hyperlink" Target="https://www.legislation.gov.au/Details/F2018L00221" TargetMode="External"/><Relationship Id="rId4" Type="http://schemas.openxmlformats.org/officeDocument/2006/relationships/hyperlink" Target="http://www.minister.communications.gov.au/mitch_fifield/news/turnbull_government_to_convene_5g_working_group" TargetMode="External"/><Relationship Id="rId9" Type="http://schemas.openxmlformats.org/officeDocument/2006/relationships/hyperlink" Target="https://cept.org/Documents/ecc-pt1/34326/ecc-pt1-17-055_5g-mandate" TargetMode="External"/><Relationship Id="rId14" Type="http://schemas.openxmlformats.org/officeDocument/2006/relationships/hyperlink" Target="https://www.google.com.au/url?sa=t&amp;rct=j&amp;q=&amp;esrc=s&amp;source=web&amp;cd=3&amp;cad=rja&amp;uact=8&amp;ved=0ahUKEwi6jp_qlJDaAhUGVrwKHYWmAUoQFggzMAI&amp;url=https%3A%2F%2Fwww.qualcomm.com%2Fmedia%2Fdocuments%2Ffiles%2Fspectrum-for-4g-and-5g.pdf&amp;usg=AOvVaw0FCBPB1Lj_Vaq2RucFO8x3" TargetMode="External"/><Relationship Id="rId22" Type="http://schemas.openxmlformats.org/officeDocument/2006/relationships/hyperlink" Target="https://www.legislation.gov.au/Details/F2018L00221" TargetMode="External"/><Relationship Id="rId27" Type="http://schemas.openxmlformats.org/officeDocument/2006/relationships/hyperlink" Target="https://www.legislation.gov.au/Series/F2014L01584" TargetMode="External"/><Relationship Id="rId30" Type="http://schemas.openxmlformats.org/officeDocument/2006/relationships/hyperlink" Target="https://www.legislation.gov.au/Details/F2018L002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BE96-29AA-478B-B35D-FFC90F78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27257</Words>
  <Characters>155371</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182264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2018-05-17T02:56:00Z</dcterms:created>
  <dcterms:modified xsi:type="dcterms:W3CDTF">2018-05-18T05:16:00Z</dcterms:modified>
  <cp:category/>
</cp:coreProperties>
</file>