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92A" w:rsidRDefault="00B56DAA">
      <w:pPr>
        <w:pStyle w:val="BodyText"/>
        <w:spacing w:line="240" w:lineRule="auto"/>
        <w:ind w:left="105"/>
        <w:rPr>
          <w:sz w:val="20"/>
        </w:rPr>
      </w:pPr>
      <w:r>
        <w:rPr>
          <w:noProof/>
          <w:sz w:val="20"/>
        </w:rPr>
        <w:drawing>
          <wp:inline distT="0" distB="0" distL="0" distR="0">
            <wp:extent cx="496468" cy="2428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96468" cy="242887"/>
                    </a:xfrm>
                    <a:prstGeom prst="rect">
                      <a:avLst/>
                    </a:prstGeom>
                  </pic:spPr>
                </pic:pic>
              </a:graphicData>
            </a:graphic>
          </wp:inline>
        </w:drawing>
      </w:r>
    </w:p>
    <w:p w:rsidR="0031592A" w:rsidRDefault="0031592A">
      <w:pPr>
        <w:rPr>
          <w:sz w:val="20"/>
        </w:rPr>
        <w:sectPr w:rsidR="0031592A">
          <w:type w:val="continuous"/>
          <w:pgSz w:w="12240" w:h="15840"/>
          <w:pgMar w:top="260" w:right="760" w:bottom="280" w:left="740" w:header="720" w:footer="720" w:gutter="0"/>
          <w:cols w:space="720"/>
        </w:sectPr>
      </w:pPr>
    </w:p>
    <w:p w:rsidR="0031592A" w:rsidRDefault="00B56DAA">
      <w:pPr>
        <w:spacing w:before="9"/>
        <w:ind w:left="2022"/>
        <w:rPr>
          <w:sz w:val="20"/>
        </w:rPr>
      </w:pPr>
      <w:r>
        <w:rPr>
          <w:rFonts w:ascii="Book Antiqua"/>
          <w:b/>
          <w:w w:val="110"/>
          <w:sz w:val="20"/>
        </w:rPr>
        <w:t xml:space="preserve">Federal Register </w:t>
      </w:r>
      <w:r>
        <w:rPr>
          <w:w w:val="110"/>
          <w:sz w:val="20"/>
        </w:rPr>
        <w:t>/ Vol. 83, No. 104 / Wednesday, May 30, 2018 / Notices</w:t>
      </w:r>
    </w:p>
    <w:p w:rsidR="0031592A" w:rsidRDefault="00B56DAA">
      <w:pPr>
        <w:pStyle w:val="Heading1"/>
        <w:spacing w:line="255" w:lineRule="exact"/>
      </w:pPr>
      <w:r>
        <w:rPr>
          <w:b w:val="0"/>
        </w:rPr>
        <w:br w:type="column"/>
      </w:r>
      <w:r>
        <w:rPr>
          <w:w w:val="110"/>
        </w:rPr>
        <w:t>24747</w:t>
      </w:r>
    </w:p>
    <w:p w:rsidR="0031592A" w:rsidRDefault="0031592A">
      <w:pPr>
        <w:spacing w:line="255" w:lineRule="exact"/>
        <w:sectPr w:rsidR="0031592A">
          <w:type w:val="continuous"/>
          <w:pgSz w:w="12240" w:h="15840"/>
          <w:pgMar w:top="260" w:right="760" w:bottom="280" w:left="740" w:header="720" w:footer="720" w:gutter="0"/>
          <w:cols w:num="2" w:space="720" w:equalWidth="0">
            <w:col w:w="8735" w:space="1148"/>
            <w:col w:w="857"/>
          </w:cols>
        </w:sectPr>
      </w:pPr>
    </w:p>
    <w:p w:rsidR="0031592A" w:rsidRDefault="0031592A">
      <w:pPr>
        <w:pStyle w:val="BodyText"/>
        <w:spacing w:before="3" w:line="240" w:lineRule="auto"/>
        <w:ind w:left="0"/>
        <w:rPr>
          <w:rFonts w:ascii="Book Antiqua"/>
          <w:b/>
          <w:sz w:val="3"/>
        </w:rPr>
      </w:pPr>
    </w:p>
    <w:p w:rsidR="0031592A" w:rsidRDefault="00B56DAA">
      <w:pPr>
        <w:pStyle w:val="BodyText"/>
        <w:spacing w:line="105" w:lineRule="exact"/>
        <w:ind w:left="138"/>
        <w:rPr>
          <w:rFonts w:ascii="Book Antiqua"/>
          <w:sz w:val="10"/>
        </w:rPr>
      </w:pPr>
      <w:r>
        <w:rPr>
          <w:rFonts w:ascii="Book Antiqua"/>
          <w:position w:val="-1"/>
          <w:sz w:val="10"/>
        </w:rPr>
      </w:r>
      <w:r>
        <w:rPr>
          <w:rFonts w:ascii="Book Antiqua"/>
          <w:position w:val="-1"/>
          <w:sz w:val="10"/>
        </w:rPr>
        <w:pict>
          <v:group id="_x0000_s1037" style="width:524.2pt;height:5.25pt;mso-position-horizontal-relative:char;mso-position-vertical-relative:line" coordsize="10484,105">
            <v:line id="_x0000_s1039" style="position:absolute" from="22,22" to="10462,22" strokeweight="2.2pt"/>
            <v:line id="_x0000_s1038" style="position:absolute" from="22,102" to="10462,102" strokeweight=".3pt"/>
            <w10:anchorlock/>
          </v:group>
        </w:pict>
      </w:r>
    </w:p>
    <w:p w:rsidR="0031592A" w:rsidRDefault="0031592A">
      <w:pPr>
        <w:pStyle w:val="BodyText"/>
        <w:spacing w:before="9" w:line="240" w:lineRule="auto"/>
        <w:ind w:left="0"/>
        <w:rPr>
          <w:rFonts w:ascii="Book Antiqua"/>
          <w:b/>
          <w:sz w:val="5"/>
        </w:rPr>
      </w:pPr>
    </w:p>
    <w:p w:rsidR="0031592A" w:rsidRDefault="0031592A">
      <w:pPr>
        <w:rPr>
          <w:rFonts w:ascii="Book Antiqua"/>
          <w:sz w:val="5"/>
        </w:rPr>
        <w:sectPr w:rsidR="0031592A">
          <w:type w:val="continuous"/>
          <w:pgSz w:w="12240" w:h="15840"/>
          <w:pgMar w:top="260" w:right="760" w:bottom="280" w:left="740" w:header="720" w:footer="720" w:gutter="0"/>
          <w:cols w:space="720"/>
        </w:sectPr>
      </w:pPr>
    </w:p>
    <w:p w:rsidR="0031592A" w:rsidRDefault="00B56DAA">
      <w:pPr>
        <w:pStyle w:val="Heading2"/>
        <w:spacing w:before="59"/>
        <w:ind w:left="160"/>
        <w:rPr>
          <w:rFonts w:ascii="Book Antiqua"/>
        </w:rPr>
      </w:pPr>
      <w:r>
        <w:rPr>
          <w:rFonts w:ascii="Book Antiqua"/>
        </w:rPr>
        <w:t>Suspension of Liquidation</w:t>
      </w:r>
    </w:p>
    <w:p w:rsidR="0031592A" w:rsidRDefault="00B56DAA">
      <w:pPr>
        <w:pStyle w:val="BodyText"/>
        <w:spacing w:before="58"/>
        <w:ind w:left="160" w:right="56" w:firstLine="180"/>
      </w:pPr>
      <w:r>
        <w:rPr>
          <w:w w:val="110"/>
        </w:rPr>
        <w:t xml:space="preserve">In accordance with section 735(c)(1)(B) of the Act, Commerce will instruct U.S. Customs and Border Protection (CBP) to continue to suspend liquidation of all appropriate entries of </w:t>
      </w:r>
      <w:r>
        <w:rPr>
          <w:w w:val="110"/>
        </w:rPr>
        <w:t xml:space="preserve">fine denier PSF from Taiwan as described in Appendix I of this notice, which were entered, or withdrawn from warehouse, for consumption on or after January 5, 2018, the date of publication of the </w:t>
      </w:r>
      <w:r>
        <w:rPr>
          <w:rFonts w:ascii="Book Antiqua"/>
          <w:i/>
          <w:w w:val="110"/>
        </w:rPr>
        <w:t xml:space="preserve">Preliminary Determination </w:t>
      </w:r>
      <w:r>
        <w:rPr>
          <w:w w:val="110"/>
        </w:rPr>
        <w:t xml:space="preserve">of this investigation in the </w:t>
      </w:r>
      <w:r>
        <w:rPr>
          <w:rFonts w:ascii="Book Antiqua"/>
          <w:b/>
          <w:w w:val="110"/>
        </w:rPr>
        <w:t>Feder</w:t>
      </w:r>
      <w:r>
        <w:rPr>
          <w:rFonts w:ascii="Book Antiqua"/>
          <w:b/>
          <w:w w:val="110"/>
        </w:rPr>
        <w:t>al</w:t>
      </w:r>
      <w:r>
        <w:rPr>
          <w:rFonts w:ascii="Book Antiqua"/>
          <w:b/>
          <w:spacing w:val="-21"/>
          <w:w w:val="110"/>
        </w:rPr>
        <w:t xml:space="preserve"> </w:t>
      </w:r>
      <w:r>
        <w:rPr>
          <w:rFonts w:ascii="Book Antiqua"/>
          <w:b/>
          <w:w w:val="110"/>
        </w:rPr>
        <w:t>Register</w:t>
      </w:r>
      <w:r>
        <w:rPr>
          <w:w w:val="110"/>
        </w:rPr>
        <w:t>.</w:t>
      </w:r>
    </w:p>
    <w:p w:rsidR="0031592A" w:rsidRDefault="00B56DAA">
      <w:pPr>
        <w:pStyle w:val="BodyText"/>
        <w:ind w:left="160" w:right="19"/>
      </w:pPr>
      <w:r>
        <w:rPr>
          <w:w w:val="115"/>
        </w:rPr>
        <w:t>Further,</w:t>
      </w:r>
      <w:r>
        <w:rPr>
          <w:spacing w:val="-15"/>
          <w:w w:val="115"/>
        </w:rPr>
        <w:t xml:space="preserve"> </w:t>
      </w:r>
      <w:r>
        <w:rPr>
          <w:w w:val="115"/>
        </w:rPr>
        <w:t>pursuant</w:t>
      </w:r>
      <w:r>
        <w:rPr>
          <w:spacing w:val="-15"/>
          <w:w w:val="115"/>
        </w:rPr>
        <w:t xml:space="preserve"> </w:t>
      </w:r>
      <w:r>
        <w:rPr>
          <w:w w:val="115"/>
        </w:rPr>
        <w:t>to</w:t>
      </w:r>
      <w:r>
        <w:rPr>
          <w:spacing w:val="-15"/>
          <w:w w:val="115"/>
        </w:rPr>
        <w:t xml:space="preserve"> </w:t>
      </w:r>
      <w:r>
        <w:rPr>
          <w:w w:val="115"/>
        </w:rPr>
        <w:t>section</w:t>
      </w:r>
      <w:r>
        <w:rPr>
          <w:spacing w:val="-15"/>
          <w:w w:val="115"/>
        </w:rPr>
        <w:t xml:space="preserve"> </w:t>
      </w:r>
      <w:r>
        <w:rPr>
          <w:w w:val="115"/>
        </w:rPr>
        <w:t>735(c)(1)(B)</w:t>
      </w:r>
      <w:r>
        <w:rPr>
          <w:w w:val="105"/>
        </w:rPr>
        <w:t xml:space="preserve"> </w:t>
      </w:r>
      <w:r>
        <w:rPr>
          <w:w w:val="115"/>
        </w:rPr>
        <w:t>of the Act and 19 CFR 351.210(d), Commerce will instruct CBP to require a cash deposit equal to the estimated weighted-average dumping margin or the estimated all-others rate, as</w:t>
      </w:r>
      <w:r>
        <w:rPr>
          <w:spacing w:val="-26"/>
          <w:w w:val="115"/>
        </w:rPr>
        <w:t xml:space="preserve"> </w:t>
      </w:r>
      <w:r>
        <w:rPr>
          <w:w w:val="115"/>
        </w:rPr>
        <w:t>follows:</w:t>
      </w:r>
    </w:p>
    <w:p w:rsidR="0031592A" w:rsidRDefault="00B56DAA">
      <w:pPr>
        <w:pStyle w:val="ListParagraph"/>
        <w:numPr>
          <w:ilvl w:val="0"/>
          <w:numId w:val="3"/>
        </w:numPr>
        <w:tabs>
          <w:tab w:val="left" w:pos="430"/>
        </w:tabs>
        <w:spacing w:line="200" w:lineRule="exact"/>
        <w:ind w:right="118" w:firstLine="0"/>
        <w:rPr>
          <w:sz w:val="18"/>
        </w:rPr>
      </w:pPr>
      <w:r>
        <w:rPr>
          <w:w w:val="115"/>
          <w:sz w:val="18"/>
        </w:rPr>
        <w:t>The cash deposit rate for the respondents listed above will be equal to the respondent-specific estimated weighted-average dumping margins determined in this final</w:t>
      </w:r>
      <w:r>
        <w:rPr>
          <w:spacing w:val="40"/>
          <w:w w:val="115"/>
          <w:sz w:val="18"/>
        </w:rPr>
        <w:t xml:space="preserve"> </w:t>
      </w:r>
      <w:r>
        <w:rPr>
          <w:w w:val="115"/>
          <w:sz w:val="18"/>
        </w:rPr>
        <w:t>determination;</w:t>
      </w:r>
    </w:p>
    <w:p w:rsidR="0031592A" w:rsidRDefault="00B56DAA">
      <w:pPr>
        <w:pStyle w:val="ListParagraph"/>
        <w:numPr>
          <w:ilvl w:val="0"/>
          <w:numId w:val="3"/>
        </w:numPr>
        <w:tabs>
          <w:tab w:val="left" w:pos="430"/>
        </w:tabs>
        <w:spacing w:line="200" w:lineRule="exact"/>
        <w:ind w:right="49" w:firstLine="0"/>
        <w:rPr>
          <w:sz w:val="18"/>
        </w:rPr>
      </w:pPr>
      <w:r>
        <w:rPr>
          <w:w w:val="115"/>
          <w:sz w:val="18"/>
        </w:rPr>
        <w:t>if the exporter is not a respondent identified above, but the producer is, th</w:t>
      </w:r>
      <w:r>
        <w:rPr>
          <w:w w:val="115"/>
          <w:sz w:val="18"/>
        </w:rPr>
        <w:t>en the cash deposit rate will be equal to the respondent-specific estimated weighted-average dumping margin established for that producer of the subject merchandise, except as explained below; and (3) the cash deposit rate for all other producers and/ or e</w:t>
      </w:r>
      <w:r>
        <w:rPr>
          <w:w w:val="115"/>
          <w:sz w:val="18"/>
        </w:rPr>
        <w:t>xporters will be equal to the all- others estimated weighted-average dumping</w:t>
      </w:r>
      <w:r>
        <w:rPr>
          <w:spacing w:val="3"/>
          <w:w w:val="115"/>
          <w:sz w:val="18"/>
        </w:rPr>
        <w:t xml:space="preserve"> </w:t>
      </w:r>
      <w:r>
        <w:rPr>
          <w:w w:val="115"/>
          <w:sz w:val="18"/>
        </w:rPr>
        <w:t>margin.</w:t>
      </w:r>
    </w:p>
    <w:p w:rsidR="0031592A" w:rsidRDefault="00B56DAA">
      <w:pPr>
        <w:pStyle w:val="BodyText"/>
        <w:spacing w:line="181" w:lineRule="exact"/>
        <w:ind w:left="160" w:firstLine="180"/>
      </w:pPr>
      <w:r>
        <w:rPr>
          <w:w w:val="115"/>
        </w:rPr>
        <w:t>Because the estimated weighted-</w:t>
      </w:r>
    </w:p>
    <w:p w:rsidR="0031592A" w:rsidRDefault="00B56DAA">
      <w:pPr>
        <w:pStyle w:val="BodyText"/>
        <w:spacing w:before="4"/>
        <w:ind w:left="160" w:right="8"/>
      </w:pPr>
      <w:r>
        <w:rPr>
          <w:w w:val="115"/>
        </w:rPr>
        <w:t xml:space="preserve">average dumping margin for TSCL is zero, entries of shipments of subject merchandise both produced and exported by TSCL will not be subject to suspension of liquidation or cash deposit requirements. In </w:t>
      </w:r>
      <w:proofErr w:type="gramStart"/>
      <w:r>
        <w:rPr>
          <w:w w:val="115"/>
        </w:rPr>
        <w:t>such  situations</w:t>
      </w:r>
      <w:proofErr w:type="gramEnd"/>
      <w:r>
        <w:rPr>
          <w:w w:val="115"/>
        </w:rPr>
        <w:t>, Commerce applies the exclusion to th</w:t>
      </w:r>
      <w:r>
        <w:rPr>
          <w:w w:val="115"/>
        </w:rPr>
        <w:t>e provisional measures to the producer/exporter combination that was examined in the</w:t>
      </w:r>
      <w:r>
        <w:rPr>
          <w:spacing w:val="6"/>
          <w:w w:val="115"/>
        </w:rPr>
        <w:t xml:space="preserve"> </w:t>
      </w:r>
      <w:r>
        <w:rPr>
          <w:w w:val="115"/>
        </w:rPr>
        <w:t>investigation.</w:t>
      </w:r>
    </w:p>
    <w:p w:rsidR="0031592A" w:rsidRDefault="00B56DAA">
      <w:pPr>
        <w:pStyle w:val="BodyText"/>
        <w:ind w:left="160" w:right="-7"/>
      </w:pPr>
      <w:r>
        <w:rPr>
          <w:w w:val="115"/>
        </w:rPr>
        <w:t>Accordingly, Commerce is directing CBP to not suspend liquidation of entries of subject merchandise produced</w:t>
      </w:r>
      <w:r>
        <w:rPr>
          <w:w w:val="117"/>
        </w:rPr>
        <w:t xml:space="preserve"> </w:t>
      </w:r>
      <w:r>
        <w:rPr>
          <w:w w:val="115"/>
        </w:rPr>
        <w:t>and exported by TSCL. Entries of shipments of s</w:t>
      </w:r>
      <w:r>
        <w:rPr>
          <w:w w:val="115"/>
        </w:rPr>
        <w:t>ubject merchandise from TSCL in any other producer/exporter</w:t>
      </w:r>
    </w:p>
    <w:p w:rsidR="0031592A" w:rsidRDefault="00B56DAA">
      <w:pPr>
        <w:pStyle w:val="BodyText"/>
        <w:spacing w:before="66"/>
        <w:ind w:left="153" w:right="84"/>
      </w:pPr>
      <w:r>
        <w:br w:type="column"/>
      </w:r>
      <w:r>
        <w:rPr>
          <w:w w:val="115"/>
        </w:rPr>
        <w:t>States by TSCL in any other producer/ exporter combinations or by third parties that sourced subject merchandise from the excluded producer/exporter combination.</w:t>
      </w:r>
    </w:p>
    <w:p w:rsidR="0031592A" w:rsidRDefault="00B56DAA">
      <w:pPr>
        <w:pStyle w:val="BodyText"/>
        <w:spacing w:before="19"/>
        <w:ind w:left="153" w:right="84" w:firstLine="180"/>
      </w:pPr>
      <w:r>
        <w:rPr>
          <w:w w:val="115"/>
        </w:rPr>
        <w:t>These suspension of liquidation i</w:t>
      </w:r>
      <w:r>
        <w:rPr>
          <w:w w:val="115"/>
        </w:rPr>
        <w:t>nstructions will remain in effect until further notice.</w:t>
      </w:r>
    </w:p>
    <w:p w:rsidR="0031592A" w:rsidRDefault="00B56DAA">
      <w:pPr>
        <w:pStyle w:val="Heading2"/>
        <w:spacing w:before="90"/>
        <w:ind w:left="153"/>
        <w:rPr>
          <w:rFonts w:ascii="Book Antiqua"/>
        </w:rPr>
      </w:pPr>
      <w:r>
        <w:rPr>
          <w:rFonts w:ascii="Book Antiqua"/>
        </w:rPr>
        <w:t>Disclosure</w:t>
      </w:r>
    </w:p>
    <w:p w:rsidR="0031592A" w:rsidRDefault="00B56DAA">
      <w:pPr>
        <w:pStyle w:val="BodyText"/>
        <w:spacing w:before="91"/>
        <w:ind w:left="153" w:right="32" w:firstLine="180"/>
      </w:pPr>
      <w:r>
        <w:rPr>
          <w:w w:val="115"/>
        </w:rPr>
        <w:t xml:space="preserve">Commerce intends to disclose to interested parties its calculations and analysis performed in this final determination within five days of any public announcement or, if there is no public </w:t>
      </w:r>
      <w:r>
        <w:rPr>
          <w:w w:val="115"/>
        </w:rPr>
        <w:t>announcement, within five days of the date of publication of this notice in accordance with 19 CFR 351.224(b).</w:t>
      </w:r>
    </w:p>
    <w:p w:rsidR="0031592A" w:rsidRDefault="00B56DAA">
      <w:pPr>
        <w:pStyle w:val="Heading2"/>
        <w:spacing w:before="99" w:line="200" w:lineRule="exact"/>
        <w:ind w:left="153" w:right="84"/>
        <w:rPr>
          <w:rFonts w:ascii="Book Antiqua"/>
        </w:rPr>
      </w:pPr>
      <w:r>
        <w:rPr>
          <w:rFonts w:ascii="Book Antiqua"/>
        </w:rPr>
        <w:t>International Trade Commission Notification</w:t>
      </w:r>
    </w:p>
    <w:p w:rsidR="0031592A" w:rsidRDefault="00B56DAA">
      <w:pPr>
        <w:pStyle w:val="BodyText"/>
        <w:spacing w:before="99"/>
        <w:ind w:left="153" w:right="-16" w:firstLine="180"/>
      </w:pPr>
      <w:r>
        <w:rPr>
          <w:w w:val="115"/>
        </w:rPr>
        <w:t>In accordance with section 735(d) of the Act, Commerce will notify the International</w:t>
      </w:r>
      <w:r>
        <w:rPr>
          <w:spacing w:val="-21"/>
          <w:w w:val="115"/>
        </w:rPr>
        <w:t xml:space="preserve"> </w:t>
      </w:r>
      <w:r>
        <w:rPr>
          <w:w w:val="115"/>
        </w:rPr>
        <w:t>Trade</w:t>
      </w:r>
      <w:r>
        <w:rPr>
          <w:spacing w:val="-21"/>
          <w:w w:val="115"/>
        </w:rPr>
        <w:t xml:space="preserve"> </w:t>
      </w:r>
      <w:r>
        <w:rPr>
          <w:w w:val="115"/>
        </w:rPr>
        <w:t>Commission</w:t>
      </w:r>
      <w:r>
        <w:rPr>
          <w:spacing w:val="-21"/>
          <w:w w:val="115"/>
        </w:rPr>
        <w:t xml:space="preserve"> </w:t>
      </w:r>
      <w:r>
        <w:rPr>
          <w:w w:val="115"/>
        </w:rPr>
        <w:t>(ITC)</w:t>
      </w:r>
      <w:r>
        <w:rPr>
          <w:spacing w:val="-21"/>
          <w:w w:val="115"/>
        </w:rPr>
        <w:t xml:space="preserve"> </w:t>
      </w:r>
      <w:r>
        <w:rPr>
          <w:w w:val="115"/>
        </w:rPr>
        <w:t>of</w:t>
      </w:r>
      <w:r>
        <w:rPr>
          <w:w w:val="106"/>
        </w:rPr>
        <w:t xml:space="preserve"> </w:t>
      </w:r>
      <w:r>
        <w:rPr>
          <w:w w:val="115"/>
        </w:rPr>
        <w:t>its final affirmative</w:t>
      </w:r>
      <w:r>
        <w:rPr>
          <w:spacing w:val="-5"/>
          <w:w w:val="115"/>
        </w:rPr>
        <w:t xml:space="preserve"> </w:t>
      </w:r>
      <w:r>
        <w:rPr>
          <w:w w:val="115"/>
        </w:rPr>
        <w:t>determination.</w:t>
      </w:r>
    </w:p>
    <w:p w:rsidR="0031592A" w:rsidRDefault="00B56DAA">
      <w:pPr>
        <w:pStyle w:val="BodyText"/>
        <w:ind w:left="153" w:right="32"/>
      </w:pPr>
      <w:r>
        <w:rPr>
          <w:w w:val="115"/>
        </w:rPr>
        <w:t>Because the final determination in this proceeding is affirmative, in</w:t>
      </w:r>
      <w:r>
        <w:rPr>
          <w:spacing w:val="-22"/>
          <w:w w:val="115"/>
        </w:rPr>
        <w:t xml:space="preserve"> </w:t>
      </w:r>
      <w:r>
        <w:rPr>
          <w:w w:val="115"/>
        </w:rPr>
        <w:t>accordance with</w:t>
      </w:r>
      <w:r>
        <w:rPr>
          <w:spacing w:val="-15"/>
          <w:w w:val="115"/>
        </w:rPr>
        <w:t xml:space="preserve"> </w:t>
      </w:r>
      <w:r>
        <w:rPr>
          <w:w w:val="115"/>
        </w:rPr>
        <w:t>section</w:t>
      </w:r>
      <w:r>
        <w:rPr>
          <w:spacing w:val="-15"/>
          <w:w w:val="115"/>
        </w:rPr>
        <w:t xml:space="preserve"> </w:t>
      </w:r>
      <w:r>
        <w:rPr>
          <w:w w:val="115"/>
        </w:rPr>
        <w:t>735(b)(2)(B)</w:t>
      </w:r>
      <w:r>
        <w:rPr>
          <w:spacing w:val="-15"/>
          <w:w w:val="115"/>
        </w:rPr>
        <w:t xml:space="preserve"> </w:t>
      </w:r>
      <w:r>
        <w:rPr>
          <w:w w:val="115"/>
        </w:rPr>
        <w:t>of</w:t>
      </w:r>
      <w:r>
        <w:rPr>
          <w:spacing w:val="-15"/>
          <w:w w:val="115"/>
        </w:rPr>
        <w:t xml:space="preserve"> </w:t>
      </w:r>
      <w:r>
        <w:rPr>
          <w:w w:val="115"/>
        </w:rPr>
        <w:t>the</w:t>
      </w:r>
      <w:r>
        <w:rPr>
          <w:spacing w:val="-15"/>
          <w:w w:val="115"/>
        </w:rPr>
        <w:t xml:space="preserve"> </w:t>
      </w:r>
      <w:r>
        <w:rPr>
          <w:w w:val="115"/>
        </w:rPr>
        <w:t>Act,</w:t>
      </w:r>
      <w:r>
        <w:rPr>
          <w:spacing w:val="-15"/>
          <w:w w:val="115"/>
        </w:rPr>
        <w:t xml:space="preserve"> </w:t>
      </w:r>
      <w:r>
        <w:rPr>
          <w:w w:val="115"/>
        </w:rPr>
        <w:t>the ITC will make its final determination</w:t>
      </w:r>
      <w:r>
        <w:rPr>
          <w:spacing w:val="-28"/>
          <w:w w:val="115"/>
        </w:rPr>
        <w:t xml:space="preserve"> </w:t>
      </w:r>
      <w:r>
        <w:rPr>
          <w:w w:val="115"/>
        </w:rPr>
        <w:t>as to whether the domestic industry in the Unite</w:t>
      </w:r>
      <w:r>
        <w:rPr>
          <w:w w:val="115"/>
        </w:rPr>
        <w:t>d States is materially injured, or threatened with material injury, by reason of imports of fine denier PSF from Taiwan no later than 45 days after Commerce’s final determination. If the ITC determines that material injury or threat of material injury does</w:t>
      </w:r>
      <w:r>
        <w:rPr>
          <w:w w:val="115"/>
        </w:rPr>
        <w:t xml:space="preserve"> not exist, the proceeding will be </w:t>
      </w:r>
      <w:proofErr w:type="gramStart"/>
      <w:r>
        <w:rPr>
          <w:w w:val="115"/>
        </w:rPr>
        <w:t>terminated</w:t>
      </w:r>
      <w:proofErr w:type="gramEnd"/>
      <w:r>
        <w:rPr>
          <w:w w:val="115"/>
        </w:rPr>
        <w:t xml:space="preserve"> and all securities posted will be refunded or canceled. If the ITC determines that such injury does exist, Commerce will issue an antidumping duty order directing CBP to assess, upon further instruction by Comm</w:t>
      </w:r>
      <w:r>
        <w:rPr>
          <w:w w:val="115"/>
        </w:rPr>
        <w:t>erce, antidumping duties on appropriate imports of the subject merchandise entered, or withdrawn from warehouse, for consumption on or after the effective date of the suspension of</w:t>
      </w:r>
      <w:r>
        <w:rPr>
          <w:spacing w:val="15"/>
          <w:w w:val="115"/>
        </w:rPr>
        <w:t xml:space="preserve"> </w:t>
      </w:r>
      <w:r>
        <w:rPr>
          <w:w w:val="115"/>
        </w:rPr>
        <w:t>liquidation.</w:t>
      </w:r>
    </w:p>
    <w:p w:rsidR="0031592A" w:rsidRDefault="00B56DAA">
      <w:pPr>
        <w:pStyle w:val="Heading2"/>
        <w:spacing w:before="91"/>
        <w:ind w:left="153"/>
        <w:rPr>
          <w:rFonts w:ascii="Book Antiqua"/>
        </w:rPr>
      </w:pPr>
      <w:r>
        <w:rPr>
          <w:rFonts w:ascii="Book Antiqua"/>
        </w:rPr>
        <w:t>Notification to Interested Parties</w:t>
      </w:r>
    </w:p>
    <w:p w:rsidR="0031592A" w:rsidRDefault="00B56DAA">
      <w:pPr>
        <w:pStyle w:val="BodyText"/>
        <w:spacing w:before="92"/>
        <w:ind w:left="153" w:right="84" w:firstLine="180"/>
      </w:pPr>
      <w:r>
        <w:rPr>
          <w:w w:val="115"/>
        </w:rPr>
        <w:t xml:space="preserve">This notice serves as a reminder to </w:t>
      </w:r>
      <w:proofErr w:type="gramStart"/>
      <w:r>
        <w:rPr>
          <w:w w:val="115"/>
        </w:rPr>
        <w:t>parties</w:t>
      </w:r>
      <w:proofErr w:type="gramEnd"/>
      <w:r>
        <w:rPr>
          <w:w w:val="115"/>
        </w:rPr>
        <w:t xml:space="preserve"> subject to an administrative</w:t>
      </w:r>
    </w:p>
    <w:p w:rsidR="0031592A" w:rsidRDefault="00B56DAA">
      <w:pPr>
        <w:spacing w:before="59"/>
        <w:ind w:left="303"/>
        <w:rPr>
          <w:sz w:val="16"/>
        </w:rPr>
      </w:pPr>
      <w:r>
        <w:br w:type="column"/>
      </w:r>
      <w:r>
        <w:rPr>
          <w:w w:val="110"/>
          <w:sz w:val="16"/>
        </w:rPr>
        <w:t>Dated: May 23, 2018.</w:t>
      </w:r>
    </w:p>
    <w:p w:rsidR="0031592A" w:rsidRDefault="00B56DAA">
      <w:pPr>
        <w:spacing w:before="33"/>
        <w:ind w:left="143"/>
        <w:rPr>
          <w:rFonts w:ascii="Book Antiqua"/>
          <w:b/>
          <w:sz w:val="16"/>
        </w:rPr>
      </w:pPr>
      <w:r>
        <w:rPr>
          <w:rFonts w:ascii="Book Antiqua"/>
          <w:b/>
          <w:w w:val="105"/>
          <w:sz w:val="16"/>
        </w:rPr>
        <w:t xml:space="preserve">Gary </w:t>
      </w:r>
      <w:proofErr w:type="spellStart"/>
      <w:r>
        <w:rPr>
          <w:rFonts w:ascii="Book Antiqua"/>
          <w:b/>
          <w:w w:val="105"/>
          <w:sz w:val="16"/>
        </w:rPr>
        <w:t>Taverman</w:t>
      </w:r>
      <w:proofErr w:type="spellEnd"/>
      <w:r>
        <w:rPr>
          <w:rFonts w:ascii="Book Antiqua"/>
          <w:b/>
          <w:w w:val="105"/>
          <w:sz w:val="16"/>
        </w:rPr>
        <w:t>,</w:t>
      </w:r>
    </w:p>
    <w:p w:rsidR="0031592A" w:rsidRDefault="00B56DAA">
      <w:pPr>
        <w:spacing w:before="31" w:line="180" w:lineRule="exact"/>
        <w:ind w:left="143" w:right="81"/>
        <w:rPr>
          <w:rFonts w:ascii="Book Antiqua"/>
          <w:i/>
          <w:sz w:val="16"/>
        </w:rPr>
      </w:pPr>
      <w:r>
        <w:rPr>
          <w:rFonts w:ascii="Book Antiqua"/>
          <w:i/>
          <w:w w:val="110"/>
          <w:sz w:val="16"/>
        </w:rPr>
        <w:t xml:space="preserve">Deputy Assistant Secretary for Antidumping </w:t>
      </w:r>
      <w:r>
        <w:rPr>
          <w:rFonts w:ascii="Book Antiqua"/>
          <w:i/>
          <w:w w:val="115"/>
          <w:sz w:val="16"/>
        </w:rPr>
        <w:t>and Countervailing Duty Operations performing the non-exclusive functions and duties of the Assistant S</w:t>
      </w:r>
      <w:r>
        <w:rPr>
          <w:rFonts w:ascii="Book Antiqua"/>
          <w:i/>
          <w:w w:val="115"/>
          <w:sz w:val="16"/>
        </w:rPr>
        <w:t>ecretary for Enforcement and Compliance.</w:t>
      </w:r>
    </w:p>
    <w:p w:rsidR="0031592A" w:rsidRDefault="00B56DAA">
      <w:pPr>
        <w:pStyle w:val="Heading2"/>
        <w:spacing w:before="92"/>
        <w:ind w:left="143"/>
        <w:rPr>
          <w:rFonts w:ascii="Book Antiqua" w:hAnsi="Book Antiqua"/>
        </w:rPr>
      </w:pPr>
      <w:r>
        <w:rPr>
          <w:rFonts w:ascii="Book Antiqua" w:hAnsi="Book Antiqua"/>
        </w:rPr>
        <w:t>Appendix I—Scope of the Investigation</w:t>
      </w:r>
    </w:p>
    <w:p w:rsidR="0031592A" w:rsidRDefault="00B56DAA">
      <w:pPr>
        <w:spacing w:before="87" w:line="178" w:lineRule="exact"/>
        <w:ind w:left="143" w:right="81" w:firstLine="160"/>
        <w:rPr>
          <w:sz w:val="16"/>
        </w:rPr>
      </w:pPr>
      <w:r>
        <w:rPr>
          <w:w w:val="115"/>
          <w:sz w:val="16"/>
        </w:rPr>
        <w:t xml:space="preserve">The merchandise covered by this investigation is fine denier polyester staple fiber (fine denier PSF), not carded or combed, measuring less than 3.3 </w:t>
      </w:r>
      <w:proofErr w:type="spellStart"/>
      <w:r>
        <w:rPr>
          <w:w w:val="115"/>
          <w:sz w:val="16"/>
        </w:rPr>
        <w:t>decitex</w:t>
      </w:r>
      <w:proofErr w:type="spellEnd"/>
      <w:r>
        <w:rPr>
          <w:w w:val="115"/>
          <w:sz w:val="16"/>
        </w:rPr>
        <w:t xml:space="preserve"> (3 denier) in diamet</w:t>
      </w:r>
      <w:r>
        <w:rPr>
          <w:w w:val="115"/>
          <w:sz w:val="16"/>
        </w:rPr>
        <w:t>er. The scope covers all fine denier PSF, whether coated or uncoated. The following products are excluded from the scope:</w:t>
      </w:r>
    </w:p>
    <w:p w:rsidR="0031592A" w:rsidRDefault="00B56DAA">
      <w:pPr>
        <w:pStyle w:val="ListParagraph"/>
        <w:numPr>
          <w:ilvl w:val="1"/>
          <w:numId w:val="3"/>
        </w:numPr>
        <w:tabs>
          <w:tab w:val="left" w:pos="543"/>
        </w:tabs>
        <w:spacing w:line="178" w:lineRule="exact"/>
        <w:ind w:right="173" w:firstLine="160"/>
        <w:rPr>
          <w:sz w:val="16"/>
        </w:rPr>
      </w:pPr>
      <w:r>
        <w:rPr>
          <w:w w:val="115"/>
          <w:sz w:val="16"/>
        </w:rPr>
        <w:t xml:space="preserve">PSF equal to or greater than 3.3 </w:t>
      </w:r>
      <w:proofErr w:type="spellStart"/>
      <w:r>
        <w:rPr>
          <w:w w:val="115"/>
          <w:sz w:val="16"/>
        </w:rPr>
        <w:t>decitex</w:t>
      </w:r>
      <w:proofErr w:type="spellEnd"/>
      <w:r>
        <w:rPr>
          <w:w w:val="115"/>
          <w:sz w:val="16"/>
        </w:rPr>
        <w:t xml:space="preserve"> (more than 3 </w:t>
      </w:r>
      <w:proofErr w:type="gramStart"/>
      <w:r>
        <w:rPr>
          <w:w w:val="115"/>
          <w:sz w:val="16"/>
        </w:rPr>
        <w:t>denier</w:t>
      </w:r>
      <w:proofErr w:type="gramEnd"/>
      <w:r>
        <w:rPr>
          <w:w w:val="115"/>
          <w:sz w:val="16"/>
        </w:rPr>
        <w:t>, inclusive) currently classifiable under Harmonized Tariff Schedule of th</w:t>
      </w:r>
      <w:r>
        <w:rPr>
          <w:w w:val="115"/>
          <w:sz w:val="16"/>
        </w:rPr>
        <w:t>e United States (HTSUS) subheadings</w:t>
      </w:r>
      <w:r>
        <w:rPr>
          <w:spacing w:val="-20"/>
          <w:w w:val="115"/>
          <w:sz w:val="16"/>
        </w:rPr>
        <w:t xml:space="preserve"> </w:t>
      </w:r>
      <w:r>
        <w:rPr>
          <w:w w:val="115"/>
          <w:sz w:val="16"/>
        </w:rPr>
        <w:t>5503.20.0045</w:t>
      </w:r>
      <w:r>
        <w:rPr>
          <w:spacing w:val="-20"/>
          <w:w w:val="115"/>
          <w:sz w:val="16"/>
        </w:rPr>
        <w:t xml:space="preserve"> </w:t>
      </w:r>
      <w:r>
        <w:rPr>
          <w:w w:val="115"/>
          <w:sz w:val="16"/>
        </w:rPr>
        <w:t>and</w:t>
      </w:r>
      <w:r>
        <w:rPr>
          <w:spacing w:val="-20"/>
          <w:w w:val="115"/>
          <w:sz w:val="16"/>
        </w:rPr>
        <w:t xml:space="preserve"> </w:t>
      </w:r>
      <w:r>
        <w:rPr>
          <w:w w:val="115"/>
          <w:sz w:val="16"/>
        </w:rPr>
        <w:t>5503.20.0065.</w:t>
      </w:r>
    </w:p>
    <w:p w:rsidR="0031592A" w:rsidRDefault="00B56DAA">
      <w:pPr>
        <w:pStyle w:val="ListParagraph"/>
        <w:numPr>
          <w:ilvl w:val="1"/>
          <w:numId w:val="3"/>
        </w:numPr>
        <w:tabs>
          <w:tab w:val="left" w:pos="543"/>
        </w:tabs>
        <w:spacing w:line="178" w:lineRule="exact"/>
        <w:ind w:right="184" w:firstLine="160"/>
        <w:rPr>
          <w:sz w:val="16"/>
        </w:rPr>
      </w:pPr>
      <w:r>
        <w:rPr>
          <w:w w:val="115"/>
          <w:sz w:val="16"/>
        </w:rPr>
        <w:t>Low-melt PSF defined as a bi- component polyester fiber having</w:t>
      </w:r>
      <w:r>
        <w:rPr>
          <w:spacing w:val="-11"/>
          <w:w w:val="115"/>
          <w:sz w:val="16"/>
        </w:rPr>
        <w:t xml:space="preserve"> </w:t>
      </w:r>
      <w:r>
        <w:rPr>
          <w:w w:val="115"/>
          <w:sz w:val="16"/>
        </w:rPr>
        <w:t>a</w:t>
      </w:r>
      <w:r>
        <w:rPr>
          <w:spacing w:val="-3"/>
          <w:w w:val="115"/>
          <w:sz w:val="16"/>
        </w:rPr>
        <w:t xml:space="preserve"> </w:t>
      </w:r>
      <w:r>
        <w:rPr>
          <w:w w:val="115"/>
          <w:sz w:val="16"/>
        </w:rPr>
        <w:t>polyester fiber component that melts at a lower temperature than the other polyester fiber component, which is currently cla</w:t>
      </w:r>
      <w:r>
        <w:rPr>
          <w:w w:val="115"/>
          <w:sz w:val="16"/>
        </w:rPr>
        <w:t>ssifiable under</w:t>
      </w:r>
      <w:r>
        <w:rPr>
          <w:spacing w:val="-17"/>
          <w:w w:val="115"/>
          <w:sz w:val="16"/>
        </w:rPr>
        <w:t xml:space="preserve"> </w:t>
      </w:r>
      <w:r>
        <w:rPr>
          <w:w w:val="115"/>
          <w:sz w:val="16"/>
        </w:rPr>
        <w:t>HTSUS</w:t>
      </w:r>
      <w:r>
        <w:rPr>
          <w:spacing w:val="-17"/>
          <w:w w:val="115"/>
          <w:sz w:val="16"/>
        </w:rPr>
        <w:t xml:space="preserve"> </w:t>
      </w:r>
      <w:r>
        <w:rPr>
          <w:w w:val="115"/>
          <w:sz w:val="16"/>
        </w:rPr>
        <w:t>subheading</w:t>
      </w:r>
      <w:r>
        <w:rPr>
          <w:spacing w:val="-17"/>
          <w:w w:val="115"/>
          <w:sz w:val="16"/>
        </w:rPr>
        <w:t xml:space="preserve"> </w:t>
      </w:r>
      <w:r>
        <w:rPr>
          <w:w w:val="115"/>
          <w:sz w:val="16"/>
        </w:rPr>
        <w:t>5503.20.0015.</w:t>
      </w:r>
    </w:p>
    <w:p w:rsidR="0031592A" w:rsidRDefault="00B56DAA">
      <w:pPr>
        <w:spacing w:line="178" w:lineRule="exact"/>
        <w:ind w:left="143" w:right="167" w:firstLine="160"/>
        <w:rPr>
          <w:sz w:val="16"/>
        </w:rPr>
      </w:pPr>
      <w:r>
        <w:rPr>
          <w:w w:val="115"/>
          <w:sz w:val="16"/>
        </w:rPr>
        <w:t>Fine denier PSF is classifiable under the HTSUS subheading 5503.20.0025. Although</w:t>
      </w:r>
      <w:r>
        <w:rPr>
          <w:w w:val="114"/>
          <w:sz w:val="16"/>
        </w:rPr>
        <w:t xml:space="preserve"> </w:t>
      </w:r>
      <w:r>
        <w:rPr>
          <w:w w:val="115"/>
          <w:sz w:val="16"/>
        </w:rPr>
        <w:t>the HTSUS subheadings are provided for convenience and customs purposes, the written description of the scope of this investiga</w:t>
      </w:r>
      <w:r>
        <w:rPr>
          <w:w w:val="115"/>
          <w:sz w:val="16"/>
        </w:rPr>
        <w:t>tion is dispositive.</w:t>
      </w:r>
    </w:p>
    <w:p w:rsidR="0031592A" w:rsidRDefault="00B56DAA">
      <w:pPr>
        <w:pStyle w:val="Heading2"/>
        <w:spacing w:before="105" w:line="200" w:lineRule="exact"/>
        <w:ind w:left="143" w:right="290"/>
        <w:rPr>
          <w:rFonts w:ascii="Book Antiqua" w:hAnsi="Book Antiqua"/>
        </w:rPr>
      </w:pPr>
      <w:r>
        <w:rPr>
          <w:rFonts w:ascii="Book Antiqua" w:hAnsi="Book Antiqua"/>
        </w:rPr>
        <w:t>Appendix II—List of Topics Discussed in the Issues and Decision Memorandum</w:t>
      </w:r>
    </w:p>
    <w:p w:rsidR="0031592A" w:rsidRDefault="00B56DAA">
      <w:pPr>
        <w:pStyle w:val="ListParagraph"/>
        <w:numPr>
          <w:ilvl w:val="0"/>
          <w:numId w:val="2"/>
        </w:numPr>
        <w:tabs>
          <w:tab w:val="left" w:pos="286"/>
        </w:tabs>
        <w:spacing w:before="88" w:line="181" w:lineRule="exact"/>
        <w:rPr>
          <w:sz w:val="16"/>
        </w:rPr>
      </w:pPr>
      <w:r>
        <w:rPr>
          <w:w w:val="115"/>
          <w:sz w:val="16"/>
        </w:rPr>
        <w:t>Summary</w:t>
      </w:r>
    </w:p>
    <w:p w:rsidR="0031592A" w:rsidRDefault="00B56DAA">
      <w:pPr>
        <w:pStyle w:val="ListParagraph"/>
        <w:numPr>
          <w:ilvl w:val="0"/>
          <w:numId w:val="2"/>
        </w:numPr>
        <w:tabs>
          <w:tab w:val="left" w:pos="339"/>
        </w:tabs>
        <w:spacing w:line="178" w:lineRule="exact"/>
        <w:ind w:left="338" w:hanging="195"/>
        <w:rPr>
          <w:sz w:val="16"/>
        </w:rPr>
      </w:pPr>
      <w:r>
        <w:rPr>
          <w:w w:val="110"/>
          <w:sz w:val="16"/>
        </w:rPr>
        <w:t>List of</w:t>
      </w:r>
      <w:r>
        <w:rPr>
          <w:spacing w:val="11"/>
          <w:w w:val="110"/>
          <w:sz w:val="16"/>
        </w:rPr>
        <w:t xml:space="preserve"> </w:t>
      </w:r>
      <w:r>
        <w:rPr>
          <w:w w:val="110"/>
          <w:sz w:val="16"/>
        </w:rPr>
        <w:t>Issues</w:t>
      </w:r>
    </w:p>
    <w:p w:rsidR="0031592A" w:rsidRDefault="00B56DAA">
      <w:pPr>
        <w:pStyle w:val="ListParagraph"/>
        <w:numPr>
          <w:ilvl w:val="0"/>
          <w:numId w:val="2"/>
        </w:numPr>
        <w:tabs>
          <w:tab w:val="left" w:pos="392"/>
        </w:tabs>
        <w:spacing w:line="178" w:lineRule="exact"/>
        <w:ind w:left="391" w:hanging="248"/>
        <w:rPr>
          <w:sz w:val="16"/>
        </w:rPr>
      </w:pPr>
      <w:r>
        <w:rPr>
          <w:w w:val="115"/>
          <w:sz w:val="16"/>
        </w:rPr>
        <w:t>Background</w:t>
      </w:r>
    </w:p>
    <w:p w:rsidR="0031592A" w:rsidRDefault="00B56DAA">
      <w:pPr>
        <w:pStyle w:val="ListParagraph"/>
        <w:numPr>
          <w:ilvl w:val="0"/>
          <w:numId w:val="2"/>
        </w:numPr>
        <w:tabs>
          <w:tab w:val="left" w:pos="401"/>
        </w:tabs>
        <w:spacing w:line="179" w:lineRule="exact"/>
        <w:ind w:left="400" w:hanging="257"/>
        <w:rPr>
          <w:sz w:val="16"/>
        </w:rPr>
      </w:pPr>
      <w:r>
        <w:rPr>
          <w:w w:val="115"/>
          <w:sz w:val="16"/>
        </w:rPr>
        <w:t>Scope of the</w:t>
      </w:r>
      <w:r>
        <w:rPr>
          <w:spacing w:val="-26"/>
          <w:w w:val="115"/>
          <w:sz w:val="16"/>
        </w:rPr>
        <w:t xml:space="preserve"> </w:t>
      </w:r>
      <w:r>
        <w:rPr>
          <w:w w:val="115"/>
          <w:sz w:val="16"/>
        </w:rPr>
        <w:t>Investigation</w:t>
      </w:r>
    </w:p>
    <w:p w:rsidR="0031592A" w:rsidRDefault="00B56DAA">
      <w:pPr>
        <w:pStyle w:val="ListParagraph"/>
        <w:numPr>
          <w:ilvl w:val="0"/>
          <w:numId w:val="2"/>
        </w:numPr>
        <w:tabs>
          <w:tab w:val="left" w:pos="348"/>
        </w:tabs>
        <w:spacing w:line="180" w:lineRule="exact"/>
        <w:ind w:left="347" w:hanging="204"/>
        <w:rPr>
          <w:sz w:val="16"/>
        </w:rPr>
      </w:pPr>
      <w:r>
        <w:rPr>
          <w:w w:val="115"/>
          <w:sz w:val="16"/>
        </w:rPr>
        <w:t>Discussion of the</w:t>
      </w:r>
      <w:r>
        <w:rPr>
          <w:spacing w:val="-25"/>
          <w:w w:val="115"/>
          <w:sz w:val="16"/>
        </w:rPr>
        <w:t xml:space="preserve"> </w:t>
      </w:r>
      <w:r>
        <w:rPr>
          <w:w w:val="115"/>
          <w:sz w:val="16"/>
        </w:rPr>
        <w:t>Issues</w:t>
      </w:r>
    </w:p>
    <w:p w:rsidR="0031592A" w:rsidRDefault="00B56DAA">
      <w:pPr>
        <w:spacing w:before="2" w:line="180" w:lineRule="exact"/>
        <w:ind w:left="463" w:hanging="160"/>
        <w:rPr>
          <w:sz w:val="16"/>
        </w:rPr>
      </w:pPr>
      <w:r>
        <w:rPr>
          <w:w w:val="110"/>
          <w:sz w:val="16"/>
        </w:rPr>
        <w:t>Comment 1: Reported Costs for a Certain Product Control Number (CONNUM)</w:t>
      </w:r>
    </w:p>
    <w:p w:rsidR="0031592A" w:rsidRDefault="00B56DAA">
      <w:pPr>
        <w:spacing w:line="180" w:lineRule="exact"/>
        <w:ind w:left="303" w:right="370"/>
        <w:rPr>
          <w:sz w:val="16"/>
        </w:rPr>
      </w:pPr>
      <w:r>
        <w:rPr>
          <w:w w:val="115"/>
          <w:sz w:val="16"/>
        </w:rPr>
        <w:t>Comment 1(a): Direct Material Costs Comment 1(b): Allocation of Labor and</w:t>
      </w:r>
    </w:p>
    <w:p w:rsidR="0031592A" w:rsidRDefault="00B56DAA">
      <w:pPr>
        <w:spacing w:line="177" w:lineRule="exact"/>
        <w:ind w:left="441" w:right="2444"/>
        <w:jc w:val="center"/>
        <w:rPr>
          <w:sz w:val="16"/>
        </w:rPr>
      </w:pPr>
      <w:r>
        <w:rPr>
          <w:w w:val="115"/>
          <w:sz w:val="16"/>
        </w:rPr>
        <w:t>Overhead</w:t>
      </w:r>
    </w:p>
    <w:p w:rsidR="0031592A" w:rsidRDefault="00B56DAA">
      <w:pPr>
        <w:spacing w:before="2" w:line="180" w:lineRule="exact"/>
        <w:ind w:left="463" w:right="167" w:hanging="160"/>
        <w:rPr>
          <w:sz w:val="16"/>
        </w:rPr>
      </w:pPr>
      <w:r>
        <w:rPr>
          <w:w w:val="110"/>
          <w:sz w:val="16"/>
        </w:rPr>
        <w:t>Comment 1(c): Market Price Methodology for Grades B and C PSF</w:t>
      </w:r>
    </w:p>
    <w:p w:rsidR="0031592A" w:rsidRDefault="00B56DAA">
      <w:pPr>
        <w:spacing w:line="180" w:lineRule="exact"/>
        <w:ind w:left="303" w:right="290"/>
        <w:rPr>
          <w:sz w:val="16"/>
        </w:rPr>
      </w:pPr>
      <w:r>
        <w:rPr>
          <w:w w:val="110"/>
          <w:sz w:val="16"/>
        </w:rPr>
        <w:t>Comment 1(d): Scrap Offset Calculation Comment 2: Factoring Agreement Comment 3: Packing Cost</w:t>
      </w:r>
    </w:p>
    <w:p w:rsidR="0031592A" w:rsidRDefault="00B56DAA">
      <w:pPr>
        <w:spacing w:line="180" w:lineRule="exact"/>
        <w:ind w:left="463" w:hanging="160"/>
        <w:rPr>
          <w:sz w:val="16"/>
        </w:rPr>
      </w:pPr>
      <w:r>
        <w:rPr>
          <w:w w:val="115"/>
          <w:sz w:val="16"/>
        </w:rPr>
        <w:t>Comment 4: Application of Partial Facts Available</w:t>
      </w:r>
    </w:p>
    <w:p w:rsidR="0031592A" w:rsidRDefault="00B56DAA">
      <w:pPr>
        <w:pStyle w:val="ListParagraph"/>
        <w:numPr>
          <w:ilvl w:val="0"/>
          <w:numId w:val="2"/>
        </w:numPr>
        <w:tabs>
          <w:tab w:val="left" w:pos="401"/>
        </w:tabs>
        <w:spacing w:line="179" w:lineRule="exact"/>
        <w:ind w:left="400" w:hanging="257"/>
        <w:rPr>
          <w:sz w:val="16"/>
        </w:rPr>
      </w:pPr>
      <w:r>
        <w:rPr>
          <w:w w:val="115"/>
          <w:sz w:val="16"/>
        </w:rPr>
        <w:t>Recommendation</w:t>
      </w:r>
    </w:p>
    <w:p w:rsidR="0031592A" w:rsidRDefault="00B56DAA">
      <w:pPr>
        <w:spacing w:before="75"/>
        <w:ind w:left="143"/>
        <w:rPr>
          <w:sz w:val="14"/>
        </w:rPr>
      </w:pPr>
      <w:r>
        <w:rPr>
          <w:w w:val="110"/>
          <w:sz w:val="14"/>
        </w:rPr>
        <w:t>[FR Doc. 2018–11712 Filed 5–29–18; 8:45 am]</w:t>
      </w:r>
    </w:p>
    <w:p w:rsidR="0031592A" w:rsidRDefault="00B56DAA">
      <w:pPr>
        <w:spacing w:before="76" w:line="85" w:lineRule="exact"/>
        <w:ind w:left="143"/>
        <w:rPr>
          <w:rFonts w:ascii="Arial" w:hAnsi="Arial"/>
          <w:b/>
          <w:sz w:val="12"/>
        </w:rPr>
      </w:pPr>
      <w:proofErr w:type="gramStart"/>
      <w:r>
        <w:rPr>
          <w:rFonts w:ascii="Arial" w:hAnsi="Arial"/>
          <w:b/>
          <w:sz w:val="12"/>
        </w:rPr>
        <w:t>BILLING  CODE</w:t>
      </w:r>
      <w:proofErr w:type="gramEnd"/>
      <w:r>
        <w:rPr>
          <w:rFonts w:ascii="Arial" w:hAnsi="Arial"/>
          <w:b/>
          <w:sz w:val="12"/>
        </w:rPr>
        <w:t xml:space="preserve"> 3510–DS–P</w:t>
      </w:r>
    </w:p>
    <w:p w:rsidR="0031592A" w:rsidRDefault="0031592A">
      <w:pPr>
        <w:spacing w:line="85" w:lineRule="exact"/>
        <w:rPr>
          <w:rFonts w:ascii="Arial" w:hAnsi="Arial"/>
          <w:sz w:val="12"/>
        </w:rPr>
        <w:sectPr w:rsidR="0031592A">
          <w:type w:val="continuous"/>
          <w:pgSz w:w="12240" w:h="15840"/>
          <w:pgMar w:top="260" w:right="760" w:bottom="280" w:left="740" w:header="720" w:footer="720" w:gutter="0"/>
          <w:cols w:num="3" w:space="720" w:equalWidth="0">
            <w:col w:w="3507" w:space="40"/>
            <w:col w:w="3511" w:space="40"/>
            <w:col w:w="3642"/>
          </w:cols>
        </w:sectPr>
      </w:pPr>
    </w:p>
    <w:p w:rsidR="0031592A" w:rsidRDefault="00B56DAA">
      <w:pPr>
        <w:pStyle w:val="BodyText"/>
        <w:ind w:left="160" w:right="-19"/>
      </w:pPr>
      <w:r>
        <w:rPr>
          <w:w w:val="115"/>
        </w:rPr>
        <w:t>combination, or by third parties that sourced subject merchandise from</w:t>
      </w:r>
      <w:r>
        <w:rPr>
          <w:spacing w:val="-3"/>
          <w:w w:val="115"/>
        </w:rPr>
        <w:t xml:space="preserve"> </w:t>
      </w:r>
      <w:r>
        <w:rPr>
          <w:w w:val="115"/>
        </w:rPr>
        <w:t>the</w:t>
      </w:r>
    </w:p>
    <w:p w:rsidR="0031592A" w:rsidRDefault="00B56DAA">
      <w:pPr>
        <w:pStyle w:val="BodyText"/>
        <w:tabs>
          <w:tab w:val="left" w:pos="3699"/>
          <w:tab w:val="left" w:pos="7059"/>
        </w:tabs>
        <w:spacing w:line="163" w:lineRule="exact"/>
        <w:ind w:left="160"/>
      </w:pPr>
      <w:r>
        <w:br w:type="column"/>
      </w:r>
      <w:r>
        <w:rPr>
          <w:w w:val="115"/>
        </w:rPr>
        <w:t>protective</w:t>
      </w:r>
      <w:r>
        <w:rPr>
          <w:spacing w:val="-13"/>
          <w:w w:val="115"/>
        </w:rPr>
        <w:t xml:space="preserve"> </w:t>
      </w:r>
      <w:r>
        <w:rPr>
          <w:w w:val="115"/>
        </w:rPr>
        <w:t>order</w:t>
      </w:r>
      <w:r>
        <w:rPr>
          <w:spacing w:val="-13"/>
          <w:w w:val="115"/>
        </w:rPr>
        <w:t xml:space="preserve"> </w:t>
      </w:r>
      <w:r>
        <w:rPr>
          <w:w w:val="115"/>
        </w:rPr>
        <w:t>(A</w:t>
      </w:r>
      <w:r>
        <w:rPr>
          <w:w w:val="115"/>
        </w:rPr>
        <w:t>PO)</w:t>
      </w:r>
      <w:r>
        <w:rPr>
          <w:spacing w:val="-13"/>
          <w:w w:val="115"/>
        </w:rPr>
        <w:t xml:space="preserve"> </w:t>
      </w:r>
      <w:r>
        <w:rPr>
          <w:w w:val="115"/>
        </w:rPr>
        <w:t>of</w:t>
      </w:r>
      <w:r>
        <w:rPr>
          <w:spacing w:val="-13"/>
          <w:w w:val="115"/>
        </w:rPr>
        <w:t xml:space="preserve"> </w:t>
      </w:r>
      <w:proofErr w:type="gramStart"/>
      <w:r>
        <w:rPr>
          <w:w w:val="115"/>
        </w:rPr>
        <w:t>their</w:t>
      </w:r>
      <w:proofErr w:type="gramEnd"/>
      <w:r>
        <w:tab/>
      </w:r>
      <w:r>
        <w:rPr>
          <w:w w:val="111"/>
          <w:u w:val="single"/>
        </w:rPr>
        <w:t xml:space="preserve"> </w:t>
      </w:r>
      <w:r>
        <w:rPr>
          <w:u w:val="single"/>
        </w:rPr>
        <w:tab/>
      </w:r>
    </w:p>
    <w:p w:rsidR="0031592A" w:rsidRDefault="00B56DAA">
      <w:pPr>
        <w:pStyle w:val="BodyText"/>
        <w:spacing w:line="193" w:lineRule="exact"/>
        <w:ind w:left="160"/>
      </w:pPr>
      <w:r>
        <w:rPr>
          <w:w w:val="115"/>
        </w:rPr>
        <w:t>responsibility concerning the</w:t>
      </w:r>
    </w:p>
    <w:p w:rsidR="0031592A" w:rsidRDefault="0031592A">
      <w:pPr>
        <w:spacing w:line="193" w:lineRule="exact"/>
        <w:sectPr w:rsidR="0031592A">
          <w:type w:val="continuous"/>
          <w:pgSz w:w="12240" w:h="15840"/>
          <w:pgMar w:top="260" w:right="760" w:bottom="280" w:left="740" w:header="720" w:footer="720" w:gutter="0"/>
          <w:cols w:num="2" w:space="720" w:equalWidth="0">
            <w:col w:w="3297" w:space="243"/>
            <w:col w:w="7200"/>
          </w:cols>
        </w:sectPr>
      </w:pPr>
    </w:p>
    <w:p w:rsidR="0031592A" w:rsidRDefault="00B56DAA">
      <w:pPr>
        <w:pStyle w:val="BodyText"/>
        <w:ind w:left="160" w:right="244"/>
      </w:pPr>
      <w:r>
        <w:rPr>
          <w:w w:val="115"/>
        </w:rPr>
        <w:t>excluded producer/exporter combination, are subject to the provisional measures at the all-others rate.</w:t>
      </w:r>
    </w:p>
    <w:p w:rsidR="0031592A" w:rsidRDefault="00B56DAA">
      <w:pPr>
        <w:pStyle w:val="BodyText"/>
        <w:spacing w:line="183" w:lineRule="exact"/>
        <w:ind w:left="340"/>
      </w:pPr>
      <w:r>
        <w:rPr>
          <w:w w:val="115"/>
        </w:rPr>
        <w:t>Because the final estimated weighted-</w:t>
      </w:r>
    </w:p>
    <w:p w:rsidR="0031592A" w:rsidRDefault="00B56DAA">
      <w:pPr>
        <w:pStyle w:val="BodyText"/>
        <w:spacing w:before="4"/>
        <w:ind w:left="160"/>
      </w:pPr>
      <w:r>
        <w:rPr>
          <w:w w:val="115"/>
        </w:rPr>
        <w:t>average dumping margin for subject merchandis</w:t>
      </w:r>
      <w:r>
        <w:rPr>
          <w:w w:val="115"/>
        </w:rPr>
        <w:t>e produced and exported by TSCL is zero, entries of shipments of subject merchandise from this producer/</w:t>
      </w:r>
      <w:r>
        <w:rPr>
          <w:w w:val="118"/>
        </w:rPr>
        <w:t xml:space="preserve"> </w:t>
      </w:r>
      <w:r>
        <w:rPr>
          <w:w w:val="115"/>
        </w:rPr>
        <w:t>exporter combination will be excluded from the antidumping duty order. This exclusion is not applicable to merchandise exported to the United</w:t>
      </w:r>
    </w:p>
    <w:p w:rsidR="0031592A" w:rsidRDefault="00B56DAA">
      <w:pPr>
        <w:pStyle w:val="BodyText"/>
        <w:spacing w:line="162" w:lineRule="exact"/>
        <w:ind w:left="143"/>
      </w:pPr>
      <w:r>
        <w:br w:type="column"/>
      </w:r>
      <w:r>
        <w:rPr>
          <w:w w:val="115"/>
        </w:rPr>
        <w:t>disposition of proprietary information</w:t>
      </w:r>
    </w:p>
    <w:p w:rsidR="0031592A" w:rsidRDefault="00B56DAA">
      <w:pPr>
        <w:pStyle w:val="BodyText"/>
        <w:spacing w:before="4"/>
        <w:ind w:left="143" w:right="61"/>
      </w:pPr>
      <w:r>
        <w:rPr>
          <w:w w:val="115"/>
        </w:rPr>
        <w:t>disclosed under APO in accordance with 19 CFR 351.305(a)(3). Timely notification of the return or destruction of APO materials, or conversion to judicial protective order, is hereby requested. Failure to comply with t</w:t>
      </w:r>
      <w:r>
        <w:rPr>
          <w:w w:val="115"/>
        </w:rPr>
        <w:t>he regulations and the terms of an APO is a violation subject to sanction.</w:t>
      </w:r>
    </w:p>
    <w:p w:rsidR="0031592A" w:rsidRDefault="00B56DAA">
      <w:pPr>
        <w:pStyle w:val="BodyText"/>
        <w:spacing w:before="19"/>
        <w:ind w:left="143" w:firstLine="180"/>
      </w:pPr>
      <w:r>
        <w:rPr>
          <w:w w:val="115"/>
        </w:rPr>
        <w:t>This determination and this notice are issued and published pursuant to sections 735(d) and 777(</w:t>
      </w:r>
      <w:proofErr w:type="spellStart"/>
      <w:r>
        <w:rPr>
          <w:w w:val="115"/>
        </w:rPr>
        <w:t>i</w:t>
      </w:r>
      <w:proofErr w:type="spellEnd"/>
      <w:r>
        <w:rPr>
          <w:w w:val="115"/>
        </w:rPr>
        <w:t>)(1) of the Act and 19 CFR 351.210(c).</w:t>
      </w:r>
    </w:p>
    <w:p w:rsidR="0031592A" w:rsidRDefault="00B56DAA">
      <w:pPr>
        <w:pStyle w:val="Heading2"/>
        <w:spacing w:line="187" w:lineRule="exact"/>
        <w:ind w:left="154"/>
      </w:pPr>
      <w:r>
        <w:rPr>
          <w:b w:val="0"/>
        </w:rPr>
        <w:br w:type="column"/>
      </w:r>
      <w:r>
        <w:t>DEPARTMENT OF COMMERCE</w:t>
      </w:r>
    </w:p>
    <w:p w:rsidR="0031592A" w:rsidRDefault="00B56DAA">
      <w:pPr>
        <w:spacing w:before="162" w:line="200" w:lineRule="exact"/>
        <w:ind w:left="154" w:right="558"/>
        <w:rPr>
          <w:rFonts w:ascii="Arial"/>
          <w:b/>
          <w:sz w:val="18"/>
        </w:rPr>
      </w:pPr>
      <w:r>
        <w:rPr>
          <w:rFonts w:ascii="Arial"/>
          <w:b/>
          <w:sz w:val="18"/>
        </w:rPr>
        <w:t>National Telecommunic</w:t>
      </w:r>
      <w:r>
        <w:rPr>
          <w:rFonts w:ascii="Arial"/>
          <w:b/>
          <w:sz w:val="18"/>
        </w:rPr>
        <w:t>ations and Information Administration</w:t>
      </w:r>
    </w:p>
    <w:p w:rsidR="0031592A" w:rsidRDefault="00B56DAA">
      <w:pPr>
        <w:spacing w:before="98" w:line="376" w:lineRule="auto"/>
        <w:ind w:left="154" w:right="979"/>
        <w:rPr>
          <w:rFonts w:ascii="Arial" w:hAnsi="Arial"/>
          <w:b/>
          <w:sz w:val="16"/>
        </w:rPr>
      </w:pPr>
      <w:r>
        <w:rPr>
          <w:rFonts w:ascii="Arial" w:hAnsi="Arial"/>
          <w:b/>
          <w:sz w:val="16"/>
        </w:rPr>
        <w:t>[Docket No. 180427421–8421–01] RIN 0660–XC042</w:t>
      </w:r>
    </w:p>
    <w:p w:rsidR="0031592A" w:rsidRDefault="00B56DAA">
      <w:pPr>
        <w:pStyle w:val="Heading2"/>
        <w:spacing w:before="64" w:line="200" w:lineRule="exact"/>
        <w:ind w:left="154"/>
      </w:pPr>
      <w:r>
        <w:t>Improving the Quality and Accuracy of Broadband Availability Data</w:t>
      </w:r>
    </w:p>
    <w:p w:rsidR="0031592A" w:rsidRDefault="00B56DAA">
      <w:pPr>
        <w:pStyle w:val="BodyText"/>
        <w:spacing w:before="104"/>
        <w:ind w:left="154" w:right="261" w:hanging="1"/>
      </w:pPr>
      <w:r>
        <w:rPr>
          <w:rFonts w:ascii="Arial"/>
          <w:b/>
          <w:w w:val="110"/>
          <w:sz w:val="15"/>
        </w:rPr>
        <w:t>AGENCY</w:t>
      </w:r>
      <w:r>
        <w:rPr>
          <w:rFonts w:ascii="Arial"/>
          <w:b/>
          <w:w w:val="110"/>
        </w:rPr>
        <w:t xml:space="preserve">: </w:t>
      </w:r>
      <w:r>
        <w:rPr>
          <w:w w:val="110"/>
        </w:rPr>
        <w:t xml:space="preserve">National Telecommunications </w:t>
      </w:r>
      <w:r>
        <w:rPr>
          <w:w w:val="115"/>
        </w:rPr>
        <w:t>and Information Administration, U.S. Department of Commerce</w:t>
      </w:r>
    </w:p>
    <w:p w:rsidR="0031592A" w:rsidRDefault="0031592A">
      <w:pPr>
        <w:sectPr w:rsidR="0031592A">
          <w:type w:val="continuous"/>
          <w:pgSz w:w="12240" w:h="15840"/>
          <w:pgMar w:top="260" w:right="760" w:bottom="280" w:left="740" w:header="720" w:footer="720" w:gutter="0"/>
          <w:cols w:num="3" w:space="720" w:equalWidth="0">
            <w:col w:w="3517" w:space="40"/>
            <w:col w:w="3490" w:space="40"/>
            <w:col w:w="3653"/>
          </w:cols>
        </w:sectPr>
      </w:pPr>
    </w:p>
    <w:p w:rsidR="0031592A" w:rsidRDefault="00B56DAA">
      <w:pPr>
        <w:tabs>
          <w:tab w:val="left" w:pos="2001"/>
        </w:tabs>
        <w:spacing w:before="93"/>
        <w:ind w:left="140"/>
        <w:rPr>
          <w:sz w:val="20"/>
        </w:rPr>
      </w:pPr>
      <w:r>
        <w:lastRenderedPageBreak/>
        <w:pict>
          <v:group id="_x0000_s1034" style="position:absolute;left:0;text-align:left;margin-left:43.9pt;margin-top:19.9pt;width:524.2pt;height:5.25pt;z-index:1048;mso-wrap-distance-left:0;mso-wrap-distance-right:0;mso-position-horizontal-relative:page" coordorigin="878,398" coordsize="10484,105">
            <v:line id="_x0000_s1036" style="position:absolute" from="900,420" to="11340,420" strokeweight="2.2pt"/>
            <v:line id="_x0000_s1035" style="position:absolute" from="900,500" to="11340,500" strokeweight=".3pt"/>
            <w10:wrap type="topAndBottom" anchorx="page"/>
          </v:group>
        </w:pict>
      </w:r>
      <w:r>
        <w:rPr>
          <w:rFonts w:ascii="Book Antiqua"/>
          <w:b/>
          <w:w w:val="110"/>
        </w:rPr>
        <w:t>24748</w:t>
      </w:r>
      <w:r>
        <w:rPr>
          <w:rFonts w:ascii="Book Antiqua"/>
          <w:b/>
          <w:w w:val="110"/>
        </w:rPr>
        <w:tab/>
      </w:r>
      <w:r>
        <w:rPr>
          <w:rFonts w:ascii="Book Antiqua"/>
          <w:b/>
          <w:w w:val="110"/>
          <w:sz w:val="20"/>
        </w:rPr>
        <w:t xml:space="preserve">Federal Register </w:t>
      </w:r>
      <w:r>
        <w:rPr>
          <w:w w:val="110"/>
          <w:sz w:val="20"/>
        </w:rPr>
        <w:t>/ Vol. 83, No. 104 / Wednesday, May 30,</w:t>
      </w:r>
      <w:r>
        <w:rPr>
          <w:spacing w:val="44"/>
          <w:w w:val="110"/>
          <w:sz w:val="20"/>
        </w:rPr>
        <w:t xml:space="preserve"> </w:t>
      </w:r>
      <w:r>
        <w:rPr>
          <w:w w:val="110"/>
          <w:sz w:val="20"/>
        </w:rPr>
        <w:t>2018 / Notices</w:t>
      </w:r>
    </w:p>
    <w:p w:rsidR="0031592A" w:rsidRDefault="0031592A">
      <w:pPr>
        <w:rPr>
          <w:sz w:val="20"/>
        </w:rPr>
        <w:sectPr w:rsidR="0031592A">
          <w:pgSz w:w="12240" w:h="15840"/>
          <w:pgMar w:top="540" w:right="760" w:bottom="280" w:left="760" w:header="720" w:footer="720" w:gutter="0"/>
          <w:cols w:space="720"/>
        </w:sectPr>
      </w:pPr>
    </w:p>
    <w:p w:rsidR="0031592A" w:rsidRDefault="00B56DAA">
      <w:pPr>
        <w:pStyle w:val="BodyText"/>
        <w:spacing w:before="108"/>
        <w:ind w:right="835" w:hanging="1"/>
      </w:pPr>
      <w:r>
        <w:rPr>
          <w:rFonts w:ascii="Arial"/>
          <w:b/>
          <w:w w:val="115"/>
          <w:sz w:val="15"/>
        </w:rPr>
        <w:t>ACTION</w:t>
      </w:r>
      <w:r>
        <w:rPr>
          <w:rFonts w:ascii="Arial"/>
          <w:b/>
          <w:w w:val="115"/>
        </w:rPr>
        <w:t>:</w:t>
      </w:r>
      <w:r>
        <w:rPr>
          <w:rFonts w:ascii="Arial"/>
          <w:b/>
          <w:spacing w:val="-40"/>
          <w:w w:val="115"/>
        </w:rPr>
        <w:t xml:space="preserve"> </w:t>
      </w:r>
      <w:r>
        <w:rPr>
          <w:w w:val="115"/>
        </w:rPr>
        <w:t>Notice</w:t>
      </w:r>
      <w:r>
        <w:rPr>
          <w:spacing w:val="-34"/>
          <w:w w:val="115"/>
        </w:rPr>
        <w:t xml:space="preserve"> </w:t>
      </w:r>
      <w:r>
        <w:rPr>
          <w:w w:val="115"/>
        </w:rPr>
        <w:t>and</w:t>
      </w:r>
      <w:r>
        <w:rPr>
          <w:spacing w:val="-34"/>
          <w:w w:val="115"/>
        </w:rPr>
        <w:t xml:space="preserve"> </w:t>
      </w:r>
      <w:r>
        <w:rPr>
          <w:w w:val="115"/>
        </w:rPr>
        <w:t>request</w:t>
      </w:r>
      <w:r>
        <w:rPr>
          <w:spacing w:val="-34"/>
          <w:w w:val="115"/>
        </w:rPr>
        <w:t xml:space="preserve"> </w:t>
      </w:r>
      <w:r>
        <w:rPr>
          <w:w w:val="115"/>
        </w:rPr>
        <w:t>for</w:t>
      </w:r>
      <w:r>
        <w:rPr>
          <w:w w:val="109"/>
        </w:rPr>
        <w:t xml:space="preserve"> </w:t>
      </w:r>
      <w:r>
        <w:rPr>
          <w:w w:val="115"/>
        </w:rPr>
        <w:t>comments.</w:t>
      </w:r>
    </w:p>
    <w:p w:rsidR="0031592A" w:rsidRDefault="00B56DAA">
      <w:pPr>
        <w:pStyle w:val="BodyText"/>
        <w:spacing w:before="134"/>
        <w:ind w:right="28" w:hanging="1"/>
      </w:pPr>
      <w:r>
        <w:pict>
          <v:line id="_x0000_s1033" style="position:absolute;left:0;text-align:left;z-index:1096;mso-position-horizontal-relative:page" from="45pt,3.15pt" to="213pt,3.15pt" strokeweight=".3pt">
            <w10:wrap anchorx="page"/>
          </v:line>
        </w:pict>
      </w:r>
      <w:r>
        <w:rPr>
          <w:rFonts w:ascii="Arial" w:hAnsi="Arial"/>
          <w:b/>
          <w:w w:val="115"/>
          <w:sz w:val="15"/>
        </w:rPr>
        <w:t>SUMMARY</w:t>
      </w:r>
      <w:r>
        <w:rPr>
          <w:rFonts w:ascii="Arial" w:hAnsi="Arial"/>
          <w:b/>
          <w:w w:val="115"/>
        </w:rPr>
        <w:t xml:space="preserve">: </w:t>
      </w:r>
      <w:r w:rsidRPr="00B56DAA">
        <w:rPr>
          <w:w w:val="115"/>
          <w:highlight w:val="green"/>
        </w:rPr>
        <w:t>The National Telecommunications and Information Administration</w:t>
      </w:r>
      <w:r w:rsidRPr="00B56DAA">
        <w:rPr>
          <w:spacing w:val="-12"/>
          <w:w w:val="115"/>
          <w:highlight w:val="green"/>
        </w:rPr>
        <w:t xml:space="preserve"> </w:t>
      </w:r>
      <w:r w:rsidRPr="00B56DAA">
        <w:rPr>
          <w:w w:val="115"/>
          <w:highlight w:val="green"/>
        </w:rPr>
        <w:t>(NTIA),</w:t>
      </w:r>
      <w:r w:rsidRPr="00B56DAA">
        <w:rPr>
          <w:spacing w:val="-12"/>
          <w:w w:val="115"/>
          <w:highlight w:val="green"/>
        </w:rPr>
        <w:t xml:space="preserve"> </w:t>
      </w:r>
      <w:r w:rsidRPr="00B56DAA">
        <w:rPr>
          <w:w w:val="115"/>
          <w:highlight w:val="green"/>
        </w:rPr>
        <w:t>on</w:t>
      </w:r>
      <w:r w:rsidRPr="00B56DAA">
        <w:rPr>
          <w:spacing w:val="-12"/>
          <w:w w:val="115"/>
          <w:highlight w:val="green"/>
        </w:rPr>
        <w:t xml:space="preserve"> </w:t>
      </w:r>
      <w:r w:rsidRPr="00B56DAA">
        <w:rPr>
          <w:w w:val="115"/>
          <w:highlight w:val="green"/>
        </w:rPr>
        <w:t>behalf</w:t>
      </w:r>
      <w:r w:rsidRPr="00B56DAA">
        <w:rPr>
          <w:spacing w:val="-12"/>
          <w:w w:val="115"/>
          <w:highlight w:val="green"/>
        </w:rPr>
        <w:t xml:space="preserve"> </w:t>
      </w:r>
      <w:r w:rsidRPr="00B56DAA">
        <w:rPr>
          <w:w w:val="115"/>
          <w:highlight w:val="green"/>
        </w:rPr>
        <w:t>of</w:t>
      </w:r>
      <w:r w:rsidRPr="00B56DAA">
        <w:rPr>
          <w:spacing w:val="-12"/>
          <w:w w:val="115"/>
          <w:highlight w:val="green"/>
        </w:rPr>
        <w:t xml:space="preserve"> </w:t>
      </w:r>
      <w:r w:rsidRPr="00B56DAA">
        <w:rPr>
          <w:w w:val="115"/>
          <w:highlight w:val="green"/>
        </w:rPr>
        <w:t>the Department</w:t>
      </w:r>
      <w:r w:rsidRPr="00B56DAA">
        <w:rPr>
          <w:spacing w:val="-28"/>
          <w:w w:val="115"/>
          <w:highlight w:val="green"/>
        </w:rPr>
        <w:t xml:space="preserve"> </w:t>
      </w:r>
      <w:r w:rsidRPr="00B56DAA">
        <w:rPr>
          <w:w w:val="115"/>
          <w:highlight w:val="green"/>
        </w:rPr>
        <w:t>of</w:t>
      </w:r>
      <w:r w:rsidRPr="00B56DAA">
        <w:rPr>
          <w:spacing w:val="-28"/>
          <w:w w:val="115"/>
          <w:highlight w:val="green"/>
        </w:rPr>
        <w:t xml:space="preserve"> </w:t>
      </w:r>
      <w:r w:rsidRPr="00B56DAA">
        <w:rPr>
          <w:w w:val="115"/>
          <w:highlight w:val="green"/>
        </w:rPr>
        <w:t>Commerce</w:t>
      </w:r>
      <w:r w:rsidRPr="00B56DAA">
        <w:rPr>
          <w:spacing w:val="-28"/>
          <w:w w:val="115"/>
          <w:highlight w:val="green"/>
        </w:rPr>
        <w:t xml:space="preserve"> </w:t>
      </w:r>
      <w:r w:rsidRPr="00B56DAA">
        <w:rPr>
          <w:w w:val="115"/>
          <w:highlight w:val="green"/>
        </w:rPr>
        <w:t>(Department),</w:t>
      </w:r>
      <w:r w:rsidRPr="00B56DAA">
        <w:rPr>
          <w:w w:val="112"/>
          <w:highlight w:val="green"/>
        </w:rPr>
        <w:t xml:space="preserve"> </w:t>
      </w:r>
      <w:r w:rsidRPr="00B56DAA">
        <w:rPr>
          <w:w w:val="115"/>
          <w:highlight w:val="green"/>
        </w:rPr>
        <w:t>is requesting comment on actions that can be taken to improve the quality and accuracy of broadband availability</w:t>
      </w:r>
      <w:r w:rsidRPr="00B56DAA">
        <w:rPr>
          <w:spacing w:val="-20"/>
          <w:w w:val="115"/>
          <w:highlight w:val="green"/>
        </w:rPr>
        <w:t xml:space="preserve"> </w:t>
      </w:r>
      <w:r w:rsidRPr="00B56DAA">
        <w:rPr>
          <w:w w:val="115"/>
          <w:highlight w:val="green"/>
        </w:rPr>
        <w:t xml:space="preserve">data, particularly in rural areas, as part of the activities directed by Congress in the Consolidated </w:t>
      </w:r>
      <w:r w:rsidRPr="00B56DAA">
        <w:rPr>
          <w:w w:val="115"/>
          <w:highlight w:val="green"/>
        </w:rPr>
        <w:t>Appropriations Act of 2018.</w:t>
      </w:r>
      <w:r>
        <w:rPr>
          <w:w w:val="115"/>
        </w:rPr>
        <w:t xml:space="preserve"> Through this Request for Comments (RFC), NTIA seeks input from a broad range of interested stakeholders—including private industry; academia; federal, state, and local government; not-for-profits; and other stakeholders with an </w:t>
      </w:r>
      <w:r>
        <w:rPr>
          <w:w w:val="115"/>
        </w:rPr>
        <w:t>interest in broadband availability—</w:t>
      </w:r>
      <w:r w:rsidRPr="00B56DAA">
        <w:rPr>
          <w:w w:val="115"/>
          <w:highlight w:val="green"/>
        </w:rPr>
        <w:t xml:space="preserve">on ways to improve the nation’s ability to analyze broadband availability, with the intention of identifying gaps in </w:t>
      </w:r>
      <w:bookmarkStart w:id="0" w:name="_GoBack"/>
      <w:bookmarkEnd w:id="0"/>
      <w:r w:rsidRPr="00B56DAA">
        <w:rPr>
          <w:w w:val="115"/>
          <w:highlight w:val="green"/>
        </w:rPr>
        <w:t>broadband availability that can be used to improve policymaking and inform public</w:t>
      </w:r>
      <w:r w:rsidRPr="00B56DAA">
        <w:rPr>
          <w:spacing w:val="18"/>
          <w:w w:val="115"/>
          <w:highlight w:val="green"/>
        </w:rPr>
        <w:t xml:space="preserve"> </w:t>
      </w:r>
      <w:r w:rsidRPr="00B56DAA">
        <w:rPr>
          <w:w w:val="115"/>
          <w:highlight w:val="green"/>
        </w:rPr>
        <w:t>investments.</w:t>
      </w:r>
    </w:p>
    <w:p w:rsidR="0031592A" w:rsidRPr="00B56DAA" w:rsidRDefault="00B56DAA">
      <w:pPr>
        <w:pStyle w:val="BodyText"/>
        <w:spacing w:before="19" w:line="204" w:lineRule="exact"/>
        <w:rPr>
          <w:highlight w:val="cyan"/>
        </w:rPr>
      </w:pPr>
      <w:r w:rsidRPr="00B56DAA">
        <w:rPr>
          <w:rFonts w:ascii="Arial"/>
          <w:b/>
          <w:w w:val="115"/>
          <w:sz w:val="15"/>
          <w:highlight w:val="cyan"/>
        </w:rPr>
        <w:t>DATES</w:t>
      </w:r>
      <w:r w:rsidRPr="00B56DAA">
        <w:rPr>
          <w:rFonts w:ascii="Arial"/>
          <w:b/>
          <w:w w:val="115"/>
          <w:highlight w:val="cyan"/>
        </w:rPr>
        <w:t xml:space="preserve">: </w:t>
      </w:r>
      <w:r w:rsidRPr="00B56DAA">
        <w:rPr>
          <w:w w:val="115"/>
          <w:highlight w:val="cyan"/>
        </w:rPr>
        <w:t>Comments are due on or before</w:t>
      </w:r>
    </w:p>
    <w:p w:rsidR="0031592A" w:rsidRDefault="00B56DAA">
      <w:pPr>
        <w:pStyle w:val="BodyText"/>
        <w:spacing w:before="4"/>
      </w:pPr>
      <w:r w:rsidRPr="00B56DAA">
        <w:rPr>
          <w:w w:val="110"/>
          <w:highlight w:val="cyan"/>
        </w:rPr>
        <w:t>5 p.m. Eastern Daylight Time on July 16, 2018.</w:t>
      </w:r>
    </w:p>
    <w:p w:rsidR="0031592A" w:rsidRDefault="00B56DAA">
      <w:pPr>
        <w:pStyle w:val="BodyText"/>
        <w:spacing w:before="26" w:line="230" w:lineRule="auto"/>
        <w:ind w:right="-1"/>
        <w:rPr>
          <w:rFonts w:ascii="Arial" w:hAnsi="Arial"/>
          <w:b/>
        </w:rPr>
      </w:pPr>
      <w:r>
        <w:rPr>
          <w:rFonts w:ascii="Arial" w:hAnsi="Arial"/>
          <w:b/>
          <w:w w:val="115"/>
          <w:sz w:val="15"/>
        </w:rPr>
        <w:t>ADDRESSES</w:t>
      </w:r>
      <w:r>
        <w:rPr>
          <w:rFonts w:ascii="Arial" w:hAnsi="Arial"/>
          <w:b/>
          <w:w w:val="115"/>
        </w:rPr>
        <w:t>:</w:t>
      </w:r>
      <w:r>
        <w:rPr>
          <w:rFonts w:ascii="Arial" w:hAnsi="Arial"/>
          <w:b/>
          <w:spacing w:val="-37"/>
          <w:w w:val="115"/>
        </w:rPr>
        <w:t xml:space="preserve"> </w:t>
      </w:r>
      <w:r>
        <w:rPr>
          <w:w w:val="115"/>
        </w:rPr>
        <w:t>Written</w:t>
      </w:r>
      <w:r>
        <w:rPr>
          <w:spacing w:val="-31"/>
          <w:w w:val="115"/>
        </w:rPr>
        <w:t xml:space="preserve"> </w:t>
      </w:r>
      <w:r>
        <w:rPr>
          <w:w w:val="115"/>
        </w:rPr>
        <w:t>comments</w:t>
      </w:r>
      <w:r>
        <w:rPr>
          <w:spacing w:val="-31"/>
          <w:w w:val="115"/>
        </w:rPr>
        <w:t xml:space="preserve"> </w:t>
      </w:r>
      <w:r>
        <w:rPr>
          <w:w w:val="115"/>
        </w:rPr>
        <w:t>may</w:t>
      </w:r>
      <w:r>
        <w:rPr>
          <w:spacing w:val="-31"/>
          <w:w w:val="115"/>
        </w:rPr>
        <w:t xml:space="preserve"> </w:t>
      </w:r>
      <w:r>
        <w:rPr>
          <w:w w:val="115"/>
        </w:rPr>
        <w:t xml:space="preserve">be submitted by email to </w:t>
      </w:r>
      <w:hyperlink r:id="rId6">
        <w:proofErr w:type="spellStart"/>
        <w:r>
          <w:rPr>
            <w:rFonts w:ascii="Book Antiqua" w:hAnsi="Book Antiqua"/>
            <w:i/>
            <w:w w:val="115"/>
          </w:rPr>
          <w:t>mappingrfc</w:t>
        </w:r>
        <w:proofErr w:type="spellEnd"/>
        <w:r>
          <w:rPr>
            <w:rFonts w:ascii="Book Antiqua" w:hAnsi="Book Antiqua"/>
            <w:i/>
            <w:w w:val="115"/>
          </w:rPr>
          <w:t>@</w:t>
        </w:r>
      </w:hyperlink>
      <w:r>
        <w:rPr>
          <w:rFonts w:ascii="Book Antiqua" w:hAnsi="Book Antiqua"/>
          <w:i/>
          <w:w w:val="115"/>
        </w:rPr>
        <w:t xml:space="preserve"> </w:t>
      </w:r>
      <w:hyperlink r:id="rId7">
        <w:r>
          <w:rPr>
            <w:rFonts w:ascii="Book Antiqua" w:hAnsi="Book Antiqua"/>
            <w:i/>
            <w:w w:val="115"/>
          </w:rPr>
          <w:t>ntia.doc.g</w:t>
        </w:r>
        <w:r>
          <w:rPr>
            <w:rFonts w:ascii="Book Antiqua" w:hAnsi="Book Antiqua"/>
            <w:i/>
            <w:w w:val="115"/>
          </w:rPr>
          <w:t>ov.</w:t>
        </w:r>
      </w:hyperlink>
      <w:r>
        <w:rPr>
          <w:rFonts w:ascii="Book Antiqua" w:hAnsi="Book Antiqua"/>
          <w:i/>
          <w:w w:val="115"/>
        </w:rPr>
        <w:t xml:space="preserve"> </w:t>
      </w:r>
      <w:r>
        <w:rPr>
          <w:w w:val="115"/>
        </w:rPr>
        <w:t xml:space="preserve">Written comments may also be submitted by mail to the National Telecommunications and Information Administration, U.S. Department of Commerce, 1401 Constitution Avenue NW, Room 4887, Attn: Douglas </w:t>
      </w:r>
      <w:proofErr w:type="spellStart"/>
      <w:r>
        <w:rPr>
          <w:w w:val="115"/>
        </w:rPr>
        <w:t>Kinkoph</w:t>
      </w:r>
      <w:proofErr w:type="spellEnd"/>
      <w:r>
        <w:rPr>
          <w:w w:val="115"/>
        </w:rPr>
        <w:t>, Associate Administrator, Washington, DC 20230.</w:t>
      </w:r>
      <w:r>
        <w:rPr>
          <w:w w:val="115"/>
        </w:rPr>
        <w:t xml:space="preserve"> For more instructions about submitting comments, see the ‘‘Instructions for </w:t>
      </w:r>
      <w:r>
        <w:rPr>
          <w:w w:val="105"/>
        </w:rPr>
        <w:t>Commenters’’ section of</w:t>
      </w:r>
      <w:r>
        <w:rPr>
          <w:spacing w:val="-10"/>
          <w:w w:val="105"/>
        </w:rPr>
        <w:t xml:space="preserve"> </w:t>
      </w:r>
      <w:r>
        <w:rPr>
          <w:rFonts w:ascii="Arial" w:hAnsi="Arial"/>
          <w:b/>
          <w:w w:val="105"/>
          <w:sz w:val="15"/>
        </w:rPr>
        <w:t xml:space="preserve">SUPPLEMENTARY </w:t>
      </w:r>
      <w:r>
        <w:rPr>
          <w:rFonts w:ascii="Arial" w:hAnsi="Arial"/>
          <w:b/>
          <w:w w:val="115"/>
          <w:sz w:val="15"/>
        </w:rPr>
        <w:t>INFORMATION</w:t>
      </w:r>
      <w:r>
        <w:rPr>
          <w:rFonts w:ascii="Arial" w:hAnsi="Arial"/>
          <w:b/>
          <w:w w:val="115"/>
        </w:rPr>
        <w:t>.</w:t>
      </w:r>
    </w:p>
    <w:p w:rsidR="0031592A" w:rsidRDefault="00B56DAA">
      <w:pPr>
        <w:spacing w:before="24" w:line="204" w:lineRule="exact"/>
        <w:ind w:left="140"/>
        <w:rPr>
          <w:rFonts w:ascii="Arial"/>
          <w:b/>
          <w:sz w:val="18"/>
        </w:rPr>
      </w:pPr>
      <w:r>
        <w:rPr>
          <w:rFonts w:ascii="Arial"/>
          <w:b/>
          <w:w w:val="95"/>
          <w:sz w:val="15"/>
        </w:rPr>
        <w:t xml:space="preserve">FOR FURTHER </w:t>
      </w:r>
      <w:proofErr w:type="gramStart"/>
      <w:r>
        <w:rPr>
          <w:rFonts w:ascii="Arial"/>
          <w:b/>
          <w:w w:val="95"/>
          <w:sz w:val="15"/>
        </w:rPr>
        <w:t>INFORMATION  CONTACT</w:t>
      </w:r>
      <w:proofErr w:type="gramEnd"/>
      <w:r>
        <w:rPr>
          <w:rFonts w:ascii="Arial"/>
          <w:b/>
          <w:w w:val="95"/>
          <w:sz w:val="18"/>
        </w:rPr>
        <w:t>:</w:t>
      </w:r>
    </w:p>
    <w:p w:rsidR="0031592A" w:rsidRDefault="00B56DAA">
      <w:pPr>
        <w:pStyle w:val="BodyText"/>
        <w:spacing w:before="4"/>
        <w:ind w:right="50"/>
        <w:rPr>
          <w:rFonts w:ascii="Book Antiqua" w:hAnsi="Book Antiqua"/>
          <w:i/>
        </w:rPr>
      </w:pPr>
      <w:r>
        <w:rPr>
          <w:w w:val="115"/>
        </w:rPr>
        <w:t xml:space="preserve">Andy Spurgeon, tel.: (720) 389–4900, email: </w:t>
      </w:r>
      <w:hyperlink r:id="rId8">
        <w:r>
          <w:rPr>
            <w:rFonts w:ascii="Book Antiqua" w:hAnsi="Book Antiqua"/>
            <w:i/>
            <w:w w:val="115"/>
          </w:rPr>
          <w:t>aspurgeon@ntia.doc.gov,</w:t>
        </w:r>
      </w:hyperlink>
      <w:r>
        <w:rPr>
          <w:rFonts w:ascii="Book Antiqua" w:hAnsi="Book Antiqua"/>
          <w:i/>
          <w:w w:val="115"/>
        </w:rPr>
        <w:t xml:space="preserve"> </w:t>
      </w:r>
      <w:r>
        <w:rPr>
          <w:w w:val="115"/>
        </w:rPr>
        <w:t xml:space="preserve">or Tim Moyer, tel.: (202) 482–6423, email: </w:t>
      </w:r>
      <w:hyperlink r:id="rId9">
        <w:r>
          <w:rPr>
            <w:rFonts w:ascii="Book Antiqua" w:hAnsi="Book Antiqua"/>
            <w:i/>
            <w:w w:val="115"/>
          </w:rPr>
          <w:t>tmoyer@ntia.doc.gov,</w:t>
        </w:r>
      </w:hyperlink>
      <w:r>
        <w:rPr>
          <w:rFonts w:ascii="Book Antiqua" w:hAnsi="Book Antiqua"/>
          <w:i/>
          <w:w w:val="115"/>
        </w:rPr>
        <w:t xml:space="preserve"> </w:t>
      </w:r>
      <w:r>
        <w:rPr>
          <w:w w:val="115"/>
        </w:rPr>
        <w:t>National Telecommunications and Information Administration, U.S. Department of Commerce, 1401 Constitution Avenue NW, Room</w:t>
      </w:r>
      <w:r>
        <w:rPr>
          <w:w w:val="115"/>
        </w:rPr>
        <w:t xml:space="preserve"> 4725, Washington, DC 20230. Please direct media inquiries to NTIA’s Office of Public Affairs, (202) 482–7002, or at </w:t>
      </w:r>
      <w:hyperlink r:id="rId10">
        <w:r>
          <w:rPr>
            <w:rFonts w:ascii="Book Antiqua" w:hAnsi="Book Antiqua"/>
            <w:i/>
            <w:w w:val="115"/>
          </w:rPr>
          <w:t>press@ntia.doc.gov.</w:t>
        </w:r>
      </w:hyperlink>
    </w:p>
    <w:p w:rsidR="0031592A" w:rsidRDefault="00B56DAA">
      <w:pPr>
        <w:spacing w:before="21" w:line="199" w:lineRule="exact"/>
        <w:ind w:left="140"/>
        <w:rPr>
          <w:rFonts w:ascii="Arial"/>
          <w:b/>
          <w:sz w:val="18"/>
        </w:rPr>
      </w:pPr>
      <w:r>
        <w:rPr>
          <w:rFonts w:ascii="Arial"/>
          <w:b/>
          <w:w w:val="95"/>
          <w:sz w:val="15"/>
        </w:rPr>
        <w:t>SUPPLEMENTARY INFORMATION</w:t>
      </w:r>
      <w:r>
        <w:rPr>
          <w:rFonts w:ascii="Arial"/>
          <w:b/>
          <w:w w:val="95"/>
          <w:sz w:val="18"/>
        </w:rPr>
        <w:t>:</w:t>
      </w:r>
    </w:p>
    <w:p w:rsidR="0031592A" w:rsidRDefault="00B56DAA">
      <w:pPr>
        <w:pStyle w:val="BodyText"/>
        <w:ind w:left="139" w:right="-9" w:firstLine="180"/>
      </w:pPr>
      <w:r>
        <w:rPr>
          <w:rFonts w:ascii="Book Antiqua" w:hAnsi="Book Antiqua"/>
          <w:i/>
          <w:w w:val="115"/>
        </w:rPr>
        <w:t xml:space="preserve">Background: </w:t>
      </w:r>
      <w:r>
        <w:rPr>
          <w:w w:val="115"/>
        </w:rPr>
        <w:t>Broadband connectivity is essential</w:t>
      </w:r>
      <w:r>
        <w:rPr>
          <w:w w:val="115"/>
        </w:rPr>
        <w:t xml:space="preserve"> to the nation’s economic growth and social advancement. It is</w:t>
      </w:r>
      <w:r>
        <w:rPr>
          <w:spacing w:val="-7"/>
          <w:w w:val="115"/>
        </w:rPr>
        <w:t xml:space="preserve"> </w:t>
      </w:r>
      <w:r>
        <w:rPr>
          <w:w w:val="115"/>
        </w:rPr>
        <w:t>the conduit for economic and social opportunities for U.S. households and a gateway to increased productivity, growth and market access for</w:t>
      </w:r>
      <w:r>
        <w:rPr>
          <w:spacing w:val="-28"/>
          <w:w w:val="115"/>
        </w:rPr>
        <w:t xml:space="preserve"> </w:t>
      </w:r>
      <w:r>
        <w:rPr>
          <w:w w:val="115"/>
        </w:rPr>
        <w:t>businesses of all sizes, yet many American businesses</w:t>
      </w:r>
      <w:r>
        <w:rPr>
          <w:w w:val="115"/>
        </w:rPr>
        <w:t>, households and critical anchor institutions lack sufficient broadband availability. Using its</w:t>
      </w:r>
      <w:r>
        <w:rPr>
          <w:spacing w:val="-5"/>
          <w:w w:val="115"/>
        </w:rPr>
        <w:t xml:space="preserve"> </w:t>
      </w:r>
      <w:r>
        <w:rPr>
          <w:w w:val="115"/>
        </w:rPr>
        <w:t>current</w:t>
      </w:r>
    </w:p>
    <w:p w:rsidR="0031592A" w:rsidRDefault="00B56DAA">
      <w:pPr>
        <w:pStyle w:val="BodyText"/>
        <w:spacing w:before="105" w:line="232" w:lineRule="auto"/>
        <w:ind w:left="139"/>
      </w:pPr>
      <w:r>
        <w:br w:type="column"/>
      </w:r>
      <w:r>
        <w:rPr>
          <w:w w:val="115"/>
        </w:rPr>
        <w:t xml:space="preserve">definition of broadband (25 Mbps downstream/3 Mbps upstream), </w:t>
      </w:r>
      <w:r w:rsidRPr="0006646F">
        <w:rPr>
          <w:w w:val="115"/>
          <w:highlight w:val="yellow"/>
        </w:rPr>
        <w:t>Federal Communications Commission (FCC) data show that approximately 8 percent of America</w:t>
      </w:r>
      <w:r w:rsidRPr="0006646F">
        <w:rPr>
          <w:w w:val="115"/>
          <w:highlight w:val="yellow"/>
        </w:rPr>
        <w:t>ns lived in places where fixed terrestrial broadband service was unavailable by the end of 2016.</w:t>
      </w:r>
      <w:r>
        <w:rPr>
          <w:w w:val="115"/>
        </w:rPr>
        <w:t xml:space="preserve"> This data also demonstrates that there continued to be a significant disparity across America, with more than 30 percent of rural Americans and approximately </w:t>
      </w:r>
      <w:r w:rsidRPr="0006646F">
        <w:rPr>
          <w:w w:val="115"/>
          <w:highlight w:val="yellow"/>
        </w:rPr>
        <w:t>3</w:t>
      </w:r>
      <w:r w:rsidRPr="0006646F">
        <w:rPr>
          <w:w w:val="115"/>
          <w:highlight w:val="yellow"/>
        </w:rPr>
        <w:t>5 percent of those</w:t>
      </w:r>
      <w:r w:rsidRPr="0006646F">
        <w:rPr>
          <w:spacing w:val="-18"/>
          <w:w w:val="115"/>
          <w:highlight w:val="yellow"/>
        </w:rPr>
        <w:t xml:space="preserve"> </w:t>
      </w:r>
      <w:r w:rsidRPr="0006646F">
        <w:rPr>
          <w:w w:val="115"/>
          <w:highlight w:val="yellow"/>
        </w:rPr>
        <w:t>living on Tribal lands lacking broadband availability</w:t>
      </w:r>
      <w:r>
        <w:rPr>
          <w:w w:val="115"/>
        </w:rPr>
        <w:t>, compared to 2 percent of Americans living in urban areas.</w:t>
      </w:r>
      <w:r>
        <w:rPr>
          <w:w w:val="115"/>
          <w:position w:val="5"/>
          <w:sz w:val="11"/>
        </w:rPr>
        <w:t xml:space="preserve">1 </w:t>
      </w:r>
      <w:r>
        <w:rPr>
          <w:w w:val="115"/>
        </w:rPr>
        <w:t>Many businesses, schools and libraries in rural and Tribal areas are insufficiently served or cannot afford the network tra</w:t>
      </w:r>
      <w:r>
        <w:rPr>
          <w:w w:val="115"/>
        </w:rPr>
        <w:t>nsmission speed required to support multiple users of bandwidth-intensive applications. Knowing where the persistent gaps in broadband exist is crucial to enabling more efficient and effective investments in broadband infrastructure from both the public an</w:t>
      </w:r>
      <w:r>
        <w:rPr>
          <w:w w:val="115"/>
        </w:rPr>
        <w:t>d private</w:t>
      </w:r>
      <w:r>
        <w:rPr>
          <w:spacing w:val="-5"/>
          <w:w w:val="115"/>
        </w:rPr>
        <w:t xml:space="preserve"> </w:t>
      </w:r>
      <w:r>
        <w:rPr>
          <w:w w:val="115"/>
        </w:rPr>
        <w:t>sectors.</w:t>
      </w:r>
    </w:p>
    <w:p w:rsidR="0031592A" w:rsidRDefault="00B56DAA">
      <w:pPr>
        <w:pStyle w:val="BodyText"/>
        <w:spacing w:before="2"/>
        <w:ind w:left="139" w:right="4" w:firstLine="180"/>
      </w:pPr>
      <w:r>
        <w:rPr>
          <w:w w:val="115"/>
        </w:rPr>
        <w:t>NTIA, in collaboration with the FCC, pioneered the collection of extensive broadband deployment data when it launched the State Broadband Initiative (SBI) in 2009. Through this program, NTIA</w:t>
      </w:r>
      <w:r>
        <w:rPr>
          <w:spacing w:val="-9"/>
          <w:w w:val="115"/>
        </w:rPr>
        <w:t xml:space="preserve"> </w:t>
      </w:r>
      <w:r>
        <w:rPr>
          <w:w w:val="115"/>
        </w:rPr>
        <w:t>worked</w:t>
      </w:r>
      <w:r>
        <w:rPr>
          <w:spacing w:val="-9"/>
          <w:w w:val="115"/>
        </w:rPr>
        <w:t xml:space="preserve"> </w:t>
      </w:r>
      <w:r>
        <w:rPr>
          <w:w w:val="115"/>
        </w:rPr>
        <w:t>with</w:t>
      </w:r>
      <w:r>
        <w:rPr>
          <w:spacing w:val="-9"/>
          <w:w w:val="115"/>
        </w:rPr>
        <w:t xml:space="preserve"> </w:t>
      </w:r>
      <w:r>
        <w:rPr>
          <w:w w:val="115"/>
        </w:rPr>
        <w:t>every</w:t>
      </w:r>
      <w:r>
        <w:rPr>
          <w:spacing w:val="-9"/>
          <w:w w:val="115"/>
        </w:rPr>
        <w:t xml:space="preserve"> </w:t>
      </w:r>
      <w:r>
        <w:rPr>
          <w:w w:val="115"/>
        </w:rPr>
        <w:t>state,</w:t>
      </w:r>
      <w:r>
        <w:rPr>
          <w:spacing w:val="-9"/>
          <w:w w:val="115"/>
        </w:rPr>
        <w:t xml:space="preserve"> </w:t>
      </w:r>
      <w:r>
        <w:rPr>
          <w:w w:val="115"/>
        </w:rPr>
        <w:t>territory, and the District of Columbia to collect fixed and mobile broadband availability data for over 11 million Census blocks every</w:t>
      </w:r>
      <w:r>
        <w:rPr>
          <w:spacing w:val="-10"/>
          <w:w w:val="115"/>
        </w:rPr>
        <w:t xml:space="preserve"> </w:t>
      </w:r>
      <w:r>
        <w:rPr>
          <w:w w:val="115"/>
        </w:rPr>
        <w:t>six</w:t>
      </w:r>
      <w:r>
        <w:rPr>
          <w:spacing w:val="-10"/>
          <w:w w:val="115"/>
        </w:rPr>
        <w:t xml:space="preserve"> </w:t>
      </w:r>
      <w:r>
        <w:rPr>
          <w:w w:val="115"/>
        </w:rPr>
        <w:t>months</w:t>
      </w:r>
      <w:r>
        <w:rPr>
          <w:spacing w:val="-10"/>
          <w:w w:val="115"/>
        </w:rPr>
        <w:t xml:space="preserve"> </w:t>
      </w:r>
      <w:r>
        <w:rPr>
          <w:w w:val="115"/>
        </w:rPr>
        <w:t>for</w:t>
      </w:r>
      <w:r>
        <w:rPr>
          <w:spacing w:val="-10"/>
          <w:w w:val="115"/>
        </w:rPr>
        <w:t xml:space="preserve"> </w:t>
      </w:r>
      <w:r>
        <w:rPr>
          <w:w w:val="115"/>
        </w:rPr>
        <w:t>five</w:t>
      </w:r>
      <w:r>
        <w:rPr>
          <w:spacing w:val="-10"/>
          <w:w w:val="115"/>
        </w:rPr>
        <w:t xml:space="preserve"> </w:t>
      </w:r>
      <w:r>
        <w:rPr>
          <w:w w:val="115"/>
        </w:rPr>
        <w:t>years.</w:t>
      </w:r>
      <w:r>
        <w:rPr>
          <w:spacing w:val="-10"/>
          <w:w w:val="115"/>
        </w:rPr>
        <w:t xml:space="preserve"> </w:t>
      </w:r>
      <w:r>
        <w:rPr>
          <w:w w:val="115"/>
        </w:rPr>
        <w:t>To</w:t>
      </w:r>
      <w:r>
        <w:rPr>
          <w:spacing w:val="-10"/>
          <w:w w:val="115"/>
        </w:rPr>
        <w:t xml:space="preserve"> </w:t>
      </w:r>
      <w:r>
        <w:rPr>
          <w:w w:val="115"/>
        </w:rPr>
        <w:t>make these data accessible to a broad audience, NTIA launched the National Broadband</w:t>
      </w:r>
      <w:r>
        <w:rPr>
          <w:spacing w:val="-24"/>
          <w:w w:val="115"/>
        </w:rPr>
        <w:t xml:space="preserve"> </w:t>
      </w:r>
      <w:r>
        <w:rPr>
          <w:w w:val="115"/>
        </w:rPr>
        <w:t>Map</w:t>
      </w:r>
      <w:r>
        <w:rPr>
          <w:spacing w:val="-24"/>
          <w:w w:val="115"/>
        </w:rPr>
        <w:t xml:space="preserve"> </w:t>
      </w:r>
      <w:r>
        <w:rPr>
          <w:w w:val="115"/>
        </w:rPr>
        <w:t>(</w:t>
      </w:r>
      <w:r>
        <w:rPr>
          <w:w w:val="115"/>
        </w:rPr>
        <w:t>NBM)</w:t>
      </w:r>
      <w:r>
        <w:rPr>
          <w:spacing w:val="-24"/>
          <w:w w:val="115"/>
        </w:rPr>
        <w:t xml:space="preserve"> </w:t>
      </w:r>
      <w:r>
        <w:rPr>
          <w:w w:val="115"/>
        </w:rPr>
        <w:t>in</w:t>
      </w:r>
      <w:r>
        <w:rPr>
          <w:spacing w:val="-24"/>
          <w:w w:val="115"/>
        </w:rPr>
        <w:t xml:space="preserve"> </w:t>
      </w:r>
      <w:r>
        <w:rPr>
          <w:w w:val="115"/>
        </w:rPr>
        <w:t>2011.</w:t>
      </w:r>
    </w:p>
    <w:p w:rsidR="0031592A" w:rsidRDefault="00B56DAA">
      <w:pPr>
        <w:pStyle w:val="BodyText"/>
        <w:ind w:left="139" w:right="20"/>
      </w:pPr>
      <w:r>
        <w:rPr>
          <w:w w:val="115"/>
        </w:rPr>
        <w:t>Although the SBI program ended in 2015, NTIA continues its extensive work to collect, analyze, and disseminate data relevant to broadband availability and adoption.</w:t>
      </w:r>
    </w:p>
    <w:p w:rsidR="0031592A" w:rsidRDefault="00B56DAA">
      <w:pPr>
        <w:pStyle w:val="BodyText"/>
        <w:spacing w:line="232" w:lineRule="auto"/>
        <w:ind w:left="139" w:right="17" w:firstLine="180"/>
      </w:pPr>
      <w:r w:rsidRPr="0006646F">
        <w:rPr>
          <w:w w:val="115"/>
          <w:highlight w:val="yellow"/>
        </w:rPr>
        <w:t xml:space="preserve">Presently, the only source of nationwide broadband availability data is that </w:t>
      </w:r>
      <w:r w:rsidRPr="0006646F">
        <w:rPr>
          <w:w w:val="115"/>
          <w:highlight w:val="yellow"/>
        </w:rPr>
        <w:t>collected from broadband service provider</w:t>
      </w:r>
      <w:r w:rsidRPr="0006646F">
        <w:rPr>
          <w:spacing w:val="-10"/>
          <w:w w:val="115"/>
          <w:highlight w:val="yellow"/>
        </w:rPr>
        <w:t xml:space="preserve"> </w:t>
      </w:r>
      <w:r w:rsidRPr="0006646F">
        <w:rPr>
          <w:w w:val="115"/>
          <w:highlight w:val="yellow"/>
        </w:rPr>
        <w:t>responses</w:t>
      </w:r>
      <w:r w:rsidRPr="0006646F">
        <w:rPr>
          <w:spacing w:val="-10"/>
          <w:w w:val="115"/>
          <w:highlight w:val="yellow"/>
        </w:rPr>
        <w:t xml:space="preserve"> </w:t>
      </w:r>
      <w:r w:rsidRPr="0006646F">
        <w:rPr>
          <w:w w:val="115"/>
          <w:highlight w:val="yellow"/>
        </w:rPr>
        <w:t>to</w:t>
      </w:r>
      <w:r w:rsidRPr="0006646F">
        <w:rPr>
          <w:spacing w:val="-10"/>
          <w:w w:val="115"/>
          <w:highlight w:val="yellow"/>
        </w:rPr>
        <w:t xml:space="preserve"> </w:t>
      </w:r>
      <w:r w:rsidRPr="0006646F">
        <w:rPr>
          <w:w w:val="115"/>
          <w:highlight w:val="yellow"/>
        </w:rPr>
        <w:t>the</w:t>
      </w:r>
      <w:r w:rsidRPr="0006646F">
        <w:rPr>
          <w:spacing w:val="-10"/>
          <w:w w:val="115"/>
          <w:highlight w:val="yellow"/>
        </w:rPr>
        <w:t xml:space="preserve"> </w:t>
      </w:r>
      <w:r w:rsidRPr="0006646F">
        <w:rPr>
          <w:w w:val="115"/>
          <w:highlight w:val="yellow"/>
        </w:rPr>
        <w:t>FCC</w:t>
      </w:r>
      <w:r w:rsidRPr="0006646F">
        <w:rPr>
          <w:spacing w:val="-10"/>
          <w:w w:val="115"/>
          <w:highlight w:val="yellow"/>
        </w:rPr>
        <w:t xml:space="preserve"> </w:t>
      </w:r>
      <w:r w:rsidRPr="0006646F">
        <w:rPr>
          <w:w w:val="115"/>
          <w:highlight w:val="yellow"/>
        </w:rPr>
        <w:t>Form</w:t>
      </w:r>
      <w:r w:rsidRPr="0006646F">
        <w:rPr>
          <w:spacing w:val="-10"/>
          <w:w w:val="115"/>
          <w:highlight w:val="yellow"/>
        </w:rPr>
        <w:t xml:space="preserve"> </w:t>
      </w:r>
      <w:r w:rsidRPr="0006646F">
        <w:rPr>
          <w:w w:val="115"/>
          <w:highlight w:val="yellow"/>
        </w:rPr>
        <w:t>477 Fixed Broadband Deployment data process. Form 477 data are submitted</w:t>
      </w:r>
      <w:r w:rsidRPr="0006646F">
        <w:rPr>
          <w:spacing w:val="-29"/>
          <w:w w:val="115"/>
          <w:highlight w:val="yellow"/>
        </w:rPr>
        <w:t xml:space="preserve"> </w:t>
      </w:r>
      <w:r w:rsidRPr="0006646F">
        <w:rPr>
          <w:w w:val="115"/>
          <w:highlight w:val="yellow"/>
        </w:rPr>
        <w:t>by voice and broadband</w:t>
      </w:r>
      <w:r>
        <w:rPr>
          <w:w w:val="115"/>
        </w:rPr>
        <w:t xml:space="preserve"> </w:t>
      </w:r>
      <w:r w:rsidRPr="0006646F">
        <w:rPr>
          <w:w w:val="115"/>
          <w:highlight w:val="yellow"/>
        </w:rPr>
        <w:t xml:space="preserve">telecommunications service providers semi-annually and include information on services each </w:t>
      </w:r>
      <w:r w:rsidRPr="0006646F">
        <w:rPr>
          <w:w w:val="115"/>
          <w:highlight w:val="yellow"/>
        </w:rPr>
        <w:t>provider offers, at the Census block level.</w:t>
      </w:r>
      <w:r>
        <w:rPr>
          <w:w w:val="115"/>
          <w:position w:val="5"/>
          <w:sz w:val="11"/>
        </w:rPr>
        <w:t xml:space="preserve">2 </w:t>
      </w:r>
      <w:r>
        <w:rPr>
          <w:w w:val="115"/>
        </w:rPr>
        <w:t>While the Census block system provides a very high level of geographic granularity overall—the United States is divided into over 11 million blocks, 95 percent of which</w:t>
      </w:r>
      <w:r>
        <w:rPr>
          <w:spacing w:val="-9"/>
          <w:w w:val="115"/>
        </w:rPr>
        <w:t xml:space="preserve"> </w:t>
      </w:r>
      <w:r>
        <w:rPr>
          <w:w w:val="115"/>
        </w:rPr>
        <w:t>do</w:t>
      </w:r>
    </w:p>
    <w:p w:rsidR="0031592A" w:rsidRDefault="00B56DAA">
      <w:pPr>
        <w:pStyle w:val="BodyText"/>
        <w:spacing w:before="9" w:line="240" w:lineRule="auto"/>
        <w:ind w:left="0"/>
        <w:rPr>
          <w:sz w:val="10"/>
        </w:rPr>
      </w:pPr>
      <w:r>
        <w:pict>
          <v:line id="_x0000_s1032" style="position:absolute;z-index:1072;mso-wrap-distance-left:0;mso-wrap-distance-right:0;mso-position-horizontal-relative:page" from="222pt,8.45pt" to="272pt,8.45pt" strokeweight=".5pt">
            <w10:wrap type="topAndBottom" anchorx="page"/>
          </v:line>
        </w:pict>
      </w:r>
    </w:p>
    <w:p w:rsidR="0031592A" w:rsidRDefault="00B56DAA">
      <w:pPr>
        <w:spacing w:before="12" w:line="160" w:lineRule="exact"/>
        <w:ind w:left="140" w:right="223" w:firstLine="139"/>
        <w:rPr>
          <w:rFonts w:ascii="Book Antiqua" w:hAnsi="Book Antiqua"/>
          <w:i/>
          <w:sz w:val="14"/>
        </w:rPr>
      </w:pPr>
      <w:r>
        <w:rPr>
          <w:w w:val="115"/>
          <w:position w:val="4"/>
          <w:sz w:val="9"/>
        </w:rPr>
        <w:t xml:space="preserve">1 </w:t>
      </w:r>
      <w:r>
        <w:rPr>
          <w:w w:val="115"/>
          <w:sz w:val="14"/>
        </w:rPr>
        <w:t xml:space="preserve">Federal Communications Commission 2018 Broadband Progress Report. See </w:t>
      </w:r>
      <w:hyperlink r:id="rId11">
        <w:r>
          <w:rPr>
            <w:rFonts w:ascii="Book Antiqua" w:hAnsi="Book Antiqua"/>
            <w:i/>
            <w:w w:val="115"/>
            <w:sz w:val="14"/>
          </w:rPr>
          <w:t>https://</w:t>
        </w:r>
      </w:hyperlink>
      <w:r>
        <w:rPr>
          <w:rFonts w:ascii="Book Antiqua" w:hAnsi="Book Antiqua"/>
          <w:i/>
          <w:w w:val="115"/>
          <w:sz w:val="14"/>
        </w:rPr>
        <w:t xml:space="preserve"> </w:t>
      </w:r>
      <w:hyperlink r:id="rId12">
        <w:r>
          <w:rPr>
            <w:rFonts w:ascii="Book Antiqua" w:hAnsi="Book Antiqua"/>
            <w:i/>
            <w:w w:val="115"/>
            <w:sz w:val="14"/>
          </w:rPr>
          <w:t>apps.fcc.gov/</w:t>
        </w:r>
        <w:proofErr w:type="spellStart"/>
        <w:r>
          <w:rPr>
            <w:rFonts w:ascii="Book Antiqua" w:hAnsi="Book Antiqua"/>
            <w:i/>
            <w:w w:val="115"/>
            <w:sz w:val="14"/>
          </w:rPr>
          <w:t>ed</w:t>
        </w:r>
        <w:r>
          <w:rPr>
            <w:rFonts w:ascii="Book Antiqua" w:hAnsi="Book Antiqua"/>
            <w:i/>
            <w:w w:val="115"/>
            <w:sz w:val="14"/>
          </w:rPr>
          <w:t>ocs</w:t>
        </w:r>
        <w:r>
          <w:rPr>
            <w:rFonts w:ascii="Symbol" w:hAnsi="Symbol"/>
            <w:w w:val="115"/>
            <w:sz w:val="14"/>
          </w:rPr>
          <w:t></w:t>
        </w:r>
        <w:r>
          <w:rPr>
            <w:rFonts w:ascii="Book Antiqua" w:hAnsi="Book Antiqua"/>
            <w:i/>
            <w:w w:val="115"/>
            <w:sz w:val="14"/>
          </w:rPr>
          <w:t>public</w:t>
        </w:r>
        <w:proofErr w:type="spellEnd"/>
        <w:r>
          <w:rPr>
            <w:rFonts w:ascii="Book Antiqua" w:hAnsi="Book Antiqua"/>
            <w:i/>
            <w:w w:val="115"/>
            <w:sz w:val="14"/>
          </w:rPr>
          <w:t>/</w:t>
        </w:r>
        <w:proofErr w:type="spellStart"/>
        <w:r>
          <w:rPr>
            <w:rFonts w:ascii="Book Antiqua" w:hAnsi="Book Antiqua"/>
            <w:i/>
            <w:w w:val="115"/>
            <w:sz w:val="14"/>
          </w:rPr>
          <w:t>attachmatch</w:t>
        </w:r>
        <w:proofErr w:type="spellEnd"/>
        <w:r>
          <w:rPr>
            <w:rFonts w:ascii="Book Antiqua" w:hAnsi="Book Antiqua"/>
            <w:i/>
            <w:w w:val="115"/>
            <w:sz w:val="14"/>
          </w:rPr>
          <w:t>/FCC-18-</w:t>
        </w:r>
      </w:hyperlink>
      <w:r>
        <w:rPr>
          <w:rFonts w:ascii="Book Antiqua" w:hAnsi="Book Antiqua"/>
          <w:i/>
          <w:w w:val="115"/>
          <w:sz w:val="14"/>
        </w:rPr>
        <w:t xml:space="preserve"> </w:t>
      </w:r>
      <w:hyperlink r:id="rId13">
        <w:r>
          <w:rPr>
            <w:rFonts w:ascii="Book Antiqua" w:hAnsi="Book Antiqua"/>
            <w:i/>
            <w:w w:val="115"/>
            <w:sz w:val="14"/>
          </w:rPr>
          <w:t>10A1.pdf.</w:t>
        </w:r>
      </w:hyperlink>
    </w:p>
    <w:p w:rsidR="0031592A" w:rsidRDefault="00B56DAA">
      <w:pPr>
        <w:spacing w:before="20" w:line="160" w:lineRule="exact"/>
        <w:ind w:left="140" w:right="12" w:firstLine="139"/>
        <w:rPr>
          <w:rFonts w:ascii="Book Antiqua" w:hAnsi="Book Antiqua"/>
          <w:i/>
          <w:sz w:val="14"/>
        </w:rPr>
      </w:pPr>
      <w:r>
        <w:rPr>
          <w:w w:val="115"/>
          <w:position w:val="4"/>
          <w:sz w:val="9"/>
        </w:rPr>
        <w:t xml:space="preserve">2 </w:t>
      </w:r>
      <w:r>
        <w:rPr>
          <w:w w:val="115"/>
          <w:sz w:val="14"/>
        </w:rPr>
        <w:t xml:space="preserve">‘‘All facilities-based broadband providers are required to file data with the FCC twice a year (Form 477) on where they offer internet access service at speeds exceeding 200 kbps in at least one direction.’’ See </w:t>
      </w:r>
      <w:hyperlink r:id="rId14">
        <w:r>
          <w:rPr>
            <w:rFonts w:ascii="Book Antiqua" w:hAnsi="Book Antiqua"/>
            <w:i/>
            <w:w w:val="115"/>
            <w:sz w:val="14"/>
          </w:rPr>
          <w:t>https://www.fcc.gov/general/</w:t>
        </w:r>
      </w:hyperlink>
      <w:r>
        <w:rPr>
          <w:rFonts w:ascii="Book Antiqua" w:hAnsi="Book Antiqua"/>
          <w:i/>
          <w:w w:val="115"/>
          <w:sz w:val="14"/>
        </w:rPr>
        <w:t xml:space="preserve"> </w:t>
      </w:r>
      <w:hyperlink r:id="rId15">
        <w:r>
          <w:rPr>
            <w:rFonts w:ascii="Book Antiqua" w:hAnsi="Book Antiqua"/>
            <w:i/>
            <w:w w:val="115"/>
            <w:sz w:val="14"/>
          </w:rPr>
          <w:t>broadband-deployment-data-fcc-form-477.</w:t>
        </w:r>
      </w:hyperlink>
    </w:p>
    <w:p w:rsidR="0031592A" w:rsidRDefault="00B56DAA">
      <w:pPr>
        <w:pStyle w:val="BodyText"/>
        <w:spacing w:before="109" w:line="198" w:lineRule="exact"/>
        <w:ind w:left="139" w:right="175"/>
      </w:pPr>
      <w:r>
        <w:br w:type="column"/>
      </w:r>
      <w:r>
        <w:rPr>
          <w:w w:val="115"/>
        </w:rPr>
        <w:t>not exceed 1 square mile in land area— it is possible that</w:t>
      </w:r>
      <w:r>
        <w:rPr>
          <w:w w:val="115"/>
        </w:rPr>
        <w:t xml:space="preserve"> broadband availability may vary within a single block, particularly if it is geographically larger (which is most common in rural areas). A provider offering service to any homes or businesses in a Census block is instructed to report that block as served</w:t>
      </w:r>
      <w:r>
        <w:rPr>
          <w:w w:val="115"/>
        </w:rPr>
        <w:t xml:space="preserve"> in its Form 477 filing, even </w:t>
      </w:r>
      <w:r w:rsidRPr="0006646F">
        <w:rPr>
          <w:w w:val="115"/>
          <w:highlight w:val="yellow"/>
        </w:rPr>
        <w:t>though it may not offer broadband services in most of the block. This can lead to overstatements in the level of broadband availability,</w:t>
      </w:r>
      <w:r>
        <w:rPr>
          <w:w w:val="115"/>
        </w:rPr>
        <w:t xml:space="preserve"> especially in rural areas where Census blocks are large.</w:t>
      </w:r>
    </w:p>
    <w:p w:rsidR="0031592A" w:rsidRPr="0006646F" w:rsidRDefault="00B56DAA">
      <w:pPr>
        <w:pStyle w:val="BodyText"/>
        <w:spacing w:line="179" w:lineRule="exact"/>
        <w:ind w:left="139" w:firstLine="180"/>
        <w:rPr>
          <w:highlight w:val="yellow"/>
        </w:rPr>
      </w:pPr>
      <w:r w:rsidRPr="0006646F">
        <w:rPr>
          <w:w w:val="115"/>
          <w:highlight w:val="yellow"/>
        </w:rPr>
        <w:t>Moreover, there is no independen</w:t>
      </w:r>
      <w:r w:rsidRPr="0006646F">
        <w:rPr>
          <w:w w:val="115"/>
          <w:highlight w:val="yellow"/>
        </w:rPr>
        <w:t>t</w:t>
      </w:r>
    </w:p>
    <w:p w:rsidR="0031592A" w:rsidRDefault="00B56DAA">
      <w:pPr>
        <w:pStyle w:val="BodyText"/>
        <w:spacing w:before="5" w:line="198" w:lineRule="exact"/>
        <w:ind w:left="139" w:right="182"/>
      </w:pPr>
      <w:r w:rsidRPr="0006646F">
        <w:rPr>
          <w:w w:val="115"/>
          <w:highlight w:val="yellow"/>
        </w:rPr>
        <w:t>validation or verification process for Form 477 data service providers to submit</w:t>
      </w:r>
      <w:r w:rsidRPr="0006646F">
        <w:rPr>
          <w:spacing w:val="-16"/>
          <w:w w:val="115"/>
          <w:highlight w:val="yellow"/>
        </w:rPr>
        <w:t xml:space="preserve"> </w:t>
      </w:r>
      <w:r w:rsidRPr="0006646F">
        <w:rPr>
          <w:w w:val="115"/>
          <w:highlight w:val="yellow"/>
        </w:rPr>
        <w:t>to</w:t>
      </w:r>
      <w:r w:rsidRPr="0006646F">
        <w:rPr>
          <w:spacing w:val="-16"/>
          <w:w w:val="115"/>
          <w:highlight w:val="yellow"/>
        </w:rPr>
        <w:t xml:space="preserve"> </w:t>
      </w:r>
      <w:r w:rsidRPr="0006646F">
        <w:rPr>
          <w:w w:val="115"/>
          <w:highlight w:val="yellow"/>
        </w:rPr>
        <w:t>the</w:t>
      </w:r>
      <w:r w:rsidRPr="0006646F">
        <w:rPr>
          <w:spacing w:val="-16"/>
          <w:w w:val="115"/>
          <w:highlight w:val="yellow"/>
        </w:rPr>
        <w:t xml:space="preserve"> </w:t>
      </w:r>
      <w:r w:rsidRPr="0006646F">
        <w:rPr>
          <w:w w:val="115"/>
          <w:highlight w:val="yellow"/>
        </w:rPr>
        <w:t>FCC</w:t>
      </w:r>
      <w:r>
        <w:rPr>
          <w:w w:val="115"/>
        </w:rPr>
        <w:t>.</w:t>
      </w:r>
      <w:r>
        <w:rPr>
          <w:spacing w:val="-16"/>
          <w:w w:val="115"/>
        </w:rPr>
        <w:t xml:space="preserve"> </w:t>
      </w:r>
      <w:r>
        <w:rPr>
          <w:w w:val="115"/>
        </w:rPr>
        <w:t>While</w:t>
      </w:r>
      <w:r>
        <w:rPr>
          <w:spacing w:val="-16"/>
          <w:w w:val="115"/>
        </w:rPr>
        <w:t xml:space="preserve"> </w:t>
      </w:r>
      <w:r>
        <w:rPr>
          <w:w w:val="115"/>
        </w:rPr>
        <w:t>NTIA</w:t>
      </w:r>
      <w:r>
        <w:rPr>
          <w:spacing w:val="-16"/>
          <w:w w:val="115"/>
        </w:rPr>
        <w:t xml:space="preserve"> </w:t>
      </w:r>
      <w:r>
        <w:rPr>
          <w:w w:val="115"/>
        </w:rPr>
        <w:t>believes that the Form 477 data program is impressively large and useful, and benefits broadband policy research and decision-making, as well as the F</w:t>
      </w:r>
      <w:r>
        <w:rPr>
          <w:w w:val="115"/>
        </w:rPr>
        <w:t>CC’s internal needs, NTIA also believes that the Form 477 data collection program suffers from issues with data</w:t>
      </w:r>
      <w:r>
        <w:rPr>
          <w:spacing w:val="-25"/>
          <w:w w:val="115"/>
        </w:rPr>
        <w:t xml:space="preserve"> </w:t>
      </w:r>
      <w:r>
        <w:rPr>
          <w:w w:val="115"/>
        </w:rPr>
        <w:t>accuracy.</w:t>
      </w:r>
    </w:p>
    <w:p w:rsidR="0031592A" w:rsidRDefault="00B56DAA">
      <w:pPr>
        <w:pStyle w:val="BodyText"/>
        <w:spacing w:line="179" w:lineRule="exact"/>
        <w:ind w:left="319"/>
      </w:pPr>
      <w:r>
        <w:rPr>
          <w:w w:val="115"/>
        </w:rPr>
        <w:t>Recognizing the deficiencies of the</w:t>
      </w:r>
    </w:p>
    <w:p w:rsidR="0031592A" w:rsidRDefault="00B56DAA">
      <w:pPr>
        <w:pStyle w:val="BodyText"/>
        <w:spacing w:before="6" w:line="198" w:lineRule="exact"/>
        <w:ind w:left="139" w:right="153"/>
      </w:pPr>
      <w:r>
        <w:rPr>
          <w:w w:val="115"/>
        </w:rPr>
        <w:t>current broadband data collection process, Congress directed NTIA to update the national broadband</w:t>
      </w:r>
      <w:r>
        <w:rPr>
          <w:w w:val="115"/>
        </w:rPr>
        <w:t xml:space="preserve"> availability map in coordination with the FCC and use partnerships previously developed with the states. Unlike</w:t>
      </w:r>
      <w:r>
        <w:rPr>
          <w:spacing w:val="-11"/>
          <w:w w:val="115"/>
        </w:rPr>
        <w:t xml:space="preserve"> </w:t>
      </w:r>
      <w:r>
        <w:rPr>
          <w:w w:val="115"/>
        </w:rPr>
        <w:t>the</w:t>
      </w:r>
      <w:r>
        <w:rPr>
          <w:spacing w:val="-11"/>
          <w:w w:val="115"/>
        </w:rPr>
        <w:t xml:space="preserve"> </w:t>
      </w:r>
      <w:r>
        <w:rPr>
          <w:w w:val="115"/>
        </w:rPr>
        <w:t>SBI</w:t>
      </w:r>
      <w:r>
        <w:rPr>
          <w:spacing w:val="-11"/>
          <w:w w:val="115"/>
        </w:rPr>
        <w:t xml:space="preserve"> </w:t>
      </w:r>
      <w:r>
        <w:rPr>
          <w:w w:val="115"/>
        </w:rPr>
        <w:t>program,</w:t>
      </w:r>
      <w:r>
        <w:rPr>
          <w:spacing w:val="-11"/>
          <w:w w:val="115"/>
        </w:rPr>
        <w:t xml:space="preserve"> </w:t>
      </w:r>
      <w:r>
        <w:rPr>
          <w:w w:val="115"/>
        </w:rPr>
        <w:t>in</w:t>
      </w:r>
      <w:r>
        <w:rPr>
          <w:spacing w:val="-11"/>
          <w:w w:val="115"/>
        </w:rPr>
        <w:t xml:space="preserve"> </w:t>
      </w:r>
      <w:r>
        <w:rPr>
          <w:w w:val="115"/>
        </w:rPr>
        <w:t>which</w:t>
      </w:r>
      <w:r>
        <w:rPr>
          <w:spacing w:val="-11"/>
          <w:w w:val="115"/>
        </w:rPr>
        <w:t xml:space="preserve"> </w:t>
      </w:r>
      <w:r>
        <w:rPr>
          <w:w w:val="115"/>
        </w:rPr>
        <w:t>NTIA worked with the states to collect and validate broadband availability data independent from the FCC’s Form 477 d</w:t>
      </w:r>
      <w:r>
        <w:rPr>
          <w:w w:val="115"/>
        </w:rPr>
        <w:t>ata collection process, this is not a new program to fund the primary collection of broadband availability or subscription data, nor to fund specific data collection activities by states or third parties</w:t>
      </w:r>
      <w:r w:rsidRPr="00140EA8">
        <w:rPr>
          <w:w w:val="115"/>
          <w:highlight w:val="yellow"/>
        </w:rPr>
        <w:t>. Rather, Congress directed NTIA to acquire and displ</w:t>
      </w:r>
      <w:r w:rsidRPr="00140EA8">
        <w:rPr>
          <w:w w:val="115"/>
          <w:highlight w:val="yellow"/>
        </w:rPr>
        <w:t xml:space="preserve">ay available third-party data sets to the extent it </w:t>
      </w:r>
      <w:proofErr w:type="gramStart"/>
      <w:r w:rsidRPr="00140EA8">
        <w:rPr>
          <w:w w:val="115"/>
          <w:highlight w:val="yellow"/>
        </w:rPr>
        <w:t>is able to</w:t>
      </w:r>
      <w:proofErr w:type="gramEnd"/>
      <w:r w:rsidRPr="00140EA8">
        <w:rPr>
          <w:w w:val="115"/>
          <w:highlight w:val="yellow"/>
        </w:rPr>
        <w:t xml:space="preserve"> negotiate inclusion to augment data from the FCC, other federal government agencies, state government, and the private sector. The objective of these updates is to identify regions of the count</w:t>
      </w:r>
      <w:r w:rsidRPr="00140EA8">
        <w:rPr>
          <w:w w:val="115"/>
          <w:highlight w:val="yellow"/>
        </w:rPr>
        <w:t>ry with insufficient broadband capacity, particularly in rural</w:t>
      </w:r>
      <w:r w:rsidRPr="00140EA8">
        <w:rPr>
          <w:spacing w:val="14"/>
          <w:w w:val="115"/>
          <w:highlight w:val="yellow"/>
        </w:rPr>
        <w:t xml:space="preserve"> </w:t>
      </w:r>
      <w:r w:rsidRPr="00140EA8">
        <w:rPr>
          <w:w w:val="115"/>
          <w:highlight w:val="yellow"/>
        </w:rPr>
        <w:t>areas.</w:t>
      </w:r>
    </w:p>
    <w:p w:rsidR="0031592A" w:rsidRDefault="00B56DAA">
      <w:pPr>
        <w:pStyle w:val="BodyText"/>
        <w:spacing w:line="179" w:lineRule="exact"/>
        <w:ind w:left="319"/>
      </w:pPr>
      <w:r>
        <w:rPr>
          <w:w w:val="115"/>
        </w:rPr>
        <w:t>NTIA is well-suited to perform this</w:t>
      </w:r>
    </w:p>
    <w:p w:rsidR="0031592A" w:rsidRDefault="00B56DAA">
      <w:pPr>
        <w:pStyle w:val="BodyText"/>
        <w:spacing w:before="2" w:line="230" w:lineRule="auto"/>
        <w:ind w:left="139" w:right="100"/>
      </w:pPr>
      <w:r>
        <w:rPr>
          <w:w w:val="115"/>
        </w:rPr>
        <w:t>task. It has extensive experience collecting data on broadband adoption and usage in the United States, creating decades of datasets that complement t</w:t>
      </w:r>
      <w:r>
        <w:rPr>
          <w:w w:val="115"/>
        </w:rPr>
        <w:t xml:space="preserve">he Form 477 data collections on broadband deployment and subscription. Since 1994, </w:t>
      </w:r>
      <w:r w:rsidRPr="00140EA8">
        <w:rPr>
          <w:w w:val="115"/>
          <w:highlight w:val="yellow"/>
        </w:rPr>
        <w:t>NTIA has partnered with the Census Bureau (Census) to survey approximately 53,000 U.S. households on their internet and computer use.</w:t>
      </w:r>
    </w:p>
    <w:p w:rsidR="0031592A" w:rsidRDefault="00B56DAA">
      <w:pPr>
        <w:pStyle w:val="BodyText"/>
        <w:spacing w:before="2"/>
        <w:ind w:left="139" w:right="171"/>
      </w:pPr>
      <w:r w:rsidRPr="00140EA8">
        <w:rPr>
          <w:w w:val="115"/>
          <w:highlight w:val="yellow"/>
        </w:rPr>
        <w:t>NTIA’s questionnaire, administered as</w:t>
      </w:r>
      <w:r w:rsidRPr="00140EA8">
        <w:rPr>
          <w:spacing w:val="-34"/>
          <w:w w:val="115"/>
          <w:highlight w:val="yellow"/>
        </w:rPr>
        <w:t xml:space="preserve"> </w:t>
      </w:r>
      <w:r w:rsidRPr="00140EA8">
        <w:rPr>
          <w:w w:val="115"/>
          <w:highlight w:val="yellow"/>
        </w:rPr>
        <w:t>a</w:t>
      </w:r>
      <w:r w:rsidRPr="00140EA8">
        <w:rPr>
          <w:w w:val="115"/>
          <w:highlight w:val="yellow"/>
        </w:rPr>
        <w:t xml:space="preserve"> supplement to Census’s Current Population Survey (CPS), includes</w:t>
      </w:r>
      <w:r w:rsidRPr="00140EA8">
        <w:rPr>
          <w:spacing w:val="-38"/>
          <w:w w:val="115"/>
          <w:highlight w:val="yellow"/>
        </w:rPr>
        <w:t xml:space="preserve"> </w:t>
      </w:r>
      <w:r w:rsidRPr="00140EA8">
        <w:rPr>
          <w:w w:val="115"/>
          <w:highlight w:val="yellow"/>
        </w:rPr>
        <w:t xml:space="preserve">more than 50 questions to gather a wealth of information on household and individual internet </w:t>
      </w:r>
      <w:proofErr w:type="gramStart"/>
      <w:r w:rsidRPr="00140EA8">
        <w:rPr>
          <w:w w:val="115"/>
          <w:highlight w:val="yellow"/>
        </w:rPr>
        <w:t xml:space="preserve">use </w:t>
      </w:r>
      <w:r w:rsidRPr="00140EA8">
        <w:rPr>
          <w:spacing w:val="2"/>
          <w:w w:val="115"/>
          <w:highlight w:val="yellow"/>
        </w:rPr>
        <w:t xml:space="preserve"> </w:t>
      </w:r>
      <w:r w:rsidRPr="00140EA8">
        <w:rPr>
          <w:w w:val="115"/>
          <w:highlight w:val="yellow"/>
        </w:rPr>
        <w:t>and</w:t>
      </w:r>
      <w:proofErr w:type="gramEnd"/>
    </w:p>
    <w:p w:rsidR="0031592A" w:rsidRDefault="0031592A">
      <w:pPr>
        <w:sectPr w:rsidR="0031592A">
          <w:type w:val="continuous"/>
          <w:pgSz w:w="12240" w:h="15840"/>
          <w:pgMar w:top="260" w:right="760" w:bottom="280" w:left="760" w:header="720" w:footer="720" w:gutter="0"/>
          <w:cols w:num="3" w:space="720" w:equalWidth="0">
            <w:col w:w="3485" w:space="55"/>
            <w:col w:w="3496" w:space="44"/>
            <w:col w:w="3640"/>
          </w:cols>
        </w:sectPr>
      </w:pPr>
    </w:p>
    <w:p w:rsidR="0031592A" w:rsidRDefault="00B56DAA">
      <w:pPr>
        <w:spacing w:before="112"/>
        <w:ind w:left="2002"/>
        <w:rPr>
          <w:sz w:val="20"/>
        </w:rPr>
      </w:pPr>
      <w:r>
        <w:rPr>
          <w:rFonts w:ascii="Book Antiqua"/>
          <w:b/>
          <w:w w:val="110"/>
          <w:sz w:val="20"/>
        </w:rPr>
        <w:lastRenderedPageBreak/>
        <w:t xml:space="preserve">Federal Register </w:t>
      </w:r>
      <w:r>
        <w:rPr>
          <w:w w:val="110"/>
          <w:sz w:val="20"/>
        </w:rPr>
        <w:t>/ Vol. 83, No. 104 / Wednesday, May 30, 2018 / Notices</w:t>
      </w:r>
    </w:p>
    <w:p w:rsidR="0031592A" w:rsidRDefault="00B56DAA">
      <w:pPr>
        <w:pStyle w:val="Heading1"/>
        <w:spacing w:before="93"/>
        <w:ind w:left="1213"/>
      </w:pPr>
      <w:r>
        <w:rPr>
          <w:b w:val="0"/>
        </w:rPr>
        <w:br w:type="column"/>
      </w:r>
      <w:r>
        <w:rPr>
          <w:w w:val="110"/>
        </w:rPr>
        <w:t>24749</w:t>
      </w:r>
    </w:p>
    <w:p w:rsidR="0031592A" w:rsidRDefault="0031592A">
      <w:pPr>
        <w:sectPr w:rsidR="0031592A">
          <w:pgSz w:w="12240" w:h="15840"/>
          <w:pgMar w:top="540" w:right="760" w:bottom="280" w:left="760" w:header="720" w:footer="720" w:gutter="0"/>
          <w:cols w:num="2" w:space="720" w:equalWidth="0">
            <w:col w:w="8715" w:space="40"/>
            <w:col w:w="1965"/>
          </w:cols>
        </w:sectPr>
      </w:pPr>
    </w:p>
    <w:p w:rsidR="0031592A" w:rsidRDefault="0031592A">
      <w:pPr>
        <w:pStyle w:val="BodyText"/>
        <w:spacing w:before="3" w:line="240" w:lineRule="auto"/>
        <w:ind w:left="0"/>
        <w:rPr>
          <w:rFonts w:ascii="Book Antiqua"/>
          <w:b/>
          <w:sz w:val="3"/>
        </w:rPr>
      </w:pPr>
    </w:p>
    <w:p w:rsidR="0031592A" w:rsidRDefault="00B56DAA">
      <w:pPr>
        <w:pStyle w:val="BodyText"/>
        <w:spacing w:line="105" w:lineRule="exact"/>
        <w:ind w:left="118"/>
        <w:rPr>
          <w:rFonts w:ascii="Book Antiqua"/>
          <w:sz w:val="10"/>
        </w:rPr>
      </w:pPr>
      <w:r>
        <w:rPr>
          <w:rFonts w:ascii="Book Antiqua"/>
          <w:position w:val="-1"/>
          <w:sz w:val="10"/>
        </w:rPr>
      </w:r>
      <w:r>
        <w:rPr>
          <w:rFonts w:ascii="Book Antiqua"/>
          <w:position w:val="-1"/>
          <w:sz w:val="10"/>
        </w:rPr>
        <w:pict>
          <v:group id="_x0000_s1029" style="width:524.2pt;height:5.25pt;mso-position-horizontal-relative:char;mso-position-vertical-relative:line" coordsize="10484,105">
            <v:line id="_x0000_s1031" style="position:absolute" from="22,22" to="10462,22" strokeweight="2.2pt"/>
            <v:line id="_x0000_s1030" style="position:absolute" from="22,102" to="10462,102" strokeweight=".3pt"/>
            <w10:anchorlock/>
          </v:group>
        </w:pict>
      </w:r>
    </w:p>
    <w:p w:rsidR="0031592A" w:rsidRDefault="0031592A">
      <w:pPr>
        <w:pStyle w:val="BodyText"/>
        <w:spacing w:before="9" w:line="240" w:lineRule="auto"/>
        <w:ind w:left="0"/>
        <w:rPr>
          <w:rFonts w:ascii="Book Antiqua"/>
          <w:b/>
          <w:sz w:val="5"/>
        </w:rPr>
      </w:pPr>
    </w:p>
    <w:p w:rsidR="0031592A" w:rsidRDefault="0031592A">
      <w:pPr>
        <w:rPr>
          <w:rFonts w:ascii="Book Antiqua"/>
          <w:sz w:val="5"/>
        </w:rPr>
        <w:sectPr w:rsidR="0031592A">
          <w:type w:val="continuous"/>
          <w:pgSz w:w="12240" w:h="15840"/>
          <w:pgMar w:top="260" w:right="760" w:bottom="280" w:left="760" w:header="720" w:footer="720" w:gutter="0"/>
          <w:cols w:space="720"/>
        </w:sectPr>
      </w:pPr>
    </w:p>
    <w:p w:rsidR="0031592A" w:rsidRDefault="00B56DAA">
      <w:pPr>
        <w:pStyle w:val="BodyText"/>
        <w:spacing w:before="69" w:line="198" w:lineRule="exact"/>
      </w:pPr>
      <w:r w:rsidRPr="00140EA8">
        <w:rPr>
          <w:w w:val="115"/>
          <w:highlight w:val="yellow"/>
        </w:rPr>
        <w:t>demographics, including the locations, technologies, and devices that people use to go online, their online activities, and the reasons why some Americans still do not utilize these technologies.</w:t>
      </w:r>
      <w:r>
        <w:rPr>
          <w:w w:val="115"/>
        </w:rPr>
        <w:t xml:space="preserve"> Whereas For</w:t>
      </w:r>
      <w:r>
        <w:rPr>
          <w:w w:val="115"/>
        </w:rPr>
        <w:t>m 477 focuses on broadband availability and subscription</w:t>
      </w:r>
      <w:r>
        <w:rPr>
          <w:w w:val="117"/>
        </w:rPr>
        <w:t xml:space="preserve"> </w:t>
      </w:r>
      <w:r>
        <w:rPr>
          <w:w w:val="115"/>
        </w:rPr>
        <w:t>data gathered from service providers, NTIA’s CPS Supplements provide detailed information on adoption and usage of the internet, as reported by households across the country. The NTIA surveys, togeth</w:t>
      </w:r>
      <w:r>
        <w:rPr>
          <w:w w:val="115"/>
        </w:rPr>
        <w:t>er with the FCC’s Form 477 and three household</w:t>
      </w:r>
    </w:p>
    <w:p w:rsidR="0031592A" w:rsidRDefault="00B56DAA">
      <w:pPr>
        <w:pStyle w:val="BodyText"/>
        <w:spacing w:before="67"/>
        <w:ind w:right="-17"/>
      </w:pPr>
      <w:r>
        <w:br w:type="column"/>
      </w:r>
      <w:r>
        <w:rPr>
          <w:w w:val="115"/>
        </w:rPr>
        <w:t>describe how records from the data</w:t>
      </w:r>
      <w:r>
        <w:rPr>
          <w:spacing w:val="-13"/>
          <w:w w:val="115"/>
        </w:rPr>
        <w:t xml:space="preserve"> </w:t>
      </w:r>
      <w:r>
        <w:rPr>
          <w:w w:val="115"/>
        </w:rPr>
        <w:t>set could be matched with records from Form 477</w:t>
      </w:r>
      <w:r>
        <w:rPr>
          <w:spacing w:val="-21"/>
          <w:w w:val="115"/>
        </w:rPr>
        <w:t xml:space="preserve"> </w:t>
      </w:r>
      <w:r>
        <w:rPr>
          <w:w w:val="115"/>
        </w:rPr>
        <w:t>data.</w:t>
      </w:r>
    </w:p>
    <w:p w:rsidR="0031592A" w:rsidRDefault="00B56DAA">
      <w:pPr>
        <w:pStyle w:val="ListParagraph"/>
        <w:numPr>
          <w:ilvl w:val="0"/>
          <w:numId w:val="1"/>
        </w:numPr>
        <w:tabs>
          <w:tab w:val="left" w:pos="520"/>
        </w:tabs>
        <w:spacing w:line="181" w:lineRule="exact"/>
        <w:ind w:hanging="199"/>
        <w:rPr>
          <w:sz w:val="18"/>
        </w:rPr>
      </w:pPr>
      <w:r>
        <w:rPr>
          <w:w w:val="115"/>
          <w:sz w:val="18"/>
        </w:rPr>
        <w:t>Describe how frequently the</w:t>
      </w:r>
      <w:r>
        <w:rPr>
          <w:spacing w:val="-22"/>
          <w:w w:val="115"/>
          <w:sz w:val="18"/>
        </w:rPr>
        <w:t xml:space="preserve"> </w:t>
      </w:r>
      <w:r>
        <w:rPr>
          <w:w w:val="115"/>
          <w:sz w:val="18"/>
        </w:rPr>
        <w:t>data</w:t>
      </w:r>
    </w:p>
    <w:p w:rsidR="0031592A" w:rsidRDefault="00B56DAA">
      <w:pPr>
        <w:pStyle w:val="BodyText"/>
        <w:spacing w:before="4"/>
        <w:ind w:right="-2"/>
      </w:pPr>
      <w:r>
        <w:rPr>
          <w:w w:val="115"/>
        </w:rPr>
        <w:t xml:space="preserve">set is </w:t>
      </w:r>
      <w:proofErr w:type="gramStart"/>
      <w:r>
        <w:rPr>
          <w:w w:val="115"/>
        </w:rPr>
        <w:t>updated</w:t>
      </w:r>
      <w:proofErr w:type="gramEnd"/>
      <w:r>
        <w:rPr>
          <w:w w:val="115"/>
        </w:rPr>
        <w:t xml:space="preserve"> and the methodology used for collection and what measures are employed </w:t>
      </w:r>
      <w:r>
        <w:rPr>
          <w:w w:val="115"/>
        </w:rPr>
        <w:t>to validate or otherwise ensure the data is accurate. Please explain whether the data set differentiates between subscribed bandwidth and maximum available speeds.</w:t>
      </w:r>
    </w:p>
    <w:p w:rsidR="0031592A" w:rsidRDefault="00B56DAA">
      <w:pPr>
        <w:pStyle w:val="ListParagraph"/>
        <w:numPr>
          <w:ilvl w:val="0"/>
          <w:numId w:val="1"/>
        </w:numPr>
        <w:tabs>
          <w:tab w:val="left" w:pos="510"/>
        </w:tabs>
        <w:spacing w:line="181" w:lineRule="exact"/>
        <w:ind w:left="509" w:hanging="189"/>
        <w:rPr>
          <w:sz w:val="18"/>
        </w:rPr>
      </w:pPr>
      <w:r>
        <w:rPr>
          <w:w w:val="115"/>
          <w:sz w:val="18"/>
        </w:rPr>
        <w:t>For each data set, please</w:t>
      </w:r>
      <w:r>
        <w:rPr>
          <w:spacing w:val="-7"/>
          <w:w w:val="115"/>
          <w:sz w:val="18"/>
        </w:rPr>
        <w:t xml:space="preserve"> </w:t>
      </w:r>
      <w:r>
        <w:rPr>
          <w:w w:val="115"/>
          <w:sz w:val="18"/>
        </w:rPr>
        <w:t>provide</w:t>
      </w:r>
    </w:p>
    <w:p w:rsidR="0031592A" w:rsidRDefault="00B56DAA">
      <w:pPr>
        <w:pStyle w:val="BodyText"/>
        <w:spacing w:line="193" w:lineRule="exact"/>
      </w:pPr>
      <w:r>
        <w:rPr>
          <w:w w:val="115"/>
        </w:rPr>
        <w:t>the name(s) and type(s) of entity that</w:t>
      </w:r>
    </w:p>
    <w:p w:rsidR="0031592A" w:rsidRDefault="00B56DAA">
      <w:pPr>
        <w:pStyle w:val="BodyText"/>
        <w:spacing w:before="65"/>
        <w:ind w:right="175"/>
      </w:pPr>
      <w:r>
        <w:br w:type="column"/>
      </w:r>
      <w:r>
        <w:rPr>
          <w:w w:val="115"/>
        </w:rPr>
        <w:t>example, name, add</w:t>
      </w:r>
      <w:r>
        <w:rPr>
          <w:w w:val="115"/>
        </w:rPr>
        <w:t>ress) voluntarily submitted by the commenter may be publicly accessible. Do not submit confidential business information or otherwise sensitive or protected information. NTIA will accept anonymous comments.</w:t>
      </w:r>
    </w:p>
    <w:p w:rsidR="0031592A" w:rsidRDefault="00B56DAA">
      <w:pPr>
        <w:spacing w:before="73"/>
        <w:ind w:left="300"/>
        <w:rPr>
          <w:sz w:val="16"/>
        </w:rPr>
      </w:pPr>
      <w:r>
        <w:rPr>
          <w:w w:val="110"/>
          <w:sz w:val="16"/>
        </w:rPr>
        <w:t>Dated: May 23, 2018.</w:t>
      </w:r>
    </w:p>
    <w:p w:rsidR="0031592A" w:rsidRDefault="00B56DAA">
      <w:pPr>
        <w:spacing w:before="34"/>
        <w:ind w:left="140"/>
        <w:rPr>
          <w:rFonts w:ascii="Book Antiqua"/>
          <w:b/>
          <w:sz w:val="16"/>
        </w:rPr>
      </w:pPr>
      <w:r>
        <w:rPr>
          <w:rFonts w:ascii="Book Antiqua"/>
          <w:b/>
          <w:sz w:val="16"/>
        </w:rPr>
        <w:t xml:space="preserve">David J. </w:t>
      </w:r>
      <w:proofErr w:type="spellStart"/>
      <w:r>
        <w:rPr>
          <w:rFonts w:ascii="Book Antiqua"/>
          <w:b/>
          <w:sz w:val="16"/>
        </w:rPr>
        <w:t>Redl</w:t>
      </w:r>
      <w:proofErr w:type="spellEnd"/>
      <w:r>
        <w:rPr>
          <w:rFonts w:ascii="Book Antiqua"/>
          <w:b/>
          <w:sz w:val="16"/>
        </w:rPr>
        <w:t>,</w:t>
      </w:r>
    </w:p>
    <w:p w:rsidR="0031592A" w:rsidRDefault="00B56DAA">
      <w:pPr>
        <w:spacing w:before="33" w:line="180" w:lineRule="exact"/>
        <w:ind w:left="140" w:right="228"/>
        <w:rPr>
          <w:rFonts w:ascii="Book Antiqua"/>
          <w:i/>
          <w:sz w:val="16"/>
        </w:rPr>
      </w:pPr>
      <w:r>
        <w:rPr>
          <w:rFonts w:ascii="Book Antiqua"/>
          <w:i/>
          <w:w w:val="115"/>
          <w:sz w:val="16"/>
        </w:rPr>
        <w:t>Assistant</w:t>
      </w:r>
      <w:r>
        <w:rPr>
          <w:rFonts w:ascii="Book Antiqua"/>
          <w:i/>
          <w:spacing w:val="-22"/>
          <w:w w:val="115"/>
          <w:sz w:val="16"/>
        </w:rPr>
        <w:t xml:space="preserve"> </w:t>
      </w:r>
      <w:r>
        <w:rPr>
          <w:rFonts w:ascii="Book Antiqua"/>
          <w:i/>
          <w:w w:val="115"/>
          <w:sz w:val="16"/>
        </w:rPr>
        <w:t>Secretary</w:t>
      </w:r>
      <w:r>
        <w:rPr>
          <w:rFonts w:ascii="Book Antiqua"/>
          <w:i/>
          <w:spacing w:val="-22"/>
          <w:w w:val="115"/>
          <w:sz w:val="16"/>
        </w:rPr>
        <w:t xml:space="preserve"> </w:t>
      </w:r>
      <w:r>
        <w:rPr>
          <w:rFonts w:ascii="Book Antiqua"/>
          <w:i/>
          <w:w w:val="115"/>
          <w:sz w:val="16"/>
        </w:rPr>
        <w:t>for</w:t>
      </w:r>
      <w:r>
        <w:rPr>
          <w:rFonts w:ascii="Book Antiqua"/>
          <w:i/>
          <w:spacing w:val="-22"/>
          <w:w w:val="115"/>
          <w:sz w:val="16"/>
        </w:rPr>
        <w:t xml:space="preserve"> </w:t>
      </w:r>
      <w:r>
        <w:rPr>
          <w:rFonts w:ascii="Book Antiqua"/>
          <w:i/>
          <w:w w:val="115"/>
          <w:sz w:val="16"/>
        </w:rPr>
        <w:t>Communications</w:t>
      </w:r>
      <w:r>
        <w:rPr>
          <w:rFonts w:ascii="Book Antiqua"/>
          <w:i/>
          <w:spacing w:val="-22"/>
          <w:w w:val="115"/>
          <w:sz w:val="16"/>
        </w:rPr>
        <w:t xml:space="preserve"> </w:t>
      </w:r>
      <w:r>
        <w:rPr>
          <w:rFonts w:ascii="Book Antiqua"/>
          <w:i/>
          <w:w w:val="115"/>
          <w:sz w:val="16"/>
        </w:rPr>
        <w:t>and Information.</w:t>
      </w:r>
    </w:p>
    <w:p w:rsidR="0031592A" w:rsidRDefault="00B56DAA">
      <w:pPr>
        <w:spacing w:before="53"/>
        <w:ind w:left="140"/>
        <w:rPr>
          <w:sz w:val="14"/>
        </w:rPr>
      </w:pPr>
      <w:r>
        <w:rPr>
          <w:w w:val="110"/>
          <w:sz w:val="14"/>
        </w:rPr>
        <w:t>[FR Doc. 2018–11483 Filed 5–29–18; 8:45 am]</w:t>
      </w:r>
    </w:p>
    <w:p w:rsidR="0031592A" w:rsidRDefault="00B56DAA">
      <w:pPr>
        <w:spacing w:before="77"/>
        <w:ind w:left="140"/>
        <w:rPr>
          <w:rFonts w:ascii="Arial" w:hAnsi="Arial"/>
          <w:b/>
          <w:sz w:val="12"/>
        </w:rPr>
      </w:pPr>
      <w:proofErr w:type="gramStart"/>
      <w:r>
        <w:rPr>
          <w:rFonts w:ascii="Arial" w:hAnsi="Arial"/>
          <w:b/>
          <w:sz w:val="12"/>
        </w:rPr>
        <w:t>BILLING  CODE</w:t>
      </w:r>
      <w:proofErr w:type="gramEnd"/>
      <w:r>
        <w:rPr>
          <w:rFonts w:ascii="Arial" w:hAnsi="Arial"/>
          <w:b/>
          <w:sz w:val="12"/>
        </w:rPr>
        <w:t xml:space="preserve"> 3510–60–P</w:t>
      </w:r>
    </w:p>
    <w:p w:rsidR="0031592A" w:rsidRDefault="0031592A">
      <w:pPr>
        <w:rPr>
          <w:rFonts w:ascii="Arial" w:hAnsi="Arial"/>
          <w:sz w:val="12"/>
        </w:rPr>
        <w:sectPr w:rsidR="0031592A">
          <w:type w:val="continuous"/>
          <w:pgSz w:w="12240" w:h="15840"/>
          <w:pgMar w:top="260" w:right="760" w:bottom="280" w:left="760" w:header="720" w:footer="720" w:gutter="0"/>
          <w:cols w:num="3" w:space="720" w:equalWidth="0">
            <w:col w:w="3438" w:space="102"/>
            <w:col w:w="3326" w:space="214"/>
            <w:col w:w="3640"/>
          </w:cols>
        </w:sectPr>
      </w:pPr>
    </w:p>
    <w:p w:rsidR="0031592A" w:rsidRDefault="00B56DAA">
      <w:pPr>
        <w:pStyle w:val="BodyText"/>
        <w:spacing w:line="230" w:lineRule="auto"/>
        <w:ind w:right="-19"/>
      </w:pPr>
      <w:r>
        <w:rPr>
          <w:w w:val="115"/>
        </w:rPr>
        <w:t>broadband adoption questions on the American Community Survey,</w:t>
      </w:r>
      <w:r>
        <w:rPr>
          <w:spacing w:val="-31"/>
          <w:w w:val="115"/>
        </w:rPr>
        <w:t xml:space="preserve"> </w:t>
      </w:r>
      <w:r>
        <w:rPr>
          <w:w w:val="115"/>
        </w:rPr>
        <w:t>comprise</w:t>
      </w:r>
    </w:p>
    <w:p w:rsidR="0031592A" w:rsidRDefault="00B56DAA">
      <w:pPr>
        <w:pStyle w:val="BodyText"/>
        <w:tabs>
          <w:tab w:val="left" w:pos="3679"/>
          <w:tab w:val="left" w:pos="7039"/>
        </w:tabs>
        <w:spacing w:line="185" w:lineRule="exact"/>
      </w:pPr>
      <w:r>
        <w:br w:type="column"/>
      </w:r>
      <w:r>
        <w:rPr>
          <w:w w:val="115"/>
        </w:rPr>
        <w:t>collects the</w:t>
      </w:r>
      <w:r>
        <w:rPr>
          <w:spacing w:val="2"/>
          <w:w w:val="115"/>
        </w:rPr>
        <w:t xml:space="preserve"> </w:t>
      </w:r>
      <w:r>
        <w:rPr>
          <w:w w:val="115"/>
        </w:rPr>
        <w:t>data.</w:t>
      </w:r>
      <w:r>
        <w:tab/>
      </w:r>
      <w:r>
        <w:rPr>
          <w:w w:val="111"/>
          <w:u w:val="single"/>
        </w:rPr>
        <w:t xml:space="preserve"> </w:t>
      </w:r>
      <w:r>
        <w:rPr>
          <w:u w:val="single"/>
        </w:rPr>
        <w:tab/>
      </w:r>
    </w:p>
    <w:p w:rsidR="0031592A" w:rsidRDefault="00B56DAA">
      <w:pPr>
        <w:pStyle w:val="ListParagraph"/>
        <w:numPr>
          <w:ilvl w:val="0"/>
          <w:numId w:val="1"/>
        </w:numPr>
        <w:tabs>
          <w:tab w:val="left" w:pos="530"/>
        </w:tabs>
        <w:spacing w:line="180" w:lineRule="exact"/>
        <w:ind w:left="529" w:hanging="209"/>
        <w:rPr>
          <w:sz w:val="18"/>
        </w:rPr>
      </w:pPr>
      <w:r>
        <w:pict>
          <v:line id="_x0000_s1028" style="position:absolute;left:0;text-align:left;z-index:-6808;mso-position-horizontal-relative:page" from="399pt,-4.25pt" to="567pt,-4.25pt" strokeweight="1.2pt">
            <w10:wrap anchorx="page"/>
          </v:line>
        </w:pict>
      </w:r>
      <w:r>
        <w:rPr>
          <w:w w:val="115"/>
          <w:sz w:val="18"/>
        </w:rPr>
        <w:t>Finally, please sp</w:t>
      </w:r>
      <w:r>
        <w:rPr>
          <w:w w:val="115"/>
          <w:sz w:val="18"/>
        </w:rPr>
        <w:t>ecify the format</w:t>
      </w:r>
      <w:r>
        <w:rPr>
          <w:spacing w:val="-35"/>
          <w:w w:val="115"/>
          <w:sz w:val="18"/>
        </w:rPr>
        <w:t xml:space="preserve"> </w:t>
      </w:r>
      <w:r>
        <w:rPr>
          <w:w w:val="115"/>
          <w:sz w:val="18"/>
        </w:rPr>
        <w:t>of</w:t>
      </w:r>
    </w:p>
    <w:p w:rsidR="0031592A" w:rsidRDefault="0031592A">
      <w:pPr>
        <w:spacing w:line="180" w:lineRule="exact"/>
        <w:rPr>
          <w:sz w:val="18"/>
        </w:rPr>
        <w:sectPr w:rsidR="0031592A">
          <w:type w:val="continuous"/>
          <w:pgSz w:w="12240" w:h="15840"/>
          <w:pgMar w:top="260" w:right="760" w:bottom="280" w:left="760" w:header="720" w:footer="720" w:gutter="0"/>
          <w:cols w:num="2" w:space="720" w:equalWidth="0">
            <w:col w:w="3468" w:space="72"/>
            <w:col w:w="7180"/>
          </w:cols>
        </w:sectPr>
      </w:pPr>
    </w:p>
    <w:p w:rsidR="0031592A" w:rsidRDefault="00B56DAA">
      <w:pPr>
        <w:pStyle w:val="BodyText"/>
        <w:spacing w:before="6" w:line="198" w:lineRule="exact"/>
        <w:ind w:right="28"/>
      </w:pPr>
      <w:r>
        <w:rPr>
          <w:w w:val="115"/>
        </w:rPr>
        <w:t>a valuable, holistic set of federal data sources related to broadband.</w:t>
      </w:r>
    </w:p>
    <w:p w:rsidR="0031592A" w:rsidRPr="00B56DAA" w:rsidRDefault="00B56DAA">
      <w:pPr>
        <w:pStyle w:val="BodyText"/>
        <w:spacing w:line="179" w:lineRule="exact"/>
        <w:ind w:left="320"/>
        <w:rPr>
          <w:highlight w:val="green"/>
        </w:rPr>
      </w:pPr>
      <w:r w:rsidRPr="00B56DAA">
        <w:rPr>
          <w:w w:val="115"/>
          <w:highlight w:val="green"/>
        </w:rPr>
        <w:t>NTIA issues this RFC to solicit</w:t>
      </w:r>
    </w:p>
    <w:p w:rsidR="0031592A" w:rsidRDefault="00B56DAA">
      <w:pPr>
        <w:pStyle w:val="BodyText"/>
        <w:spacing w:before="2" w:line="230" w:lineRule="auto"/>
        <w:ind w:right="22"/>
      </w:pPr>
      <w:r w:rsidRPr="00B56DAA">
        <w:rPr>
          <w:w w:val="115"/>
          <w:highlight w:val="green"/>
        </w:rPr>
        <w:t>informed recommendations and feedback on sources of broadband availability data, mechanisms to validate broadb</w:t>
      </w:r>
      <w:r w:rsidRPr="00B56DAA">
        <w:rPr>
          <w:w w:val="115"/>
          <w:highlight w:val="green"/>
        </w:rPr>
        <w:t xml:space="preserve">and availability data using multiple data sources or new techniques, and approaches to leverage such data and techniques to inform broadband planning at the state and national levels by promoting the most efficient use of state or federal funding to areas </w:t>
      </w:r>
      <w:r w:rsidRPr="00B56DAA">
        <w:rPr>
          <w:w w:val="115"/>
          <w:highlight w:val="green"/>
        </w:rPr>
        <w:t>that are insufficiently served by broadband.</w:t>
      </w:r>
    </w:p>
    <w:p w:rsidR="0031592A" w:rsidRDefault="00B56DAA">
      <w:pPr>
        <w:spacing w:line="220" w:lineRule="auto"/>
        <w:ind w:left="140" w:right="8" w:firstLine="180"/>
        <w:rPr>
          <w:sz w:val="18"/>
        </w:rPr>
      </w:pPr>
      <w:r>
        <w:rPr>
          <w:rFonts w:ascii="Book Antiqua"/>
          <w:i/>
          <w:w w:val="115"/>
          <w:sz w:val="18"/>
        </w:rPr>
        <w:t xml:space="preserve">Request for Comments: </w:t>
      </w:r>
      <w:r>
        <w:rPr>
          <w:w w:val="115"/>
          <w:sz w:val="18"/>
        </w:rPr>
        <w:t>NTIA invites comment on the full range of issues that</w:t>
      </w:r>
    </w:p>
    <w:p w:rsidR="0031592A" w:rsidRDefault="00B56DAA">
      <w:pPr>
        <w:pStyle w:val="BodyText"/>
        <w:spacing w:before="12"/>
      </w:pPr>
      <w:r>
        <w:rPr>
          <w:w w:val="115"/>
        </w:rPr>
        <w:t>may be presented by this inquiry, including issues that are not specifically raised in the questions below.</w:t>
      </w:r>
    </w:p>
    <w:p w:rsidR="0031592A" w:rsidRDefault="00B56DAA">
      <w:pPr>
        <w:pStyle w:val="BodyText"/>
        <w:ind w:right="28"/>
      </w:pPr>
      <w:r>
        <w:rPr>
          <w:w w:val="115"/>
        </w:rPr>
        <w:t xml:space="preserve">Commenters are encouraged to address any or </w:t>
      </w:r>
      <w:proofErr w:type="gramStart"/>
      <w:r>
        <w:rPr>
          <w:w w:val="115"/>
        </w:rPr>
        <w:t>all of</w:t>
      </w:r>
      <w:proofErr w:type="gramEnd"/>
      <w:r>
        <w:rPr>
          <w:w w:val="115"/>
        </w:rPr>
        <w:t xml:space="preserve"> the questions below.</w:t>
      </w:r>
    </w:p>
    <w:p w:rsidR="0031592A" w:rsidRDefault="00B56DAA">
      <w:pPr>
        <w:pStyle w:val="BodyText"/>
        <w:ind w:right="13"/>
      </w:pPr>
      <w:r>
        <w:rPr>
          <w:w w:val="115"/>
        </w:rPr>
        <w:t>Comments that contain references to studies, research, and other empirical data that are not widely published should include copies of the referenced materials with the submitted comme</w:t>
      </w:r>
      <w:r>
        <w:rPr>
          <w:w w:val="115"/>
        </w:rPr>
        <w:t>nts.</w:t>
      </w:r>
    </w:p>
    <w:p w:rsidR="0031592A" w:rsidRPr="00B56DAA" w:rsidRDefault="00B56DAA">
      <w:pPr>
        <w:pStyle w:val="ListParagraph"/>
        <w:numPr>
          <w:ilvl w:val="1"/>
          <w:numId w:val="1"/>
        </w:numPr>
        <w:tabs>
          <w:tab w:val="left" w:pos="520"/>
        </w:tabs>
        <w:spacing w:line="220" w:lineRule="auto"/>
        <w:ind w:right="207" w:firstLine="180"/>
        <w:rPr>
          <w:rFonts w:ascii="Book Antiqua"/>
          <w:i/>
          <w:sz w:val="18"/>
          <w:highlight w:val="green"/>
        </w:rPr>
      </w:pPr>
      <w:r w:rsidRPr="00B56DAA">
        <w:rPr>
          <w:rFonts w:ascii="Book Antiqua"/>
          <w:i/>
          <w:w w:val="115"/>
          <w:sz w:val="18"/>
          <w:highlight w:val="green"/>
        </w:rPr>
        <w:t>Identifying additional broadband availability</w:t>
      </w:r>
      <w:r w:rsidRPr="00B56DAA">
        <w:rPr>
          <w:rFonts w:ascii="Book Antiqua"/>
          <w:i/>
          <w:spacing w:val="5"/>
          <w:w w:val="115"/>
          <w:sz w:val="18"/>
          <w:highlight w:val="green"/>
        </w:rPr>
        <w:t xml:space="preserve"> </w:t>
      </w:r>
      <w:r w:rsidRPr="00B56DAA">
        <w:rPr>
          <w:rFonts w:ascii="Book Antiqua"/>
          <w:i/>
          <w:w w:val="115"/>
          <w:sz w:val="18"/>
          <w:highlight w:val="green"/>
        </w:rPr>
        <w:t>data:</w:t>
      </w:r>
    </w:p>
    <w:p w:rsidR="0031592A" w:rsidRDefault="00B56DAA">
      <w:pPr>
        <w:pStyle w:val="ListParagraph"/>
        <w:numPr>
          <w:ilvl w:val="2"/>
          <w:numId w:val="1"/>
        </w:numPr>
        <w:tabs>
          <w:tab w:val="left" w:pos="510"/>
        </w:tabs>
        <w:spacing w:before="11" w:line="173" w:lineRule="exact"/>
        <w:ind w:hanging="189"/>
        <w:rPr>
          <w:sz w:val="18"/>
        </w:rPr>
      </w:pPr>
      <w:r>
        <w:rPr>
          <w:w w:val="115"/>
          <w:sz w:val="18"/>
        </w:rPr>
        <w:t>What additional data on</w:t>
      </w:r>
      <w:r>
        <w:rPr>
          <w:spacing w:val="17"/>
          <w:w w:val="115"/>
          <w:sz w:val="18"/>
        </w:rPr>
        <w:t xml:space="preserve"> </w:t>
      </w:r>
      <w:r>
        <w:rPr>
          <w:w w:val="115"/>
          <w:sz w:val="18"/>
        </w:rPr>
        <w:t>broadband</w:t>
      </w:r>
    </w:p>
    <w:p w:rsidR="0031592A" w:rsidRDefault="00B56DAA">
      <w:pPr>
        <w:pStyle w:val="BodyText"/>
        <w:spacing w:before="4"/>
        <w:ind w:right="156"/>
      </w:pPr>
      <w:r>
        <w:rPr>
          <w:w w:val="115"/>
        </w:rPr>
        <w:t xml:space="preserve">availability </w:t>
      </w:r>
      <w:proofErr w:type="gramStart"/>
      <w:r>
        <w:rPr>
          <w:w w:val="115"/>
        </w:rPr>
        <w:t>are</w:t>
      </w:r>
      <w:proofErr w:type="gramEnd"/>
      <w:r>
        <w:rPr>
          <w:w w:val="115"/>
        </w:rPr>
        <w:t xml:space="preserve"> available from federal, state, not-for-profit, academic, or private-sector sources to augment the FCC Form 477 data set?</w:t>
      </w:r>
    </w:p>
    <w:p w:rsidR="0031592A" w:rsidRDefault="00B56DAA">
      <w:pPr>
        <w:pStyle w:val="ListParagraph"/>
        <w:numPr>
          <w:ilvl w:val="2"/>
          <w:numId w:val="1"/>
        </w:numPr>
        <w:tabs>
          <w:tab w:val="left" w:pos="520"/>
        </w:tabs>
        <w:spacing w:line="179" w:lineRule="exact"/>
        <w:ind w:left="519" w:hanging="199"/>
        <w:rPr>
          <w:sz w:val="18"/>
        </w:rPr>
      </w:pPr>
      <w:r>
        <w:rPr>
          <w:w w:val="115"/>
          <w:sz w:val="18"/>
        </w:rPr>
        <w:t>What</w:t>
      </w:r>
      <w:r>
        <w:rPr>
          <w:spacing w:val="-14"/>
          <w:w w:val="115"/>
          <w:sz w:val="18"/>
        </w:rPr>
        <w:t xml:space="preserve"> </w:t>
      </w:r>
      <w:r>
        <w:rPr>
          <w:w w:val="115"/>
          <w:sz w:val="18"/>
        </w:rPr>
        <w:t>obstacles—such</w:t>
      </w:r>
      <w:r>
        <w:rPr>
          <w:spacing w:val="-14"/>
          <w:w w:val="115"/>
          <w:sz w:val="18"/>
        </w:rPr>
        <w:t xml:space="preserve"> </w:t>
      </w:r>
      <w:r>
        <w:rPr>
          <w:w w:val="115"/>
          <w:sz w:val="18"/>
        </w:rPr>
        <w:t>as</w:t>
      </w:r>
      <w:r>
        <w:rPr>
          <w:spacing w:val="-14"/>
          <w:w w:val="115"/>
          <w:sz w:val="18"/>
        </w:rPr>
        <w:t xml:space="preserve"> </w:t>
      </w:r>
      <w:r>
        <w:rPr>
          <w:w w:val="115"/>
          <w:sz w:val="18"/>
        </w:rPr>
        <w:t>conc</w:t>
      </w:r>
      <w:r>
        <w:rPr>
          <w:w w:val="115"/>
          <w:sz w:val="18"/>
        </w:rPr>
        <w:t>erns</w:t>
      </w:r>
    </w:p>
    <w:p w:rsidR="0031592A" w:rsidRDefault="00B56DAA">
      <w:pPr>
        <w:pStyle w:val="BodyText"/>
        <w:spacing w:before="5"/>
        <w:ind w:right="-18"/>
      </w:pPr>
      <w:r>
        <w:rPr>
          <w:w w:val="115"/>
        </w:rPr>
        <w:t>about the quality, scope, or format</w:t>
      </w:r>
      <w:r>
        <w:rPr>
          <w:spacing w:val="-27"/>
          <w:w w:val="115"/>
        </w:rPr>
        <w:t xml:space="preserve"> </w:t>
      </w:r>
      <w:r>
        <w:rPr>
          <w:w w:val="115"/>
        </w:rPr>
        <w:t>of</w:t>
      </w:r>
      <w:r>
        <w:rPr>
          <w:spacing w:val="-5"/>
          <w:w w:val="115"/>
        </w:rPr>
        <w:t xml:space="preserve"> </w:t>
      </w:r>
      <w:r>
        <w:rPr>
          <w:w w:val="115"/>
        </w:rPr>
        <w:t>the</w:t>
      </w:r>
      <w:r>
        <w:rPr>
          <w:w w:val="118"/>
        </w:rPr>
        <w:t xml:space="preserve"> </w:t>
      </w:r>
      <w:r>
        <w:rPr>
          <w:w w:val="115"/>
        </w:rPr>
        <w:t>data, as well as contractual, confidentiality, or data privacy concerns—might prevent the collaborative use of such</w:t>
      </w:r>
      <w:r>
        <w:rPr>
          <w:spacing w:val="-27"/>
          <w:w w:val="115"/>
        </w:rPr>
        <w:t xml:space="preserve"> </w:t>
      </w:r>
      <w:r>
        <w:rPr>
          <w:w w:val="115"/>
        </w:rPr>
        <w:t>data?</w:t>
      </w:r>
    </w:p>
    <w:p w:rsidR="0031592A" w:rsidRDefault="00B56DAA">
      <w:pPr>
        <w:pStyle w:val="ListParagraph"/>
        <w:numPr>
          <w:ilvl w:val="1"/>
          <w:numId w:val="1"/>
        </w:numPr>
        <w:tabs>
          <w:tab w:val="left" w:pos="520"/>
        </w:tabs>
        <w:spacing w:line="220" w:lineRule="auto"/>
        <w:ind w:right="22" w:firstLine="180"/>
        <w:jc w:val="both"/>
        <w:rPr>
          <w:sz w:val="18"/>
        </w:rPr>
      </w:pPr>
      <w:r w:rsidRPr="00B56DAA">
        <w:rPr>
          <w:rFonts w:ascii="Book Antiqua"/>
          <w:i/>
          <w:w w:val="115"/>
          <w:sz w:val="18"/>
          <w:highlight w:val="green"/>
        </w:rPr>
        <w:t>Technology type, service areas, and bandwidth:</w:t>
      </w:r>
      <w:r>
        <w:rPr>
          <w:rFonts w:ascii="Book Antiqua"/>
          <w:i/>
          <w:w w:val="115"/>
          <w:sz w:val="18"/>
        </w:rPr>
        <w:t xml:space="preserve"> </w:t>
      </w:r>
      <w:r>
        <w:rPr>
          <w:w w:val="115"/>
          <w:sz w:val="18"/>
        </w:rPr>
        <w:t>Please consider providing a table or sp</w:t>
      </w:r>
      <w:r>
        <w:rPr>
          <w:w w:val="115"/>
          <w:sz w:val="18"/>
        </w:rPr>
        <w:t>readsheet attachment</w:t>
      </w:r>
      <w:r>
        <w:rPr>
          <w:spacing w:val="21"/>
          <w:w w:val="115"/>
          <w:sz w:val="18"/>
        </w:rPr>
        <w:t xml:space="preserve"> </w:t>
      </w:r>
      <w:r>
        <w:rPr>
          <w:w w:val="115"/>
          <w:sz w:val="18"/>
        </w:rPr>
        <w:t>when</w:t>
      </w:r>
    </w:p>
    <w:p w:rsidR="0031592A" w:rsidRDefault="00B56DAA">
      <w:pPr>
        <w:pStyle w:val="BodyText"/>
        <w:spacing w:before="11" w:line="192" w:lineRule="exact"/>
        <w:ind w:left="139"/>
      </w:pPr>
      <w:r>
        <w:rPr>
          <w:w w:val="115"/>
        </w:rPr>
        <w:t>responding to question 2, if needed.</w:t>
      </w:r>
    </w:p>
    <w:p w:rsidR="0031592A" w:rsidRDefault="00B56DAA">
      <w:pPr>
        <w:pStyle w:val="ListParagraph"/>
        <w:numPr>
          <w:ilvl w:val="2"/>
          <w:numId w:val="1"/>
        </w:numPr>
        <w:tabs>
          <w:tab w:val="left" w:pos="510"/>
        </w:tabs>
        <w:spacing w:line="228" w:lineRule="auto"/>
        <w:ind w:left="140" w:right="106" w:firstLine="180"/>
        <w:rPr>
          <w:sz w:val="18"/>
        </w:rPr>
      </w:pPr>
      <w:r>
        <w:rPr>
          <w:w w:val="115"/>
          <w:sz w:val="18"/>
        </w:rPr>
        <w:t>For each broadband availability data source, please define the specific broadband technologies (</w:t>
      </w:r>
      <w:r>
        <w:rPr>
          <w:rFonts w:ascii="Book Antiqua"/>
          <w:i/>
          <w:w w:val="115"/>
          <w:sz w:val="18"/>
        </w:rPr>
        <w:t xml:space="preserve">e.g., </w:t>
      </w:r>
      <w:r>
        <w:rPr>
          <w:w w:val="115"/>
          <w:sz w:val="18"/>
        </w:rPr>
        <w:t>wireline, cable, fixed wireless, satellite, multiple sources, etc.) included in the data se</w:t>
      </w:r>
      <w:r>
        <w:rPr>
          <w:w w:val="115"/>
          <w:sz w:val="18"/>
        </w:rPr>
        <w:t xml:space="preserve">t. Please explain the service areas or geographic scope of the data set </w:t>
      </w:r>
      <w:r>
        <w:rPr>
          <w:rFonts w:ascii="Book Antiqua"/>
          <w:i/>
          <w:w w:val="115"/>
          <w:sz w:val="18"/>
        </w:rPr>
        <w:t xml:space="preserve">(e.g., </w:t>
      </w:r>
      <w:r>
        <w:rPr>
          <w:w w:val="115"/>
          <w:sz w:val="18"/>
        </w:rPr>
        <w:t>Census block, county, cable</w:t>
      </w:r>
      <w:r>
        <w:rPr>
          <w:spacing w:val="-33"/>
          <w:w w:val="115"/>
          <w:sz w:val="18"/>
        </w:rPr>
        <w:t xml:space="preserve"> </w:t>
      </w:r>
      <w:r>
        <w:rPr>
          <w:w w:val="115"/>
          <w:sz w:val="18"/>
        </w:rPr>
        <w:t>franchises, publicly funded service areas, etc.)</w:t>
      </w:r>
      <w:r>
        <w:rPr>
          <w:spacing w:val="-2"/>
          <w:w w:val="115"/>
          <w:sz w:val="18"/>
        </w:rPr>
        <w:t xml:space="preserve"> </w:t>
      </w:r>
      <w:r>
        <w:rPr>
          <w:w w:val="115"/>
          <w:sz w:val="18"/>
        </w:rPr>
        <w:t>and</w:t>
      </w:r>
    </w:p>
    <w:p w:rsidR="0031592A" w:rsidRDefault="00B56DAA">
      <w:pPr>
        <w:pStyle w:val="BodyText"/>
        <w:spacing w:line="225" w:lineRule="auto"/>
      </w:pPr>
      <w:r>
        <w:br w:type="column"/>
      </w:r>
      <w:r>
        <w:rPr>
          <w:w w:val="110"/>
        </w:rPr>
        <w:t>the data (</w:t>
      </w:r>
      <w:r>
        <w:rPr>
          <w:rFonts w:ascii="Book Antiqua"/>
          <w:i/>
          <w:w w:val="110"/>
        </w:rPr>
        <w:t xml:space="preserve">e.g., </w:t>
      </w:r>
      <w:r>
        <w:rPr>
          <w:w w:val="110"/>
        </w:rPr>
        <w:t>CSV, specific database, specific Geographic Information System (GIS) format, etc.)</w:t>
      </w:r>
    </w:p>
    <w:p w:rsidR="0031592A" w:rsidRDefault="00B56DAA">
      <w:pPr>
        <w:pStyle w:val="ListParagraph"/>
        <w:numPr>
          <w:ilvl w:val="1"/>
          <w:numId w:val="1"/>
        </w:numPr>
        <w:tabs>
          <w:tab w:val="left" w:pos="520"/>
        </w:tabs>
        <w:spacing w:line="228" w:lineRule="auto"/>
        <w:ind w:right="331" w:firstLine="180"/>
        <w:rPr>
          <w:sz w:val="18"/>
        </w:rPr>
      </w:pPr>
      <w:r w:rsidRPr="00B56DAA">
        <w:rPr>
          <w:rFonts w:ascii="Book Antiqua"/>
          <w:i/>
          <w:w w:val="115"/>
          <w:sz w:val="18"/>
          <w:highlight w:val="green"/>
        </w:rPr>
        <w:t>New approaches:</w:t>
      </w:r>
      <w:r>
        <w:rPr>
          <w:rFonts w:ascii="Book Antiqua"/>
          <w:i/>
          <w:w w:val="115"/>
          <w:sz w:val="18"/>
        </w:rPr>
        <w:t xml:space="preserve"> </w:t>
      </w:r>
      <w:r>
        <w:rPr>
          <w:w w:val="115"/>
          <w:sz w:val="18"/>
        </w:rPr>
        <w:t>Are there new approaches, tools, technologies, or methodologies that could be used to capture broadband availability data, particularly in rural</w:t>
      </w:r>
      <w:r>
        <w:rPr>
          <w:spacing w:val="8"/>
          <w:w w:val="115"/>
          <w:sz w:val="18"/>
        </w:rPr>
        <w:t xml:space="preserve"> </w:t>
      </w:r>
      <w:r>
        <w:rPr>
          <w:w w:val="115"/>
          <w:sz w:val="18"/>
        </w:rPr>
        <w:t>areas?</w:t>
      </w:r>
    </w:p>
    <w:p w:rsidR="0031592A" w:rsidRPr="00B56DAA" w:rsidRDefault="00B56DAA">
      <w:pPr>
        <w:pStyle w:val="ListParagraph"/>
        <w:numPr>
          <w:ilvl w:val="1"/>
          <w:numId w:val="1"/>
        </w:numPr>
        <w:tabs>
          <w:tab w:val="left" w:pos="520"/>
        </w:tabs>
        <w:spacing w:line="220" w:lineRule="auto"/>
        <w:ind w:right="175" w:firstLine="180"/>
        <w:rPr>
          <w:rFonts w:ascii="Book Antiqua"/>
          <w:i/>
          <w:sz w:val="18"/>
          <w:highlight w:val="green"/>
        </w:rPr>
      </w:pPr>
      <w:r w:rsidRPr="00B56DAA">
        <w:rPr>
          <w:rFonts w:ascii="Book Antiqua"/>
          <w:i/>
          <w:w w:val="115"/>
          <w:sz w:val="18"/>
          <w:highlight w:val="green"/>
        </w:rPr>
        <w:t>Validating broadband</w:t>
      </w:r>
      <w:r w:rsidRPr="00B56DAA">
        <w:rPr>
          <w:rFonts w:ascii="Book Antiqua"/>
          <w:i/>
          <w:spacing w:val="-7"/>
          <w:w w:val="115"/>
          <w:sz w:val="18"/>
          <w:highlight w:val="green"/>
        </w:rPr>
        <w:t xml:space="preserve"> </w:t>
      </w:r>
      <w:r w:rsidRPr="00B56DAA">
        <w:rPr>
          <w:rFonts w:ascii="Book Antiqua"/>
          <w:i/>
          <w:w w:val="115"/>
          <w:sz w:val="18"/>
          <w:highlight w:val="green"/>
        </w:rPr>
        <w:t>availability data:</w:t>
      </w:r>
    </w:p>
    <w:p w:rsidR="0031592A" w:rsidRDefault="00B56DAA">
      <w:pPr>
        <w:pStyle w:val="ListParagraph"/>
        <w:numPr>
          <w:ilvl w:val="2"/>
          <w:numId w:val="1"/>
        </w:numPr>
        <w:tabs>
          <w:tab w:val="left" w:pos="510"/>
        </w:tabs>
        <w:spacing w:line="175" w:lineRule="exact"/>
        <w:ind w:left="140" w:firstLine="180"/>
        <w:rPr>
          <w:sz w:val="18"/>
        </w:rPr>
      </w:pPr>
      <w:r>
        <w:rPr>
          <w:w w:val="115"/>
          <w:sz w:val="18"/>
        </w:rPr>
        <w:t>What methodologies,</w:t>
      </w:r>
      <w:r>
        <w:rPr>
          <w:spacing w:val="-21"/>
          <w:w w:val="115"/>
          <w:sz w:val="18"/>
        </w:rPr>
        <w:t xml:space="preserve"> </w:t>
      </w:r>
      <w:r>
        <w:rPr>
          <w:w w:val="115"/>
          <w:sz w:val="18"/>
        </w:rPr>
        <w:t>policies,</w:t>
      </w:r>
    </w:p>
    <w:p w:rsidR="0031592A" w:rsidRDefault="00B56DAA">
      <w:pPr>
        <w:pStyle w:val="BodyText"/>
        <w:spacing w:before="4"/>
      </w:pPr>
      <w:r>
        <w:rPr>
          <w:w w:val="115"/>
        </w:rPr>
        <w:t>standards, or technologies can be implemented to validate and compare various broadband availability data sources and identify and address conflicts between them?</w:t>
      </w:r>
    </w:p>
    <w:p w:rsidR="0031592A" w:rsidRDefault="00B56DAA">
      <w:pPr>
        <w:pStyle w:val="ListParagraph"/>
        <w:numPr>
          <w:ilvl w:val="2"/>
          <w:numId w:val="1"/>
        </w:numPr>
        <w:tabs>
          <w:tab w:val="left" w:pos="520"/>
        </w:tabs>
        <w:spacing w:line="181" w:lineRule="exact"/>
        <w:ind w:left="519" w:hanging="199"/>
        <w:rPr>
          <w:sz w:val="18"/>
        </w:rPr>
      </w:pPr>
      <w:r>
        <w:rPr>
          <w:w w:val="115"/>
          <w:sz w:val="18"/>
        </w:rPr>
        <w:t xml:space="preserve">Do examples or studies </w:t>
      </w:r>
      <w:r>
        <w:rPr>
          <w:w w:val="115"/>
          <w:sz w:val="18"/>
        </w:rPr>
        <w:t>of</w:t>
      </w:r>
      <w:r>
        <w:rPr>
          <w:spacing w:val="-29"/>
          <w:w w:val="115"/>
          <w:sz w:val="18"/>
        </w:rPr>
        <w:t xml:space="preserve"> </w:t>
      </w:r>
      <w:r>
        <w:rPr>
          <w:w w:val="115"/>
          <w:sz w:val="18"/>
        </w:rPr>
        <w:t>such</w:t>
      </w:r>
    </w:p>
    <w:p w:rsidR="0031592A" w:rsidRDefault="00B56DAA">
      <w:pPr>
        <w:pStyle w:val="BodyText"/>
        <w:spacing w:line="193" w:lineRule="exact"/>
      </w:pPr>
      <w:r>
        <w:rPr>
          <w:w w:val="115"/>
        </w:rPr>
        <w:t xml:space="preserve">validation </w:t>
      </w:r>
      <w:proofErr w:type="gramStart"/>
      <w:r>
        <w:rPr>
          <w:w w:val="115"/>
        </w:rPr>
        <w:t>exist</w:t>
      </w:r>
      <w:proofErr w:type="gramEnd"/>
      <w:r>
        <w:rPr>
          <w:w w:val="115"/>
        </w:rPr>
        <w:t>?</w:t>
      </w:r>
    </w:p>
    <w:p w:rsidR="0031592A" w:rsidRDefault="00B56DAA">
      <w:pPr>
        <w:pStyle w:val="ListParagraph"/>
        <w:numPr>
          <w:ilvl w:val="2"/>
          <w:numId w:val="1"/>
        </w:numPr>
        <w:tabs>
          <w:tab w:val="left" w:pos="510"/>
        </w:tabs>
        <w:spacing w:line="232" w:lineRule="auto"/>
        <w:ind w:left="140" w:right="66" w:firstLine="180"/>
        <w:rPr>
          <w:sz w:val="18"/>
        </w:rPr>
      </w:pPr>
      <w:r>
        <w:rPr>
          <w:w w:val="115"/>
          <w:sz w:val="18"/>
        </w:rPr>
        <w:t xml:space="preserve">What thresholds or benchmarks should be </w:t>
      </w:r>
      <w:proofErr w:type="gramStart"/>
      <w:r>
        <w:rPr>
          <w:w w:val="115"/>
          <w:sz w:val="18"/>
        </w:rPr>
        <w:t>taken into account</w:t>
      </w:r>
      <w:proofErr w:type="gramEnd"/>
      <w:r>
        <w:rPr>
          <w:w w:val="115"/>
          <w:sz w:val="18"/>
        </w:rPr>
        <w:t xml:space="preserve"> when validating broadband availability, such as bandwidth, latency, geographic coverage, technology type, etc.? How can conformance to such standards be used to evaluate t</w:t>
      </w:r>
      <w:r>
        <w:rPr>
          <w:w w:val="115"/>
          <w:sz w:val="18"/>
        </w:rPr>
        <w:t>he accuracy of broadband data sets? How could those standards be used to improve policymaking,</w:t>
      </w:r>
      <w:r>
        <w:rPr>
          <w:spacing w:val="-14"/>
          <w:w w:val="115"/>
          <w:sz w:val="18"/>
        </w:rPr>
        <w:t xml:space="preserve"> </w:t>
      </w:r>
      <w:r>
        <w:rPr>
          <w:w w:val="115"/>
          <w:sz w:val="18"/>
        </w:rPr>
        <w:t>program</w:t>
      </w:r>
      <w:r>
        <w:rPr>
          <w:spacing w:val="-14"/>
          <w:w w:val="115"/>
          <w:sz w:val="18"/>
        </w:rPr>
        <w:t xml:space="preserve"> </w:t>
      </w:r>
      <w:r>
        <w:rPr>
          <w:w w:val="115"/>
          <w:sz w:val="18"/>
        </w:rPr>
        <w:t>management,</w:t>
      </w:r>
      <w:r>
        <w:rPr>
          <w:spacing w:val="-14"/>
          <w:w w:val="115"/>
          <w:sz w:val="18"/>
        </w:rPr>
        <w:t xml:space="preserve"> </w:t>
      </w:r>
      <w:r>
        <w:rPr>
          <w:w w:val="115"/>
          <w:sz w:val="18"/>
        </w:rPr>
        <w:t>or research in broadband-related</w:t>
      </w:r>
      <w:r>
        <w:rPr>
          <w:spacing w:val="-7"/>
          <w:w w:val="115"/>
          <w:sz w:val="18"/>
        </w:rPr>
        <w:t xml:space="preserve"> </w:t>
      </w:r>
      <w:r>
        <w:rPr>
          <w:w w:val="115"/>
          <w:sz w:val="18"/>
        </w:rPr>
        <w:t>fields?</w:t>
      </w:r>
    </w:p>
    <w:p w:rsidR="0031592A" w:rsidRPr="00B56DAA" w:rsidRDefault="00B56DAA">
      <w:pPr>
        <w:pStyle w:val="ListParagraph"/>
        <w:numPr>
          <w:ilvl w:val="1"/>
          <w:numId w:val="1"/>
        </w:numPr>
        <w:tabs>
          <w:tab w:val="left" w:pos="520"/>
        </w:tabs>
        <w:spacing w:before="1" w:line="220" w:lineRule="auto"/>
        <w:ind w:right="483" w:firstLine="180"/>
        <w:rPr>
          <w:rFonts w:ascii="Book Antiqua"/>
          <w:i/>
          <w:sz w:val="18"/>
          <w:highlight w:val="green"/>
        </w:rPr>
      </w:pPr>
      <w:r w:rsidRPr="00B56DAA">
        <w:rPr>
          <w:rFonts w:ascii="Book Antiqua"/>
          <w:i/>
          <w:w w:val="115"/>
          <w:sz w:val="18"/>
          <w:highlight w:val="green"/>
        </w:rPr>
        <w:t>Identifying gaps in</w:t>
      </w:r>
      <w:r w:rsidRPr="00B56DAA">
        <w:rPr>
          <w:rFonts w:ascii="Book Antiqua"/>
          <w:i/>
          <w:spacing w:val="-19"/>
          <w:w w:val="115"/>
          <w:sz w:val="18"/>
          <w:highlight w:val="green"/>
        </w:rPr>
        <w:t xml:space="preserve"> </w:t>
      </w:r>
      <w:r w:rsidRPr="00B56DAA">
        <w:rPr>
          <w:rFonts w:ascii="Book Antiqua"/>
          <w:i/>
          <w:w w:val="115"/>
          <w:sz w:val="18"/>
          <w:highlight w:val="green"/>
        </w:rPr>
        <w:t>broadband availability:</w:t>
      </w:r>
    </w:p>
    <w:p w:rsidR="0031592A" w:rsidRDefault="00B56DAA">
      <w:pPr>
        <w:pStyle w:val="ListParagraph"/>
        <w:numPr>
          <w:ilvl w:val="2"/>
          <w:numId w:val="1"/>
        </w:numPr>
        <w:tabs>
          <w:tab w:val="left" w:pos="510"/>
        </w:tabs>
        <w:spacing w:line="177" w:lineRule="exact"/>
        <w:ind w:hanging="189"/>
        <w:rPr>
          <w:sz w:val="18"/>
        </w:rPr>
      </w:pPr>
      <w:r>
        <w:rPr>
          <w:w w:val="115"/>
          <w:sz w:val="18"/>
        </w:rPr>
        <w:t>What data improvements can</w:t>
      </w:r>
      <w:r>
        <w:rPr>
          <w:spacing w:val="1"/>
          <w:w w:val="115"/>
          <w:sz w:val="18"/>
        </w:rPr>
        <w:t xml:space="preserve"> </w:t>
      </w:r>
      <w:r>
        <w:rPr>
          <w:w w:val="115"/>
          <w:sz w:val="18"/>
        </w:rPr>
        <w:t>the</w:t>
      </w:r>
    </w:p>
    <w:p w:rsidR="0031592A" w:rsidRDefault="00B56DAA">
      <w:pPr>
        <w:pStyle w:val="BodyText"/>
        <w:spacing w:before="4"/>
        <w:ind w:right="-18"/>
      </w:pPr>
      <w:r>
        <w:rPr>
          <w:w w:val="115"/>
        </w:rPr>
        <w:t>government implement to</w:t>
      </w:r>
      <w:r>
        <w:rPr>
          <w:spacing w:val="-2"/>
          <w:w w:val="115"/>
        </w:rPr>
        <w:t xml:space="preserve"> </w:t>
      </w:r>
      <w:r>
        <w:rPr>
          <w:w w:val="115"/>
        </w:rPr>
        <w:t>better</w:t>
      </w:r>
      <w:r>
        <w:rPr>
          <w:spacing w:val="-1"/>
          <w:w w:val="115"/>
        </w:rPr>
        <w:t xml:space="preserve"> </w:t>
      </w:r>
      <w:r>
        <w:rPr>
          <w:w w:val="115"/>
        </w:rPr>
        <w:t>identify</w:t>
      </w:r>
      <w:r>
        <w:rPr>
          <w:w w:val="116"/>
        </w:rPr>
        <w:t xml:space="preserve"> </w:t>
      </w:r>
      <w:r>
        <w:rPr>
          <w:w w:val="115"/>
        </w:rPr>
        <w:t>areas with insufficient broadband capacity?</w:t>
      </w:r>
    </w:p>
    <w:p w:rsidR="0031592A" w:rsidRDefault="00B56DAA">
      <w:pPr>
        <w:pStyle w:val="ListParagraph"/>
        <w:numPr>
          <w:ilvl w:val="2"/>
          <w:numId w:val="1"/>
        </w:numPr>
        <w:tabs>
          <w:tab w:val="left" w:pos="520"/>
        </w:tabs>
        <w:spacing w:line="183" w:lineRule="exact"/>
        <w:ind w:left="519" w:hanging="199"/>
        <w:rPr>
          <w:sz w:val="18"/>
        </w:rPr>
      </w:pPr>
      <w:r>
        <w:rPr>
          <w:w w:val="115"/>
          <w:sz w:val="18"/>
        </w:rPr>
        <w:t>What other inputs should</w:t>
      </w:r>
      <w:r>
        <w:rPr>
          <w:spacing w:val="-8"/>
          <w:w w:val="115"/>
          <w:sz w:val="18"/>
        </w:rPr>
        <w:t xml:space="preserve"> </w:t>
      </w:r>
      <w:r>
        <w:rPr>
          <w:w w:val="115"/>
          <w:sz w:val="18"/>
        </w:rPr>
        <w:t>NTIA</w:t>
      </w:r>
    </w:p>
    <w:p w:rsidR="0031592A" w:rsidRDefault="00B56DAA">
      <w:pPr>
        <w:pStyle w:val="BodyText"/>
        <w:spacing w:before="5"/>
      </w:pPr>
      <w:r>
        <w:rPr>
          <w:w w:val="115"/>
        </w:rPr>
        <w:t>seek to inform data-driven broadband policy- and decision-making?</w:t>
      </w:r>
    </w:p>
    <w:p w:rsidR="0031592A" w:rsidRDefault="00B56DAA">
      <w:pPr>
        <w:spacing w:line="228" w:lineRule="auto"/>
        <w:ind w:left="140" w:right="6" w:firstLine="180"/>
        <w:rPr>
          <w:sz w:val="18"/>
        </w:rPr>
      </w:pPr>
      <w:r>
        <w:rPr>
          <w:rFonts w:ascii="Book Antiqua"/>
          <w:i/>
          <w:w w:val="115"/>
          <w:sz w:val="18"/>
        </w:rPr>
        <w:t xml:space="preserve">Instructions for Commenters: </w:t>
      </w:r>
      <w:r>
        <w:rPr>
          <w:w w:val="115"/>
          <w:sz w:val="18"/>
        </w:rPr>
        <w:t>Comments submitted by email should be machine-readable and should not be copy-protected. Comments submitted</w:t>
      </w:r>
      <w:r>
        <w:rPr>
          <w:spacing w:val="-22"/>
          <w:w w:val="115"/>
          <w:sz w:val="18"/>
        </w:rPr>
        <w:t xml:space="preserve"> </w:t>
      </w:r>
      <w:r>
        <w:rPr>
          <w:w w:val="115"/>
          <w:sz w:val="18"/>
        </w:rPr>
        <w:t>by</w:t>
      </w:r>
    </w:p>
    <w:p w:rsidR="0031592A" w:rsidRDefault="00B56DAA">
      <w:pPr>
        <w:pStyle w:val="BodyText"/>
        <w:spacing w:before="13"/>
      </w:pPr>
      <w:r>
        <w:rPr>
          <w:w w:val="115"/>
        </w:rPr>
        <w:t>mail may be in hard copy (paper) or electronic (on CD–ROM or disk).</w:t>
      </w:r>
    </w:p>
    <w:p w:rsidR="0031592A" w:rsidRDefault="00B56DAA">
      <w:pPr>
        <w:pStyle w:val="BodyText"/>
        <w:ind w:right="77"/>
      </w:pPr>
      <w:r>
        <w:rPr>
          <w:w w:val="115"/>
        </w:rPr>
        <w:t>Responders should include the name of the person or organization filing the c</w:t>
      </w:r>
      <w:r>
        <w:rPr>
          <w:w w:val="115"/>
        </w:rPr>
        <w:t xml:space="preserve">omment, as well as a page number on each page of their submissions. All comments received are a part of the public record and will generally be posted on the NTIA website, </w:t>
      </w:r>
      <w:hyperlink r:id="rId16">
        <w:r>
          <w:rPr>
            <w:rFonts w:ascii="Book Antiqua"/>
            <w:i/>
            <w:w w:val="115"/>
          </w:rPr>
          <w:t>https://</w:t>
        </w:r>
      </w:hyperlink>
      <w:r>
        <w:rPr>
          <w:rFonts w:ascii="Book Antiqua"/>
          <w:i/>
          <w:w w:val="115"/>
        </w:rPr>
        <w:t xml:space="preserve"> </w:t>
      </w:r>
      <w:hyperlink r:id="rId17">
        <w:r>
          <w:rPr>
            <w:rFonts w:ascii="Book Antiqua"/>
            <w:i/>
            <w:w w:val="115"/>
          </w:rPr>
          <w:t>www.ntia.doc.gov,</w:t>
        </w:r>
      </w:hyperlink>
      <w:r>
        <w:rPr>
          <w:rFonts w:ascii="Book Antiqua"/>
          <w:i/>
          <w:w w:val="115"/>
        </w:rPr>
        <w:t xml:space="preserve"> </w:t>
      </w:r>
      <w:r>
        <w:rPr>
          <w:w w:val="115"/>
        </w:rPr>
        <w:t>without change. All personal identifying information (for</w:t>
      </w:r>
    </w:p>
    <w:p w:rsidR="0031592A" w:rsidRDefault="00B56DAA">
      <w:pPr>
        <w:pStyle w:val="Heading2"/>
        <w:spacing w:line="186" w:lineRule="exact"/>
      </w:pPr>
      <w:r>
        <w:rPr>
          <w:b w:val="0"/>
        </w:rPr>
        <w:br w:type="column"/>
      </w:r>
      <w:r>
        <w:t>DEPARTMENT OF DEFENSE</w:t>
      </w:r>
    </w:p>
    <w:p w:rsidR="0031592A" w:rsidRDefault="00B56DAA">
      <w:pPr>
        <w:spacing w:before="153"/>
        <w:ind w:left="140"/>
        <w:rPr>
          <w:rFonts w:ascii="Arial"/>
          <w:b/>
          <w:sz w:val="18"/>
        </w:rPr>
      </w:pPr>
      <w:r>
        <w:rPr>
          <w:rFonts w:ascii="Arial"/>
          <w:b/>
          <w:sz w:val="18"/>
        </w:rPr>
        <w:t>Department of the Army</w:t>
      </w:r>
    </w:p>
    <w:p w:rsidR="0031592A" w:rsidRDefault="00B56DAA">
      <w:pPr>
        <w:spacing w:before="113"/>
        <w:ind w:left="140"/>
        <w:rPr>
          <w:rFonts w:ascii="Arial" w:hAnsi="Arial"/>
          <w:b/>
          <w:sz w:val="16"/>
        </w:rPr>
      </w:pPr>
      <w:r>
        <w:rPr>
          <w:rFonts w:ascii="Arial" w:hAnsi="Arial"/>
          <w:b/>
          <w:sz w:val="16"/>
        </w:rPr>
        <w:t>[Docket ID: USA–2018–HQ–0005]</w:t>
      </w:r>
    </w:p>
    <w:p w:rsidR="0031592A" w:rsidRDefault="0031592A">
      <w:pPr>
        <w:pStyle w:val="BodyText"/>
        <w:spacing w:before="4" w:line="240" w:lineRule="auto"/>
        <w:ind w:left="0"/>
        <w:rPr>
          <w:rFonts w:ascii="Arial"/>
          <w:b/>
          <w:sz w:val="14"/>
        </w:rPr>
      </w:pPr>
    </w:p>
    <w:p w:rsidR="0031592A" w:rsidRDefault="00B56DAA">
      <w:pPr>
        <w:pStyle w:val="Heading2"/>
        <w:spacing w:line="200" w:lineRule="exact"/>
        <w:ind w:right="969"/>
      </w:pPr>
      <w:r>
        <w:t>Submission for OMB Review; Comment Request</w:t>
      </w:r>
    </w:p>
    <w:p w:rsidR="0031592A" w:rsidRDefault="00B56DAA">
      <w:pPr>
        <w:pStyle w:val="BodyText"/>
        <w:spacing w:before="111" w:line="254" w:lineRule="auto"/>
        <w:ind w:right="167"/>
      </w:pPr>
      <w:r>
        <w:rPr>
          <w:rFonts w:ascii="Arial"/>
          <w:b/>
          <w:w w:val="110"/>
          <w:sz w:val="15"/>
        </w:rPr>
        <w:t>AGENCY</w:t>
      </w:r>
      <w:r>
        <w:rPr>
          <w:rFonts w:ascii="Arial"/>
          <w:b/>
          <w:w w:val="110"/>
        </w:rPr>
        <w:t xml:space="preserve">: </w:t>
      </w:r>
      <w:r>
        <w:rPr>
          <w:w w:val="110"/>
        </w:rPr>
        <w:t xml:space="preserve">Department of the Army, DoD. </w:t>
      </w:r>
      <w:r>
        <w:rPr>
          <w:rFonts w:ascii="Arial"/>
          <w:b/>
          <w:w w:val="110"/>
          <w:sz w:val="15"/>
        </w:rPr>
        <w:t>ACTION</w:t>
      </w:r>
      <w:r>
        <w:rPr>
          <w:rFonts w:ascii="Arial"/>
          <w:b/>
          <w:w w:val="110"/>
        </w:rPr>
        <w:t xml:space="preserve">: </w:t>
      </w:r>
      <w:r>
        <w:rPr>
          <w:w w:val="110"/>
        </w:rPr>
        <w:t>30-Day information collection notice.</w:t>
      </w:r>
    </w:p>
    <w:p w:rsidR="0031592A" w:rsidRDefault="0031592A">
      <w:pPr>
        <w:pStyle w:val="BodyText"/>
        <w:spacing w:before="3" w:line="240" w:lineRule="auto"/>
        <w:ind w:left="0"/>
        <w:rPr>
          <w:sz w:val="4"/>
        </w:rPr>
      </w:pPr>
    </w:p>
    <w:p w:rsidR="0031592A" w:rsidRDefault="00B56DAA">
      <w:pPr>
        <w:pStyle w:val="BodyText"/>
        <w:spacing w:line="20" w:lineRule="exact"/>
        <w:ind w:left="137"/>
        <w:rPr>
          <w:sz w:val="2"/>
        </w:rPr>
      </w:pPr>
      <w:r>
        <w:rPr>
          <w:sz w:val="2"/>
        </w:rPr>
      </w:r>
      <w:r>
        <w:rPr>
          <w:sz w:val="2"/>
        </w:rPr>
        <w:pict>
          <v:group id="_x0000_s1026" style="width:168.3pt;height:.3pt;mso-position-horizontal-relative:char;mso-position-vertical-relative:line" coordsize="3366,6">
            <v:line id="_x0000_s1027" style="position:absolute" from="3,3" to="3363,3" strokeweight=".3pt"/>
            <w10:anchorlock/>
          </v:group>
        </w:pict>
      </w:r>
    </w:p>
    <w:p w:rsidR="0031592A" w:rsidRDefault="00B56DAA">
      <w:pPr>
        <w:pStyle w:val="BodyText"/>
        <w:spacing w:before="66"/>
        <w:ind w:right="158" w:hanging="1"/>
      </w:pPr>
      <w:r>
        <w:rPr>
          <w:rFonts w:ascii="Arial"/>
          <w:b/>
          <w:w w:val="115"/>
          <w:sz w:val="15"/>
        </w:rPr>
        <w:t>SUMMARY</w:t>
      </w:r>
      <w:r>
        <w:rPr>
          <w:rFonts w:ascii="Arial"/>
          <w:b/>
          <w:w w:val="115"/>
        </w:rPr>
        <w:t xml:space="preserve">: </w:t>
      </w:r>
      <w:r>
        <w:rPr>
          <w:w w:val="115"/>
        </w:rPr>
        <w:t>The Department of Defense has submitted to OMB for clearance the following proposal for collection of information under the provisions of the Paperwork Reduction Act.</w:t>
      </w:r>
    </w:p>
    <w:p w:rsidR="0031592A" w:rsidRDefault="00B56DAA">
      <w:pPr>
        <w:pStyle w:val="BodyText"/>
        <w:spacing w:before="39"/>
        <w:ind w:right="141" w:hanging="1"/>
      </w:pPr>
      <w:r>
        <w:rPr>
          <w:rFonts w:ascii="Arial"/>
          <w:b/>
          <w:w w:val="115"/>
          <w:sz w:val="15"/>
        </w:rPr>
        <w:t>DATES</w:t>
      </w:r>
      <w:r>
        <w:rPr>
          <w:rFonts w:ascii="Arial"/>
          <w:b/>
          <w:w w:val="115"/>
        </w:rPr>
        <w:t>:</w:t>
      </w:r>
      <w:r>
        <w:rPr>
          <w:rFonts w:ascii="Arial"/>
          <w:b/>
          <w:spacing w:val="-27"/>
          <w:w w:val="115"/>
        </w:rPr>
        <w:t xml:space="preserve"> </w:t>
      </w:r>
      <w:r>
        <w:rPr>
          <w:w w:val="115"/>
        </w:rPr>
        <w:t>Consideration</w:t>
      </w:r>
      <w:r>
        <w:rPr>
          <w:spacing w:val="-22"/>
          <w:w w:val="115"/>
        </w:rPr>
        <w:t xml:space="preserve"> </w:t>
      </w:r>
      <w:r>
        <w:rPr>
          <w:w w:val="115"/>
        </w:rPr>
        <w:t>will</w:t>
      </w:r>
      <w:r>
        <w:rPr>
          <w:spacing w:val="-22"/>
          <w:w w:val="115"/>
        </w:rPr>
        <w:t xml:space="preserve"> </w:t>
      </w:r>
      <w:r>
        <w:rPr>
          <w:w w:val="115"/>
        </w:rPr>
        <w:t>be</w:t>
      </w:r>
      <w:r>
        <w:rPr>
          <w:spacing w:val="-22"/>
          <w:w w:val="115"/>
        </w:rPr>
        <w:t xml:space="preserve"> </w:t>
      </w:r>
      <w:r>
        <w:rPr>
          <w:w w:val="115"/>
        </w:rPr>
        <w:t>given</w:t>
      </w:r>
      <w:r>
        <w:rPr>
          <w:spacing w:val="-22"/>
          <w:w w:val="115"/>
        </w:rPr>
        <w:t xml:space="preserve"> </w:t>
      </w:r>
      <w:r>
        <w:rPr>
          <w:w w:val="115"/>
        </w:rPr>
        <w:t>to</w:t>
      </w:r>
      <w:r>
        <w:rPr>
          <w:spacing w:val="-22"/>
          <w:w w:val="115"/>
        </w:rPr>
        <w:t xml:space="preserve"> </w:t>
      </w:r>
      <w:r>
        <w:rPr>
          <w:w w:val="115"/>
        </w:rPr>
        <w:t>all comments</w:t>
      </w:r>
      <w:r>
        <w:rPr>
          <w:spacing w:val="-12"/>
          <w:w w:val="115"/>
        </w:rPr>
        <w:t xml:space="preserve"> </w:t>
      </w:r>
      <w:r>
        <w:rPr>
          <w:w w:val="115"/>
        </w:rPr>
        <w:t>received</w:t>
      </w:r>
      <w:r>
        <w:rPr>
          <w:spacing w:val="-12"/>
          <w:w w:val="115"/>
        </w:rPr>
        <w:t xml:space="preserve"> </w:t>
      </w:r>
      <w:r>
        <w:rPr>
          <w:w w:val="115"/>
        </w:rPr>
        <w:t>by</w:t>
      </w:r>
      <w:r>
        <w:rPr>
          <w:spacing w:val="-12"/>
          <w:w w:val="115"/>
        </w:rPr>
        <w:t xml:space="preserve"> </w:t>
      </w:r>
      <w:r>
        <w:rPr>
          <w:w w:val="115"/>
        </w:rPr>
        <w:t>June</w:t>
      </w:r>
      <w:r>
        <w:rPr>
          <w:spacing w:val="-12"/>
          <w:w w:val="115"/>
        </w:rPr>
        <w:t xml:space="preserve"> </w:t>
      </w:r>
      <w:r>
        <w:rPr>
          <w:w w:val="115"/>
        </w:rPr>
        <w:t>29,</w:t>
      </w:r>
      <w:r>
        <w:rPr>
          <w:spacing w:val="-12"/>
          <w:w w:val="115"/>
        </w:rPr>
        <w:t xml:space="preserve"> </w:t>
      </w:r>
      <w:r>
        <w:rPr>
          <w:w w:val="115"/>
        </w:rPr>
        <w:t>2018.</w:t>
      </w:r>
    </w:p>
    <w:p w:rsidR="0031592A" w:rsidRDefault="00B56DAA">
      <w:pPr>
        <w:pStyle w:val="BodyText"/>
        <w:spacing w:before="39"/>
        <w:ind w:right="155" w:hanging="1"/>
      </w:pPr>
      <w:r>
        <w:rPr>
          <w:rFonts w:ascii="Arial" w:hAnsi="Arial"/>
          <w:b/>
          <w:w w:val="115"/>
          <w:sz w:val="15"/>
        </w:rPr>
        <w:t>ADDRESSES</w:t>
      </w:r>
      <w:r>
        <w:rPr>
          <w:rFonts w:ascii="Arial" w:hAnsi="Arial"/>
          <w:b/>
          <w:w w:val="115"/>
        </w:rPr>
        <w:t xml:space="preserve">: </w:t>
      </w:r>
      <w:r>
        <w:rPr>
          <w:w w:val="115"/>
        </w:rPr>
        <w:t xml:space="preserve">Comments and recommendations on the proposed information collection should be emailed to Ms. Jasmeet </w:t>
      </w:r>
      <w:proofErr w:type="spellStart"/>
      <w:r>
        <w:rPr>
          <w:w w:val="115"/>
        </w:rPr>
        <w:t>Seehra</w:t>
      </w:r>
      <w:proofErr w:type="spellEnd"/>
      <w:r>
        <w:rPr>
          <w:w w:val="115"/>
        </w:rPr>
        <w:t xml:space="preserve">, DoD Desk Officer, at </w:t>
      </w:r>
      <w:hyperlink r:id="rId18">
        <w:proofErr w:type="spellStart"/>
        <w:r>
          <w:rPr>
            <w:rFonts w:ascii="Book Antiqua" w:hAnsi="Book Antiqua"/>
            <w:i/>
            <w:w w:val="115"/>
          </w:rPr>
          <w:t>oira</w:t>
        </w:r>
        <w:r>
          <w:rPr>
            <w:rFonts w:ascii="Symbol" w:hAnsi="Symbol"/>
            <w:w w:val="115"/>
          </w:rPr>
          <w:t></w:t>
        </w:r>
        <w:r>
          <w:rPr>
            <w:rFonts w:ascii="Book Antiqua" w:hAnsi="Book Antiqua"/>
            <w:i/>
            <w:w w:val="115"/>
          </w:rPr>
          <w:t>submission</w:t>
        </w:r>
        <w:proofErr w:type="spellEnd"/>
        <w:r>
          <w:rPr>
            <w:rFonts w:ascii="Book Antiqua" w:hAnsi="Book Antiqua"/>
            <w:i/>
            <w:w w:val="115"/>
          </w:rPr>
          <w:t>@</w:t>
        </w:r>
      </w:hyperlink>
      <w:r>
        <w:rPr>
          <w:rFonts w:ascii="Book Antiqua" w:hAnsi="Book Antiqua"/>
          <w:i/>
          <w:w w:val="115"/>
        </w:rPr>
        <w:t xml:space="preserve"> </w:t>
      </w:r>
      <w:hyperlink r:id="rId19">
        <w:r>
          <w:rPr>
            <w:rFonts w:ascii="Book Antiqua" w:hAnsi="Book Antiqua"/>
            <w:i/>
            <w:w w:val="115"/>
          </w:rPr>
          <w:t>o</w:t>
        </w:r>
        <w:r>
          <w:rPr>
            <w:rFonts w:ascii="Book Antiqua" w:hAnsi="Book Antiqua"/>
            <w:i/>
            <w:w w:val="115"/>
          </w:rPr>
          <w:t>mb.eop.gov.</w:t>
        </w:r>
      </w:hyperlink>
      <w:r>
        <w:rPr>
          <w:rFonts w:ascii="Book Antiqua" w:hAnsi="Book Antiqua"/>
          <w:i/>
          <w:w w:val="115"/>
        </w:rPr>
        <w:t xml:space="preserve"> </w:t>
      </w:r>
      <w:r>
        <w:rPr>
          <w:w w:val="115"/>
        </w:rPr>
        <w:t>Please identify the proposed</w:t>
      </w:r>
      <w:r>
        <w:rPr>
          <w:spacing w:val="-11"/>
          <w:w w:val="115"/>
        </w:rPr>
        <w:t xml:space="preserve"> </w:t>
      </w:r>
      <w:r>
        <w:rPr>
          <w:w w:val="115"/>
        </w:rPr>
        <w:t>information</w:t>
      </w:r>
      <w:r>
        <w:rPr>
          <w:spacing w:val="-11"/>
          <w:w w:val="115"/>
        </w:rPr>
        <w:t xml:space="preserve"> </w:t>
      </w:r>
      <w:r>
        <w:rPr>
          <w:w w:val="115"/>
        </w:rPr>
        <w:t>collection</w:t>
      </w:r>
      <w:r>
        <w:rPr>
          <w:spacing w:val="-11"/>
          <w:w w:val="115"/>
        </w:rPr>
        <w:t xml:space="preserve"> </w:t>
      </w:r>
      <w:r>
        <w:rPr>
          <w:w w:val="115"/>
        </w:rPr>
        <w:t>by</w:t>
      </w:r>
      <w:r>
        <w:rPr>
          <w:spacing w:val="-11"/>
          <w:w w:val="115"/>
        </w:rPr>
        <w:t xml:space="preserve"> </w:t>
      </w:r>
      <w:r>
        <w:rPr>
          <w:w w:val="115"/>
        </w:rPr>
        <w:t>DoD Desk Officer, Docket ID number, and title of the information</w:t>
      </w:r>
      <w:r>
        <w:rPr>
          <w:spacing w:val="-4"/>
          <w:w w:val="115"/>
        </w:rPr>
        <w:t xml:space="preserve"> </w:t>
      </w:r>
      <w:r>
        <w:rPr>
          <w:w w:val="115"/>
        </w:rPr>
        <w:t>collection.</w:t>
      </w:r>
    </w:p>
    <w:p w:rsidR="0031592A" w:rsidRDefault="00B56DAA">
      <w:pPr>
        <w:spacing w:before="31" w:line="204" w:lineRule="exact"/>
        <w:ind w:left="140"/>
        <w:rPr>
          <w:sz w:val="18"/>
        </w:rPr>
      </w:pPr>
      <w:r>
        <w:rPr>
          <w:rFonts w:ascii="Arial"/>
          <w:b/>
          <w:sz w:val="15"/>
        </w:rPr>
        <w:t>FOR FURTHER INFORMATION CONTACT</w:t>
      </w:r>
      <w:r>
        <w:rPr>
          <w:rFonts w:ascii="Arial"/>
          <w:b/>
          <w:sz w:val="18"/>
        </w:rPr>
        <w:t xml:space="preserve">: </w:t>
      </w:r>
      <w:r>
        <w:rPr>
          <w:sz w:val="18"/>
        </w:rPr>
        <w:t>Fred</w:t>
      </w:r>
    </w:p>
    <w:p w:rsidR="0031592A" w:rsidRDefault="00B56DAA">
      <w:pPr>
        <w:spacing w:before="4" w:line="200" w:lineRule="exact"/>
        <w:ind w:left="140" w:right="605"/>
        <w:rPr>
          <w:sz w:val="18"/>
        </w:rPr>
      </w:pPr>
      <w:r>
        <w:rPr>
          <w:w w:val="115"/>
          <w:sz w:val="18"/>
        </w:rPr>
        <w:t xml:space="preserve">Licari, 571–372–0493, or </w:t>
      </w:r>
      <w:hyperlink r:id="rId20">
        <w:r>
          <w:rPr>
            <w:rFonts w:ascii="Book Antiqua" w:hAnsi="Book Antiqua"/>
            <w:i/>
            <w:w w:val="115"/>
            <w:sz w:val="18"/>
          </w:rPr>
          <w:t>whs.mc-</w:t>
        </w:r>
      </w:hyperlink>
      <w:r>
        <w:rPr>
          <w:rFonts w:ascii="Book Antiqua" w:hAnsi="Book Antiqua"/>
          <w:i/>
          <w:w w:val="115"/>
          <w:sz w:val="18"/>
        </w:rPr>
        <w:t xml:space="preserve"> </w:t>
      </w:r>
      <w:hyperlink r:id="rId21">
        <w:r>
          <w:rPr>
            <w:rFonts w:ascii="Book Antiqua" w:hAnsi="Book Antiqua"/>
            <w:i/>
            <w:w w:val="115"/>
            <w:sz w:val="18"/>
          </w:rPr>
          <w:t>alex.esd.mbx.dd-dod-information-</w:t>
        </w:r>
      </w:hyperlink>
      <w:r>
        <w:rPr>
          <w:rFonts w:ascii="Book Antiqua" w:hAnsi="Book Antiqua"/>
          <w:i/>
          <w:w w:val="115"/>
          <w:sz w:val="18"/>
        </w:rPr>
        <w:t xml:space="preserve"> </w:t>
      </w:r>
      <w:hyperlink r:id="rId22">
        <w:r>
          <w:rPr>
            <w:rFonts w:ascii="Book Antiqua" w:hAnsi="Book Antiqua"/>
            <w:i/>
            <w:w w:val="115"/>
            <w:sz w:val="18"/>
          </w:rPr>
          <w:t>collections@mail.mil</w:t>
        </w:r>
      </w:hyperlink>
      <w:r>
        <w:rPr>
          <w:w w:val="115"/>
          <w:sz w:val="18"/>
        </w:rPr>
        <w:t>.</w:t>
      </w:r>
    </w:p>
    <w:p w:rsidR="0031592A" w:rsidRDefault="00B56DAA">
      <w:pPr>
        <w:spacing w:before="30" w:line="205" w:lineRule="exact"/>
        <w:ind w:left="140"/>
        <w:rPr>
          <w:rFonts w:ascii="Arial"/>
          <w:b/>
          <w:sz w:val="18"/>
        </w:rPr>
      </w:pPr>
      <w:r>
        <w:rPr>
          <w:rFonts w:ascii="Arial"/>
          <w:b/>
          <w:w w:val="95"/>
          <w:sz w:val="15"/>
        </w:rPr>
        <w:t>SUPPLEMENTARY INFORMATION</w:t>
      </w:r>
      <w:r>
        <w:rPr>
          <w:rFonts w:ascii="Arial"/>
          <w:b/>
          <w:w w:val="95"/>
          <w:sz w:val="18"/>
        </w:rPr>
        <w:t>:</w:t>
      </w:r>
    </w:p>
    <w:p w:rsidR="0031592A" w:rsidRDefault="00B56DAA">
      <w:pPr>
        <w:spacing w:before="3" w:line="200" w:lineRule="exact"/>
        <w:ind w:left="140" w:right="176" w:firstLine="180"/>
        <w:rPr>
          <w:sz w:val="18"/>
        </w:rPr>
      </w:pPr>
      <w:r>
        <w:rPr>
          <w:rFonts w:ascii="Book Antiqua" w:hAnsi="Book Antiqua"/>
          <w:i/>
          <w:w w:val="115"/>
          <w:sz w:val="18"/>
        </w:rPr>
        <w:t xml:space="preserve">Title; Associated Form; and OMB Number: </w:t>
      </w:r>
      <w:r>
        <w:rPr>
          <w:w w:val="115"/>
          <w:sz w:val="18"/>
        </w:rPr>
        <w:t xml:space="preserve">Evaluation of Health Status of an Infantry Battalion Following Deployment in Support of Operation Iraqi Freedom in 2004–2005; </w:t>
      </w:r>
      <w:r>
        <w:rPr>
          <w:w w:val="115"/>
          <w:sz w:val="18"/>
        </w:rPr>
        <w:t xml:space="preserve">OMB </w:t>
      </w:r>
      <w:r>
        <w:rPr>
          <w:w w:val="110"/>
          <w:sz w:val="18"/>
        </w:rPr>
        <w:t>Control Number 0702–XXXX.</w:t>
      </w:r>
    </w:p>
    <w:p w:rsidR="0031592A" w:rsidRDefault="00B56DAA">
      <w:pPr>
        <w:spacing w:line="201" w:lineRule="exact"/>
        <w:ind w:left="320"/>
        <w:rPr>
          <w:sz w:val="18"/>
        </w:rPr>
      </w:pPr>
      <w:r>
        <w:rPr>
          <w:rFonts w:ascii="Book Antiqua"/>
          <w:i/>
          <w:w w:val="115"/>
          <w:sz w:val="18"/>
        </w:rPr>
        <w:t xml:space="preserve">Type of Request: </w:t>
      </w:r>
      <w:r>
        <w:rPr>
          <w:w w:val="115"/>
          <w:sz w:val="18"/>
        </w:rPr>
        <w:t>New.</w:t>
      </w:r>
    </w:p>
    <w:p w:rsidR="0031592A" w:rsidRDefault="00B56DAA">
      <w:pPr>
        <w:spacing w:before="4" w:line="220" w:lineRule="auto"/>
        <w:ind w:left="320" w:right="605"/>
        <w:rPr>
          <w:sz w:val="18"/>
        </w:rPr>
      </w:pPr>
      <w:r>
        <w:rPr>
          <w:rFonts w:ascii="Book Antiqua"/>
          <w:i/>
          <w:w w:val="115"/>
          <w:sz w:val="18"/>
        </w:rPr>
        <w:t xml:space="preserve">Number of Respondents: </w:t>
      </w:r>
      <w:r>
        <w:rPr>
          <w:w w:val="115"/>
          <w:sz w:val="18"/>
        </w:rPr>
        <w:t xml:space="preserve">3,500. </w:t>
      </w:r>
      <w:r>
        <w:rPr>
          <w:rFonts w:ascii="Book Antiqua"/>
          <w:i/>
          <w:w w:val="115"/>
          <w:sz w:val="18"/>
        </w:rPr>
        <w:t xml:space="preserve">Responses per Respondent: </w:t>
      </w:r>
      <w:r>
        <w:rPr>
          <w:w w:val="115"/>
          <w:sz w:val="18"/>
        </w:rPr>
        <w:t xml:space="preserve">1. </w:t>
      </w:r>
      <w:r>
        <w:rPr>
          <w:rFonts w:ascii="Book Antiqua"/>
          <w:i/>
          <w:w w:val="115"/>
          <w:sz w:val="18"/>
        </w:rPr>
        <w:t xml:space="preserve">Annual Responses: </w:t>
      </w:r>
      <w:r>
        <w:rPr>
          <w:w w:val="115"/>
          <w:sz w:val="18"/>
        </w:rPr>
        <w:t>3,500.</w:t>
      </w:r>
    </w:p>
    <w:p w:rsidR="0031592A" w:rsidRDefault="00B56DAA">
      <w:pPr>
        <w:spacing w:line="220" w:lineRule="auto"/>
        <w:ind w:left="140" w:right="175" w:firstLine="180"/>
        <w:rPr>
          <w:sz w:val="18"/>
        </w:rPr>
      </w:pPr>
      <w:r>
        <w:rPr>
          <w:rFonts w:ascii="Book Antiqua"/>
          <w:i/>
          <w:w w:val="115"/>
          <w:sz w:val="18"/>
        </w:rPr>
        <w:t xml:space="preserve">Average Burden per Response: </w:t>
      </w:r>
      <w:r>
        <w:rPr>
          <w:w w:val="115"/>
          <w:sz w:val="18"/>
        </w:rPr>
        <w:t>1 Hour.</w:t>
      </w:r>
    </w:p>
    <w:p w:rsidR="0031592A" w:rsidRDefault="00B56DAA">
      <w:pPr>
        <w:spacing w:before="1" w:line="205" w:lineRule="exact"/>
        <w:ind w:left="320"/>
        <w:rPr>
          <w:sz w:val="18"/>
        </w:rPr>
      </w:pPr>
      <w:r>
        <w:rPr>
          <w:rFonts w:ascii="Book Antiqua"/>
          <w:i/>
          <w:w w:val="110"/>
          <w:sz w:val="18"/>
        </w:rPr>
        <w:t xml:space="preserve">Annual Burden Hours: </w:t>
      </w:r>
      <w:r>
        <w:rPr>
          <w:w w:val="110"/>
          <w:sz w:val="18"/>
        </w:rPr>
        <w:t>3,500.</w:t>
      </w:r>
    </w:p>
    <w:p w:rsidR="0031592A" w:rsidRDefault="00B56DAA">
      <w:pPr>
        <w:pStyle w:val="BodyText"/>
        <w:spacing w:line="230" w:lineRule="auto"/>
        <w:ind w:right="371" w:firstLine="180"/>
        <w:rPr>
          <w:rFonts w:ascii="Book Antiqua"/>
          <w:i/>
        </w:rPr>
      </w:pPr>
      <w:r>
        <w:rPr>
          <w:rFonts w:ascii="Book Antiqua"/>
          <w:i/>
          <w:w w:val="115"/>
        </w:rPr>
        <w:t xml:space="preserve">Needs and Uses: </w:t>
      </w:r>
      <w:r>
        <w:rPr>
          <w:w w:val="115"/>
        </w:rPr>
        <w:t xml:space="preserve">The information collection requirement is necessary to assess and evaluate the self-reported post-deployment health status of selected soldiers who operated </w:t>
      </w:r>
      <w:proofErr w:type="gramStart"/>
      <w:r>
        <w:rPr>
          <w:w w:val="115"/>
        </w:rPr>
        <w:t>in the vicinity of</w:t>
      </w:r>
      <w:proofErr w:type="gramEnd"/>
      <w:r>
        <w:rPr>
          <w:w w:val="115"/>
        </w:rPr>
        <w:t xml:space="preserve"> Mosul, Iraq in 2004 (</w:t>
      </w:r>
      <w:r>
        <w:rPr>
          <w:rFonts w:ascii="Book Antiqua"/>
          <w:i/>
          <w:w w:val="115"/>
        </w:rPr>
        <w:t>e.g.,</w:t>
      </w:r>
    </w:p>
    <w:sectPr w:rsidR="0031592A">
      <w:type w:val="continuous"/>
      <w:pgSz w:w="12240" w:h="15840"/>
      <w:pgMar w:top="260" w:right="760" w:bottom="280" w:left="760" w:header="720" w:footer="720" w:gutter="0"/>
      <w:cols w:num="3" w:space="720" w:equalWidth="0">
        <w:col w:w="3485" w:space="55"/>
        <w:col w:w="3497" w:space="43"/>
        <w:col w:w="3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1B32"/>
    <w:multiLevelType w:val="hybridMultilevel"/>
    <w:tmpl w:val="ED02F61C"/>
    <w:lvl w:ilvl="0" w:tplc="1DCEE446">
      <w:start w:val="1"/>
      <w:numFmt w:val="upperRoman"/>
      <w:lvlText w:val="%1."/>
      <w:lvlJc w:val="left"/>
      <w:pPr>
        <w:ind w:left="285" w:hanging="142"/>
      </w:pPr>
      <w:rPr>
        <w:rFonts w:ascii="Times New Roman" w:eastAsia="Times New Roman" w:hAnsi="Times New Roman" w:cs="Times New Roman" w:hint="default"/>
        <w:w w:val="104"/>
        <w:sz w:val="16"/>
        <w:szCs w:val="16"/>
      </w:rPr>
    </w:lvl>
    <w:lvl w:ilvl="1" w:tplc="D2A80FDE">
      <w:numFmt w:val="bullet"/>
      <w:lvlText w:val="•"/>
      <w:lvlJc w:val="left"/>
      <w:pPr>
        <w:ind w:left="616" w:hanging="142"/>
      </w:pPr>
      <w:rPr>
        <w:rFonts w:hint="default"/>
      </w:rPr>
    </w:lvl>
    <w:lvl w:ilvl="2" w:tplc="0852ABE0">
      <w:numFmt w:val="bullet"/>
      <w:lvlText w:val="•"/>
      <w:lvlJc w:val="left"/>
      <w:pPr>
        <w:ind w:left="952" w:hanging="142"/>
      </w:pPr>
      <w:rPr>
        <w:rFonts w:hint="default"/>
      </w:rPr>
    </w:lvl>
    <w:lvl w:ilvl="3" w:tplc="61185804">
      <w:numFmt w:val="bullet"/>
      <w:lvlText w:val="•"/>
      <w:lvlJc w:val="left"/>
      <w:pPr>
        <w:ind w:left="1288" w:hanging="142"/>
      </w:pPr>
      <w:rPr>
        <w:rFonts w:hint="default"/>
      </w:rPr>
    </w:lvl>
    <w:lvl w:ilvl="4" w:tplc="03308934">
      <w:numFmt w:val="bullet"/>
      <w:lvlText w:val="•"/>
      <w:lvlJc w:val="left"/>
      <w:pPr>
        <w:ind w:left="1625" w:hanging="142"/>
      </w:pPr>
      <w:rPr>
        <w:rFonts w:hint="default"/>
      </w:rPr>
    </w:lvl>
    <w:lvl w:ilvl="5" w:tplc="10D8738E">
      <w:numFmt w:val="bullet"/>
      <w:lvlText w:val="•"/>
      <w:lvlJc w:val="left"/>
      <w:pPr>
        <w:ind w:left="1961" w:hanging="142"/>
      </w:pPr>
      <w:rPr>
        <w:rFonts w:hint="default"/>
      </w:rPr>
    </w:lvl>
    <w:lvl w:ilvl="6" w:tplc="B2B8EA20">
      <w:numFmt w:val="bullet"/>
      <w:lvlText w:val="•"/>
      <w:lvlJc w:val="left"/>
      <w:pPr>
        <w:ind w:left="2297" w:hanging="142"/>
      </w:pPr>
      <w:rPr>
        <w:rFonts w:hint="default"/>
      </w:rPr>
    </w:lvl>
    <w:lvl w:ilvl="7" w:tplc="5180F290">
      <w:numFmt w:val="bullet"/>
      <w:lvlText w:val="•"/>
      <w:lvlJc w:val="left"/>
      <w:pPr>
        <w:ind w:left="2634" w:hanging="142"/>
      </w:pPr>
      <w:rPr>
        <w:rFonts w:hint="default"/>
      </w:rPr>
    </w:lvl>
    <w:lvl w:ilvl="8" w:tplc="1B1430CA">
      <w:numFmt w:val="bullet"/>
      <w:lvlText w:val="•"/>
      <w:lvlJc w:val="left"/>
      <w:pPr>
        <w:ind w:left="2970" w:hanging="142"/>
      </w:pPr>
      <w:rPr>
        <w:rFonts w:hint="default"/>
      </w:rPr>
    </w:lvl>
  </w:abstractNum>
  <w:abstractNum w:abstractNumId="1" w15:restartNumberingAfterBreak="0">
    <w:nsid w:val="23290C6E"/>
    <w:multiLevelType w:val="hybridMultilevel"/>
    <w:tmpl w:val="EF82DE7A"/>
    <w:lvl w:ilvl="0" w:tplc="9F4816D4">
      <w:start w:val="1"/>
      <w:numFmt w:val="decimal"/>
      <w:lvlText w:val="(%1)"/>
      <w:lvlJc w:val="left"/>
      <w:pPr>
        <w:ind w:left="160" w:hanging="270"/>
      </w:pPr>
      <w:rPr>
        <w:rFonts w:ascii="Times New Roman" w:eastAsia="Times New Roman" w:hAnsi="Times New Roman" w:cs="Times New Roman" w:hint="default"/>
        <w:w w:val="104"/>
        <w:sz w:val="18"/>
        <w:szCs w:val="18"/>
      </w:rPr>
    </w:lvl>
    <w:lvl w:ilvl="1" w:tplc="312E2B4E">
      <w:start w:val="1"/>
      <w:numFmt w:val="decimal"/>
      <w:lvlText w:val="(%2)"/>
      <w:lvlJc w:val="left"/>
      <w:pPr>
        <w:ind w:left="143" w:hanging="240"/>
      </w:pPr>
      <w:rPr>
        <w:rFonts w:ascii="Times New Roman" w:eastAsia="Times New Roman" w:hAnsi="Times New Roman" w:cs="Times New Roman" w:hint="default"/>
        <w:w w:val="104"/>
        <w:sz w:val="16"/>
        <w:szCs w:val="16"/>
      </w:rPr>
    </w:lvl>
    <w:lvl w:ilvl="2" w:tplc="AA0AD12C">
      <w:numFmt w:val="bullet"/>
      <w:lvlText w:val="•"/>
      <w:lvlJc w:val="left"/>
      <w:pPr>
        <w:ind w:left="-257" w:hanging="240"/>
      </w:pPr>
      <w:rPr>
        <w:rFonts w:hint="default"/>
      </w:rPr>
    </w:lvl>
    <w:lvl w:ilvl="3" w:tplc="163667FE">
      <w:numFmt w:val="bullet"/>
      <w:lvlText w:val="•"/>
      <w:lvlJc w:val="left"/>
      <w:pPr>
        <w:ind w:left="-674" w:hanging="240"/>
      </w:pPr>
      <w:rPr>
        <w:rFonts w:hint="default"/>
      </w:rPr>
    </w:lvl>
    <w:lvl w:ilvl="4" w:tplc="DED29E4C">
      <w:numFmt w:val="bullet"/>
      <w:lvlText w:val="•"/>
      <w:lvlJc w:val="left"/>
      <w:pPr>
        <w:ind w:left="-1091" w:hanging="240"/>
      </w:pPr>
      <w:rPr>
        <w:rFonts w:hint="default"/>
      </w:rPr>
    </w:lvl>
    <w:lvl w:ilvl="5" w:tplc="5C92D82C">
      <w:numFmt w:val="bullet"/>
      <w:lvlText w:val="•"/>
      <w:lvlJc w:val="left"/>
      <w:pPr>
        <w:ind w:left="-1507" w:hanging="240"/>
      </w:pPr>
      <w:rPr>
        <w:rFonts w:hint="default"/>
      </w:rPr>
    </w:lvl>
    <w:lvl w:ilvl="6" w:tplc="BAAA858C">
      <w:numFmt w:val="bullet"/>
      <w:lvlText w:val="•"/>
      <w:lvlJc w:val="left"/>
      <w:pPr>
        <w:ind w:left="-1924" w:hanging="240"/>
      </w:pPr>
      <w:rPr>
        <w:rFonts w:hint="default"/>
      </w:rPr>
    </w:lvl>
    <w:lvl w:ilvl="7" w:tplc="AB427EEA">
      <w:numFmt w:val="bullet"/>
      <w:lvlText w:val="•"/>
      <w:lvlJc w:val="left"/>
      <w:pPr>
        <w:ind w:left="-2341" w:hanging="240"/>
      </w:pPr>
      <w:rPr>
        <w:rFonts w:hint="default"/>
      </w:rPr>
    </w:lvl>
    <w:lvl w:ilvl="8" w:tplc="7144A88E">
      <w:numFmt w:val="bullet"/>
      <w:lvlText w:val="•"/>
      <w:lvlJc w:val="left"/>
      <w:pPr>
        <w:ind w:left="-2757" w:hanging="240"/>
      </w:pPr>
      <w:rPr>
        <w:rFonts w:hint="default"/>
      </w:rPr>
    </w:lvl>
  </w:abstractNum>
  <w:abstractNum w:abstractNumId="2" w15:restartNumberingAfterBreak="0">
    <w:nsid w:val="2AEE39E3"/>
    <w:multiLevelType w:val="hybridMultilevel"/>
    <w:tmpl w:val="04F0A9B4"/>
    <w:lvl w:ilvl="0" w:tplc="02EEE5DA">
      <w:start w:val="2"/>
      <w:numFmt w:val="lowerLetter"/>
      <w:lvlText w:val="%1."/>
      <w:lvlJc w:val="left"/>
      <w:pPr>
        <w:ind w:left="519" w:hanging="200"/>
      </w:pPr>
      <w:rPr>
        <w:rFonts w:ascii="Times New Roman" w:eastAsia="Times New Roman" w:hAnsi="Times New Roman" w:cs="Times New Roman" w:hint="default"/>
        <w:w w:val="111"/>
        <w:sz w:val="18"/>
        <w:szCs w:val="18"/>
      </w:rPr>
    </w:lvl>
    <w:lvl w:ilvl="1" w:tplc="95CC51C2">
      <w:start w:val="1"/>
      <w:numFmt w:val="decimal"/>
      <w:lvlText w:val="%2."/>
      <w:lvlJc w:val="left"/>
      <w:pPr>
        <w:ind w:left="140" w:hanging="200"/>
      </w:pPr>
      <w:rPr>
        <w:rFonts w:ascii="Times New Roman" w:eastAsia="Times New Roman" w:hAnsi="Times New Roman" w:cs="Times New Roman" w:hint="default"/>
        <w:w w:val="111"/>
        <w:sz w:val="18"/>
        <w:szCs w:val="18"/>
      </w:rPr>
    </w:lvl>
    <w:lvl w:ilvl="2" w:tplc="E3D895DC">
      <w:start w:val="1"/>
      <w:numFmt w:val="lowerLetter"/>
      <w:lvlText w:val="%3."/>
      <w:lvlJc w:val="left"/>
      <w:pPr>
        <w:ind w:left="509" w:hanging="190"/>
      </w:pPr>
      <w:rPr>
        <w:rFonts w:ascii="Times New Roman" w:eastAsia="Times New Roman" w:hAnsi="Times New Roman" w:cs="Times New Roman" w:hint="default"/>
        <w:w w:val="112"/>
        <w:sz w:val="18"/>
        <w:szCs w:val="18"/>
      </w:rPr>
    </w:lvl>
    <w:lvl w:ilvl="3" w:tplc="B16CF034">
      <w:numFmt w:val="bullet"/>
      <w:lvlText w:val="•"/>
      <w:lvlJc w:val="left"/>
      <w:pPr>
        <w:ind w:left="448" w:hanging="190"/>
      </w:pPr>
      <w:rPr>
        <w:rFonts w:hint="default"/>
      </w:rPr>
    </w:lvl>
    <w:lvl w:ilvl="4" w:tplc="8250B9FE">
      <w:numFmt w:val="bullet"/>
      <w:lvlText w:val="•"/>
      <w:lvlJc w:val="left"/>
      <w:pPr>
        <w:ind w:left="376" w:hanging="190"/>
      </w:pPr>
      <w:rPr>
        <w:rFonts w:hint="default"/>
      </w:rPr>
    </w:lvl>
    <w:lvl w:ilvl="5" w:tplc="EE68BBA4">
      <w:numFmt w:val="bullet"/>
      <w:lvlText w:val="•"/>
      <w:lvlJc w:val="left"/>
      <w:pPr>
        <w:ind w:left="304" w:hanging="190"/>
      </w:pPr>
      <w:rPr>
        <w:rFonts w:hint="default"/>
      </w:rPr>
    </w:lvl>
    <w:lvl w:ilvl="6" w:tplc="0116E68E">
      <w:numFmt w:val="bullet"/>
      <w:lvlText w:val="•"/>
      <w:lvlJc w:val="left"/>
      <w:pPr>
        <w:ind w:left="232" w:hanging="190"/>
      </w:pPr>
      <w:rPr>
        <w:rFonts w:hint="default"/>
      </w:rPr>
    </w:lvl>
    <w:lvl w:ilvl="7" w:tplc="65783A5A">
      <w:numFmt w:val="bullet"/>
      <w:lvlText w:val="•"/>
      <w:lvlJc w:val="left"/>
      <w:pPr>
        <w:ind w:left="160" w:hanging="190"/>
      </w:pPr>
      <w:rPr>
        <w:rFonts w:hint="default"/>
      </w:rPr>
    </w:lvl>
    <w:lvl w:ilvl="8" w:tplc="EED86A6C">
      <w:numFmt w:val="bullet"/>
      <w:lvlText w:val="•"/>
      <w:lvlJc w:val="left"/>
      <w:pPr>
        <w:ind w:left="88" w:hanging="19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1592A"/>
    <w:rsid w:val="0006646F"/>
    <w:rsid w:val="00140EA8"/>
    <w:rsid w:val="0031592A"/>
    <w:rsid w:val="00B5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BA98275D-5210-46C5-98B8-F8795E9C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5"/>
      <w:outlineLvl w:val="0"/>
    </w:pPr>
    <w:rPr>
      <w:rFonts w:ascii="Book Antiqua" w:eastAsia="Book Antiqua" w:hAnsi="Book Antiqua" w:cs="Book Antiqua"/>
      <w:b/>
      <w:bCs/>
    </w:rPr>
  </w:style>
  <w:style w:type="paragraph" w:styleId="Heading2">
    <w:name w:val="heading 2"/>
    <w:basedOn w:val="Normal"/>
    <w:uiPriority w:val="1"/>
    <w:qFormat/>
    <w:pPr>
      <w:ind w:left="140"/>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0" w:lineRule="exact"/>
      <w:ind w:left="140"/>
    </w:pPr>
    <w:rPr>
      <w:sz w:val="18"/>
      <w:szCs w:val="18"/>
    </w:rPr>
  </w:style>
  <w:style w:type="paragraph" w:styleId="ListParagraph">
    <w:name w:val="List Paragraph"/>
    <w:basedOn w:val="Normal"/>
    <w:uiPriority w:val="1"/>
    <w:qFormat/>
    <w:pPr>
      <w:ind w:left="140" w:firstLine="1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spurgeon@ntia.doc.gov" TargetMode="External"/><Relationship Id="rId13" Type="http://schemas.openxmlformats.org/officeDocument/2006/relationships/hyperlink" Target="https://apps.fcc.gov/edocs_public/attachmatch/FCC-18-10A1.pdf" TargetMode="External"/><Relationship Id="rId18" Type="http://schemas.openxmlformats.org/officeDocument/2006/relationships/hyperlink" Target="mailto:oira_submission@omb.eop.gov" TargetMode="External"/><Relationship Id="rId3" Type="http://schemas.openxmlformats.org/officeDocument/2006/relationships/settings" Target="settings.xml"/><Relationship Id="rId21" Type="http://schemas.openxmlformats.org/officeDocument/2006/relationships/hyperlink" Target="mailto:whs.mc-alex.esd.mbx.dd-dod-information-collections@mail.mil" TargetMode="External"/><Relationship Id="rId7" Type="http://schemas.openxmlformats.org/officeDocument/2006/relationships/hyperlink" Target="mailto:mappingrfc@ntia.doc.gov" TargetMode="External"/><Relationship Id="rId12" Type="http://schemas.openxmlformats.org/officeDocument/2006/relationships/hyperlink" Target="https://apps.fcc.gov/edocs_public/attachmatch/FCC-18-10A1.pdf" TargetMode="External"/><Relationship Id="rId17" Type="http://schemas.openxmlformats.org/officeDocument/2006/relationships/hyperlink" Target="https://www.ntia.doc.gov/" TargetMode="External"/><Relationship Id="rId2" Type="http://schemas.openxmlformats.org/officeDocument/2006/relationships/styles" Target="styles.xml"/><Relationship Id="rId16" Type="http://schemas.openxmlformats.org/officeDocument/2006/relationships/hyperlink" Target="https://www.ntia.doc.gov/" TargetMode="External"/><Relationship Id="rId20" Type="http://schemas.openxmlformats.org/officeDocument/2006/relationships/hyperlink" Target="mailto:whs.mc-alex.esd.mbx.dd-dod-information-collections@mail.mil" TargetMode="External"/><Relationship Id="rId1" Type="http://schemas.openxmlformats.org/officeDocument/2006/relationships/numbering" Target="numbering.xml"/><Relationship Id="rId6" Type="http://schemas.openxmlformats.org/officeDocument/2006/relationships/hyperlink" Target="mailto:mappingrfc@ntia.doc.gov" TargetMode="External"/><Relationship Id="rId11" Type="http://schemas.openxmlformats.org/officeDocument/2006/relationships/hyperlink" Target="https://apps.fcc.gov/edocs_public/attachmatch/FCC-18-10A1.pd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fcc.gov/general/broadband-deployment-data-fcc-form-477" TargetMode="External"/><Relationship Id="rId23" Type="http://schemas.openxmlformats.org/officeDocument/2006/relationships/fontTable" Target="fontTable.xml"/><Relationship Id="rId10" Type="http://schemas.openxmlformats.org/officeDocument/2006/relationships/hyperlink" Target="mailto:press@ntia.doc.gov" TargetMode="External"/><Relationship Id="rId19" Type="http://schemas.openxmlformats.org/officeDocument/2006/relationships/hyperlink" Target="mailto:oira_submission@omb.eop.gov" TargetMode="External"/><Relationship Id="rId4" Type="http://schemas.openxmlformats.org/officeDocument/2006/relationships/webSettings" Target="webSettings.xml"/><Relationship Id="rId9" Type="http://schemas.openxmlformats.org/officeDocument/2006/relationships/hyperlink" Target="mailto:tmoyer@ntia.doc.gov" TargetMode="External"/><Relationship Id="rId14" Type="http://schemas.openxmlformats.org/officeDocument/2006/relationships/hyperlink" Target="https://www.fcc.gov/general/broadband-deployment-data-fcc-form-477" TargetMode="External"/><Relationship Id="rId22" Type="http://schemas.openxmlformats.org/officeDocument/2006/relationships/hyperlink" Target="mailto:whs.mc-alex.esd.mbx.dd-dod-information-collections@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2</cp:revision>
  <dcterms:created xsi:type="dcterms:W3CDTF">2018-06-04T08:55:00Z</dcterms:created>
  <dcterms:modified xsi:type="dcterms:W3CDTF">2018-06-04T16:10:00Z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Federal Digital System, U. S. Government Publishing Office</vt:lpwstr>
  </property>
  <property fmtid="{D5CDD505-2E9C-101B-9397-08002B2CF9AE}" pid="4" name="LastSaved">
    <vt:filetime>2018-06-04T00:00:00Z</vt:filetime>
  </property>
</Properties>
</file>