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621ED" w14:textId="77777777" w:rsidR="00F06E14" w:rsidRPr="00A51D1A" w:rsidRDefault="000666A1" w:rsidP="00A51D1A">
      <w:pPr>
        <w:pStyle w:val="ACMAReportTitle"/>
      </w:pPr>
      <w:bookmarkStart w:id="0" w:name="_GoBack"/>
      <w:bookmarkEnd w:id="0"/>
      <w:r w:rsidRPr="003674F3">
        <w:rPr>
          <w:rFonts w:cs="Arial"/>
        </w:rPr>
        <w:t>Proposed variation to the Radiocommunications (Low</w:t>
      </w:r>
      <w:r w:rsidR="003102F4">
        <w:rPr>
          <w:rFonts w:cs="Arial"/>
        </w:rPr>
        <w:t> </w:t>
      </w:r>
      <w:r w:rsidRPr="003674F3">
        <w:rPr>
          <w:rFonts w:cs="Arial"/>
        </w:rPr>
        <w:t>Interference Potential Devices) Class Licence 20</w:t>
      </w:r>
      <w:r>
        <w:rPr>
          <w:rFonts w:cs="Arial"/>
        </w:rPr>
        <w:t>15</w:t>
      </w:r>
    </w:p>
    <w:p w14:paraId="3B604A01" w14:textId="77777777" w:rsidR="00F06E14" w:rsidRDefault="000666A1" w:rsidP="00F06E14">
      <w:pPr>
        <w:pStyle w:val="ACMAReportSubTitle"/>
      </w:pPr>
      <w:r>
        <w:rPr>
          <w:rFonts w:cs="Arial"/>
        </w:rPr>
        <w:t>Discussion</w:t>
      </w:r>
      <w:r w:rsidRPr="003674F3">
        <w:rPr>
          <w:rFonts w:cs="Arial"/>
        </w:rPr>
        <w:t xml:space="preserve"> </w:t>
      </w:r>
      <w:r>
        <w:rPr>
          <w:rFonts w:cs="Arial"/>
        </w:rPr>
        <w:t>p</w:t>
      </w:r>
      <w:r w:rsidRPr="003674F3">
        <w:rPr>
          <w:rFonts w:cs="Arial"/>
        </w:rPr>
        <w:t>aper</w:t>
      </w:r>
    </w:p>
    <w:p w14:paraId="7803D815" w14:textId="77777777" w:rsidR="00F06E14" w:rsidRDefault="003E1AAE" w:rsidP="00D47AEB">
      <w:pPr>
        <w:pStyle w:val="ACMAReportDate"/>
        <w:spacing w:after="720"/>
      </w:pPr>
      <w:r w:rsidRPr="003E1AAE">
        <w:t>NOVEMBER 2017</w:t>
      </w:r>
    </w:p>
    <w:p w14:paraId="4685A805" w14:textId="77777777" w:rsidR="00246093" w:rsidRPr="00E302D0" w:rsidRDefault="00246093" w:rsidP="00E302D0">
      <w:pPr>
        <w:pStyle w:val="ACMAInstructions"/>
        <w:spacing w:after="0"/>
        <w:rPr>
          <w:b w:val="0"/>
          <w:sz w:val="20"/>
          <w:szCs w:val="20"/>
        </w:rPr>
      </w:pPr>
    </w:p>
    <w:p w14:paraId="108BB48A" w14:textId="77777777" w:rsidR="00C97736" w:rsidRPr="000D76E0" w:rsidRDefault="00C97736" w:rsidP="0041071D">
      <w:pPr>
        <w:rPr>
          <w:rFonts w:cs="Arial"/>
        </w:rPr>
      </w:pPr>
    </w:p>
    <w:p w14:paraId="5A99DB1D" w14:textId="77777777" w:rsidR="00C97736" w:rsidRPr="000D76E0" w:rsidRDefault="00C97736" w:rsidP="0041071D">
      <w:pPr>
        <w:rPr>
          <w:rFonts w:cs="Arial"/>
        </w:rPr>
        <w:sectPr w:rsidR="00C97736"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5B77BE3A" w14:textId="77777777" w:rsidR="0005011A" w:rsidRPr="00F44F3A" w:rsidRDefault="0005011A" w:rsidP="00FC07B9">
      <w:pPr>
        <w:pStyle w:val="ACMACorporateAddressHeader"/>
      </w:pPr>
      <w:r w:rsidRPr="00F44F3A">
        <w:lastRenderedPageBreak/>
        <w:t>Canberra</w:t>
      </w:r>
    </w:p>
    <w:p w14:paraId="1BC996FB"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FB1E1D8" w14:textId="77777777" w:rsidR="0005011A" w:rsidRPr="00FC07B9" w:rsidRDefault="0005011A" w:rsidP="00FC07B9">
      <w:pPr>
        <w:pStyle w:val="ACMACorporateAddresses"/>
      </w:pPr>
      <w:r w:rsidRPr="00FC07B9">
        <w:t>PO Box 78</w:t>
      </w:r>
      <w:r w:rsidRPr="00FC07B9">
        <w:br/>
        <w:t>Belconnen ACT 2616</w:t>
      </w:r>
    </w:p>
    <w:p w14:paraId="0631D9F6"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1837893" w14:textId="77777777" w:rsidR="0005011A" w:rsidRPr="00F44F3A" w:rsidRDefault="0005011A" w:rsidP="00FC07B9">
      <w:pPr>
        <w:pStyle w:val="ACMACorporateAddressHeader"/>
      </w:pPr>
      <w:r w:rsidRPr="00F44F3A">
        <w:t>Melbourne</w:t>
      </w:r>
    </w:p>
    <w:p w14:paraId="6BB580CF"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D1B6423"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EDD4B9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AA98E29" w14:textId="77777777" w:rsidR="0005011A" w:rsidRPr="00F44F3A" w:rsidRDefault="0005011A" w:rsidP="00FC07B9">
      <w:pPr>
        <w:pStyle w:val="ACMACorporateAddressHeader"/>
      </w:pPr>
      <w:r w:rsidRPr="00F44F3A">
        <w:t>Sydney</w:t>
      </w:r>
    </w:p>
    <w:p w14:paraId="35BF9E7A"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32F7129"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E14E646"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2D2BDA2" w14:textId="77777777" w:rsidR="00140318" w:rsidRPr="006D46E5" w:rsidRDefault="00140318" w:rsidP="00FC07B9">
      <w:pPr>
        <w:pStyle w:val="ACMACopyrightHeader"/>
      </w:pPr>
      <w:r w:rsidRPr="00140318">
        <w:t>Copyright notice</w:t>
      </w:r>
    </w:p>
    <w:p w14:paraId="09C1BE28" w14:textId="77777777" w:rsidR="00140318" w:rsidRPr="006D46E5" w:rsidRDefault="00623FF9" w:rsidP="00623FF9">
      <w:pPr>
        <w:pStyle w:val="ACMACClogo"/>
      </w:pPr>
      <w:r w:rsidRPr="00623FF9">
        <w:rPr>
          <w:noProof/>
        </w:rPr>
        <w:drawing>
          <wp:inline distT="0" distB="0" distL="0" distR="0" wp14:anchorId="0122333A" wp14:editId="1813DC7D">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8A8B0E3" w14:textId="77777777" w:rsidR="00140318" w:rsidRPr="00431792" w:rsidRDefault="0045185E" w:rsidP="00FC07B9">
      <w:pPr>
        <w:pStyle w:val="ACMACorporateAddresses"/>
        <w:rPr>
          <w:rStyle w:val="Hyperlink"/>
        </w:rPr>
      </w:pPr>
      <w:hyperlink r:id="rId13" w:tooltip="Creative Commons Licenses" w:history="1">
        <w:r w:rsidR="00140318" w:rsidRPr="00431792">
          <w:rPr>
            <w:rStyle w:val="Hyperlink"/>
          </w:rPr>
          <w:t>http://creativecommons.org/licenses/by/3.0/au/</w:t>
        </w:r>
      </w:hyperlink>
    </w:p>
    <w:p w14:paraId="2A96E2B0" w14:textId="77777777" w:rsidR="00140318" w:rsidRPr="006D46E5" w:rsidRDefault="00140318" w:rsidP="00FC07B9">
      <w:pPr>
        <w:pStyle w:val="ACMACorporateAddresses"/>
      </w:pPr>
      <w:proofErr w:type="gramStart"/>
      <w:r w:rsidRPr="006D46E5">
        <w:t>With the exception of</w:t>
      </w:r>
      <w:proofErr w:type="gramEnd"/>
      <w:r w:rsidRPr="006D46E5">
        <w:t xml:space="preserve"> coats of arms, logos, emblems, images, other third-party material or devices protected by a trademark, this content is licensed under the Creative Commons Australia Attribution 3.0 Licence. </w:t>
      </w:r>
    </w:p>
    <w:p w14:paraId="798334D4" w14:textId="77777777" w:rsidR="00140318" w:rsidRPr="006D46E5" w:rsidRDefault="00140318" w:rsidP="00FC07B9">
      <w:pPr>
        <w:pStyle w:val="ACMACorporateAddresses"/>
      </w:pPr>
      <w:r w:rsidRPr="006D46E5">
        <w:t>We request attribution as: © Commonwealth of Australia (Australian Communic</w:t>
      </w:r>
      <w:r w:rsidR="008408FF">
        <w:t>ations and Media Authority) 201</w:t>
      </w:r>
      <w:r w:rsidR="00304DE5">
        <w:t>7</w:t>
      </w:r>
      <w:r w:rsidRPr="006D46E5">
        <w:t>.</w:t>
      </w:r>
    </w:p>
    <w:p w14:paraId="398EA061" w14:textId="77777777" w:rsidR="00140318" w:rsidRPr="006D46E5" w:rsidRDefault="00140318" w:rsidP="00FC07B9">
      <w:pPr>
        <w:pStyle w:val="ACMACorporateAddresses"/>
      </w:pPr>
      <w:r>
        <w:t>All other rights are reserved.</w:t>
      </w:r>
    </w:p>
    <w:p w14:paraId="2FAB6A5A"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E1BD29D" w14:textId="77777777" w:rsidR="00140318" w:rsidRPr="006D46E5" w:rsidRDefault="00140318" w:rsidP="00FC07B9">
      <w:pPr>
        <w:pStyle w:val="ACMACorporateAddresses"/>
      </w:pPr>
      <w:r w:rsidRPr="006D46E5">
        <w:t>Written enquiries may be sent to:</w:t>
      </w:r>
    </w:p>
    <w:p w14:paraId="6C6BBBA8"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14" w:history="1">
        <w:r w:rsidRPr="00431792">
          <w:rPr>
            <w:rStyle w:val="Hyperlink"/>
          </w:rPr>
          <w:t>candinfo@acma.gov.au</w:t>
        </w:r>
      </w:hyperlink>
    </w:p>
    <w:p w14:paraId="7C0B0813" w14:textId="77777777" w:rsidR="00D16FE3" w:rsidRDefault="00D16FE3" w:rsidP="00D16FE3">
      <w:pPr>
        <w:pStyle w:val="ACMACorporateAddresses"/>
        <w:rPr>
          <w:rStyle w:val="Hyperlink"/>
        </w:rPr>
      </w:pPr>
    </w:p>
    <w:p w14:paraId="4E41BE68"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525EA77" w14:textId="77777777" w:rsidR="009F7B12" w:rsidRDefault="00127DBD">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99041977" w:history="1">
        <w:r w:rsidR="009F7B12" w:rsidRPr="000C0685">
          <w:rPr>
            <w:rStyle w:val="Hyperlink"/>
          </w:rPr>
          <w:t>Introduction</w:t>
        </w:r>
        <w:r w:rsidR="009F7B12">
          <w:rPr>
            <w:webHidden/>
          </w:rPr>
          <w:tab/>
        </w:r>
        <w:r w:rsidR="009F7B12">
          <w:rPr>
            <w:webHidden/>
          </w:rPr>
          <w:fldChar w:fldCharType="begin"/>
        </w:r>
        <w:r w:rsidR="009F7B12">
          <w:rPr>
            <w:webHidden/>
          </w:rPr>
          <w:instrText xml:space="preserve"> PAGEREF _Toc499041977 \h </w:instrText>
        </w:r>
        <w:r w:rsidR="009F7B12">
          <w:rPr>
            <w:webHidden/>
          </w:rPr>
        </w:r>
        <w:r w:rsidR="009F7B12">
          <w:rPr>
            <w:webHidden/>
          </w:rPr>
          <w:fldChar w:fldCharType="separate"/>
        </w:r>
        <w:r w:rsidR="009F7B12">
          <w:rPr>
            <w:webHidden/>
          </w:rPr>
          <w:t>1</w:t>
        </w:r>
        <w:r w:rsidR="009F7B12">
          <w:rPr>
            <w:webHidden/>
          </w:rPr>
          <w:fldChar w:fldCharType="end"/>
        </w:r>
      </w:hyperlink>
    </w:p>
    <w:p w14:paraId="7AA0B94F" w14:textId="77777777" w:rsidR="009F7B12" w:rsidRDefault="0045185E">
      <w:pPr>
        <w:pStyle w:val="TOC1"/>
        <w:rPr>
          <w:rFonts w:asciiTheme="minorHAnsi" w:eastAsiaTheme="minorEastAsia" w:hAnsiTheme="minorHAnsi" w:cstheme="minorBidi"/>
          <w:b w:val="0"/>
          <w:spacing w:val="0"/>
          <w:sz w:val="22"/>
          <w:szCs w:val="22"/>
        </w:rPr>
      </w:pPr>
      <w:hyperlink w:anchor="_Toc499041978" w:history="1">
        <w:r w:rsidR="009F7B12" w:rsidRPr="000C0685">
          <w:rPr>
            <w:rStyle w:val="Hyperlink"/>
          </w:rPr>
          <w:t>Class licensing and the LIPD Class Licence</w:t>
        </w:r>
        <w:r w:rsidR="009F7B12">
          <w:rPr>
            <w:webHidden/>
          </w:rPr>
          <w:tab/>
        </w:r>
        <w:r w:rsidR="009F7B12">
          <w:rPr>
            <w:webHidden/>
          </w:rPr>
          <w:fldChar w:fldCharType="begin"/>
        </w:r>
        <w:r w:rsidR="009F7B12">
          <w:rPr>
            <w:webHidden/>
          </w:rPr>
          <w:instrText xml:space="preserve"> PAGEREF _Toc499041978 \h </w:instrText>
        </w:r>
        <w:r w:rsidR="009F7B12">
          <w:rPr>
            <w:webHidden/>
          </w:rPr>
        </w:r>
        <w:r w:rsidR="009F7B12">
          <w:rPr>
            <w:webHidden/>
          </w:rPr>
          <w:fldChar w:fldCharType="separate"/>
        </w:r>
        <w:r w:rsidR="009F7B12">
          <w:rPr>
            <w:webHidden/>
          </w:rPr>
          <w:t>2</w:t>
        </w:r>
        <w:r w:rsidR="009F7B12">
          <w:rPr>
            <w:webHidden/>
          </w:rPr>
          <w:fldChar w:fldCharType="end"/>
        </w:r>
      </w:hyperlink>
    </w:p>
    <w:p w14:paraId="02F202FD" w14:textId="77777777" w:rsidR="009F7B12" w:rsidRDefault="0045185E">
      <w:pPr>
        <w:pStyle w:val="TOC1"/>
        <w:rPr>
          <w:rFonts w:asciiTheme="minorHAnsi" w:eastAsiaTheme="minorEastAsia" w:hAnsiTheme="minorHAnsi" w:cstheme="minorBidi"/>
          <w:b w:val="0"/>
          <w:spacing w:val="0"/>
          <w:sz w:val="22"/>
          <w:szCs w:val="22"/>
        </w:rPr>
      </w:pPr>
      <w:hyperlink w:anchor="_Toc499041979" w:history="1">
        <w:r w:rsidR="009F7B12" w:rsidRPr="000C0685">
          <w:rPr>
            <w:rStyle w:val="Hyperlink"/>
          </w:rPr>
          <w:t>Proposed variation</w:t>
        </w:r>
        <w:r w:rsidR="009F7B12">
          <w:rPr>
            <w:webHidden/>
          </w:rPr>
          <w:tab/>
        </w:r>
        <w:r w:rsidR="009F7B12">
          <w:rPr>
            <w:webHidden/>
          </w:rPr>
          <w:fldChar w:fldCharType="begin"/>
        </w:r>
        <w:r w:rsidR="009F7B12">
          <w:rPr>
            <w:webHidden/>
          </w:rPr>
          <w:instrText xml:space="preserve"> PAGEREF _Toc499041979 \h </w:instrText>
        </w:r>
        <w:r w:rsidR="009F7B12">
          <w:rPr>
            <w:webHidden/>
          </w:rPr>
        </w:r>
        <w:r w:rsidR="009F7B12">
          <w:rPr>
            <w:webHidden/>
          </w:rPr>
          <w:fldChar w:fldCharType="separate"/>
        </w:r>
        <w:r w:rsidR="009F7B12">
          <w:rPr>
            <w:webHidden/>
          </w:rPr>
          <w:t>3</w:t>
        </w:r>
        <w:r w:rsidR="009F7B12">
          <w:rPr>
            <w:webHidden/>
          </w:rPr>
          <w:fldChar w:fldCharType="end"/>
        </w:r>
      </w:hyperlink>
    </w:p>
    <w:p w14:paraId="19695DFB" w14:textId="77777777" w:rsidR="009F7B12" w:rsidRDefault="0045185E">
      <w:pPr>
        <w:pStyle w:val="TOC2"/>
        <w:rPr>
          <w:rFonts w:asciiTheme="minorHAnsi" w:eastAsiaTheme="minorEastAsia" w:hAnsiTheme="minorHAnsi" w:cstheme="minorBidi"/>
          <w:spacing w:val="0"/>
          <w:sz w:val="22"/>
          <w:szCs w:val="22"/>
        </w:rPr>
      </w:pPr>
      <w:hyperlink w:anchor="_Toc499041980" w:history="1">
        <w:r w:rsidR="009F7B12" w:rsidRPr="000C0685">
          <w:rPr>
            <w:rStyle w:val="Hyperlink"/>
          </w:rPr>
          <w:t>Overview</w:t>
        </w:r>
        <w:r w:rsidR="009F7B12">
          <w:rPr>
            <w:webHidden/>
          </w:rPr>
          <w:tab/>
        </w:r>
        <w:r w:rsidR="009F7B12">
          <w:rPr>
            <w:webHidden/>
          </w:rPr>
          <w:fldChar w:fldCharType="begin"/>
        </w:r>
        <w:r w:rsidR="009F7B12">
          <w:rPr>
            <w:webHidden/>
          </w:rPr>
          <w:instrText xml:space="preserve"> PAGEREF _Toc499041980 \h </w:instrText>
        </w:r>
        <w:r w:rsidR="009F7B12">
          <w:rPr>
            <w:webHidden/>
          </w:rPr>
        </w:r>
        <w:r w:rsidR="009F7B12">
          <w:rPr>
            <w:webHidden/>
          </w:rPr>
          <w:fldChar w:fldCharType="separate"/>
        </w:r>
        <w:r w:rsidR="009F7B12">
          <w:rPr>
            <w:webHidden/>
          </w:rPr>
          <w:t>3</w:t>
        </w:r>
        <w:r w:rsidR="009F7B12">
          <w:rPr>
            <w:webHidden/>
          </w:rPr>
          <w:fldChar w:fldCharType="end"/>
        </w:r>
      </w:hyperlink>
    </w:p>
    <w:p w14:paraId="7A473741" w14:textId="77777777" w:rsidR="009F7B12" w:rsidRDefault="0045185E">
      <w:pPr>
        <w:pStyle w:val="TOC2"/>
        <w:rPr>
          <w:rFonts w:asciiTheme="minorHAnsi" w:eastAsiaTheme="minorEastAsia" w:hAnsiTheme="minorHAnsi" w:cstheme="minorBidi"/>
          <w:spacing w:val="0"/>
          <w:sz w:val="22"/>
          <w:szCs w:val="22"/>
        </w:rPr>
      </w:pPr>
      <w:hyperlink w:anchor="_Toc499041981" w:history="1">
        <w:r w:rsidR="009F7B12" w:rsidRPr="000C0685">
          <w:rPr>
            <w:rStyle w:val="Hyperlink"/>
          </w:rPr>
          <w:t>All transmitters (122–122.25 GHz)</w:t>
        </w:r>
        <w:r w:rsidR="009F7B12">
          <w:rPr>
            <w:webHidden/>
          </w:rPr>
          <w:tab/>
        </w:r>
        <w:r w:rsidR="009F7B12">
          <w:rPr>
            <w:webHidden/>
          </w:rPr>
          <w:fldChar w:fldCharType="begin"/>
        </w:r>
        <w:r w:rsidR="009F7B12">
          <w:rPr>
            <w:webHidden/>
          </w:rPr>
          <w:instrText xml:space="preserve"> PAGEREF _Toc499041981 \h </w:instrText>
        </w:r>
        <w:r w:rsidR="009F7B12">
          <w:rPr>
            <w:webHidden/>
          </w:rPr>
        </w:r>
        <w:r w:rsidR="009F7B12">
          <w:rPr>
            <w:webHidden/>
          </w:rPr>
          <w:fldChar w:fldCharType="separate"/>
        </w:r>
        <w:r w:rsidR="009F7B12">
          <w:rPr>
            <w:webHidden/>
          </w:rPr>
          <w:t>3</w:t>
        </w:r>
        <w:r w:rsidR="009F7B12">
          <w:rPr>
            <w:webHidden/>
          </w:rPr>
          <w:fldChar w:fldCharType="end"/>
        </w:r>
      </w:hyperlink>
    </w:p>
    <w:p w14:paraId="191FBDFD" w14:textId="77777777" w:rsidR="009F7B12" w:rsidRDefault="0045185E">
      <w:pPr>
        <w:pStyle w:val="TOC3"/>
        <w:rPr>
          <w:rFonts w:asciiTheme="minorHAnsi" w:eastAsiaTheme="minorEastAsia" w:hAnsiTheme="minorHAnsi" w:cstheme="minorBidi"/>
        </w:rPr>
      </w:pPr>
      <w:hyperlink w:anchor="_Toc499041982" w:history="1">
        <w:r w:rsidR="009F7B12" w:rsidRPr="000C0685">
          <w:rPr>
            <w:rStyle w:val="Hyperlink"/>
          </w:rPr>
          <w:t>New item 23A of Schedule 1 to the LIPD Class Licence</w:t>
        </w:r>
        <w:r w:rsidR="009F7B12">
          <w:rPr>
            <w:webHidden/>
          </w:rPr>
          <w:tab/>
        </w:r>
        <w:r w:rsidR="009F7B12">
          <w:rPr>
            <w:webHidden/>
          </w:rPr>
          <w:fldChar w:fldCharType="begin"/>
        </w:r>
        <w:r w:rsidR="009F7B12">
          <w:rPr>
            <w:webHidden/>
          </w:rPr>
          <w:instrText xml:space="preserve"> PAGEREF _Toc499041982 \h </w:instrText>
        </w:r>
        <w:r w:rsidR="009F7B12">
          <w:rPr>
            <w:webHidden/>
          </w:rPr>
        </w:r>
        <w:r w:rsidR="009F7B12">
          <w:rPr>
            <w:webHidden/>
          </w:rPr>
          <w:fldChar w:fldCharType="separate"/>
        </w:r>
        <w:r w:rsidR="009F7B12">
          <w:rPr>
            <w:webHidden/>
          </w:rPr>
          <w:t>3</w:t>
        </w:r>
        <w:r w:rsidR="009F7B12">
          <w:rPr>
            <w:webHidden/>
          </w:rPr>
          <w:fldChar w:fldCharType="end"/>
        </w:r>
      </w:hyperlink>
    </w:p>
    <w:p w14:paraId="71C852AC" w14:textId="77777777" w:rsidR="009F7B12" w:rsidRDefault="0045185E">
      <w:pPr>
        <w:pStyle w:val="TOC2"/>
        <w:rPr>
          <w:rFonts w:asciiTheme="minorHAnsi" w:eastAsiaTheme="minorEastAsia" w:hAnsiTheme="minorHAnsi" w:cstheme="minorBidi"/>
          <w:spacing w:val="0"/>
          <w:sz w:val="22"/>
          <w:szCs w:val="22"/>
        </w:rPr>
      </w:pPr>
      <w:hyperlink w:anchor="_Toc499041983" w:history="1">
        <w:r w:rsidR="009F7B12" w:rsidRPr="000C0685">
          <w:rPr>
            <w:rStyle w:val="Hyperlink"/>
          </w:rPr>
          <w:t>Medical telemetry and telecommand</w:t>
        </w:r>
        <w:r w:rsidR="009F7B12">
          <w:rPr>
            <w:webHidden/>
          </w:rPr>
          <w:tab/>
        </w:r>
        <w:r w:rsidR="009F7B12">
          <w:rPr>
            <w:webHidden/>
          </w:rPr>
          <w:fldChar w:fldCharType="begin"/>
        </w:r>
        <w:r w:rsidR="009F7B12">
          <w:rPr>
            <w:webHidden/>
          </w:rPr>
          <w:instrText xml:space="preserve"> PAGEREF _Toc499041983 \h </w:instrText>
        </w:r>
        <w:r w:rsidR="009F7B12">
          <w:rPr>
            <w:webHidden/>
          </w:rPr>
        </w:r>
        <w:r w:rsidR="009F7B12">
          <w:rPr>
            <w:webHidden/>
          </w:rPr>
          <w:fldChar w:fldCharType="separate"/>
        </w:r>
        <w:r w:rsidR="009F7B12">
          <w:rPr>
            <w:webHidden/>
          </w:rPr>
          <w:t>3</w:t>
        </w:r>
        <w:r w:rsidR="009F7B12">
          <w:rPr>
            <w:webHidden/>
          </w:rPr>
          <w:fldChar w:fldCharType="end"/>
        </w:r>
      </w:hyperlink>
    </w:p>
    <w:p w14:paraId="2D18806E" w14:textId="77777777" w:rsidR="009F7B12" w:rsidRDefault="0045185E">
      <w:pPr>
        <w:pStyle w:val="TOC3"/>
        <w:rPr>
          <w:rFonts w:asciiTheme="minorHAnsi" w:eastAsiaTheme="minorEastAsia" w:hAnsiTheme="minorHAnsi" w:cstheme="minorBidi"/>
        </w:rPr>
      </w:pPr>
      <w:hyperlink w:anchor="_Toc499041984" w:history="1">
        <w:r w:rsidR="009F7B12" w:rsidRPr="000C0685">
          <w:rPr>
            <w:rStyle w:val="Hyperlink"/>
          </w:rPr>
          <w:t>New items 34A, 35A and 35B of Schedule 1 to the LIPD Class Licence</w:t>
        </w:r>
        <w:r w:rsidR="009F7B12">
          <w:rPr>
            <w:webHidden/>
          </w:rPr>
          <w:tab/>
        </w:r>
        <w:r w:rsidR="009F7B12">
          <w:rPr>
            <w:webHidden/>
          </w:rPr>
          <w:fldChar w:fldCharType="begin"/>
        </w:r>
        <w:r w:rsidR="009F7B12">
          <w:rPr>
            <w:webHidden/>
          </w:rPr>
          <w:instrText xml:space="preserve"> PAGEREF _Toc499041984 \h </w:instrText>
        </w:r>
        <w:r w:rsidR="009F7B12">
          <w:rPr>
            <w:webHidden/>
          </w:rPr>
        </w:r>
        <w:r w:rsidR="009F7B12">
          <w:rPr>
            <w:webHidden/>
          </w:rPr>
          <w:fldChar w:fldCharType="separate"/>
        </w:r>
        <w:r w:rsidR="009F7B12">
          <w:rPr>
            <w:webHidden/>
          </w:rPr>
          <w:t>3</w:t>
        </w:r>
        <w:r w:rsidR="009F7B12">
          <w:rPr>
            <w:webHidden/>
          </w:rPr>
          <w:fldChar w:fldCharType="end"/>
        </w:r>
      </w:hyperlink>
    </w:p>
    <w:p w14:paraId="2003BDD3" w14:textId="77777777" w:rsidR="009F7B12" w:rsidRDefault="0045185E">
      <w:pPr>
        <w:pStyle w:val="TOC2"/>
        <w:rPr>
          <w:rFonts w:asciiTheme="minorHAnsi" w:eastAsiaTheme="minorEastAsia" w:hAnsiTheme="minorHAnsi" w:cstheme="minorBidi"/>
          <w:spacing w:val="0"/>
          <w:sz w:val="22"/>
          <w:szCs w:val="22"/>
        </w:rPr>
      </w:pPr>
      <w:hyperlink w:anchor="_Toc499041985" w:history="1">
        <w:r w:rsidR="009F7B12" w:rsidRPr="000C0685">
          <w:rPr>
            <w:rStyle w:val="Hyperlink"/>
          </w:rPr>
          <w:t>Data communication transmitters (57–66 GHz)</w:t>
        </w:r>
        <w:r w:rsidR="009F7B12">
          <w:rPr>
            <w:webHidden/>
          </w:rPr>
          <w:tab/>
        </w:r>
        <w:r w:rsidR="009F7B12">
          <w:rPr>
            <w:webHidden/>
          </w:rPr>
          <w:fldChar w:fldCharType="begin"/>
        </w:r>
        <w:r w:rsidR="009F7B12">
          <w:rPr>
            <w:webHidden/>
          </w:rPr>
          <w:instrText xml:space="preserve"> PAGEREF _Toc499041985 \h </w:instrText>
        </w:r>
        <w:r w:rsidR="009F7B12">
          <w:rPr>
            <w:webHidden/>
          </w:rPr>
        </w:r>
        <w:r w:rsidR="009F7B12">
          <w:rPr>
            <w:webHidden/>
          </w:rPr>
          <w:fldChar w:fldCharType="separate"/>
        </w:r>
        <w:r w:rsidR="009F7B12">
          <w:rPr>
            <w:webHidden/>
          </w:rPr>
          <w:t>4</w:t>
        </w:r>
        <w:r w:rsidR="009F7B12">
          <w:rPr>
            <w:webHidden/>
          </w:rPr>
          <w:fldChar w:fldCharType="end"/>
        </w:r>
      </w:hyperlink>
    </w:p>
    <w:p w14:paraId="4A961487" w14:textId="77777777" w:rsidR="009F7B12" w:rsidRDefault="0045185E">
      <w:pPr>
        <w:pStyle w:val="TOC3"/>
        <w:rPr>
          <w:rFonts w:asciiTheme="minorHAnsi" w:eastAsiaTheme="minorEastAsia" w:hAnsiTheme="minorHAnsi" w:cstheme="minorBidi"/>
        </w:rPr>
      </w:pPr>
      <w:hyperlink w:anchor="_Toc499041986" w:history="1">
        <w:r w:rsidR="009F7B12" w:rsidRPr="000C0685">
          <w:rPr>
            <w:rStyle w:val="Hyperlink"/>
          </w:rPr>
          <w:t>Change to item 65 of Schedule 1 to the LIPD Class Licence</w:t>
        </w:r>
        <w:r w:rsidR="009F7B12">
          <w:rPr>
            <w:webHidden/>
          </w:rPr>
          <w:tab/>
        </w:r>
        <w:r w:rsidR="009F7B12">
          <w:rPr>
            <w:webHidden/>
          </w:rPr>
          <w:fldChar w:fldCharType="begin"/>
        </w:r>
        <w:r w:rsidR="009F7B12">
          <w:rPr>
            <w:webHidden/>
          </w:rPr>
          <w:instrText xml:space="preserve"> PAGEREF _Toc499041986 \h </w:instrText>
        </w:r>
        <w:r w:rsidR="009F7B12">
          <w:rPr>
            <w:webHidden/>
          </w:rPr>
        </w:r>
        <w:r w:rsidR="009F7B12">
          <w:rPr>
            <w:webHidden/>
          </w:rPr>
          <w:fldChar w:fldCharType="separate"/>
        </w:r>
        <w:r w:rsidR="009F7B12">
          <w:rPr>
            <w:webHidden/>
          </w:rPr>
          <w:t>4</w:t>
        </w:r>
        <w:r w:rsidR="009F7B12">
          <w:rPr>
            <w:webHidden/>
          </w:rPr>
          <w:fldChar w:fldCharType="end"/>
        </w:r>
      </w:hyperlink>
    </w:p>
    <w:p w14:paraId="7A9E66D1" w14:textId="77777777" w:rsidR="009F7B12" w:rsidRDefault="0045185E">
      <w:pPr>
        <w:pStyle w:val="TOC2"/>
        <w:rPr>
          <w:rFonts w:asciiTheme="minorHAnsi" w:eastAsiaTheme="minorEastAsia" w:hAnsiTheme="minorHAnsi" w:cstheme="minorBidi"/>
          <w:spacing w:val="0"/>
          <w:sz w:val="22"/>
          <w:szCs w:val="22"/>
        </w:rPr>
      </w:pPr>
      <w:hyperlink w:anchor="_Toc499041987" w:history="1">
        <w:r w:rsidR="009F7B12" w:rsidRPr="000C0685">
          <w:rPr>
            <w:rStyle w:val="Hyperlink"/>
          </w:rPr>
          <w:t>Consequential updates to AS/NZS 4268</w:t>
        </w:r>
        <w:r w:rsidR="009F7B12">
          <w:rPr>
            <w:webHidden/>
          </w:rPr>
          <w:tab/>
        </w:r>
        <w:r w:rsidR="009F7B12">
          <w:rPr>
            <w:webHidden/>
          </w:rPr>
          <w:fldChar w:fldCharType="begin"/>
        </w:r>
        <w:r w:rsidR="009F7B12">
          <w:rPr>
            <w:webHidden/>
          </w:rPr>
          <w:instrText xml:space="preserve"> PAGEREF _Toc499041987 \h </w:instrText>
        </w:r>
        <w:r w:rsidR="009F7B12">
          <w:rPr>
            <w:webHidden/>
          </w:rPr>
        </w:r>
        <w:r w:rsidR="009F7B12">
          <w:rPr>
            <w:webHidden/>
          </w:rPr>
          <w:fldChar w:fldCharType="separate"/>
        </w:r>
        <w:r w:rsidR="009F7B12">
          <w:rPr>
            <w:webHidden/>
          </w:rPr>
          <w:t>5</w:t>
        </w:r>
        <w:r w:rsidR="009F7B12">
          <w:rPr>
            <w:webHidden/>
          </w:rPr>
          <w:fldChar w:fldCharType="end"/>
        </w:r>
      </w:hyperlink>
    </w:p>
    <w:p w14:paraId="29DB4FB8" w14:textId="77777777" w:rsidR="009F7B12" w:rsidRDefault="0045185E">
      <w:pPr>
        <w:pStyle w:val="TOC1"/>
        <w:rPr>
          <w:rFonts w:asciiTheme="minorHAnsi" w:eastAsiaTheme="minorEastAsia" w:hAnsiTheme="minorHAnsi" w:cstheme="minorBidi"/>
          <w:b w:val="0"/>
          <w:spacing w:val="0"/>
          <w:sz w:val="22"/>
          <w:szCs w:val="22"/>
        </w:rPr>
      </w:pPr>
      <w:hyperlink w:anchor="_Toc499041988" w:history="1">
        <w:r w:rsidR="009F7B12" w:rsidRPr="000C0685">
          <w:rPr>
            <w:rStyle w:val="Hyperlink"/>
          </w:rPr>
          <w:t>Invitation to comment</w:t>
        </w:r>
        <w:r w:rsidR="009F7B12">
          <w:rPr>
            <w:webHidden/>
          </w:rPr>
          <w:tab/>
        </w:r>
        <w:r w:rsidR="009F7B12">
          <w:rPr>
            <w:webHidden/>
          </w:rPr>
          <w:fldChar w:fldCharType="begin"/>
        </w:r>
        <w:r w:rsidR="009F7B12">
          <w:rPr>
            <w:webHidden/>
          </w:rPr>
          <w:instrText xml:space="preserve"> PAGEREF _Toc499041988 \h </w:instrText>
        </w:r>
        <w:r w:rsidR="009F7B12">
          <w:rPr>
            <w:webHidden/>
          </w:rPr>
        </w:r>
        <w:r w:rsidR="009F7B12">
          <w:rPr>
            <w:webHidden/>
          </w:rPr>
          <w:fldChar w:fldCharType="separate"/>
        </w:r>
        <w:r w:rsidR="009F7B12">
          <w:rPr>
            <w:webHidden/>
          </w:rPr>
          <w:t>6</w:t>
        </w:r>
        <w:r w:rsidR="009F7B12">
          <w:rPr>
            <w:webHidden/>
          </w:rPr>
          <w:fldChar w:fldCharType="end"/>
        </w:r>
      </w:hyperlink>
    </w:p>
    <w:p w14:paraId="5D8E1FFB" w14:textId="77777777" w:rsidR="009F7B12" w:rsidRDefault="0045185E">
      <w:pPr>
        <w:pStyle w:val="TOC2"/>
        <w:rPr>
          <w:rFonts w:asciiTheme="minorHAnsi" w:eastAsiaTheme="minorEastAsia" w:hAnsiTheme="minorHAnsi" w:cstheme="minorBidi"/>
          <w:spacing w:val="0"/>
          <w:sz w:val="22"/>
          <w:szCs w:val="22"/>
        </w:rPr>
      </w:pPr>
      <w:hyperlink w:anchor="_Toc499041989" w:history="1">
        <w:r w:rsidR="009F7B12" w:rsidRPr="000C0685">
          <w:rPr>
            <w:rStyle w:val="Hyperlink"/>
          </w:rPr>
          <w:t>Making a submission</w:t>
        </w:r>
        <w:r w:rsidR="009F7B12">
          <w:rPr>
            <w:webHidden/>
          </w:rPr>
          <w:tab/>
        </w:r>
        <w:r w:rsidR="009F7B12">
          <w:rPr>
            <w:webHidden/>
          </w:rPr>
          <w:fldChar w:fldCharType="begin"/>
        </w:r>
        <w:r w:rsidR="009F7B12">
          <w:rPr>
            <w:webHidden/>
          </w:rPr>
          <w:instrText xml:space="preserve"> PAGEREF _Toc499041989 \h </w:instrText>
        </w:r>
        <w:r w:rsidR="009F7B12">
          <w:rPr>
            <w:webHidden/>
          </w:rPr>
        </w:r>
        <w:r w:rsidR="009F7B12">
          <w:rPr>
            <w:webHidden/>
          </w:rPr>
          <w:fldChar w:fldCharType="separate"/>
        </w:r>
        <w:r w:rsidR="009F7B12">
          <w:rPr>
            <w:webHidden/>
          </w:rPr>
          <w:t>6</w:t>
        </w:r>
        <w:r w:rsidR="009F7B12">
          <w:rPr>
            <w:webHidden/>
          </w:rPr>
          <w:fldChar w:fldCharType="end"/>
        </w:r>
      </w:hyperlink>
    </w:p>
    <w:p w14:paraId="35B2A781" w14:textId="77777777" w:rsidR="000A4A51" w:rsidRPr="000D76E0" w:rsidRDefault="00127DBD">
      <w:pPr>
        <w:rPr>
          <w:rFonts w:cs="Arial"/>
        </w:rPr>
      </w:pPr>
      <w:r>
        <w:rPr>
          <w:rFonts w:cs="Arial"/>
          <w:noProof/>
          <w:spacing w:val="-14"/>
          <w:sz w:val="28"/>
        </w:rPr>
        <w:fldChar w:fldCharType="end"/>
      </w:r>
    </w:p>
    <w:p w14:paraId="21D0BE0E" w14:textId="77777777" w:rsidR="004D56FF" w:rsidRPr="000D76E0" w:rsidRDefault="004D56F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6017EFC8" w14:textId="77777777" w:rsidR="009D6C71" w:rsidRPr="009174F3" w:rsidRDefault="000666A1" w:rsidP="009174F3">
      <w:pPr>
        <w:pStyle w:val="ACMAExecSummaryHeading"/>
      </w:pPr>
      <w:bookmarkStart w:id="1" w:name="_Toc499041977"/>
      <w:r>
        <w:lastRenderedPageBreak/>
        <w:t>Introduction</w:t>
      </w:r>
      <w:bookmarkEnd w:id="1"/>
      <w:r w:rsidR="009D6C71" w:rsidRPr="009174F3">
        <w:t xml:space="preserve"> </w:t>
      </w:r>
    </w:p>
    <w:p w14:paraId="1156BD8D" w14:textId="73C0AE7A" w:rsidR="000666A1" w:rsidRPr="003674F3" w:rsidRDefault="000666A1" w:rsidP="000666A1">
      <w:pPr>
        <w:rPr>
          <w:rFonts w:cs="Arial"/>
        </w:rPr>
      </w:pPr>
      <w:bookmarkStart w:id="2" w:name="_Toc348105631"/>
      <w:r w:rsidRPr="003674F3">
        <w:rPr>
          <w:rFonts w:cs="Arial"/>
        </w:rPr>
        <w:t>The Australian Communications and Media Authority (</w:t>
      </w:r>
      <w:r>
        <w:rPr>
          <w:rFonts w:cs="Arial"/>
        </w:rPr>
        <w:t xml:space="preserve">the </w:t>
      </w:r>
      <w:r w:rsidRPr="00761ACC">
        <w:rPr>
          <w:rFonts w:cs="Arial"/>
        </w:rPr>
        <w:t>ACMA</w:t>
      </w:r>
      <w:r w:rsidRPr="003674F3">
        <w:rPr>
          <w:rFonts w:cs="Arial"/>
        </w:rPr>
        <w:t xml:space="preserve">) is proposing variations to the </w:t>
      </w:r>
      <w:r w:rsidRPr="00476975">
        <w:rPr>
          <w:rFonts w:cs="Arial"/>
        </w:rPr>
        <w:t>Radiocommunications (Low Interference Potential Devices) Class Licence</w:t>
      </w:r>
      <w:r w:rsidRPr="00157BC0">
        <w:rPr>
          <w:rFonts w:cs="Arial"/>
          <w:i/>
        </w:rPr>
        <w:t xml:space="preserve"> </w:t>
      </w:r>
      <w:r w:rsidRPr="006B36AC">
        <w:rPr>
          <w:rFonts w:cs="Arial"/>
        </w:rPr>
        <w:t>2015</w:t>
      </w:r>
      <w:r w:rsidRPr="003674F3">
        <w:rPr>
          <w:rFonts w:cs="Arial"/>
        </w:rPr>
        <w:t xml:space="preserve"> </w:t>
      </w:r>
      <w:r>
        <w:rPr>
          <w:rFonts w:cs="Arial"/>
        </w:rPr>
        <w:t>(</w:t>
      </w:r>
      <w:hyperlink r:id="rId24" w:history="1">
        <w:r w:rsidRPr="00436A21">
          <w:rPr>
            <w:rStyle w:val="Hyperlink"/>
            <w:rFonts w:cs="Arial"/>
          </w:rPr>
          <w:t xml:space="preserve">LIPD </w:t>
        </w:r>
        <w:r w:rsidR="009111F4" w:rsidRPr="00436A21">
          <w:rPr>
            <w:rStyle w:val="Hyperlink"/>
            <w:rFonts w:cs="Arial"/>
          </w:rPr>
          <w:t>C</w:t>
        </w:r>
        <w:r w:rsidRPr="00436A21">
          <w:rPr>
            <w:rStyle w:val="Hyperlink"/>
            <w:rFonts w:cs="Arial"/>
          </w:rPr>
          <w:t xml:space="preserve">lass </w:t>
        </w:r>
        <w:r w:rsidR="009111F4" w:rsidRPr="00436A21">
          <w:rPr>
            <w:rStyle w:val="Hyperlink"/>
            <w:rFonts w:cs="Arial"/>
          </w:rPr>
          <w:t>L</w:t>
        </w:r>
        <w:r w:rsidRPr="00436A21">
          <w:rPr>
            <w:rStyle w:val="Hyperlink"/>
            <w:rFonts w:cs="Arial"/>
          </w:rPr>
          <w:t>icence</w:t>
        </w:r>
      </w:hyperlink>
      <w:r>
        <w:rPr>
          <w:rFonts w:cs="Arial"/>
        </w:rPr>
        <w:t>)</w:t>
      </w:r>
      <w:r w:rsidRPr="003674F3">
        <w:rPr>
          <w:rFonts w:cs="Arial"/>
        </w:rPr>
        <w:t>.</w:t>
      </w:r>
    </w:p>
    <w:p w14:paraId="47B2814B" w14:textId="2201037D" w:rsidR="000666A1" w:rsidRPr="003674F3" w:rsidRDefault="000666A1" w:rsidP="000666A1">
      <w:pPr>
        <w:rPr>
          <w:rFonts w:cs="Arial"/>
        </w:rPr>
      </w:pPr>
      <w:r w:rsidRPr="003674F3">
        <w:rPr>
          <w:rFonts w:cs="Arial"/>
        </w:rPr>
        <w:t>Under</w:t>
      </w:r>
      <w:r>
        <w:rPr>
          <w:rFonts w:cs="Arial"/>
        </w:rPr>
        <w:t xml:space="preserve"> section 136 of</w:t>
      </w:r>
      <w:r w:rsidRPr="003674F3">
        <w:rPr>
          <w:rFonts w:cs="Arial"/>
        </w:rPr>
        <w:t xml:space="preserve"> the </w:t>
      </w:r>
      <w:r w:rsidRPr="003674F3">
        <w:rPr>
          <w:rFonts w:cs="Arial"/>
          <w:i/>
        </w:rPr>
        <w:t>Radiocommunications Act 1992</w:t>
      </w:r>
      <w:r w:rsidRPr="007734A8">
        <w:rPr>
          <w:rFonts w:cs="Arial"/>
        </w:rPr>
        <w:t>,</w:t>
      </w:r>
      <w:r w:rsidRPr="003674F3">
        <w:rPr>
          <w:rFonts w:cs="Arial"/>
        </w:rPr>
        <w:t xml:space="preserve"> before varying a class licence the ACMA must </w:t>
      </w:r>
      <w:r>
        <w:rPr>
          <w:rFonts w:cs="Arial"/>
        </w:rPr>
        <w:t>invite</w:t>
      </w:r>
      <w:r w:rsidRPr="003674F3">
        <w:rPr>
          <w:rFonts w:cs="Arial"/>
        </w:rPr>
        <w:t xml:space="preserve"> interested p</w:t>
      </w:r>
      <w:r>
        <w:rPr>
          <w:rFonts w:cs="Arial"/>
        </w:rPr>
        <w:t>erson</w:t>
      </w:r>
      <w:r w:rsidRPr="003674F3">
        <w:rPr>
          <w:rFonts w:cs="Arial"/>
        </w:rPr>
        <w:t xml:space="preserve">s to </w:t>
      </w:r>
      <w:r>
        <w:rPr>
          <w:rFonts w:cs="Arial"/>
        </w:rPr>
        <w:t>make representations</w:t>
      </w:r>
      <w:r w:rsidRPr="003674F3">
        <w:rPr>
          <w:rFonts w:cs="Arial"/>
        </w:rPr>
        <w:t xml:space="preserve"> about the proposed variation</w:t>
      </w:r>
      <w:r>
        <w:rPr>
          <w:rFonts w:cs="Arial"/>
        </w:rPr>
        <w:t>s</w:t>
      </w:r>
      <w:r w:rsidR="00760886">
        <w:rPr>
          <w:rFonts w:cs="Arial"/>
        </w:rPr>
        <w:t>.</w:t>
      </w:r>
      <w:r>
        <w:rPr>
          <w:rFonts w:cs="Arial"/>
        </w:rPr>
        <w:t xml:space="preserve"> </w:t>
      </w:r>
      <w:r w:rsidRPr="003674F3">
        <w:rPr>
          <w:rFonts w:cs="Arial"/>
        </w:rPr>
        <w:t xml:space="preserve">This </w:t>
      </w:r>
      <w:r>
        <w:rPr>
          <w:rFonts w:cs="Arial"/>
        </w:rPr>
        <w:t xml:space="preserve">discussion </w:t>
      </w:r>
      <w:r w:rsidRPr="003674F3">
        <w:rPr>
          <w:rFonts w:cs="Arial"/>
        </w:rPr>
        <w:t xml:space="preserve">paper provides the context for the proposed variations to </w:t>
      </w:r>
      <w:r w:rsidR="00436A21">
        <w:rPr>
          <w:rFonts w:cs="Arial"/>
        </w:rPr>
        <w:t>help</w:t>
      </w:r>
      <w:r w:rsidR="00436A21" w:rsidRPr="003674F3">
        <w:rPr>
          <w:rFonts w:cs="Arial"/>
        </w:rPr>
        <w:t xml:space="preserve"> </w:t>
      </w:r>
      <w:r w:rsidRPr="003674F3">
        <w:rPr>
          <w:rFonts w:cs="Arial"/>
        </w:rPr>
        <w:t>interested parties prepar</w:t>
      </w:r>
      <w:r w:rsidR="00436A21">
        <w:rPr>
          <w:rFonts w:cs="Arial"/>
        </w:rPr>
        <w:t xml:space="preserve">e </w:t>
      </w:r>
      <w:r w:rsidRPr="003674F3">
        <w:rPr>
          <w:rFonts w:cs="Arial"/>
        </w:rPr>
        <w:t xml:space="preserve">written comments. </w:t>
      </w:r>
    </w:p>
    <w:p w14:paraId="2617077E" w14:textId="77777777" w:rsidR="000666A1" w:rsidRPr="003674F3" w:rsidRDefault="000666A1" w:rsidP="000666A1">
      <w:pPr>
        <w:spacing w:after="80"/>
        <w:rPr>
          <w:rFonts w:cs="Arial"/>
        </w:rPr>
      </w:pPr>
      <w:r w:rsidRPr="003674F3">
        <w:rPr>
          <w:rFonts w:cs="Arial"/>
        </w:rPr>
        <w:t>The paper:</w:t>
      </w:r>
    </w:p>
    <w:p w14:paraId="5C87402B" w14:textId="77777777" w:rsidR="000666A1" w:rsidRPr="003674F3" w:rsidRDefault="00D632B2" w:rsidP="000666A1">
      <w:pPr>
        <w:pStyle w:val="ListBullet"/>
        <w:spacing w:after="90"/>
        <w:ind w:left="300" w:hanging="300"/>
        <w:rPr>
          <w:rFonts w:cs="Arial"/>
        </w:rPr>
      </w:pPr>
      <w:r>
        <w:rPr>
          <w:rFonts w:cs="Arial"/>
        </w:rPr>
        <w:t xml:space="preserve">provides </w:t>
      </w:r>
      <w:r w:rsidR="000666A1">
        <w:rPr>
          <w:rFonts w:cs="Arial"/>
        </w:rPr>
        <w:t>a</w:t>
      </w:r>
      <w:r w:rsidR="000666A1" w:rsidRPr="003674F3">
        <w:rPr>
          <w:rFonts w:cs="Arial"/>
        </w:rPr>
        <w:t xml:space="preserve">n overview of class licensing and the LIPD </w:t>
      </w:r>
      <w:r w:rsidR="009111F4">
        <w:rPr>
          <w:rFonts w:cs="Arial"/>
        </w:rPr>
        <w:t>C</w:t>
      </w:r>
      <w:r w:rsidR="000666A1" w:rsidRPr="003674F3">
        <w:rPr>
          <w:rFonts w:cs="Arial"/>
        </w:rPr>
        <w:t xml:space="preserve">lass </w:t>
      </w:r>
      <w:r w:rsidR="009111F4">
        <w:rPr>
          <w:rFonts w:cs="Arial"/>
        </w:rPr>
        <w:t>L</w:t>
      </w:r>
      <w:r w:rsidR="000666A1" w:rsidRPr="003674F3">
        <w:rPr>
          <w:rFonts w:cs="Arial"/>
        </w:rPr>
        <w:t>icence</w:t>
      </w:r>
    </w:p>
    <w:p w14:paraId="4BB591D4" w14:textId="77777777" w:rsidR="000666A1" w:rsidRPr="003674F3" w:rsidRDefault="00D632B2" w:rsidP="00F14727">
      <w:pPr>
        <w:pStyle w:val="ListBullet"/>
        <w:spacing w:after="90" w:line="240" w:lineRule="auto"/>
        <w:ind w:left="300" w:hanging="300"/>
        <w:rPr>
          <w:rFonts w:cs="Arial"/>
        </w:rPr>
      </w:pPr>
      <w:r>
        <w:rPr>
          <w:rFonts w:cs="Arial"/>
        </w:rPr>
        <w:t xml:space="preserve">provides </w:t>
      </w:r>
      <w:r w:rsidR="000666A1">
        <w:rPr>
          <w:rFonts w:cs="Arial"/>
        </w:rPr>
        <w:t>a</w:t>
      </w:r>
      <w:r w:rsidR="008F63BD">
        <w:rPr>
          <w:rFonts w:cs="Arial"/>
        </w:rPr>
        <w:t xml:space="preserve"> </w:t>
      </w:r>
      <w:r w:rsidR="000666A1" w:rsidRPr="003674F3">
        <w:rPr>
          <w:rFonts w:cs="Arial"/>
        </w:rPr>
        <w:t xml:space="preserve">description of the proposed </w:t>
      </w:r>
      <w:r w:rsidR="000666A1">
        <w:rPr>
          <w:rFonts w:cs="Arial"/>
        </w:rPr>
        <w:t>variation</w:t>
      </w:r>
    </w:p>
    <w:p w14:paraId="0FA8548D" w14:textId="77777777" w:rsidR="004F09D1" w:rsidRDefault="00D632B2" w:rsidP="00F14727">
      <w:pPr>
        <w:pStyle w:val="ListBulletLast"/>
        <w:spacing w:after="0" w:line="276" w:lineRule="auto"/>
      </w:pPr>
      <w:r>
        <w:t xml:space="preserve">provides </w:t>
      </w:r>
      <w:r w:rsidR="000666A1">
        <w:t>a</w:t>
      </w:r>
      <w:r w:rsidR="000666A1" w:rsidRPr="003674F3">
        <w:t>n invitation to comment on the proposed variation</w:t>
      </w:r>
    </w:p>
    <w:p w14:paraId="47C0533A" w14:textId="77777777" w:rsidR="000666A1" w:rsidRDefault="004F09D1" w:rsidP="00F14727">
      <w:pPr>
        <w:pStyle w:val="ListBulletLast"/>
        <w:spacing w:after="0" w:line="276" w:lineRule="auto"/>
      </w:pPr>
      <w:r>
        <w:t>invites suggestions from industry and individuals on possible devices and technologies for inclusion in future updates</w:t>
      </w:r>
    </w:p>
    <w:p w14:paraId="193A8EE2" w14:textId="45255418" w:rsidR="006F53C0" w:rsidRDefault="004F09D1" w:rsidP="00C527AB">
      <w:pPr>
        <w:pStyle w:val="ListBulletLast"/>
        <w:spacing w:after="0" w:line="276" w:lineRule="auto"/>
        <w:ind w:left="300" w:hanging="300"/>
      </w:pPr>
      <w:r>
        <w:t>seeks industry</w:t>
      </w:r>
      <w:r w:rsidR="006F4F28">
        <w:t xml:space="preserve"> views </w:t>
      </w:r>
      <w:r w:rsidR="00446338">
        <w:t xml:space="preserve">on whether the ACMA should consider arrangements </w:t>
      </w:r>
      <w:proofErr w:type="gramStart"/>
      <w:r w:rsidR="00446338">
        <w:t>similar to</w:t>
      </w:r>
      <w:proofErr w:type="gramEnd"/>
      <w:r w:rsidR="00446338">
        <w:t xml:space="preserve"> those of</w:t>
      </w:r>
      <w:r>
        <w:t xml:space="preserve"> recent developments overseas </w:t>
      </w:r>
      <w:r w:rsidR="006F4F28">
        <w:t xml:space="preserve">for </w:t>
      </w:r>
      <w:r>
        <w:t>‘unlicensed’</w:t>
      </w:r>
      <w:r>
        <w:rPr>
          <w:rStyle w:val="FootnoteReference"/>
        </w:rPr>
        <w:footnoteReference w:id="1"/>
      </w:r>
      <w:r>
        <w:t xml:space="preserve"> </w:t>
      </w:r>
      <w:r w:rsidR="006F4F28">
        <w:t xml:space="preserve">data communications services in </w:t>
      </w:r>
      <w:r w:rsidR="00D632B2">
        <w:t xml:space="preserve">the </w:t>
      </w:r>
      <w:r w:rsidR="00A746E3">
        <w:t>frequency range 64</w:t>
      </w:r>
      <w:r w:rsidR="00567C50">
        <w:t>–</w:t>
      </w:r>
      <w:r w:rsidR="00A746E3">
        <w:t>71</w:t>
      </w:r>
      <w:r w:rsidR="006F4F28">
        <w:t>GHz</w:t>
      </w:r>
      <w:r w:rsidR="00567C50">
        <w:t>,</w:t>
      </w:r>
      <w:r w:rsidR="00446338">
        <w:t xml:space="preserve"> </w:t>
      </w:r>
      <w:r w:rsidR="00D74455">
        <w:t>which could be used to support future ‘5G’ services (</w:t>
      </w:r>
      <w:r w:rsidR="00D74455" w:rsidRPr="00D74455">
        <w:t>for example,</w:t>
      </w:r>
      <w:r w:rsidR="00A746E3">
        <w:t xml:space="preserve"> </w:t>
      </w:r>
      <w:r w:rsidR="00D74455" w:rsidRPr="00D74455">
        <w:t>backhaul</w:t>
      </w:r>
      <w:r w:rsidR="00A746E3">
        <w:t xml:space="preserve"> </w:t>
      </w:r>
      <w:r w:rsidR="00560125">
        <w:t>in mobile broadband networks</w:t>
      </w:r>
      <w:r w:rsidR="00F14727">
        <w:t>)</w:t>
      </w:r>
    </w:p>
    <w:p w14:paraId="3845C624" w14:textId="1A804EFD" w:rsidR="00B0174C" w:rsidRPr="003674F3" w:rsidRDefault="006F53C0" w:rsidP="00B42206">
      <w:pPr>
        <w:pStyle w:val="ListBulletLast"/>
      </w:pPr>
      <w:r>
        <w:t>seeks industry views on what aspects of the proposed variation should be considered in future standards updates.</w:t>
      </w:r>
    </w:p>
    <w:p w14:paraId="67CF2665" w14:textId="2AC37895" w:rsidR="00760886" w:rsidRDefault="000666A1" w:rsidP="003102F4">
      <w:r w:rsidRPr="003674F3">
        <w:t xml:space="preserve">A copy of the </w:t>
      </w:r>
      <w:r>
        <w:t>proposed</w:t>
      </w:r>
      <w:r w:rsidRPr="003674F3">
        <w:t xml:space="preserve"> </w:t>
      </w:r>
      <w:r w:rsidRPr="00B42206">
        <w:t>Radiocommunications (Low Interference Potential Devices) Class Licence Variation Notice 201</w:t>
      </w:r>
      <w:r w:rsidR="00D632B2">
        <w:t>8</w:t>
      </w:r>
      <w:r w:rsidRPr="00B42206">
        <w:t xml:space="preserve"> (No.</w:t>
      </w:r>
      <w:r w:rsidR="00567C50">
        <w:t> </w:t>
      </w:r>
      <w:r w:rsidRPr="00B42206">
        <w:t>1)</w:t>
      </w:r>
      <w:r>
        <w:t xml:space="preserve"> </w:t>
      </w:r>
      <w:r w:rsidRPr="003674F3">
        <w:t xml:space="preserve">is available on the </w:t>
      </w:r>
      <w:hyperlink r:id="rId25" w:history="1">
        <w:r w:rsidRPr="00194520">
          <w:rPr>
            <w:rStyle w:val="Hyperlink"/>
          </w:rPr>
          <w:t>ACMA website</w:t>
        </w:r>
      </w:hyperlink>
      <w:r w:rsidRPr="003674F3">
        <w:t xml:space="preserve">. </w:t>
      </w:r>
    </w:p>
    <w:p w14:paraId="1100F04C" w14:textId="6C012B07" w:rsidR="000666A1" w:rsidRPr="003674F3" w:rsidRDefault="000666A1" w:rsidP="003102F4">
      <w:r w:rsidRPr="003674F3">
        <w:t>The ACMA invites comment from interested parties on the proposed variation</w:t>
      </w:r>
      <w:r>
        <w:t xml:space="preserve"> by </w:t>
      </w:r>
      <w:r w:rsidR="00760886" w:rsidRPr="00B42206">
        <w:rPr>
          <w:b/>
        </w:rPr>
        <w:t xml:space="preserve">COB, </w:t>
      </w:r>
      <w:r w:rsidR="00760886" w:rsidRPr="003E1AAE">
        <w:rPr>
          <w:b/>
        </w:rPr>
        <w:t xml:space="preserve">Friday </w:t>
      </w:r>
      <w:r w:rsidR="00D62780" w:rsidRPr="003E1AAE">
        <w:rPr>
          <w:b/>
        </w:rPr>
        <w:t>19</w:t>
      </w:r>
      <w:r w:rsidRPr="003E1AAE">
        <w:rPr>
          <w:b/>
        </w:rPr>
        <w:t xml:space="preserve"> </w:t>
      </w:r>
      <w:r w:rsidR="00D62780" w:rsidRPr="003E1AAE">
        <w:rPr>
          <w:b/>
        </w:rPr>
        <w:t>January</w:t>
      </w:r>
      <w:r w:rsidRPr="003E1AAE">
        <w:rPr>
          <w:b/>
        </w:rPr>
        <w:t xml:space="preserve"> 201</w:t>
      </w:r>
      <w:r w:rsidR="008F48E1" w:rsidRPr="003E1AAE">
        <w:rPr>
          <w:b/>
        </w:rPr>
        <w:t>8</w:t>
      </w:r>
      <w:r w:rsidRPr="003E1AAE">
        <w:t>.</w:t>
      </w:r>
      <w:r w:rsidR="004B5BA2">
        <w:t xml:space="preserve"> </w:t>
      </w:r>
      <w:r w:rsidR="00194520">
        <w:t xml:space="preserve">See the </w:t>
      </w:r>
      <w:r w:rsidR="00194520" w:rsidRPr="00B42206">
        <w:rPr>
          <w:i/>
        </w:rPr>
        <w:t>Invitation to comment</w:t>
      </w:r>
      <w:r w:rsidR="00194520" w:rsidRPr="003674F3">
        <w:t xml:space="preserve"> section</w:t>
      </w:r>
      <w:r w:rsidR="00194520">
        <w:t xml:space="preserve"> for i</w:t>
      </w:r>
      <w:r w:rsidRPr="003674F3">
        <w:t>nformation about making a submission.</w:t>
      </w:r>
    </w:p>
    <w:p w14:paraId="6C0F53E5" w14:textId="03DCAEF9" w:rsidR="000666A1" w:rsidRPr="003674F3" w:rsidRDefault="000666A1" w:rsidP="000666A1">
      <w:pPr>
        <w:pStyle w:val="Heading1"/>
      </w:pPr>
      <w:bookmarkStart w:id="3" w:name="_Toc433891912"/>
      <w:bookmarkStart w:id="4" w:name="_Toc436317132"/>
      <w:bookmarkStart w:id="5" w:name="_Toc499041978"/>
      <w:bookmarkEnd w:id="2"/>
      <w:r w:rsidRPr="003674F3">
        <w:lastRenderedPageBreak/>
        <w:t>Class licensing and the LIPD</w:t>
      </w:r>
      <w:r w:rsidR="00194520">
        <w:t> </w:t>
      </w:r>
      <w:r w:rsidR="009111F4">
        <w:t>C</w:t>
      </w:r>
      <w:r w:rsidRPr="003674F3">
        <w:t xml:space="preserve">lass </w:t>
      </w:r>
      <w:r w:rsidR="009111F4">
        <w:t>L</w:t>
      </w:r>
      <w:r w:rsidRPr="003674F3">
        <w:t>icence</w:t>
      </w:r>
      <w:bookmarkEnd w:id="3"/>
      <w:bookmarkEnd w:id="4"/>
      <w:bookmarkEnd w:id="5"/>
    </w:p>
    <w:p w14:paraId="2312728D" w14:textId="77777777" w:rsidR="000666A1" w:rsidRPr="003674F3" w:rsidRDefault="000666A1" w:rsidP="000666A1">
      <w:pPr>
        <w:rPr>
          <w:rFonts w:cs="Arial"/>
        </w:rPr>
      </w:pPr>
      <w:r w:rsidRPr="003674F3">
        <w:rPr>
          <w:rFonts w:cs="Arial"/>
        </w:rPr>
        <w:t xml:space="preserve">It is </w:t>
      </w:r>
      <w:r>
        <w:rPr>
          <w:rFonts w:cs="Arial"/>
        </w:rPr>
        <w:t xml:space="preserve">a </w:t>
      </w:r>
      <w:r w:rsidRPr="003674F3">
        <w:rPr>
          <w:rFonts w:cs="Arial"/>
        </w:rPr>
        <w:t xml:space="preserve">general requirement of the </w:t>
      </w:r>
      <w:r>
        <w:rPr>
          <w:rFonts w:cs="Arial"/>
        </w:rPr>
        <w:t>Act</w:t>
      </w:r>
      <w:r w:rsidRPr="003674F3">
        <w:rPr>
          <w:rFonts w:cs="Arial"/>
        </w:rPr>
        <w:t xml:space="preserve"> that the operation of all radiocommunications devices within Australia be authorised by a radiocommunications licence.</w:t>
      </w:r>
    </w:p>
    <w:p w14:paraId="15C15687" w14:textId="2D3DF1E1" w:rsidR="000666A1" w:rsidRPr="003674F3" w:rsidRDefault="000666A1" w:rsidP="000666A1">
      <w:pPr>
        <w:rPr>
          <w:rFonts w:cs="Arial"/>
        </w:rPr>
      </w:pPr>
      <w:r>
        <w:rPr>
          <w:rFonts w:cs="Arial"/>
        </w:rPr>
        <w:t>A c</w:t>
      </w:r>
      <w:r w:rsidRPr="003674F3">
        <w:rPr>
          <w:rFonts w:cs="Arial"/>
        </w:rPr>
        <w:t>lass licen</w:t>
      </w:r>
      <w:r>
        <w:rPr>
          <w:rFonts w:cs="Arial"/>
        </w:rPr>
        <w:t>ce</w:t>
      </w:r>
      <w:r w:rsidRPr="003674F3">
        <w:rPr>
          <w:rFonts w:cs="Arial"/>
        </w:rPr>
        <w:t xml:space="preserve"> is one type of licence available to authorise the operation of radiocommunications devices.</w:t>
      </w:r>
      <w:r w:rsidR="004B5BA2">
        <w:rPr>
          <w:rFonts w:cs="Arial"/>
        </w:rPr>
        <w:t xml:space="preserve"> </w:t>
      </w:r>
      <w:r w:rsidRPr="003674F3">
        <w:rPr>
          <w:rFonts w:cs="Arial"/>
        </w:rPr>
        <w:t>It is an effective and efficient means of spectrum management for services where a limited set of common frequencies is employed, and equipment is operated under a common set of conditions.</w:t>
      </w:r>
    </w:p>
    <w:p w14:paraId="35214193" w14:textId="4C58A105" w:rsidR="000666A1" w:rsidRPr="003674F3" w:rsidRDefault="000666A1" w:rsidP="000666A1">
      <w:pPr>
        <w:rPr>
          <w:rFonts w:cs="Arial"/>
        </w:rPr>
      </w:pPr>
      <w:r>
        <w:rPr>
          <w:rFonts w:cs="Arial"/>
        </w:rPr>
        <w:t>A</w:t>
      </w:r>
      <w:r w:rsidRPr="003674F3">
        <w:rPr>
          <w:rFonts w:cs="Arial"/>
        </w:rPr>
        <w:t xml:space="preserve"> class licence sets out the conditions under which any person is permitted to operate any device to which the class licence is applicable</w:t>
      </w:r>
      <w:r>
        <w:rPr>
          <w:rFonts w:cs="Arial"/>
        </w:rPr>
        <w:t>—</w:t>
      </w:r>
      <w:r w:rsidRPr="003674F3">
        <w:rPr>
          <w:rFonts w:cs="Arial"/>
        </w:rPr>
        <w:t>it is not issued to an individual user and does not involve the payment of licence fees.</w:t>
      </w:r>
      <w:r w:rsidR="004B5BA2">
        <w:rPr>
          <w:rFonts w:cs="Arial"/>
        </w:rPr>
        <w:t xml:space="preserve"> </w:t>
      </w:r>
      <w:r>
        <w:rPr>
          <w:rFonts w:cs="Arial"/>
        </w:rPr>
        <w:t xml:space="preserve">A class licence is issued by the ACMA under section 132 of the Act by making a </w:t>
      </w:r>
      <w:r w:rsidRPr="003674F3">
        <w:rPr>
          <w:rFonts w:cs="Arial"/>
        </w:rPr>
        <w:t xml:space="preserve">legislative instrument </w:t>
      </w:r>
      <w:r>
        <w:rPr>
          <w:rFonts w:cs="Arial"/>
        </w:rPr>
        <w:t>that is</w:t>
      </w:r>
      <w:r w:rsidRPr="003674F3">
        <w:rPr>
          <w:rFonts w:cs="Arial"/>
        </w:rPr>
        <w:t xml:space="preserve"> registered on the </w:t>
      </w:r>
      <w:hyperlink r:id="rId26" w:history="1">
        <w:r w:rsidRPr="00194520">
          <w:rPr>
            <w:rStyle w:val="Hyperlink"/>
            <w:rFonts w:cs="Arial"/>
          </w:rPr>
          <w:t xml:space="preserve">Federal Register of </w:t>
        </w:r>
        <w:r w:rsidR="00787435" w:rsidRPr="00194520">
          <w:rPr>
            <w:rStyle w:val="Hyperlink"/>
            <w:rFonts w:cs="Arial"/>
          </w:rPr>
          <w:t>Legislation</w:t>
        </w:r>
      </w:hyperlink>
      <w:r w:rsidRPr="003674F3">
        <w:rPr>
          <w:rFonts w:cs="Arial"/>
        </w:rPr>
        <w:t>.</w:t>
      </w:r>
    </w:p>
    <w:p w14:paraId="57DD77A6" w14:textId="76847711" w:rsidR="00194520" w:rsidRDefault="000666A1" w:rsidP="009F7B12">
      <w:pPr>
        <w:spacing w:after="80"/>
        <w:rPr>
          <w:rFonts w:cs="Arial"/>
        </w:rPr>
      </w:pPr>
      <w:r w:rsidRPr="003674F3">
        <w:rPr>
          <w:rFonts w:cs="Arial"/>
        </w:rPr>
        <w:t xml:space="preserve">The LIPD </w:t>
      </w:r>
      <w:r w:rsidR="009111F4">
        <w:rPr>
          <w:rFonts w:cs="Arial"/>
        </w:rPr>
        <w:t>C</w:t>
      </w:r>
      <w:r w:rsidRPr="003674F3">
        <w:rPr>
          <w:rFonts w:cs="Arial"/>
        </w:rPr>
        <w:t xml:space="preserve">lass </w:t>
      </w:r>
      <w:r w:rsidR="009111F4">
        <w:rPr>
          <w:rFonts w:cs="Arial"/>
        </w:rPr>
        <w:t>L</w:t>
      </w:r>
      <w:r w:rsidRPr="003674F3">
        <w:rPr>
          <w:rFonts w:cs="Arial"/>
        </w:rPr>
        <w:t>icence</w:t>
      </w:r>
      <w:r w:rsidRPr="003674F3">
        <w:rPr>
          <w:rFonts w:cs="Arial"/>
          <w:i/>
        </w:rPr>
        <w:t xml:space="preserve"> </w:t>
      </w:r>
      <w:r w:rsidRPr="003674F3">
        <w:rPr>
          <w:rFonts w:cs="Arial"/>
        </w:rPr>
        <w:t>authorises the operation of a wide range of radiocommunications devices in various segments of the radiofrequency spectrum</w:t>
      </w:r>
      <w:r>
        <w:rPr>
          <w:rFonts w:cs="Arial"/>
        </w:rPr>
        <w:t>.</w:t>
      </w:r>
      <w:r w:rsidR="004B5BA2">
        <w:rPr>
          <w:rFonts w:cs="Arial"/>
        </w:rPr>
        <w:t xml:space="preserve"> </w:t>
      </w:r>
      <w:r w:rsidR="004765DC">
        <w:rPr>
          <w:rFonts w:cs="Arial"/>
        </w:rPr>
        <w:t xml:space="preserve">These devices are considered to have a low potential to cause interference to other devices due to their technical and operational characteristics. </w:t>
      </w:r>
      <w:r w:rsidR="004765DC" w:rsidRPr="006B12D2">
        <w:rPr>
          <w:rFonts w:cs="Arial"/>
        </w:rPr>
        <w:t>For example</w:t>
      </w:r>
      <w:r w:rsidR="004765DC">
        <w:rPr>
          <w:rFonts w:cs="Arial"/>
        </w:rPr>
        <w:t>,</w:t>
      </w:r>
      <w:r w:rsidR="004765DC" w:rsidRPr="006B12D2">
        <w:rPr>
          <w:rFonts w:cs="Arial"/>
        </w:rPr>
        <w:t xml:space="preserve"> </w:t>
      </w:r>
      <w:r w:rsidR="00AB5551">
        <w:rPr>
          <w:rFonts w:cs="Arial"/>
        </w:rPr>
        <w:t>such characteristics may include</w:t>
      </w:r>
      <w:r w:rsidR="00194520">
        <w:rPr>
          <w:rFonts w:cs="Arial"/>
        </w:rPr>
        <w:t>:</w:t>
      </w:r>
    </w:p>
    <w:p w14:paraId="6643ED93" w14:textId="52D8BD0A" w:rsidR="00194520" w:rsidRDefault="004765DC" w:rsidP="00476975">
      <w:pPr>
        <w:pStyle w:val="ListBullet"/>
      </w:pPr>
      <w:r w:rsidRPr="006B12D2">
        <w:t>low power and operation over short distances (relative to other services operating in the same spectrum)</w:t>
      </w:r>
    </w:p>
    <w:p w14:paraId="56FE0B2D" w14:textId="5FD8F7D5" w:rsidR="00194520" w:rsidRDefault="004765DC" w:rsidP="00476975">
      <w:pPr>
        <w:pStyle w:val="ListBullet"/>
      </w:pPr>
      <w:r w:rsidRPr="006B12D2">
        <w:t>low duty cycle of transmissions</w:t>
      </w:r>
    </w:p>
    <w:p w14:paraId="6AFF90F7" w14:textId="21A87FFF" w:rsidR="00194520" w:rsidRDefault="004765DC" w:rsidP="00476975">
      <w:pPr>
        <w:pStyle w:val="ListBullet"/>
      </w:pPr>
      <w:r w:rsidRPr="006B12D2">
        <w:t>low spectral den</w:t>
      </w:r>
      <w:r>
        <w:t>sity compared to other services</w:t>
      </w:r>
    </w:p>
    <w:p w14:paraId="696948D7" w14:textId="58431667" w:rsidR="000666A1" w:rsidRPr="003674F3" w:rsidRDefault="004765DC" w:rsidP="00476975">
      <w:pPr>
        <w:pStyle w:val="ListBulletLast"/>
      </w:pPr>
      <w:r w:rsidRPr="006B12D2">
        <w:t>that use is limited to indoor</w:t>
      </w:r>
      <w:r>
        <w:t>s</w:t>
      </w:r>
      <w:r w:rsidR="00194520">
        <w:t>,</w:t>
      </w:r>
      <w:r w:rsidRPr="006B12D2">
        <w:t xml:space="preserve"> mitigating the potential to caus</w:t>
      </w:r>
      <w:r>
        <w:t>e interference to other devices</w:t>
      </w:r>
      <w:r w:rsidR="00AB5551">
        <w:t>,</w:t>
      </w:r>
      <w:r>
        <w:t xml:space="preserve"> or interference can be self-managed by users. </w:t>
      </w:r>
    </w:p>
    <w:p w14:paraId="071C5CB7" w14:textId="66E68C15" w:rsidR="000666A1" w:rsidRPr="003674F3" w:rsidRDefault="000666A1" w:rsidP="000666A1">
      <w:pPr>
        <w:rPr>
          <w:rFonts w:cs="Arial"/>
        </w:rPr>
      </w:pPr>
      <w:r w:rsidRPr="003674F3">
        <w:rPr>
          <w:rFonts w:cs="Arial"/>
        </w:rPr>
        <w:t>It is a condition of th</w:t>
      </w:r>
      <w:r>
        <w:rPr>
          <w:rFonts w:cs="Arial"/>
        </w:rPr>
        <w:t>e LIPD</w:t>
      </w:r>
      <w:r w:rsidRPr="003674F3">
        <w:rPr>
          <w:rFonts w:cs="Arial"/>
        </w:rPr>
        <w:t xml:space="preserve"> </w:t>
      </w:r>
      <w:r w:rsidR="009111F4">
        <w:rPr>
          <w:rFonts w:cs="Arial"/>
        </w:rPr>
        <w:t>C</w:t>
      </w:r>
      <w:r w:rsidRPr="003674F3">
        <w:rPr>
          <w:rFonts w:cs="Arial"/>
        </w:rPr>
        <w:t xml:space="preserve">lass </w:t>
      </w:r>
      <w:r w:rsidR="009111F4">
        <w:rPr>
          <w:rFonts w:cs="Arial"/>
        </w:rPr>
        <w:t>L</w:t>
      </w:r>
      <w:r w:rsidRPr="003674F3">
        <w:rPr>
          <w:rFonts w:cs="Arial"/>
        </w:rPr>
        <w:t>icence that the operation of a radiocommunications device does not cause interference to other radioc</w:t>
      </w:r>
      <w:r>
        <w:rPr>
          <w:rFonts w:cs="Arial"/>
        </w:rPr>
        <w:t xml:space="preserve">ommunications services (see paragraph 4(1)(b) of the LIPD </w:t>
      </w:r>
      <w:r w:rsidR="009111F4">
        <w:rPr>
          <w:rFonts w:cs="Arial"/>
        </w:rPr>
        <w:t>C</w:t>
      </w:r>
      <w:r>
        <w:rPr>
          <w:rFonts w:cs="Arial"/>
        </w:rPr>
        <w:t xml:space="preserve">lass </w:t>
      </w:r>
      <w:r w:rsidR="009111F4">
        <w:rPr>
          <w:rFonts w:cs="Arial"/>
        </w:rPr>
        <w:t>L</w:t>
      </w:r>
      <w:r>
        <w:rPr>
          <w:rFonts w:cs="Arial"/>
        </w:rPr>
        <w:t>icence).</w:t>
      </w:r>
      <w:r w:rsidR="004B5BA2">
        <w:rPr>
          <w:rFonts w:cs="Arial"/>
        </w:rPr>
        <w:t xml:space="preserve"> </w:t>
      </w:r>
      <w:r w:rsidRPr="003674F3">
        <w:rPr>
          <w:rFonts w:cs="Arial"/>
        </w:rPr>
        <w:t>A device used under th</w:t>
      </w:r>
      <w:r>
        <w:rPr>
          <w:rFonts w:cs="Arial"/>
        </w:rPr>
        <w:t>e LIPD</w:t>
      </w:r>
      <w:r w:rsidRPr="003674F3">
        <w:rPr>
          <w:rFonts w:cs="Arial"/>
        </w:rPr>
        <w:t xml:space="preserve"> </w:t>
      </w:r>
      <w:r w:rsidR="009111F4">
        <w:rPr>
          <w:rFonts w:cs="Arial"/>
        </w:rPr>
        <w:t>C</w:t>
      </w:r>
      <w:r w:rsidRPr="003674F3">
        <w:rPr>
          <w:rFonts w:cs="Arial"/>
        </w:rPr>
        <w:t xml:space="preserve">lass </w:t>
      </w:r>
      <w:r w:rsidR="009111F4">
        <w:rPr>
          <w:rFonts w:cs="Arial"/>
        </w:rPr>
        <w:t>L</w:t>
      </w:r>
      <w:r w:rsidRPr="003674F3">
        <w:rPr>
          <w:rFonts w:cs="Arial"/>
        </w:rPr>
        <w:t xml:space="preserve">icence will also not be afforded protection from interference caused by other radiocommunications devices </w:t>
      </w:r>
      <w:r>
        <w:rPr>
          <w:rFonts w:cs="Arial"/>
        </w:rPr>
        <w:t xml:space="preserve">operated </w:t>
      </w:r>
      <w:r w:rsidRPr="003674F3">
        <w:rPr>
          <w:rFonts w:cs="Arial"/>
        </w:rPr>
        <w:t xml:space="preserve">under the </w:t>
      </w:r>
      <w:r>
        <w:rPr>
          <w:rFonts w:cs="Arial"/>
        </w:rPr>
        <w:t xml:space="preserve">LIPD </w:t>
      </w:r>
      <w:r w:rsidR="009111F4">
        <w:rPr>
          <w:rFonts w:cs="Arial"/>
        </w:rPr>
        <w:t>C</w:t>
      </w:r>
      <w:r>
        <w:rPr>
          <w:rFonts w:cs="Arial"/>
        </w:rPr>
        <w:t xml:space="preserve">lass </w:t>
      </w:r>
      <w:r w:rsidR="009111F4">
        <w:rPr>
          <w:rFonts w:cs="Arial"/>
        </w:rPr>
        <w:t>L</w:t>
      </w:r>
      <w:r w:rsidRPr="003674F3">
        <w:rPr>
          <w:rFonts w:cs="Arial"/>
        </w:rPr>
        <w:t>icence.</w:t>
      </w:r>
      <w:r w:rsidR="004B5BA2">
        <w:rPr>
          <w:rFonts w:cs="Arial"/>
        </w:rPr>
        <w:t xml:space="preserve"> </w:t>
      </w:r>
      <w:proofErr w:type="gramStart"/>
      <w:r w:rsidRPr="003674F3">
        <w:rPr>
          <w:rFonts w:cs="Arial"/>
        </w:rPr>
        <w:t>In the event that</w:t>
      </w:r>
      <w:proofErr w:type="gramEnd"/>
      <w:r w:rsidRPr="003674F3">
        <w:rPr>
          <w:rFonts w:cs="Arial"/>
        </w:rPr>
        <w:t xml:space="preserve"> interference does occur, it is the responsibility of the user</w:t>
      </w:r>
      <w:r>
        <w:rPr>
          <w:rFonts w:cs="Arial"/>
        </w:rPr>
        <w:t>s</w:t>
      </w:r>
      <w:r w:rsidRPr="003674F3">
        <w:rPr>
          <w:rFonts w:cs="Arial"/>
        </w:rPr>
        <w:t xml:space="preserve"> of the radiocommunications device</w:t>
      </w:r>
      <w:r>
        <w:rPr>
          <w:rFonts w:cs="Arial"/>
        </w:rPr>
        <w:t xml:space="preserve">s authorised by the LIPD </w:t>
      </w:r>
      <w:r w:rsidR="009111F4">
        <w:rPr>
          <w:rFonts w:cs="Arial"/>
        </w:rPr>
        <w:t>C</w:t>
      </w:r>
      <w:r>
        <w:rPr>
          <w:rFonts w:cs="Arial"/>
        </w:rPr>
        <w:t xml:space="preserve">lass </w:t>
      </w:r>
      <w:r w:rsidR="009111F4">
        <w:rPr>
          <w:rFonts w:cs="Arial"/>
        </w:rPr>
        <w:t>L</w:t>
      </w:r>
      <w:r>
        <w:rPr>
          <w:rFonts w:cs="Arial"/>
        </w:rPr>
        <w:t>icence</w:t>
      </w:r>
      <w:r w:rsidRPr="003674F3">
        <w:rPr>
          <w:rFonts w:cs="Arial"/>
        </w:rPr>
        <w:t xml:space="preserve"> to take measures to resolve that interference. </w:t>
      </w:r>
    </w:p>
    <w:p w14:paraId="661D8E94" w14:textId="3598FE4F" w:rsidR="000666A1" w:rsidRDefault="000666A1" w:rsidP="000666A1">
      <w:pPr>
        <w:rPr>
          <w:rFonts w:cs="Arial"/>
        </w:rPr>
      </w:pPr>
      <w:r w:rsidRPr="003674F3">
        <w:rPr>
          <w:rFonts w:cs="Arial"/>
        </w:rPr>
        <w:t xml:space="preserve">The transmitters authorised by the LIPD </w:t>
      </w:r>
      <w:r w:rsidR="009111F4">
        <w:rPr>
          <w:rFonts w:cs="Arial"/>
        </w:rPr>
        <w:t>C</w:t>
      </w:r>
      <w:r w:rsidRPr="003674F3">
        <w:rPr>
          <w:rFonts w:cs="Arial"/>
        </w:rPr>
        <w:t xml:space="preserve">lass </w:t>
      </w:r>
      <w:r w:rsidR="009111F4">
        <w:rPr>
          <w:rFonts w:cs="Arial"/>
        </w:rPr>
        <w:t>L</w:t>
      </w:r>
      <w:r w:rsidRPr="003674F3">
        <w:rPr>
          <w:rFonts w:cs="Arial"/>
        </w:rPr>
        <w:t>icence do not require individual frequency coordination for interference management purposes.</w:t>
      </w:r>
      <w:r>
        <w:rPr>
          <w:rFonts w:cs="Arial"/>
        </w:rPr>
        <w:t xml:space="preserve"> </w:t>
      </w:r>
      <w:r w:rsidRPr="003674F3">
        <w:rPr>
          <w:rFonts w:cs="Arial"/>
        </w:rPr>
        <w:t>Examples of equipment covered by the</w:t>
      </w:r>
      <w:r>
        <w:rPr>
          <w:rFonts w:cs="Arial"/>
        </w:rPr>
        <w:t xml:space="preserve"> LIPD</w:t>
      </w:r>
      <w:r w:rsidRPr="003674F3">
        <w:rPr>
          <w:rFonts w:cs="Arial"/>
        </w:rPr>
        <w:t xml:space="preserve"> </w:t>
      </w:r>
      <w:r w:rsidR="009111F4">
        <w:rPr>
          <w:rFonts w:cs="Arial"/>
        </w:rPr>
        <w:t>C</w:t>
      </w:r>
      <w:r w:rsidRPr="003674F3">
        <w:rPr>
          <w:rFonts w:cs="Arial"/>
        </w:rPr>
        <w:t xml:space="preserve">lass </w:t>
      </w:r>
      <w:r w:rsidR="009111F4">
        <w:rPr>
          <w:rFonts w:cs="Arial"/>
        </w:rPr>
        <w:t>L</w:t>
      </w:r>
      <w:r w:rsidRPr="003674F3">
        <w:rPr>
          <w:rFonts w:cs="Arial"/>
        </w:rPr>
        <w:t xml:space="preserve">icence include </w:t>
      </w:r>
      <w:r w:rsidR="004D1F0E" w:rsidRPr="004D1F0E">
        <w:rPr>
          <w:rFonts w:cs="Arial"/>
        </w:rPr>
        <w:t xml:space="preserve">wireless microphones, electronic road tolling systems, industrial sensors, </w:t>
      </w:r>
      <w:r w:rsidR="004D1F0E">
        <w:rPr>
          <w:rFonts w:cs="Arial"/>
        </w:rPr>
        <w:t xml:space="preserve">underground transmitters, </w:t>
      </w:r>
      <w:r w:rsidR="004D1F0E" w:rsidRPr="004D1F0E">
        <w:rPr>
          <w:rFonts w:cs="Arial"/>
        </w:rPr>
        <w:t>Wi-Fi and Bluetooth devices</w:t>
      </w:r>
      <w:r w:rsidRPr="003674F3">
        <w:rPr>
          <w:rFonts w:cs="Arial"/>
        </w:rPr>
        <w:t>.</w:t>
      </w:r>
    </w:p>
    <w:p w14:paraId="16F3A327" w14:textId="77777777" w:rsidR="000666A1" w:rsidRPr="003674F3" w:rsidRDefault="00CB52B2" w:rsidP="000666A1">
      <w:pPr>
        <w:rPr>
          <w:rFonts w:cs="Arial"/>
        </w:rPr>
      </w:pPr>
      <w:r>
        <w:rPr>
          <w:rFonts w:cs="Arial"/>
        </w:rPr>
        <w:t>In add</w:t>
      </w:r>
      <w:r w:rsidR="00D8706B">
        <w:rPr>
          <w:rFonts w:cs="Arial"/>
        </w:rPr>
        <w:t>ition to the proposed variation</w:t>
      </w:r>
      <w:r>
        <w:rPr>
          <w:rFonts w:cs="Arial"/>
        </w:rPr>
        <w:t xml:space="preserve"> below, t</w:t>
      </w:r>
      <w:r w:rsidR="000666A1">
        <w:rPr>
          <w:rFonts w:cs="Arial"/>
        </w:rPr>
        <w:t xml:space="preserve">he ACMA invites suggestions from industry and individuals on devices and technologies for possible inclusion in the list of transmitters authorised under the LIPD </w:t>
      </w:r>
      <w:r w:rsidR="009111F4">
        <w:rPr>
          <w:rFonts w:cs="Arial"/>
        </w:rPr>
        <w:t>C</w:t>
      </w:r>
      <w:r w:rsidR="000666A1">
        <w:rPr>
          <w:rFonts w:cs="Arial"/>
        </w:rPr>
        <w:t xml:space="preserve">lass </w:t>
      </w:r>
      <w:r w:rsidR="009111F4">
        <w:rPr>
          <w:rFonts w:cs="Arial"/>
        </w:rPr>
        <w:t>L</w:t>
      </w:r>
      <w:r w:rsidR="000666A1">
        <w:rPr>
          <w:rFonts w:cs="Arial"/>
        </w:rPr>
        <w:t xml:space="preserve">icence for inclusion in future updates. </w:t>
      </w:r>
    </w:p>
    <w:p w14:paraId="1BC6CB6A" w14:textId="77777777" w:rsidR="000666A1" w:rsidRPr="006B12D2" w:rsidRDefault="000666A1" w:rsidP="000666A1">
      <w:pPr>
        <w:pStyle w:val="Heading1"/>
      </w:pPr>
      <w:bookmarkStart w:id="6" w:name="_Toc433891913"/>
      <w:bookmarkStart w:id="7" w:name="_Toc436317133"/>
      <w:bookmarkStart w:id="8" w:name="_Toc499041979"/>
      <w:r w:rsidRPr="006B12D2">
        <w:lastRenderedPageBreak/>
        <w:t>Proposed variation</w:t>
      </w:r>
      <w:bookmarkEnd w:id="6"/>
      <w:bookmarkEnd w:id="7"/>
      <w:bookmarkEnd w:id="8"/>
      <w:r w:rsidRPr="006B12D2">
        <w:t xml:space="preserve"> </w:t>
      </w:r>
    </w:p>
    <w:p w14:paraId="3476567C" w14:textId="77777777" w:rsidR="000666A1" w:rsidRPr="006B12D2" w:rsidRDefault="000666A1" w:rsidP="000666A1">
      <w:pPr>
        <w:pStyle w:val="Heading2"/>
      </w:pPr>
      <w:bookmarkStart w:id="9" w:name="_Toc433891914"/>
      <w:bookmarkStart w:id="10" w:name="_Toc436317134"/>
      <w:bookmarkStart w:id="11" w:name="_Toc499041980"/>
      <w:r w:rsidRPr="006B12D2">
        <w:t>Overview</w:t>
      </w:r>
      <w:bookmarkEnd w:id="9"/>
      <w:bookmarkEnd w:id="10"/>
      <w:bookmarkEnd w:id="11"/>
    </w:p>
    <w:p w14:paraId="3AE096A2" w14:textId="77777777" w:rsidR="000666A1" w:rsidRPr="006B12D2" w:rsidRDefault="000666A1" w:rsidP="00B42206">
      <w:pPr>
        <w:spacing w:after="80"/>
        <w:rPr>
          <w:rFonts w:cs="Arial"/>
        </w:rPr>
      </w:pPr>
      <w:r w:rsidRPr="006B12D2">
        <w:rPr>
          <w:rFonts w:cs="Arial"/>
        </w:rPr>
        <w:t>In summary</w:t>
      </w:r>
      <w:r w:rsidR="004B0C05">
        <w:rPr>
          <w:rFonts w:cs="Arial"/>
        </w:rPr>
        <w:t>,</w:t>
      </w:r>
      <w:r w:rsidRPr="006B12D2">
        <w:rPr>
          <w:rFonts w:cs="Arial"/>
        </w:rPr>
        <w:t xml:space="preserve"> the proposed variation to the LIPD </w:t>
      </w:r>
      <w:r w:rsidR="009111F4">
        <w:rPr>
          <w:rFonts w:cs="Arial"/>
        </w:rPr>
        <w:t>C</w:t>
      </w:r>
      <w:r w:rsidRPr="006B12D2">
        <w:rPr>
          <w:rFonts w:cs="Arial"/>
        </w:rPr>
        <w:t xml:space="preserve">lass </w:t>
      </w:r>
      <w:r w:rsidR="009111F4">
        <w:rPr>
          <w:rFonts w:cs="Arial"/>
        </w:rPr>
        <w:t>L</w:t>
      </w:r>
      <w:r w:rsidRPr="006B12D2">
        <w:rPr>
          <w:rFonts w:cs="Arial"/>
        </w:rPr>
        <w:t xml:space="preserve">icence </w:t>
      </w:r>
      <w:r w:rsidR="007641BA">
        <w:rPr>
          <w:rFonts w:cs="Arial"/>
        </w:rPr>
        <w:t>consist</w:t>
      </w:r>
      <w:r w:rsidR="00787435">
        <w:rPr>
          <w:rFonts w:cs="Arial"/>
        </w:rPr>
        <w:t>s</w:t>
      </w:r>
      <w:r w:rsidR="007641BA">
        <w:rPr>
          <w:rFonts w:cs="Arial"/>
        </w:rPr>
        <w:t xml:space="preserve"> of</w:t>
      </w:r>
      <w:r w:rsidRPr="006B12D2">
        <w:rPr>
          <w:rFonts w:cs="Arial"/>
        </w:rPr>
        <w:t>:</w:t>
      </w:r>
    </w:p>
    <w:p w14:paraId="54FF988C" w14:textId="625ACA97" w:rsidR="000666A1" w:rsidRPr="006B12D2" w:rsidRDefault="00405699" w:rsidP="000666A1">
      <w:pPr>
        <w:pStyle w:val="ListBullet"/>
        <w:spacing w:after="90"/>
        <w:ind w:left="300" w:hanging="300"/>
        <w:rPr>
          <w:rFonts w:cs="Arial"/>
        </w:rPr>
      </w:pPr>
      <w:r>
        <w:rPr>
          <w:rFonts w:cs="Arial"/>
        </w:rPr>
        <w:t>adding</w:t>
      </w:r>
      <w:r w:rsidR="000666A1" w:rsidRPr="006B12D2">
        <w:rPr>
          <w:rFonts w:cs="Arial"/>
        </w:rPr>
        <w:t xml:space="preserve"> </w:t>
      </w:r>
      <w:r w:rsidR="004D1F0E">
        <w:rPr>
          <w:rFonts w:cs="Arial"/>
        </w:rPr>
        <w:t>the</w:t>
      </w:r>
      <w:r w:rsidR="008F63BD" w:rsidRPr="006B12D2">
        <w:rPr>
          <w:rFonts w:cs="Arial"/>
        </w:rPr>
        <w:t xml:space="preserve"> </w:t>
      </w:r>
      <w:r w:rsidR="000666A1" w:rsidRPr="006B12D2">
        <w:rPr>
          <w:rFonts w:cs="Arial"/>
        </w:rPr>
        <w:t xml:space="preserve">frequency </w:t>
      </w:r>
      <w:r w:rsidR="004D1F0E">
        <w:rPr>
          <w:rFonts w:cs="Arial"/>
        </w:rPr>
        <w:t>range</w:t>
      </w:r>
      <w:r w:rsidR="000666A1" w:rsidRPr="006B12D2">
        <w:rPr>
          <w:rFonts w:cs="Arial"/>
        </w:rPr>
        <w:t xml:space="preserve"> </w:t>
      </w:r>
      <w:r w:rsidR="00663C26">
        <w:rPr>
          <w:rFonts w:cs="Arial"/>
        </w:rPr>
        <w:t>122</w:t>
      </w:r>
      <w:r>
        <w:rPr>
          <w:rFonts w:cs="Arial"/>
        </w:rPr>
        <w:t>–</w:t>
      </w:r>
      <w:r w:rsidR="000666A1" w:rsidRPr="006B12D2">
        <w:rPr>
          <w:rFonts w:cs="Arial"/>
        </w:rPr>
        <w:t>122.25</w:t>
      </w:r>
      <w:r>
        <w:rPr>
          <w:rFonts w:cs="Arial"/>
        </w:rPr>
        <w:t> </w:t>
      </w:r>
      <w:r w:rsidR="000666A1" w:rsidRPr="006B12D2">
        <w:rPr>
          <w:rFonts w:cs="Arial"/>
        </w:rPr>
        <w:t>GHz to arrangements for all transmitters</w:t>
      </w:r>
      <w:r w:rsidR="00840BBC">
        <w:rPr>
          <w:rFonts w:cs="Arial"/>
        </w:rPr>
        <w:t>,</w:t>
      </w:r>
      <w:r w:rsidR="000666A1" w:rsidRPr="006B12D2">
        <w:rPr>
          <w:rFonts w:cs="Arial"/>
        </w:rPr>
        <w:t xml:space="preserve"> align</w:t>
      </w:r>
      <w:r w:rsidR="00CB52B2">
        <w:rPr>
          <w:rFonts w:cs="Arial"/>
        </w:rPr>
        <w:t>ing</w:t>
      </w:r>
      <w:r w:rsidR="000666A1" w:rsidRPr="006B12D2">
        <w:rPr>
          <w:rFonts w:cs="Arial"/>
        </w:rPr>
        <w:t xml:space="preserve"> with European arrangements</w:t>
      </w:r>
    </w:p>
    <w:p w14:paraId="6C8C0893" w14:textId="501AFEC9" w:rsidR="00BD51A1" w:rsidRPr="00BD51A1" w:rsidRDefault="004D1F0E" w:rsidP="00BD51A1">
      <w:pPr>
        <w:pStyle w:val="ListBullet"/>
        <w:spacing w:after="90"/>
        <w:ind w:left="300" w:hanging="300"/>
        <w:rPr>
          <w:rFonts w:cs="Arial"/>
        </w:rPr>
      </w:pPr>
      <w:r w:rsidRPr="004D1F0E">
        <w:rPr>
          <w:rFonts w:cs="Arial"/>
        </w:rPr>
        <w:t>support</w:t>
      </w:r>
      <w:r>
        <w:rPr>
          <w:rFonts w:cs="Arial"/>
        </w:rPr>
        <w:t>ing</w:t>
      </w:r>
      <w:r w:rsidRPr="004D1F0E">
        <w:rPr>
          <w:rFonts w:cs="Arial"/>
        </w:rPr>
        <w:t xml:space="preserve"> the operation of endoscopy capsules in the frequency range </w:t>
      </w:r>
      <w:r w:rsidR="00405699">
        <w:rPr>
          <w:rFonts w:cs="Arial"/>
        </w:rPr>
        <w:br/>
      </w:r>
      <w:r w:rsidRPr="004D1F0E">
        <w:rPr>
          <w:rFonts w:cs="Arial"/>
        </w:rPr>
        <w:t>430</w:t>
      </w:r>
      <w:r w:rsidR="00405699">
        <w:rPr>
          <w:rFonts w:cs="Arial"/>
        </w:rPr>
        <w:t>–</w:t>
      </w:r>
      <w:r w:rsidRPr="004D1F0E">
        <w:rPr>
          <w:rFonts w:cs="Arial"/>
        </w:rPr>
        <w:t xml:space="preserve">440 MHz </w:t>
      </w:r>
    </w:p>
    <w:p w14:paraId="5331E7D0" w14:textId="3C2CE2E9" w:rsidR="000666A1" w:rsidRPr="006B12D2" w:rsidRDefault="004D1F0E" w:rsidP="000666A1">
      <w:pPr>
        <w:pStyle w:val="ListBullet"/>
        <w:spacing w:after="90"/>
        <w:ind w:left="300" w:hanging="300"/>
        <w:rPr>
          <w:rFonts w:cs="Arial"/>
        </w:rPr>
      </w:pPr>
      <w:r>
        <w:rPr>
          <w:rFonts w:cs="Arial"/>
        </w:rPr>
        <w:t xml:space="preserve">supporting </w:t>
      </w:r>
      <w:r w:rsidRPr="004D1F0E">
        <w:rPr>
          <w:rFonts w:cs="Arial"/>
        </w:rPr>
        <w:t xml:space="preserve">wireless medical telemetry devices </w:t>
      </w:r>
      <w:r>
        <w:rPr>
          <w:rFonts w:cs="Arial"/>
        </w:rPr>
        <w:t xml:space="preserve">operating in the </w:t>
      </w:r>
      <w:r w:rsidR="000666A1" w:rsidRPr="006B12D2">
        <w:rPr>
          <w:rFonts w:cs="Arial"/>
        </w:rPr>
        <w:t xml:space="preserve">frequency </w:t>
      </w:r>
      <w:r>
        <w:rPr>
          <w:rFonts w:cs="Arial"/>
        </w:rPr>
        <w:t xml:space="preserve">range </w:t>
      </w:r>
      <w:r w:rsidR="007E7BA7">
        <w:rPr>
          <w:rFonts w:cs="Arial"/>
        </w:rPr>
        <w:t>2483.5</w:t>
      </w:r>
      <w:r w:rsidR="00405699">
        <w:rPr>
          <w:rFonts w:cs="Arial"/>
        </w:rPr>
        <w:t>–</w:t>
      </w:r>
      <w:r w:rsidR="007E7BA7">
        <w:rPr>
          <w:rFonts w:cs="Arial"/>
        </w:rPr>
        <w:t>2500</w:t>
      </w:r>
      <w:r w:rsidR="00405699">
        <w:rPr>
          <w:rFonts w:cs="Arial"/>
        </w:rPr>
        <w:t> </w:t>
      </w:r>
      <w:r w:rsidR="007E7BA7">
        <w:rPr>
          <w:rFonts w:cs="Arial"/>
        </w:rPr>
        <w:t>MHz</w:t>
      </w:r>
    </w:p>
    <w:p w14:paraId="3C96EC81" w14:textId="2109E860" w:rsidR="00663C26" w:rsidRPr="006B12D2" w:rsidRDefault="004D1F0E" w:rsidP="003102F4">
      <w:pPr>
        <w:pStyle w:val="ListBulletLast"/>
      </w:pPr>
      <w:r>
        <w:t xml:space="preserve">revising </w:t>
      </w:r>
      <w:r w:rsidRPr="004D1F0E">
        <w:t>technical limitations on existing arrangements for data communication transmitters operating in the 57</w:t>
      </w:r>
      <w:r w:rsidR="00405699">
        <w:t>–</w:t>
      </w:r>
      <w:r w:rsidRPr="004D1F0E">
        <w:t xml:space="preserve">66 GHz band </w:t>
      </w:r>
      <w:r>
        <w:t xml:space="preserve">to align with </w:t>
      </w:r>
      <w:r w:rsidRPr="004D1F0E">
        <w:t>changes by the United States F</w:t>
      </w:r>
      <w:r>
        <w:t>ederal Communication</w:t>
      </w:r>
      <w:r w:rsidR="00AB5551">
        <w:t>s</w:t>
      </w:r>
      <w:r>
        <w:t xml:space="preserve"> Commission</w:t>
      </w:r>
      <w:r w:rsidR="00F2428D">
        <w:t xml:space="preserve"> (FCC)</w:t>
      </w:r>
      <w:r w:rsidR="00DF36CB">
        <w:t>.</w:t>
      </w:r>
    </w:p>
    <w:p w14:paraId="04FBF7D2" w14:textId="14247BA7" w:rsidR="000666A1" w:rsidRPr="006B12D2" w:rsidRDefault="000666A1" w:rsidP="000666A1">
      <w:pPr>
        <w:pStyle w:val="Heading2"/>
      </w:pPr>
      <w:bookmarkStart w:id="12" w:name="_Toc433891915"/>
      <w:bookmarkStart w:id="13" w:name="_Toc436317136"/>
      <w:bookmarkStart w:id="14" w:name="_Toc499041981"/>
      <w:bookmarkStart w:id="15" w:name="_Toc337627529"/>
      <w:r w:rsidRPr="006B12D2">
        <w:t>All transmitters</w:t>
      </w:r>
      <w:bookmarkEnd w:id="12"/>
      <w:r w:rsidRPr="006B12D2">
        <w:t xml:space="preserve"> (</w:t>
      </w:r>
      <w:r w:rsidR="00F41CE4">
        <w:t>122</w:t>
      </w:r>
      <w:r w:rsidR="00405699">
        <w:t>–</w:t>
      </w:r>
      <w:r w:rsidRPr="006B12D2">
        <w:t>122.25</w:t>
      </w:r>
      <w:r w:rsidR="00F41CE4">
        <w:t xml:space="preserve"> </w:t>
      </w:r>
      <w:r w:rsidRPr="006B12D2">
        <w:t>GHz)</w:t>
      </w:r>
      <w:bookmarkEnd w:id="13"/>
      <w:bookmarkEnd w:id="14"/>
      <w:r w:rsidRPr="006B12D2">
        <w:t xml:space="preserve"> </w:t>
      </w:r>
    </w:p>
    <w:p w14:paraId="515ED66E" w14:textId="56A861CD" w:rsidR="000666A1" w:rsidRPr="006B12D2" w:rsidRDefault="00DF36CB" w:rsidP="000666A1">
      <w:pPr>
        <w:pStyle w:val="Heading3"/>
      </w:pPr>
      <w:bookmarkStart w:id="16" w:name="_Toc499041982"/>
      <w:bookmarkStart w:id="17" w:name="_Toc433891916"/>
      <w:r>
        <w:t>New</w:t>
      </w:r>
      <w:r w:rsidR="000666A1" w:rsidRPr="006B12D2">
        <w:t xml:space="preserve"> item 23</w:t>
      </w:r>
      <w:r>
        <w:t>A</w:t>
      </w:r>
      <w:r w:rsidR="000666A1" w:rsidRPr="006B12D2">
        <w:t xml:space="preserve"> of Schedule 1 to the LIPD </w:t>
      </w:r>
      <w:r w:rsidR="009111F4">
        <w:t>C</w:t>
      </w:r>
      <w:r w:rsidR="000666A1" w:rsidRPr="006B12D2">
        <w:t xml:space="preserve">lass </w:t>
      </w:r>
      <w:r w:rsidR="009111F4">
        <w:t>L</w:t>
      </w:r>
      <w:r w:rsidR="000666A1" w:rsidRPr="006B12D2">
        <w:t>icence</w:t>
      </w:r>
      <w:bookmarkEnd w:id="16"/>
      <w:bookmarkEnd w:id="17"/>
    </w:p>
    <w:p w14:paraId="3E551B12" w14:textId="47AD96BE" w:rsidR="000666A1" w:rsidRPr="006B12D2" w:rsidRDefault="00840BBC" w:rsidP="004D1F0E">
      <w:pPr>
        <w:rPr>
          <w:rFonts w:cs="Arial"/>
        </w:rPr>
      </w:pPr>
      <w:r w:rsidRPr="003C7DFF">
        <w:rPr>
          <w:rFonts w:cs="Arial"/>
        </w:rPr>
        <w:t>‘All transmitters’ refers to LIPD authorisation</w:t>
      </w:r>
      <w:r w:rsidR="00A100FE" w:rsidRPr="003C7DFF">
        <w:rPr>
          <w:rFonts w:cs="Arial"/>
        </w:rPr>
        <w:t>s</w:t>
      </w:r>
      <w:r w:rsidRPr="003C7DFF">
        <w:rPr>
          <w:rFonts w:cs="Arial"/>
        </w:rPr>
        <w:t xml:space="preserve"> where there is no restriction on the types of applications to be provided. In these cases, the LIPD simply authorises any </w:t>
      </w:r>
      <w:r w:rsidR="00A100FE" w:rsidRPr="003C7DFF">
        <w:rPr>
          <w:rFonts w:cs="Arial"/>
        </w:rPr>
        <w:t>transmitter</w:t>
      </w:r>
      <w:r w:rsidRPr="003C7DFF">
        <w:rPr>
          <w:rFonts w:cs="Arial"/>
        </w:rPr>
        <w:t xml:space="preserve"> operating within a certain technical ‘envelope’. </w:t>
      </w:r>
      <w:r w:rsidR="000666A1" w:rsidRPr="006B12D2">
        <w:rPr>
          <w:rFonts w:cs="Arial"/>
        </w:rPr>
        <w:t>The ACMA is proposing to</w:t>
      </w:r>
      <w:r w:rsidR="00405699">
        <w:rPr>
          <w:rFonts w:cs="Arial"/>
        </w:rPr>
        <w:t> </w:t>
      </w:r>
      <w:r w:rsidR="000666A1" w:rsidRPr="006B12D2">
        <w:rPr>
          <w:rFonts w:cs="Arial"/>
        </w:rPr>
        <w:t>add new arrangement</w:t>
      </w:r>
      <w:r>
        <w:rPr>
          <w:rFonts w:cs="Arial"/>
        </w:rPr>
        <w:t>s</w:t>
      </w:r>
      <w:r w:rsidR="000666A1" w:rsidRPr="006B12D2">
        <w:rPr>
          <w:rFonts w:cs="Arial"/>
        </w:rPr>
        <w:t xml:space="preserve"> </w:t>
      </w:r>
      <w:r>
        <w:rPr>
          <w:rFonts w:cs="Arial"/>
        </w:rPr>
        <w:t>authorising</w:t>
      </w:r>
      <w:r w:rsidR="000666A1" w:rsidRPr="006B12D2">
        <w:rPr>
          <w:rFonts w:cs="Arial"/>
        </w:rPr>
        <w:t xml:space="preserve"> </w:t>
      </w:r>
      <w:r>
        <w:rPr>
          <w:rFonts w:cs="Arial"/>
        </w:rPr>
        <w:t>‘</w:t>
      </w:r>
      <w:r w:rsidR="004D1F0E">
        <w:rPr>
          <w:rFonts w:cs="Arial"/>
        </w:rPr>
        <w:t>all transmitters</w:t>
      </w:r>
      <w:r>
        <w:rPr>
          <w:rFonts w:cs="Arial"/>
        </w:rPr>
        <w:t>’</w:t>
      </w:r>
      <w:r w:rsidR="004D1F0E">
        <w:rPr>
          <w:rFonts w:cs="Arial"/>
        </w:rPr>
        <w:t xml:space="preserve"> in the frequency range </w:t>
      </w:r>
      <w:r w:rsidR="00405699">
        <w:rPr>
          <w:rFonts w:cs="Arial"/>
        </w:rPr>
        <w:br/>
      </w:r>
      <w:r w:rsidR="00DF36CB">
        <w:rPr>
          <w:rFonts w:cs="Arial"/>
        </w:rPr>
        <w:t>122</w:t>
      </w:r>
      <w:r w:rsidR="00405699">
        <w:rPr>
          <w:rFonts w:cs="Arial"/>
        </w:rPr>
        <w:t>–</w:t>
      </w:r>
      <w:r w:rsidR="000666A1" w:rsidRPr="006B12D2">
        <w:rPr>
          <w:rFonts w:cs="Arial"/>
        </w:rPr>
        <w:t>122.25</w:t>
      </w:r>
      <w:r w:rsidR="00405699">
        <w:rPr>
          <w:rFonts w:cs="Arial"/>
        </w:rPr>
        <w:t> </w:t>
      </w:r>
      <w:r w:rsidR="00D21F4A">
        <w:rPr>
          <w:rFonts w:cs="Arial"/>
        </w:rPr>
        <w:t>GHz</w:t>
      </w:r>
      <w:r>
        <w:rPr>
          <w:rFonts w:cs="Arial"/>
        </w:rPr>
        <w:t xml:space="preserve">. </w:t>
      </w:r>
      <w:r w:rsidR="00A100FE">
        <w:rPr>
          <w:rFonts w:cs="Arial"/>
        </w:rPr>
        <w:t>While no application is specified, i</w:t>
      </w:r>
      <w:r>
        <w:rPr>
          <w:rFonts w:cs="Arial"/>
        </w:rPr>
        <w:t>nitially th</w:t>
      </w:r>
      <w:r w:rsidR="00A100FE">
        <w:rPr>
          <w:rFonts w:cs="Arial"/>
        </w:rPr>
        <w:t xml:space="preserve">e measure is intended to </w:t>
      </w:r>
      <w:r w:rsidR="000666A1" w:rsidRPr="006B12D2">
        <w:rPr>
          <w:rFonts w:cs="Arial"/>
        </w:rPr>
        <w:t xml:space="preserve">support </w:t>
      </w:r>
      <w:r w:rsidR="004D1F0E">
        <w:rPr>
          <w:rFonts w:cs="Arial"/>
        </w:rPr>
        <w:t>industrial sensors.</w:t>
      </w:r>
    </w:p>
    <w:p w14:paraId="61FC4499" w14:textId="7F614B30" w:rsidR="00B04F98" w:rsidRDefault="00B04F98" w:rsidP="00B04F98">
      <w:pPr>
        <w:pStyle w:val="ListBullet"/>
        <w:numPr>
          <w:ilvl w:val="0"/>
          <w:numId w:val="0"/>
        </w:numPr>
        <w:rPr>
          <w:rFonts w:cs="Arial"/>
        </w:rPr>
      </w:pPr>
      <w:r>
        <w:rPr>
          <w:rFonts w:cs="Arial"/>
        </w:rPr>
        <w:t>The p</w:t>
      </w:r>
      <w:r w:rsidR="00112D4B">
        <w:rPr>
          <w:rFonts w:cs="Arial"/>
        </w:rPr>
        <w:t>ropose</w:t>
      </w:r>
      <w:r w:rsidR="00CE5B28">
        <w:rPr>
          <w:rFonts w:cs="Arial"/>
        </w:rPr>
        <w:t>d</w:t>
      </w:r>
      <w:r w:rsidR="00112D4B">
        <w:rPr>
          <w:rFonts w:cs="Arial"/>
        </w:rPr>
        <w:t xml:space="preserve"> </w:t>
      </w:r>
      <w:r w:rsidR="000666A1" w:rsidRPr="006B12D2">
        <w:rPr>
          <w:rFonts w:cs="Arial"/>
        </w:rPr>
        <w:t>frequency band</w:t>
      </w:r>
      <w:r w:rsidR="00D21F4A" w:rsidRPr="006B12D2">
        <w:rPr>
          <w:rFonts w:cs="Arial"/>
        </w:rPr>
        <w:t>, 122</w:t>
      </w:r>
      <w:r w:rsidR="00405699">
        <w:rPr>
          <w:rFonts w:cs="Arial"/>
        </w:rPr>
        <w:t>–</w:t>
      </w:r>
      <w:r w:rsidR="00DF36CB">
        <w:rPr>
          <w:rFonts w:cs="Arial"/>
        </w:rPr>
        <w:t>122</w:t>
      </w:r>
      <w:r w:rsidR="00535DA9">
        <w:rPr>
          <w:rFonts w:cs="Arial"/>
        </w:rPr>
        <w:t>.</w:t>
      </w:r>
      <w:r w:rsidR="000666A1" w:rsidRPr="006B12D2">
        <w:rPr>
          <w:rFonts w:cs="Arial"/>
        </w:rPr>
        <w:t>25</w:t>
      </w:r>
      <w:r w:rsidR="00405699">
        <w:rPr>
          <w:rFonts w:cs="Arial"/>
        </w:rPr>
        <w:t> </w:t>
      </w:r>
      <w:r w:rsidR="00535DA9">
        <w:rPr>
          <w:rFonts w:cs="Arial"/>
        </w:rPr>
        <w:t>G</w:t>
      </w:r>
      <w:r w:rsidR="00DF36CB">
        <w:rPr>
          <w:rFonts w:cs="Arial"/>
        </w:rPr>
        <w:t>Hz</w:t>
      </w:r>
      <w:r w:rsidR="000666A1" w:rsidRPr="006B12D2">
        <w:rPr>
          <w:rFonts w:cs="Arial"/>
        </w:rPr>
        <w:t xml:space="preserve">, </w:t>
      </w:r>
      <w:r w:rsidR="00D21F4A">
        <w:rPr>
          <w:rFonts w:cs="Arial"/>
        </w:rPr>
        <w:t>is</w:t>
      </w:r>
      <w:r w:rsidR="000666A1" w:rsidRPr="006B12D2">
        <w:rPr>
          <w:rFonts w:cs="Arial"/>
        </w:rPr>
        <w:t xml:space="preserve"> to be added </w:t>
      </w:r>
      <w:r w:rsidR="00535DA9">
        <w:rPr>
          <w:rFonts w:cs="Arial"/>
        </w:rPr>
        <w:t>for use by</w:t>
      </w:r>
      <w:r w:rsidR="00CE5B28">
        <w:rPr>
          <w:rFonts w:cs="Arial"/>
        </w:rPr>
        <w:t xml:space="preserve"> </w:t>
      </w:r>
      <w:r w:rsidR="00F51ECA">
        <w:rPr>
          <w:rFonts w:cs="Arial"/>
        </w:rPr>
        <w:t>t</w:t>
      </w:r>
      <w:r w:rsidR="00CE5B28">
        <w:rPr>
          <w:rFonts w:cs="Arial"/>
        </w:rPr>
        <w:t xml:space="preserve">ransmitters for non-specific applications, </w:t>
      </w:r>
      <w:r w:rsidR="006F2381">
        <w:rPr>
          <w:rFonts w:cs="Arial"/>
        </w:rPr>
        <w:t xml:space="preserve">after </w:t>
      </w:r>
      <w:r w:rsidR="000666A1" w:rsidRPr="006B12D2">
        <w:rPr>
          <w:rFonts w:cs="Arial"/>
        </w:rPr>
        <w:t>item 23 of Schedule 1</w:t>
      </w:r>
      <w:r>
        <w:rPr>
          <w:rFonts w:cs="Arial"/>
        </w:rPr>
        <w:t xml:space="preserve">. </w:t>
      </w:r>
      <w:r w:rsidRPr="007A4DE5">
        <w:rPr>
          <w:rFonts w:cs="Arial"/>
        </w:rPr>
        <w:t xml:space="preserve">Operation of </w:t>
      </w:r>
      <w:r>
        <w:rPr>
          <w:rFonts w:cs="Arial"/>
        </w:rPr>
        <w:t>all transmitters</w:t>
      </w:r>
      <w:r w:rsidRPr="007A4DE5">
        <w:rPr>
          <w:rFonts w:cs="Arial"/>
        </w:rPr>
        <w:t xml:space="preserve"> in </w:t>
      </w:r>
      <w:r>
        <w:rPr>
          <w:rFonts w:cs="Arial"/>
        </w:rPr>
        <w:t xml:space="preserve">the </w:t>
      </w:r>
      <w:r w:rsidRPr="006B12D2">
        <w:rPr>
          <w:rFonts w:cs="Arial"/>
        </w:rPr>
        <w:t>122</w:t>
      </w:r>
      <w:r w:rsidR="00405699">
        <w:rPr>
          <w:rFonts w:cs="Arial"/>
        </w:rPr>
        <w:t>–</w:t>
      </w:r>
      <w:r>
        <w:rPr>
          <w:rFonts w:cs="Arial"/>
        </w:rPr>
        <w:t>122</w:t>
      </w:r>
      <w:r w:rsidR="00535DA9">
        <w:rPr>
          <w:rFonts w:cs="Arial"/>
        </w:rPr>
        <w:t>.</w:t>
      </w:r>
      <w:r w:rsidRPr="006B12D2">
        <w:rPr>
          <w:rFonts w:cs="Arial"/>
        </w:rPr>
        <w:t>25</w:t>
      </w:r>
      <w:r w:rsidR="00405699">
        <w:rPr>
          <w:rFonts w:cs="Arial"/>
        </w:rPr>
        <w:t> </w:t>
      </w:r>
      <w:r w:rsidR="00535DA9">
        <w:rPr>
          <w:rFonts w:cs="Arial"/>
        </w:rPr>
        <w:t>G</w:t>
      </w:r>
      <w:r>
        <w:rPr>
          <w:rFonts w:cs="Arial"/>
        </w:rPr>
        <w:t>Hz</w:t>
      </w:r>
      <w:r w:rsidRPr="007A4DE5">
        <w:rPr>
          <w:rFonts w:cs="Arial"/>
        </w:rPr>
        <w:t xml:space="preserve"> band</w:t>
      </w:r>
      <w:r>
        <w:rPr>
          <w:rFonts w:cs="Arial"/>
        </w:rPr>
        <w:t xml:space="preserve"> would be </w:t>
      </w:r>
      <w:r w:rsidR="00A100FE">
        <w:rPr>
          <w:rFonts w:cs="Arial"/>
        </w:rPr>
        <w:t>allowed</w:t>
      </w:r>
      <w:r w:rsidR="00405699">
        <w:rPr>
          <w:rFonts w:cs="Arial"/>
        </w:rPr>
        <w:t>,</w:t>
      </w:r>
      <w:r w:rsidR="00A100FE">
        <w:rPr>
          <w:rFonts w:cs="Arial"/>
        </w:rPr>
        <w:t xml:space="preserve"> </w:t>
      </w:r>
      <w:r>
        <w:rPr>
          <w:rFonts w:cs="Arial"/>
        </w:rPr>
        <w:t xml:space="preserve">subject to the limitations </w:t>
      </w:r>
      <w:r w:rsidRPr="007A4DE5">
        <w:rPr>
          <w:rFonts w:cs="Arial"/>
        </w:rPr>
        <w:t xml:space="preserve">set out in column 4 of item </w:t>
      </w:r>
      <w:r>
        <w:rPr>
          <w:rFonts w:cs="Arial"/>
        </w:rPr>
        <w:t>23A</w:t>
      </w:r>
      <w:r w:rsidR="00405699">
        <w:rPr>
          <w:rFonts w:cs="Arial"/>
        </w:rPr>
        <w:t>, which are</w:t>
      </w:r>
      <w:r w:rsidR="00F27D42">
        <w:rPr>
          <w:rFonts w:cs="Arial"/>
        </w:rPr>
        <w:t>:</w:t>
      </w:r>
    </w:p>
    <w:p w14:paraId="25E0913A" w14:textId="7190AEB7" w:rsidR="00B04F98" w:rsidRDefault="00535DA9" w:rsidP="003102F4">
      <w:pPr>
        <w:pStyle w:val="ListBullet"/>
      </w:pPr>
      <w:r>
        <w:t>t</w:t>
      </w:r>
      <w:r w:rsidR="00B04F98">
        <w:t>he maximum radiated power spectral density must not exceed 10</w:t>
      </w:r>
      <w:r w:rsidR="00405699">
        <w:t> </w:t>
      </w:r>
      <w:r w:rsidR="00B04F98">
        <w:t>dBm per 250</w:t>
      </w:r>
      <w:r w:rsidR="00405699">
        <w:t> </w:t>
      </w:r>
      <w:r w:rsidR="00B04F98">
        <w:t>MHz</w:t>
      </w:r>
    </w:p>
    <w:p w14:paraId="33302A46" w14:textId="53674F7E" w:rsidR="00B04F98" w:rsidRDefault="00535DA9" w:rsidP="003102F4">
      <w:pPr>
        <w:pStyle w:val="ListBulletLast"/>
      </w:pPr>
      <w:r>
        <w:t>t</w:t>
      </w:r>
      <w:r w:rsidR="00B04F98" w:rsidRPr="00B04F98">
        <w:t xml:space="preserve">he maximum radiated power spectral density must not exceed </w:t>
      </w:r>
      <w:r w:rsidR="00405699">
        <w:t>–</w:t>
      </w:r>
      <w:r w:rsidR="00B04F98" w:rsidRPr="00B04F98">
        <w:t>48</w:t>
      </w:r>
      <w:r w:rsidR="00405699">
        <w:t> </w:t>
      </w:r>
      <w:r w:rsidR="00B04F98" w:rsidRPr="00B04F98">
        <w:t>dBm per 1</w:t>
      </w:r>
      <w:r w:rsidR="00405699">
        <w:t> </w:t>
      </w:r>
      <w:r w:rsidR="00B04F98" w:rsidRPr="00B04F98">
        <w:t>MHz for elevation above 30</w:t>
      </w:r>
      <w:r w:rsidR="00B04F98">
        <w:sym w:font="Symbol" w:char="F0B0"/>
      </w:r>
      <w:r w:rsidR="00F27D42">
        <w:t>.</w:t>
      </w:r>
    </w:p>
    <w:p w14:paraId="59D28EDA" w14:textId="3D61791A" w:rsidR="000666A1" w:rsidRPr="006B12D2" w:rsidRDefault="00F51ECA" w:rsidP="000666A1">
      <w:pPr>
        <w:rPr>
          <w:rFonts w:cs="Arial"/>
        </w:rPr>
      </w:pPr>
      <w:r>
        <w:rPr>
          <w:rFonts w:cs="Arial"/>
        </w:rPr>
        <w:t>The elevation restriction</w:t>
      </w:r>
      <w:r w:rsidR="00B04F98">
        <w:rPr>
          <w:rFonts w:cs="Arial"/>
        </w:rPr>
        <w:t xml:space="preserve"> </w:t>
      </w:r>
      <w:r w:rsidR="00AB5551">
        <w:rPr>
          <w:rFonts w:cs="Arial"/>
        </w:rPr>
        <w:t xml:space="preserve">in </w:t>
      </w:r>
      <w:r w:rsidR="00B04F98">
        <w:rPr>
          <w:rFonts w:cs="Arial"/>
        </w:rPr>
        <w:t>(b)</w:t>
      </w:r>
      <w:r>
        <w:rPr>
          <w:rFonts w:cs="Arial"/>
        </w:rPr>
        <w:t xml:space="preserve"> is </w:t>
      </w:r>
      <w:r w:rsidR="001802DF">
        <w:rPr>
          <w:rFonts w:cs="Arial"/>
        </w:rPr>
        <w:t xml:space="preserve">specified to </w:t>
      </w:r>
      <w:r w:rsidR="000666A1" w:rsidRPr="006B12D2">
        <w:rPr>
          <w:rFonts w:cs="Arial"/>
        </w:rPr>
        <w:t xml:space="preserve">minimise the interference risk to </w:t>
      </w:r>
      <w:r w:rsidR="00535DA9">
        <w:rPr>
          <w:rFonts w:cs="Arial"/>
        </w:rPr>
        <w:t>the E</w:t>
      </w:r>
      <w:r w:rsidR="001802DF">
        <w:rPr>
          <w:rFonts w:cs="Arial"/>
        </w:rPr>
        <w:t>arth exploration satellite service (EESS) operating in</w:t>
      </w:r>
      <w:r w:rsidR="00535DA9">
        <w:rPr>
          <w:rFonts w:cs="Arial"/>
        </w:rPr>
        <w:t xml:space="preserve"> the</w:t>
      </w:r>
      <w:r w:rsidR="001802DF">
        <w:rPr>
          <w:rFonts w:cs="Arial"/>
        </w:rPr>
        <w:t xml:space="preserve"> 114.25</w:t>
      </w:r>
      <w:r w:rsidR="00405699">
        <w:rPr>
          <w:rFonts w:cs="Arial"/>
        </w:rPr>
        <w:t>–</w:t>
      </w:r>
      <w:r w:rsidR="001802DF">
        <w:rPr>
          <w:rFonts w:cs="Arial"/>
        </w:rPr>
        <w:t xml:space="preserve">122.25 </w:t>
      </w:r>
      <w:r w:rsidR="00304DE5">
        <w:rPr>
          <w:rFonts w:cs="Arial"/>
        </w:rPr>
        <w:t>G</w:t>
      </w:r>
      <w:r w:rsidR="001802DF">
        <w:rPr>
          <w:rFonts w:cs="Arial"/>
        </w:rPr>
        <w:t xml:space="preserve">Hz band. </w:t>
      </w:r>
    </w:p>
    <w:p w14:paraId="7DBF2FB6" w14:textId="616D3F54" w:rsidR="000666A1" w:rsidRDefault="000666A1" w:rsidP="000666A1">
      <w:r w:rsidRPr="006B12D2">
        <w:rPr>
          <w:rFonts w:cs="Arial"/>
        </w:rPr>
        <w:t>The</w:t>
      </w:r>
      <w:r w:rsidR="00535DA9">
        <w:rPr>
          <w:rFonts w:cs="Arial"/>
        </w:rPr>
        <w:t xml:space="preserve">se proposals </w:t>
      </w:r>
      <w:r w:rsidRPr="006B12D2">
        <w:rPr>
          <w:rFonts w:cs="Arial"/>
        </w:rPr>
        <w:t xml:space="preserve">are based on </w:t>
      </w:r>
      <w:r w:rsidRPr="008D549B">
        <w:rPr>
          <w:rFonts w:cs="Arial"/>
        </w:rPr>
        <w:t xml:space="preserve">arrangements in </w:t>
      </w:r>
      <w:r w:rsidR="00B00919">
        <w:rPr>
          <w:rFonts w:cs="Arial"/>
        </w:rPr>
        <w:t xml:space="preserve">the </w:t>
      </w:r>
      <w:r w:rsidRPr="008D549B">
        <w:rPr>
          <w:rFonts w:cs="Arial"/>
        </w:rPr>
        <w:t xml:space="preserve">European Conference of Postal and Telecommunications Administrations </w:t>
      </w:r>
      <w:r w:rsidR="001802DF">
        <w:rPr>
          <w:rFonts w:cs="Arial"/>
        </w:rPr>
        <w:t>R</w:t>
      </w:r>
      <w:r w:rsidRPr="008D549B">
        <w:rPr>
          <w:rFonts w:cs="Arial"/>
        </w:rPr>
        <w:t xml:space="preserve">ecommendation </w:t>
      </w:r>
      <w:hyperlink r:id="rId27" w:history="1">
        <w:r w:rsidRPr="006B12D2">
          <w:rPr>
            <w:rStyle w:val="Hyperlink"/>
            <w:rFonts w:cs="Arial"/>
            <w:bCs/>
          </w:rPr>
          <w:t>ERC Recommendation (70-03)</w:t>
        </w:r>
      </w:hyperlink>
      <w:r w:rsidRPr="006B12D2">
        <w:rPr>
          <w:rFonts w:cs="Arial"/>
          <w:bCs/>
        </w:rPr>
        <w:t>.</w:t>
      </w:r>
      <w:r w:rsidR="00F27D42">
        <w:rPr>
          <w:rFonts w:cs="Arial"/>
          <w:bCs/>
        </w:rPr>
        <w:t xml:space="preserve"> </w:t>
      </w:r>
      <w:r w:rsidR="0076016D">
        <w:rPr>
          <w:rFonts w:cs="Arial"/>
          <w:bCs/>
        </w:rPr>
        <w:t xml:space="preserve">If required, information on test methods to assess compliance with these </w:t>
      </w:r>
      <w:r w:rsidR="00DA545E">
        <w:rPr>
          <w:rFonts w:cs="Arial"/>
          <w:bCs/>
        </w:rPr>
        <w:t>limitations</w:t>
      </w:r>
      <w:r w:rsidR="0076016D">
        <w:rPr>
          <w:rFonts w:cs="Arial"/>
          <w:bCs/>
        </w:rPr>
        <w:t xml:space="preserve"> can be found in note 8 to Annex1 of </w:t>
      </w:r>
      <w:r w:rsidR="00F27D42">
        <w:rPr>
          <w:rFonts w:cs="Arial"/>
          <w:bCs/>
        </w:rPr>
        <w:t>ERC (70-03)</w:t>
      </w:r>
      <w:r w:rsidR="0076016D">
        <w:rPr>
          <w:rFonts w:cs="Arial"/>
          <w:bCs/>
        </w:rPr>
        <w:t xml:space="preserve"> and </w:t>
      </w:r>
      <w:hyperlink r:id="rId28" w:history="1">
        <w:r w:rsidR="00B00919" w:rsidRPr="00405699">
          <w:rPr>
            <w:rStyle w:val="Hyperlink"/>
            <w:rFonts w:cs="Arial"/>
            <w:bCs/>
          </w:rPr>
          <w:t>European Telecommunication Standards Institute</w:t>
        </w:r>
      </w:hyperlink>
      <w:r w:rsidR="00B00919">
        <w:rPr>
          <w:rFonts w:cs="Arial"/>
          <w:bCs/>
        </w:rPr>
        <w:t xml:space="preserve"> (</w:t>
      </w:r>
      <w:r w:rsidR="00DA545E" w:rsidRPr="006B12D2">
        <w:t>ETSI</w:t>
      </w:r>
      <w:r w:rsidR="00B00919">
        <w:t>)</w:t>
      </w:r>
      <w:r w:rsidR="00DA545E" w:rsidRPr="006B12D2">
        <w:t xml:space="preserve"> </w:t>
      </w:r>
      <w:r w:rsidR="00304DE5">
        <w:t>S</w:t>
      </w:r>
      <w:r w:rsidR="00DA545E" w:rsidRPr="006B12D2">
        <w:t>tandard</w:t>
      </w:r>
      <w:r w:rsidR="00DA545E">
        <w:t xml:space="preserve"> </w:t>
      </w:r>
      <w:r w:rsidR="00DA545E" w:rsidRPr="00DA545E">
        <w:rPr>
          <w:rFonts w:cs="Arial"/>
        </w:rPr>
        <w:t>EN 305 550</w:t>
      </w:r>
      <w:r w:rsidR="00DA545E">
        <w:t>.</w:t>
      </w:r>
    </w:p>
    <w:p w14:paraId="2A965640" w14:textId="6269AE68" w:rsidR="001802DF" w:rsidRPr="006B12D2" w:rsidRDefault="003178E0" w:rsidP="001802DF">
      <w:pPr>
        <w:pStyle w:val="Heading2"/>
      </w:pPr>
      <w:bookmarkStart w:id="18" w:name="_Toc499041983"/>
      <w:bookmarkStart w:id="19" w:name="_Toc433891917"/>
      <w:bookmarkStart w:id="20" w:name="_Toc436317137"/>
      <w:r>
        <w:lastRenderedPageBreak/>
        <w:t xml:space="preserve">Medical </w:t>
      </w:r>
      <w:r w:rsidR="00405699">
        <w:t>t</w:t>
      </w:r>
      <w:r>
        <w:t xml:space="preserve">elemetry and </w:t>
      </w:r>
      <w:r w:rsidR="00405699">
        <w:t>t</w:t>
      </w:r>
      <w:r>
        <w:t>elecommand</w:t>
      </w:r>
      <w:bookmarkEnd w:id="18"/>
    </w:p>
    <w:p w14:paraId="647795E9" w14:textId="77777777" w:rsidR="001802DF" w:rsidRPr="006B12D2" w:rsidRDefault="001802DF" w:rsidP="001802DF">
      <w:pPr>
        <w:pStyle w:val="Heading3"/>
      </w:pPr>
      <w:bookmarkStart w:id="21" w:name="_Toc499041984"/>
      <w:r w:rsidRPr="006B12D2">
        <w:t>New item</w:t>
      </w:r>
      <w:r w:rsidR="003178E0">
        <w:t>s</w:t>
      </w:r>
      <w:r w:rsidRPr="006B12D2">
        <w:t xml:space="preserve"> </w:t>
      </w:r>
      <w:r w:rsidR="00E663A8">
        <w:t xml:space="preserve">34A, </w:t>
      </w:r>
      <w:r w:rsidR="003178E0">
        <w:t>35A and 35B</w:t>
      </w:r>
      <w:r w:rsidRPr="006B12D2">
        <w:t xml:space="preserve"> of Schedule 1 to the LIPD </w:t>
      </w:r>
      <w:r w:rsidR="009111F4">
        <w:t>C</w:t>
      </w:r>
      <w:r w:rsidRPr="006B12D2">
        <w:t xml:space="preserve">lass </w:t>
      </w:r>
      <w:r w:rsidR="009111F4">
        <w:t>L</w:t>
      </w:r>
      <w:r w:rsidRPr="006B12D2">
        <w:t>icence</w:t>
      </w:r>
      <w:bookmarkEnd w:id="21"/>
    </w:p>
    <w:p w14:paraId="5ABF027B" w14:textId="264BA000" w:rsidR="000A5F83" w:rsidRDefault="001802DF" w:rsidP="007A4DE5">
      <w:pPr>
        <w:rPr>
          <w:rFonts w:cs="Arial"/>
        </w:rPr>
      </w:pPr>
      <w:r w:rsidRPr="006B12D2">
        <w:rPr>
          <w:rFonts w:cs="Arial"/>
        </w:rPr>
        <w:t xml:space="preserve">The ACMA is proposing to add new arrangements </w:t>
      </w:r>
      <w:r w:rsidR="00535DA9">
        <w:rPr>
          <w:rFonts w:cs="Arial"/>
        </w:rPr>
        <w:t>to support the use of</w:t>
      </w:r>
      <w:r w:rsidR="00535DA9" w:rsidRPr="006B12D2">
        <w:rPr>
          <w:rFonts w:cs="Arial"/>
        </w:rPr>
        <w:t xml:space="preserve"> </w:t>
      </w:r>
      <w:r w:rsidR="0018031C">
        <w:rPr>
          <w:rFonts w:cs="Arial"/>
        </w:rPr>
        <w:t xml:space="preserve">medical transmitters </w:t>
      </w:r>
      <w:r w:rsidR="003178E0">
        <w:rPr>
          <w:rFonts w:cs="Arial"/>
        </w:rPr>
        <w:t xml:space="preserve">operating in the </w:t>
      </w:r>
      <w:r w:rsidR="00E663A8">
        <w:rPr>
          <w:rFonts w:cs="Arial"/>
        </w:rPr>
        <w:t>430</w:t>
      </w:r>
      <w:r w:rsidR="00405699">
        <w:rPr>
          <w:rFonts w:cs="Arial"/>
        </w:rPr>
        <w:t>–</w:t>
      </w:r>
      <w:r w:rsidR="00E663A8">
        <w:rPr>
          <w:rFonts w:cs="Arial"/>
        </w:rPr>
        <w:t xml:space="preserve">440 MHz and </w:t>
      </w:r>
      <w:r w:rsidR="003178E0">
        <w:rPr>
          <w:rFonts w:cs="Arial"/>
        </w:rPr>
        <w:t>2483.5</w:t>
      </w:r>
      <w:r w:rsidR="00405699">
        <w:rPr>
          <w:rFonts w:cs="Arial"/>
        </w:rPr>
        <w:t>–</w:t>
      </w:r>
      <w:r w:rsidR="003178E0">
        <w:rPr>
          <w:rFonts w:cs="Arial"/>
        </w:rPr>
        <w:t>2500 MHz band</w:t>
      </w:r>
      <w:r w:rsidR="00E663A8">
        <w:rPr>
          <w:rFonts w:cs="Arial"/>
        </w:rPr>
        <w:t>s</w:t>
      </w:r>
      <w:r w:rsidR="003178E0">
        <w:rPr>
          <w:rFonts w:cs="Arial"/>
        </w:rPr>
        <w:t>.</w:t>
      </w:r>
    </w:p>
    <w:p w14:paraId="6CCF05AB" w14:textId="77777777" w:rsidR="00DC44AE" w:rsidRPr="006B12D2" w:rsidRDefault="00DC44AE" w:rsidP="00DC44AE">
      <w:pPr>
        <w:pStyle w:val="ListBullet"/>
        <w:numPr>
          <w:ilvl w:val="0"/>
          <w:numId w:val="0"/>
        </w:numPr>
        <w:spacing w:after="0" w:line="240" w:lineRule="auto"/>
      </w:pPr>
      <w:r>
        <w:t xml:space="preserve">All proposed items (34A, 35A </w:t>
      </w:r>
      <w:r w:rsidR="00304DE5">
        <w:t>and</w:t>
      </w:r>
      <w:r>
        <w:t xml:space="preserve"> 35B) </w:t>
      </w:r>
      <w:r w:rsidR="00304DE5">
        <w:t>are proposed to be supplemented by</w:t>
      </w:r>
      <w:r>
        <w:t xml:space="preserve"> a </w:t>
      </w:r>
      <w:r w:rsidR="00F27D42">
        <w:t xml:space="preserve">note </w:t>
      </w:r>
      <w:r>
        <w:t>advising that</w:t>
      </w:r>
      <w:r w:rsidR="00304DE5">
        <w:t xml:space="preserve"> relevant</w:t>
      </w:r>
      <w:r>
        <w:t xml:space="preserve"> devices</w:t>
      </w:r>
      <w:r w:rsidR="00304DE5">
        <w:t xml:space="preserve"> will</w:t>
      </w:r>
      <w:r>
        <w:t xml:space="preserve"> require marketing approval from the Therapeutic Goods Administration. </w:t>
      </w:r>
    </w:p>
    <w:p w14:paraId="5D195AEB" w14:textId="77777777" w:rsidR="00DC44AE" w:rsidRDefault="00DC44AE" w:rsidP="001F7B0C">
      <w:pPr>
        <w:pStyle w:val="BodySubHeader"/>
        <w:keepNext/>
      </w:pPr>
      <w:r>
        <w:t>Item 34A</w:t>
      </w:r>
    </w:p>
    <w:p w14:paraId="30C1D57E" w14:textId="19A06C0B" w:rsidR="00E663A8" w:rsidRDefault="00E663A8" w:rsidP="001F7B0C">
      <w:pPr>
        <w:keepNext/>
        <w:rPr>
          <w:rFonts w:cs="Arial"/>
        </w:rPr>
      </w:pPr>
      <w:r>
        <w:rPr>
          <w:rFonts w:cs="Arial"/>
        </w:rPr>
        <w:t xml:space="preserve">Item 34A </w:t>
      </w:r>
      <w:r w:rsidR="008158A6">
        <w:rPr>
          <w:rFonts w:cs="Arial"/>
        </w:rPr>
        <w:t xml:space="preserve">is to support </w:t>
      </w:r>
      <w:r>
        <w:rPr>
          <w:rFonts w:cs="Arial"/>
        </w:rPr>
        <w:t xml:space="preserve">medical endoscopy capsule </w:t>
      </w:r>
      <w:r w:rsidR="008A0115">
        <w:rPr>
          <w:rFonts w:cs="Arial"/>
        </w:rPr>
        <w:t>transmitters. These ultra-low</w:t>
      </w:r>
      <w:r w:rsidR="00405699">
        <w:rPr>
          <w:rFonts w:cs="Arial"/>
        </w:rPr>
        <w:t>-</w:t>
      </w:r>
      <w:r w:rsidR="008A0115">
        <w:rPr>
          <w:rFonts w:cs="Arial"/>
        </w:rPr>
        <w:t>power wireless medical capsule endoscopy transmitter</w:t>
      </w:r>
      <w:r w:rsidR="00C121D6">
        <w:rPr>
          <w:rFonts w:cs="Arial"/>
        </w:rPr>
        <w:t>s</w:t>
      </w:r>
      <w:r w:rsidR="008A0115">
        <w:rPr>
          <w:rFonts w:cs="Arial"/>
        </w:rPr>
        <w:t xml:space="preserve"> </w:t>
      </w:r>
      <w:r w:rsidR="00C121D6">
        <w:rPr>
          <w:rFonts w:cs="Arial"/>
        </w:rPr>
        <w:t>are</w:t>
      </w:r>
      <w:r w:rsidR="008A0115">
        <w:rPr>
          <w:rFonts w:cs="Arial"/>
        </w:rPr>
        <w:t xml:space="preserve"> used for performing medical observation of </w:t>
      </w:r>
      <w:r w:rsidR="00C121D6">
        <w:rPr>
          <w:rFonts w:cs="Arial"/>
        </w:rPr>
        <w:t xml:space="preserve">the </w:t>
      </w:r>
      <w:r w:rsidR="008A0115">
        <w:rPr>
          <w:rFonts w:cs="Arial"/>
        </w:rPr>
        <w:t xml:space="preserve">human gastrointestinal tract by swallowing a capsule camera and receiving obtained images by </w:t>
      </w:r>
      <w:r w:rsidR="00C121D6">
        <w:rPr>
          <w:rFonts w:cs="Arial"/>
        </w:rPr>
        <w:t xml:space="preserve">an </w:t>
      </w:r>
      <w:r w:rsidR="008A0115">
        <w:rPr>
          <w:rFonts w:cs="Arial"/>
        </w:rPr>
        <w:t xml:space="preserve">external dedicated recorder receiver. </w:t>
      </w:r>
    </w:p>
    <w:p w14:paraId="172820BD" w14:textId="52F0ABCB" w:rsidR="00E663A8" w:rsidRDefault="008A0115" w:rsidP="007A4DE5">
      <w:pPr>
        <w:rPr>
          <w:rFonts w:cs="Arial"/>
        </w:rPr>
      </w:pPr>
      <w:r>
        <w:rPr>
          <w:rFonts w:cs="Arial"/>
        </w:rPr>
        <w:t>Medical endoscopy capsule transmitter</w:t>
      </w:r>
      <w:r w:rsidR="00C121D6">
        <w:rPr>
          <w:rFonts w:cs="Arial"/>
        </w:rPr>
        <w:t>s</w:t>
      </w:r>
      <w:r>
        <w:rPr>
          <w:rFonts w:cs="Arial"/>
        </w:rPr>
        <w:t xml:space="preserve"> would operate in the 430</w:t>
      </w:r>
      <w:r w:rsidR="00405699">
        <w:rPr>
          <w:rFonts w:cs="Arial"/>
        </w:rPr>
        <w:t>–</w:t>
      </w:r>
      <w:r>
        <w:rPr>
          <w:rFonts w:cs="Arial"/>
        </w:rPr>
        <w:t xml:space="preserve">440 MHz band and with maximum </w:t>
      </w:r>
      <w:r w:rsidR="008D4BC6">
        <w:rPr>
          <w:rFonts w:cs="Arial"/>
        </w:rPr>
        <w:t xml:space="preserve">EIRP </w:t>
      </w:r>
      <w:r>
        <w:rPr>
          <w:rFonts w:cs="Arial"/>
        </w:rPr>
        <w:t xml:space="preserve">up to 100 </w:t>
      </w:r>
      <w:proofErr w:type="spellStart"/>
      <w:r>
        <w:rPr>
          <w:rFonts w:cs="Arial"/>
        </w:rPr>
        <w:t>nW.</w:t>
      </w:r>
      <w:proofErr w:type="spellEnd"/>
      <w:r>
        <w:rPr>
          <w:rFonts w:cs="Arial"/>
        </w:rPr>
        <w:t xml:space="preserve"> </w:t>
      </w:r>
      <w:r w:rsidR="00030082">
        <w:rPr>
          <w:rFonts w:cs="Arial"/>
        </w:rPr>
        <w:t xml:space="preserve">This arrangement </w:t>
      </w:r>
      <w:r w:rsidR="00304DE5">
        <w:rPr>
          <w:rFonts w:cs="Arial"/>
        </w:rPr>
        <w:t>is proposed to be supplemented by a new Note 3</w:t>
      </w:r>
      <w:r w:rsidR="008158A6">
        <w:rPr>
          <w:rFonts w:cs="Arial"/>
        </w:rPr>
        <w:t xml:space="preserve">, advising </w:t>
      </w:r>
      <w:r w:rsidR="00030082">
        <w:rPr>
          <w:rFonts w:cs="Arial"/>
        </w:rPr>
        <w:t>that transmitter</w:t>
      </w:r>
      <w:r w:rsidR="00CF64D0">
        <w:rPr>
          <w:rFonts w:cs="Arial"/>
        </w:rPr>
        <w:t>s</w:t>
      </w:r>
      <w:r w:rsidR="00030082">
        <w:rPr>
          <w:rFonts w:cs="Arial"/>
        </w:rPr>
        <w:t xml:space="preserve"> complying with ETSI </w:t>
      </w:r>
      <w:r w:rsidR="00304DE5">
        <w:rPr>
          <w:rFonts w:cs="Arial"/>
        </w:rPr>
        <w:t>S</w:t>
      </w:r>
      <w:r w:rsidR="00030082">
        <w:rPr>
          <w:rFonts w:cs="Arial"/>
        </w:rPr>
        <w:t>tandard EN</w:t>
      </w:r>
      <w:r w:rsidR="00405699">
        <w:rPr>
          <w:rFonts w:cs="Arial"/>
        </w:rPr>
        <w:t> </w:t>
      </w:r>
      <w:r w:rsidR="00030082">
        <w:rPr>
          <w:rFonts w:cs="Arial"/>
        </w:rPr>
        <w:t>30</w:t>
      </w:r>
      <w:r w:rsidR="00CF64D0">
        <w:rPr>
          <w:rFonts w:cs="Arial"/>
        </w:rPr>
        <w:t>3</w:t>
      </w:r>
      <w:r w:rsidR="00405699">
        <w:rPr>
          <w:rFonts w:cs="Arial"/>
        </w:rPr>
        <w:t> </w:t>
      </w:r>
      <w:r w:rsidR="00030082">
        <w:rPr>
          <w:rFonts w:cs="Arial"/>
        </w:rPr>
        <w:t xml:space="preserve">520 </w:t>
      </w:r>
      <w:r w:rsidR="00304DE5">
        <w:rPr>
          <w:rFonts w:cs="Arial"/>
        </w:rPr>
        <w:t xml:space="preserve">will </w:t>
      </w:r>
      <w:r w:rsidR="000311D4">
        <w:rPr>
          <w:rFonts w:cs="Arial"/>
        </w:rPr>
        <w:t xml:space="preserve">meet </w:t>
      </w:r>
      <w:r w:rsidR="00C121D6">
        <w:rPr>
          <w:rFonts w:cs="Arial"/>
        </w:rPr>
        <w:t xml:space="preserve">the </w:t>
      </w:r>
      <w:r w:rsidR="000311D4">
        <w:rPr>
          <w:rFonts w:cs="Arial"/>
        </w:rPr>
        <w:t xml:space="preserve">requirements </w:t>
      </w:r>
      <w:r w:rsidR="00463496">
        <w:rPr>
          <w:rFonts w:cs="Arial"/>
        </w:rPr>
        <w:t xml:space="preserve">for </w:t>
      </w:r>
      <w:r w:rsidR="000311D4">
        <w:rPr>
          <w:rFonts w:cs="Arial"/>
        </w:rPr>
        <w:t xml:space="preserve">this item. </w:t>
      </w:r>
    </w:p>
    <w:p w14:paraId="797C9D97" w14:textId="77777777" w:rsidR="00DC44AE" w:rsidRDefault="00DC44AE" w:rsidP="00DC44AE">
      <w:pPr>
        <w:pStyle w:val="BodySubHeader"/>
      </w:pPr>
      <w:r>
        <w:t>Item 35A</w:t>
      </w:r>
    </w:p>
    <w:p w14:paraId="3CB6AD21" w14:textId="18A22C02" w:rsidR="007A4DE5" w:rsidRDefault="0018031C" w:rsidP="007A4DE5">
      <w:pPr>
        <w:rPr>
          <w:rFonts w:cs="Arial"/>
        </w:rPr>
      </w:pPr>
      <w:r>
        <w:rPr>
          <w:rFonts w:cs="Arial"/>
        </w:rPr>
        <w:t xml:space="preserve">Item 35A </w:t>
      </w:r>
      <w:r w:rsidR="008158A6">
        <w:rPr>
          <w:rFonts w:cs="Arial"/>
        </w:rPr>
        <w:t xml:space="preserve">is to support </w:t>
      </w:r>
      <w:r>
        <w:rPr>
          <w:rFonts w:cs="Arial"/>
        </w:rPr>
        <w:t>medical body area network</w:t>
      </w:r>
      <w:r w:rsidR="00853F13">
        <w:rPr>
          <w:rFonts w:cs="Arial"/>
        </w:rPr>
        <w:t xml:space="preserve"> </w:t>
      </w:r>
      <w:r w:rsidR="00B41111">
        <w:rPr>
          <w:rFonts w:cs="Arial"/>
        </w:rPr>
        <w:t xml:space="preserve">(‘MBAN’) </w:t>
      </w:r>
      <w:r w:rsidR="008158A6">
        <w:rPr>
          <w:rFonts w:cs="Arial"/>
        </w:rPr>
        <w:t>systems</w:t>
      </w:r>
      <w:r>
        <w:rPr>
          <w:rFonts w:cs="Arial"/>
        </w:rPr>
        <w:t>.</w:t>
      </w:r>
      <w:r w:rsidR="004B5BA2">
        <w:rPr>
          <w:rFonts w:cs="Arial"/>
        </w:rPr>
        <w:t xml:space="preserve"> </w:t>
      </w:r>
      <w:r>
        <w:rPr>
          <w:rFonts w:cs="Arial"/>
        </w:rPr>
        <w:t>These low</w:t>
      </w:r>
      <w:r w:rsidR="00405699">
        <w:rPr>
          <w:rFonts w:cs="Arial"/>
        </w:rPr>
        <w:t>-</w:t>
      </w:r>
      <w:r>
        <w:rPr>
          <w:rFonts w:cs="Arial"/>
        </w:rPr>
        <w:t>power radio system</w:t>
      </w:r>
      <w:r w:rsidR="00B913A1">
        <w:rPr>
          <w:rFonts w:cs="Arial"/>
        </w:rPr>
        <w:t>s</w:t>
      </w:r>
      <w:r>
        <w:rPr>
          <w:rFonts w:cs="Arial"/>
        </w:rPr>
        <w:t xml:space="preserve"> </w:t>
      </w:r>
      <w:r w:rsidR="00B41111">
        <w:rPr>
          <w:rFonts w:cs="Arial"/>
        </w:rPr>
        <w:t xml:space="preserve">are </w:t>
      </w:r>
      <w:r>
        <w:rPr>
          <w:rFonts w:cs="Arial"/>
        </w:rPr>
        <w:t xml:space="preserve">used for transmission of non-voice data to and from medical devices for the purposes of monitoring, diagnosing and treating patients </w:t>
      </w:r>
      <w:r w:rsidR="00853F13">
        <w:rPr>
          <w:rFonts w:cs="Arial"/>
        </w:rPr>
        <w:t xml:space="preserve">by </w:t>
      </w:r>
      <w:r w:rsidR="00D974A3">
        <w:rPr>
          <w:rFonts w:cs="Arial"/>
        </w:rPr>
        <w:t>medical</w:t>
      </w:r>
      <w:r w:rsidR="00853F13">
        <w:rPr>
          <w:rFonts w:cs="Arial"/>
        </w:rPr>
        <w:t xml:space="preserve"> professionals.</w:t>
      </w:r>
      <w:r w:rsidR="004B5BA2">
        <w:rPr>
          <w:rFonts w:cs="Arial"/>
        </w:rPr>
        <w:t xml:space="preserve"> </w:t>
      </w:r>
      <w:r w:rsidR="008158A6">
        <w:rPr>
          <w:rFonts w:cs="Arial"/>
        </w:rPr>
        <w:t xml:space="preserve">They </w:t>
      </w:r>
      <w:r w:rsidR="007A4DE5">
        <w:rPr>
          <w:rFonts w:cs="Arial"/>
        </w:rPr>
        <w:t>are designed to be deployed in healthcare facilities, patient</w:t>
      </w:r>
      <w:r w:rsidR="00C121D6">
        <w:rPr>
          <w:rFonts w:cs="Arial"/>
        </w:rPr>
        <w:t>s</w:t>
      </w:r>
      <w:r w:rsidR="00304DE5">
        <w:rPr>
          <w:rFonts w:cs="Arial"/>
        </w:rPr>
        <w:t>’</w:t>
      </w:r>
      <w:r w:rsidR="007A4DE5">
        <w:rPr>
          <w:rFonts w:cs="Arial"/>
        </w:rPr>
        <w:t xml:space="preserve"> home</w:t>
      </w:r>
      <w:r w:rsidR="00C121D6">
        <w:rPr>
          <w:rFonts w:cs="Arial"/>
        </w:rPr>
        <w:t>s</w:t>
      </w:r>
      <w:r w:rsidR="007A4DE5">
        <w:rPr>
          <w:rFonts w:cs="Arial"/>
        </w:rPr>
        <w:t xml:space="preserve"> and ambulances.</w:t>
      </w:r>
    </w:p>
    <w:p w14:paraId="471CADD2" w14:textId="5E2D710B" w:rsidR="007A4DE5" w:rsidRDefault="007A4DE5" w:rsidP="007A4DE5">
      <w:pPr>
        <w:pStyle w:val="ListBullet"/>
        <w:numPr>
          <w:ilvl w:val="0"/>
          <w:numId w:val="0"/>
        </w:numPr>
        <w:rPr>
          <w:rFonts w:cs="Arial"/>
        </w:rPr>
      </w:pPr>
      <w:r w:rsidRPr="007A4DE5">
        <w:rPr>
          <w:rFonts w:cs="Arial"/>
        </w:rPr>
        <w:t xml:space="preserve">Operation of </w:t>
      </w:r>
      <w:r>
        <w:rPr>
          <w:rFonts w:cs="Arial"/>
        </w:rPr>
        <w:t>MBAN transmitters</w:t>
      </w:r>
      <w:r w:rsidRPr="007A4DE5">
        <w:rPr>
          <w:rFonts w:cs="Arial"/>
        </w:rPr>
        <w:t xml:space="preserve"> in </w:t>
      </w:r>
      <w:r>
        <w:rPr>
          <w:rFonts w:cs="Arial"/>
        </w:rPr>
        <w:t>the 2483.5</w:t>
      </w:r>
      <w:r w:rsidR="00405699">
        <w:rPr>
          <w:rFonts w:cs="Arial"/>
        </w:rPr>
        <w:t>–</w:t>
      </w:r>
      <w:r>
        <w:rPr>
          <w:rFonts w:cs="Arial"/>
        </w:rPr>
        <w:t>2500 MHz</w:t>
      </w:r>
      <w:r w:rsidRPr="007A4DE5">
        <w:rPr>
          <w:rFonts w:cs="Arial"/>
        </w:rPr>
        <w:t xml:space="preserve"> band</w:t>
      </w:r>
      <w:r>
        <w:rPr>
          <w:rFonts w:cs="Arial"/>
        </w:rPr>
        <w:t xml:space="preserve"> would be subject to the limitation </w:t>
      </w:r>
      <w:r w:rsidRPr="007A4DE5">
        <w:rPr>
          <w:rFonts w:cs="Arial"/>
        </w:rPr>
        <w:t xml:space="preserve">set out in column 4 of item </w:t>
      </w:r>
      <w:r>
        <w:rPr>
          <w:rFonts w:cs="Arial"/>
        </w:rPr>
        <w:t>35A</w:t>
      </w:r>
      <w:r w:rsidR="00C121D6">
        <w:rPr>
          <w:rFonts w:cs="Arial"/>
        </w:rPr>
        <w:t>:</w:t>
      </w:r>
    </w:p>
    <w:p w14:paraId="32451B2B" w14:textId="77777777" w:rsidR="00DC44AE" w:rsidRDefault="001802DF" w:rsidP="003102F4">
      <w:pPr>
        <w:pStyle w:val="ListBulletLast"/>
      </w:pPr>
      <w:r>
        <w:t>T</w:t>
      </w:r>
      <w:r w:rsidRPr="006B12D2">
        <w:t xml:space="preserve">he transmitter must comply with ETSI </w:t>
      </w:r>
      <w:r w:rsidR="00304DE5">
        <w:t>S</w:t>
      </w:r>
      <w:r w:rsidRPr="006B12D2">
        <w:t>tandard EN 30</w:t>
      </w:r>
      <w:r w:rsidR="005642D4">
        <w:t>3</w:t>
      </w:r>
      <w:r w:rsidRPr="006B12D2">
        <w:t xml:space="preserve"> </w:t>
      </w:r>
      <w:r w:rsidR="005642D4">
        <w:t>203</w:t>
      </w:r>
      <w:r w:rsidR="00DC44AE">
        <w:t>.</w:t>
      </w:r>
    </w:p>
    <w:p w14:paraId="20301E35" w14:textId="5A4124EB" w:rsidR="00DC44AE" w:rsidRDefault="0045185E" w:rsidP="003102F4">
      <w:hyperlink r:id="rId29" w:history="1">
        <w:r w:rsidR="00F2428D" w:rsidRPr="009F7B12">
          <w:rPr>
            <w:rStyle w:val="Hyperlink"/>
          </w:rPr>
          <w:t>ETSI</w:t>
        </w:r>
        <w:r w:rsidR="00DC44AE" w:rsidRPr="00F2428D">
          <w:rPr>
            <w:rStyle w:val="Hyperlink"/>
          </w:rPr>
          <w:t xml:space="preserve"> </w:t>
        </w:r>
        <w:r w:rsidR="00304DE5" w:rsidRPr="00F2428D">
          <w:rPr>
            <w:rStyle w:val="Hyperlink"/>
          </w:rPr>
          <w:t>S</w:t>
        </w:r>
        <w:r w:rsidR="00DC44AE" w:rsidRPr="00F2428D">
          <w:rPr>
            <w:rStyle w:val="Hyperlink"/>
          </w:rPr>
          <w:t>tandard</w:t>
        </w:r>
      </w:hyperlink>
      <w:r w:rsidR="00DC44AE" w:rsidRPr="006B12D2">
        <w:t xml:space="preserve"> EN 30</w:t>
      </w:r>
      <w:r w:rsidR="00DC44AE">
        <w:t>3</w:t>
      </w:r>
      <w:r w:rsidR="00DC44AE" w:rsidRPr="006B12D2">
        <w:t xml:space="preserve"> </w:t>
      </w:r>
      <w:r w:rsidR="00DC44AE">
        <w:t>203</w:t>
      </w:r>
      <w:r w:rsidR="00405699">
        <w:t xml:space="preserve"> </w:t>
      </w:r>
      <w:r w:rsidR="001802DF" w:rsidRPr="006B12D2">
        <w:t xml:space="preserve">is a </w:t>
      </w:r>
      <w:r w:rsidR="00DC44AE">
        <w:t xml:space="preserve">European </w:t>
      </w:r>
      <w:r w:rsidR="001802DF" w:rsidRPr="006B12D2">
        <w:t xml:space="preserve">standard that </w:t>
      </w:r>
      <w:r w:rsidR="005642D4">
        <w:t>describes technical characteristics and test and performance requirements for medical body area network systems operating in the 2483.5</w:t>
      </w:r>
      <w:r w:rsidR="00F2428D">
        <w:t>–</w:t>
      </w:r>
      <w:r w:rsidR="005642D4">
        <w:t>2500 MHz frequency range</w:t>
      </w:r>
      <w:r w:rsidR="00936646">
        <w:t>.</w:t>
      </w:r>
    </w:p>
    <w:p w14:paraId="7103AC12" w14:textId="77777777" w:rsidR="001802DF" w:rsidRDefault="001802DF" w:rsidP="00DC44AE">
      <w:pPr>
        <w:pStyle w:val="ListBullet"/>
        <w:numPr>
          <w:ilvl w:val="0"/>
          <w:numId w:val="0"/>
        </w:numPr>
      </w:pPr>
      <w:r w:rsidRPr="006B12D2">
        <w:t xml:space="preserve">There is a related change to Schedule 2 to the LIPD </w:t>
      </w:r>
      <w:r w:rsidR="009111F4">
        <w:t>C</w:t>
      </w:r>
      <w:r w:rsidRPr="006B12D2">
        <w:t xml:space="preserve">lass </w:t>
      </w:r>
      <w:r w:rsidR="009111F4">
        <w:t>L</w:t>
      </w:r>
      <w:r w:rsidRPr="006B12D2">
        <w:t>icence, to reflect the inclusion of EN 30</w:t>
      </w:r>
      <w:r w:rsidR="005642D4">
        <w:t>3</w:t>
      </w:r>
      <w:r w:rsidRPr="006B12D2">
        <w:t xml:space="preserve"> </w:t>
      </w:r>
      <w:r w:rsidR="005642D4">
        <w:t>203</w:t>
      </w:r>
      <w:r>
        <w:t>.</w:t>
      </w:r>
    </w:p>
    <w:p w14:paraId="34ED200E" w14:textId="77777777" w:rsidR="00DC44AE" w:rsidRPr="006B12D2" w:rsidRDefault="00DC44AE" w:rsidP="00DC44AE">
      <w:pPr>
        <w:pStyle w:val="BodySubHeader"/>
      </w:pPr>
      <w:r>
        <w:t>Item 35B</w:t>
      </w:r>
    </w:p>
    <w:p w14:paraId="07F39A1F" w14:textId="14F84528" w:rsidR="00DD49E6" w:rsidRDefault="00DD49E6" w:rsidP="00DD49E6">
      <w:pPr>
        <w:rPr>
          <w:rFonts w:cs="Arial"/>
        </w:rPr>
      </w:pPr>
      <w:r>
        <w:rPr>
          <w:rFonts w:cs="Arial"/>
        </w:rPr>
        <w:t xml:space="preserve">Item 35B </w:t>
      </w:r>
      <w:r w:rsidR="008158A6">
        <w:rPr>
          <w:rFonts w:cs="Arial"/>
        </w:rPr>
        <w:t xml:space="preserve">is to support </w:t>
      </w:r>
      <w:r>
        <w:rPr>
          <w:rFonts w:cs="Arial"/>
        </w:rPr>
        <w:t>low</w:t>
      </w:r>
      <w:r w:rsidR="00F2428D">
        <w:rPr>
          <w:rFonts w:cs="Arial"/>
        </w:rPr>
        <w:t>-</w:t>
      </w:r>
      <w:r>
        <w:rPr>
          <w:rFonts w:cs="Arial"/>
        </w:rPr>
        <w:t xml:space="preserve">power active medical implants. </w:t>
      </w:r>
      <w:r w:rsidR="008158A6">
        <w:rPr>
          <w:rFonts w:cs="Arial"/>
        </w:rPr>
        <w:t>A</w:t>
      </w:r>
      <w:r w:rsidR="00B913A1">
        <w:rPr>
          <w:rFonts w:cs="Arial"/>
        </w:rPr>
        <w:t>ctive medical implant communication system</w:t>
      </w:r>
      <w:r w:rsidR="008158A6">
        <w:rPr>
          <w:rFonts w:cs="Arial"/>
        </w:rPr>
        <w:t>s</w:t>
      </w:r>
      <w:r w:rsidR="00B913A1">
        <w:rPr>
          <w:rFonts w:cs="Arial"/>
        </w:rPr>
        <w:t xml:space="preserve"> </w:t>
      </w:r>
      <w:r w:rsidR="008158A6">
        <w:rPr>
          <w:rFonts w:cs="Arial"/>
        </w:rPr>
        <w:t>are</w:t>
      </w:r>
      <w:r w:rsidR="00B913A1">
        <w:rPr>
          <w:rFonts w:cs="Arial"/>
        </w:rPr>
        <w:t xml:space="preserve"> intended to provide high</w:t>
      </w:r>
      <w:r w:rsidR="00F2428D">
        <w:rPr>
          <w:rFonts w:cs="Arial"/>
        </w:rPr>
        <w:t>-</w:t>
      </w:r>
      <w:r w:rsidR="00B913A1">
        <w:rPr>
          <w:rFonts w:cs="Arial"/>
        </w:rPr>
        <w:t>speed communication capability between individual</w:t>
      </w:r>
      <w:r w:rsidR="00C121D6">
        <w:rPr>
          <w:rFonts w:cs="Arial"/>
        </w:rPr>
        <w:t>s</w:t>
      </w:r>
      <w:r w:rsidR="00B913A1">
        <w:rPr>
          <w:rFonts w:cs="Arial"/>
        </w:rPr>
        <w:t xml:space="preserve"> with implant</w:t>
      </w:r>
      <w:r w:rsidR="00C121D6">
        <w:rPr>
          <w:rFonts w:cs="Arial"/>
        </w:rPr>
        <w:t>s</w:t>
      </w:r>
      <w:r w:rsidR="00B913A1">
        <w:rPr>
          <w:rFonts w:cs="Arial"/>
        </w:rPr>
        <w:t xml:space="preserve"> and medical practitioner</w:t>
      </w:r>
      <w:r w:rsidR="00C121D6">
        <w:rPr>
          <w:rFonts w:cs="Arial"/>
        </w:rPr>
        <w:t>s</w:t>
      </w:r>
      <w:r w:rsidR="00B913A1">
        <w:rPr>
          <w:rFonts w:cs="Arial"/>
        </w:rPr>
        <w:t xml:space="preserve"> </w:t>
      </w:r>
      <w:proofErr w:type="gramStart"/>
      <w:r w:rsidR="00B913A1">
        <w:rPr>
          <w:rFonts w:cs="Arial"/>
        </w:rPr>
        <w:t>for the purpose of</w:t>
      </w:r>
      <w:proofErr w:type="gramEnd"/>
      <w:r w:rsidR="00B913A1">
        <w:rPr>
          <w:rFonts w:cs="Arial"/>
        </w:rPr>
        <w:t xml:space="preserve"> diagnosing and delivering therapy to individuals with various illness</w:t>
      </w:r>
      <w:r w:rsidR="00B41111">
        <w:rPr>
          <w:rFonts w:cs="Arial"/>
        </w:rPr>
        <w:t>es</w:t>
      </w:r>
      <w:r w:rsidR="00B913A1">
        <w:rPr>
          <w:rFonts w:cs="Arial"/>
        </w:rPr>
        <w:t>.</w:t>
      </w:r>
    </w:p>
    <w:p w14:paraId="276C535B" w14:textId="1108ED56" w:rsidR="00DD49E6" w:rsidRDefault="00DD49E6" w:rsidP="00DD49E6">
      <w:pPr>
        <w:pStyle w:val="ListBullet"/>
        <w:numPr>
          <w:ilvl w:val="0"/>
          <w:numId w:val="0"/>
        </w:numPr>
        <w:rPr>
          <w:rFonts w:cs="Arial"/>
        </w:rPr>
      </w:pPr>
      <w:r w:rsidRPr="007A4DE5">
        <w:rPr>
          <w:rFonts w:cs="Arial"/>
        </w:rPr>
        <w:t xml:space="preserve">Operation of </w:t>
      </w:r>
      <w:r w:rsidR="008158A6">
        <w:rPr>
          <w:rFonts w:cs="Arial"/>
        </w:rPr>
        <w:t>low</w:t>
      </w:r>
      <w:r w:rsidR="00F2428D">
        <w:rPr>
          <w:rFonts w:cs="Arial"/>
        </w:rPr>
        <w:t>-</w:t>
      </w:r>
      <w:r w:rsidR="008158A6">
        <w:rPr>
          <w:rFonts w:cs="Arial"/>
        </w:rPr>
        <w:t xml:space="preserve">power active medical implants </w:t>
      </w:r>
      <w:r>
        <w:rPr>
          <w:rFonts w:cs="Arial"/>
        </w:rPr>
        <w:t>transmitters</w:t>
      </w:r>
      <w:r w:rsidRPr="007A4DE5">
        <w:rPr>
          <w:rFonts w:cs="Arial"/>
        </w:rPr>
        <w:t xml:space="preserve"> in </w:t>
      </w:r>
      <w:r>
        <w:rPr>
          <w:rFonts w:cs="Arial"/>
        </w:rPr>
        <w:t>the 2483.5</w:t>
      </w:r>
      <w:r w:rsidR="00F2428D">
        <w:rPr>
          <w:rFonts w:cs="Arial"/>
        </w:rPr>
        <w:t>–</w:t>
      </w:r>
      <w:r>
        <w:rPr>
          <w:rFonts w:cs="Arial"/>
        </w:rPr>
        <w:t>2500 MHz</w:t>
      </w:r>
      <w:r w:rsidRPr="007A4DE5">
        <w:rPr>
          <w:rFonts w:cs="Arial"/>
        </w:rPr>
        <w:t xml:space="preserve"> band</w:t>
      </w:r>
      <w:r>
        <w:rPr>
          <w:rFonts w:cs="Arial"/>
        </w:rPr>
        <w:t xml:space="preserve"> would be subject to the limitation </w:t>
      </w:r>
      <w:r w:rsidRPr="007A4DE5">
        <w:rPr>
          <w:rFonts w:cs="Arial"/>
        </w:rPr>
        <w:t>set</w:t>
      </w:r>
      <w:r>
        <w:rPr>
          <w:rFonts w:cs="Arial"/>
        </w:rPr>
        <w:t>s</w:t>
      </w:r>
      <w:r w:rsidRPr="007A4DE5">
        <w:rPr>
          <w:rFonts w:cs="Arial"/>
        </w:rPr>
        <w:t xml:space="preserve"> out in column 4 of item </w:t>
      </w:r>
      <w:r>
        <w:rPr>
          <w:rFonts w:cs="Arial"/>
        </w:rPr>
        <w:t>35</w:t>
      </w:r>
      <w:r w:rsidR="00B913A1">
        <w:rPr>
          <w:rFonts w:cs="Arial"/>
        </w:rPr>
        <w:t>B</w:t>
      </w:r>
      <w:r w:rsidR="00727CDE">
        <w:rPr>
          <w:rFonts w:cs="Arial"/>
        </w:rPr>
        <w:t>:</w:t>
      </w:r>
    </w:p>
    <w:p w14:paraId="01C69777" w14:textId="77777777" w:rsidR="00DC44AE" w:rsidRDefault="00DD49E6" w:rsidP="003102F4">
      <w:pPr>
        <w:pStyle w:val="ListBulletLast"/>
      </w:pPr>
      <w:r>
        <w:t>T</w:t>
      </w:r>
      <w:r w:rsidRPr="006B12D2">
        <w:t xml:space="preserve">he transmitter must comply with ETSI </w:t>
      </w:r>
      <w:r w:rsidR="00304DE5">
        <w:t>S</w:t>
      </w:r>
      <w:r w:rsidRPr="006B12D2">
        <w:t>tandard EN 30</w:t>
      </w:r>
      <w:r w:rsidR="00B913A1">
        <w:t>1</w:t>
      </w:r>
      <w:r w:rsidRPr="006B12D2">
        <w:t xml:space="preserve"> </w:t>
      </w:r>
      <w:r w:rsidR="00B913A1">
        <w:t>559</w:t>
      </w:r>
      <w:r w:rsidR="00F2428D">
        <w:t>.</w:t>
      </w:r>
    </w:p>
    <w:p w14:paraId="3AAD55B2" w14:textId="1143C595" w:rsidR="00DC44AE" w:rsidRDefault="0045185E" w:rsidP="00DC44AE">
      <w:pPr>
        <w:pStyle w:val="ListBullet"/>
        <w:numPr>
          <w:ilvl w:val="0"/>
          <w:numId w:val="0"/>
        </w:numPr>
      </w:pPr>
      <w:hyperlink r:id="rId30" w:history="1">
        <w:r w:rsidR="00DC44AE" w:rsidRPr="00F2428D">
          <w:rPr>
            <w:rStyle w:val="Hyperlink"/>
          </w:rPr>
          <w:t xml:space="preserve">ETSI </w:t>
        </w:r>
        <w:r w:rsidR="00304DE5" w:rsidRPr="00F2428D">
          <w:rPr>
            <w:rStyle w:val="Hyperlink"/>
          </w:rPr>
          <w:t>S</w:t>
        </w:r>
        <w:r w:rsidR="00DC44AE" w:rsidRPr="00F2428D">
          <w:rPr>
            <w:rStyle w:val="Hyperlink"/>
          </w:rPr>
          <w:t>tandard</w:t>
        </w:r>
      </w:hyperlink>
      <w:r w:rsidR="00DC44AE" w:rsidRPr="00AF0C9B">
        <w:t xml:space="preserve"> EN 301 559 </w:t>
      </w:r>
      <w:r w:rsidR="00DD49E6" w:rsidRPr="00AF0C9B">
        <w:t xml:space="preserve">is a </w:t>
      </w:r>
      <w:r w:rsidR="00DC44AE" w:rsidRPr="00AF0C9B">
        <w:t xml:space="preserve">European </w:t>
      </w:r>
      <w:r w:rsidR="00DD49E6" w:rsidRPr="00AF0C9B">
        <w:t>standard</w:t>
      </w:r>
      <w:r w:rsidR="006E02C8" w:rsidRPr="00AF0C9B">
        <w:t xml:space="preserve"> </w:t>
      </w:r>
      <w:r w:rsidR="00F2428D">
        <w:t>that</w:t>
      </w:r>
      <w:r w:rsidR="00F2428D" w:rsidRPr="00AF0C9B">
        <w:t xml:space="preserve"> </w:t>
      </w:r>
      <w:r w:rsidR="00AF0C9B" w:rsidRPr="00AF0C9B">
        <w:t xml:space="preserve">defines </w:t>
      </w:r>
      <w:r w:rsidR="00981B3D" w:rsidRPr="00AF0C9B">
        <w:t>spectrum monitoring and access requirements designed to significantly reduce any interference potential between active medical implant systems and other primary or secondary users of the band.</w:t>
      </w:r>
    </w:p>
    <w:p w14:paraId="26BD609D" w14:textId="77777777" w:rsidR="00DD49E6" w:rsidRDefault="00DD49E6" w:rsidP="00DC44AE">
      <w:pPr>
        <w:pStyle w:val="ListBullet"/>
        <w:numPr>
          <w:ilvl w:val="0"/>
          <w:numId w:val="0"/>
        </w:numPr>
      </w:pPr>
      <w:r w:rsidRPr="006B12D2">
        <w:t xml:space="preserve">There is a related change to Schedule 2 to the LIPD </w:t>
      </w:r>
      <w:r w:rsidR="009111F4">
        <w:t>C</w:t>
      </w:r>
      <w:r w:rsidRPr="006B12D2">
        <w:t xml:space="preserve">lass </w:t>
      </w:r>
      <w:r w:rsidR="009111F4">
        <w:t>L</w:t>
      </w:r>
      <w:r w:rsidRPr="006B12D2">
        <w:t>icence, to reflect the inclusion of EN </w:t>
      </w:r>
      <w:r w:rsidR="003D43AD" w:rsidRPr="006B12D2">
        <w:t>30</w:t>
      </w:r>
      <w:r w:rsidR="003D43AD">
        <w:t>1</w:t>
      </w:r>
      <w:r w:rsidR="003D43AD" w:rsidRPr="006B12D2">
        <w:t xml:space="preserve"> </w:t>
      </w:r>
      <w:r w:rsidR="003D43AD">
        <w:t>559</w:t>
      </w:r>
      <w:r>
        <w:t>.</w:t>
      </w:r>
    </w:p>
    <w:p w14:paraId="4A303470" w14:textId="6FFFA6EA" w:rsidR="000666A1" w:rsidRPr="006B12D2" w:rsidRDefault="008158A6" w:rsidP="000666A1">
      <w:pPr>
        <w:pStyle w:val="Heading2"/>
      </w:pPr>
      <w:bookmarkStart w:id="22" w:name="_Toc499041985"/>
      <w:r>
        <w:t>Data</w:t>
      </w:r>
      <w:r w:rsidR="000666A1" w:rsidRPr="006B12D2">
        <w:t xml:space="preserve"> </w:t>
      </w:r>
      <w:r>
        <w:t>communication</w:t>
      </w:r>
      <w:r w:rsidR="000666A1" w:rsidRPr="006B12D2">
        <w:t xml:space="preserve"> transmitters</w:t>
      </w:r>
      <w:bookmarkEnd w:id="19"/>
      <w:bookmarkEnd w:id="20"/>
      <w:r w:rsidR="0028144E">
        <w:t xml:space="preserve"> (57</w:t>
      </w:r>
      <w:r w:rsidR="00F2428D">
        <w:t>–</w:t>
      </w:r>
      <w:r w:rsidR="0028144E">
        <w:t>66 GHz)</w:t>
      </w:r>
      <w:bookmarkEnd w:id="22"/>
    </w:p>
    <w:p w14:paraId="36587884" w14:textId="77777777" w:rsidR="000666A1" w:rsidRPr="006B12D2" w:rsidRDefault="000666A1" w:rsidP="000666A1">
      <w:pPr>
        <w:pStyle w:val="Heading3"/>
      </w:pPr>
      <w:bookmarkStart w:id="23" w:name="_Toc433891918"/>
      <w:bookmarkStart w:id="24" w:name="_Toc499041986"/>
      <w:r w:rsidRPr="006B12D2">
        <w:t xml:space="preserve">Change to item </w:t>
      </w:r>
      <w:r w:rsidR="006F2381">
        <w:t>65</w:t>
      </w:r>
      <w:r w:rsidRPr="006B12D2">
        <w:t xml:space="preserve"> of Schedule 1 to the LIPD </w:t>
      </w:r>
      <w:r w:rsidR="009111F4">
        <w:t>C</w:t>
      </w:r>
      <w:r w:rsidRPr="006B12D2">
        <w:t xml:space="preserve">lass </w:t>
      </w:r>
      <w:r w:rsidR="009111F4">
        <w:t>L</w:t>
      </w:r>
      <w:r w:rsidRPr="006B12D2">
        <w:t>icence</w:t>
      </w:r>
      <w:bookmarkEnd w:id="23"/>
      <w:bookmarkEnd w:id="24"/>
    </w:p>
    <w:p w14:paraId="7B1432E5" w14:textId="5397CE57" w:rsidR="009F6A26" w:rsidRDefault="000666A1" w:rsidP="000666A1">
      <w:pPr>
        <w:rPr>
          <w:rFonts w:cs="Arial"/>
        </w:rPr>
      </w:pPr>
      <w:r w:rsidRPr="006B12D2">
        <w:rPr>
          <w:rFonts w:cs="Arial"/>
        </w:rPr>
        <w:t xml:space="preserve">The ACMA is proposing to </w:t>
      </w:r>
      <w:r w:rsidR="0028144E">
        <w:rPr>
          <w:rFonts w:cs="Arial"/>
        </w:rPr>
        <w:t xml:space="preserve">revise </w:t>
      </w:r>
      <w:r w:rsidRPr="006B12D2">
        <w:rPr>
          <w:rFonts w:cs="Arial"/>
        </w:rPr>
        <w:t xml:space="preserve">existing arrangements </w:t>
      </w:r>
      <w:r w:rsidR="0028144E" w:rsidRPr="004D1F0E">
        <w:rPr>
          <w:rFonts w:cs="Arial"/>
        </w:rPr>
        <w:t>for data communication transmitters operating in the 57</w:t>
      </w:r>
      <w:r w:rsidR="00F2428D">
        <w:rPr>
          <w:rFonts w:cs="Arial"/>
        </w:rPr>
        <w:t>–</w:t>
      </w:r>
      <w:r w:rsidR="0028144E" w:rsidRPr="004D1F0E">
        <w:rPr>
          <w:rFonts w:cs="Arial"/>
        </w:rPr>
        <w:t xml:space="preserve">66 GHz band </w:t>
      </w:r>
      <w:r w:rsidR="0028144E">
        <w:rPr>
          <w:rFonts w:cs="Arial"/>
        </w:rPr>
        <w:t xml:space="preserve">to align with </w:t>
      </w:r>
      <w:r w:rsidR="0028144E" w:rsidRPr="004D1F0E">
        <w:rPr>
          <w:rFonts w:cs="Arial"/>
        </w:rPr>
        <w:t xml:space="preserve">changes by the </w:t>
      </w:r>
      <w:r w:rsidR="00463496">
        <w:rPr>
          <w:rFonts w:cs="Arial"/>
        </w:rPr>
        <w:t>FCC</w:t>
      </w:r>
      <w:r w:rsidR="009F6A26">
        <w:rPr>
          <w:rFonts w:cs="Arial"/>
        </w:rPr>
        <w:t xml:space="preserve">. </w:t>
      </w:r>
    </w:p>
    <w:p w14:paraId="50F17E51" w14:textId="588771CD" w:rsidR="0028144E" w:rsidRDefault="001768CA" w:rsidP="000666A1">
      <w:pPr>
        <w:rPr>
          <w:rFonts w:cs="Arial"/>
        </w:rPr>
      </w:pPr>
      <w:r>
        <w:rPr>
          <w:rFonts w:cs="Arial"/>
        </w:rPr>
        <w:t>The ACMA first introduced a</w:t>
      </w:r>
      <w:r w:rsidR="009F6A26" w:rsidRPr="009F6A26">
        <w:rPr>
          <w:rFonts w:cs="Arial"/>
        </w:rPr>
        <w:t>rrangements for data communications transmitters in the frequency range 57</w:t>
      </w:r>
      <w:r w:rsidR="00F2428D">
        <w:rPr>
          <w:rFonts w:cs="Arial"/>
        </w:rPr>
        <w:t>–</w:t>
      </w:r>
      <w:r w:rsidR="009F6A26" w:rsidRPr="009F6A26">
        <w:rPr>
          <w:rFonts w:cs="Arial"/>
        </w:rPr>
        <w:t>66</w:t>
      </w:r>
      <w:r w:rsidR="00F2428D">
        <w:rPr>
          <w:rFonts w:cs="Arial"/>
        </w:rPr>
        <w:t> </w:t>
      </w:r>
      <w:r w:rsidR="009F6A26" w:rsidRPr="009F6A26">
        <w:rPr>
          <w:rFonts w:cs="Arial"/>
        </w:rPr>
        <w:t>GHz in 2007</w:t>
      </w:r>
      <w:r>
        <w:rPr>
          <w:rFonts w:cs="Arial"/>
        </w:rPr>
        <w:t>,</w:t>
      </w:r>
      <w:r w:rsidR="009F6A26" w:rsidRPr="009F6A26">
        <w:rPr>
          <w:rFonts w:cs="Arial"/>
        </w:rPr>
        <w:t xml:space="preserve"> following U</w:t>
      </w:r>
      <w:r w:rsidR="00555B9F">
        <w:rPr>
          <w:rFonts w:cs="Arial"/>
        </w:rPr>
        <w:t>S</w:t>
      </w:r>
      <w:r w:rsidR="009F6A26" w:rsidRPr="009F6A26">
        <w:rPr>
          <w:rFonts w:cs="Arial"/>
        </w:rPr>
        <w:t xml:space="preserve"> and European developments. </w:t>
      </w:r>
      <w:r w:rsidR="00147ED8">
        <w:rPr>
          <w:rFonts w:cs="Arial"/>
        </w:rPr>
        <w:t>In 2013</w:t>
      </w:r>
      <w:r>
        <w:rPr>
          <w:rFonts w:cs="Arial"/>
        </w:rPr>
        <w:t>,</w:t>
      </w:r>
      <w:r w:rsidR="009F6A26" w:rsidRPr="009F6A26">
        <w:rPr>
          <w:rFonts w:cs="Arial"/>
        </w:rPr>
        <w:t xml:space="preserve"> the </w:t>
      </w:r>
      <w:r w:rsidR="009F6A26">
        <w:rPr>
          <w:rFonts w:cs="Arial"/>
        </w:rPr>
        <w:t xml:space="preserve">FCC </w:t>
      </w:r>
      <w:r w:rsidR="009F6A26" w:rsidRPr="009F6A26">
        <w:rPr>
          <w:rFonts w:cs="Arial"/>
        </w:rPr>
        <w:t>changed the way technical limitations are specified for these devices</w:t>
      </w:r>
      <w:r w:rsidR="00147ED8">
        <w:rPr>
          <w:rFonts w:cs="Arial"/>
        </w:rPr>
        <w:t xml:space="preserve"> by replacing average and peak power density </w:t>
      </w:r>
      <w:r w:rsidR="00F14727">
        <w:rPr>
          <w:rFonts w:cs="Arial"/>
        </w:rPr>
        <w:t xml:space="preserve">with </w:t>
      </w:r>
      <w:r w:rsidR="00147ED8">
        <w:rPr>
          <w:rFonts w:cs="Arial"/>
        </w:rPr>
        <w:t>EIRP limits</w:t>
      </w:r>
      <w:r>
        <w:rPr>
          <w:rFonts w:cs="Arial"/>
        </w:rPr>
        <w:t>,</w:t>
      </w:r>
      <w:r w:rsidR="00147ED8">
        <w:rPr>
          <w:rFonts w:cs="Arial"/>
        </w:rPr>
        <w:t xml:space="preserve"> </w:t>
      </w:r>
      <w:r w:rsidR="005B50DC">
        <w:rPr>
          <w:rFonts w:cs="Arial"/>
        </w:rPr>
        <w:t>due to</w:t>
      </w:r>
      <w:r w:rsidR="00147ED8">
        <w:rPr>
          <w:rFonts w:cs="Arial"/>
        </w:rPr>
        <w:t xml:space="preserve"> difficulties in obtaining accurate power density measurements.</w:t>
      </w:r>
      <w:r w:rsidR="00147ED8">
        <w:rPr>
          <w:rStyle w:val="FootnoteReference"/>
          <w:rFonts w:cs="Arial"/>
        </w:rPr>
        <w:footnoteReference w:id="2"/>
      </w:r>
      <w:r w:rsidR="00147ED8" w:rsidRPr="009F6A26">
        <w:rPr>
          <w:rFonts w:cs="Arial"/>
        </w:rPr>
        <w:t xml:space="preserve"> </w:t>
      </w:r>
      <w:r w:rsidR="00CD5030">
        <w:rPr>
          <w:rFonts w:cs="Arial"/>
        </w:rPr>
        <w:t xml:space="preserve">That change resulted in </w:t>
      </w:r>
      <w:r w:rsidR="00CC5F1B">
        <w:rPr>
          <w:rFonts w:cs="Arial"/>
        </w:rPr>
        <w:t>differences in the way technical limitations were specified in Australia and the US for the same equipment</w:t>
      </w:r>
      <w:r>
        <w:rPr>
          <w:rFonts w:cs="Arial"/>
        </w:rPr>
        <w:t>,</w:t>
      </w:r>
      <w:r w:rsidR="00CC5F1B">
        <w:rPr>
          <w:rFonts w:cs="Arial"/>
        </w:rPr>
        <w:t xml:space="preserve"> creating an </w:t>
      </w:r>
      <w:r w:rsidR="00147ED8">
        <w:rPr>
          <w:rFonts w:cs="Arial"/>
        </w:rPr>
        <w:t xml:space="preserve">ambiguity </w:t>
      </w:r>
      <w:r w:rsidR="009F6A26" w:rsidRPr="009F6A26">
        <w:rPr>
          <w:rFonts w:cs="Arial"/>
        </w:rPr>
        <w:t>about whether equipment meeting FCC arrangements also meets Australian arrangements</w:t>
      </w:r>
      <w:r w:rsidR="009F6A26">
        <w:rPr>
          <w:rFonts w:cs="Arial"/>
        </w:rPr>
        <w:t>. The purpose of these changes is to remove that ambiguity by directly referring to FCC requirements.</w:t>
      </w:r>
    </w:p>
    <w:p w14:paraId="5B87BE78" w14:textId="43CA75CD" w:rsidR="009C7117" w:rsidRDefault="000666A1" w:rsidP="003102F4">
      <w:pPr>
        <w:spacing w:after="80"/>
        <w:rPr>
          <w:rFonts w:cs="Arial"/>
        </w:rPr>
      </w:pPr>
      <w:r w:rsidRPr="006B12D2">
        <w:rPr>
          <w:rFonts w:cs="Arial"/>
        </w:rPr>
        <w:t xml:space="preserve">The proposal is to </w:t>
      </w:r>
      <w:r w:rsidR="00DC44AE">
        <w:rPr>
          <w:rFonts w:cs="Arial"/>
        </w:rPr>
        <w:t xml:space="preserve">omit </w:t>
      </w:r>
      <w:r w:rsidR="00304DE5">
        <w:rPr>
          <w:rFonts w:cs="Arial"/>
        </w:rPr>
        <w:t xml:space="preserve">the limitation to </w:t>
      </w:r>
      <w:r w:rsidR="00DC44AE">
        <w:rPr>
          <w:rFonts w:cs="Arial"/>
        </w:rPr>
        <w:t>indoor</w:t>
      </w:r>
      <w:r w:rsidR="00304DE5">
        <w:rPr>
          <w:rFonts w:cs="Arial"/>
        </w:rPr>
        <w:t xml:space="preserve"> use</w:t>
      </w:r>
      <w:r w:rsidR="00DC44AE">
        <w:rPr>
          <w:rFonts w:cs="Arial"/>
        </w:rPr>
        <w:t xml:space="preserve"> from the column </w:t>
      </w:r>
      <w:r w:rsidR="001768CA">
        <w:rPr>
          <w:rFonts w:cs="Arial"/>
        </w:rPr>
        <w:t>one</w:t>
      </w:r>
      <w:r w:rsidR="00DC44AE">
        <w:rPr>
          <w:rFonts w:cs="Arial"/>
        </w:rPr>
        <w:t xml:space="preserve"> class of transmitter and replace</w:t>
      </w:r>
      <w:r w:rsidR="009F6A26">
        <w:rPr>
          <w:rFonts w:cs="Arial"/>
        </w:rPr>
        <w:t xml:space="preserve"> </w:t>
      </w:r>
      <w:r w:rsidR="00A822AF">
        <w:rPr>
          <w:rFonts w:cs="Arial"/>
        </w:rPr>
        <w:t xml:space="preserve">all four </w:t>
      </w:r>
      <w:r w:rsidR="00DC44AE">
        <w:rPr>
          <w:rFonts w:cs="Arial"/>
        </w:rPr>
        <w:t xml:space="preserve">existing limitations </w:t>
      </w:r>
      <w:r w:rsidR="00C7776B">
        <w:rPr>
          <w:rFonts w:cs="Arial"/>
        </w:rPr>
        <w:t xml:space="preserve">with a single limitation in column </w:t>
      </w:r>
      <w:r w:rsidR="001768CA">
        <w:rPr>
          <w:rFonts w:cs="Arial"/>
        </w:rPr>
        <w:t>four</w:t>
      </w:r>
      <w:r w:rsidR="00C7776B">
        <w:rPr>
          <w:rFonts w:cs="Arial"/>
        </w:rPr>
        <w:t xml:space="preserve"> of item 65</w:t>
      </w:r>
      <w:r w:rsidR="00DC44AE">
        <w:rPr>
          <w:rFonts w:cs="Arial"/>
        </w:rPr>
        <w:t xml:space="preserve"> that states:</w:t>
      </w:r>
    </w:p>
    <w:p w14:paraId="01A2E1A8" w14:textId="77777777" w:rsidR="00DC44AE" w:rsidRPr="00DC44AE" w:rsidRDefault="00C7776B" w:rsidP="003102F4">
      <w:pPr>
        <w:pStyle w:val="ListBulletLast"/>
      </w:pPr>
      <w:r>
        <w:t>T</w:t>
      </w:r>
      <w:r w:rsidRPr="006B12D2">
        <w:t>he transmitter must comply with</w:t>
      </w:r>
      <w:r>
        <w:t xml:space="preserve"> FCC Rule</w:t>
      </w:r>
      <w:r w:rsidR="007D3EB2">
        <w:t>s</w:t>
      </w:r>
      <w:r>
        <w:t xml:space="preserve"> Title 47 Part 15 </w:t>
      </w:r>
      <w:r w:rsidR="007D3EB2">
        <w:t>S</w:t>
      </w:r>
      <w:r>
        <w:t>ection 255</w:t>
      </w:r>
      <w:r w:rsidR="001768CA">
        <w:t>.</w:t>
      </w:r>
    </w:p>
    <w:p w14:paraId="60B79843" w14:textId="6605984A" w:rsidR="001768CA" w:rsidRDefault="00C60BBD" w:rsidP="00E872FC">
      <w:pPr>
        <w:rPr>
          <w:rFonts w:cs="Arial"/>
        </w:rPr>
      </w:pPr>
      <w:r>
        <w:rPr>
          <w:rFonts w:cs="Arial"/>
        </w:rPr>
        <w:t>In 2016, the</w:t>
      </w:r>
      <w:r w:rsidR="00590028" w:rsidRPr="00590028">
        <w:rPr>
          <w:rFonts w:cs="Arial"/>
        </w:rPr>
        <w:t xml:space="preserve"> FCC </w:t>
      </w:r>
      <w:r w:rsidR="00CD5030">
        <w:rPr>
          <w:rFonts w:cs="Arial"/>
        </w:rPr>
        <w:t xml:space="preserve">made additional changes to arrangements of </w:t>
      </w:r>
      <w:r w:rsidR="00941B16">
        <w:rPr>
          <w:rFonts w:cs="Arial"/>
        </w:rPr>
        <w:t>P</w:t>
      </w:r>
      <w:r w:rsidR="00CD5030">
        <w:rPr>
          <w:rFonts w:cs="Arial"/>
        </w:rPr>
        <w:t>art 15</w:t>
      </w:r>
      <w:r w:rsidR="001768CA">
        <w:rPr>
          <w:rFonts w:cs="Arial"/>
        </w:rPr>
        <w:t>,</w:t>
      </w:r>
      <w:r w:rsidR="00CD5030">
        <w:rPr>
          <w:rFonts w:cs="Arial"/>
        </w:rPr>
        <w:t xml:space="preserve"> Section 255</w:t>
      </w:r>
      <w:r w:rsidR="002A421E">
        <w:rPr>
          <w:rStyle w:val="FootnoteReference"/>
          <w:rFonts w:cs="Arial"/>
        </w:rPr>
        <w:footnoteReference w:id="3"/>
      </w:r>
      <w:r w:rsidR="002A421E">
        <w:rPr>
          <w:rFonts w:cs="Arial"/>
        </w:rPr>
        <w:t xml:space="preserve"> </w:t>
      </w:r>
      <w:r w:rsidR="00CD5030">
        <w:rPr>
          <w:rFonts w:cs="Arial"/>
        </w:rPr>
        <w:t>to include t</w:t>
      </w:r>
      <w:r w:rsidR="00590028" w:rsidRPr="00590028">
        <w:rPr>
          <w:rFonts w:cs="Arial"/>
        </w:rPr>
        <w:t xml:space="preserve">he frequency range </w:t>
      </w:r>
      <w:r w:rsidR="00B0174C" w:rsidRPr="00590028">
        <w:rPr>
          <w:rFonts w:cs="Arial"/>
        </w:rPr>
        <w:t>6</w:t>
      </w:r>
      <w:r w:rsidR="00B0174C">
        <w:rPr>
          <w:rFonts w:cs="Arial"/>
        </w:rPr>
        <w:t>4</w:t>
      </w:r>
      <w:r w:rsidR="001768CA">
        <w:rPr>
          <w:rFonts w:cs="Arial"/>
        </w:rPr>
        <w:t>–</w:t>
      </w:r>
      <w:r w:rsidR="00590028" w:rsidRPr="00590028">
        <w:rPr>
          <w:rFonts w:cs="Arial"/>
        </w:rPr>
        <w:t xml:space="preserve">71 GHz </w:t>
      </w:r>
      <w:r w:rsidR="00941B16">
        <w:rPr>
          <w:rFonts w:cs="Arial"/>
        </w:rPr>
        <w:t>and</w:t>
      </w:r>
      <w:r w:rsidR="00941B16" w:rsidRPr="00590028">
        <w:rPr>
          <w:rFonts w:cs="Arial"/>
        </w:rPr>
        <w:t xml:space="preserve"> </w:t>
      </w:r>
      <w:r w:rsidR="00E433E0">
        <w:rPr>
          <w:rFonts w:cs="Arial"/>
        </w:rPr>
        <w:t xml:space="preserve">provide </w:t>
      </w:r>
      <w:r w:rsidR="00590028" w:rsidRPr="00590028">
        <w:rPr>
          <w:rFonts w:cs="Arial"/>
        </w:rPr>
        <w:t xml:space="preserve">further </w:t>
      </w:r>
      <w:r w:rsidR="00E433E0">
        <w:rPr>
          <w:rFonts w:cs="Arial"/>
        </w:rPr>
        <w:t xml:space="preserve">options for </w:t>
      </w:r>
      <w:r w:rsidR="00590028" w:rsidRPr="00590028">
        <w:rPr>
          <w:rFonts w:cs="Arial"/>
        </w:rPr>
        <w:t xml:space="preserve">data communications </w:t>
      </w:r>
      <w:r w:rsidR="00CC5F1B">
        <w:rPr>
          <w:rFonts w:cs="Arial"/>
        </w:rPr>
        <w:t xml:space="preserve">intended to </w:t>
      </w:r>
      <w:r w:rsidR="00590028" w:rsidRPr="00590028">
        <w:rPr>
          <w:rFonts w:cs="Arial"/>
        </w:rPr>
        <w:t>support future ‘5G’ services</w:t>
      </w:r>
      <w:r w:rsidR="00CD5030">
        <w:rPr>
          <w:rFonts w:cs="Arial"/>
        </w:rPr>
        <w:t xml:space="preserve"> (for example, backhaul</w:t>
      </w:r>
      <w:r w:rsidR="00560125">
        <w:rPr>
          <w:rFonts w:cs="Arial"/>
        </w:rPr>
        <w:t xml:space="preserve"> in mobile broadband networks</w:t>
      </w:r>
      <w:r w:rsidR="00CD5030">
        <w:rPr>
          <w:rFonts w:cs="Arial"/>
        </w:rPr>
        <w:t>)</w:t>
      </w:r>
      <w:r w:rsidR="00590028" w:rsidRPr="00590028">
        <w:rPr>
          <w:rFonts w:cs="Arial"/>
        </w:rPr>
        <w:t xml:space="preserve">. </w:t>
      </w:r>
      <w:r w:rsidR="00555B9F">
        <w:rPr>
          <w:rFonts w:cs="Arial"/>
        </w:rPr>
        <w:t xml:space="preserve">Similar proposals are also under consideration by </w:t>
      </w:r>
      <w:r w:rsidR="00555B9F" w:rsidRPr="00555B9F">
        <w:rPr>
          <w:rFonts w:cs="Arial"/>
        </w:rPr>
        <w:t>Innovation, Science and Economic Development Ca</w:t>
      </w:r>
      <w:r w:rsidR="00555B9F">
        <w:rPr>
          <w:rFonts w:cs="Arial"/>
        </w:rPr>
        <w:t>nada</w:t>
      </w:r>
      <w:r w:rsidR="001768CA">
        <w:rPr>
          <w:rFonts w:cs="Arial"/>
        </w:rPr>
        <w:t>.</w:t>
      </w:r>
      <w:r w:rsidR="00555B9F">
        <w:rPr>
          <w:rStyle w:val="FootnoteReference"/>
          <w:rFonts w:cs="Arial"/>
        </w:rPr>
        <w:footnoteReference w:id="4"/>
      </w:r>
    </w:p>
    <w:p w14:paraId="7E591EF3" w14:textId="6699FCCB" w:rsidR="00FD4329" w:rsidRDefault="00590028" w:rsidP="00E872FC">
      <w:pPr>
        <w:rPr>
          <w:rFonts w:cs="Arial"/>
        </w:rPr>
      </w:pPr>
      <w:r>
        <w:rPr>
          <w:rFonts w:cs="Arial"/>
        </w:rPr>
        <w:t xml:space="preserve">The ACMA </w:t>
      </w:r>
      <w:r w:rsidRPr="00590028">
        <w:rPr>
          <w:rFonts w:cs="Arial"/>
        </w:rPr>
        <w:t>recognise</w:t>
      </w:r>
      <w:r>
        <w:rPr>
          <w:rFonts w:cs="Arial"/>
        </w:rPr>
        <w:t>s</w:t>
      </w:r>
      <w:r w:rsidRPr="00590028">
        <w:rPr>
          <w:rFonts w:cs="Arial"/>
        </w:rPr>
        <w:t xml:space="preserve"> that </w:t>
      </w:r>
      <w:r w:rsidR="00CD5030">
        <w:rPr>
          <w:rFonts w:cs="Arial"/>
        </w:rPr>
        <w:t>the introduction of similar arrangements</w:t>
      </w:r>
      <w:r w:rsidR="00E433E0">
        <w:rPr>
          <w:rFonts w:cs="Arial"/>
        </w:rPr>
        <w:t xml:space="preserve"> </w:t>
      </w:r>
      <w:r w:rsidR="008D4BC6">
        <w:rPr>
          <w:rFonts w:cs="Arial"/>
        </w:rPr>
        <w:t>may</w:t>
      </w:r>
      <w:r w:rsidRPr="00590028">
        <w:rPr>
          <w:rFonts w:cs="Arial"/>
        </w:rPr>
        <w:t xml:space="preserve"> be </w:t>
      </w:r>
      <w:r w:rsidR="00E433E0">
        <w:rPr>
          <w:rFonts w:cs="Arial"/>
        </w:rPr>
        <w:t>beneficial</w:t>
      </w:r>
      <w:r w:rsidR="00E433E0" w:rsidRPr="00590028">
        <w:rPr>
          <w:rFonts w:cs="Arial"/>
        </w:rPr>
        <w:t xml:space="preserve"> </w:t>
      </w:r>
      <w:r w:rsidRPr="00590028">
        <w:rPr>
          <w:rFonts w:cs="Arial"/>
        </w:rPr>
        <w:t>for 5G</w:t>
      </w:r>
      <w:r w:rsidR="00E433E0">
        <w:rPr>
          <w:rFonts w:cs="Arial"/>
        </w:rPr>
        <w:t xml:space="preserve"> development in Australia</w:t>
      </w:r>
      <w:r w:rsidRPr="00590028">
        <w:rPr>
          <w:rFonts w:cs="Arial"/>
        </w:rPr>
        <w:t xml:space="preserve">. While </w:t>
      </w:r>
      <w:r>
        <w:rPr>
          <w:rFonts w:cs="Arial"/>
        </w:rPr>
        <w:t>not proposing changes in this update</w:t>
      </w:r>
      <w:r w:rsidR="008D4BC6">
        <w:rPr>
          <w:rFonts w:cs="Arial"/>
        </w:rPr>
        <w:t>,</w:t>
      </w:r>
      <w:r w:rsidR="00E433E0">
        <w:rPr>
          <w:rFonts w:cs="Arial"/>
        </w:rPr>
        <w:t xml:space="preserve"> t</w:t>
      </w:r>
      <w:r w:rsidR="008D4BC6">
        <w:rPr>
          <w:rFonts w:cs="Arial"/>
        </w:rPr>
        <w:t>he</w:t>
      </w:r>
      <w:r>
        <w:rPr>
          <w:rFonts w:cs="Arial"/>
        </w:rPr>
        <w:t xml:space="preserve"> ACMA is considering whether similar changes should be considered in future updates and seeks industry views about the need for such arrangements.</w:t>
      </w:r>
    </w:p>
    <w:p w14:paraId="3C054910" w14:textId="77777777" w:rsidR="00FD4329" w:rsidRPr="00787435" w:rsidRDefault="00FD4329" w:rsidP="00787435">
      <w:pPr>
        <w:pStyle w:val="Heading2"/>
      </w:pPr>
      <w:bookmarkStart w:id="25" w:name="_Toc499041987"/>
      <w:r w:rsidRPr="00787435">
        <w:t xml:space="preserve">Consequential updates to </w:t>
      </w:r>
      <w:r w:rsidRPr="001F7B0C">
        <w:t>AS/NZS 4268</w:t>
      </w:r>
      <w:bookmarkEnd w:id="25"/>
    </w:p>
    <w:p w14:paraId="31D0BD29" w14:textId="658594E5" w:rsidR="00FD4329" w:rsidRDefault="00FD4329" w:rsidP="00FD4329">
      <w:r>
        <w:t xml:space="preserve">The LIPD Class Licence operates in concert with the </w:t>
      </w:r>
      <w:r w:rsidRPr="00476975">
        <w:t>Radiocommunications (Short Range Devices) Standard 2014</w:t>
      </w:r>
      <w:r>
        <w:t xml:space="preserve"> (</w:t>
      </w:r>
      <w:r w:rsidR="00B00919">
        <w:t xml:space="preserve">SRD </w:t>
      </w:r>
      <w:r>
        <w:t>Standard) made by the ACMA under section</w:t>
      </w:r>
      <w:r w:rsidR="00C543A3">
        <w:t> </w:t>
      </w:r>
      <w:r>
        <w:t xml:space="preserve">162 of the Act. The LIPD Class Licence regulates the operation of certain devices, while the </w:t>
      </w:r>
      <w:r w:rsidR="00B00919">
        <w:t xml:space="preserve">SRD </w:t>
      </w:r>
      <w:r>
        <w:t xml:space="preserve">Standard </w:t>
      </w:r>
      <w:r>
        <w:lastRenderedPageBreak/>
        <w:t>(augmented by labelling and record-keeping requirements) regulates the supply of those devices to the market.</w:t>
      </w:r>
    </w:p>
    <w:p w14:paraId="2FF59946" w14:textId="50AE02D0" w:rsidR="00FD4329" w:rsidRDefault="00FD4329" w:rsidP="00FD4329">
      <w:r>
        <w:t xml:space="preserve">The </w:t>
      </w:r>
      <w:r w:rsidR="00B00919">
        <w:t xml:space="preserve">SRD </w:t>
      </w:r>
      <w:r>
        <w:t>Standard references the Standards Australia industry standard AS/NZS 4268 (as in force or existing from time to time). Typically</w:t>
      </w:r>
      <w:r w:rsidR="00C543A3">
        <w:t>,</w:t>
      </w:r>
      <w:r>
        <w:t xml:space="preserve"> Standards Australia updates AS/NZS 4268 after the making of the Variation to reflect the changes to the LIPD Class Licence as a part of regular procedural review.</w:t>
      </w:r>
    </w:p>
    <w:p w14:paraId="7C05E1ED" w14:textId="77777777" w:rsidR="009855A6" w:rsidRDefault="00FD4329" w:rsidP="00FD4329">
      <w:r>
        <w:t>To assist any review by Standards Australia as part of this consultation</w:t>
      </w:r>
      <w:r w:rsidR="00C543A3">
        <w:t>,</w:t>
      </w:r>
      <w:r>
        <w:t xml:space="preserve"> the AC</w:t>
      </w:r>
      <w:r w:rsidR="00503017">
        <w:t>MA</w:t>
      </w:r>
      <w:r>
        <w:t xml:space="preserve"> is also seeking views from industry on </w:t>
      </w:r>
      <w:r w:rsidR="00304DE5">
        <w:t xml:space="preserve">which </w:t>
      </w:r>
      <w:r>
        <w:t>aspect</w:t>
      </w:r>
      <w:r w:rsidR="00304DE5">
        <w:t>s (if any)</w:t>
      </w:r>
      <w:r>
        <w:t xml:space="preserve"> of the proposed updates </w:t>
      </w:r>
      <w:r w:rsidR="00304DE5">
        <w:t xml:space="preserve">in this paper </w:t>
      </w:r>
      <w:r>
        <w:t xml:space="preserve">should be </w:t>
      </w:r>
      <w:r w:rsidR="009855A6">
        <w:t>consider</w:t>
      </w:r>
      <w:r w:rsidR="00D91163">
        <w:t>ed</w:t>
      </w:r>
      <w:r>
        <w:t xml:space="preserve"> in any future update of AS/NZS</w:t>
      </w:r>
      <w:r w:rsidR="009855A6">
        <w:t xml:space="preserve"> 4268.</w:t>
      </w:r>
    </w:p>
    <w:p w14:paraId="08B93697" w14:textId="3EAEB570" w:rsidR="000E2256" w:rsidRDefault="009855A6" w:rsidP="00FD4329">
      <w:r>
        <w:t xml:space="preserve">The ACMA’s preliminary view is that only the update for data communication transmitters (57-66 GHz) may warrant an update to AS/NZS 4268 because of the potential for </w:t>
      </w:r>
      <w:proofErr w:type="gramStart"/>
      <w:r>
        <w:t>a large number of</w:t>
      </w:r>
      <w:proofErr w:type="gramEnd"/>
      <w:r>
        <w:t xml:space="preserve"> devices to be operate</w:t>
      </w:r>
      <w:r w:rsidR="00D91163">
        <w:t>d</w:t>
      </w:r>
      <w:r>
        <w:t xml:space="preserve"> under the proposed updates.</w:t>
      </w:r>
    </w:p>
    <w:p w14:paraId="446FEB23" w14:textId="4F73554A" w:rsidR="009855A6" w:rsidRDefault="009855A6" w:rsidP="00FD4329">
      <w:r>
        <w:t>The other updates are for specialised devices which are likely to be used in controlled environments</w:t>
      </w:r>
      <w:r w:rsidR="000E2256">
        <w:t xml:space="preserve"> with </w:t>
      </w:r>
      <w:r w:rsidR="000E2256" w:rsidRPr="000E2256">
        <w:t xml:space="preserve">minimal risk of interference </w:t>
      </w:r>
      <w:r w:rsidR="00304DE5">
        <w:t>caused by</w:t>
      </w:r>
      <w:r w:rsidR="00304DE5" w:rsidRPr="000E2256">
        <w:t xml:space="preserve"> </w:t>
      </w:r>
      <w:r w:rsidR="000E2256" w:rsidRPr="000E2256">
        <w:t>the</w:t>
      </w:r>
      <w:r w:rsidR="00304DE5">
        <w:t>ir</w:t>
      </w:r>
      <w:r w:rsidR="000E2256" w:rsidRPr="000E2256">
        <w:t xml:space="preserve"> operation</w:t>
      </w:r>
      <w:r w:rsidR="000E2256">
        <w:t>. In the case of medical devices</w:t>
      </w:r>
      <w:r w:rsidR="00697053">
        <w:t>,</w:t>
      </w:r>
      <w:r w:rsidR="000E2256">
        <w:t xml:space="preserve"> there are additional regulatory controls in place (via the </w:t>
      </w:r>
      <w:r w:rsidR="000E2256" w:rsidRPr="000E2256">
        <w:t>Therapeutic Goods Administration</w:t>
      </w:r>
      <w:r w:rsidR="000E2256">
        <w:t xml:space="preserve">). Consequently, the risk </w:t>
      </w:r>
      <w:r w:rsidR="000E2256" w:rsidRPr="000E2256">
        <w:t xml:space="preserve">does not </w:t>
      </w:r>
      <w:r w:rsidR="000E2256">
        <w:t xml:space="preserve">seem to </w:t>
      </w:r>
      <w:r w:rsidR="000E2256" w:rsidRPr="000E2256">
        <w:t>warrant imposing the regulatory bur</w:t>
      </w:r>
      <w:r w:rsidR="000E2256">
        <w:t xml:space="preserve">den of </w:t>
      </w:r>
      <w:r w:rsidR="0076016D">
        <w:t xml:space="preserve">compliance with </w:t>
      </w:r>
      <w:r w:rsidR="000E2256">
        <w:t>a standard on industry for these devices.</w:t>
      </w:r>
    </w:p>
    <w:p w14:paraId="149C84F8" w14:textId="77777777" w:rsidR="000666A1" w:rsidRPr="006B12D2" w:rsidRDefault="000666A1" w:rsidP="000666A1">
      <w:pPr>
        <w:pStyle w:val="Heading1"/>
      </w:pPr>
      <w:bookmarkStart w:id="26" w:name="_Toc433891925"/>
      <w:bookmarkStart w:id="27" w:name="_Toc436317141"/>
      <w:bookmarkStart w:id="28" w:name="_Toc499041988"/>
      <w:r w:rsidRPr="006B12D2">
        <w:lastRenderedPageBreak/>
        <w:t>Invitation to comment</w:t>
      </w:r>
      <w:bookmarkEnd w:id="15"/>
      <w:bookmarkEnd w:id="26"/>
      <w:bookmarkEnd w:id="27"/>
      <w:bookmarkEnd w:id="28"/>
    </w:p>
    <w:p w14:paraId="53A5DD1C" w14:textId="77777777" w:rsidR="000666A1" w:rsidRPr="006B12D2" w:rsidRDefault="000666A1" w:rsidP="000666A1">
      <w:pPr>
        <w:pStyle w:val="Heading2"/>
      </w:pPr>
      <w:bookmarkStart w:id="29" w:name="_Toc325117224"/>
      <w:bookmarkStart w:id="30" w:name="_Toc325364366"/>
      <w:bookmarkStart w:id="31" w:name="_Toc325364437"/>
      <w:bookmarkStart w:id="32" w:name="_Toc325370059"/>
      <w:bookmarkStart w:id="33" w:name="_Toc337627530"/>
      <w:bookmarkStart w:id="34" w:name="_Toc341348721"/>
      <w:bookmarkStart w:id="35" w:name="_Toc433891926"/>
      <w:bookmarkStart w:id="36" w:name="_Toc436317142"/>
      <w:bookmarkStart w:id="37" w:name="_Toc499041989"/>
      <w:r w:rsidRPr="006B12D2">
        <w:t>Making a submission</w:t>
      </w:r>
      <w:bookmarkEnd w:id="29"/>
      <w:bookmarkEnd w:id="30"/>
      <w:bookmarkEnd w:id="31"/>
      <w:bookmarkEnd w:id="32"/>
      <w:bookmarkEnd w:id="33"/>
      <w:bookmarkEnd w:id="34"/>
      <w:bookmarkEnd w:id="35"/>
      <w:bookmarkEnd w:id="36"/>
      <w:bookmarkEnd w:id="37"/>
    </w:p>
    <w:p w14:paraId="1D204BCC" w14:textId="169BDC4A" w:rsidR="000666A1" w:rsidRPr="006B12D2" w:rsidRDefault="000666A1" w:rsidP="00A06322">
      <w:pPr>
        <w:spacing w:after="80"/>
        <w:rPr>
          <w:rFonts w:cs="Arial"/>
        </w:rPr>
      </w:pPr>
      <w:r w:rsidRPr="006B12D2">
        <w:rPr>
          <w:rFonts w:cs="Arial"/>
        </w:rPr>
        <w:t>The ACMA invites comment on its proposed variation instrument:</w:t>
      </w:r>
    </w:p>
    <w:p w14:paraId="7B0895AA" w14:textId="77777777" w:rsidR="00C543A3" w:rsidRDefault="0045185E" w:rsidP="00C543A3">
      <w:pPr>
        <w:pStyle w:val="ListBullet"/>
      </w:pPr>
      <w:hyperlink r:id="rId31" w:history="1">
        <w:r w:rsidR="00C543A3" w:rsidRPr="00153FD5">
          <w:rPr>
            <w:rStyle w:val="Hyperlink"/>
            <w:b/>
            <w:bCs/>
          </w:rPr>
          <w:t>Online submissions</w:t>
        </w:r>
      </w:hyperlink>
      <w:r w:rsidR="00C543A3">
        <w:t>—submissions can be made via the comment function or by uploading a document. The online consultation page provides details.</w:t>
      </w:r>
    </w:p>
    <w:p w14:paraId="1362A2AE" w14:textId="72D11EB5" w:rsidR="000666A1" w:rsidRPr="006B12D2" w:rsidRDefault="000666A1" w:rsidP="00476975">
      <w:pPr>
        <w:pStyle w:val="ListBullet"/>
        <w:rPr>
          <w:rFonts w:cs="Arial"/>
        </w:rPr>
      </w:pPr>
      <w:r w:rsidRPr="006B12D2">
        <w:rPr>
          <w:rFonts w:cs="Arial"/>
        </w:rPr>
        <w:t xml:space="preserve">By </w:t>
      </w:r>
      <w:r w:rsidRPr="009F7B12">
        <w:t>email</w:t>
      </w:r>
      <w:r w:rsidR="00C90CA8">
        <w:rPr>
          <w:rFonts w:cs="Arial"/>
        </w:rPr>
        <w:t xml:space="preserve"> to </w:t>
      </w:r>
      <w:hyperlink r:id="rId32" w:history="1">
        <w:r w:rsidRPr="006B12D2">
          <w:rPr>
            <w:rStyle w:val="Hyperlink"/>
            <w:rFonts w:cs="Arial"/>
          </w:rPr>
          <w:t>freqplan@acma.gov.au</w:t>
        </w:r>
      </w:hyperlink>
    </w:p>
    <w:p w14:paraId="4A07B3DE" w14:textId="77777777" w:rsidR="00C90CA8" w:rsidRDefault="00C90CA8" w:rsidP="00C90CA8">
      <w:pPr>
        <w:pStyle w:val="ListBullet"/>
      </w:pPr>
      <w:r w:rsidRPr="00D60C33">
        <w:rPr>
          <w:b/>
        </w:rPr>
        <w:t>Submissions by post</w:t>
      </w:r>
      <w:r>
        <w:t>—</w:t>
      </w:r>
      <w:r w:rsidRPr="00D60C33">
        <w:t>can</w:t>
      </w:r>
      <w:r>
        <w:t xml:space="preserve"> be sent to: </w:t>
      </w:r>
    </w:p>
    <w:p w14:paraId="248C3081" w14:textId="5B9408F4" w:rsidR="000666A1" w:rsidRPr="006B12D2" w:rsidRDefault="000666A1" w:rsidP="00476975">
      <w:pPr>
        <w:pStyle w:val="ListBullet"/>
        <w:numPr>
          <w:ilvl w:val="0"/>
          <w:numId w:val="0"/>
        </w:numPr>
        <w:spacing w:after="240"/>
        <w:ind w:left="284" w:firstLine="1"/>
        <w:rPr>
          <w:rFonts w:cs="Arial"/>
        </w:rPr>
      </w:pPr>
      <w:r w:rsidRPr="006B12D2">
        <w:rPr>
          <w:rFonts w:cs="Arial"/>
        </w:rPr>
        <w:t>Manager</w:t>
      </w:r>
      <w:r w:rsidRPr="006B12D2">
        <w:rPr>
          <w:rFonts w:cs="Arial"/>
        </w:rPr>
        <w:br/>
        <w:t>Spectrum Engineering Section</w:t>
      </w:r>
      <w:r w:rsidRPr="006B12D2">
        <w:rPr>
          <w:rFonts w:cs="Arial"/>
        </w:rPr>
        <w:br/>
        <w:t>Australian Communications and Media Authority</w:t>
      </w:r>
      <w:r w:rsidRPr="006B12D2">
        <w:rPr>
          <w:rFonts w:cs="Arial"/>
        </w:rPr>
        <w:br/>
        <w:t>PO Box 78</w:t>
      </w:r>
      <w:r w:rsidRPr="006B12D2">
        <w:rPr>
          <w:rFonts w:cs="Arial"/>
        </w:rPr>
        <w:br/>
        <w:t>Belconnen Act 2616</w:t>
      </w:r>
    </w:p>
    <w:p w14:paraId="312D8B13" w14:textId="77777777" w:rsidR="000666A1" w:rsidRPr="003E1AAE" w:rsidRDefault="000666A1" w:rsidP="000666A1">
      <w:pPr>
        <w:rPr>
          <w:rFonts w:cs="Arial"/>
          <w:b/>
        </w:rPr>
      </w:pPr>
      <w:r w:rsidRPr="003E1AAE">
        <w:rPr>
          <w:rFonts w:cs="Arial"/>
          <w:b/>
        </w:rPr>
        <w:t>The closing date for submissions is</w:t>
      </w:r>
      <w:r w:rsidR="00904198" w:rsidRPr="003E1AAE">
        <w:rPr>
          <w:rFonts w:cs="Arial"/>
          <w:b/>
        </w:rPr>
        <w:t xml:space="preserve"> </w:t>
      </w:r>
      <w:r w:rsidR="003E1AAE">
        <w:rPr>
          <w:rFonts w:cs="Arial"/>
          <w:b/>
        </w:rPr>
        <w:t xml:space="preserve">COB, </w:t>
      </w:r>
      <w:r w:rsidR="00904198" w:rsidRPr="003E1AAE">
        <w:rPr>
          <w:rFonts w:cs="Arial"/>
          <w:b/>
        </w:rPr>
        <w:t xml:space="preserve">Friday </w:t>
      </w:r>
      <w:r w:rsidR="004F138B" w:rsidRPr="003E1AAE">
        <w:rPr>
          <w:rFonts w:cs="Arial"/>
          <w:b/>
        </w:rPr>
        <w:t>19 January</w:t>
      </w:r>
      <w:r w:rsidRPr="003E1AAE">
        <w:rPr>
          <w:rFonts w:cs="Arial"/>
          <w:b/>
        </w:rPr>
        <w:t xml:space="preserve"> 201</w:t>
      </w:r>
      <w:r w:rsidR="003D43AD" w:rsidRPr="003E1AAE">
        <w:rPr>
          <w:rFonts w:cs="Arial"/>
          <w:b/>
        </w:rPr>
        <w:t>8</w:t>
      </w:r>
      <w:r w:rsidRPr="003E1AAE">
        <w:rPr>
          <w:rFonts w:cs="Arial"/>
          <w:b/>
        </w:rPr>
        <w:t>.</w:t>
      </w:r>
    </w:p>
    <w:p w14:paraId="3B3D12F2" w14:textId="77777777" w:rsidR="000666A1" w:rsidRPr="006B12D2" w:rsidRDefault="000666A1" w:rsidP="000666A1">
      <w:pPr>
        <w:rPr>
          <w:rFonts w:cs="Arial"/>
        </w:rPr>
      </w:pPr>
      <w:r w:rsidRPr="006B12D2">
        <w:rPr>
          <w:rFonts w:cs="Arial"/>
        </w:rPr>
        <w:t>Electronic submissions in Microsoft Word or Rich Text Format are preferred.</w:t>
      </w:r>
    </w:p>
    <w:p w14:paraId="310CACD9" w14:textId="77777777" w:rsidR="003E1AAE" w:rsidRDefault="003E1AAE" w:rsidP="003E1AAE">
      <w:pPr>
        <w:pStyle w:val="BodySubHeader"/>
      </w:pPr>
      <w:r>
        <w:t>Enquiries</w:t>
      </w:r>
    </w:p>
    <w:p w14:paraId="4E4FDFFE" w14:textId="77777777" w:rsidR="003E1AAE" w:rsidRDefault="003E1AAE" w:rsidP="003E1AAE">
      <w:pPr>
        <w:pStyle w:val="ListBullet"/>
      </w:pPr>
      <w:r>
        <w:t>Consultation enquiries</w:t>
      </w:r>
      <w:r w:rsidRPr="005E7226">
        <w:t xml:space="preserve"> </w:t>
      </w:r>
      <w:r>
        <w:t xml:space="preserve">can be </w:t>
      </w:r>
      <w:r w:rsidR="0098651C">
        <w:t xml:space="preserve">sent to </w:t>
      </w:r>
      <w:r w:rsidRPr="006B12D2">
        <w:rPr>
          <w:rFonts w:cs="Arial"/>
        </w:rPr>
        <w:t xml:space="preserve">Manager, Spectrum Engineering, by email to </w:t>
      </w:r>
      <w:hyperlink r:id="rId33" w:history="1">
        <w:r w:rsidRPr="006B12D2">
          <w:rPr>
            <w:rStyle w:val="Hyperlink"/>
            <w:rFonts w:cs="Arial"/>
          </w:rPr>
          <w:t>freqplan@acma.gov.au</w:t>
        </w:r>
      </w:hyperlink>
      <w:r>
        <w:t>.</w:t>
      </w:r>
    </w:p>
    <w:p w14:paraId="6950E0F9" w14:textId="77777777" w:rsidR="003E1AAE" w:rsidRDefault="003E1AAE" w:rsidP="003E1AAE">
      <w:pPr>
        <w:pStyle w:val="ListBulletLast"/>
      </w:pPr>
      <w:r w:rsidRPr="005E7226">
        <w:t xml:space="preserve">Media enquiries </w:t>
      </w:r>
      <w:r>
        <w:t>can</w:t>
      </w:r>
      <w:r w:rsidRPr="005E7226">
        <w:t xml:space="preserve"> be directed to Emma Rossi on 02 9334 7719 or by email to </w:t>
      </w:r>
      <w:hyperlink r:id="rId34" w:history="1">
        <w:r w:rsidRPr="00250B07">
          <w:rPr>
            <w:rStyle w:val="Hyperlink"/>
          </w:rPr>
          <w:t>media@acma.gov.au</w:t>
        </w:r>
      </w:hyperlink>
      <w:r w:rsidRPr="005E7226">
        <w:t xml:space="preserve">. </w:t>
      </w:r>
    </w:p>
    <w:p w14:paraId="5ED39828" w14:textId="77777777" w:rsidR="000666A1" w:rsidRPr="00FE6872" w:rsidRDefault="000666A1" w:rsidP="000666A1">
      <w:pPr>
        <w:pStyle w:val="BodySubHeader"/>
        <w:rPr>
          <w:rFonts w:cs="Arial"/>
        </w:rPr>
      </w:pPr>
      <w:bookmarkStart w:id="38" w:name="_Toc325117225"/>
      <w:bookmarkStart w:id="39" w:name="_Toc325364367"/>
      <w:bookmarkStart w:id="40" w:name="_Toc325364438"/>
      <w:bookmarkStart w:id="41" w:name="_Toc325370060"/>
      <w:bookmarkStart w:id="42" w:name="_Toc337627531"/>
      <w:bookmarkStart w:id="43" w:name="_Toc341348722"/>
      <w:bookmarkStart w:id="44" w:name="_Toc433891927"/>
      <w:bookmarkStart w:id="45" w:name="_Toc274750370"/>
      <w:r w:rsidRPr="00FE6872">
        <w:rPr>
          <w:rFonts w:cs="Arial"/>
        </w:rPr>
        <w:t xml:space="preserve">Effective consultation </w:t>
      </w:r>
    </w:p>
    <w:p w14:paraId="76811F5A" w14:textId="77777777" w:rsidR="000666A1" w:rsidRPr="006B12D2" w:rsidRDefault="000666A1" w:rsidP="000666A1">
      <w:pPr>
        <w:rPr>
          <w:rFonts w:cs="Arial"/>
        </w:rPr>
      </w:pPr>
      <w:r w:rsidRPr="006B12D2">
        <w:rPr>
          <w:rFonts w:cs="Arial"/>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w:t>
      </w:r>
      <w:hyperlink r:id="rId35" w:history="1">
        <w:r w:rsidRPr="006B12D2">
          <w:rPr>
            <w:rStyle w:val="Hyperlink"/>
            <w:rFonts w:cs="Arial"/>
            <w:i/>
          </w:rPr>
          <w:t>Effective consultation—a guide to making a submission</w:t>
        </w:r>
      </w:hyperlink>
      <w:r w:rsidRPr="006B12D2">
        <w:rPr>
          <w:rFonts w:cs="Arial"/>
        </w:rPr>
        <w:t>. This guide provides information about the ACMA’s formal written public consultation processes and practical guidance on how to make a submission.</w:t>
      </w:r>
    </w:p>
    <w:p w14:paraId="529CC451" w14:textId="77777777" w:rsidR="000666A1" w:rsidRPr="006B12D2" w:rsidRDefault="000666A1" w:rsidP="000666A1">
      <w:pPr>
        <w:pStyle w:val="BodySubHeader"/>
        <w:rPr>
          <w:rFonts w:cs="Arial"/>
        </w:rPr>
      </w:pPr>
      <w:r w:rsidRPr="006B12D2">
        <w:rPr>
          <w:rFonts w:cs="Arial"/>
        </w:rPr>
        <w:t>Publication of submissions</w:t>
      </w:r>
    </w:p>
    <w:p w14:paraId="632444BF" w14:textId="1BDAB364" w:rsidR="000666A1" w:rsidRPr="006B12D2" w:rsidRDefault="000666A1" w:rsidP="000666A1">
      <w:pPr>
        <w:rPr>
          <w:rFonts w:cs="Arial"/>
        </w:rPr>
      </w:pPr>
      <w:r w:rsidRPr="006B12D2">
        <w:rPr>
          <w:rFonts w:cs="Arial"/>
        </w:rPr>
        <w:t>In general, the ACMA publishes all submissions it receives. The ACMA prefers to receive submissions that are not claimed to be confidential.</w:t>
      </w:r>
      <w:r w:rsidR="004B5BA2">
        <w:rPr>
          <w:rFonts w:cs="Arial"/>
        </w:rPr>
        <w:t xml:space="preserve"> </w:t>
      </w:r>
      <w:r w:rsidRPr="006B12D2">
        <w:rPr>
          <w:rFonts w:cs="Arial"/>
        </w:rPr>
        <w:t>However, the ACMA accepts that a submitter may sometimes wish to provide information in confidence.</w:t>
      </w:r>
      <w:r w:rsidR="004B5BA2">
        <w:rPr>
          <w:rFonts w:cs="Arial"/>
        </w:rPr>
        <w:t xml:space="preserve"> </w:t>
      </w:r>
      <w:r w:rsidRPr="006B12D2">
        <w:rPr>
          <w:rFonts w:cs="Arial"/>
        </w:rPr>
        <w:t>In these circumstances, submitters are asked to identify the material over which confidentiality is claimed and provide a written explanation for the claim.</w:t>
      </w:r>
    </w:p>
    <w:p w14:paraId="016E2DC1" w14:textId="3020B5C2" w:rsidR="000666A1" w:rsidRPr="006B12D2" w:rsidRDefault="000666A1" w:rsidP="000666A1">
      <w:pPr>
        <w:rPr>
          <w:rFonts w:cs="Arial"/>
        </w:rPr>
      </w:pPr>
      <w:r w:rsidRPr="006B12D2">
        <w:rPr>
          <w:rFonts w:cs="Arial"/>
        </w:rPr>
        <w:t xml:space="preserve">The ACMA will consider each confidentiality claim on a case-by-case basis. If the ACMA accepts a claim, it will not publish the confidential information unless authorised or required by law to do so. </w:t>
      </w:r>
    </w:p>
    <w:p w14:paraId="7ADDFAD5" w14:textId="77777777" w:rsidR="000666A1" w:rsidRPr="006B12D2" w:rsidRDefault="000666A1" w:rsidP="000666A1">
      <w:pPr>
        <w:pStyle w:val="BodySubHeader"/>
        <w:rPr>
          <w:rFonts w:cs="Arial"/>
        </w:rPr>
      </w:pPr>
      <w:r w:rsidRPr="006B12D2">
        <w:rPr>
          <w:rFonts w:cs="Arial"/>
        </w:rPr>
        <w:t>Release of submissions where authorised or required by law</w:t>
      </w:r>
    </w:p>
    <w:p w14:paraId="30ECC6A6" w14:textId="71E99051" w:rsidR="000666A1" w:rsidRPr="006B12D2" w:rsidRDefault="000666A1" w:rsidP="000666A1">
      <w:pPr>
        <w:rPr>
          <w:rFonts w:cs="Arial"/>
        </w:rPr>
      </w:pPr>
      <w:r w:rsidRPr="006B12D2">
        <w:rPr>
          <w:rFonts w:cs="Arial"/>
        </w:rPr>
        <w:lastRenderedPageBreak/>
        <w:t xml:space="preserve">Any submissions provided to the ACMA may be released under the </w:t>
      </w:r>
      <w:r w:rsidRPr="006B12D2">
        <w:rPr>
          <w:rStyle w:val="Emphasis"/>
          <w:rFonts w:cs="Arial"/>
        </w:rPr>
        <w:t>Freedom of Information Act 1982</w:t>
      </w:r>
      <w:r w:rsidRPr="006B12D2">
        <w:rPr>
          <w:rFonts w:cs="Arial"/>
        </w:rPr>
        <w:t xml:space="preserve"> (unless an exemption applies) or shared with </w:t>
      </w:r>
      <w:r>
        <w:rPr>
          <w:rFonts w:cs="Arial"/>
        </w:rPr>
        <w:t xml:space="preserve">various </w:t>
      </w:r>
      <w:r w:rsidRPr="006B12D2">
        <w:rPr>
          <w:rFonts w:cs="Arial"/>
        </w:rPr>
        <w:t>other Commonwealth Government agencies</w:t>
      </w:r>
      <w:r>
        <w:rPr>
          <w:rFonts w:cs="Arial"/>
        </w:rPr>
        <w:t xml:space="preserve"> and certain other parties</w:t>
      </w:r>
      <w:r w:rsidRPr="006B12D2">
        <w:rPr>
          <w:rFonts w:cs="Arial"/>
        </w:rPr>
        <w:t xml:space="preserve"> under Part 7A of the </w:t>
      </w:r>
      <w:r w:rsidRPr="006B12D2">
        <w:rPr>
          <w:rStyle w:val="Emphasis"/>
          <w:rFonts w:cs="Arial"/>
        </w:rPr>
        <w:t>Australian Communications and Media Authority Act 2005</w:t>
      </w:r>
      <w:r w:rsidRPr="006B12D2">
        <w:rPr>
          <w:rFonts w:cs="Arial"/>
        </w:rPr>
        <w:t xml:space="preserve">. The ACMA may also be required to release submissions for other reasons including </w:t>
      </w:r>
      <w:proofErr w:type="gramStart"/>
      <w:r w:rsidRPr="006B12D2">
        <w:rPr>
          <w:rFonts w:cs="Arial"/>
        </w:rPr>
        <w:t>for the purpose of</w:t>
      </w:r>
      <w:proofErr w:type="gramEnd"/>
      <w:r w:rsidRPr="006B12D2">
        <w:rPr>
          <w:rFonts w:cs="Arial"/>
        </w:rPr>
        <w:t xml:space="preserve"> parliamentary processes or where otherwise required by law (for example, under a court subpoena).</w:t>
      </w:r>
      <w:r w:rsidR="004B5BA2">
        <w:rPr>
          <w:rFonts w:cs="Arial"/>
        </w:rPr>
        <w:t xml:space="preserve"> </w:t>
      </w:r>
      <w:r w:rsidRPr="006B12D2">
        <w:rPr>
          <w:rFonts w:cs="Arial"/>
        </w:rPr>
        <w:t xml:space="preserve">While the ACMA seeks to consult submitters of confidential information before that information is provided to another party, the ACMA cannot guarantee that confidential information will not be released through these or other legal means. </w:t>
      </w:r>
    </w:p>
    <w:p w14:paraId="068DAAB2" w14:textId="77777777" w:rsidR="000666A1" w:rsidRPr="006B12D2" w:rsidRDefault="000666A1" w:rsidP="000666A1">
      <w:pPr>
        <w:pStyle w:val="BodySubHeader"/>
        <w:keepNext/>
        <w:rPr>
          <w:rFonts w:cs="Arial"/>
        </w:rPr>
      </w:pPr>
      <w:r w:rsidRPr="006B12D2">
        <w:rPr>
          <w:rFonts w:cs="Arial"/>
        </w:rPr>
        <w:t>Privacy</w:t>
      </w:r>
    </w:p>
    <w:p w14:paraId="03DA20B8" w14:textId="77777777" w:rsidR="000666A1" w:rsidRPr="006B12D2" w:rsidRDefault="000666A1" w:rsidP="000666A1">
      <w:pPr>
        <w:keepLines/>
        <w:rPr>
          <w:rFonts w:cs="Arial"/>
        </w:rPr>
      </w:pPr>
      <w:r w:rsidRPr="006B12D2">
        <w:rPr>
          <w:rFonts w:cs="Arial"/>
        </w:rPr>
        <w:t xml:space="preserve">The </w:t>
      </w:r>
      <w:hyperlink r:id="rId36" w:history="1">
        <w:r w:rsidRPr="006B12D2">
          <w:rPr>
            <w:rStyle w:val="Hyperlink"/>
            <w:rFonts w:cs="Arial"/>
            <w:i/>
            <w:szCs w:val="20"/>
          </w:rPr>
          <w:t>Privacy Act 1988</w:t>
        </w:r>
      </w:hyperlink>
      <w:r w:rsidRPr="006B12D2">
        <w:rPr>
          <w:rFonts w:cs="Arial"/>
        </w:rPr>
        <w:t xml:space="preserve"> imposes obligations on the ACMA in relation to the collection, security, quality, access, use and disclosure of personal information. These obligations are detailed in the </w:t>
      </w:r>
      <w:hyperlink r:id="rId37" w:history="1">
        <w:r w:rsidRPr="006B12D2">
          <w:rPr>
            <w:rStyle w:val="Hyperlink"/>
            <w:rFonts w:cs="Arial"/>
            <w:i/>
            <w:szCs w:val="20"/>
          </w:rPr>
          <w:t>Australian Privacy Principles</w:t>
        </w:r>
      </w:hyperlink>
      <w:r w:rsidRPr="006B12D2">
        <w:rPr>
          <w:rFonts w:cs="Arial"/>
        </w:rPr>
        <w:t xml:space="preserve"> that apply to organisations and Australian Government agencies.</w:t>
      </w:r>
    </w:p>
    <w:p w14:paraId="6225F335" w14:textId="77777777" w:rsidR="000666A1" w:rsidRPr="006B12D2" w:rsidRDefault="000666A1" w:rsidP="000666A1">
      <w:pPr>
        <w:rPr>
          <w:rFonts w:cs="Arial"/>
        </w:rPr>
      </w:pPr>
      <w:r w:rsidRPr="006B12D2">
        <w:rPr>
          <w:rFonts w:cs="Arial"/>
        </w:rPr>
        <w:t xml:space="preserve">The ACMA may only collect personal information if it is reasonably necessary for, or directly related to, one or more of its functions or activities. </w:t>
      </w:r>
    </w:p>
    <w:p w14:paraId="64F01337" w14:textId="77777777" w:rsidR="000666A1" w:rsidRPr="006B12D2" w:rsidRDefault="000666A1" w:rsidP="000666A1">
      <w:pPr>
        <w:spacing w:after="80"/>
        <w:rPr>
          <w:rFonts w:cs="Arial"/>
        </w:rPr>
      </w:pPr>
      <w:r w:rsidRPr="006B12D2">
        <w:rPr>
          <w:rFonts w:cs="Arial"/>
        </w:rPr>
        <w:t>The purposes for which personal information is being collected (such as the names and contact details of submitters) are to:</w:t>
      </w:r>
    </w:p>
    <w:p w14:paraId="691E1273" w14:textId="77777777" w:rsidR="000666A1" w:rsidRPr="006B12D2" w:rsidRDefault="000666A1" w:rsidP="000666A1">
      <w:pPr>
        <w:pStyle w:val="ListBullet"/>
        <w:rPr>
          <w:rFonts w:cs="Arial"/>
        </w:rPr>
      </w:pPr>
      <w:r w:rsidRPr="006B12D2">
        <w:rPr>
          <w:rFonts w:cs="Arial"/>
        </w:rPr>
        <w:t xml:space="preserve">contribute to the transparency of the consultation process by clarifying, where appropriate, whose views are represented by a submission </w:t>
      </w:r>
    </w:p>
    <w:p w14:paraId="41B6AE14" w14:textId="77777777" w:rsidR="000666A1" w:rsidRPr="006B12D2" w:rsidRDefault="000666A1" w:rsidP="000666A1">
      <w:pPr>
        <w:pStyle w:val="ListBulletLast"/>
      </w:pPr>
      <w:r w:rsidRPr="006B12D2">
        <w:t>enable the ACMA to contact submitters where follow-up is required or to notify them of related matters (except where submitters indicate they do not wish to be notified of such matters).</w:t>
      </w:r>
    </w:p>
    <w:p w14:paraId="1841091D" w14:textId="77777777" w:rsidR="000666A1" w:rsidRPr="006B12D2" w:rsidRDefault="000666A1" w:rsidP="000666A1">
      <w:pPr>
        <w:rPr>
          <w:rFonts w:cs="Arial"/>
        </w:rPr>
      </w:pPr>
      <w:r w:rsidRPr="006B12D2">
        <w:rPr>
          <w:rFonts w:cs="Arial"/>
        </w:rPr>
        <w:t xml:space="preserve">The ACMA will not use the personal information collected for any other purpose, unless the submitter has provided their consent or the ACMA is otherwise permitted to do so under the Privacy Act. </w:t>
      </w:r>
    </w:p>
    <w:p w14:paraId="12075AD4" w14:textId="488D8795" w:rsidR="000666A1" w:rsidRPr="006B12D2" w:rsidRDefault="000666A1" w:rsidP="000666A1">
      <w:pPr>
        <w:rPr>
          <w:rFonts w:cs="Arial"/>
        </w:rPr>
      </w:pPr>
      <w:r w:rsidRPr="006B12D2">
        <w:rPr>
          <w:rFonts w:cs="Arial"/>
        </w:rPr>
        <w:t>Submissions in response to this paper are voluntary</w:t>
      </w:r>
      <w:r w:rsidR="00407407" w:rsidRPr="006B12D2">
        <w:rPr>
          <w:rFonts w:cs="Arial"/>
        </w:rPr>
        <w:t xml:space="preserve">. </w:t>
      </w:r>
      <w:r w:rsidRPr="006B12D2">
        <w:rPr>
          <w:rFonts w:cs="Arial"/>
        </w:rPr>
        <w:t>As mentioned above, the ACMA generally publishes all submissions it receives, including any personal information in the submissions</w:t>
      </w:r>
      <w:r w:rsidR="00407407" w:rsidRPr="006B12D2">
        <w:rPr>
          <w:rFonts w:cs="Arial"/>
        </w:rPr>
        <w:t xml:space="preserve">. </w:t>
      </w:r>
      <w:r w:rsidRPr="006B12D2">
        <w:rPr>
          <w:rFonts w:cs="Arial"/>
        </w:rPr>
        <w:t>If a submitter has made a confidentiality claim over personal information</w:t>
      </w:r>
      <w:r w:rsidR="00904198">
        <w:rPr>
          <w:rFonts w:cs="Arial"/>
        </w:rPr>
        <w:t>,</w:t>
      </w:r>
      <w:r w:rsidRPr="006B12D2">
        <w:rPr>
          <w:rFonts w:cs="Arial"/>
        </w:rPr>
        <w:t xml:space="preserve"> which the ACMA has accepted, the submission will be published without that information</w:t>
      </w:r>
      <w:r w:rsidR="00407407" w:rsidRPr="006B12D2">
        <w:rPr>
          <w:rFonts w:cs="Arial"/>
        </w:rPr>
        <w:t xml:space="preserve">. </w:t>
      </w:r>
      <w:r w:rsidRPr="006B12D2">
        <w:rPr>
          <w:rFonts w:cs="Arial"/>
        </w:rPr>
        <w:t xml:space="preserve">The ACMA will not release the personal information unless authorised or required by law to do so. </w:t>
      </w:r>
    </w:p>
    <w:p w14:paraId="3F3440D2" w14:textId="78973B10" w:rsidR="000666A1" w:rsidRPr="006B12D2" w:rsidRDefault="000666A1" w:rsidP="000666A1">
      <w:pPr>
        <w:rPr>
          <w:rFonts w:cs="Arial"/>
        </w:rPr>
      </w:pPr>
      <w:r w:rsidRPr="006B12D2">
        <w:rPr>
          <w:rFonts w:cs="Arial"/>
        </w:rPr>
        <w:t xml:space="preserve">If a submitter wishes to make a submission anonymously or use a pseudonym, they are asked to contact the ACMA to see whether it is practicable to do so </w:t>
      </w:r>
      <w:proofErr w:type="gramStart"/>
      <w:r w:rsidRPr="006B12D2">
        <w:rPr>
          <w:rFonts w:cs="Arial"/>
        </w:rPr>
        <w:t>in light of</w:t>
      </w:r>
      <w:proofErr w:type="gramEnd"/>
      <w:r w:rsidRPr="006B12D2">
        <w:rPr>
          <w:rFonts w:cs="Arial"/>
        </w:rPr>
        <w:t xml:space="preserve"> the subject matter of the consultation</w:t>
      </w:r>
      <w:r w:rsidR="00407407" w:rsidRPr="006B12D2">
        <w:rPr>
          <w:rFonts w:cs="Arial"/>
        </w:rPr>
        <w:t xml:space="preserve">. </w:t>
      </w:r>
      <w:r w:rsidRPr="006B12D2">
        <w:rPr>
          <w:rFonts w:cs="Arial"/>
        </w:rPr>
        <w:t xml:space="preserve">If it is practicable, the ACMA will notify the submitter of any procedures that need to be followed and whether there are any other consequences of making a submission in that way. </w:t>
      </w:r>
    </w:p>
    <w:p w14:paraId="52A78EE8" w14:textId="07C28A15" w:rsidR="00CC557D" w:rsidRDefault="000666A1" w:rsidP="000666A1">
      <w:pPr>
        <w:rPr>
          <w:rFonts w:cs="Arial"/>
        </w:rPr>
      </w:pPr>
      <w:r w:rsidRPr="006B12D2">
        <w:rPr>
          <w:rFonts w:cs="Arial"/>
        </w:rPr>
        <w:t xml:space="preserve">Further information on the Privacy Act and the ACMA’s privacy policy is available at </w:t>
      </w:r>
      <w:hyperlink r:id="rId38" w:history="1">
        <w:r w:rsidR="006B36AC">
          <w:rPr>
            <w:rStyle w:val="Hyperlink"/>
            <w:rFonts w:cs="Arial"/>
          </w:rPr>
          <w:t>www.acma.gov.au/privacypolicy</w:t>
        </w:r>
      </w:hyperlink>
      <w:r w:rsidRPr="006B12D2">
        <w:rPr>
          <w:rFonts w:cs="Arial"/>
        </w:rPr>
        <w:t>. The privacy policy contains details about how an individual may access personal information about them that is held by the ACMA, and seek the correction of such information</w:t>
      </w:r>
      <w:r w:rsidR="00407407" w:rsidRPr="006B12D2">
        <w:rPr>
          <w:rFonts w:cs="Arial"/>
        </w:rPr>
        <w:t xml:space="preserve">. </w:t>
      </w:r>
      <w:r w:rsidRPr="006B12D2">
        <w:rPr>
          <w:rFonts w:cs="Arial"/>
        </w:rPr>
        <w:t xml:space="preserve">It also explains how an individual may complain about a breach of the Privacy Act and how the ACMA will deal with such a complaint. </w:t>
      </w:r>
      <w:bookmarkEnd w:id="38"/>
      <w:bookmarkEnd w:id="39"/>
      <w:bookmarkEnd w:id="40"/>
      <w:bookmarkEnd w:id="41"/>
      <w:bookmarkEnd w:id="42"/>
      <w:bookmarkEnd w:id="43"/>
      <w:bookmarkEnd w:id="44"/>
      <w:bookmarkEnd w:id="45"/>
    </w:p>
    <w:p w14:paraId="4D37F82F" w14:textId="77777777" w:rsidR="00CC557D" w:rsidRDefault="00CC557D" w:rsidP="00CC557D">
      <w:pPr>
        <w:shd w:val="clear" w:color="auto" w:fill="00B050"/>
        <w:spacing w:after="0" w:line="240" w:lineRule="auto"/>
        <w:rPr>
          <w:rFonts w:cs="Arial"/>
        </w:rPr>
      </w:pPr>
      <w:r>
        <w:rPr>
          <w:rFonts w:cs="Arial"/>
        </w:rPr>
        <w:lastRenderedPageBreak/>
        <w:br w:type="page"/>
      </w:r>
    </w:p>
    <w:p w14:paraId="04EB49E7" w14:textId="77777777" w:rsidR="00CC557D" w:rsidRDefault="00CC557D" w:rsidP="00CC557D">
      <w:r>
        <w:rPr>
          <w:noProof/>
        </w:rPr>
        <w:lastRenderedPageBreak/>
        <w:drawing>
          <wp:inline distT="0" distB="0" distL="0" distR="0" wp14:anchorId="607C7E2A" wp14:editId="2300FDAE">
            <wp:extent cx="1419225"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517EE215" w14:textId="77777777" w:rsidR="00CC557D" w:rsidRPr="001409F1" w:rsidRDefault="00CC557D" w:rsidP="00CC557D">
      <w:pPr>
        <w:pStyle w:val="Title"/>
        <w:pBdr>
          <w:bottom w:val="single" w:sz="4" w:space="3" w:color="auto"/>
        </w:pBdr>
      </w:pPr>
      <w:bookmarkStart w:id="46" w:name="Citation"/>
      <w:r>
        <w:t>Radiocommunications (Low Interference Potential Devices) Class Licence Variation 2018 (No. 1)</w:t>
      </w:r>
      <w:bookmarkEnd w:id="46"/>
    </w:p>
    <w:p w14:paraId="0BB41E31" w14:textId="77777777" w:rsidR="00CC557D" w:rsidRDefault="00CC557D" w:rsidP="00CC557D">
      <w:pPr>
        <w:pBdr>
          <w:bottom w:val="single" w:sz="4" w:space="3" w:color="auto"/>
        </w:pBdr>
        <w:spacing w:before="480"/>
        <w:rPr>
          <w:rFonts w:cs="Arial"/>
          <w:i/>
          <w:sz w:val="28"/>
          <w:szCs w:val="28"/>
          <w:lang w:val="en-US"/>
        </w:rPr>
      </w:pPr>
      <w:r>
        <w:rPr>
          <w:rFonts w:cs="Arial"/>
          <w:i/>
          <w:sz w:val="28"/>
          <w:szCs w:val="28"/>
          <w:lang w:val="en-US"/>
        </w:rPr>
        <w:t>Radiocommunications Act 1992</w:t>
      </w:r>
    </w:p>
    <w:p w14:paraId="17F6FA1F" w14:textId="77777777" w:rsidR="00CC557D" w:rsidRPr="004C1976" w:rsidRDefault="00CC557D" w:rsidP="00CC557D">
      <w:pPr>
        <w:spacing w:before="360"/>
        <w:jc w:val="both"/>
      </w:pPr>
      <w:r>
        <w:t xml:space="preserve">The AUSTRALIAN COMMUNICATIONS AND MEDIA AUTHORITY makes this Variation under section 132 of the </w:t>
      </w:r>
      <w:r w:rsidRPr="004C1976">
        <w:rPr>
          <w:i/>
        </w:rPr>
        <w:t>Radiocommunications Act 1992</w:t>
      </w:r>
      <w:r>
        <w:t>.</w:t>
      </w:r>
    </w:p>
    <w:p w14:paraId="78E63334" w14:textId="77777777" w:rsidR="00CC557D" w:rsidRDefault="00CC557D" w:rsidP="00CC557D">
      <w:pPr>
        <w:tabs>
          <w:tab w:val="right" w:pos="3686"/>
        </w:tabs>
        <w:spacing w:before="300" w:line="300" w:lineRule="exact"/>
      </w:pPr>
      <w:r>
        <w:t xml:space="preserve">Dated </w:t>
      </w:r>
      <w:bookmarkStart w:id="47" w:name="MadeDate"/>
      <w:bookmarkEnd w:id="47"/>
      <w:r>
        <w:tab/>
      </w:r>
      <w:r>
        <w:tab/>
        <w:t>2018</w:t>
      </w:r>
    </w:p>
    <w:p w14:paraId="324737B8" w14:textId="77777777" w:rsidR="00CC557D" w:rsidRDefault="00CC557D" w:rsidP="00CC557D">
      <w:pPr>
        <w:tabs>
          <w:tab w:val="right" w:pos="3686"/>
        </w:tabs>
        <w:spacing w:before="600" w:after="600" w:line="300" w:lineRule="exact"/>
        <w:jc w:val="right"/>
      </w:pPr>
      <w:r>
        <w:t xml:space="preserve"> </w:t>
      </w:r>
      <w:r>
        <w:br/>
        <w:t>Member</w:t>
      </w:r>
    </w:p>
    <w:p w14:paraId="713161FC" w14:textId="77777777" w:rsidR="00CC557D" w:rsidRDefault="00CC557D" w:rsidP="00CC557D">
      <w:pPr>
        <w:tabs>
          <w:tab w:val="right" w:pos="3686"/>
        </w:tabs>
        <w:spacing w:before="600" w:line="300" w:lineRule="exact"/>
        <w:jc w:val="right"/>
      </w:pPr>
      <w:r>
        <w:br/>
        <w:t>Member/General Manager</w:t>
      </w:r>
    </w:p>
    <w:p w14:paraId="0E890014" w14:textId="77777777" w:rsidR="00CC557D" w:rsidRDefault="00CC557D" w:rsidP="00CC557D">
      <w:pPr>
        <w:pBdr>
          <w:bottom w:val="single" w:sz="4" w:space="12" w:color="auto"/>
        </w:pBdr>
        <w:spacing w:line="240" w:lineRule="exact"/>
      </w:pPr>
      <w:bookmarkStart w:id="48" w:name="MinisterSign"/>
      <w:bookmarkStart w:id="49" w:name="Minister"/>
      <w:r>
        <w:t>Australian Communications and Media Authority</w:t>
      </w:r>
      <w:bookmarkEnd w:id="48"/>
      <w:bookmarkEnd w:id="49"/>
    </w:p>
    <w:p w14:paraId="38D4B8BD" w14:textId="77777777" w:rsidR="00CC557D" w:rsidRDefault="00CC557D" w:rsidP="00CC557D">
      <w:pPr>
        <w:pStyle w:val="SigningPageBreak"/>
        <w:sectPr w:rsidR="00CC557D" w:rsidSect="00532C62">
          <w:headerReference w:type="even" r:id="rId40"/>
          <w:headerReference w:type="default" r:id="rId41"/>
          <w:footerReference w:type="even" r:id="rId42"/>
          <w:footerReference w:type="default" r:id="rId43"/>
          <w:headerReference w:type="first" r:id="rId44"/>
          <w:footerReference w:type="first" r:id="rId45"/>
          <w:pgSz w:w="11907" w:h="16839" w:code="9"/>
          <w:pgMar w:top="1440" w:right="1797" w:bottom="1440" w:left="1797" w:header="709" w:footer="709" w:gutter="0"/>
          <w:cols w:space="708"/>
          <w:titlePg/>
          <w:docGrid w:linePitch="360"/>
        </w:sectPr>
      </w:pPr>
    </w:p>
    <w:p w14:paraId="53BFEA59" w14:textId="77777777" w:rsidR="00CC557D" w:rsidRDefault="00CC557D" w:rsidP="00CC557D">
      <w:pPr>
        <w:pStyle w:val="A1"/>
      </w:pPr>
      <w:r w:rsidRPr="00050501">
        <w:rPr>
          <w:rStyle w:val="CharSectnoAm"/>
        </w:rPr>
        <w:t>1</w:t>
      </w:r>
      <w:r>
        <w:tab/>
        <w:t>Name of instrument</w:t>
      </w:r>
    </w:p>
    <w:p w14:paraId="048E414F" w14:textId="77777777" w:rsidR="00CC557D" w:rsidRDefault="00CC557D" w:rsidP="00CC557D">
      <w:pPr>
        <w:pStyle w:val="A2"/>
      </w:pPr>
      <w:r>
        <w:tab/>
      </w:r>
      <w:r>
        <w:tab/>
        <w:t xml:space="preserve">This instrument is the </w:t>
      </w:r>
      <w:r w:rsidRPr="0023405B">
        <w:rPr>
          <w:i/>
        </w:rPr>
        <w:t>Radiocommunications (Low Interference Potential Devices) Class Licence Variation 201</w:t>
      </w:r>
      <w:r>
        <w:rPr>
          <w:i/>
        </w:rPr>
        <w:t>8</w:t>
      </w:r>
      <w:r w:rsidRPr="0023405B">
        <w:rPr>
          <w:i/>
        </w:rPr>
        <w:t xml:space="preserve"> (No. 1)</w:t>
      </w:r>
      <w:r w:rsidRPr="0023405B">
        <w:t>.</w:t>
      </w:r>
    </w:p>
    <w:p w14:paraId="606C3988" w14:textId="77777777" w:rsidR="00CC557D" w:rsidRDefault="00CC557D" w:rsidP="00CC557D">
      <w:pPr>
        <w:pStyle w:val="A1"/>
      </w:pPr>
      <w:r w:rsidRPr="00050501">
        <w:rPr>
          <w:rStyle w:val="CharSectnoAm"/>
        </w:rPr>
        <w:lastRenderedPageBreak/>
        <w:t>2</w:t>
      </w:r>
      <w:r>
        <w:tab/>
        <w:t>Commencement</w:t>
      </w:r>
    </w:p>
    <w:p w14:paraId="32E7FB56" w14:textId="77777777" w:rsidR="00CC557D" w:rsidRPr="00842B4F" w:rsidRDefault="00CC557D" w:rsidP="00CC557D">
      <w:pPr>
        <w:pStyle w:val="A2"/>
      </w:pPr>
      <w:r>
        <w:tab/>
      </w:r>
      <w:r>
        <w:tab/>
        <w:t>This instrument commences on the day after it is registered on the Federal Register of Legislation.</w:t>
      </w:r>
      <w:r>
        <w:tab/>
      </w:r>
    </w:p>
    <w:p w14:paraId="08A1DF6C" w14:textId="77777777" w:rsidR="00CC557D" w:rsidRPr="00A10F6A" w:rsidRDefault="00CC557D" w:rsidP="00CC557D">
      <w:pPr>
        <w:pStyle w:val="A4"/>
        <w:tabs>
          <w:tab w:val="left" w:pos="993"/>
        </w:tabs>
        <w:spacing w:before="120"/>
        <w:ind w:left="1843" w:hanging="2160"/>
        <w:rPr>
          <w:sz w:val="20"/>
          <w:szCs w:val="20"/>
        </w:rPr>
      </w:pPr>
      <w:r>
        <w:rPr>
          <w:i/>
          <w:sz w:val="20"/>
          <w:szCs w:val="20"/>
        </w:rPr>
        <w:tab/>
      </w:r>
      <w:r w:rsidRPr="00FE2967">
        <w:rPr>
          <w:i/>
          <w:sz w:val="20"/>
          <w:szCs w:val="20"/>
        </w:rPr>
        <w:t>Note</w:t>
      </w:r>
      <w:r>
        <w:rPr>
          <w:i/>
          <w:sz w:val="20"/>
          <w:szCs w:val="20"/>
        </w:rPr>
        <w:t xml:space="preserve"> </w:t>
      </w:r>
      <w:r>
        <w:rPr>
          <w:i/>
          <w:sz w:val="20"/>
          <w:szCs w:val="20"/>
        </w:rPr>
        <w:tab/>
      </w:r>
      <w:r w:rsidRPr="00A10F6A">
        <w:rPr>
          <w:sz w:val="20"/>
          <w:szCs w:val="20"/>
        </w:rPr>
        <w:t>All legislative instruments must be registered on the Federal Register of Legislative Instruments</w:t>
      </w:r>
      <w:r>
        <w:rPr>
          <w:sz w:val="20"/>
          <w:szCs w:val="20"/>
        </w:rPr>
        <w:t xml:space="preserve"> required to be maintained under the </w:t>
      </w:r>
      <w:r>
        <w:rPr>
          <w:i/>
          <w:sz w:val="20"/>
          <w:szCs w:val="20"/>
        </w:rPr>
        <w:t>Legislative Instruments Act 2003</w:t>
      </w:r>
      <w:r>
        <w:rPr>
          <w:sz w:val="20"/>
          <w:szCs w:val="20"/>
        </w:rPr>
        <w:t>.</w:t>
      </w:r>
    </w:p>
    <w:p w14:paraId="4504E928" w14:textId="77777777" w:rsidR="00CC557D" w:rsidRDefault="00CC557D" w:rsidP="00CC557D">
      <w:pPr>
        <w:pStyle w:val="A1"/>
      </w:pPr>
      <w:r w:rsidRPr="005758DC">
        <w:t>3</w:t>
      </w:r>
      <w:r>
        <w:tab/>
        <w:t xml:space="preserve">Variation of </w:t>
      </w:r>
      <w:r w:rsidRPr="004C1976">
        <w:rPr>
          <w:i/>
        </w:rPr>
        <w:t>Radiocommunications (Low Interference Potential Devices) Class Licence 20</w:t>
      </w:r>
      <w:r>
        <w:rPr>
          <w:i/>
        </w:rPr>
        <w:t>15</w:t>
      </w:r>
    </w:p>
    <w:p w14:paraId="687182D7" w14:textId="77777777" w:rsidR="00CC557D" w:rsidRPr="004C1976" w:rsidRDefault="00CC557D" w:rsidP="00CC557D">
      <w:pPr>
        <w:pStyle w:val="A2"/>
      </w:pPr>
      <w:r>
        <w:tab/>
      </w:r>
      <w:r>
        <w:tab/>
        <w:t xml:space="preserve">Schedule 1 varies the </w:t>
      </w:r>
      <w:r w:rsidRPr="004C1976">
        <w:rPr>
          <w:i/>
        </w:rPr>
        <w:t>Radiocommunications (Low Interference Potential Devices) Class Licence 20</w:t>
      </w:r>
      <w:r>
        <w:rPr>
          <w:i/>
        </w:rPr>
        <w:t>15</w:t>
      </w:r>
      <w:r>
        <w:t xml:space="preserve"> [</w:t>
      </w:r>
      <w:r w:rsidRPr="00D033AA">
        <w:t>F2016C00432</w:t>
      </w:r>
      <w:r>
        <w:t>].</w:t>
      </w:r>
    </w:p>
    <w:p w14:paraId="65B54DBE" w14:textId="77777777" w:rsidR="00CC557D" w:rsidRDefault="00CC557D" w:rsidP="00CC557D">
      <w:pPr>
        <w:pStyle w:val="MainBodySectionBreak"/>
        <w:sectPr w:rsidR="00CC557D" w:rsidSect="005758DC">
          <w:headerReference w:type="even" r:id="rId46"/>
          <w:headerReference w:type="default" r:id="rId47"/>
          <w:footerReference w:type="even" r:id="rId48"/>
          <w:footerReference w:type="default" r:id="rId49"/>
          <w:type w:val="continuous"/>
          <w:pgSz w:w="11907" w:h="16839" w:code="9"/>
          <w:pgMar w:top="1440" w:right="1797" w:bottom="1440" w:left="1797" w:header="709" w:footer="709" w:gutter="0"/>
          <w:cols w:space="708"/>
          <w:titlePg/>
          <w:docGrid w:linePitch="360"/>
        </w:sectPr>
      </w:pPr>
    </w:p>
    <w:p w14:paraId="4466C542" w14:textId="77777777" w:rsidR="00CC557D" w:rsidRDefault="00CC557D" w:rsidP="00CC557D">
      <w:pPr>
        <w:pStyle w:val="AS"/>
        <w:rPr>
          <w:rStyle w:val="CharAmSchText"/>
        </w:rPr>
      </w:pPr>
      <w:r w:rsidRPr="00050501">
        <w:rPr>
          <w:rStyle w:val="CharAmSchNo"/>
        </w:rPr>
        <w:lastRenderedPageBreak/>
        <w:t>Schedule 1</w:t>
      </w:r>
      <w:r>
        <w:tab/>
      </w:r>
      <w:r w:rsidRPr="00050501">
        <w:rPr>
          <w:rStyle w:val="CharAmSchText"/>
        </w:rPr>
        <w:t>Variations</w:t>
      </w:r>
      <w:r>
        <w:rPr>
          <w:rStyle w:val="CharAmSchText"/>
        </w:rPr>
        <w:t xml:space="preserve"> </w:t>
      </w:r>
    </w:p>
    <w:p w14:paraId="35AA4C45" w14:textId="77777777" w:rsidR="00CC557D" w:rsidRDefault="00CC557D" w:rsidP="00CC557D">
      <w:pPr>
        <w:pStyle w:val="ASref"/>
        <w:rPr>
          <w:b/>
        </w:rPr>
      </w:pPr>
      <w:r w:rsidRPr="00B6492F">
        <w:t>(section 3)</w:t>
      </w:r>
    </w:p>
    <w:p w14:paraId="613CBDFE" w14:textId="77777777" w:rsidR="00CC557D" w:rsidRPr="0020011E" w:rsidRDefault="00CC557D" w:rsidP="00CC557D">
      <w:pPr>
        <w:pStyle w:val="A1S"/>
        <w:spacing w:before="0"/>
        <w:ind w:left="0" w:firstLine="0"/>
      </w:pPr>
    </w:p>
    <w:p w14:paraId="7251ABB0" w14:textId="77777777" w:rsidR="00CC557D" w:rsidRPr="00C47C11" w:rsidRDefault="00CC557D" w:rsidP="00CC557D">
      <w:pPr>
        <w:pStyle w:val="A1S"/>
        <w:spacing w:before="240"/>
      </w:pPr>
      <w:r>
        <w:t>[1]</w:t>
      </w:r>
      <w:r>
        <w:tab/>
        <w:t>Schedule 1, after item 23</w:t>
      </w:r>
    </w:p>
    <w:p w14:paraId="423466CA" w14:textId="77777777" w:rsidR="00CC557D" w:rsidRPr="00BD11AB" w:rsidRDefault="00CC557D" w:rsidP="00CC557D">
      <w:pPr>
        <w:pStyle w:val="A2S"/>
        <w:spacing w:after="120"/>
      </w:pPr>
      <w:r>
        <w:t>insert</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985"/>
        <w:gridCol w:w="1985"/>
        <w:gridCol w:w="1418"/>
        <w:gridCol w:w="2550"/>
      </w:tblGrid>
      <w:tr w:rsidR="00CC557D" w:rsidRPr="0024530F" w14:paraId="24D53D6F" w14:textId="77777777" w:rsidTr="00A26AE7">
        <w:tc>
          <w:tcPr>
            <w:tcW w:w="993" w:type="dxa"/>
            <w:tcBorders>
              <w:top w:val="nil"/>
              <w:left w:val="nil"/>
              <w:bottom w:val="nil"/>
              <w:right w:val="nil"/>
            </w:tcBorders>
          </w:tcPr>
          <w:p w14:paraId="6F5823EE" w14:textId="77777777" w:rsidR="00CC557D" w:rsidRPr="0024530F" w:rsidRDefault="00CC557D" w:rsidP="00A26AE7">
            <w:pPr>
              <w:tabs>
                <w:tab w:val="right" w:pos="284"/>
              </w:tabs>
              <w:spacing w:after="120"/>
              <w:ind w:right="113"/>
              <w:jc w:val="right"/>
            </w:pPr>
            <w:r>
              <w:rPr>
                <w:sz w:val="22"/>
                <w:szCs w:val="22"/>
              </w:rPr>
              <w:t>23A</w:t>
            </w:r>
          </w:p>
        </w:tc>
        <w:tc>
          <w:tcPr>
            <w:tcW w:w="1985" w:type="dxa"/>
            <w:tcBorders>
              <w:top w:val="nil"/>
              <w:left w:val="nil"/>
              <w:bottom w:val="nil"/>
              <w:right w:val="nil"/>
            </w:tcBorders>
          </w:tcPr>
          <w:p w14:paraId="2367456B" w14:textId="77777777" w:rsidR="00CC557D" w:rsidRPr="0024530F" w:rsidRDefault="00CC557D" w:rsidP="00A26AE7">
            <w:pPr>
              <w:spacing w:after="120"/>
            </w:pPr>
            <w:r>
              <w:rPr>
                <w:sz w:val="22"/>
                <w:szCs w:val="22"/>
              </w:rPr>
              <w:t>All transmitters</w:t>
            </w:r>
          </w:p>
        </w:tc>
        <w:tc>
          <w:tcPr>
            <w:tcW w:w="1985" w:type="dxa"/>
            <w:tcBorders>
              <w:top w:val="nil"/>
              <w:left w:val="nil"/>
              <w:bottom w:val="nil"/>
              <w:right w:val="nil"/>
            </w:tcBorders>
          </w:tcPr>
          <w:p w14:paraId="4BDED956" w14:textId="77777777" w:rsidR="00CC557D" w:rsidRPr="0004329F" w:rsidRDefault="00CC557D" w:rsidP="00A26AE7">
            <w:pPr>
              <w:ind w:left="317" w:hanging="289"/>
            </w:pPr>
            <w:r>
              <w:rPr>
                <w:sz w:val="22"/>
                <w:szCs w:val="22"/>
              </w:rPr>
              <w:t>122000-122250</w:t>
            </w:r>
          </w:p>
        </w:tc>
        <w:tc>
          <w:tcPr>
            <w:tcW w:w="1418" w:type="dxa"/>
            <w:tcBorders>
              <w:top w:val="nil"/>
              <w:left w:val="nil"/>
              <w:bottom w:val="nil"/>
              <w:right w:val="nil"/>
            </w:tcBorders>
          </w:tcPr>
          <w:p w14:paraId="3F448C50" w14:textId="77777777" w:rsidR="00CC557D" w:rsidRDefault="00CC557D" w:rsidP="00A26AE7">
            <w:pPr>
              <w:spacing w:after="120"/>
              <w:ind w:right="113"/>
            </w:pPr>
            <w:r>
              <w:rPr>
                <w:sz w:val="22"/>
                <w:szCs w:val="22"/>
              </w:rPr>
              <w:t>See limitations</w:t>
            </w:r>
          </w:p>
          <w:p w14:paraId="43C7AB42" w14:textId="77777777" w:rsidR="00CC557D" w:rsidRPr="0024530F" w:rsidRDefault="00CC557D" w:rsidP="00A26AE7">
            <w:pPr>
              <w:spacing w:after="120"/>
              <w:ind w:right="113"/>
            </w:pPr>
          </w:p>
        </w:tc>
        <w:tc>
          <w:tcPr>
            <w:tcW w:w="2550" w:type="dxa"/>
            <w:tcBorders>
              <w:top w:val="nil"/>
              <w:left w:val="nil"/>
              <w:bottom w:val="nil"/>
              <w:right w:val="nil"/>
            </w:tcBorders>
          </w:tcPr>
          <w:p w14:paraId="5E01E6C8" w14:textId="77777777" w:rsidR="00CC557D" w:rsidRDefault="00CC557D" w:rsidP="0045185E">
            <w:pPr>
              <w:pStyle w:val="TableText"/>
              <w:numPr>
                <w:ilvl w:val="0"/>
                <w:numId w:val="10"/>
              </w:numPr>
              <w:spacing w:before="0"/>
              <w:rPr>
                <w:szCs w:val="22"/>
              </w:rPr>
            </w:pPr>
            <w:r>
              <w:rPr>
                <w:szCs w:val="22"/>
              </w:rPr>
              <w:t>The maximum radiated power spectral density must not exceed 10 dBm per 250 MHz</w:t>
            </w:r>
          </w:p>
          <w:p w14:paraId="09FF5E67" w14:textId="77777777" w:rsidR="00CC557D" w:rsidRPr="0024530F" w:rsidRDefault="00CC557D" w:rsidP="0045185E">
            <w:pPr>
              <w:pStyle w:val="TableText"/>
              <w:numPr>
                <w:ilvl w:val="0"/>
                <w:numId w:val="10"/>
              </w:numPr>
              <w:spacing w:before="0"/>
            </w:pPr>
            <w:r>
              <w:t>The maximum radiated power spectral density must not exceed -48 dBm/MHz for elevation above 30</w:t>
            </w:r>
            <w:r>
              <w:sym w:font="Symbol" w:char="F0B0"/>
            </w:r>
          </w:p>
        </w:tc>
      </w:tr>
    </w:tbl>
    <w:p w14:paraId="23A27EA7" w14:textId="77777777" w:rsidR="00CC557D" w:rsidRPr="00842B4F" w:rsidRDefault="00CC557D" w:rsidP="00CC557D">
      <w:pPr>
        <w:pStyle w:val="A2S"/>
        <w:spacing w:before="0"/>
        <w:ind w:left="992" w:hanging="992"/>
        <w:rPr>
          <w:rFonts w:ascii="Arial" w:hAnsi="Arial" w:cs="Arial"/>
          <w:b/>
          <w:i w:val="0"/>
        </w:rPr>
      </w:pPr>
      <w:r>
        <w:rPr>
          <w:rFonts w:ascii="Arial" w:hAnsi="Arial" w:cs="Arial"/>
          <w:b/>
          <w:i w:val="0"/>
        </w:rPr>
        <w:t>[2]</w:t>
      </w:r>
      <w:r>
        <w:rPr>
          <w:rFonts w:ascii="Arial" w:hAnsi="Arial" w:cs="Arial"/>
          <w:b/>
          <w:i w:val="0"/>
        </w:rPr>
        <w:tab/>
        <w:t>Schedule 1, after item 34</w:t>
      </w:r>
    </w:p>
    <w:p w14:paraId="2BE19068" w14:textId="77777777" w:rsidR="00CC557D" w:rsidRDefault="00CC557D" w:rsidP="00CC557D">
      <w:pPr>
        <w:spacing w:before="120"/>
        <w:ind w:left="992"/>
        <w:rPr>
          <w:i/>
        </w:rPr>
      </w:pPr>
      <w:r>
        <w:rPr>
          <w:i/>
        </w:rPr>
        <w:t>insert</w:t>
      </w:r>
    </w:p>
    <w:p w14:paraId="076DA10E" w14:textId="77777777" w:rsidR="00CC557D" w:rsidRDefault="00CC557D" w:rsidP="00CC557D">
      <w:pPr>
        <w:spacing w:before="120"/>
        <w:ind w:left="992"/>
        <w:rPr>
          <w:i/>
        </w:rPr>
      </w:pPr>
    </w:p>
    <w:tbl>
      <w:tblPr>
        <w:tblW w:w="9003" w:type="dxa"/>
        <w:tblInd w:w="-177" w:type="dxa"/>
        <w:tblLayout w:type="fixed"/>
        <w:tblCellMar>
          <w:left w:w="107" w:type="dxa"/>
          <w:right w:w="107" w:type="dxa"/>
        </w:tblCellMar>
        <w:tblLook w:val="0000" w:firstRow="0" w:lastRow="0" w:firstColumn="0" w:lastColumn="0" w:noHBand="0" w:noVBand="0"/>
      </w:tblPr>
      <w:tblGrid>
        <w:gridCol w:w="1001"/>
        <w:gridCol w:w="2001"/>
        <w:gridCol w:w="2001"/>
        <w:gridCol w:w="1429"/>
        <w:gridCol w:w="2571"/>
      </w:tblGrid>
      <w:tr w:rsidR="00CC557D" w:rsidRPr="0024530F" w14:paraId="1DEE7BAB" w14:textId="77777777" w:rsidTr="00A26AE7">
        <w:trPr>
          <w:trHeight w:val="2213"/>
        </w:trPr>
        <w:tc>
          <w:tcPr>
            <w:tcW w:w="1001" w:type="dxa"/>
            <w:tcBorders>
              <w:top w:val="nil"/>
              <w:left w:val="nil"/>
              <w:bottom w:val="nil"/>
              <w:right w:val="nil"/>
            </w:tcBorders>
          </w:tcPr>
          <w:p w14:paraId="13C83D34" w14:textId="77777777" w:rsidR="00CC557D" w:rsidRDefault="00CC557D" w:rsidP="00A26AE7">
            <w:pPr>
              <w:tabs>
                <w:tab w:val="right" w:pos="284"/>
              </w:tabs>
              <w:spacing w:after="120"/>
              <w:ind w:right="113"/>
              <w:jc w:val="right"/>
              <w:rPr>
                <w:sz w:val="22"/>
                <w:szCs w:val="22"/>
              </w:rPr>
            </w:pPr>
            <w:r>
              <w:rPr>
                <w:sz w:val="22"/>
                <w:szCs w:val="22"/>
              </w:rPr>
              <w:t>34A</w:t>
            </w:r>
          </w:p>
          <w:p w14:paraId="03E0A054" w14:textId="77777777" w:rsidR="00CC557D" w:rsidRPr="0024530F" w:rsidRDefault="00CC557D" w:rsidP="00A26AE7">
            <w:pPr>
              <w:tabs>
                <w:tab w:val="right" w:pos="284"/>
              </w:tabs>
              <w:spacing w:after="120"/>
              <w:ind w:right="113"/>
              <w:jc w:val="right"/>
            </w:pPr>
          </w:p>
        </w:tc>
        <w:tc>
          <w:tcPr>
            <w:tcW w:w="2001" w:type="dxa"/>
            <w:tcBorders>
              <w:top w:val="nil"/>
              <w:left w:val="nil"/>
              <w:bottom w:val="nil"/>
              <w:right w:val="nil"/>
            </w:tcBorders>
          </w:tcPr>
          <w:p w14:paraId="5B735EFA" w14:textId="77777777" w:rsidR="00CC557D" w:rsidRDefault="00CC557D" w:rsidP="00A26AE7">
            <w:pPr>
              <w:spacing w:after="120"/>
              <w:rPr>
                <w:sz w:val="22"/>
                <w:szCs w:val="22"/>
              </w:rPr>
            </w:pPr>
            <w:r>
              <w:rPr>
                <w:sz w:val="22"/>
                <w:szCs w:val="22"/>
              </w:rPr>
              <w:t>Medical endoscopy capsule transmitters</w:t>
            </w:r>
          </w:p>
          <w:p w14:paraId="740F79F4" w14:textId="77777777" w:rsidR="00CC557D" w:rsidRDefault="00CC557D" w:rsidP="00A26AE7">
            <w:pPr>
              <w:spacing w:after="120"/>
              <w:rPr>
                <w:rStyle w:val="charpartno"/>
                <w:szCs w:val="20"/>
              </w:rPr>
            </w:pPr>
            <w:r>
              <w:rPr>
                <w:rStyle w:val="charpartno"/>
                <w:szCs w:val="20"/>
              </w:rPr>
              <w:t xml:space="preserve">(see Note 2 and </w:t>
            </w:r>
          </w:p>
          <w:p w14:paraId="10C67D61" w14:textId="77777777" w:rsidR="00CC557D" w:rsidRDefault="00CC557D" w:rsidP="00A26AE7">
            <w:pPr>
              <w:spacing w:after="120"/>
              <w:rPr>
                <w:sz w:val="22"/>
                <w:szCs w:val="22"/>
              </w:rPr>
            </w:pPr>
            <w:r>
              <w:rPr>
                <w:rStyle w:val="charpartno"/>
                <w:szCs w:val="20"/>
              </w:rPr>
              <w:t>Note 3)</w:t>
            </w:r>
          </w:p>
          <w:p w14:paraId="29C4AFE8" w14:textId="77777777" w:rsidR="00CC557D" w:rsidRDefault="00CC557D" w:rsidP="00A26AE7">
            <w:pPr>
              <w:spacing w:after="120"/>
              <w:rPr>
                <w:sz w:val="22"/>
                <w:szCs w:val="22"/>
              </w:rPr>
            </w:pPr>
          </w:p>
          <w:p w14:paraId="799D1D90" w14:textId="77777777" w:rsidR="00CC557D" w:rsidRPr="0024530F" w:rsidRDefault="00CC557D" w:rsidP="00A26AE7">
            <w:pPr>
              <w:spacing w:after="120"/>
            </w:pPr>
          </w:p>
        </w:tc>
        <w:tc>
          <w:tcPr>
            <w:tcW w:w="2001" w:type="dxa"/>
            <w:tcBorders>
              <w:top w:val="nil"/>
              <w:left w:val="nil"/>
              <w:bottom w:val="nil"/>
              <w:right w:val="nil"/>
            </w:tcBorders>
          </w:tcPr>
          <w:p w14:paraId="1B8405B1" w14:textId="77777777" w:rsidR="00CC557D" w:rsidRPr="0004329F" w:rsidRDefault="00CC557D" w:rsidP="00A26AE7">
            <w:pPr>
              <w:ind w:left="317" w:hanging="289"/>
            </w:pPr>
            <w:r>
              <w:rPr>
                <w:sz w:val="22"/>
                <w:szCs w:val="22"/>
              </w:rPr>
              <w:t>430-440</w:t>
            </w:r>
          </w:p>
        </w:tc>
        <w:tc>
          <w:tcPr>
            <w:tcW w:w="1429" w:type="dxa"/>
            <w:tcBorders>
              <w:top w:val="nil"/>
              <w:left w:val="nil"/>
              <w:bottom w:val="nil"/>
              <w:right w:val="nil"/>
            </w:tcBorders>
          </w:tcPr>
          <w:p w14:paraId="32DB0BD4" w14:textId="77777777" w:rsidR="00CC557D" w:rsidRPr="0024530F" w:rsidRDefault="00CC557D" w:rsidP="00A26AE7">
            <w:pPr>
              <w:spacing w:after="120"/>
              <w:ind w:right="113"/>
            </w:pPr>
            <w:r>
              <w:rPr>
                <w:sz w:val="22"/>
                <w:szCs w:val="22"/>
              </w:rPr>
              <w:t xml:space="preserve">100 </w:t>
            </w:r>
            <w:proofErr w:type="spellStart"/>
            <w:r>
              <w:rPr>
                <w:sz w:val="22"/>
                <w:szCs w:val="22"/>
              </w:rPr>
              <w:t>nW</w:t>
            </w:r>
            <w:proofErr w:type="spellEnd"/>
          </w:p>
        </w:tc>
        <w:tc>
          <w:tcPr>
            <w:tcW w:w="2571" w:type="dxa"/>
            <w:tcBorders>
              <w:top w:val="nil"/>
              <w:left w:val="nil"/>
              <w:bottom w:val="nil"/>
              <w:right w:val="nil"/>
            </w:tcBorders>
          </w:tcPr>
          <w:p w14:paraId="18618428" w14:textId="77777777" w:rsidR="00CC557D" w:rsidRDefault="00CC557D" w:rsidP="00A26AE7">
            <w:pPr>
              <w:pStyle w:val="TableText"/>
              <w:spacing w:before="0"/>
              <w:rPr>
                <w:szCs w:val="22"/>
              </w:rPr>
            </w:pPr>
          </w:p>
          <w:p w14:paraId="7017B896" w14:textId="77777777" w:rsidR="00CC557D" w:rsidRDefault="00CC557D" w:rsidP="00A26AE7">
            <w:pPr>
              <w:pStyle w:val="TableText"/>
              <w:spacing w:before="0"/>
              <w:rPr>
                <w:szCs w:val="22"/>
              </w:rPr>
            </w:pPr>
          </w:p>
          <w:p w14:paraId="59114C53" w14:textId="77777777" w:rsidR="00CC557D" w:rsidRDefault="00CC557D" w:rsidP="00A26AE7">
            <w:pPr>
              <w:pStyle w:val="TableText"/>
              <w:spacing w:before="0"/>
              <w:rPr>
                <w:szCs w:val="22"/>
              </w:rPr>
            </w:pPr>
          </w:p>
          <w:p w14:paraId="07A9F37B" w14:textId="77777777" w:rsidR="00CC557D" w:rsidRPr="0024530F" w:rsidRDefault="00CC557D" w:rsidP="00A26AE7">
            <w:pPr>
              <w:pStyle w:val="TableText"/>
              <w:spacing w:before="0"/>
            </w:pPr>
          </w:p>
        </w:tc>
      </w:tr>
    </w:tbl>
    <w:p w14:paraId="610B1B9F" w14:textId="77777777" w:rsidR="00CC557D" w:rsidRPr="00842B4F" w:rsidRDefault="00CC557D" w:rsidP="00CC557D">
      <w:pPr>
        <w:pStyle w:val="A2S"/>
        <w:spacing w:before="0"/>
        <w:ind w:left="992" w:hanging="992"/>
        <w:rPr>
          <w:rFonts w:ascii="Arial" w:hAnsi="Arial" w:cs="Arial"/>
          <w:b/>
          <w:i w:val="0"/>
        </w:rPr>
      </w:pPr>
      <w:r>
        <w:rPr>
          <w:rFonts w:ascii="Arial" w:hAnsi="Arial" w:cs="Arial"/>
          <w:b/>
          <w:i w:val="0"/>
        </w:rPr>
        <w:t>[3]</w:t>
      </w:r>
      <w:r>
        <w:rPr>
          <w:rFonts w:ascii="Arial" w:hAnsi="Arial" w:cs="Arial"/>
          <w:b/>
          <w:i w:val="0"/>
        </w:rPr>
        <w:tab/>
        <w:t>Schedule 1, after item 35</w:t>
      </w:r>
    </w:p>
    <w:p w14:paraId="022F8E10" w14:textId="77777777" w:rsidR="00CC557D" w:rsidRDefault="00CC557D" w:rsidP="00CC557D">
      <w:pPr>
        <w:spacing w:before="120"/>
        <w:ind w:left="992"/>
        <w:rPr>
          <w:i/>
        </w:rPr>
      </w:pPr>
      <w:r>
        <w:rPr>
          <w:i/>
        </w:rPr>
        <w:t>insert</w:t>
      </w:r>
    </w:p>
    <w:p w14:paraId="7569B37B" w14:textId="77777777" w:rsidR="00CC557D" w:rsidRDefault="00CC557D" w:rsidP="00CC557D">
      <w:pPr>
        <w:spacing w:before="120"/>
        <w:ind w:left="992"/>
        <w:rPr>
          <w:i/>
        </w:rPr>
      </w:pPr>
    </w:p>
    <w:tbl>
      <w:tblPr>
        <w:tblW w:w="8827" w:type="dxa"/>
        <w:tblInd w:w="-177" w:type="dxa"/>
        <w:tblLayout w:type="fixed"/>
        <w:tblCellMar>
          <w:left w:w="107" w:type="dxa"/>
          <w:right w:w="107" w:type="dxa"/>
        </w:tblCellMar>
        <w:tblLook w:val="0000" w:firstRow="0" w:lastRow="0" w:firstColumn="0" w:lastColumn="0" w:noHBand="0" w:noVBand="0"/>
      </w:tblPr>
      <w:tblGrid>
        <w:gridCol w:w="981"/>
        <w:gridCol w:w="1962"/>
        <w:gridCol w:w="1962"/>
        <w:gridCol w:w="1401"/>
        <w:gridCol w:w="2521"/>
      </w:tblGrid>
      <w:tr w:rsidR="00CC557D" w:rsidRPr="0024530F" w14:paraId="119039A5" w14:textId="77777777" w:rsidTr="00A26AE7">
        <w:trPr>
          <w:trHeight w:val="2006"/>
        </w:trPr>
        <w:tc>
          <w:tcPr>
            <w:tcW w:w="981" w:type="dxa"/>
            <w:tcBorders>
              <w:top w:val="nil"/>
              <w:left w:val="nil"/>
              <w:bottom w:val="nil"/>
              <w:right w:val="nil"/>
            </w:tcBorders>
          </w:tcPr>
          <w:p w14:paraId="73177450" w14:textId="77777777" w:rsidR="00CC557D" w:rsidRPr="0024530F" w:rsidRDefault="00CC557D" w:rsidP="00A26AE7">
            <w:pPr>
              <w:tabs>
                <w:tab w:val="right" w:pos="284"/>
              </w:tabs>
              <w:spacing w:after="120"/>
              <w:ind w:right="113"/>
              <w:jc w:val="right"/>
            </w:pPr>
            <w:r>
              <w:rPr>
                <w:sz w:val="22"/>
                <w:szCs w:val="22"/>
              </w:rPr>
              <w:t>35A</w:t>
            </w:r>
          </w:p>
        </w:tc>
        <w:tc>
          <w:tcPr>
            <w:tcW w:w="1962" w:type="dxa"/>
            <w:tcBorders>
              <w:top w:val="nil"/>
              <w:left w:val="nil"/>
              <w:bottom w:val="nil"/>
              <w:right w:val="nil"/>
            </w:tcBorders>
          </w:tcPr>
          <w:p w14:paraId="65D610EE" w14:textId="77777777" w:rsidR="00CC557D" w:rsidRDefault="00CC557D" w:rsidP="00A26AE7">
            <w:pPr>
              <w:spacing w:after="120"/>
              <w:rPr>
                <w:sz w:val="22"/>
                <w:szCs w:val="22"/>
              </w:rPr>
            </w:pPr>
            <w:r>
              <w:rPr>
                <w:sz w:val="22"/>
                <w:szCs w:val="22"/>
              </w:rPr>
              <w:t>Medical body area network transmitters</w:t>
            </w:r>
          </w:p>
          <w:p w14:paraId="60545BA4" w14:textId="77777777" w:rsidR="00CC557D" w:rsidRDefault="00CC557D" w:rsidP="00A26AE7">
            <w:pPr>
              <w:spacing w:after="120"/>
              <w:rPr>
                <w:sz w:val="22"/>
                <w:szCs w:val="22"/>
              </w:rPr>
            </w:pPr>
            <w:r>
              <w:rPr>
                <w:rStyle w:val="charpartno"/>
                <w:szCs w:val="20"/>
              </w:rPr>
              <w:t>(see Note 2)</w:t>
            </w:r>
          </w:p>
          <w:p w14:paraId="1F4C92F9" w14:textId="77777777" w:rsidR="00CC557D" w:rsidRDefault="00CC557D" w:rsidP="00A26AE7">
            <w:pPr>
              <w:spacing w:after="120"/>
              <w:rPr>
                <w:sz w:val="22"/>
                <w:szCs w:val="22"/>
              </w:rPr>
            </w:pPr>
          </w:p>
          <w:p w14:paraId="57AF1F9D" w14:textId="77777777" w:rsidR="00CC557D" w:rsidRPr="0024530F" w:rsidRDefault="00CC557D" w:rsidP="00A26AE7">
            <w:pPr>
              <w:spacing w:after="120"/>
            </w:pPr>
          </w:p>
        </w:tc>
        <w:tc>
          <w:tcPr>
            <w:tcW w:w="1962" w:type="dxa"/>
            <w:tcBorders>
              <w:top w:val="nil"/>
              <w:left w:val="nil"/>
              <w:bottom w:val="nil"/>
              <w:right w:val="nil"/>
            </w:tcBorders>
          </w:tcPr>
          <w:p w14:paraId="745CBCF9" w14:textId="77777777" w:rsidR="00CC557D" w:rsidRPr="0004329F" w:rsidRDefault="00CC557D" w:rsidP="00A26AE7">
            <w:pPr>
              <w:ind w:left="317" w:hanging="289"/>
            </w:pPr>
            <w:r>
              <w:rPr>
                <w:sz w:val="22"/>
                <w:szCs w:val="22"/>
              </w:rPr>
              <w:t xml:space="preserve">2483.5-2500 </w:t>
            </w:r>
          </w:p>
        </w:tc>
        <w:tc>
          <w:tcPr>
            <w:tcW w:w="1401" w:type="dxa"/>
            <w:tcBorders>
              <w:top w:val="nil"/>
              <w:left w:val="nil"/>
              <w:bottom w:val="nil"/>
              <w:right w:val="nil"/>
            </w:tcBorders>
          </w:tcPr>
          <w:p w14:paraId="24CA8EBA" w14:textId="77777777" w:rsidR="00CC557D" w:rsidRDefault="00CC557D" w:rsidP="00A26AE7">
            <w:pPr>
              <w:spacing w:after="120"/>
              <w:ind w:right="113"/>
            </w:pPr>
            <w:r>
              <w:rPr>
                <w:sz w:val="22"/>
                <w:szCs w:val="22"/>
              </w:rPr>
              <w:t>See limitations</w:t>
            </w:r>
          </w:p>
          <w:p w14:paraId="09D22933" w14:textId="77777777" w:rsidR="00CC557D" w:rsidRPr="0024530F" w:rsidRDefault="00CC557D" w:rsidP="00A26AE7">
            <w:pPr>
              <w:spacing w:after="120"/>
              <w:ind w:right="113"/>
            </w:pPr>
          </w:p>
        </w:tc>
        <w:tc>
          <w:tcPr>
            <w:tcW w:w="2521" w:type="dxa"/>
            <w:tcBorders>
              <w:top w:val="nil"/>
              <w:left w:val="nil"/>
              <w:bottom w:val="nil"/>
              <w:right w:val="nil"/>
            </w:tcBorders>
          </w:tcPr>
          <w:p w14:paraId="5E8342C5" w14:textId="77777777" w:rsidR="00CC557D" w:rsidRDefault="00CC557D" w:rsidP="00A26AE7">
            <w:pPr>
              <w:pStyle w:val="TableText"/>
              <w:spacing w:before="0"/>
              <w:rPr>
                <w:szCs w:val="22"/>
              </w:rPr>
            </w:pPr>
            <w:r>
              <w:rPr>
                <w:szCs w:val="22"/>
              </w:rPr>
              <w:t>The transmitter must comply with ETSI Standard EN 303 203</w:t>
            </w:r>
          </w:p>
          <w:p w14:paraId="6CA57713" w14:textId="77777777" w:rsidR="00CC557D" w:rsidRDefault="00CC557D" w:rsidP="00A26AE7">
            <w:pPr>
              <w:pStyle w:val="TableText"/>
              <w:spacing w:before="0"/>
              <w:rPr>
                <w:szCs w:val="22"/>
              </w:rPr>
            </w:pPr>
          </w:p>
          <w:p w14:paraId="22D6093E" w14:textId="77777777" w:rsidR="00CC557D" w:rsidRDefault="00CC557D" w:rsidP="00A26AE7">
            <w:pPr>
              <w:pStyle w:val="TableText"/>
              <w:spacing w:before="0"/>
              <w:rPr>
                <w:szCs w:val="22"/>
              </w:rPr>
            </w:pPr>
          </w:p>
          <w:p w14:paraId="082D5463" w14:textId="77777777" w:rsidR="00CC557D" w:rsidRDefault="00CC557D" w:rsidP="00A26AE7">
            <w:pPr>
              <w:pStyle w:val="TableText"/>
              <w:spacing w:before="0"/>
              <w:rPr>
                <w:szCs w:val="22"/>
              </w:rPr>
            </w:pPr>
          </w:p>
          <w:p w14:paraId="4E0B0AAB" w14:textId="77777777" w:rsidR="00CC557D" w:rsidRDefault="00CC557D" w:rsidP="00A26AE7">
            <w:pPr>
              <w:pStyle w:val="TableText"/>
              <w:spacing w:before="0"/>
              <w:rPr>
                <w:szCs w:val="22"/>
              </w:rPr>
            </w:pPr>
          </w:p>
          <w:p w14:paraId="18A51E83" w14:textId="77777777" w:rsidR="00CC557D" w:rsidRPr="0024530F" w:rsidRDefault="00CC557D" w:rsidP="00A26AE7">
            <w:pPr>
              <w:pStyle w:val="TableText"/>
              <w:spacing w:before="0"/>
              <w:ind w:left="765"/>
            </w:pPr>
          </w:p>
        </w:tc>
      </w:tr>
      <w:tr w:rsidR="00CC557D" w:rsidRPr="0024530F" w14:paraId="49250CC4" w14:textId="77777777" w:rsidTr="00A26AE7">
        <w:trPr>
          <w:trHeight w:val="1199"/>
        </w:trPr>
        <w:tc>
          <w:tcPr>
            <w:tcW w:w="981" w:type="dxa"/>
            <w:tcBorders>
              <w:top w:val="nil"/>
              <w:left w:val="nil"/>
              <w:bottom w:val="nil"/>
              <w:right w:val="nil"/>
            </w:tcBorders>
          </w:tcPr>
          <w:p w14:paraId="65002F4E" w14:textId="77777777" w:rsidR="00CC557D" w:rsidRPr="0024530F" w:rsidRDefault="00CC557D" w:rsidP="00A26AE7">
            <w:pPr>
              <w:tabs>
                <w:tab w:val="right" w:pos="284"/>
              </w:tabs>
              <w:spacing w:after="120"/>
              <w:ind w:right="113"/>
              <w:jc w:val="right"/>
            </w:pPr>
            <w:r>
              <w:rPr>
                <w:sz w:val="22"/>
                <w:szCs w:val="22"/>
              </w:rPr>
              <w:lastRenderedPageBreak/>
              <w:t>35B</w:t>
            </w:r>
          </w:p>
        </w:tc>
        <w:tc>
          <w:tcPr>
            <w:tcW w:w="1962" w:type="dxa"/>
            <w:tcBorders>
              <w:top w:val="nil"/>
              <w:left w:val="nil"/>
              <w:bottom w:val="nil"/>
              <w:right w:val="nil"/>
            </w:tcBorders>
          </w:tcPr>
          <w:p w14:paraId="53239E4C" w14:textId="77777777" w:rsidR="00CC557D" w:rsidRDefault="00CC557D" w:rsidP="00A26AE7">
            <w:pPr>
              <w:spacing w:after="120"/>
              <w:rPr>
                <w:sz w:val="22"/>
                <w:szCs w:val="22"/>
              </w:rPr>
            </w:pPr>
            <w:r>
              <w:rPr>
                <w:sz w:val="22"/>
                <w:szCs w:val="22"/>
              </w:rPr>
              <w:t>Low power active medical implant</w:t>
            </w:r>
          </w:p>
          <w:p w14:paraId="187CB715" w14:textId="77777777" w:rsidR="00CC557D" w:rsidRPr="0024530F" w:rsidRDefault="00CC557D" w:rsidP="00A26AE7">
            <w:pPr>
              <w:spacing w:after="120"/>
            </w:pPr>
            <w:r>
              <w:rPr>
                <w:rStyle w:val="charpartno"/>
                <w:szCs w:val="20"/>
              </w:rPr>
              <w:t>(see Note 2)</w:t>
            </w:r>
          </w:p>
        </w:tc>
        <w:tc>
          <w:tcPr>
            <w:tcW w:w="1962" w:type="dxa"/>
            <w:tcBorders>
              <w:top w:val="nil"/>
              <w:left w:val="nil"/>
              <w:bottom w:val="nil"/>
              <w:right w:val="nil"/>
            </w:tcBorders>
          </w:tcPr>
          <w:p w14:paraId="03886292" w14:textId="77777777" w:rsidR="00CC557D" w:rsidRPr="0004329F" w:rsidRDefault="00CC557D" w:rsidP="00A26AE7">
            <w:pPr>
              <w:ind w:left="317" w:hanging="289"/>
            </w:pPr>
            <w:r>
              <w:rPr>
                <w:sz w:val="22"/>
                <w:szCs w:val="22"/>
              </w:rPr>
              <w:t xml:space="preserve">2483.5-2500 </w:t>
            </w:r>
          </w:p>
        </w:tc>
        <w:tc>
          <w:tcPr>
            <w:tcW w:w="1401" w:type="dxa"/>
            <w:tcBorders>
              <w:top w:val="nil"/>
              <w:left w:val="nil"/>
              <w:bottom w:val="nil"/>
              <w:right w:val="nil"/>
            </w:tcBorders>
          </w:tcPr>
          <w:p w14:paraId="223A2886" w14:textId="77777777" w:rsidR="00CC557D" w:rsidRPr="0024530F" w:rsidRDefault="00CC557D" w:rsidP="00A26AE7">
            <w:pPr>
              <w:spacing w:after="120"/>
              <w:ind w:right="113"/>
            </w:pPr>
            <w:r>
              <w:rPr>
                <w:sz w:val="22"/>
                <w:szCs w:val="22"/>
              </w:rPr>
              <w:t>See limitations</w:t>
            </w:r>
          </w:p>
        </w:tc>
        <w:tc>
          <w:tcPr>
            <w:tcW w:w="2521" w:type="dxa"/>
            <w:tcBorders>
              <w:top w:val="nil"/>
              <w:left w:val="nil"/>
              <w:bottom w:val="nil"/>
              <w:right w:val="nil"/>
            </w:tcBorders>
          </w:tcPr>
          <w:p w14:paraId="2C3159F9" w14:textId="77777777" w:rsidR="00CC557D" w:rsidRDefault="00CC557D" w:rsidP="00A26AE7">
            <w:pPr>
              <w:pStyle w:val="TableText"/>
              <w:spacing w:before="0"/>
              <w:rPr>
                <w:szCs w:val="22"/>
              </w:rPr>
            </w:pPr>
            <w:r>
              <w:rPr>
                <w:szCs w:val="22"/>
              </w:rPr>
              <w:t>The transmitter must comply with ETSI Standard EN 301 559</w:t>
            </w:r>
          </w:p>
          <w:p w14:paraId="7C556F42" w14:textId="77777777" w:rsidR="00CC557D" w:rsidRDefault="00CC557D" w:rsidP="00A26AE7">
            <w:pPr>
              <w:pStyle w:val="TableText"/>
              <w:spacing w:before="0"/>
              <w:rPr>
                <w:szCs w:val="22"/>
              </w:rPr>
            </w:pPr>
          </w:p>
          <w:p w14:paraId="749A33F4" w14:textId="77777777" w:rsidR="00CC557D" w:rsidRDefault="00CC557D" w:rsidP="00A26AE7">
            <w:pPr>
              <w:pStyle w:val="TableText"/>
              <w:spacing w:before="0"/>
              <w:rPr>
                <w:szCs w:val="22"/>
              </w:rPr>
            </w:pPr>
          </w:p>
          <w:p w14:paraId="5AC816F1" w14:textId="77777777" w:rsidR="00CC557D" w:rsidRPr="0024530F" w:rsidRDefault="00CC557D" w:rsidP="00A26AE7">
            <w:pPr>
              <w:pStyle w:val="TableText"/>
              <w:spacing w:before="0"/>
              <w:ind w:left="765"/>
            </w:pPr>
          </w:p>
        </w:tc>
      </w:tr>
    </w:tbl>
    <w:p w14:paraId="2D67A6A7" w14:textId="77777777" w:rsidR="00CC557D" w:rsidRDefault="00CC557D" w:rsidP="00CC557D">
      <w:pPr>
        <w:rPr>
          <w:i/>
        </w:rPr>
      </w:pPr>
    </w:p>
    <w:p w14:paraId="7C711A46" w14:textId="77777777" w:rsidR="00CC557D" w:rsidRDefault="00CC557D" w:rsidP="00CC557D">
      <w:pPr>
        <w:ind w:left="992" w:hanging="992"/>
        <w:rPr>
          <w:rFonts w:cs="Arial"/>
          <w:b/>
        </w:rPr>
      </w:pPr>
      <w:r>
        <w:rPr>
          <w:rFonts w:cs="Arial"/>
          <w:b/>
        </w:rPr>
        <w:t>[4</w:t>
      </w:r>
      <w:r w:rsidRPr="00BC328F">
        <w:rPr>
          <w:rFonts w:cs="Arial"/>
          <w:b/>
        </w:rPr>
        <w:t>]</w:t>
      </w:r>
      <w:r>
        <w:rPr>
          <w:rFonts w:cs="Arial"/>
          <w:b/>
        </w:rPr>
        <w:tab/>
        <w:t xml:space="preserve">Schedule 1, item 65, Column 1 </w:t>
      </w:r>
    </w:p>
    <w:p w14:paraId="1A09E5D2" w14:textId="77777777" w:rsidR="00CC557D" w:rsidRPr="0042056E" w:rsidRDefault="00CC557D" w:rsidP="00CC557D">
      <w:pPr>
        <w:spacing w:before="120"/>
        <w:ind w:left="992" w:hanging="992"/>
      </w:pPr>
      <w:r w:rsidRPr="00BC328F">
        <w:rPr>
          <w:i/>
        </w:rPr>
        <w:tab/>
      </w:r>
      <w:r>
        <w:rPr>
          <w:i/>
        </w:rPr>
        <w:t xml:space="preserve">omit </w:t>
      </w:r>
      <w:r>
        <w:t>‘used indoors’</w:t>
      </w:r>
    </w:p>
    <w:p w14:paraId="08C25C78" w14:textId="77777777" w:rsidR="00CC557D" w:rsidRDefault="00CC557D" w:rsidP="00CC557D">
      <w:pPr>
        <w:spacing w:before="120"/>
        <w:ind w:left="992" w:hanging="992"/>
        <w:rPr>
          <w:i/>
        </w:rPr>
      </w:pPr>
    </w:p>
    <w:p w14:paraId="23621D65" w14:textId="77777777" w:rsidR="00CC557D" w:rsidRDefault="00CC557D" w:rsidP="00CC557D">
      <w:pPr>
        <w:ind w:left="992" w:hanging="992"/>
        <w:rPr>
          <w:rFonts w:cs="Arial"/>
          <w:b/>
        </w:rPr>
      </w:pPr>
      <w:r>
        <w:rPr>
          <w:rFonts w:cs="Arial"/>
          <w:b/>
        </w:rPr>
        <w:t>[5]</w:t>
      </w:r>
      <w:r>
        <w:rPr>
          <w:rFonts w:cs="Arial"/>
          <w:b/>
        </w:rPr>
        <w:tab/>
        <w:t>Schedule 1, item 65, Column 4 – Limitations</w:t>
      </w:r>
    </w:p>
    <w:p w14:paraId="060E6F35" w14:textId="77777777" w:rsidR="00CC557D" w:rsidRDefault="00CC557D" w:rsidP="00CC557D">
      <w:pPr>
        <w:spacing w:before="120"/>
        <w:ind w:left="992" w:hanging="992"/>
        <w:rPr>
          <w:i/>
        </w:rPr>
      </w:pPr>
      <w:r w:rsidRPr="00BC328F">
        <w:rPr>
          <w:i/>
        </w:rPr>
        <w:tab/>
      </w:r>
      <w:r>
        <w:rPr>
          <w:i/>
        </w:rPr>
        <w:t xml:space="preserve">omit paragraphs (a) to (d) and substitute </w:t>
      </w:r>
    </w:p>
    <w:p w14:paraId="72CCEA9D" w14:textId="77777777" w:rsidR="00CC557D" w:rsidRDefault="00CC557D" w:rsidP="00CC557D">
      <w:pPr>
        <w:spacing w:before="120"/>
        <w:ind w:left="992" w:hanging="992"/>
        <w:rPr>
          <w:i/>
        </w:rPr>
      </w:pPr>
    </w:p>
    <w:p w14:paraId="3A51893D" w14:textId="77777777" w:rsidR="00CC557D" w:rsidRDefault="00CC557D" w:rsidP="00CC557D">
      <w:pPr>
        <w:pStyle w:val="TableText"/>
        <w:spacing w:before="0"/>
        <w:rPr>
          <w:szCs w:val="22"/>
        </w:rPr>
      </w:pPr>
      <w:r>
        <w:rPr>
          <w:szCs w:val="22"/>
        </w:rPr>
        <w:t>The transmitter must comply with FCC Rules Title 47 Part 15 Section 255</w:t>
      </w:r>
    </w:p>
    <w:p w14:paraId="650ABAE8" w14:textId="77777777" w:rsidR="00CC557D" w:rsidRDefault="00CC557D" w:rsidP="00CC557D">
      <w:pPr>
        <w:pStyle w:val="TableText"/>
        <w:spacing w:before="0"/>
        <w:rPr>
          <w:szCs w:val="22"/>
        </w:rPr>
      </w:pPr>
    </w:p>
    <w:p w14:paraId="67B136A3" w14:textId="77777777" w:rsidR="00CC557D" w:rsidRDefault="00CC557D" w:rsidP="00CC557D">
      <w:pPr>
        <w:ind w:left="992" w:hanging="992"/>
        <w:rPr>
          <w:rFonts w:cs="Arial"/>
          <w:b/>
        </w:rPr>
      </w:pPr>
      <w:r>
        <w:rPr>
          <w:rFonts w:cs="Arial"/>
          <w:b/>
        </w:rPr>
        <w:t>[6]</w:t>
      </w:r>
      <w:r>
        <w:rPr>
          <w:rFonts w:cs="Arial"/>
          <w:b/>
        </w:rPr>
        <w:tab/>
        <w:t xml:space="preserve">Schedule 1, </w:t>
      </w:r>
      <w:r w:rsidRPr="00257941">
        <w:rPr>
          <w:rFonts w:cs="Arial"/>
          <w:b/>
          <w:i/>
        </w:rPr>
        <w:t>Note 2</w:t>
      </w:r>
    </w:p>
    <w:p w14:paraId="1489FBAF" w14:textId="77777777" w:rsidR="00CC557D" w:rsidRDefault="00CC557D" w:rsidP="00CC557D">
      <w:pPr>
        <w:spacing w:before="120"/>
        <w:ind w:left="992" w:hanging="992"/>
        <w:rPr>
          <w:i/>
        </w:rPr>
      </w:pPr>
      <w:r w:rsidRPr="00BC328F">
        <w:rPr>
          <w:i/>
        </w:rPr>
        <w:tab/>
      </w:r>
      <w:r>
        <w:rPr>
          <w:i/>
        </w:rPr>
        <w:t xml:space="preserve">substitute  </w:t>
      </w:r>
    </w:p>
    <w:p w14:paraId="0C8934B4" w14:textId="77777777" w:rsidR="00CC557D" w:rsidRDefault="00CC557D" w:rsidP="00CC557D">
      <w:pPr>
        <w:spacing w:before="120"/>
        <w:ind w:left="992" w:hanging="992"/>
        <w:rPr>
          <w:i/>
        </w:rPr>
      </w:pPr>
    </w:p>
    <w:p w14:paraId="06B7A5DA" w14:textId="77777777" w:rsidR="00CC557D" w:rsidRDefault="00CC557D" w:rsidP="00CC557D">
      <w:pPr>
        <w:pStyle w:val="TableText"/>
        <w:spacing w:before="0"/>
        <w:ind w:left="720" w:hanging="720"/>
        <w:rPr>
          <w:rFonts w:ascii="Helvetica Neue" w:hAnsi="Helvetica Neue"/>
          <w:color w:val="000000"/>
          <w:sz w:val="20"/>
          <w:szCs w:val="20"/>
        </w:rPr>
      </w:pPr>
      <w:r w:rsidRPr="00671410">
        <w:rPr>
          <w:rFonts w:ascii="Helvetica Neue" w:hAnsi="Helvetica Neue"/>
          <w:i/>
          <w:color w:val="000000"/>
          <w:sz w:val="20"/>
          <w:szCs w:val="20"/>
        </w:rPr>
        <w:t>Note 2</w:t>
      </w:r>
      <w:r>
        <w:rPr>
          <w:rFonts w:ascii="Helvetica Neue" w:hAnsi="Helvetica Neue"/>
          <w:color w:val="000000"/>
          <w:sz w:val="20"/>
          <w:szCs w:val="20"/>
        </w:rPr>
        <w:t xml:space="preserve"> </w:t>
      </w:r>
      <w:r>
        <w:rPr>
          <w:rFonts w:ascii="Helvetica Neue" w:hAnsi="Helvetica Neue"/>
          <w:color w:val="000000"/>
          <w:sz w:val="20"/>
          <w:szCs w:val="20"/>
        </w:rPr>
        <w:tab/>
        <w:t>The systems and associated medical implant communications systems transmitters mentioned in items 33, 34, 34A, 35A and 35B are devices that require marketing approval from the Therapeutic Goods Administration.</w:t>
      </w:r>
    </w:p>
    <w:p w14:paraId="4E62421C" w14:textId="77777777" w:rsidR="00CC557D" w:rsidRDefault="00CC557D" w:rsidP="00CC557D">
      <w:pPr>
        <w:pStyle w:val="TableText"/>
        <w:spacing w:before="0"/>
        <w:rPr>
          <w:szCs w:val="22"/>
        </w:rPr>
      </w:pPr>
    </w:p>
    <w:p w14:paraId="2A8F0291" w14:textId="77777777" w:rsidR="00CC557D" w:rsidRDefault="00CC557D" w:rsidP="00CC557D">
      <w:pPr>
        <w:ind w:left="992" w:hanging="992"/>
        <w:rPr>
          <w:rFonts w:cs="Arial"/>
          <w:b/>
        </w:rPr>
      </w:pPr>
      <w:r>
        <w:rPr>
          <w:rFonts w:cs="Arial"/>
          <w:b/>
        </w:rPr>
        <w:t>[7]</w:t>
      </w:r>
      <w:r>
        <w:rPr>
          <w:rFonts w:cs="Arial"/>
          <w:b/>
        </w:rPr>
        <w:tab/>
        <w:t>Schedule 1,</w:t>
      </w:r>
      <w:r w:rsidRPr="00B73C01">
        <w:rPr>
          <w:rFonts w:cs="Arial"/>
          <w:b/>
        </w:rPr>
        <w:t xml:space="preserve"> immediately following </w:t>
      </w:r>
      <w:r w:rsidRPr="00671410">
        <w:rPr>
          <w:rFonts w:cs="Arial"/>
          <w:b/>
          <w:i/>
        </w:rPr>
        <w:t>Note 2</w:t>
      </w:r>
    </w:p>
    <w:p w14:paraId="4B6238B6" w14:textId="77777777" w:rsidR="00CC557D" w:rsidRDefault="00CC557D" w:rsidP="00CC557D">
      <w:pPr>
        <w:spacing w:before="120"/>
        <w:ind w:left="992" w:hanging="992"/>
        <w:rPr>
          <w:i/>
        </w:rPr>
      </w:pPr>
      <w:r w:rsidRPr="00BC328F">
        <w:rPr>
          <w:i/>
        </w:rPr>
        <w:tab/>
      </w:r>
      <w:r>
        <w:rPr>
          <w:i/>
        </w:rPr>
        <w:t xml:space="preserve">insert  </w:t>
      </w:r>
    </w:p>
    <w:p w14:paraId="12267543" w14:textId="77777777" w:rsidR="00CC557D" w:rsidRPr="00505327" w:rsidRDefault="00CC557D" w:rsidP="00CC557D">
      <w:pPr>
        <w:spacing w:before="120"/>
        <w:ind w:left="720" w:hanging="719"/>
        <w:rPr>
          <w:rFonts w:ascii="Helvetica Neue" w:hAnsi="Helvetica Neue"/>
          <w:color w:val="000000"/>
          <w:szCs w:val="20"/>
        </w:rPr>
      </w:pPr>
      <w:r w:rsidRPr="00671410">
        <w:rPr>
          <w:rFonts w:ascii="Helvetica Neue" w:hAnsi="Helvetica Neue"/>
          <w:i/>
          <w:color w:val="000000"/>
          <w:szCs w:val="20"/>
        </w:rPr>
        <w:t>Note 3</w:t>
      </w:r>
      <w:r>
        <w:rPr>
          <w:rFonts w:ascii="Helvetica Neue" w:hAnsi="Helvetica Neue"/>
          <w:color w:val="000000"/>
          <w:szCs w:val="20"/>
        </w:rPr>
        <w:t xml:space="preserve"> </w:t>
      </w:r>
      <w:r>
        <w:rPr>
          <w:rFonts w:ascii="Helvetica Neue" w:hAnsi="Helvetica Neue"/>
          <w:color w:val="000000"/>
          <w:szCs w:val="20"/>
        </w:rPr>
        <w:tab/>
        <w:t xml:space="preserve">A transmitter that complies with ETSI Standard EN 303 520 will meet the requirement not to exceed the maximum EIRP limit specified at item 34A. </w:t>
      </w:r>
    </w:p>
    <w:p w14:paraId="686D4854" w14:textId="77777777" w:rsidR="00CC557D" w:rsidRDefault="00CC557D" w:rsidP="00CC557D">
      <w:pPr>
        <w:pStyle w:val="TableText"/>
        <w:spacing w:before="0"/>
        <w:rPr>
          <w:szCs w:val="22"/>
        </w:rPr>
      </w:pPr>
    </w:p>
    <w:p w14:paraId="437CB92C" w14:textId="77777777" w:rsidR="00CC557D" w:rsidRDefault="00CC557D" w:rsidP="00CC557D">
      <w:pPr>
        <w:pStyle w:val="TableText"/>
        <w:spacing w:before="0"/>
        <w:rPr>
          <w:szCs w:val="22"/>
        </w:rPr>
      </w:pPr>
    </w:p>
    <w:p w14:paraId="22D8B416" w14:textId="77777777" w:rsidR="00CC557D" w:rsidRDefault="00CC557D" w:rsidP="00CC557D">
      <w:pPr>
        <w:ind w:left="992" w:hanging="992"/>
        <w:rPr>
          <w:rFonts w:cs="Arial"/>
          <w:b/>
        </w:rPr>
      </w:pPr>
      <w:r>
        <w:rPr>
          <w:rFonts w:cs="Arial"/>
          <w:b/>
        </w:rPr>
        <w:t>[8]</w:t>
      </w:r>
      <w:r>
        <w:rPr>
          <w:rFonts w:cs="Arial"/>
          <w:b/>
        </w:rPr>
        <w:tab/>
        <w:t>Schedule 2, after item 5</w:t>
      </w:r>
    </w:p>
    <w:p w14:paraId="6E81876E" w14:textId="77777777" w:rsidR="00CC557D" w:rsidRDefault="00CC557D" w:rsidP="00CC557D">
      <w:pPr>
        <w:spacing w:before="120" w:after="120"/>
        <w:ind w:left="992" w:hanging="992"/>
        <w:rPr>
          <w:i/>
        </w:rPr>
      </w:pPr>
      <w:r w:rsidRPr="00BC328F">
        <w:tab/>
      </w:r>
      <w:r>
        <w:rPr>
          <w:i/>
        </w:rPr>
        <w:t>i</w:t>
      </w:r>
      <w:r w:rsidRPr="00BC1DD1">
        <w:rPr>
          <w:i/>
        </w:rPr>
        <w:t>nsert</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CC557D" w:rsidRPr="0024530F" w14:paraId="2A5BF1F0" w14:textId="77777777" w:rsidTr="00A26AE7">
        <w:tc>
          <w:tcPr>
            <w:tcW w:w="993" w:type="dxa"/>
          </w:tcPr>
          <w:p w14:paraId="7A358630" w14:textId="77777777" w:rsidR="00CC557D" w:rsidRDefault="00CC557D" w:rsidP="00A26AE7">
            <w:pPr>
              <w:tabs>
                <w:tab w:val="right" w:pos="284"/>
              </w:tabs>
              <w:spacing w:after="120"/>
              <w:ind w:right="113"/>
              <w:jc w:val="center"/>
            </w:pPr>
            <w:r>
              <w:t>5A</w:t>
            </w:r>
          </w:p>
        </w:tc>
        <w:tc>
          <w:tcPr>
            <w:tcW w:w="1134" w:type="dxa"/>
          </w:tcPr>
          <w:p w14:paraId="7269C9C2" w14:textId="77777777" w:rsidR="00CC557D" w:rsidRPr="0024530F" w:rsidRDefault="00CC557D" w:rsidP="00A26AE7">
            <w:pPr>
              <w:tabs>
                <w:tab w:val="right" w:pos="284"/>
              </w:tabs>
              <w:spacing w:after="120"/>
              <w:ind w:right="113"/>
              <w:jc w:val="center"/>
            </w:pPr>
            <w:r>
              <w:t>35A</w:t>
            </w:r>
          </w:p>
        </w:tc>
        <w:tc>
          <w:tcPr>
            <w:tcW w:w="1843" w:type="dxa"/>
          </w:tcPr>
          <w:p w14:paraId="5F6E0E16" w14:textId="77777777" w:rsidR="00CC557D" w:rsidRPr="0024530F" w:rsidRDefault="00CC557D" w:rsidP="00A26AE7">
            <w:pPr>
              <w:spacing w:after="120"/>
            </w:pPr>
            <w:r>
              <w:rPr>
                <w:szCs w:val="22"/>
              </w:rPr>
              <w:t>EN 303 203</w:t>
            </w:r>
          </w:p>
        </w:tc>
        <w:tc>
          <w:tcPr>
            <w:tcW w:w="3118" w:type="dxa"/>
          </w:tcPr>
          <w:p w14:paraId="1C1F5084" w14:textId="77777777" w:rsidR="00CC557D" w:rsidRPr="00AD4C31" w:rsidRDefault="00CC557D" w:rsidP="00A26AE7">
            <w:pPr>
              <w:ind w:left="35" w:hanging="7"/>
              <w:rPr>
                <w:i/>
              </w:rPr>
            </w:pPr>
            <w:r w:rsidRPr="00AD4C31">
              <w:rPr>
                <w:i/>
                <w:sz w:val="22"/>
                <w:szCs w:val="22"/>
              </w:rPr>
              <w:t xml:space="preserve">Electromagnetic compatibility and Radio </w:t>
            </w:r>
            <w:proofErr w:type="gramStart"/>
            <w:r w:rsidRPr="00AD4C31">
              <w:rPr>
                <w:i/>
                <w:sz w:val="22"/>
                <w:szCs w:val="22"/>
              </w:rPr>
              <w:t>spectrum</w:t>
            </w:r>
            <w:proofErr w:type="gramEnd"/>
            <w:r w:rsidRPr="00AD4C31">
              <w:rPr>
                <w:i/>
                <w:sz w:val="22"/>
                <w:szCs w:val="22"/>
              </w:rPr>
              <w:t xml:space="preserve"> Matters (ERM); Short Range Devices (SRD);</w:t>
            </w:r>
            <w:r>
              <w:rPr>
                <w:i/>
                <w:sz w:val="22"/>
                <w:szCs w:val="22"/>
              </w:rPr>
              <w:t xml:space="preserve"> Medical Body Area Network Systems (MBANSs) operating in the 2483.5 MHz to 2500 MHz range; </w:t>
            </w:r>
          </w:p>
        </w:tc>
        <w:tc>
          <w:tcPr>
            <w:tcW w:w="1843" w:type="dxa"/>
          </w:tcPr>
          <w:p w14:paraId="7860885B" w14:textId="77777777" w:rsidR="00CC557D" w:rsidRPr="0024530F" w:rsidRDefault="00CC557D" w:rsidP="00A26AE7">
            <w:pPr>
              <w:pStyle w:val="TableText"/>
              <w:ind w:left="253" w:hanging="253"/>
            </w:pPr>
            <w:r w:rsidRPr="00D24C44">
              <w:rPr>
                <w:szCs w:val="22"/>
              </w:rPr>
              <w:t xml:space="preserve">ETSI </w:t>
            </w:r>
          </w:p>
        </w:tc>
      </w:tr>
    </w:tbl>
    <w:p w14:paraId="245D46CD" w14:textId="77777777" w:rsidR="00CC557D" w:rsidRPr="00BD11AB" w:rsidRDefault="00CC557D" w:rsidP="00CC557D">
      <w:pPr>
        <w:pStyle w:val="NoteEnd"/>
        <w:spacing w:before="480"/>
        <w:rPr>
          <w:rFonts w:ascii="Arial" w:hAnsi="Arial"/>
          <w:b/>
          <w:sz w:val="24"/>
        </w:rPr>
      </w:pP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CC557D" w:rsidRPr="0024530F" w14:paraId="77D9370B" w14:textId="77777777" w:rsidTr="00A26AE7">
        <w:tc>
          <w:tcPr>
            <w:tcW w:w="993" w:type="dxa"/>
          </w:tcPr>
          <w:p w14:paraId="2971EC4F" w14:textId="77777777" w:rsidR="00CC557D" w:rsidRDefault="00CC557D" w:rsidP="00A26AE7">
            <w:pPr>
              <w:tabs>
                <w:tab w:val="right" w:pos="284"/>
              </w:tabs>
              <w:spacing w:after="120"/>
              <w:ind w:right="113"/>
              <w:jc w:val="center"/>
            </w:pPr>
            <w:r>
              <w:t>5B</w:t>
            </w:r>
          </w:p>
        </w:tc>
        <w:tc>
          <w:tcPr>
            <w:tcW w:w="1134" w:type="dxa"/>
          </w:tcPr>
          <w:p w14:paraId="12835144" w14:textId="77777777" w:rsidR="00CC557D" w:rsidRPr="0024530F" w:rsidRDefault="00CC557D" w:rsidP="00A26AE7">
            <w:pPr>
              <w:tabs>
                <w:tab w:val="right" w:pos="284"/>
              </w:tabs>
              <w:spacing w:after="120"/>
              <w:ind w:right="113"/>
              <w:jc w:val="center"/>
            </w:pPr>
            <w:r>
              <w:t>35B</w:t>
            </w:r>
          </w:p>
        </w:tc>
        <w:tc>
          <w:tcPr>
            <w:tcW w:w="1843" w:type="dxa"/>
          </w:tcPr>
          <w:p w14:paraId="52D16AE1" w14:textId="77777777" w:rsidR="00CC557D" w:rsidRPr="0024530F" w:rsidRDefault="00CC557D" w:rsidP="00A26AE7">
            <w:pPr>
              <w:spacing w:after="120"/>
            </w:pPr>
            <w:r>
              <w:rPr>
                <w:szCs w:val="22"/>
              </w:rPr>
              <w:t>EN 301 559</w:t>
            </w:r>
          </w:p>
        </w:tc>
        <w:tc>
          <w:tcPr>
            <w:tcW w:w="3118" w:type="dxa"/>
          </w:tcPr>
          <w:p w14:paraId="46FE1706" w14:textId="77777777" w:rsidR="00CC557D" w:rsidRPr="00AD4C31" w:rsidRDefault="00CC557D" w:rsidP="00A26AE7">
            <w:pPr>
              <w:ind w:left="35" w:hanging="7"/>
              <w:rPr>
                <w:i/>
              </w:rPr>
            </w:pPr>
            <w:r w:rsidRPr="00AD4C31">
              <w:rPr>
                <w:i/>
                <w:sz w:val="22"/>
                <w:szCs w:val="22"/>
              </w:rPr>
              <w:t xml:space="preserve">Electromagnetic compatibility and Radio </w:t>
            </w:r>
            <w:proofErr w:type="gramStart"/>
            <w:r w:rsidRPr="00AD4C31">
              <w:rPr>
                <w:i/>
                <w:sz w:val="22"/>
                <w:szCs w:val="22"/>
              </w:rPr>
              <w:t>spectrum</w:t>
            </w:r>
            <w:proofErr w:type="gramEnd"/>
            <w:r w:rsidRPr="00AD4C31">
              <w:rPr>
                <w:i/>
                <w:sz w:val="22"/>
                <w:szCs w:val="22"/>
              </w:rPr>
              <w:t xml:space="preserve"> Matters (ERM); Short Range Devices (SRD);</w:t>
            </w:r>
            <w:r>
              <w:rPr>
                <w:i/>
                <w:sz w:val="22"/>
                <w:szCs w:val="22"/>
              </w:rPr>
              <w:t xml:space="preserve"> Low Power Active Medical Implants (LP-AMI) operating in the 2483.5 MHz to 2500 MHz range; </w:t>
            </w:r>
          </w:p>
        </w:tc>
        <w:tc>
          <w:tcPr>
            <w:tcW w:w="1843" w:type="dxa"/>
          </w:tcPr>
          <w:p w14:paraId="1CC6207E" w14:textId="77777777" w:rsidR="00CC557D" w:rsidRPr="0024530F" w:rsidRDefault="00CC557D" w:rsidP="00A26AE7">
            <w:pPr>
              <w:pStyle w:val="TableText"/>
              <w:ind w:left="253" w:hanging="253"/>
            </w:pPr>
            <w:r w:rsidRPr="00D24C44">
              <w:rPr>
                <w:szCs w:val="22"/>
              </w:rPr>
              <w:t xml:space="preserve">ETSI </w:t>
            </w:r>
          </w:p>
        </w:tc>
      </w:tr>
    </w:tbl>
    <w:p w14:paraId="6321A6D1" w14:textId="77777777" w:rsidR="00CC557D" w:rsidRDefault="00CC557D" w:rsidP="00CC557D">
      <w:pPr>
        <w:ind w:left="992" w:hanging="992"/>
        <w:rPr>
          <w:rFonts w:cs="Arial"/>
          <w:b/>
        </w:rPr>
      </w:pPr>
    </w:p>
    <w:p w14:paraId="1D0989A7" w14:textId="77777777" w:rsidR="00CC557D" w:rsidRDefault="00CC557D" w:rsidP="00CC557D">
      <w:pPr>
        <w:ind w:left="992" w:hanging="992"/>
        <w:rPr>
          <w:rFonts w:cs="Arial"/>
          <w:b/>
        </w:rPr>
      </w:pPr>
      <w:r>
        <w:rPr>
          <w:rFonts w:cs="Arial"/>
          <w:b/>
        </w:rPr>
        <w:t>[9]</w:t>
      </w:r>
      <w:r>
        <w:rPr>
          <w:rFonts w:cs="Arial"/>
          <w:b/>
        </w:rPr>
        <w:tab/>
        <w:t>Schedule 2, after item 17</w:t>
      </w:r>
    </w:p>
    <w:p w14:paraId="11F28A76" w14:textId="77777777" w:rsidR="00CC557D" w:rsidRDefault="00CC557D" w:rsidP="00CC557D">
      <w:pPr>
        <w:spacing w:before="120" w:after="120"/>
        <w:ind w:left="992" w:hanging="992"/>
        <w:rPr>
          <w:i/>
        </w:rPr>
      </w:pPr>
      <w:r w:rsidRPr="00BC328F">
        <w:tab/>
      </w:r>
      <w:r>
        <w:rPr>
          <w:i/>
        </w:rPr>
        <w:t>i</w:t>
      </w:r>
      <w:r w:rsidRPr="00BC1DD1">
        <w:rPr>
          <w:i/>
        </w:rPr>
        <w:t>nsert</w:t>
      </w:r>
    </w:p>
    <w:tbl>
      <w:tblPr>
        <w:tblW w:w="8931" w:type="dxa"/>
        <w:tblInd w:w="-177" w:type="dxa"/>
        <w:tblLayout w:type="fixed"/>
        <w:tblCellMar>
          <w:left w:w="107" w:type="dxa"/>
          <w:right w:w="107" w:type="dxa"/>
        </w:tblCellMar>
        <w:tblLook w:val="0000" w:firstRow="0" w:lastRow="0" w:firstColumn="0" w:lastColumn="0" w:noHBand="0" w:noVBand="0"/>
      </w:tblPr>
      <w:tblGrid>
        <w:gridCol w:w="993"/>
        <w:gridCol w:w="1134"/>
        <w:gridCol w:w="1843"/>
        <w:gridCol w:w="3118"/>
        <w:gridCol w:w="1843"/>
      </w:tblGrid>
      <w:tr w:rsidR="00CC557D" w:rsidRPr="0024530F" w14:paraId="1745DA2F" w14:textId="77777777" w:rsidTr="00A26AE7">
        <w:tc>
          <w:tcPr>
            <w:tcW w:w="993" w:type="dxa"/>
          </w:tcPr>
          <w:p w14:paraId="20B68C96" w14:textId="77777777" w:rsidR="00CC557D" w:rsidRDefault="00CC557D" w:rsidP="00A26AE7">
            <w:pPr>
              <w:tabs>
                <w:tab w:val="right" w:pos="284"/>
              </w:tabs>
              <w:spacing w:after="120"/>
              <w:ind w:right="113"/>
              <w:jc w:val="center"/>
            </w:pPr>
            <w:r>
              <w:t>18</w:t>
            </w:r>
          </w:p>
        </w:tc>
        <w:tc>
          <w:tcPr>
            <w:tcW w:w="1134" w:type="dxa"/>
          </w:tcPr>
          <w:p w14:paraId="163C276B" w14:textId="77777777" w:rsidR="00CC557D" w:rsidRPr="0024530F" w:rsidRDefault="00CC557D" w:rsidP="00A26AE7">
            <w:pPr>
              <w:tabs>
                <w:tab w:val="right" w:pos="284"/>
              </w:tabs>
              <w:spacing w:after="120"/>
              <w:ind w:right="113"/>
              <w:jc w:val="center"/>
            </w:pPr>
            <w:r>
              <w:t>65</w:t>
            </w:r>
          </w:p>
        </w:tc>
        <w:tc>
          <w:tcPr>
            <w:tcW w:w="1843" w:type="dxa"/>
          </w:tcPr>
          <w:p w14:paraId="1CC0EDF1" w14:textId="77777777" w:rsidR="00CC557D" w:rsidRPr="0024530F" w:rsidRDefault="00CC557D" w:rsidP="00A26AE7">
            <w:pPr>
              <w:spacing w:after="120"/>
            </w:pPr>
            <w:r>
              <w:rPr>
                <w:szCs w:val="22"/>
              </w:rPr>
              <w:t>Code of Federal Regulation Title 47 §15.255</w:t>
            </w:r>
          </w:p>
        </w:tc>
        <w:tc>
          <w:tcPr>
            <w:tcW w:w="3118" w:type="dxa"/>
          </w:tcPr>
          <w:p w14:paraId="307507A0" w14:textId="77777777" w:rsidR="00CC557D" w:rsidRPr="00AD4C31" w:rsidRDefault="00CC557D" w:rsidP="00A26AE7">
            <w:pPr>
              <w:ind w:left="35" w:hanging="7"/>
              <w:rPr>
                <w:i/>
              </w:rPr>
            </w:pPr>
            <w:r>
              <w:rPr>
                <w:i/>
                <w:sz w:val="22"/>
                <w:szCs w:val="22"/>
              </w:rPr>
              <w:t>Part 15, Section 255 Operation within the band 57-71 GHz</w:t>
            </w:r>
          </w:p>
        </w:tc>
        <w:tc>
          <w:tcPr>
            <w:tcW w:w="1843" w:type="dxa"/>
          </w:tcPr>
          <w:p w14:paraId="14B24D22" w14:textId="77777777" w:rsidR="00CC557D" w:rsidRPr="0024530F" w:rsidRDefault="00CC557D" w:rsidP="00A26AE7">
            <w:pPr>
              <w:pStyle w:val="TableText"/>
              <w:ind w:left="253" w:hanging="253"/>
            </w:pPr>
            <w:r>
              <w:rPr>
                <w:szCs w:val="22"/>
              </w:rPr>
              <w:t>FCC</w:t>
            </w:r>
            <w:r w:rsidRPr="00D24C44">
              <w:rPr>
                <w:szCs w:val="22"/>
              </w:rPr>
              <w:t xml:space="preserve"> </w:t>
            </w:r>
          </w:p>
        </w:tc>
      </w:tr>
    </w:tbl>
    <w:p w14:paraId="6DD005D4" w14:textId="02CE26E2" w:rsidR="00174B6D" w:rsidRDefault="00174B6D" w:rsidP="00174B6D">
      <w:pPr>
        <w:pStyle w:val="NoteEnd"/>
        <w:shd w:val="clear" w:color="auto" w:fill="00B050"/>
      </w:pPr>
      <w:r>
        <w:br w:type="page"/>
      </w:r>
    </w:p>
    <w:p w14:paraId="4B2FE6AD"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b/>
          <w:bCs/>
          <w:sz w:val="24"/>
          <w:lang w:val="en-GB"/>
        </w:rPr>
        <w:lastRenderedPageBreak/>
        <w:t>Commonwealth of Australia</w:t>
      </w:r>
    </w:p>
    <w:p w14:paraId="07B14A33"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b/>
          <w:bCs/>
          <w:sz w:val="24"/>
          <w:lang w:val="en-GB"/>
        </w:rPr>
        <w:t> </w:t>
      </w:r>
    </w:p>
    <w:p w14:paraId="377847B7"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b/>
          <w:bCs/>
          <w:sz w:val="24"/>
          <w:lang w:val="en-GB"/>
        </w:rPr>
        <w:t>AUSTRALIAN COMMUNICATIONS AND MEDIA AUTHORITY</w:t>
      </w:r>
    </w:p>
    <w:p w14:paraId="1C64125F"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b/>
          <w:bCs/>
          <w:sz w:val="24"/>
          <w:lang w:val="en-GB"/>
        </w:rPr>
        <w:t> </w:t>
      </w:r>
    </w:p>
    <w:p w14:paraId="462186A6"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b/>
          <w:bCs/>
          <w:sz w:val="24"/>
          <w:lang w:val="en-GB"/>
        </w:rPr>
        <w:t>Radiocommunications Act 1992</w:t>
      </w:r>
    </w:p>
    <w:p w14:paraId="0F377ABB"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sz w:val="24"/>
        </w:rPr>
        <w:t> </w:t>
      </w:r>
    </w:p>
    <w:p w14:paraId="5E6C050A"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sz w:val="24"/>
        </w:rPr>
        <w:t xml:space="preserve">Notice under section 136 of the </w:t>
      </w:r>
      <w:r w:rsidRPr="001940E4">
        <w:rPr>
          <w:rFonts w:ascii="Times New Roman" w:hAnsi="Times New Roman"/>
          <w:i/>
          <w:iCs/>
          <w:sz w:val="24"/>
        </w:rPr>
        <w:t>Radiocommunications Act 1992</w:t>
      </w:r>
    </w:p>
    <w:p w14:paraId="710A37CE"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b/>
          <w:bCs/>
          <w:sz w:val="24"/>
        </w:rPr>
        <w:t> </w:t>
      </w:r>
    </w:p>
    <w:p w14:paraId="300BDE9C"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sz w:val="24"/>
        </w:rPr>
        <w:t>NOTIFICATION OF THE DRAFT</w:t>
      </w:r>
      <w:r w:rsidRPr="001940E4">
        <w:rPr>
          <w:rFonts w:ascii="Times New Roman" w:hAnsi="Times New Roman"/>
          <w:i/>
          <w:iCs/>
          <w:sz w:val="24"/>
        </w:rPr>
        <w:t xml:space="preserve"> RADIOCOMMUNICATIONS (LOW INTERFERENCE POTENTIAL DEVICES) CLASS LICENCE VARIATION 201</w:t>
      </w:r>
      <w:r>
        <w:rPr>
          <w:rFonts w:ascii="Times New Roman" w:hAnsi="Times New Roman"/>
          <w:i/>
          <w:iCs/>
          <w:sz w:val="24"/>
        </w:rPr>
        <w:t>8</w:t>
      </w:r>
      <w:r w:rsidRPr="001940E4">
        <w:rPr>
          <w:rFonts w:ascii="Times New Roman" w:hAnsi="Times New Roman"/>
          <w:i/>
          <w:iCs/>
          <w:sz w:val="24"/>
        </w:rPr>
        <w:t xml:space="preserve"> (NO.1)</w:t>
      </w:r>
    </w:p>
    <w:p w14:paraId="5267DB6A" w14:textId="77777777" w:rsidR="00174B6D" w:rsidRPr="001940E4" w:rsidRDefault="00174B6D" w:rsidP="00174B6D">
      <w:pPr>
        <w:shd w:val="clear" w:color="auto" w:fill="FFFFFF"/>
        <w:spacing w:after="0" w:line="240" w:lineRule="auto"/>
        <w:jc w:val="center"/>
        <w:rPr>
          <w:rFonts w:ascii="Times New Roman" w:hAnsi="Times New Roman"/>
          <w:sz w:val="24"/>
          <w:lang w:val="en-US"/>
        </w:rPr>
      </w:pPr>
      <w:r w:rsidRPr="001940E4">
        <w:rPr>
          <w:rFonts w:ascii="Times New Roman" w:hAnsi="Times New Roman"/>
          <w:sz w:val="24"/>
          <w:lang w:val="en-GB"/>
        </w:rPr>
        <w:t> </w:t>
      </w:r>
    </w:p>
    <w:p w14:paraId="75595C0E" w14:textId="77777777" w:rsidR="00174B6D" w:rsidRPr="001940E4" w:rsidRDefault="00174B6D" w:rsidP="00174B6D">
      <w:pPr>
        <w:shd w:val="clear" w:color="auto" w:fill="FFFFFF"/>
        <w:spacing w:after="0" w:line="240" w:lineRule="auto"/>
        <w:rPr>
          <w:rFonts w:ascii="Times New Roman" w:hAnsi="Times New Roman"/>
          <w:sz w:val="24"/>
          <w:lang w:val="en-US"/>
        </w:rPr>
      </w:pPr>
      <w:r w:rsidRPr="001940E4">
        <w:rPr>
          <w:rFonts w:ascii="Times New Roman" w:hAnsi="Times New Roman"/>
          <w:sz w:val="24"/>
          <w:lang w:val="en-GB"/>
        </w:rPr>
        <w:t xml:space="preserve">Notice is given under section 136 of the </w:t>
      </w:r>
      <w:r w:rsidRPr="001940E4">
        <w:rPr>
          <w:rFonts w:ascii="Times New Roman" w:hAnsi="Times New Roman"/>
          <w:i/>
          <w:iCs/>
          <w:sz w:val="24"/>
          <w:lang w:val="en-GB"/>
        </w:rPr>
        <w:t xml:space="preserve">Radiocommunications Act 1992 </w:t>
      </w:r>
      <w:r w:rsidRPr="001940E4">
        <w:rPr>
          <w:rFonts w:ascii="Times New Roman" w:hAnsi="Times New Roman"/>
          <w:sz w:val="24"/>
          <w:lang w:val="en-GB"/>
        </w:rPr>
        <w:t xml:space="preserve">(the Act) of the draft </w:t>
      </w:r>
      <w:r w:rsidRPr="001940E4">
        <w:rPr>
          <w:rFonts w:ascii="Times New Roman" w:hAnsi="Times New Roman"/>
          <w:i/>
          <w:iCs/>
          <w:sz w:val="24"/>
          <w:lang w:val="en-GB"/>
        </w:rPr>
        <w:t>Radiocommunications (Low Interference Potential Devices) Class Licence Variation 201</w:t>
      </w:r>
      <w:r>
        <w:rPr>
          <w:rFonts w:ascii="Times New Roman" w:hAnsi="Times New Roman"/>
          <w:i/>
          <w:iCs/>
          <w:sz w:val="24"/>
          <w:lang w:val="en-GB"/>
        </w:rPr>
        <w:t>8</w:t>
      </w:r>
      <w:r w:rsidRPr="001940E4">
        <w:rPr>
          <w:rFonts w:ascii="Times New Roman" w:hAnsi="Times New Roman"/>
          <w:i/>
          <w:iCs/>
          <w:sz w:val="24"/>
          <w:lang w:val="en-GB"/>
        </w:rPr>
        <w:t xml:space="preserve"> (No.1)</w:t>
      </w:r>
      <w:r w:rsidRPr="001940E4">
        <w:rPr>
          <w:rFonts w:ascii="Times New Roman" w:hAnsi="Times New Roman"/>
          <w:sz w:val="24"/>
          <w:lang w:val="en-GB"/>
        </w:rPr>
        <w:t xml:space="preserve"> (the draft Variation) proposed to be made by the Australian Communications and Media Authority (ACMA) under section 132 of the Act. The draft Variation proposes to amend existing arrangements and to add new arrangements for </w:t>
      </w:r>
      <w:proofErr w:type="gramStart"/>
      <w:r w:rsidRPr="001940E4">
        <w:rPr>
          <w:rFonts w:ascii="Times New Roman" w:hAnsi="Times New Roman"/>
          <w:sz w:val="24"/>
          <w:lang w:val="en-GB"/>
        </w:rPr>
        <w:t>a number of</w:t>
      </w:r>
      <w:proofErr w:type="gramEnd"/>
      <w:r w:rsidRPr="001940E4">
        <w:rPr>
          <w:rFonts w:ascii="Times New Roman" w:hAnsi="Times New Roman"/>
          <w:sz w:val="24"/>
          <w:lang w:val="en-GB"/>
        </w:rPr>
        <w:t xml:space="preserve"> short range low power devices by varying the </w:t>
      </w:r>
      <w:r w:rsidRPr="001940E4">
        <w:rPr>
          <w:rFonts w:ascii="Times New Roman" w:hAnsi="Times New Roman"/>
          <w:i/>
          <w:iCs/>
          <w:sz w:val="24"/>
          <w:lang w:val="en-GB"/>
        </w:rPr>
        <w:t>Radiocommunications (Low Interference Potential Devices) Class Licence 2015</w:t>
      </w:r>
      <w:r w:rsidRPr="001940E4">
        <w:rPr>
          <w:rFonts w:ascii="Times New Roman" w:hAnsi="Times New Roman"/>
          <w:sz w:val="24"/>
          <w:lang w:val="en-GB"/>
        </w:rPr>
        <w:t xml:space="preserve"> (the LIPD Class Licence).</w:t>
      </w:r>
    </w:p>
    <w:p w14:paraId="002D6A2B" w14:textId="77777777" w:rsidR="00174B6D" w:rsidRPr="001940E4" w:rsidRDefault="00174B6D" w:rsidP="00174B6D">
      <w:pPr>
        <w:shd w:val="clear" w:color="auto" w:fill="FFFFFF"/>
        <w:spacing w:after="0" w:line="240" w:lineRule="auto"/>
        <w:rPr>
          <w:rFonts w:ascii="Times New Roman" w:hAnsi="Times New Roman"/>
          <w:sz w:val="24"/>
          <w:lang w:val="en-US"/>
        </w:rPr>
      </w:pPr>
      <w:r w:rsidRPr="001940E4">
        <w:rPr>
          <w:rFonts w:ascii="Times New Roman" w:hAnsi="Times New Roman"/>
          <w:i/>
          <w:iCs/>
          <w:sz w:val="24"/>
          <w:lang w:val="en-GB"/>
        </w:rPr>
        <w:t> </w:t>
      </w:r>
    </w:p>
    <w:p w14:paraId="694EA871" w14:textId="77777777" w:rsidR="00174B6D" w:rsidRDefault="00174B6D" w:rsidP="00174B6D">
      <w:pPr>
        <w:shd w:val="clear" w:color="auto" w:fill="FFFFFF"/>
        <w:spacing w:after="0" w:line="240" w:lineRule="auto"/>
        <w:rPr>
          <w:rFonts w:ascii="Times New Roman" w:hAnsi="Times New Roman"/>
          <w:b/>
          <w:bCs/>
          <w:sz w:val="24"/>
          <w:lang w:val="en-GB"/>
        </w:rPr>
      </w:pPr>
      <w:r w:rsidRPr="001940E4">
        <w:rPr>
          <w:rFonts w:ascii="Times New Roman" w:hAnsi="Times New Roman"/>
          <w:b/>
          <w:bCs/>
          <w:sz w:val="24"/>
          <w:lang w:val="en-GB"/>
        </w:rPr>
        <w:t>Proposed changes </w:t>
      </w:r>
    </w:p>
    <w:p w14:paraId="09A0F96E" w14:textId="77777777" w:rsidR="00174B6D" w:rsidRPr="001940E4" w:rsidRDefault="00174B6D" w:rsidP="00174B6D">
      <w:pPr>
        <w:shd w:val="clear" w:color="auto" w:fill="FFFFFF"/>
        <w:spacing w:after="0" w:line="240" w:lineRule="auto"/>
        <w:rPr>
          <w:rFonts w:ascii="Times New Roman" w:hAnsi="Times New Roman"/>
          <w:sz w:val="24"/>
          <w:lang w:val="en-US"/>
        </w:rPr>
      </w:pPr>
    </w:p>
    <w:p w14:paraId="7F8DB4EB" w14:textId="77777777" w:rsidR="00174B6D" w:rsidRDefault="00174B6D" w:rsidP="00174B6D">
      <w:pPr>
        <w:shd w:val="clear" w:color="auto" w:fill="FFFFFF"/>
        <w:spacing w:after="0" w:line="240" w:lineRule="auto"/>
        <w:rPr>
          <w:rFonts w:ascii="Times New Roman" w:hAnsi="Times New Roman"/>
          <w:sz w:val="24"/>
        </w:rPr>
      </w:pPr>
      <w:r w:rsidRPr="001940E4">
        <w:rPr>
          <w:rFonts w:ascii="Times New Roman" w:hAnsi="Times New Roman"/>
          <w:sz w:val="24"/>
        </w:rPr>
        <w:t xml:space="preserve">The LIPD Class Licence contains the licence conditions, </w:t>
      </w:r>
      <w:r>
        <w:rPr>
          <w:rFonts w:ascii="Times New Roman" w:hAnsi="Times New Roman"/>
          <w:sz w:val="24"/>
        </w:rPr>
        <w:t>operational</w:t>
      </w:r>
      <w:r w:rsidRPr="001940E4">
        <w:rPr>
          <w:rFonts w:ascii="Times New Roman" w:hAnsi="Times New Roman"/>
          <w:sz w:val="24"/>
        </w:rPr>
        <w:t xml:space="preserve"> requirements and technical parameters associated with a wide range of low power radiocommunications devices operating in various segments of the radiofrequency spectrum.</w:t>
      </w:r>
    </w:p>
    <w:p w14:paraId="7A6291E8" w14:textId="77777777" w:rsidR="00174B6D" w:rsidRPr="001940E4" w:rsidRDefault="00174B6D" w:rsidP="00174B6D">
      <w:pPr>
        <w:shd w:val="clear" w:color="auto" w:fill="FFFFFF"/>
        <w:spacing w:after="0" w:line="240" w:lineRule="auto"/>
        <w:rPr>
          <w:rFonts w:ascii="Times New Roman" w:hAnsi="Times New Roman"/>
          <w:sz w:val="24"/>
          <w:lang w:val="en-US"/>
        </w:rPr>
      </w:pPr>
    </w:p>
    <w:p w14:paraId="328458E9" w14:textId="77777777" w:rsidR="00174B6D" w:rsidRDefault="00174B6D" w:rsidP="00174B6D">
      <w:pPr>
        <w:shd w:val="clear" w:color="auto" w:fill="FFFFFF"/>
        <w:spacing w:after="0" w:line="240" w:lineRule="auto"/>
        <w:rPr>
          <w:rFonts w:ascii="Times New Roman" w:hAnsi="Times New Roman"/>
          <w:sz w:val="24"/>
        </w:rPr>
      </w:pPr>
      <w:r w:rsidRPr="001940E4">
        <w:rPr>
          <w:rFonts w:ascii="Times New Roman" w:hAnsi="Times New Roman"/>
          <w:sz w:val="24"/>
        </w:rPr>
        <w:t>The draft Variation proposes to amend the LIPD Class Licence by: </w:t>
      </w:r>
    </w:p>
    <w:p w14:paraId="1A539E37" w14:textId="77777777" w:rsidR="00174B6D" w:rsidRPr="001940E4" w:rsidRDefault="00174B6D" w:rsidP="00174B6D">
      <w:pPr>
        <w:shd w:val="clear" w:color="auto" w:fill="FFFFFF"/>
        <w:spacing w:after="0" w:line="240" w:lineRule="auto"/>
        <w:rPr>
          <w:rFonts w:ascii="Times New Roman" w:hAnsi="Times New Roman"/>
          <w:sz w:val="24"/>
          <w:lang w:val="en-US"/>
        </w:rPr>
      </w:pPr>
    </w:p>
    <w:p w14:paraId="14E966F8" w14:textId="77777777" w:rsidR="00174B6D" w:rsidRPr="00760F93" w:rsidRDefault="00174B6D" w:rsidP="0045185E">
      <w:pPr>
        <w:pStyle w:val="ListParagraph"/>
        <w:numPr>
          <w:ilvl w:val="0"/>
          <w:numId w:val="11"/>
        </w:numPr>
        <w:shd w:val="clear" w:color="auto" w:fill="FFFFFF"/>
        <w:spacing w:after="0" w:line="240" w:lineRule="auto"/>
        <w:rPr>
          <w:rFonts w:ascii="Times New Roman" w:hAnsi="Times New Roman"/>
          <w:sz w:val="24"/>
          <w:lang w:val="en-US"/>
        </w:rPr>
      </w:pPr>
      <w:r w:rsidRPr="00760F93">
        <w:rPr>
          <w:rFonts w:ascii="Times New Roman" w:hAnsi="Times New Roman"/>
          <w:sz w:val="24"/>
        </w:rPr>
        <w:t>updating referenced standards;</w:t>
      </w:r>
    </w:p>
    <w:p w14:paraId="591FFA67" w14:textId="77777777" w:rsidR="00174B6D" w:rsidRPr="00760F93" w:rsidRDefault="00174B6D" w:rsidP="0045185E">
      <w:pPr>
        <w:pStyle w:val="ListParagraph"/>
        <w:numPr>
          <w:ilvl w:val="0"/>
          <w:numId w:val="11"/>
        </w:numPr>
        <w:shd w:val="clear" w:color="auto" w:fill="FFFFFF"/>
        <w:spacing w:after="0" w:line="240" w:lineRule="auto"/>
        <w:rPr>
          <w:rFonts w:ascii="Times New Roman" w:hAnsi="Times New Roman"/>
          <w:sz w:val="24"/>
        </w:rPr>
      </w:pPr>
      <w:r w:rsidRPr="00760F93">
        <w:rPr>
          <w:rFonts w:ascii="Times New Roman" w:hAnsi="Times New Roman"/>
          <w:sz w:val="24"/>
        </w:rPr>
        <w:t>inserting new frequency bands for all transmitters;</w:t>
      </w:r>
    </w:p>
    <w:p w14:paraId="3AD6381B" w14:textId="77777777" w:rsidR="00174B6D" w:rsidRPr="00760F93" w:rsidRDefault="00174B6D" w:rsidP="0045185E">
      <w:pPr>
        <w:pStyle w:val="ListParagraph"/>
        <w:numPr>
          <w:ilvl w:val="0"/>
          <w:numId w:val="11"/>
        </w:numPr>
        <w:shd w:val="clear" w:color="auto" w:fill="FFFFFF"/>
        <w:spacing w:after="0" w:line="240" w:lineRule="auto"/>
        <w:rPr>
          <w:rFonts w:ascii="Times New Roman" w:hAnsi="Times New Roman"/>
          <w:sz w:val="24"/>
        </w:rPr>
      </w:pPr>
      <w:r w:rsidRPr="00760F93">
        <w:rPr>
          <w:rFonts w:ascii="Times New Roman" w:hAnsi="Times New Roman"/>
          <w:sz w:val="24"/>
          <w:lang w:val="en-US"/>
        </w:rPr>
        <w:t>inserting new frequency bands for medical telemetry and telecommand transmitters; and</w:t>
      </w:r>
    </w:p>
    <w:p w14:paraId="473332DC" w14:textId="77777777" w:rsidR="00174B6D" w:rsidRPr="008313E8" w:rsidRDefault="00174B6D" w:rsidP="0045185E">
      <w:pPr>
        <w:pStyle w:val="ListParagraph"/>
        <w:numPr>
          <w:ilvl w:val="0"/>
          <w:numId w:val="11"/>
        </w:numPr>
        <w:shd w:val="clear" w:color="auto" w:fill="FFFFFF"/>
        <w:spacing w:after="0" w:line="240" w:lineRule="auto"/>
        <w:rPr>
          <w:rFonts w:ascii="Times New Roman" w:hAnsi="Times New Roman"/>
          <w:sz w:val="24"/>
          <w:lang w:val="en-US"/>
        </w:rPr>
      </w:pPr>
      <w:r w:rsidRPr="00760F93">
        <w:rPr>
          <w:rFonts w:ascii="Times New Roman" w:hAnsi="Times New Roman"/>
          <w:sz w:val="24"/>
        </w:rPr>
        <w:t>removing some limitations on the use of data communication transmitters.</w:t>
      </w:r>
    </w:p>
    <w:p w14:paraId="1232ED9A" w14:textId="77777777" w:rsidR="00174B6D" w:rsidRPr="00760F93" w:rsidRDefault="00174B6D" w:rsidP="00174B6D">
      <w:pPr>
        <w:pStyle w:val="ListParagraph"/>
        <w:shd w:val="clear" w:color="auto" w:fill="FFFFFF"/>
        <w:spacing w:after="0" w:line="240" w:lineRule="auto"/>
        <w:rPr>
          <w:rFonts w:ascii="Times New Roman" w:hAnsi="Times New Roman"/>
          <w:sz w:val="24"/>
          <w:lang w:val="en-US"/>
        </w:rPr>
      </w:pPr>
    </w:p>
    <w:p w14:paraId="46D1F1F4" w14:textId="77777777" w:rsidR="00174B6D" w:rsidRDefault="00174B6D" w:rsidP="00174B6D">
      <w:pPr>
        <w:shd w:val="clear" w:color="auto" w:fill="FFFFFF"/>
        <w:spacing w:after="0" w:line="240" w:lineRule="auto"/>
        <w:ind w:left="62"/>
        <w:rPr>
          <w:rFonts w:ascii="Times New Roman" w:hAnsi="Times New Roman"/>
          <w:sz w:val="24"/>
          <w:lang w:val="en-GB"/>
        </w:rPr>
      </w:pPr>
      <w:r w:rsidRPr="0002310E">
        <w:rPr>
          <w:rFonts w:ascii="Times New Roman" w:hAnsi="Times New Roman"/>
          <w:sz w:val="24"/>
          <w:lang w:val="en-GB"/>
        </w:rPr>
        <w:t>Copies of the LIPD Class Licence, the draft Variation, and the discussion paper explaining the above amendments in more detail are available on the ACMA’s website</w:t>
      </w:r>
      <w:r>
        <w:rPr>
          <w:rFonts w:ascii="Times New Roman" w:hAnsi="Times New Roman"/>
          <w:sz w:val="24"/>
          <w:lang w:val="en-GB"/>
        </w:rPr>
        <w:t xml:space="preserve"> (www.acma.gov.au)</w:t>
      </w:r>
      <w:r w:rsidRPr="0002310E">
        <w:rPr>
          <w:rFonts w:ascii="Times New Roman" w:hAnsi="Times New Roman"/>
          <w:sz w:val="24"/>
          <w:lang w:val="en-GB"/>
        </w:rPr>
        <w:t xml:space="preserve"> and hardcopies may be obtained from the ACMA by contacting:</w:t>
      </w:r>
    </w:p>
    <w:p w14:paraId="7F3C02A4" w14:textId="77777777" w:rsidR="00174B6D" w:rsidRPr="0002310E" w:rsidRDefault="00174B6D" w:rsidP="00174B6D">
      <w:pPr>
        <w:shd w:val="clear" w:color="auto" w:fill="FFFFFF"/>
        <w:spacing w:after="0" w:line="240" w:lineRule="auto"/>
        <w:ind w:left="62"/>
        <w:rPr>
          <w:rFonts w:ascii="Times New Roman" w:hAnsi="Times New Roman"/>
          <w:sz w:val="24"/>
          <w:lang w:val="en-US"/>
        </w:rPr>
      </w:pPr>
    </w:p>
    <w:p w14:paraId="3C3E4816"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proofErr w:type="spellStart"/>
      <w:r w:rsidRPr="001940E4">
        <w:rPr>
          <w:rFonts w:ascii="Times New Roman" w:hAnsi="Times New Roman"/>
          <w:sz w:val="24"/>
          <w:lang w:val="en-GB"/>
        </w:rPr>
        <w:t>Snezana</w:t>
      </w:r>
      <w:proofErr w:type="spellEnd"/>
      <w:r w:rsidRPr="001940E4">
        <w:rPr>
          <w:rFonts w:ascii="Times New Roman" w:hAnsi="Times New Roman"/>
          <w:sz w:val="24"/>
          <w:lang w:val="en-GB"/>
        </w:rPr>
        <w:t xml:space="preserve"> </w:t>
      </w:r>
      <w:proofErr w:type="spellStart"/>
      <w:r w:rsidRPr="001940E4">
        <w:rPr>
          <w:rFonts w:ascii="Times New Roman" w:hAnsi="Times New Roman"/>
          <w:sz w:val="24"/>
          <w:lang w:val="en-GB"/>
        </w:rPr>
        <w:t>Krusevac</w:t>
      </w:r>
      <w:proofErr w:type="spellEnd"/>
    </w:p>
    <w:p w14:paraId="3C604D3B"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r w:rsidRPr="001940E4">
        <w:rPr>
          <w:rFonts w:ascii="Times New Roman" w:hAnsi="Times New Roman"/>
          <w:sz w:val="24"/>
          <w:lang w:val="en-GB"/>
        </w:rPr>
        <w:t>Spectrum Engineering Section</w:t>
      </w:r>
    </w:p>
    <w:p w14:paraId="557FB716"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r w:rsidRPr="001940E4">
        <w:rPr>
          <w:rFonts w:ascii="Times New Roman" w:hAnsi="Times New Roman"/>
          <w:sz w:val="24"/>
          <w:lang w:val="en-GB"/>
        </w:rPr>
        <w:t>Australian Communications and Media Authority</w:t>
      </w:r>
    </w:p>
    <w:p w14:paraId="1F9F9AFD"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r w:rsidRPr="001940E4">
        <w:rPr>
          <w:rFonts w:ascii="Times New Roman" w:hAnsi="Times New Roman"/>
          <w:sz w:val="24"/>
          <w:lang w:val="en-GB"/>
        </w:rPr>
        <w:t>PO BOX 78</w:t>
      </w:r>
    </w:p>
    <w:p w14:paraId="4909A723"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proofErr w:type="gramStart"/>
      <w:r w:rsidRPr="001940E4">
        <w:rPr>
          <w:rFonts w:ascii="Times New Roman" w:hAnsi="Times New Roman"/>
          <w:sz w:val="24"/>
          <w:lang w:val="en-GB"/>
        </w:rPr>
        <w:t>BELCONNEN  ACT</w:t>
      </w:r>
      <w:proofErr w:type="gramEnd"/>
      <w:r w:rsidRPr="001940E4">
        <w:rPr>
          <w:rFonts w:ascii="Times New Roman" w:hAnsi="Times New Roman"/>
          <w:sz w:val="24"/>
          <w:lang w:val="en-GB"/>
        </w:rPr>
        <w:t>  2616</w:t>
      </w:r>
    </w:p>
    <w:p w14:paraId="125DD1A5"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r w:rsidRPr="001940E4">
        <w:rPr>
          <w:rFonts w:ascii="Times New Roman" w:hAnsi="Times New Roman"/>
          <w:sz w:val="24"/>
          <w:lang w:val="en-GB"/>
        </w:rPr>
        <w:t> </w:t>
      </w:r>
    </w:p>
    <w:p w14:paraId="344057F2"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r w:rsidRPr="001940E4">
        <w:rPr>
          <w:rFonts w:ascii="Times New Roman" w:hAnsi="Times New Roman"/>
          <w:sz w:val="24"/>
          <w:lang w:val="en-GB"/>
        </w:rPr>
        <w:t>Telephone:</w:t>
      </w:r>
      <w:r>
        <w:rPr>
          <w:rFonts w:ascii="Times New Roman" w:hAnsi="Times New Roman"/>
          <w:sz w:val="24"/>
          <w:lang w:val="en-GB"/>
        </w:rPr>
        <w:tab/>
      </w:r>
      <w:r w:rsidRPr="001940E4">
        <w:rPr>
          <w:rFonts w:ascii="Times New Roman" w:hAnsi="Times New Roman"/>
          <w:sz w:val="24"/>
          <w:lang w:val="en-GB"/>
        </w:rPr>
        <w:t xml:space="preserve">(02) 6219 </w:t>
      </w:r>
      <w:r>
        <w:rPr>
          <w:rFonts w:ascii="Times New Roman" w:hAnsi="Times New Roman"/>
          <w:sz w:val="24"/>
          <w:lang w:val="en-GB"/>
        </w:rPr>
        <w:t>5582</w:t>
      </w:r>
    </w:p>
    <w:p w14:paraId="237AB0D0" w14:textId="77777777" w:rsidR="00174B6D" w:rsidRPr="001940E4" w:rsidRDefault="00174B6D" w:rsidP="00174B6D">
      <w:pPr>
        <w:shd w:val="clear" w:color="auto" w:fill="FFFFFF"/>
        <w:spacing w:after="0" w:line="240" w:lineRule="auto"/>
        <w:ind w:firstLine="720"/>
        <w:rPr>
          <w:rFonts w:ascii="Times New Roman" w:hAnsi="Times New Roman"/>
          <w:sz w:val="24"/>
          <w:lang w:val="en-US"/>
        </w:rPr>
      </w:pPr>
      <w:r w:rsidRPr="001940E4">
        <w:rPr>
          <w:rFonts w:ascii="Times New Roman" w:hAnsi="Times New Roman"/>
          <w:sz w:val="24"/>
          <w:lang w:val="en-GB"/>
        </w:rPr>
        <w:lastRenderedPageBreak/>
        <w:t xml:space="preserve">Email: </w:t>
      </w:r>
      <w:r>
        <w:rPr>
          <w:rFonts w:ascii="Times New Roman" w:hAnsi="Times New Roman"/>
          <w:sz w:val="24"/>
          <w:lang w:val="en-GB"/>
        </w:rPr>
        <w:tab/>
      </w:r>
      <w:r>
        <w:rPr>
          <w:rFonts w:ascii="Times New Roman" w:hAnsi="Times New Roman"/>
          <w:sz w:val="24"/>
          <w:lang w:val="en-GB"/>
        </w:rPr>
        <w:tab/>
      </w:r>
      <w:r w:rsidRPr="001940E4">
        <w:rPr>
          <w:rFonts w:ascii="Times New Roman" w:hAnsi="Times New Roman"/>
          <w:sz w:val="24"/>
          <w:lang w:val="en-GB"/>
        </w:rPr>
        <w:t>Snezana.Krusevac@acma.gov.au</w:t>
      </w:r>
    </w:p>
    <w:p w14:paraId="34DDE37F" w14:textId="77777777" w:rsidR="00174B6D" w:rsidRDefault="00174B6D" w:rsidP="00174B6D">
      <w:pPr>
        <w:shd w:val="clear" w:color="auto" w:fill="FFFFFF"/>
        <w:spacing w:after="0" w:line="240" w:lineRule="auto"/>
        <w:rPr>
          <w:rFonts w:ascii="Times New Roman" w:hAnsi="Times New Roman"/>
          <w:b/>
          <w:bCs/>
          <w:sz w:val="24"/>
          <w:lang w:val="en-GB"/>
        </w:rPr>
      </w:pPr>
    </w:p>
    <w:p w14:paraId="3F6D4100" w14:textId="77777777" w:rsidR="00174B6D" w:rsidRPr="001940E4" w:rsidRDefault="00174B6D" w:rsidP="00174B6D">
      <w:pPr>
        <w:shd w:val="clear" w:color="auto" w:fill="FFFFFF"/>
        <w:spacing w:after="0" w:line="240" w:lineRule="auto"/>
        <w:rPr>
          <w:rFonts w:ascii="Times New Roman" w:hAnsi="Times New Roman"/>
          <w:sz w:val="24"/>
          <w:lang w:val="en-US"/>
        </w:rPr>
      </w:pPr>
      <w:r w:rsidRPr="001940E4">
        <w:rPr>
          <w:rFonts w:ascii="Times New Roman" w:hAnsi="Times New Roman"/>
          <w:b/>
          <w:bCs/>
          <w:sz w:val="24"/>
          <w:lang w:val="en-GB"/>
        </w:rPr>
        <w:t>Comments</w:t>
      </w:r>
    </w:p>
    <w:p w14:paraId="5D6369E0" w14:textId="77777777" w:rsidR="00174B6D" w:rsidRPr="001940E4" w:rsidRDefault="00174B6D" w:rsidP="00174B6D">
      <w:pPr>
        <w:shd w:val="clear" w:color="auto" w:fill="FFFFFF"/>
        <w:spacing w:after="0" w:line="240" w:lineRule="auto"/>
        <w:rPr>
          <w:rFonts w:ascii="Times New Roman" w:hAnsi="Times New Roman"/>
          <w:sz w:val="24"/>
          <w:lang w:val="en-US"/>
        </w:rPr>
      </w:pPr>
    </w:p>
    <w:p w14:paraId="49E19E27" w14:textId="77777777" w:rsidR="00174B6D" w:rsidRPr="001940E4" w:rsidRDefault="00174B6D" w:rsidP="00174B6D">
      <w:pPr>
        <w:shd w:val="clear" w:color="auto" w:fill="FFFFFF"/>
        <w:spacing w:after="0" w:line="240" w:lineRule="auto"/>
        <w:rPr>
          <w:rFonts w:ascii="Times New Roman" w:hAnsi="Times New Roman"/>
          <w:sz w:val="24"/>
          <w:lang w:val="en-US"/>
        </w:rPr>
      </w:pPr>
      <w:r w:rsidRPr="001940E4">
        <w:rPr>
          <w:rFonts w:ascii="Times New Roman" w:hAnsi="Times New Roman"/>
          <w:sz w:val="24"/>
          <w:lang w:val="en-GB"/>
        </w:rPr>
        <w:t>Under section 136 of the Act, the ACMA is seeking representations about the draft Variation.</w:t>
      </w:r>
    </w:p>
    <w:p w14:paraId="6F7D0798" w14:textId="77777777" w:rsidR="00174B6D" w:rsidRPr="001940E4" w:rsidRDefault="00174B6D" w:rsidP="00174B6D">
      <w:pPr>
        <w:shd w:val="clear" w:color="auto" w:fill="FFFFFF"/>
        <w:spacing w:after="0" w:line="240" w:lineRule="auto"/>
        <w:rPr>
          <w:rFonts w:ascii="Times New Roman" w:hAnsi="Times New Roman"/>
          <w:sz w:val="24"/>
          <w:lang w:val="en-US"/>
        </w:rPr>
      </w:pPr>
    </w:p>
    <w:p w14:paraId="2A9952B9"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p>
    <w:p w14:paraId="57074A76" w14:textId="77777777" w:rsidR="00174B6D" w:rsidRPr="001940E4" w:rsidRDefault="00174B6D" w:rsidP="00174B6D">
      <w:pPr>
        <w:shd w:val="clear" w:color="auto" w:fill="FFFFFF"/>
        <w:spacing w:after="0" w:line="240" w:lineRule="auto"/>
        <w:rPr>
          <w:rFonts w:ascii="Times New Roman" w:hAnsi="Times New Roman"/>
          <w:sz w:val="24"/>
          <w:lang w:val="en-US"/>
        </w:rPr>
      </w:pPr>
    </w:p>
    <w:p w14:paraId="4DC0871A" w14:textId="77777777" w:rsidR="00174B6D" w:rsidRPr="001940E4" w:rsidRDefault="00174B6D" w:rsidP="00174B6D">
      <w:pPr>
        <w:shd w:val="clear" w:color="auto" w:fill="FFFFFF"/>
        <w:spacing w:after="0" w:line="240" w:lineRule="auto"/>
        <w:rPr>
          <w:rFonts w:ascii="Times New Roman" w:hAnsi="Times New Roman"/>
          <w:sz w:val="24"/>
          <w:lang w:val="en-US"/>
        </w:rPr>
      </w:pPr>
      <w:r w:rsidRPr="001940E4">
        <w:rPr>
          <w:rFonts w:ascii="Times New Roman" w:hAnsi="Times New Roman"/>
          <w:sz w:val="24"/>
          <w:lang w:val="en-GB"/>
        </w:rPr>
        <w:t xml:space="preserve">Interested persons are invited to make representations about the proposed variation no later than </w:t>
      </w:r>
      <w:r w:rsidRPr="004162AD">
        <w:rPr>
          <w:rFonts w:ascii="Times New Roman" w:hAnsi="Times New Roman"/>
          <w:sz w:val="24"/>
          <w:lang w:val="en-GB"/>
        </w:rPr>
        <w:t>19 January 2018.</w:t>
      </w:r>
      <w:r w:rsidRPr="001940E4">
        <w:rPr>
          <w:rFonts w:ascii="Times New Roman" w:hAnsi="Times New Roman"/>
          <w:sz w:val="24"/>
          <w:lang w:val="en-GB"/>
        </w:rPr>
        <w:t xml:space="preserve"> Representations should be in writing and should be addressed to:</w:t>
      </w:r>
    </w:p>
    <w:p w14:paraId="6E0BE269" w14:textId="77777777" w:rsidR="00174B6D" w:rsidRPr="001940E4" w:rsidRDefault="00174B6D" w:rsidP="00174B6D">
      <w:pPr>
        <w:shd w:val="clear" w:color="auto" w:fill="FFFFFF"/>
        <w:spacing w:after="0" w:line="240" w:lineRule="auto"/>
        <w:rPr>
          <w:rFonts w:ascii="Times New Roman" w:hAnsi="Times New Roman"/>
          <w:sz w:val="24"/>
          <w:lang w:val="en-US"/>
        </w:rPr>
      </w:pPr>
    </w:p>
    <w:p w14:paraId="58F9BA8C" w14:textId="77777777" w:rsidR="00174B6D" w:rsidRPr="001940E4" w:rsidRDefault="00174B6D" w:rsidP="00174B6D">
      <w:pPr>
        <w:shd w:val="clear" w:color="auto" w:fill="FFFFFF"/>
        <w:spacing w:after="0" w:line="240" w:lineRule="auto"/>
        <w:ind w:left="720"/>
        <w:rPr>
          <w:rFonts w:ascii="Times New Roman" w:hAnsi="Times New Roman"/>
          <w:sz w:val="24"/>
          <w:lang w:val="en-US"/>
        </w:rPr>
      </w:pPr>
      <w:r w:rsidRPr="001940E4">
        <w:rPr>
          <w:rFonts w:ascii="Times New Roman" w:hAnsi="Times New Roman"/>
          <w:sz w:val="24"/>
        </w:rPr>
        <w:t>The Manager</w:t>
      </w:r>
      <w:r>
        <w:rPr>
          <w:rFonts w:ascii="Times New Roman" w:hAnsi="Times New Roman"/>
          <w:sz w:val="24"/>
        </w:rPr>
        <w:t xml:space="preserve">, </w:t>
      </w:r>
      <w:r w:rsidRPr="001940E4">
        <w:rPr>
          <w:rFonts w:ascii="Times New Roman" w:hAnsi="Times New Roman"/>
          <w:sz w:val="24"/>
          <w:lang w:val="en-GB"/>
        </w:rPr>
        <w:t>Spectrum Engineering Section</w:t>
      </w:r>
    </w:p>
    <w:p w14:paraId="7F7675FB" w14:textId="77777777" w:rsidR="00174B6D" w:rsidRPr="001940E4" w:rsidRDefault="00174B6D" w:rsidP="00174B6D">
      <w:pPr>
        <w:shd w:val="clear" w:color="auto" w:fill="FFFFFF"/>
        <w:spacing w:after="0" w:line="240" w:lineRule="auto"/>
        <w:ind w:left="720"/>
        <w:rPr>
          <w:rFonts w:ascii="Times New Roman" w:hAnsi="Times New Roman"/>
          <w:sz w:val="24"/>
          <w:lang w:val="en-US"/>
        </w:rPr>
      </w:pPr>
      <w:r w:rsidRPr="001940E4">
        <w:rPr>
          <w:rFonts w:ascii="Times New Roman" w:hAnsi="Times New Roman"/>
          <w:sz w:val="24"/>
        </w:rPr>
        <w:t>Australian Communications and Media Authority</w:t>
      </w:r>
    </w:p>
    <w:p w14:paraId="7E991850"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r w:rsidRPr="001940E4">
        <w:rPr>
          <w:rFonts w:ascii="Times New Roman" w:hAnsi="Times New Roman"/>
          <w:sz w:val="24"/>
          <w:lang w:val="en-GB"/>
        </w:rPr>
        <w:t>PO BOX 78</w:t>
      </w:r>
    </w:p>
    <w:p w14:paraId="5246B843" w14:textId="77777777" w:rsidR="00174B6D" w:rsidRPr="001940E4" w:rsidRDefault="00174B6D" w:rsidP="00174B6D">
      <w:pPr>
        <w:shd w:val="clear" w:color="auto" w:fill="FFFFFF"/>
        <w:spacing w:after="0" w:line="240" w:lineRule="auto"/>
        <w:ind w:left="62" w:firstLine="658"/>
        <w:rPr>
          <w:rFonts w:ascii="Times New Roman" w:hAnsi="Times New Roman"/>
          <w:sz w:val="24"/>
          <w:lang w:val="en-US"/>
        </w:rPr>
      </w:pPr>
      <w:r w:rsidRPr="001940E4">
        <w:rPr>
          <w:rFonts w:ascii="Times New Roman" w:hAnsi="Times New Roman"/>
          <w:sz w:val="24"/>
          <w:lang w:val="en-GB"/>
        </w:rPr>
        <w:t>BELCONNEN ACT 2616</w:t>
      </w:r>
    </w:p>
    <w:p w14:paraId="7E17BE46" w14:textId="77777777" w:rsidR="00174B6D" w:rsidRPr="001940E4" w:rsidRDefault="00174B6D" w:rsidP="00174B6D">
      <w:pPr>
        <w:shd w:val="clear" w:color="auto" w:fill="FFFFFF"/>
        <w:spacing w:after="0" w:line="240" w:lineRule="auto"/>
        <w:ind w:left="720"/>
        <w:rPr>
          <w:rFonts w:ascii="Times New Roman" w:hAnsi="Times New Roman"/>
          <w:sz w:val="24"/>
          <w:lang w:val="en-US"/>
        </w:rPr>
      </w:pPr>
      <w:r w:rsidRPr="001940E4">
        <w:rPr>
          <w:rFonts w:ascii="Times New Roman" w:hAnsi="Times New Roman"/>
          <w:sz w:val="24"/>
          <w:lang w:val="en-GB"/>
        </w:rPr>
        <w:br/>
        <w:t>or by email to:</w:t>
      </w:r>
    </w:p>
    <w:p w14:paraId="6FEB7EC2" w14:textId="77777777" w:rsidR="00174B6D" w:rsidRPr="001940E4" w:rsidRDefault="00174B6D" w:rsidP="00174B6D">
      <w:pPr>
        <w:shd w:val="clear" w:color="auto" w:fill="FFFFFF"/>
        <w:spacing w:after="0" w:line="240" w:lineRule="auto"/>
        <w:ind w:left="720"/>
        <w:rPr>
          <w:rFonts w:ascii="Times New Roman" w:hAnsi="Times New Roman"/>
          <w:sz w:val="24"/>
          <w:lang w:val="en-US"/>
        </w:rPr>
      </w:pPr>
      <w:r w:rsidRPr="001940E4">
        <w:rPr>
          <w:rFonts w:ascii="Times New Roman" w:hAnsi="Times New Roman"/>
          <w:sz w:val="24"/>
        </w:rPr>
        <w:t>freqplan@acma.gov.au</w:t>
      </w:r>
    </w:p>
    <w:p w14:paraId="386AD815" w14:textId="77777777" w:rsidR="00174B6D" w:rsidRPr="001940E4" w:rsidRDefault="00174B6D" w:rsidP="00174B6D">
      <w:pPr>
        <w:shd w:val="clear" w:color="auto" w:fill="FFFFFF"/>
        <w:spacing w:after="0" w:line="240" w:lineRule="auto"/>
        <w:rPr>
          <w:rFonts w:ascii="Times New Roman" w:hAnsi="Times New Roman"/>
          <w:sz w:val="24"/>
          <w:lang w:val="en-US"/>
        </w:rPr>
      </w:pPr>
      <w:r w:rsidRPr="001940E4">
        <w:rPr>
          <w:rFonts w:ascii="Times New Roman" w:hAnsi="Times New Roman"/>
          <w:sz w:val="24"/>
        </w:rPr>
        <w:t> </w:t>
      </w:r>
    </w:p>
    <w:p w14:paraId="39B65098" w14:textId="77777777" w:rsidR="00CC557D" w:rsidRDefault="00CC557D" w:rsidP="00CC557D">
      <w:pPr>
        <w:pStyle w:val="NoteEnd"/>
      </w:pPr>
    </w:p>
    <w:p w14:paraId="2D1B34BA" w14:textId="77777777" w:rsidR="000666A1" w:rsidRPr="006B12D2" w:rsidRDefault="000666A1" w:rsidP="000666A1">
      <w:pPr>
        <w:rPr>
          <w:rFonts w:cs="Arial"/>
        </w:rPr>
      </w:pPr>
    </w:p>
    <w:sectPr w:rsidR="000666A1" w:rsidRPr="006B12D2" w:rsidSect="00C77380">
      <w:headerReference w:type="even" r:id="rId50"/>
      <w:headerReference w:type="default" r:id="rId51"/>
      <w:footerReference w:type="even" r:id="rId52"/>
      <w:footerReference w:type="default" r:id="rId5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3A418" w14:textId="77777777" w:rsidR="0045185E" w:rsidRDefault="0045185E">
      <w:r>
        <w:separator/>
      </w:r>
    </w:p>
  </w:endnote>
  <w:endnote w:type="continuationSeparator" w:id="0">
    <w:p w14:paraId="53C8ED29" w14:textId="77777777" w:rsidR="0045185E" w:rsidRDefault="0045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FD68" w14:textId="77777777" w:rsidR="009F7B12" w:rsidRPr="00A5474E" w:rsidRDefault="009F7B12" w:rsidP="00A5474E">
    <w:pPr>
      <w:pStyle w:val="Footer"/>
    </w:pPr>
    <w:r>
      <w:rPr>
        <w:noProof/>
      </w:rPr>
      <w:drawing>
        <wp:inline distT="0" distB="0" distL="0" distR="0" wp14:anchorId="5265E033" wp14:editId="2956F8E5">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F494" w14:textId="77777777" w:rsidR="00CC557D" w:rsidRDefault="00CC557D">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C557D" w14:paraId="35CD77BF" w14:textId="77777777">
      <w:tc>
        <w:tcPr>
          <w:tcW w:w="1134" w:type="dxa"/>
        </w:tcPr>
        <w:p w14:paraId="01D3C469" w14:textId="5C77342D" w:rsidR="00CC557D" w:rsidRPr="003839ED" w:rsidRDefault="00CC557D" w:rsidP="00842B4F">
          <w:pPr>
            <w:spacing w:line="240" w:lineRule="exact"/>
            <w:rPr>
              <w:rFonts w:cs="Arial"/>
            </w:rPr>
          </w:pPr>
          <w:r w:rsidRPr="003839ED">
            <w:rPr>
              <w:rStyle w:val="PageNumber0"/>
              <w:rFonts w:cs="Arial"/>
            </w:rPr>
            <w:fldChar w:fldCharType="begin"/>
          </w:r>
          <w:r w:rsidRPr="003839ED">
            <w:rPr>
              <w:rStyle w:val="PageNumber0"/>
              <w:rFonts w:cs="Arial"/>
            </w:rPr>
            <w:instrText xml:space="preserve">PAGE  </w:instrText>
          </w:r>
          <w:r w:rsidRPr="003839ED">
            <w:rPr>
              <w:rStyle w:val="PageNumber0"/>
              <w:rFonts w:cs="Arial"/>
            </w:rPr>
            <w:fldChar w:fldCharType="separate"/>
          </w:r>
          <w:r w:rsidR="00174B6D">
            <w:rPr>
              <w:rStyle w:val="PageNumber0"/>
              <w:rFonts w:cs="Arial"/>
              <w:noProof/>
            </w:rPr>
            <w:t>14</w:t>
          </w:r>
          <w:r w:rsidRPr="003839ED">
            <w:rPr>
              <w:rStyle w:val="PageNumber0"/>
              <w:rFonts w:cs="Arial"/>
            </w:rPr>
            <w:fldChar w:fldCharType="end"/>
          </w:r>
        </w:p>
      </w:tc>
      <w:tc>
        <w:tcPr>
          <w:tcW w:w="6095" w:type="dxa"/>
        </w:tcPr>
        <w:p w14:paraId="3422A02D" w14:textId="77777777" w:rsidR="00CC557D" w:rsidRPr="004F5D6D" w:rsidRDefault="00CC557D" w:rsidP="00842B4F">
          <w:pPr>
            <w:pStyle w:val="Footer"/>
            <w:spacing w:before="20" w:line="240" w:lineRule="exact"/>
          </w:pPr>
          <w:r>
            <w:t>Radiocommunications (Low Interference Potential Devices) Class Licence Variation Notice 2013 (No. 1)</w:t>
          </w:r>
        </w:p>
      </w:tc>
      <w:tc>
        <w:tcPr>
          <w:tcW w:w="1134" w:type="dxa"/>
        </w:tcPr>
        <w:p w14:paraId="2F67A263" w14:textId="77777777" w:rsidR="00CC557D" w:rsidRPr="00451BF5" w:rsidRDefault="00CC557D" w:rsidP="00842B4F">
          <w:pPr>
            <w:spacing w:line="240" w:lineRule="exact"/>
            <w:jc w:val="right"/>
            <w:rPr>
              <w:rStyle w:val="PageNumber0"/>
            </w:rPr>
          </w:pPr>
        </w:p>
      </w:tc>
    </w:tr>
  </w:tbl>
  <w:p w14:paraId="2677B4AD" w14:textId="77777777" w:rsidR="00CC557D" w:rsidRDefault="00CC557D">
    <w:pPr>
      <w:pStyle w:val="FooterDraft"/>
      <w:ind w:right="360" w:firstLine="360"/>
    </w:pPr>
  </w:p>
  <w:p w14:paraId="595B25F7" w14:textId="77777777" w:rsidR="00CC557D" w:rsidRDefault="00CC557D">
    <w:pPr>
      <w:pStyle w:val="FooterInf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F1F2" w14:textId="77777777" w:rsidR="00CC557D" w:rsidRDefault="00CC557D">
    <w:pPr>
      <w:spacing w:line="200" w:lineRule="exact"/>
    </w:pPr>
  </w:p>
  <w:tbl>
    <w:tblPr>
      <w:tblW w:w="8363" w:type="dxa"/>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C557D" w14:paraId="0A073378" w14:textId="77777777" w:rsidTr="00B6492F">
      <w:tc>
        <w:tcPr>
          <w:tcW w:w="1134" w:type="dxa"/>
        </w:tcPr>
        <w:p w14:paraId="6D96D443" w14:textId="77777777" w:rsidR="00CC557D" w:rsidRDefault="00CC557D" w:rsidP="00842B4F">
          <w:pPr>
            <w:spacing w:line="240" w:lineRule="exact"/>
          </w:pPr>
        </w:p>
      </w:tc>
      <w:tc>
        <w:tcPr>
          <w:tcW w:w="6095" w:type="dxa"/>
        </w:tcPr>
        <w:p w14:paraId="4E59F837" w14:textId="77777777" w:rsidR="00CC557D" w:rsidRPr="004F5D6D" w:rsidRDefault="00CC557D" w:rsidP="00671410">
          <w:pPr>
            <w:pStyle w:val="FooterCitation"/>
          </w:pPr>
          <w:r>
            <w:t>Radiocommunications (Low Interference Potential Devices) Class Licence Variation Notice 2018 (No. 1)</w:t>
          </w:r>
        </w:p>
      </w:tc>
      <w:tc>
        <w:tcPr>
          <w:tcW w:w="1134" w:type="dxa"/>
        </w:tcPr>
        <w:p w14:paraId="6C9422C8" w14:textId="77777777" w:rsidR="00CC557D" w:rsidRPr="003839ED" w:rsidRDefault="00CC557D" w:rsidP="00842B4F">
          <w:pPr>
            <w:spacing w:line="240" w:lineRule="exact"/>
            <w:jc w:val="right"/>
            <w:rPr>
              <w:rStyle w:val="PageNumber0"/>
              <w:rFonts w:cs="Arial"/>
            </w:rPr>
          </w:pPr>
          <w:r>
            <w:rPr>
              <w:rStyle w:val="PageNumber0"/>
              <w:rFonts w:cs="Arial"/>
              <w:noProof/>
              <w:szCs w:val="22"/>
            </w:rPr>
            <w:t>2</w:t>
          </w:r>
        </w:p>
      </w:tc>
    </w:tr>
  </w:tbl>
  <w:p w14:paraId="514E29C8" w14:textId="77777777" w:rsidR="00CC557D" w:rsidRDefault="00CC557D">
    <w:pPr>
      <w:pStyle w:val="FooterDraft"/>
    </w:pPr>
    <w:r>
      <w:rPr>
        <w:b w:val="0"/>
        <w:i/>
      </w:rPr>
      <w:t>DRAFT FOR CONSULTATION ONLY</w:t>
    </w:r>
  </w:p>
  <w:p w14:paraId="3EA5B76C" w14:textId="77777777" w:rsidR="00CC557D" w:rsidRDefault="00CC557D">
    <w:pPr>
      <w:pStyle w:val="FooterInf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14B7" w14:textId="197DC9B5" w:rsidR="009F7B12" w:rsidRPr="00622A3B" w:rsidRDefault="009F7B1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174B6D">
      <w:rPr>
        <w:noProof/>
      </w:rPr>
      <w:t>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B4D714C" w14:textId="77777777" w:rsidR="009F7B12" w:rsidRPr="00A5474E" w:rsidRDefault="009F7B12" w:rsidP="00A5474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89C6" w14:textId="2AAE90D4" w:rsidR="009F7B12" w:rsidRPr="00622A3B" w:rsidRDefault="009F7B1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74B6D">
      <w:rPr>
        <w:noProof/>
        <w:color w:val="505050"/>
      </w:rPr>
      <w:t>5</w:t>
    </w:r>
    <w:r w:rsidRPr="00575AC5">
      <w:rPr>
        <w:color w:val="505050"/>
      </w:rPr>
      <w:fldChar w:fldCharType="end"/>
    </w:r>
  </w:p>
  <w:p w14:paraId="7EC65B79" w14:textId="77777777" w:rsidR="009F7B12" w:rsidRPr="00A5474E" w:rsidRDefault="009F7B12"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CD69" w14:textId="77777777" w:rsidR="009F7B12" w:rsidRDefault="009F7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10C8" w14:textId="77777777" w:rsidR="009F7B12" w:rsidRDefault="009F7B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F7D0" w14:textId="77777777" w:rsidR="009F7B12" w:rsidRPr="00622A3B" w:rsidRDefault="009F7B12"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2E89BB0" w14:textId="77777777" w:rsidR="009F7B12" w:rsidRPr="00A5474E" w:rsidRDefault="009F7B1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07F6" w14:textId="77777777" w:rsidR="009F7B12" w:rsidRPr="00622A3B" w:rsidRDefault="009F7B12"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45E81AB8" w14:textId="77777777" w:rsidR="009F7B12" w:rsidRPr="00A5474E" w:rsidRDefault="009F7B1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AD1C" w14:textId="57097D68" w:rsidR="009F7B12" w:rsidRPr="00622A3B" w:rsidRDefault="009F7B1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174B6D">
      <w:rPr>
        <w:noProof/>
        <w:color w:val="505050"/>
      </w:rPr>
      <w:t>iii</w:t>
    </w:r>
    <w:r w:rsidRPr="002E4DDC">
      <w:rPr>
        <w:color w:val="505050"/>
      </w:rPr>
      <w:fldChar w:fldCharType="end"/>
    </w:r>
  </w:p>
  <w:p w14:paraId="6B05D3ED" w14:textId="77777777" w:rsidR="009F7B12" w:rsidRPr="00A5474E" w:rsidRDefault="009F7B1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0AFB" w14:textId="77777777" w:rsidR="00CC557D" w:rsidRDefault="00CC557D">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C557D" w14:paraId="357470B8" w14:textId="77777777">
      <w:tc>
        <w:tcPr>
          <w:tcW w:w="1134" w:type="dxa"/>
        </w:tcPr>
        <w:p w14:paraId="3F07F881" w14:textId="00A6FEA3" w:rsidR="00CC557D" w:rsidRPr="003839ED" w:rsidRDefault="00CC557D" w:rsidP="00842B4F">
          <w:pPr>
            <w:spacing w:line="240" w:lineRule="exact"/>
            <w:rPr>
              <w:rFonts w:cs="Arial"/>
            </w:rPr>
          </w:pPr>
          <w:r w:rsidRPr="003839ED">
            <w:rPr>
              <w:rStyle w:val="PageNumber0"/>
              <w:rFonts w:cs="Arial"/>
            </w:rPr>
            <w:fldChar w:fldCharType="begin"/>
          </w:r>
          <w:r w:rsidRPr="003839ED">
            <w:rPr>
              <w:rStyle w:val="PageNumber0"/>
              <w:rFonts w:cs="Arial"/>
            </w:rPr>
            <w:instrText xml:space="preserve">PAGE  </w:instrText>
          </w:r>
          <w:r w:rsidRPr="003839ED">
            <w:rPr>
              <w:rStyle w:val="PageNumber0"/>
              <w:rFonts w:cs="Arial"/>
            </w:rPr>
            <w:fldChar w:fldCharType="separate"/>
          </w:r>
          <w:r w:rsidR="00174B6D">
            <w:rPr>
              <w:rStyle w:val="PageNumber0"/>
              <w:rFonts w:cs="Arial"/>
              <w:noProof/>
            </w:rPr>
            <w:t>6</w:t>
          </w:r>
          <w:r w:rsidRPr="003839ED">
            <w:rPr>
              <w:rStyle w:val="PageNumber0"/>
              <w:rFonts w:cs="Arial"/>
            </w:rPr>
            <w:fldChar w:fldCharType="end"/>
          </w:r>
        </w:p>
      </w:tc>
      <w:tc>
        <w:tcPr>
          <w:tcW w:w="6095" w:type="dxa"/>
        </w:tcPr>
        <w:p w14:paraId="2FD544FB" w14:textId="77777777" w:rsidR="00CC557D" w:rsidRPr="004F5D6D" w:rsidRDefault="00CC557D" w:rsidP="00842B4F">
          <w:pPr>
            <w:pStyle w:val="Footer"/>
            <w:spacing w:before="20" w:line="240" w:lineRule="exact"/>
          </w:pPr>
          <w:r>
            <w:fldChar w:fldCharType="begin"/>
          </w:r>
          <w:r>
            <w:instrText xml:space="preserve"> REF  Citation\*charformat </w:instrText>
          </w:r>
          <w:r>
            <w:fldChar w:fldCharType="separate"/>
          </w:r>
          <w:r>
            <w:t>Radiocommunications (Low Interference Potential Devices) Class Licence Variation 2017 (No. 1)</w:t>
          </w:r>
          <w:r>
            <w:fldChar w:fldCharType="end"/>
          </w:r>
        </w:p>
      </w:tc>
      <w:tc>
        <w:tcPr>
          <w:tcW w:w="1134" w:type="dxa"/>
        </w:tcPr>
        <w:p w14:paraId="23C41C0A" w14:textId="77777777" w:rsidR="00CC557D" w:rsidRPr="00451BF5" w:rsidRDefault="00CC557D" w:rsidP="00842B4F">
          <w:pPr>
            <w:spacing w:line="240" w:lineRule="exact"/>
            <w:jc w:val="right"/>
            <w:rPr>
              <w:rStyle w:val="PageNumber0"/>
            </w:rPr>
          </w:pPr>
        </w:p>
      </w:tc>
    </w:tr>
  </w:tbl>
  <w:p w14:paraId="4F150874" w14:textId="77777777" w:rsidR="00CC557D" w:rsidRDefault="00CC557D">
    <w:pPr>
      <w:pStyle w:val="FooterDraft"/>
      <w:ind w:right="360" w:firstLine="360"/>
    </w:pPr>
  </w:p>
  <w:p w14:paraId="74F21A29" w14:textId="77777777" w:rsidR="00CC557D" w:rsidRDefault="00CC557D">
    <w:pPr>
      <w:pStyle w:val="FooterInf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EC59" w14:textId="77777777" w:rsidR="00CC557D" w:rsidRDefault="00CC557D">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C557D" w14:paraId="151DFEE5" w14:textId="77777777">
      <w:tc>
        <w:tcPr>
          <w:tcW w:w="1134" w:type="dxa"/>
        </w:tcPr>
        <w:p w14:paraId="06DADCD1" w14:textId="77777777" w:rsidR="00CC557D" w:rsidRDefault="00CC557D" w:rsidP="00842B4F">
          <w:pPr>
            <w:spacing w:line="240" w:lineRule="exact"/>
          </w:pPr>
        </w:p>
      </w:tc>
      <w:tc>
        <w:tcPr>
          <w:tcW w:w="6095" w:type="dxa"/>
        </w:tcPr>
        <w:p w14:paraId="1555E02C" w14:textId="77777777" w:rsidR="00CC557D" w:rsidRPr="004F5D6D" w:rsidRDefault="00CC557D">
          <w:pPr>
            <w:pStyle w:val="FooterCitation"/>
          </w:pPr>
          <w:r w:rsidRPr="004F5D6D">
            <w:fldChar w:fldCharType="begin"/>
          </w:r>
          <w:r>
            <w:instrText>REF Citation</w:instrText>
          </w:r>
          <w:r w:rsidRPr="004F5D6D">
            <w:fldChar w:fldCharType="separate"/>
          </w:r>
          <w:r>
            <w:t>Radiocommunications (Low Interference Potential Devices) Class Licence Variation 2017 (No. 1)</w:t>
          </w:r>
          <w:r w:rsidRPr="004F5D6D">
            <w:fldChar w:fldCharType="end"/>
          </w:r>
        </w:p>
      </w:tc>
      <w:tc>
        <w:tcPr>
          <w:tcW w:w="1134" w:type="dxa"/>
        </w:tcPr>
        <w:p w14:paraId="1A85ABD6" w14:textId="6A98575C" w:rsidR="00CC557D" w:rsidRPr="003839ED" w:rsidRDefault="00CC557D" w:rsidP="00842B4F">
          <w:pPr>
            <w:spacing w:line="240" w:lineRule="exact"/>
            <w:jc w:val="right"/>
            <w:rPr>
              <w:rStyle w:val="PageNumber0"/>
              <w:rFonts w:cs="Arial"/>
            </w:rPr>
          </w:pPr>
          <w:r w:rsidRPr="003839ED">
            <w:rPr>
              <w:rStyle w:val="PageNumber0"/>
              <w:rFonts w:cs="Arial"/>
            </w:rPr>
            <w:fldChar w:fldCharType="begin"/>
          </w:r>
          <w:r w:rsidRPr="003839ED">
            <w:rPr>
              <w:rStyle w:val="PageNumber0"/>
              <w:rFonts w:cs="Arial"/>
            </w:rPr>
            <w:instrText xml:space="preserve">PAGE  </w:instrText>
          </w:r>
          <w:r w:rsidRPr="003839ED">
            <w:rPr>
              <w:rStyle w:val="PageNumber0"/>
              <w:rFonts w:cs="Arial"/>
            </w:rPr>
            <w:fldChar w:fldCharType="separate"/>
          </w:r>
          <w:r w:rsidR="00174B6D">
            <w:rPr>
              <w:rStyle w:val="PageNumber0"/>
              <w:rFonts w:cs="Arial"/>
              <w:noProof/>
            </w:rPr>
            <w:t>5</w:t>
          </w:r>
          <w:r w:rsidRPr="003839ED">
            <w:rPr>
              <w:rStyle w:val="PageNumber0"/>
              <w:rFonts w:cs="Arial"/>
            </w:rPr>
            <w:fldChar w:fldCharType="end"/>
          </w:r>
        </w:p>
      </w:tc>
    </w:tr>
  </w:tbl>
  <w:p w14:paraId="3AC85BFA" w14:textId="77777777" w:rsidR="00CC557D" w:rsidRDefault="00CC557D">
    <w:pPr>
      <w:pStyle w:val="FooterDraft"/>
    </w:pPr>
  </w:p>
  <w:p w14:paraId="337D55EB" w14:textId="77777777" w:rsidR="00CC557D" w:rsidRDefault="00CC557D">
    <w:pPr>
      <w:pStyle w:val="FooterInf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C557D" w14:paraId="11E0FDAD" w14:textId="77777777" w:rsidTr="002E1590">
      <w:tc>
        <w:tcPr>
          <w:tcW w:w="1134" w:type="dxa"/>
        </w:tcPr>
        <w:p w14:paraId="5F1F08D9" w14:textId="77777777" w:rsidR="00CC557D" w:rsidRDefault="00CC557D" w:rsidP="002E1590">
          <w:pPr>
            <w:spacing w:line="240" w:lineRule="exact"/>
          </w:pPr>
        </w:p>
      </w:tc>
      <w:tc>
        <w:tcPr>
          <w:tcW w:w="6095" w:type="dxa"/>
        </w:tcPr>
        <w:p w14:paraId="44A3665E" w14:textId="77777777" w:rsidR="00CC557D" w:rsidRPr="00B6492F" w:rsidRDefault="00CC557D" w:rsidP="006D2D41">
          <w:pPr>
            <w:pStyle w:val="FooterCitation"/>
            <w:rPr>
              <w:b/>
              <w:i w:val="0"/>
              <w:sz w:val="32"/>
              <w:szCs w:val="32"/>
            </w:rPr>
          </w:pPr>
          <w:r w:rsidRPr="00B6492F">
            <w:rPr>
              <w:b/>
              <w:i w:val="0"/>
              <w:sz w:val="32"/>
              <w:szCs w:val="32"/>
            </w:rPr>
            <w:t>DRAFT FOR CONSULTATION ONLY</w:t>
          </w:r>
        </w:p>
      </w:tc>
      <w:tc>
        <w:tcPr>
          <w:tcW w:w="1134" w:type="dxa"/>
        </w:tcPr>
        <w:p w14:paraId="4B9AEF73" w14:textId="77777777" w:rsidR="00CC557D" w:rsidRPr="003839ED" w:rsidRDefault="00CC557D" w:rsidP="002E1590">
          <w:pPr>
            <w:spacing w:line="240" w:lineRule="exact"/>
            <w:jc w:val="right"/>
            <w:rPr>
              <w:rStyle w:val="PageNumber0"/>
              <w:rFonts w:cs="Arial"/>
            </w:rPr>
          </w:pPr>
        </w:p>
      </w:tc>
    </w:tr>
  </w:tbl>
  <w:p w14:paraId="7F7082BA" w14:textId="77777777" w:rsidR="00CC557D" w:rsidRPr="00974D8C" w:rsidRDefault="00CC557D">
    <w:pPr>
      <w:pStyle w:val="Footer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0207A" w14:textId="77777777" w:rsidR="0045185E" w:rsidRDefault="0045185E">
      <w:r>
        <w:separator/>
      </w:r>
    </w:p>
  </w:footnote>
  <w:footnote w:type="continuationSeparator" w:id="0">
    <w:p w14:paraId="7C3BF2FB" w14:textId="77777777" w:rsidR="0045185E" w:rsidRDefault="0045185E">
      <w:r>
        <w:continuationSeparator/>
      </w:r>
    </w:p>
  </w:footnote>
  <w:footnote w:id="1">
    <w:p w14:paraId="28B4F7FA" w14:textId="46699DDD" w:rsidR="009F7B12" w:rsidRDefault="009F7B12" w:rsidP="003102F4">
      <w:pPr>
        <w:pStyle w:val="FootnoteText"/>
        <w:spacing w:after="0"/>
      </w:pPr>
      <w:r>
        <w:rPr>
          <w:rStyle w:val="FootnoteReference"/>
        </w:rPr>
        <w:footnoteRef/>
      </w:r>
      <w:r>
        <w:t xml:space="preserve"> Overseas devices authorised under class licences in Australia are in some other jurisdictions often termed ‘unlicensed’ or ‘licensed-exempt’.</w:t>
      </w:r>
    </w:p>
  </w:footnote>
  <w:footnote w:id="2">
    <w:p w14:paraId="4199EB37" w14:textId="41BF3924" w:rsidR="009F7B12" w:rsidRDefault="009F7B12" w:rsidP="00CC5F1B">
      <w:pPr>
        <w:pStyle w:val="FootnoteText"/>
        <w:spacing w:after="0"/>
      </w:pPr>
      <w:r>
        <w:rPr>
          <w:rStyle w:val="FootnoteReference"/>
        </w:rPr>
        <w:footnoteRef/>
      </w:r>
      <w:r>
        <w:t xml:space="preserve"> See </w:t>
      </w:r>
      <w:hyperlink r:id="rId1" w:history="1">
        <w:r>
          <w:rPr>
            <w:rStyle w:val="Hyperlink"/>
          </w:rPr>
          <w:t>FCC 13-112: Report and Order – Part 15 rules for Unlicensed Operation in the 57-64 GHz Band</w:t>
        </w:r>
      </w:hyperlink>
      <w:r w:rsidRPr="00A06322">
        <w:t>, at paragraph 10</w:t>
      </w:r>
      <w:r>
        <w:t xml:space="preserve">. </w:t>
      </w:r>
    </w:p>
  </w:footnote>
  <w:footnote w:id="3">
    <w:p w14:paraId="48E17C10" w14:textId="5CD9FB47" w:rsidR="009F7B12" w:rsidRDefault="009F7B12" w:rsidP="00CC5F1B">
      <w:pPr>
        <w:pStyle w:val="FootnoteText"/>
        <w:spacing w:after="0"/>
      </w:pPr>
      <w:r>
        <w:rPr>
          <w:rStyle w:val="FootnoteReference"/>
        </w:rPr>
        <w:footnoteRef/>
      </w:r>
      <w:r>
        <w:t xml:space="preserve"> See </w:t>
      </w:r>
      <w:hyperlink r:id="rId2" w:history="1">
        <w:r w:rsidRPr="00CC5F1B">
          <w:rPr>
            <w:rStyle w:val="Hyperlink"/>
          </w:rPr>
          <w:t>FCC 16-89: Report and Order and Further Notice of Proposed Rulemaking</w:t>
        </w:r>
      </w:hyperlink>
      <w:r w:rsidRPr="00CC5F1B">
        <w:t xml:space="preserve">, </w:t>
      </w:r>
      <w:r>
        <w:t>s</w:t>
      </w:r>
      <w:r w:rsidRPr="00CC5F1B">
        <w:t>ec</w:t>
      </w:r>
      <w:r>
        <w:t>tions</w:t>
      </w:r>
      <w:r w:rsidRPr="00CC5F1B">
        <w:t xml:space="preserve"> D and G.6</w:t>
      </w:r>
      <w:r>
        <w:t xml:space="preserve">. </w:t>
      </w:r>
    </w:p>
  </w:footnote>
  <w:footnote w:id="4">
    <w:p w14:paraId="0D615EE9" w14:textId="77777777" w:rsidR="009F7B12" w:rsidRDefault="009F7B12" w:rsidP="003102F4">
      <w:pPr>
        <w:pStyle w:val="FootnoteText"/>
        <w:spacing w:after="0"/>
      </w:pPr>
      <w:r>
        <w:rPr>
          <w:rStyle w:val="FootnoteReference"/>
        </w:rPr>
        <w:footnoteRef/>
      </w:r>
      <w:r>
        <w:t xml:space="preserve"> See </w:t>
      </w:r>
      <w:hyperlink r:id="rId3" w:history="1">
        <w:r w:rsidRPr="00555B9F">
          <w:rPr>
            <w:rStyle w:val="Hyperlink"/>
          </w:rPr>
          <w:t>Consultation on Releasing Millimetre Wave Spectrum to Support 5G</w:t>
        </w:r>
      </w:hyperlink>
      <w:r w:rsidRPr="00A063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E518" w14:textId="77777777" w:rsidR="009F7B12" w:rsidRPr="00A5474E" w:rsidRDefault="009F7B12" w:rsidP="00A5474E">
    <w:pPr>
      <w:pStyle w:val="Header"/>
    </w:pPr>
    <w:r>
      <w:rPr>
        <w:noProof/>
      </w:rPr>
      <w:drawing>
        <wp:inline distT="0" distB="0" distL="0" distR="0" wp14:anchorId="52DF2A51" wp14:editId="56674243">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CC557D" w14:paraId="23979BC5" w14:textId="77777777">
      <w:trPr>
        <w:cantSplit/>
      </w:trPr>
      <w:tc>
        <w:tcPr>
          <w:tcW w:w="1494" w:type="dxa"/>
        </w:tcPr>
        <w:p w14:paraId="264B3FD1" w14:textId="77777777" w:rsidR="00CC557D" w:rsidRDefault="00CC557D">
          <w:pPr>
            <w:pStyle w:val="HeaderLiteEven"/>
          </w:pPr>
        </w:p>
      </w:tc>
      <w:tc>
        <w:tcPr>
          <w:tcW w:w="6891" w:type="dxa"/>
          <w:vAlign w:val="bottom"/>
        </w:tcPr>
        <w:p w14:paraId="2FDBF01F" w14:textId="77777777" w:rsidR="00CC557D" w:rsidRDefault="00CC557D">
          <w:pPr>
            <w:pStyle w:val="HeaderLiteEven"/>
          </w:pPr>
        </w:p>
      </w:tc>
    </w:tr>
    <w:tr w:rsidR="00CC557D" w14:paraId="407522CB" w14:textId="77777777">
      <w:trPr>
        <w:cantSplit/>
      </w:trPr>
      <w:tc>
        <w:tcPr>
          <w:tcW w:w="1494" w:type="dxa"/>
        </w:tcPr>
        <w:p w14:paraId="0A3FAB7D" w14:textId="77777777" w:rsidR="00CC557D" w:rsidRDefault="00CC557D">
          <w:pPr>
            <w:pStyle w:val="HeaderLiteEven"/>
          </w:pPr>
        </w:p>
      </w:tc>
      <w:tc>
        <w:tcPr>
          <w:tcW w:w="6891" w:type="dxa"/>
          <w:vAlign w:val="bottom"/>
        </w:tcPr>
        <w:p w14:paraId="47A2827F" w14:textId="77777777" w:rsidR="00CC557D" w:rsidRDefault="00CC557D">
          <w:pPr>
            <w:pStyle w:val="HeaderLiteEven"/>
          </w:pPr>
        </w:p>
      </w:tc>
    </w:tr>
    <w:tr w:rsidR="00CC557D" w:rsidRPr="003839ED" w14:paraId="5BFCBA36" w14:textId="77777777">
      <w:trPr>
        <w:cantSplit/>
      </w:trPr>
      <w:tc>
        <w:tcPr>
          <w:tcW w:w="8385" w:type="dxa"/>
          <w:gridSpan w:val="2"/>
        </w:tcPr>
        <w:p w14:paraId="68C4ABB9" w14:textId="14ED26BA" w:rsidR="00CC557D" w:rsidRPr="00050501" w:rsidRDefault="00CC557D">
          <w:pPr>
            <w:pStyle w:val="HeaderBoldEven"/>
          </w:pPr>
          <w:r>
            <w:t xml:space="preserve">Section </w:t>
          </w:r>
          <w:r w:rsidRPr="00050501">
            <w:fldChar w:fldCharType="begin"/>
          </w:r>
          <w:r w:rsidRPr="00050501">
            <w:instrText xml:space="preserve"> If </w:instrText>
          </w:r>
          <w:r>
            <w:fldChar w:fldCharType="begin"/>
          </w:r>
          <w:r>
            <w:instrText xml:space="preserve"> STYLEREF CharSectnoAm \*Charformat </w:instrText>
          </w:r>
          <w:r>
            <w:fldChar w:fldCharType="separate"/>
          </w:r>
          <w:r w:rsidR="00174B6D">
            <w:rPr>
              <w:noProof/>
            </w:rPr>
            <w:instrText>2</w:instrText>
          </w:r>
          <w:r>
            <w:rPr>
              <w:noProof/>
            </w:rPr>
            <w:fldChar w:fldCharType="end"/>
          </w:r>
          <w:r w:rsidRPr="00050501">
            <w:instrText xml:space="preserve"> &lt;&gt; "Error*" </w:instrText>
          </w:r>
          <w:r>
            <w:fldChar w:fldCharType="begin"/>
          </w:r>
          <w:r>
            <w:instrText xml:space="preserve"> STYLEREF CharSectnoAm \*Charformat </w:instrText>
          </w:r>
          <w:r>
            <w:fldChar w:fldCharType="separate"/>
          </w:r>
          <w:r w:rsidR="00174B6D">
            <w:rPr>
              <w:noProof/>
            </w:rPr>
            <w:instrText>2</w:instrText>
          </w:r>
          <w:r>
            <w:rPr>
              <w:noProof/>
            </w:rPr>
            <w:fldChar w:fldCharType="end"/>
          </w:r>
          <w:r w:rsidRPr="00050501">
            <w:instrText xml:space="preserve"> </w:instrText>
          </w:r>
          <w:r w:rsidRPr="00050501">
            <w:fldChar w:fldCharType="separate"/>
          </w:r>
          <w:r w:rsidR="00174B6D">
            <w:rPr>
              <w:noProof/>
            </w:rPr>
            <w:t>2</w:t>
          </w:r>
          <w:r w:rsidRPr="00050501">
            <w:fldChar w:fldCharType="end"/>
          </w:r>
        </w:p>
      </w:tc>
    </w:tr>
  </w:tbl>
  <w:p w14:paraId="098099F0" w14:textId="77777777" w:rsidR="00CC557D" w:rsidRDefault="00CC557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CC557D" w14:paraId="7CC016EA" w14:textId="77777777">
      <w:trPr>
        <w:cantSplit/>
      </w:trPr>
      <w:tc>
        <w:tcPr>
          <w:tcW w:w="6914" w:type="dxa"/>
          <w:vAlign w:val="bottom"/>
        </w:tcPr>
        <w:p w14:paraId="44983BF0" w14:textId="77777777" w:rsidR="00CC557D" w:rsidRDefault="00CC557D">
          <w:pPr>
            <w:pStyle w:val="HeaderLiteOdd"/>
          </w:pPr>
        </w:p>
      </w:tc>
      <w:tc>
        <w:tcPr>
          <w:tcW w:w="1485" w:type="dxa"/>
        </w:tcPr>
        <w:p w14:paraId="1F4031B8" w14:textId="77777777" w:rsidR="00CC557D" w:rsidRDefault="00CC557D">
          <w:pPr>
            <w:pStyle w:val="HeaderLiteOdd"/>
          </w:pPr>
        </w:p>
      </w:tc>
    </w:tr>
    <w:tr w:rsidR="00CC557D" w14:paraId="37F075C0" w14:textId="77777777">
      <w:trPr>
        <w:cantSplit/>
      </w:trPr>
      <w:tc>
        <w:tcPr>
          <w:tcW w:w="6914" w:type="dxa"/>
          <w:vAlign w:val="bottom"/>
        </w:tcPr>
        <w:p w14:paraId="703BFC40" w14:textId="77777777" w:rsidR="00CC557D" w:rsidRPr="005758DC" w:rsidRDefault="00CC557D" w:rsidP="005758DC">
          <w:pPr>
            <w:pStyle w:val="HeaderLiteOdd"/>
            <w:rPr>
              <w:b/>
            </w:rPr>
          </w:pPr>
          <w:r w:rsidRPr="005758DC">
            <w:rPr>
              <w:b/>
            </w:rPr>
            <w:t xml:space="preserve">Section </w:t>
          </w:r>
          <w:r>
            <w:rPr>
              <w:b/>
            </w:rPr>
            <w:fldChar w:fldCharType="begin"/>
          </w:r>
          <w:r>
            <w:rPr>
              <w:b/>
            </w:rPr>
            <w:instrText xml:space="preserve"> STYLEREF  "A1,Heading Amendment,1. Amendment"  \* MERGEFORMAT </w:instrText>
          </w:r>
          <w:r>
            <w:rPr>
              <w:b/>
            </w:rPr>
            <w:fldChar w:fldCharType="separate"/>
          </w:r>
          <w:r>
            <w:rPr>
              <w:b/>
              <w:noProof/>
            </w:rPr>
            <w:t>3</w:t>
          </w:r>
          <w:r>
            <w:rPr>
              <w:b/>
              <w:noProof/>
            </w:rPr>
            <w:tab/>
            <w:t>Variation of Radiocommunications (Low Interference Potential Devices) Class Licence 2015</w:t>
          </w:r>
          <w:r>
            <w:rPr>
              <w:b/>
            </w:rPr>
            <w:fldChar w:fldCharType="end"/>
          </w:r>
        </w:p>
      </w:tc>
      <w:tc>
        <w:tcPr>
          <w:tcW w:w="1485" w:type="dxa"/>
        </w:tcPr>
        <w:p w14:paraId="48491D28" w14:textId="77777777" w:rsidR="00CC557D" w:rsidRPr="005758DC" w:rsidRDefault="00CC557D">
          <w:pPr>
            <w:pStyle w:val="HeaderLiteOdd"/>
            <w:rPr>
              <w:b/>
            </w:rPr>
          </w:pPr>
        </w:p>
      </w:tc>
    </w:tr>
    <w:tr w:rsidR="00CC557D" w:rsidRPr="003839ED" w14:paraId="6525A5B9" w14:textId="77777777">
      <w:trPr>
        <w:cantSplit/>
      </w:trPr>
      <w:tc>
        <w:tcPr>
          <w:tcW w:w="8399" w:type="dxa"/>
          <w:gridSpan w:val="2"/>
        </w:tcPr>
        <w:p w14:paraId="1EE22802" w14:textId="77777777" w:rsidR="00CC557D" w:rsidRPr="00050501" w:rsidRDefault="00CC557D" w:rsidP="00ED3874">
          <w:pPr>
            <w:pStyle w:val="HeaderBoldOdd"/>
          </w:pPr>
        </w:p>
      </w:tc>
    </w:tr>
  </w:tbl>
  <w:p w14:paraId="7053919B" w14:textId="77777777" w:rsidR="00CC557D" w:rsidRDefault="00CC557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444E" w14:textId="77777777" w:rsidR="009F7B12" w:rsidRDefault="009F7B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7EF3" w14:textId="77777777" w:rsidR="009F7B12" w:rsidRDefault="009F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1CCE" w14:textId="77777777" w:rsidR="009F7B12" w:rsidRPr="00A5474E" w:rsidRDefault="009F7B1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C25A" w14:textId="77777777" w:rsidR="009F7B12" w:rsidRDefault="009F7B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B07C" w14:textId="77777777" w:rsidR="009F7B12" w:rsidRDefault="009F7B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F7B12" w14:paraId="27EA2B9C" w14:textId="77777777" w:rsidTr="009F7B12">
      <w:trPr>
        <w:trHeight w:hRule="exact" w:val="988"/>
      </w:trPr>
      <w:tc>
        <w:tcPr>
          <w:tcW w:w="7678" w:type="dxa"/>
          <w:shd w:val="clear" w:color="auto" w:fill="auto"/>
        </w:tcPr>
        <w:p w14:paraId="4F87CDAC" w14:textId="77777777" w:rsidR="009F7B12" w:rsidRDefault="009F7B12" w:rsidP="00971914">
          <w:pPr>
            <w:pStyle w:val="Header"/>
          </w:pPr>
        </w:p>
      </w:tc>
    </w:tr>
    <w:tr w:rsidR="009F7B12" w14:paraId="205EA35E" w14:textId="77777777" w:rsidTr="009F7B12">
      <w:tc>
        <w:tcPr>
          <w:tcW w:w="7678" w:type="dxa"/>
          <w:shd w:val="clear" w:color="auto" w:fill="auto"/>
        </w:tcPr>
        <w:p w14:paraId="5D97B744" w14:textId="77777777" w:rsidR="009F7B12" w:rsidRDefault="009F7B12" w:rsidP="00971914">
          <w:pPr>
            <w:pStyle w:val="GridTable31"/>
          </w:pPr>
          <w:r>
            <w:t xml:space="preserve">Contents </w:t>
          </w:r>
          <w:r w:rsidRPr="00915B1C">
            <w:rPr>
              <w:b w:val="0"/>
              <w:spacing w:val="0"/>
              <w:sz w:val="28"/>
              <w:szCs w:val="28"/>
            </w:rPr>
            <w:t>(Continued)</w:t>
          </w:r>
        </w:p>
      </w:tc>
    </w:tr>
    <w:tr w:rsidR="009F7B12" w14:paraId="53D0A67E" w14:textId="77777777" w:rsidTr="009F7B12">
      <w:trPr>
        <w:trHeight w:val="1220"/>
      </w:trPr>
      <w:tc>
        <w:tcPr>
          <w:tcW w:w="7678" w:type="dxa"/>
          <w:shd w:val="clear" w:color="auto" w:fill="auto"/>
        </w:tcPr>
        <w:p w14:paraId="69AE03B2" w14:textId="77777777" w:rsidR="009F7B12" w:rsidRDefault="009F7B12" w:rsidP="00971914"/>
      </w:tc>
    </w:tr>
  </w:tbl>
  <w:p w14:paraId="06902005" w14:textId="77777777" w:rsidR="009F7B12" w:rsidRDefault="009F7B12"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9F7B12" w14:paraId="2108C04C" w14:textId="77777777" w:rsidTr="009F7B12">
      <w:trPr>
        <w:trHeight w:hRule="exact" w:val="988"/>
      </w:trPr>
      <w:tc>
        <w:tcPr>
          <w:tcW w:w="7678" w:type="dxa"/>
          <w:shd w:val="clear" w:color="auto" w:fill="auto"/>
        </w:tcPr>
        <w:p w14:paraId="5D65AF73" w14:textId="77777777" w:rsidR="009F7B12" w:rsidRDefault="009F7B12" w:rsidP="00971914">
          <w:pPr>
            <w:pStyle w:val="Header"/>
          </w:pPr>
        </w:p>
      </w:tc>
    </w:tr>
    <w:tr w:rsidR="009F7B12" w14:paraId="2CEA4C61" w14:textId="77777777" w:rsidTr="009F7B12">
      <w:tc>
        <w:tcPr>
          <w:tcW w:w="7678" w:type="dxa"/>
          <w:shd w:val="clear" w:color="auto" w:fill="auto"/>
        </w:tcPr>
        <w:p w14:paraId="67C5DE34" w14:textId="77777777" w:rsidR="009F7B12" w:rsidRDefault="009F7B12" w:rsidP="00971914">
          <w:pPr>
            <w:pStyle w:val="GridTable31"/>
          </w:pPr>
          <w:r>
            <w:t xml:space="preserve">Contents </w:t>
          </w:r>
          <w:r w:rsidRPr="00915B1C">
            <w:rPr>
              <w:b w:val="0"/>
              <w:spacing w:val="0"/>
              <w:sz w:val="28"/>
              <w:szCs w:val="28"/>
            </w:rPr>
            <w:t>(Continued)</w:t>
          </w:r>
        </w:p>
      </w:tc>
    </w:tr>
    <w:tr w:rsidR="009F7B12" w14:paraId="7587624A" w14:textId="77777777" w:rsidTr="009F7B12">
      <w:trPr>
        <w:trHeight w:val="1220"/>
      </w:trPr>
      <w:tc>
        <w:tcPr>
          <w:tcW w:w="7678" w:type="dxa"/>
          <w:shd w:val="clear" w:color="auto" w:fill="auto"/>
        </w:tcPr>
        <w:p w14:paraId="3380F6C3" w14:textId="77777777" w:rsidR="009F7B12" w:rsidRDefault="009F7B12" w:rsidP="00971914"/>
      </w:tc>
    </w:tr>
  </w:tbl>
  <w:p w14:paraId="65D2ADB6" w14:textId="77777777" w:rsidR="009F7B12" w:rsidRPr="00A5474E" w:rsidRDefault="009F7B12"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CC557D" w:rsidRPr="003839ED" w14:paraId="60660D73" w14:textId="77777777">
      <w:tc>
        <w:tcPr>
          <w:tcW w:w="8385" w:type="dxa"/>
        </w:tcPr>
        <w:p w14:paraId="37FC2D63" w14:textId="77777777" w:rsidR="00CC557D" w:rsidRDefault="00CC557D">
          <w:pPr>
            <w:pStyle w:val="HeaderLiteEven"/>
          </w:pPr>
        </w:p>
      </w:tc>
    </w:tr>
    <w:tr w:rsidR="00CC557D" w:rsidRPr="003839ED" w14:paraId="273131D7" w14:textId="77777777">
      <w:tc>
        <w:tcPr>
          <w:tcW w:w="8385" w:type="dxa"/>
        </w:tcPr>
        <w:p w14:paraId="461ED07D" w14:textId="77777777" w:rsidR="00CC557D" w:rsidRDefault="00CC557D">
          <w:pPr>
            <w:pStyle w:val="HeaderLiteEven"/>
          </w:pPr>
        </w:p>
      </w:tc>
    </w:tr>
    <w:tr w:rsidR="00CC557D" w:rsidRPr="003839ED" w14:paraId="4CE089C1" w14:textId="77777777">
      <w:tc>
        <w:tcPr>
          <w:tcW w:w="8385" w:type="dxa"/>
        </w:tcPr>
        <w:p w14:paraId="2551C432" w14:textId="77777777" w:rsidR="00CC557D" w:rsidRDefault="00CC557D">
          <w:pPr>
            <w:pStyle w:val="HeaderBoldEven"/>
          </w:pPr>
        </w:p>
      </w:tc>
    </w:tr>
  </w:tbl>
  <w:p w14:paraId="5D1197EA" w14:textId="77777777" w:rsidR="00CC557D" w:rsidRDefault="00CC557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CC557D" w:rsidRPr="003839ED" w14:paraId="0DC1C573" w14:textId="77777777">
      <w:tc>
        <w:tcPr>
          <w:tcW w:w="8385" w:type="dxa"/>
        </w:tcPr>
        <w:p w14:paraId="51D25989" w14:textId="77777777" w:rsidR="00CC557D" w:rsidRDefault="00CC557D"/>
      </w:tc>
    </w:tr>
    <w:tr w:rsidR="00CC557D" w:rsidRPr="003839ED" w14:paraId="3B97FFB6" w14:textId="77777777">
      <w:tc>
        <w:tcPr>
          <w:tcW w:w="8385" w:type="dxa"/>
        </w:tcPr>
        <w:p w14:paraId="5DC076BC" w14:textId="77777777" w:rsidR="00CC557D" w:rsidRDefault="00CC557D"/>
      </w:tc>
    </w:tr>
    <w:tr w:rsidR="00CC557D" w:rsidRPr="003839ED" w14:paraId="2DD9BB1F" w14:textId="77777777">
      <w:tc>
        <w:tcPr>
          <w:tcW w:w="8385" w:type="dxa"/>
        </w:tcPr>
        <w:p w14:paraId="5139B4CB" w14:textId="77777777" w:rsidR="00CC557D" w:rsidRDefault="00CC557D"/>
      </w:tc>
    </w:tr>
  </w:tbl>
  <w:p w14:paraId="14EC52E8" w14:textId="77777777" w:rsidR="00CC557D" w:rsidRDefault="00CC557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9A7C7" w14:textId="77777777" w:rsidR="00CC557D" w:rsidRDefault="00CC557D">
    <w:pPr>
      <w:pStyle w:val="Header"/>
    </w:pPr>
    <w:r>
      <w:rPr>
        <w:noProof/>
        <w:lang w:val="en-US" w:eastAsia="zh-TW"/>
      </w:rPr>
      <w:pict w14:anchorId="7810C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1B4EEC6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9D7A28"/>
    <w:multiLevelType w:val="hybridMultilevel"/>
    <w:tmpl w:val="6D805ABC"/>
    <w:lvl w:ilvl="0" w:tplc="66ECD810">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9"/>
  </w:num>
  <w:num w:numId="7">
    <w:abstractNumId w:val="7"/>
  </w:num>
  <w:num w:numId="8">
    <w:abstractNumId w:val="8"/>
  </w:num>
  <w:num w:numId="9">
    <w:abstractNumId w:val="10"/>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50">
      <o:colormru v:ext="edit" colors="red,#4d4d4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5"/>
    <w:rsid w:val="00010667"/>
    <w:rsid w:val="000129D5"/>
    <w:rsid w:val="00015AE7"/>
    <w:rsid w:val="00016E21"/>
    <w:rsid w:val="0001719C"/>
    <w:rsid w:val="00024AAC"/>
    <w:rsid w:val="00026F91"/>
    <w:rsid w:val="00030082"/>
    <w:rsid w:val="000311D4"/>
    <w:rsid w:val="00034801"/>
    <w:rsid w:val="0005011A"/>
    <w:rsid w:val="0005045A"/>
    <w:rsid w:val="00051C1E"/>
    <w:rsid w:val="000539F9"/>
    <w:rsid w:val="00054C27"/>
    <w:rsid w:val="00055EC3"/>
    <w:rsid w:val="000563CE"/>
    <w:rsid w:val="00057B1A"/>
    <w:rsid w:val="00061745"/>
    <w:rsid w:val="000659B6"/>
    <w:rsid w:val="000666A1"/>
    <w:rsid w:val="0006722A"/>
    <w:rsid w:val="00070075"/>
    <w:rsid w:val="000732CF"/>
    <w:rsid w:val="00075B96"/>
    <w:rsid w:val="0008196A"/>
    <w:rsid w:val="000915ED"/>
    <w:rsid w:val="0009209D"/>
    <w:rsid w:val="000969BD"/>
    <w:rsid w:val="000969BF"/>
    <w:rsid w:val="000A0C22"/>
    <w:rsid w:val="000A3C43"/>
    <w:rsid w:val="000A4A51"/>
    <w:rsid w:val="000A5D2B"/>
    <w:rsid w:val="000A5F83"/>
    <w:rsid w:val="000B3833"/>
    <w:rsid w:val="000B5DE3"/>
    <w:rsid w:val="000C0A57"/>
    <w:rsid w:val="000C230C"/>
    <w:rsid w:val="000C5C26"/>
    <w:rsid w:val="000C6AB4"/>
    <w:rsid w:val="000D2BA2"/>
    <w:rsid w:val="000D71D9"/>
    <w:rsid w:val="000D76E0"/>
    <w:rsid w:val="000D7E8B"/>
    <w:rsid w:val="000E2256"/>
    <w:rsid w:val="000E4449"/>
    <w:rsid w:val="000E6097"/>
    <w:rsid w:val="00103829"/>
    <w:rsid w:val="00111FCE"/>
    <w:rsid w:val="00112D4B"/>
    <w:rsid w:val="00115773"/>
    <w:rsid w:val="001229A5"/>
    <w:rsid w:val="0012489B"/>
    <w:rsid w:val="00127DBD"/>
    <w:rsid w:val="00130017"/>
    <w:rsid w:val="00130F91"/>
    <w:rsid w:val="001349ED"/>
    <w:rsid w:val="00137424"/>
    <w:rsid w:val="00140318"/>
    <w:rsid w:val="00140401"/>
    <w:rsid w:val="00141AD9"/>
    <w:rsid w:val="00146CE6"/>
    <w:rsid w:val="00147ED8"/>
    <w:rsid w:val="00150B7E"/>
    <w:rsid w:val="00152903"/>
    <w:rsid w:val="0015614F"/>
    <w:rsid w:val="001577C2"/>
    <w:rsid w:val="00157BC0"/>
    <w:rsid w:val="001633C4"/>
    <w:rsid w:val="00171591"/>
    <w:rsid w:val="00173981"/>
    <w:rsid w:val="00174B6D"/>
    <w:rsid w:val="001768CA"/>
    <w:rsid w:val="0017719D"/>
    <w:rsid w:val="001802DF"/>
    <w:rsid w:val="0018031C"/>
    <w:rsid w:val="00185CAB"/>
    <w:rsid w:val="001875B7"/>
    <w:rsid w:val="00187CB3"/>
    <w:rsid w:val="0019050A"/>
    <w:rsid w:val="001910D4"/>
    <w:rsid w:val="00194520"/>
    <w:rsid w:val="001976E3"/>
    <w:rsid w:val="001A44EC"/>
    <w:rsid w:val="001B58AA"/>
    <w:rsid w:val="001B7E48"/>
    <w:rsid w:val="001C17CE"/>
    <w:rsid w:val="001C36CA"/>
    <w:rsid w:val="001C44D1"/>
    <w:rsid w:val="001C6400"/>
    <w:rsid w:val="001C6AEE"/>
    <w:rsid w:val="001C7630"/>
    <w:rsid w:val="001D6D15"/>
    <w:rsid w:val="001E4C51"/>
    <w:rsid w:val="001F7558"/>
    <w:rsid w:val="001F7B0C"/>
    <w:rsid w:val="00203CC5"/>
    <w:rsid w:val="00205B57"/>
    <w:rsid w:val="002157E0"/>
    <w:rsid w:val="00216A57"/>
    <w:rsid w:val="0022334F"/>
    <w:rsid w:val="00226819"/>
    <w:rsid w:val="002306E1"/>
    <w:rsid w:val="00230BC7"/>
    <w:rsid w:val="00233101"/>
    <w:rsid w:val="00233817"/>
    <w:rsid w:val="002367FF"/>
    <w:rsid w:val="00240CE9"/>
    <w:rsid w:val="002434BA"/>
    <w:rsid w:val="00246089"/>
    <w:rsid w:val="00246093"/>
    <w:rsid w:val="00246702"/>
    <w:rsid w:val="00247C59"/>
    <w:rsid w:val="00247F2E"/>
    <w:rsid w:val="00250ADC"/>
    <w:rsid w:val="00250B07"/>
    <w:rsid w:val="00257553"/>
    <w:rsid w:val="00257AC4"/>
    <w:rsid w:val="00260FB2"/>
    <w:rsid w:val="00262128"/>
    <w:rsid w:val="00267795"/>
    <w:rsid w:val="0027165D"/>
    <w:rsid w:val="00271EF6"/>
    <w:rsid w:val="002724F1"/>
    <w:rsid w:val="00273CEB"/>
    <w:rsid w:val="0028144E"/>
    <w:rsid w:val="00281C89"/>
    <w:rsid w:val="0028282F"/>
    <w:rsid w:val="00290798"/>
    <w:rsid w:val="0029593B"/>
    <w:rsid w:val="00297FC5"/>
    <w:rsid w:val="002A0417"/>
    <w:rsid w:val="002A16D8"/>
    <w:rsid w:val="002A1BC8"/>
    <w:rsid w:val="002A3EF2"/>
    <w:rsid w:val="002A421E"/>
    <w:rsid w:val="002A64E1"/>
    <w:rsid w:val="002B0DED"/>
    <w:rsid w:val="002B19A2"/>
    <w:rsid w:val="002B381A"/>
    <w:rsid w:val="002B4FCC"/>
    <w:rsid w:val="002B62BC"/>
    <w:rsid w:val="002B7408"/>
    <w:rsid w:val="002B7CFD"/>
    <w:rsid w:val="002C210F"/>
    <w:rsid w:val="002D3600"/>
    <w:rsid w:val="002E4DDC"/>
    <w:rsid w:val="002F3B1C"/>
    <w:rsid w:val="00302480"/>
    <w:rsid w:val="00304DE5"/>
    <w:rsid w:val="003102F4"/>
    <w:rsid w:val="003165E6"/>
    <w:rsid w:val="003178E0"/>
    <w:rsid w:val="003221CF"/>
    <w:rsid w:val="003233ED"/>
    <w:rsid w:val="00324D9F"/>
    <w:rsid w:val="00327948"/>
    <w:rsid w:val="0033000F"/>
    <w:rsid w:val="00332011"/>
    <w:rsid w:val="00332518"/>
    <w:rsid w:val="00332925"/>
    <w:rsid w:val="003332ED"/>
    <w:rsid w:val="003368DC"/>
    <w:rsid w:val="00345927"/>
    <w:rsid w:val="00346C70"/>
    <w:rsid w:val="00350584"/>
    <w:rsid w:val="00351857"/>
    <w:rsid w:val="003560E6"/>
    <w:rsid w:val="003610E1"/>
    <w:rsid w:val="003668D3"/>
    <w:rsid w:val="003671BE"/>
    <w:rsid w:val="00372485"/>
    <w:rsid w:val="00373200"/>
    <w:rsid w:val="00375EF5"/>
    <w:rsid w:val="003767A5"/>
    <w:rsid w:val="00385254"/>
    <w:rsid w:val="003870D3"/>
    <w:rsid w:val="0039650E"/>
    <w:rsid w:val="003A5F5B"/>
    <w:rsid w:val="003A789A"/>
    <w:rsid w:val="003B12EC"/>
    <w:rsid w:val="003C671C"/>
    <w:rsid w:val="003C73C9"/>
    <w:rsid w:val="003C77E0"/>
    <w:rsid w:val="003C7DFF"/>
    <w:rsid w:val="003D17D7"/>
    <w:rsid w:val="003D2678"/>
    <w:rsid w:val="003D43AD"/>
    <w:rsid w:val="003D71A3"/>
    <w:rsid w:val="003E1AAE"/>
    <w:rsid w:val="003E2B8A"/>
    <w:rsid w:val="003F10EE"/>
    <w:rsid w:val="003F16F6"/>
    <w:rsid w:val="003F4DC7"/>
    <w:rsid w:val="003F5235"/>
    <w:rsid w:val="004027E4"/>
    <w:rsid w:val="00405699"/>
    <w:rsid w:val="00407407"/>
    <w:rsid w:val="0041071D"/>
    <w:rsid w:val="00414AFC"/>
    <w:rsid w:val="004151A7"/>
    <w:rsid w:val="00415310"/>
    <w:rsid w:val="00417553"/>
    <w:rsid w:val="00421709"/>
    <w:rsid w:val="00423763"/>
    <w:rsid w:val="0042762F"/>
    <w:rsid w:val="00427DC7"/>
    <w:rsid w:val="00431613"/>
    <w:rsid w:val="00431792"/>
    <w:rsid w:val="0043297A"/>
    <w:rsid w:val="00432EB2"/>
    <w:rsid w:val="00436A21"/>
    <w:rsid w:val="0043714F"/>
    <w:rsid w:val="004438B5"/>
    <w:rsid w:val="00444394"/>
    <w:rsid w:val="00446338"/>
    <w:rsid w:val="00447037"/>
    <w:rsid w:val="0045124D"/>
    <w:rsid w:val="0045185E"/>
    <w:rsid w:val="00454596"/>
    <w:rsid w:val="0045605D"/>
    <w:rsid w:val="0046135B"/>
    <w:rsid w:val="00463496"/>
    <w:rsid w:val="004718CC"/>
    <w:rsid w:val="004765DC"/>
    <w:rsid w:val="00476975"/>
    <w:rsid w:val="00481695"/>
    <w:rsid w:val="0049516D"/>
    <w:rsid w:val="00495A96"/>
    <w:rsid w:val="00495BB3"/>
    <w:rsid w:val="004A56BB"/>
    <w:rsid w:val="004B0C05"/>
    <w:rsid w:val="004B1751"/>
    <w:rsid w:val="004B5BA2"/>
    <w:rsid w:val="004C0253"/>
    <w:rsid w:val="004C572B"/>
    <w:rsid w:val="004D1F0E"/>
    <w:rsid w:val="004D56FF"/>
    <w:rsid w:val="004E39D3"/>
    <w:rsid w:val="004E508A"/>
    <w:rsid w:val="004E616D"/>
    <w:rsid w:val="004F09D1"/>
    <w:rsid w:val="004F138B"/>
    <w:rsid w:val="004F1BDE"/>
    <w:rsid w:val="004F2CEE"/>
    <w:rsid w:val="004F556E"/>
    <w:rsid w:val="004F6875"/>
    <w:rsid w:val="004F7F44"/>
    <w:rsid w:val="00503017"/>
    <w:rsid w:val="005037B4"/>
    <w:rsid w:val="005079BF"/>
    <w:rsid w:val="005113E6"/>
    <w:rsid w:val="005219E7"/>
    <w:rsid w:val="00531B9A"/>
    <w:rsid w:val="00531D15"/>
    <w:rsid w:val="00535DA9"/>
    <w:rsid w:val="00537604"/>
    <w:rsid w:val="00542377"/>
    <w:rsid w:val="005476EB"/>
    <w:rsid w:val="00551782"/>
    <w:rsid w:val="00553813"/>
    <w:rsid w:val="00555063"/>
    <w:rsid w:val="00555B9F"/>
    <w:rsid w:val="00560125"/>
    <w:rsid w:val="00563EF1"/>
    <w:rsid w:val="005642D4"/>
    <w:rsid w:val="00566AB4"/>
    <w:rsid w:val="00567C50"/>
    <w:rsid w:val="00575AC5"/>
    <w:rsid w:val="0057605D"/>
    <w:rsid w:val="00581347"/>
    <w:rsid w:val="00581AC9"/>
    <w:rsid w:val="005849F8"/>
    <w:rsid w:val="00590028"/>
    <w:rsid w:val="005938DF"/>
    <w:rsid w:val="00594E9C"/>
    <w:rsid w:val="005A099B"/>
    <w:rsid w:val="005A2D9C"/>
    <w:rsid w:val="005A55FE"/>
    <w:rsid w:val="005A6A11"/>
    <w:rsid w:val="005B50DC"/>
    <w:rsid w:val="005D2502"/>
    <w:rsid w:val="005D47F3"/>
    <w:rsid w:val="005D49BF"/>
    <w:rsid w:val="005D6F4E"/>
    <w:rsid w:val="005E3ACD"/>
    <w:rsid w:val="005E7226"/>
    <w:rsid w:val="005E7A57"/>
    <w:rsid w:val="005E7BDD"/>
    <w:rsid w:val="005F24B0"/>
    <w:rsid w:val="00604315"/>
    <w:rsid w:val="00604E26"/>
    <w:rsid w:val="006052CF"/>
    <w:rsid w:val="00607B8D"/>
    <w:rsid w:val="00611F5C"/>
    <w:rsid w:val="00616E09"/>
    <w:rsid w:val="00622A3B"/>
    <w:rsid w:val="00622EEA"/>
    <w:rsid w:val="006235BF"/>
    <w:rsid w:val="0062396C"/>
    <w:rsid w:val="00623FF9"/>
    <w:rsid w:val="00627D4E"/>
    <w:rsid w:val="00634478"/>
    <w:rsid w:val="00644373"/>
    <w:rsid w:val="00645915"/>
    <w:rsid w:val="00646EA0"/>
    <w:rsid w:val="006514F9"/>
    <w:rsid w:val="006519C3"/>
    <w:rsid w:val="00652B30"/>
    <w:rsid w:val="00656345"/>
    <w:rsid w:val="00656DC6"/>
    <w:rsid w:val="00663C26"/>
    <w:rsid w:val="00664110"/>
    <w:rsid w:val="00664D17"/>
    <w:rsid w:val="00666520"/>
    <w:rsid w:val="00667C5B"/>
    <w:rsid w:val="00692CDE"/>
    <w:rsid w:val="00693073"/>
    <w:rsid w:val="00697053"/>
    <w:rsid w:val="006977FF"/>
    <w:rsid w:val="006A01FA"/>
    <w:rsid w:val="006A0E9E"/>
    <w:rsid w:val="006A25C7"/>
    <w:rsid w:val="006A4AAD"/>
    <w:rsid w:val="006A6DA2"/>
    <w:rsid w:val="006A7AB2"/>
    <w:rsid w:val="006B36AC"/>
    <w:rsid w:val="006B5717"/>
    <w:rsid w:val="006B582F"/>
    <w:rsid w:val="006C0CEB"/>
    <w:rsid w:val="006C3B1E"/>
    <w:rsid w:val="006C47FD"/>
    <w:rsid w:val="006C50E9"/>
    <w:rsid w:val="006C70A0"/>
    <w:rsid w:val="006D27CB"/>
    <w:rsid w:val="006D2F08"/>
    <w:rsid w:val="006D576C"/>
    <w:rsid w:val="006D5865"/>
    <w:rsid w:val="006E02C8"/>
    <w:rsid w:val="006E4B1B"/>
    <w:rsid w:val="006E5445"/>
    <w:rsid w:val="006E7D93"/>
    <w:rsid w:val="006F2381"/>
    <w:rsid w:val="006F4F28"/>
    <w:rsid w:val="006F53C0"/>
    <w:rsid w:val="0070046A"/>
    <w:rsid w:val="007029A3"/>
    <w:rsid w:val="00706E4E"/>
    <w:rsid w:val="00707430"/>
    <w:rsid w:val="0070791C"/>
    <w:rsid w:val="0071383C"/>
    <w:rsid w:val="007141A7"/>
    <w:rsid w:val="00721032"/>
    <w:rsid w:val="00721B55"/>
    <w:rsid w:val="00726CE4"/>
    <w:rsid w:val="00727CDE"/>
    <w:rsid w:val="00734143"/>
    <w:rsid w:val="00737E47"/>
    <w:rsid w:val="00740EAC"/>
    <w:rsid w:val="0074429F"/>
    <w:rsid w:val="00744956"/>
    <w:rsid w:val="00745790"/>
    <w:rsid w:val="00745A5C"/>
    <w:rsid w:val="0074605F"/>
    <w:rsid w:val="00747E94"/>
    <w:rsid w:val="00757834"/>
    <w:rsid w:val="0076016D"/>
    <w:rsid w:val="00760886"/>
    <w:rsid w:val="007641BA"/>
    <w:rsid w:val="00766749"/>
    <w:rsid w:val="00767C1B"/>
    <w:rsid w:val="007714A9"/>
    <w:rsid w:val="00774F88"/>
    <w:rsid w:val="00774FDB"/>
    <w:rsid w:val="00777BA2"/>
    <w:rsid w:val="00781408"/>
    <w:rsid w:val="00784F7F"/>
    <w:rsid w:val="00787435"/>
    <w:rsid w:val="007907A4"/>
    <w:rsid w:val="00794A4A"/>
    <w:rsid w:val="00795717"/>
    <w:rsid w:val="00796F25"/>
    <w:rsid w:val="007A2E98"/>
    <w:rsid w:val="007A3BA3"/>
    <w:rsid w:val="007A4DE5"/>
    <w:rsid w:val="007A6CC0"/>
    <w:rsid w:val="007A7FEC"/>
    <w:rsid w:val="007B1499"/>
    <w:rsid w:val="007B1BBF"/>
    <w:rsid w:val="007B2960"/>
    <w:rsid w:val="007B355D"/>
    <w:rsid w:val="007B7980"/>
    <w:rsid w:val="007C1436"/>
    <w:rsid w:val="007C5C6A"/>
    <w:rsid w:val="007C5D5A"/>
    <w:rsid w:val="007C607F"/>
    <w:rsid w:val="007C79DD"/>
    <w:rsid w:val="007D1326"/>
    <w:rsid w:val="007D1A97"/>
    <w:rsid w:val="007D2CD6"/>
    <w:rsid w:val="007D3063"/>
    <w:rsid w:val="007D3CEB"/>
    <w:rsid w:val="007D3EB2"/>
    <w:rsid w:val="007E3818"/>
    <w:rsid w:val="007E7683"/>
    <w:rsid w:val="007E7BA7"/>
    <w:rsid w:val="007F49FA"/>
    <w:rsid w:val="007F54C4"/>
    <w:rsid w:val="007F6E9A"/>
    <w:rsid w:val="008044D4"/>
    <w:rsid w:val="00810AB4"/>
    <w:rsid w:val="008158A6"/>
    <w:rsid w:val="00817B56"/>
    <w:rsid w:val="00821A88"/>
    <w:rsid w:val="0082495D"/>
    <w:rsid w:val="00831AC3"/>
    <w:rsid w:val="00835795"/>
    <w:rsid w:val="00836D90"/>
    <w:rsid w:val="0083715E"/>
    <w:rsid w:val="008408FF"/>
    <w:rsid w:val="00840BBC"/>
    <w:rsid w:val="00851F3F"/>
    <w:rsid w:val="00853F13"/>
    <w:rsid w:val="00856EDC"/>
    <w:rsid w:val="008623B5"/>
    <w:rsid w:val="00870ABA"/>
    <w:rsid w:val="008710E1"/>
    <w:rsid w:val="008716E5"/>
    <w:rsid w:val="00881CA9"/>
    <w:rsid w:val="00883628"/>
    <w:rsid w:val="00885544"/>
    <w:rsid w:val="0088634E"/>
    <w:rsid w:val="00893AB8"/>
    <w:rsid w:val="008A0115"/>
    <w:rsid w:val="008A04C8"/>
    <w:rsid w:val="008A6913"/>
    <w:rsid w:val="008B70F3"/>
    <w:rsid w:val="008B76DF"/>
    <w:rsid w:val="008C10F4"/>
    <w:rsid w:val="008C65F7"/>
    <w:rsid w:val="008D4BC6"/>
    <w:rsid w:val="008E4767"/>
    <w:rsid w:val="008E5DBF"/>
    <w:rsid w:val="008E7A8C"/>
    <w:rsid w:val="008F48E1"/>
    <w:rsid w:val="008F63BD"/>
    <w:rsid w:val="00903285"/>
    <w:rsid w:val="00904198"/>
    <w:rsid w:val="00906F40"/>
    <w:rsid w:val="0090731E"/>
    <w:rsid w:val="009111F4"/>
    <w:rsid w:val="0091529D"/>
    <w:rsid w:val="00915B1C"/>
    <w:rsid w:val="009174F3"/>
    <w:rsid w:val="0091797D"/>
    <w:rsid w:val="00923CBA"/>
    <w:rsid w:val="00926703"/>
    <w:rsid w:val="00927691"/>
    <w:rsid w:val="00927A5F"/>
    <w:rsid w:val="00935B63"/>
    <w:rsid w:val="00936646"/>
    <w:rsid w:val="0094078F"/>
    <w:rsid w:val="00940FA3"/>
    <w:rsid w:val="00941B16"/>
    <w:rsid w:val="00941FB0"/>
    <w:rsid w:val="009426D4"/>
    <w:rsid w:val="00942799"/>
    <w:rsid w:val="00944E49"/>
    <w:rsid w:val="00947F25"/>
    <w:rsid w:val="00950159"/>
    <w:rsid w:val="0095490B"/>
    <w:rsid w:val="009647A2"/>
    <w:rsid w:val="00967476"/>
    <w:rsid w:val="00971914"/>
    <w:rsid w:val="00974363"/>
    <w:rsid w:val="00981898"/>
    <w:rsid w:val="00981B3D"/>
    <w:rsid w:val="009855A6"/>
    <w:rsid w:val="0098651C"/>
    <w:rsid w:val="0099577C"/>
    <w:rsid w:val="009B4E9E"/>
    <w:rsid w:val="009C1690"/>
    <w:rsid w:val="009C6881"/>
    <w:rsid w:val="009C7117"/>
    <w:rsid w:val="009C7759"/>
    <w:rsid w:val="009D043D"/>
    <w:rsid w:val="009D6C71"/>
    <w:rsid w:val="009E0631"/>
    <w:rsid w:val="009E135F"/>
    <w:rsid w:val="009E16D0"/>
    <w:rsid w:val="009E38FD"/>
    <w:rsid w:val="009F13D6"/>
    <w:rsid w:val="009F4C6B"/>
    <w:rsid w:val="009F6A26"/>
    <w:rsid w:val="009F78A8"/>
    <w:rsid w:val="009F7B12"/>
    <w:rsid w:val="00A02AD6"/>
    <w:rsid w:val="00A06322"/>
    <w:rsid w:val="00A07096"/>
    <w:rsid w:val="00A07318"/>
    <w:rsid w:val="00A07A88"/>
    <w:rsid w:val="00A100FE"/>
    <w:rsid w:val="00A11370"/>
    <w:rsid w:val="00A2044D"/>
    <w:rsid w:val="00A224CE"/>
    <w:rsid w:val="00A22522"/>
    <w:rsid w:val="00A24AFD"/>
    <w:rsid w:val="00A24F5C"/>
    <w:rsid w:val="00A32F96"/>
    <w:rsid w:val="00A40871"/>
    <w:rsid w:val="00A412AB"/>
    <w:rsid w:val="00A4193E"/>
    <w:rsid w:val="00A440E0"/>
    <w:rsid w:val="00A442EF"/>
    <w:rsid w:val="00A51D1A"/>
    <w:rsid w:val="00A53F46"/>
    <w:rsid w:val="00A5418D"/>
    <w:rsid w:val="00A5474E"/>
    <w:rsid w:val="00A61A45"/>
    <w:rsid w:val="00A70ADF"/>
    <w:rsid w:val="00A71466"/>
    <w:rsid w:val="00A746E3"/>
    <w:rsid w:val="00A74B5E"/>
    <w:rsid w:val="00A74B80"/>
    <w:rsid w:val="00A81BED"/>
    <w:rsid w:val="00A81EC4"/>
    <w:rsid w:val="00A822AF"/>
    <w:rsid w:val="00A967FD"/>
    <w:rsid w:val="00AB156C"/>
    <w:rsid w:val="00AB5551"/>
    <w:rsid w:val="00AB6814"/>
    <w:rsid w:val="00AC04BA"/>
    <w:rsid w:val="00AC0E39"/>
    <w:rsid w:val="00AD3082"/>
    <w:rsid w:val="00AD4AD0"/>
    <w:rsid w:val="00AD5436"/>
    <w:rsid w:val="00AD60CD"/>
    <w:rsid w:val="00AD6C8C"/>
    <w:rsid w:val="00AE091D"/>
    <w:rsid w:val="00AE3B60"/>
    <w:rsid w:val="00AE4DF2"/>
    <w:rsid w:val="00AE53A1"/>
    <w:rsid w:val="00AF0C9B"/>
    <w:rsid w:val="00AF2484"/>
    <w:rsid w:val="00AF63E7"/>
    <w:rsid w:val="00B00919"/>
    <w:rsid w:val="00B0165D"/>
    <w:rsid w:val="00B0174C"/>
    <w:rsid w:val="00B01988"/>
    <w:rsid w:val="00B02311"/>
    <w:rsid w:val="00B031F3"/>
    <w:rsid w:val="00B04F98"/>
    <w:rsid w:val="00B052A4"/>
    <w:rsid w:val="00B125DE"/>
    <w:rsid w:val="00B13FDD"/>
    <w:rsid w:val="00B22EB2"/>
    <w:rsid w:val="00B27442"/>
    <w:rsid w:val="00B31167"/>
    <w:rsid w:val="00B329D8"/>
    <w:rsid w:val="00B32BB9"/>
    <w:rsid w:val="00B33AE1"/>
    <w:rsid w:val="00B37C38"/>
    <w:rsid w:val="00B41111"/>
    <w:rsid w:val="00B42206"/>
    <w:rsid w:val="00B4288C"/>
    <w:rsid w:val="00B42993"/>
    <w:rsid w:val="00B43262"/>
    <w:rsid w:val="00B44100"/>
    <w:rsid w:val="00B46CBA"/>
    <w:rsid w:val="00B46F94"/>
    <w:rsid w:val="00B61F03"/>
    <w:rsid w:val="00B626E4"/>
    <w:rsid w:val="00B72F4A"/>
    <w:rsid w:val="00B83C27"/>
    <w:rsid w:val="00B84BC3"/>
    <w:rsid w:val="00B84BDD"/>
    <w:rsid w:val="00B913A1"/>
    <w:rsid w:val="00B92812"/>
    <w:rsid w:val="00BA759B"/>
    <w:rsid w:val="00BB45A1"/>
    <w:rsid w:val="00BB54D4"/>
    <w:rsid w:val="00BB7686"/>
    <w:rsid w:val="00BB7BCE"/>
    <w:rsid w:val="00BC23F9"/>
    <w:rsid w:val="00BC3421"/>
    <w:rsid w:val="00BC732C"/>
    <w:rsid w:val="00BD51A1"/>
    <w:rsid w:val="00BE2580"/>
    <w:rsid w:val="00BE266D"/>
    <w:rsid w:val="00BE3938"/>
    <w:rsid w:val="00BE4C11"/>
    <w:rsid w:val="00BE66D1"/>
    <w:rsid w:val="00BE71C0"/>
    <w:rsid w:val="00BF610C"/>
    <w:rsid w:val="00C0060B"/>
    <w:rsid w:val="00C0277D"/>
    <w:rsid w:val="00C053A1"/>
    <w:rsid w:val="00C121D6"/>
    <w:rsid w:val="00C16198"/>
    <w:rsid w:val="00C2083D"/>
    <w:rsid w:val="00C24A53"/>
    <w:rsid w:val="00C35E8E"/>
    <w:rsid w:val="00C4032F"/>
    <w:rsid w:val="00C44047"/>
    <w:rsid w:val="00C45155"/>
    <w:rsid w:val="00C527AB"/>
    <w:rsid w:val="00C543A3"/>
    <w:rsid w:val="00C5498F"/>
    <w:rsid w:val="00C55235"/>
    <w:rsid w:val="00C60BBD"/>
    <w:rsid w:val="00C64CD0"/>
    <w:rsid w:val="00C6684F"/>
    <w:rsid w:val="00C67EF5"/>
    <w:rsid w:val="00C70E70"/>
    <w:rsid w:val="00C75F8D"/>
    <w:rsid w:val="00C77380"/>
    <w:rsid w:val="00C7776B"/>
    <w:rsid w:val="00C90CA8"/>
    <w:rsid w:val="00C97736"/>
    <w:rsid w:val="00CA345A"/>
    <w:rsid w:val="00CB1E82"/>
    <w:rsid w:val="00CB4BA8"/>
    <w:rsid w:val="00CB52B2"/>
    <w:rsid w:val="00CB52D7"/>
    <w:rsid w:val="00CC557D"/>
    <w:rsid w:val="00CC5F1B"/>
    <w:rsid w:val="00CC6732"/>
    <w:rsid w:val="00CC77D6"/>
    <w:rsid w:val="00CD1387"/>
    <w:rsid w:val="00CD5030"/>
    <w:rsid w:val="00CE3C96"/>
    <w:rsid w:val="00CE51A8"/>
    <w:rsid w:val="00CE5B28"/>
    <w:rsid w:val="00CE5F81"/>
    <w:rsid w:val="00CE69D8"/>
    <w:rsid w:val="00CF1778"/>
    <w:rsid w:val="00CF369B"/>
    <w:rsid w:val="00CF64D0"/>
    <w:rsid w:val="00D00E28"/>
    <w:rsid w:val="00D0269E"/>
    <w:rsid w:val="00D03B02"/>
    <w:rsid w:val="00D15810"/>
    <w:rsid w:val="00D16D4E"/>
    <w:rsid w:val="00D16FE3"/>
    <w:rsid w:val="00D21F4A"/>
    <w:rsid w:val="00D27F41"/>
    <w:rsid w:val="00D36441"/>
    <w:rsid w:val="00D36947"/>
    <w:rsid w:val="00D4064E"/>
    <w:rsid w:val="00D44E9B"/>
    <w:rsid w:val="00D47AEB"/>
    <w:rsid w:val="00D509BF"/>
    <w:rsid w:val="00D50DB9"/>
    <w:rsid w:val="00D52C43"/>
    <w:rsid w:val="00D62780"/>
    <w:rsid w:val="00D632B2"/>
    <w:rsid w:val="00D6507F"/>
    <w:rsid w:val="00D730BC"/>
    <w:rsid w:val="00D73912"/>
    <w:rsid w:val="00D74455"/>
    <w:rsid w:val="00D74569"/>
    <w:rsid w:val="00D825C9"/>
    <w:rsid w:val="00D85226"/>
    <w:rsid w:val="00D8706B"/>
    <w:rsid w:val="00D87B94"/>
    <w:rsid w:val="00D90D57"/>
    <w:rsid w:val="00D91163"/>
    <w:rsid w:val="00D92D49"/>
    <w:rsid w:val="00D92EC1"/>
    <w:rsid w:val="00D96DEA"/>
    <w:rsid w:val="00D974A3"/>
    <w:rsid w:val="00DA003A"/>
    <w:rsid w:val="00DA4E41"/>
    <w:rsid w:val="00DA545E"/>
    <w:rsid w:val="00DB117A"/>
    <w:rsid w:val="00DB1EBD"/>
    <w:rsid w:val="00DB5173"/>
    <w:rsid w:val="00DB7873"/>
    <w:rsid w:val="00DC187B"/>
    <w:rsid w:val="00DC44AE"/>
    <w:rsid w:val="00DD49E6"/>
    <w:rsid w:val="00DD73C2"/>
    <w:rsid w:val="00DE319B"/>
    <w:rsid w:val="00DF34FE"/>
    <w:rsid w:val="00DF36CB"/>
    <w:rsid w:val="00DF56AA"/>
    <w:rsid w:val="00DF78E7"/>
    <w:rsid w:val="00E01175"/>
    <w:rsid w:val="00E01E21"/>
    <w:rsid w:val="00E110E0"/>
    <w:rsid w:val="00E15371"/>
    <w:rsid w:val="00E23D8A"/>
    <w:rsid w:val="00E24104"/>
    <w:rsid w:val="00E302D0"/>
    <w:rsid w:val="00E30C76"/>
    <w:rsid w:val="00E35707"/>
    <w:rsid w:val="00E36AA1"/>
    <w:rsid w:val="00E41ECB"/>
    <w:rsid w:val="00E433E0"/>
    <w:rsid w:val="00E52E53"/>
    <w:rsid w:val="00E54FDB"/>
    <w:rsid w:val="00E5617D"/>
    <w:rsid w:val="00E563D7"/>
    <w:rsid w:val="00E65DB9"/>
    <w:rsid w:val="00E663A8"/>
    <w:rsid w:val="00E663F4"/>
    <w:rsid w:val="00E666F2"/>
    <w:rsid w:val="00E66DD4"/>
    <w:rsid w:val="00E748CC"/>
    <w:rsid w:val="00E75415"/>
    <w:rsid w:val="00E770DE"/>
    <w:rsid w:val="00E775B1"/>
    <w:rsid w:val="00E8075B"/>
    <w:rsid w:val="00E8152A"/>
    <w:rsid w:val="00E872FC"/>
    <w:rsid w:val="00E93629"/>
    <w:rsid w:val="00E93733"/>
    <w:rsid w:val="00E93B5C"/>
    <w:rsid w:val="00E94CEC"/>
    <w:rsid w:val="00E96951"/>
    <w:rsid w:val="00EA04EF"/>
    <w:rsid w:val="00EA6F19"/>
    <w:rsid w:val="00EB7090"/>
    <w:rsid w:val="00EC1BBE"/>
    <w:rsid w:val="00EC5CD7"/>
    <w:rsid w:val="00EE5FB3"/>
    <w:rsid w:val="00EE7F79"/>
    <w:rsid w:val="00EF3A08"/>
    <w:rsid w:val="00EF715A"/>
    <w:rsid w:val="00F06E14"/>
    <w:rsid w:val="00F14727"/>
    <w:rsid w:val="00F179D4"/>
    <w:rsid w:val="00F2428D"/>
    <w:rsid w:val="00F27D42"/>
    <w:rsid w:val="00F33C56"/>
    <w:rsid w:val="00F347C7"/>
    <w:rsid w:val="00F34848"/>
    <w:rsid w:val="00F41CE4"/>
    <w:rsid w:val="00F42D46"/>
    <w:rsid w:val="00F4496C"/>
    <w:rsid w:val="00F44F3A"/>
    <w:rsid w:val="00F51ECA"/>
    <w:rsid w:val="00F51F10"/>
    <w:rsid w:val="00F529A5"/>
    <w:rsid w:val="00F53CEA"/>
    <w:rsid w:val="00F60F00"/>
    <w:rsid w:val="00F614C0"/>
    <w:rsid w:val="00F658ED"/>
    <w:rsid w:val="00F76BDE"/>
    <w:rsid w:val="00F83848"/>
    <w:rsid w:val="00F95CCA"/>
    <w:rsid w:val="00F975E9"/>
    <w:rsid w:val="00FA1B7D"/>
    <w:rsid w:val="00FB0984"/>
    <w:rsid w:val="00FC07B9"/>
    <w:rsid w:val="00FC40C7"/>
    <w:rsid w:val="00FC4E21"/>
    <w:rsid w:val="00FC5F6D"/>
    <w:rsid w:val="00FD0107"/>
    <w:rsid w:val="00FD2C2F"/>
    <w:rsid w:val="00FD3B31"/>
    <w:rsid w:val="00FD4329"/>
    <w:rsid w:val="00FD5C9E"/>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1"/>
    </o:shapelayout>
  </w:shapeDefaults>
  <w:decimalSymbol w:val="."/>
  <w:listSeparator w:val=","/>
  <w14:docId w14:val="0A92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link w:val="FootnoteTextChar"/>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FootnoteTextChar">
    <w:name w:val="Footnote Text Char"/>
    <w:basedOn w:val="DefaultParagraphFont"/>
    <w:link w:val="FootnoteText"/>
    <w:semiHidden/>
    <w:rsid w:val="000666A1"/>
    <w:rPr>
      <w:rFonts w:ascii="Arial" w:hAnsi="Arial"/>
      <w:sz w:val="16"/>
      <w:szCs w:val="16"/>
    </w:rPr>
  </w:style>
  <w:style w:type="paragraph" w:styleId="Revision">
    <w:name w:val="Revision"/>
    <w:hidden/>
    <w:semiHidden/>
    <w:rsid w:val="00B42206"/>
    <w:rPr>
      <w:rFonts w:ascii="Arial" w:hAnsi="Arial"/>
      <w:sz w:val="20"/>
    </w:rPr>
  </w:style>
  <w:style w:type="paragraph" w:styleId="ListParagraph">
    <w:name w:val="List Paragraph"/>
    <w:basedOn w:val="Normal"/>
    <w:uiPriority w:val="34"/>
    <w:qFormat/>
    <w:rsid w:val="00C7776B"/>
    <w:pPr>
      <w:ind w:left="720"/>
      <w:contextualSpacing/>
    </w:pPr>
  </w:style>
  <w:style w:type="paragraph" w:customStyle="1" w:styleId="HeaderBoldEven">
    <w:name w:val="HeaderBoldEven"/>
    <w:basedOn w:val="Normal"/>
    <w:rsid w:val="00CC557D"/>
    <w:pPr>
      <w:spacing w:before="120" w:after="60" w:line="240" w:lineRule="auto"/>
    </w:pPr>
    <w:rPr>
      <w:b/>
    </w:rPr>
  </w:style>
  <w:style w:type="paragraph" w:customStyle="1" w:styleId="HeaderBoldOdd">
    <w:name w:val="HeaderBoldOdd"/>
    <w:basedOn w:val="Normal"/>
    <w:rsid w:val="00CC557D"/>
    <w:pPr>
      <w:spacing w:before="120" w:after="60" w:line="240" w:lineRule="auto"/>
      <w:jc w:val="right"/>
    </w:pPr>
    <w:rPr>
      <w:b/>
    </w:rPr>
  </w:style>
  <w:style w:type="paragraph" w:customStyle="1" w:styleId="HeaderLiteEven">
    <w:name w:val="HeaderLiteEven"/>
    <w:basedOn w:val="Normal"/>
    <w:rsid w:val="00CC557D"/>
    <w:pPr>
      <w:tabs>
        <w:tab w:val="center" w:pos="3969"/>
        <w:tab w:val="right" w:pos="8505"/>
      </w:tabs>
      <w:spacing w:before="60" w:after="0" w:line="240" w:lineRule="auto"/>
    </w:pPr>
    <w:rPr>
      <w:sz w:val="18"/>
    </w:rPr>
  </w:style>
  <w:style w:type="paragraph" w:customStyle="1" w:styleId="HeaderLiteOdd">
    <w:name w:val="HeaderLiteOdd"/>
    <w:basedOn w:val="Normal"/>
    <w:rsid w:val="00CC557D"/>
    <w:pPr>
      <w:tabs>
        <w:tab w:val="center" w:pos="3969"/>
        <w:tab w:val="right" w:pos="8505"/>
      </w:tabs>
      <w:spacing w:before="60" w:after="0" w:line="240" w:lineRule="auto"/>
      <w:jc w:val="right"/>
    </w:pPr>
    <w:rPr>
      <w:sz w:val="18"/>
    </w:rPr>
  </w:style>
  <w:style w:type="paragraph" w:customStyle="1" w:styleId="FooterDraft">
    <w:name w:val="FooterDraft"/>
    <w:basedOn w:val="Normal"/>
    <w:rsid w:val="00CC557D"/>
    <w:pPr>
      <w:spacing w:after="0" w:line="240" w:lineRule="auto"/>
      <w:jc w:val="center"/>
    </w:pPr>
    <w:rPr>
      <w:b/>
      <w:sz w:val="40"/>
    </w:rPr>
  </w:style>
  <w:style w:type="paragraph" w:customStyle="1" w:styleId="FooterInfo">
    <w:name w:val="FooterInfo"/>
    <w:basedOn w:val="Normal"/>
    <w:rsid w:val="00CC557D"/>
    <w:pPr>
      <w:spacing w:after="0" w:line="240" w:lineRule="auto"/>
    </w:pPr>
    <w:rPr>
      <w:sz w:val="12"/>
    </w:rPr>
  </w:style>
  <w:style w:type="paragraph" w:styleId="Title">
    <w:name w:val="Title"/>
    <w:basedOn w:val="Normal"/>
    <w:next w:val="Normal"/>
    <w:link w:val="TitleChar"/>
    <w:qFormat/>
    <w:rsid w:val="00CC557D"/>
    <w:pPr>
      <w:spacing w:before="480" w:after="0" w:line="240" w:lineRule="auto"/>
    </w:pPr>
    <w:rPr>
      <w:rFonts w:cs="Arial"/>
      <w:b/>
      <w:bCs/>
      <w:sz w:val="40"/>
      <w:szCs w:val="40"/>
    </w:rPr>
  </w:style>
  <w:style w:type="character" w:customStyle="1" w:styleId="TitleChar">
    <w:name w:val="Title Char"/>
    <w:basedOn w:val="DefaultParagraphFont"/>
    <w:link w:val="Title"/>
    <w:rsid w:val="00CC557D"/>
    <w:rPr>
      <w:rFonts w:ascii="Arial" w:hAnsi="Arial" w:cs="Arial"/>
      <w:b/>
      <w:bCs/>
      <w:sz w:val="40"/>
      <w:szCs w:val="40"/>
    </w:rPr>
  </w:style>
  <w:style w:type="paragraph" w:customStyle="1" w:styleId="A1">
    <w:name w:val="A1"/>
    <w:aliases w:val="Heading Amendment,1. Amendment"/>
    <w:basedOn w:val="Normal"/>
    <w:next w:val="Normal"/>
    <w:rsid w:val="00CC557D"/>
    <w:pPr>
      <w:keepNext/>
      <w:keepLines/>
      <w:spacing w:before="480" w:after="0" w:line="260" w:lineRule="exact"/>
      <w:ind w:left="964" w:hanging="964"/>
    </w:pPr>
    <w:rPr>
      <w:b/>
      <w:sz w:val="24"/>
    </w:rPr>
  </w:style>
  <w:style w:type="paragraph" w:customStyle="1" w:styleId="A1S">
    <w:name w:val="A1S"/>
    <w:aliases w:val="1.Schedule Amendment"/>
    <w:basedOn w:val="Normal"/>
    <w:next w:val="A2S"/>
    <w:rsid w:val="00CC557D"/>
    <w:pPr>
      <w:keepNext/>
      <w:keepLines/>
      <w:spacing w:before="480" w:after="0" w:line="260" w:lineRule="exact"/>
      <w:ind w:left="964" w:hanging="964"/>
    </w:pPr>
    <w:rPr>
      <w:b/>
      <w:sz w:val="24"/>
    </w:rPr>
  </w:style>
  <w:style w:type="paragraph" w:customStyle="1" w:styleId="A2">
    <w:name w:val="A2"/>
    <w:aliases w:val="1.1 amendment,Instruction amendment"/>
    <w:basedOn w:val="Normal"/>
    <w:next w:val="Normal"/>
    <w:rsid w:val="00CC557D"/>
    <w:pPr>
      <w:tabs>
        <w:tab w:val="right" w:pos="794"/>
      </w:tabs>
      <w:spacing w:before="120" w:after="0" w:line="260" w:lineRule="exact"/>
      <w:ind w:left="964" w:hanging="964"/>
      <w:jc w:val="both"/>
    </w:pPr>
    <w:rPr>
      <w:rFonts w:ascii="Times New Roman" w:hAnsi="Times New Roman"/>
      <w:sz w:val="24"/>
    </w:rPr>
  </w:style>
  <w:style w:type="paragraph" w:customStyle="1" w:styleId="A2S">
    <w:name w:val="A2S"/>
    <w:aliases w:val="Schedule Inst Amendment"/>
    <w:basedOn w:val="Normal"/>
    <w:next w:val="Normal"/>
    <w:rsid w:val="00CC557D"/>
    <w:pPr>
      <w:keepNext/>
      <w:spacing w:before="120" w:after="0" w:line="260" w:lineRule="exact"/>
      <w:ind w:left="964"/>
    </w:pPr>
    <w:rPr>
      <w:rFonts w:ascii="Times New Roman" w:hAnsi="Times New Roman"/>
      <w:i/>
      <w:sz w:val="24"/>
    </w:rPr>
  </w:style>
  <w:style w:type="paragraph" w:customStyle="1" w:styleId="A4">
    <w:name w:val="A4"/>
    <w:aliases w:val="(a) Amendment"/>
    <w:basedOn w:val="Normal"/>
    <w:rsid w:val="00CC557D"/>
    <w:pPr>
      <w:tabs>
        <w:tab w:val="right" w:pos="1247"/>
      </w:tabs>
      <w:spacing w:before="60" w:after="0" w:line="260" w:lineRule="exact"/>
      <w:ind w:left="1531" w:hanging="1531"/>
      <w:jc w:val="both"/>
    </w:pPr>
    <w:rPr>
      <w:rFonts w:ascii="Times New Roman" w:hAnsi="Times New Roman"/>
      <w:sz w:val="24"/>
    </w:rPr>
  </w:style>
  <w:style w:type="paragraph" w:customStyle="1" w:styleId="ASref">
    <w:name w:val="AS ref"/>
    <w:basedOn w:val="Normal"/>
    <w:next w:val="A1S"/>
    <w:rsid w:val="00CC557D"/>
    <w:pPr>
      <w:keepNext/>
      <w:spacing w:before="60" w:after="0" w:line="200" w:lineRule="exact"/>
      <w:ind w:left="2410"/>
    </w:pPr>
    <w:rPr>
      <w:sz w:val="18"/>
      <w:szCs w:val="18"/>
    </w:rPr>
  </w:style>
  <w:style w:type="paragraph" w:customStyle="1" w:styleId="AS">
    <w:name w:val="AS"/>
    <w:aliases w:val="Schedule title Amendment"/>
    <w:basedOn w:val="Normal"/>
    <w:next w:val="ASref"/>
    <w:rsid w:val="00CC557D"/>
    <w:pPr>
      <w:keepNext/>
      <w:keepLines/>
      <w:spacing w:before="480" w:after="0" w:line="240" w:lineRule="auto"/>
      <w:ind w:left="2410" w:hanging="2410"/>
    </w:pPr>
    <w:rPr>
      <w:b/>
      <w:sz w:val="32"/>
    </w:rPr>
  </w:style>
  <w:style w:type="character" w:customStyle="1" w:styleId="CharAmSchNo">
    <w:name w:val="CharAmSchNo"/>
    <w:basedOn w:val="DefaultParagraphFont"/>
    <w:rsid w:val="00CC557D"/>
  </w:style>
  <w:style w:type="character" w:customStyle="1" w:styleId="CharAmSchText">
    <w:name w:val="CharAmSchText"/>
    <w:basedOn w:val="DefaultParagraphFont"/>
    <w:rsid w:val="00CC557D"/>
  </w:style>
  <w:style w:type="paragraph" w:customStyle="1" w:styleId="MainBodySectionBreak">
    <w:name w:val="MainBody Section Break"/>
    <w:basedOn w:val="Normal"/>
    <w:next w:val="Normal"/>
    <w:rsid w:val="00CC557D"/>
    <w:pPr>
      <w:spacing w:after="0" w:line="240" w:lineRule="auto"/>
    </w:pPr>
    <w:rPr>
      <w:rFonts w:ascii="Times New Roman" w:hAnsi="Times New Roman"/>
      <w:sz w:val="24"/>
    </w:rPr>
  </w:style>
  <w:style w:type="paragraph" w:customStyle="1" w:styleId="NoteEnd">
    <w:name w:val="Note End"/>
    <w:basedOn w:val="Normal"/>
    <w:rsid w:val="00CC557D"/>
    <w:pPr>
      <w:keepLines/>
      <w:spacing w:before="120" w:after="0" w:line="240" w:lineRule="exact"/>
      <w:ind w:left="567" w:hanging="567"/>
      <w:jc w:val="both"/>
    </w:pPr>
    <w:rPr>
      <w:rFonts w:ascii="Times New Roman" w:hAnsi="Times New Roman"/>
      <w:sz w:val="22"/>
    </w:rPr>
  </w:style>
  <w:style w:type="paragraph" w:customStyle="1" w:styleId="FooterCitation">
    <w:name w:val="FooterCitation"/>
    <w:basedOn w:val="Footer"/>
    <w:rsid w:val="00CC557D"/>
    <w:pPr>
      <w:tabs>
        <w:tab w:val="clear" w:pos="113"/>
        <w:tab w:val="center" w:pos="4153"/>
        <w:tab w:val="right" w:pos="8306"/>
      </w:tabs>
      <w:spacing w:before="20" w:after="0" w:line="240" w:lineRule="exact"/>
      <w:jc w:val="center"/>
    </w:pPr>
    <w:rPr>
      <w:i/>
      <w:color w:val="auto"/>
      <w:sz w:val="18"/>
    </w:rPr>
  </w:style>
  <w:style w:type="paragraph" w:customStyle="1" w:styleId="SigningPageBreak">
    <w:name w:val="SigningPageBreak"/>
    <w:basedOn w:val="Normal"/>
    <w:next w:val="Normal"/>
    <w:rsid w:val="00CC557D"/>
    <w:pPr>
      <w:spacing w:after="0" w:line="240" w:lineRule="auto"/>
    </w:pPr>
    <w:rPr>
      <w:rFonts w:ascii="Times New Roman" w:hAnsi="Times New Roman"/>
      <w:sz w:val="24"/>
    </w:rPr>
  </w:style>
  <w:style w:type="paragraph" w:customStyle="1" w:styleId="TableText">
    <w:name w:val="TableText"/>
    <w:basedOn w:val="Normal"/>
    <w:rsid w:val="00CC557D"/>
    <w:pPr>
      <w:spacing w:before="60" w:after="60" w:line="240" w:lineRule="exact"/>
    </w:pPr>
    <w:rPr>
      <w:rFonts w:ascii="Times New Roman" w:hAnsi="Times New Roman"/>
      <w:sz w:val="22"/>
    </w:rPr>
  </w:style>
  <w:style w:type="character" w:customStyle="1" w:styleId="CharSectnoAm">
    <w:name w:val="CharSectnoAm"/>
    <w:basedOn w:val="DefaultParagraphFont"/>
    <w:rsid w:val="00CC557D"/>
  </w:style>
  <w:style w:type="character" w:customStyle="1" w:styleId="charpartno">
    <w:name w:val="charpartno"/>
    <w:basedOn w:val="DefaultParagraphFont"/>
    <w:rsid w:val="00CC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9988">
      <w:bodyDiv w:val="1"/>
      <w:marLeft w:val="0"/>
      <w:marRight w:val="0"/>
      <w:marTop w:val="0"/>
      <w:marBottom w:val="0"/>
      <w:divBdr>
        <w:top w:val="none" w:sz="0" w:space="0" w:color="auto"/>
        <w:left w:val="none" w:sz="0" w:space="0" w:color="auto"/>
        <w:bottom w:val="none" w:sz="0" w:space="0" w:color="auto"/>
        <w:right w:val="none" w:sz="0" w:space="0" w:color="auto"/>
      </w:divBdr>
      <w:divsChild>
        <w:div w:id="136922811">
          <w:marLeft w:val="0"/>
          <w:marRight w:val="0"/>
          <w:marTop w:val="0"/>
          <w:marBottom w:val="0"/>
          <w:divBdr>
            <w:top w:val="none" w:sz="0" w:space="0" w:color="auto"/>
            <w:left w:val="none" w:sz="0" w:space="0" w:color="auto"/>
            <w:bottom w:val="none" w:sz="0" w:space="0" w:color="auto"/>
            <w:right w:val="none" w:sz="0" w:space="0" w:color="auto"/>
          </w:divBdr>
          <w:divsChild>
            <w:div w:id="1453789118">
              <w:marLeft w:val="0"/>
              <w:marRight w:val="0"/>
              <w:marTop w:val="0"/>
              <w:marBottom w:val="0"/>
              <w:divBdr>
                <w:top w:val="none" w:sz="0" w:space="0" w:color="auto"/>
                <w:left w:val="none" w:sz="0" w:space="0" w:color="auto"/>
                <w:bottom w:val="none" w:sz="0" w:space="0" w:color="auto"/>
                <w:right w:val="none" w:sz="0" w:space="0" w:color="auto"/>
              </w:divBdr>
              <w:divsChild>
                <w:div w:id="903224504">
                  <w:marLeft w:val="0"/>
                  <w:marRight w:val="0"/>
                  <w:marTop w:val="0"/>
                  <w:marBottom w:val="0"/>
                  <w:divBdr>
                    <w:top w:val="none" w:sz="0" w:space="0" w:color="auto"/>
                    <w:left w:val="none" w:sz="0" w:space="0" w:color="auto"/>
                    <w:bottom w:val="none" w:sz="0" w:space="0" w:color="auto"/>
                    <w:right w:val="none" w:sz="0" w:space="0" w:color="auto"/>
                  </w:divBdr>
                  <w:divsChild>
                    <w:div w:id="1574705325">
                      <w:marLeft w:val="0"/>
                      <w:marRight w:val="0"/>
                      <w:marTop w:val="45"/>
                      <w:marBottom w:val="0"/>
                      <w:divBdr>
                        <w:top w:val="none" w:sz="0" w:space="0" w:color="auto"/>
                        <w:left w:val="none" w:sz="0" w:space="0" w:color="auto"/>
                        <w:bottom w:val="none" w:sz="0" w:space="0" w:color="auto"/>
                        <w:right w:val="none" w:sz="0" w:space="0" w:color="auto"/>
                      </w:divBdr>
                      <w:divsChild>
                        <w:div w:id="1336687366">
                          <w:marLeft w:val="0"/>
                          <w:marRight w:val="0"/>
                          <w:marTop w:val="0"/>
                          <w:marBottom w:val="0"/>
                          <w:divBdr>
                            <w:top w:val="none" w:sz="0" w:space="0" w:color="auto"/>
                            <w:left w:val="none" w:sz="0" w:space="0" w:color="auto"/>
                            <w:bottom w:val="none" w:sz="0" w:space="0" w:color="auto"/>
                            <w:right w:val="none" w:sz="0" w:space="0" w:color="auto"/>
                          </w:divBdr>
                          <w:divsChild>
                            <w:div w:id="225268380">
                              <w:marLeft w:val="2070"/>
                              <w:marRight w:val="3960"/>
                              <w:marTop w:val="0"/>
                              <w:marBottom w:val="0"/>
                              <w:divBdr>
                                <w:top w:val="none" w:sz="0" w:space="0" w:color="auto"/>
                                <w:left w:val="none" w:sz="0" w:space="0" w:color="auto"/>
                                <w:bottom w:val="none" w:sz="0" w:space="0" w:color="auto"/>
                                <w:right w:val="none" w:sz="0" w:space="0" w:color="auto"/>
                              </w:divBdr>
                              <w:divsChild>
                                <w:div w:id="1866482326">
                                  <w:marLeft w:val="0"/>
                                  <w:marRight w:val="0"/>
                                  <w:marTop w:val="0"/>
                                  <w:marBottom w:val="0"/>
                                  <w:divBdr>
                                    <w:top w:val="none" w:sz="0" w:space="0" w:color="auto"/>
                                    <w:left w:val="none" w:sz="0" w:space="0" w:color="auto"/>
                                    <w:bottom w:val="none" w:sz="0" w:space="0" w:color="auto"/>
                                    <w:right w:val="none" w:sz="0" w:space="0" w:color="auto"/>
                                  </w:divBdr>
                                  <w:divsChild>
                                    <w:div w:id="305205626">
                                      <w:marLeft w:val="0"/>
                                      <w:marRight w:val="0"/>
                                      <w:marTop w:val="0"/>
                                      <w:marBottom w:val="0"/>
                                      <w:divBdr>
                                        <w:top w:val="none" w:sz="0" w:space="0" w:color="auto"/>
                                        <w:left w:val="none" w:sz="0" w:space="0" w:color="auto"/>
                                        <w:bottom w:val="none" w:sz="0" w:space="0" w:color="auto"/>
                                        <w:right w:val="none" w:sz="0" w:space="0" w:color="auto"/>
                                      </w:divBdr>
                                      <w:divsChild>
                                        <w:div w:id="1681882712">
                                          <w:marLeft w:val="0"/>
                                          <w:marRight w:val="0"/>
                                          <w:marTop w:val="0"/>
                                          <w:marBottom w:val="0"/>
                                          <w:divBdr>
                                            <w:top w:val="none" w:sz="0" w:space="0" w:color="auto"/>
                                            <w:left w:val="none" w:sz="0" w:space="0" w:color="auto"/>
                                            <w:bottom w:val="none" w:sz="0" w:space="0" w:color="auto"/>
                                            <w:right w:val="none" w:sz="0" w:space="0" w:color="auto"/>
                                          </w:divBdr>
                                          <w:divsChild>
                                            <w:div w:id="1191381385">
                                              <w:marLeft w:val="0"/>
                                              <w:marRight w:val="0"/>
                                              <w:marTop w:val="90"/>
                                              <w:marBottom w:val="0"/>
                                              <w:divBdr>
                                                <w:top w:val="none" w:sz="0" w:space="0" w:color="auto"/>
                                                <w:left w:val="none" w:sz="0" w:space="0" w:color="auto"/>
                                                <w:bottom w:val="none" w:sz="0" w:space="0" w:color="auto"/>
                                                <w:right w:val="none" w:sz="0" w:space="0" w:color="auto"/>
                                              </w:divBdr>
                                              <w:divsChild>
                                                <w:div w:id="1016007442">
                                                  <w:marLeft w:val="0"/>
                                                  <w:marRight w:val="0"/>
                                                  <w:marTop w:val="0"/>
                                                  <w:marBottom w:val="0"/>
                                                  <w:divBdr>
                                                    <w:top w:val="none" w:sz="0" w:space="0" w:color="auto"/>
                                                    <w:left w:val="none" w:sz="0" w:space="0" w:color="auto"/>
                                                    <w:bottom w:val="none" w:sz="0" w:space="0" w:color="auto"/>
                                                    <w:right w:val="none" w:sz="0" w:space="0" w:color="auto"/>
                                                  </w:divBdr>
                                                  <w:divsChild>
                                                    <w:div w:id="1976375389">
                                                      <w:marLeft w:val="0"/>
                                                      <w:marRight w:val="0"/>
                                                      <w:marTop w:val="0"/>
                                                      <w:marBottom w:val="0"/>
                                                      <w:divBdr>
                                                        <w:top w:val="none" w:sz="0" w:space="0" w:color="auto"/>
                                                        <w:left w:val="none" w:sz="0" w:space="0" w:color="auto"/>
                                                        <w:bottom w:val="none" w:sz="0" w:space="0" w:color="auto"/>
                                                        <w:right w:val="none" w:sz="0" w:space="0" w:color="auto"/>
                                                      </w:divBdr>
                                                      <w:divsChild>
                                                        <w:div w:id="2057852704">
                                                          <w:marLeft w:val="0"/>
                                                          <w:marRight w:val="0"/>
                                                          <w:marTop w:val="0"/>
                                                          <w:marBottom w:val="0"/>
                                                          <w:divBdr>
                                                            <w:top w:val="none" w:sz="0" w:space="0" w:color="auto"/>
                                                            <w:left w:val="none" w:sz="0" w:space="0" w:color="auto"/>
                                                            <w:bottom w:val="none" w:sz="0" w:space="0" w:color="auto"/>
                                                            <w:right w:val="none" w:sz="0" w:space="0" w:color="auto"/>
                                                          </w:divBdr>
                                                          <w:divsChild>
                                                            <w:div w:id="1290622755">
                                                              <w:marLeft w:val="0"/>
                                                              <w:marRight w:val="0"/>
                                                              <w:marTop w:val="0"/>
                                                              <w:marBottom w:val="390"/>
                                                              <w:divBdr>
                                                                <w:top w:val="none" w:sz="0" w:space="0" w:color="auto"/>
                                                                <w:left w:val="none" w:sz="0" w:space="0" w:color="auto"/>
                                                                <w:bottom w:val="none" w:sz="0" w:space="0" w:color="auto"/>
                                                                <w:right w:val="none" w:sz="0" w:space="0" w:color="auto"/>
                                                              </w:divBdr>
                                                              <w:divsChild>
                                                                <w:div w:id="1901557050">
                                                                  <w:marLeft w:val="0"/>
                                                                  <w:marRight w:val="0"/>
                                                                  <w:marTop w:val="0"/>
                                                                  <w:marBottom w:val="0"/>
                                                                  <w:divBdr>
                                                                    <w:top w:val="none" w:sz="0" w:space="0" w:color="auto"/>
                                                                    <w:left w:val="none" w:sz="0" w:space="0" w:color="auto"/>
                                                                    <w:bottom w:val="none" w:sz="0" w:space="0" w:color="auto"/>
                                                                    <w:right w:val="none" w:sz="0" w:space="0" w:color="auto"/>
                                                                  </w:divBdr>
                                                                  <w:divsChild>
                                                                    <w:div w:id="277832220">
                                                                      <w:marLeft w:val="0"/>
                                                                      <w:marRight w:val="0"/>
                                                                      <w:marTop w:val="0"/>
                                                                      <w:marBottom w:val="0"/>
                                                                      <w:divBdr>
                                                                        <w:top w:val="none" w:sz="0" w:space="0" w:color="auto"/>
                                                                        <w:left w:val="none" w:sz="0" w:space="0" w:color="auto"/>
                                                                        <w:bottom w:val="none" w:sz="0" w:space="0" w:color="auto"/>
                                                                        <w:right w:val="none" w:sz="0" w:space="0" w:color="auto"/>
                                                                      </w:divBdr>
                                                                      <w:divsChild>
                                                                        <w:div w:id="921645260">
                                                                          <w:marLeft w:val="0"/>
                                                                          <w:marRight w:val="0"/>
                                                                          <w:marTop w:val="0"/>
                                                                          <w:marBottom w:val="0"/>
                                                                          <w:divBdr>
                                                                            <w:top w:val="none" w:sz="0" w:space="0" w:color="auto"/>
                                                                            <w:left w:val="none" w:sz="0" w:space="0" w:color="auto"/>
                                                                            <w:bottom w:val="none" w:sz="0" w:space="0" w:color="auto"/>
                                                                            <w:right w:val="none" w:sz="0" w:space="0" w:color="auto"/>
                                                                          </w:divBdr>
                                                                          <w:divsChild>
                                                                            <w:div w:id="513034533">
                                                                              <w:marLeft w:val="0"/>
                                                                              <w:marRight w:val="0"/>
                                                                              <w:marTop w:val="0"/>
                                                                              <w:marBottom w:val="0"/>
                                                                              <w:divBdr>
                                                                                <w:top w:val="none" w:sz="0" w:space="0" w:color="auto"/>
                                                                                <w:left w:val="none" w:sz="0" w:space="0" w:color="auto"/>
                                                                                <w:bottom w:val="none" w:sz="0" w:space="0" w:color="auto"/>
                                                                                <w:right w:val="none" w:sz="0" w:space="0" w:color="auto"/>
                                                                              </w:divBdr>
                                                                              <w:divsChild>
                                                                                <w:div w:id="2017220658">
                                                                                  <w:marLeft w:val="0"/>
                                                                                  <w:marRight w:val="0"/>
                                                                                  <w:marTop w:val="0"/>
                                                                                  <w:marBottom w:val="0"/>
                                                                                  <w:divBdr>
                                                                                    <w:top w:val="none" w:sz="0" w:space="0" w:color="auto"/>
                                                                                    <w:left w:val="none" w:sz="0" w:space="0" w:color="auto"/>
                                                                                    <w:bottom w:val="none" w:sz="0" w:space="0" w:color="auto"/>
                                                                                    <w:right w:val="none" w:sz="0" w:space="0" w:color="auto"/>
                                                                                  </w:divBdr>
                                                                                  <w:divsChild>
                                                                                    <w:div w:id="1624774277">
                                                                                      <w:marLeft w:val="0"/>
                                                                                      <w:marRight w:val="0"/>
                                                                                      <w:marTop w:val="0"/>
                                                                                      <w:marBottom w:val="0"/>
                                                                                      <w:divBdr>
                                                                                        <w:top w:val="none" w:sz="0" w:space="0" w:color="auto"/>
                                                                                        <w:left w:val="none" w:sz="0" w:space="0" w:color="auto"/>
                                                                                        <w:bottom w:val="none" w:sz="0" w:space="0" w:color="auto"/>
                                                                                        <w:right w:val="none" w:sz="0" w:space="0" w:color="auto"/>
                                                                                      </w:divBdr>
                                                                                      <w:divsChild>
                                                                                        <w:div w:id="9674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26" Type="http://schemas.openxmlformats.org/officeDocument/2006/relationships/hyperlink" Target="http://www.comlaw.gov.au/" TargetMode="External"/><Relationship Id="rId39" Type="http://schemas.openxmlformats.org/officeDocument/2006/relationships/image" Target="media/image4.wmf"/><Relationship Id="rId21" Type="http://schemas.openxmlformats.org/officeDocument/2006/relationships/footer" Target="footer4.xml"/><Relationship Id="rId34" Type="http://schemas.openxmlformats.org/officeDocument/2006/relationships/hyperlink" Target="mailto:media@acma.gov.au" TargetMode="External"/><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theACMA/Consultations/Consultations/Current-and-Closed-Consultations" TargetMode="External"/><Relationship Id="rId33" Type="http://schemas.openxmlformats.org/officeDocument/2006/relationships/hyperlink" Target="file:///C:/Users/SForst/AppData/Local/Microsoft/Windows/Temporary%20Internet%20Files/Content.Outlook/PFDEVLTP/freqplan@acma.gov.au" TargetMode="External"/><Relationship Id="rId38" Type="http://schemas.openxmlformats.org/officeDocument/2006/relationships/hyperlink" Target="http://www.acma.gov.au/privacypolicy" TargetMode="Externa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etsi.org/" TargetMode="External"/><Relationship Id="rId41" Type="http://schemas.openxmlformats.org/officeDocument/2006/relationships/header" Target="head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6C00432" TargetMode="External"/><Relationship Id="rId32" Type="http://schemas.openxmlformats.org/officeDocument/2006/relationships/hyperlink" Target="mailto:freqplan@acma.gov.au" TargetMode="External"/><Relationship Id="rId37" Type="http://schemas.openxmlformats.org/officeDocument/2006/relationships/hyperlink" Target="http://www.oaic.gov.au/privacy/privacy-resources/privacy-fact-sheets/other/privacy-fact-sheet-17-australian-privacy-principles" TargetMode="Externa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etsi.org/" TargetMode="External"/><Relationship Id="rId36" Type="http://schemas.openxmlformats.org/officeDocument/2006/relationships/hyperlink" Target="http://www.comlaw.gov.au/Series/C2004A03712" TargetMode="External"/><Relationship Id="rId49"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acma.gov.au/theACMA/Consultations/Consultations" TargetMode="External"/><Relationship Id="rId44" Type="http://schemas.openxmlformats.org/officeDocument/2006/relationships/header" Target="header9.xml"/><Relationship Id="rId52"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ndinfo@acma.gov.au" TargetMode="External"/><Relationship Id="rId22" Type="http://schemas.openxmlformats.org/officeDocument/2006/relationships/footer" Target="footer5.xml"/><Relationship Id="rId27" Type="http://schemas.openxmlformats.org/officeDocument/2006/relationships/hyperlink" Target="http://www.erodocdb.dk/Docs/doc98/official/pdf/REC7003e.pdf" TargetMode="External"/><Relationship Id="rId30" Type="http://schemas.openxmlformats.org/officeDocument/2006/relationships/hyperlink" Target="http://www.etsi.org/" TargetMode="External"/><Relationship Id="rId35" Type="http://schemas.openxmlformats.org/officeDocument/2006/relationships/hyperlink" Target="http://www.acma.gov.au/theACMA/About/Corporate/Responsibilities/acma-evidenceinformed-regulation-and-effective-consultation" TargetMode="External"/><Relationship Id="rId43" Type="http://schemas.openxmlformats.org/officeDocument/2006/relationships/footer" Target="footer8.xml"/><Relationship Id="rId48" Type="http://schemas.openxmlformats.org/officeDocument/2006/relationships/footer" Target="footer10.xml"/><Relationship Id="rId8" Type="http://schemas.openxmlformats.org/officeDocument/2006/relationships/header" Target="header1.xml"/><Relationship Id="rId51" Type="http://schemas.openxmlformats.org/officeDocument/2006/relationships/header" Target="header13.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ic.gc.ca/eic/site/smt-gst.nsf/eng/sf11298.html" TargetMode="External"/><Relationship Id="rId2" Type="http://schemas.openxmlformats.org/officeDocument/2006/relationships/hyperlink" Target="https://www.fcc.gov/document/spectrum-frontiers-ro-and-fnprm" TargetMode="External"/><Relationship Id="rId1" Type="http://schemas.openxmlformats.org/officeDocument/2006/relationships/hyperlink" Target="https://www.fcc.gov/document/part-15-rules-unlicensed-operation-57-64-ghz-b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98A6-FA9D-4C0E-877C-323B3C1E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2018-01-08T22:16:00Z</dcterms:created>
  <dcterms:modified xsi:type="dcterms:W3CDTF">2018-01-09T15:04:00Z</dcterms:modified>
  <cp:category/>
</cp:coreProperties>
</file>