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14" w:rsidRPr="00A51D1A" w:rsidRDefault="00B47C43" w:rsidP="00A51D1A">
      <w:pPr>
        <w:pStyle w:val="ACMAReportTitle"/>
      </w:pPr>
      <w:bookmarkStart w:id="0" w:name="_GoBack"/>
      <w:bookmarkEnd w:id="0"/>
      <w:r>
        <w:t>Spectrum for broadband in the millimetre wave bands</w:t>
      </w:r>
    </w:p>
    <w:p w:rsidR="00F06E14" w:rsidRDefault="00B47C43" w:rsidP="00F06E14">
      <w:pPr>
        <w:pStyle w:val="ACMAReportSubTitle"/>
      </w:pPr>
      <w:r>
        <w:t>Questions for consultation</w:t>
      </w:r>
    </w:p>
    <w:p w:rsidR="00F06E14" w:rsidRDefault="00B47C43" w:rsidP="00D47AEB">
      <w:pPr>
        <w:pStyle w:val="ACMAReportDate"/>
        <w:spacing w:after="720"/>
      </w:pPr>
      <w:r>
        <w:t>September</w:t>
      </w:r>
      <w:r w:rsidR="002D673F">
        <w:t xml:space="preserve"> 2017</w:t>
      </w:r>
    </w:p>
    <w:p w:rsidR="00C97736" w:rsidRPr="000D76E0" w:rsidRDefault="00C97736" w:rsidP="0041071D">
      <w:pPr>
        <w:rPr>
          <w:rFonts w:cs="Arial"/>
        </w:rPr>
      </w:pPr>
    </w:p>
    <w:p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rsidR="0005011A" w:rsidRPr="00F44F3A" w:rsidRDefault="0005011A" w:rsidP="00FC07B9">
      <w:pPr>
        <w:pStyle w:val="ACMACorporateAddressHeader"/>
      </w:pPr>
      <w:r w:rsidRPr="00F44F3A">
        <w:lastRenderedPageBreak/>
        <w:t>Canberra</w:t>
      </w:r>
    </w:p>
    <w:p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rsidR="0005011A" w:rsidRPr="00FC07B9" w:rsidRDefault="0005011A" w:rsidP="00FC07B9">
      <w:pPr>
        <w:pStyle w:val="ACMACorporateAddresses"/>
      </w:pPr>
      <w:r w:rsidRPr="00FC07B9">
        <w:t>PO Box 78</w:t>
      </w:r>
      <w:r w:rsidRPr="00FC07B9">
        <w:br/>
        <w:t>Belconnen ACT 2616</w:t>
      </w:r>
    </w:p>
    <w:p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rsidR="0005011A" w:rsidRPr="00F44F3A" w:rsidRDefault="0005011A" w:rsidP="00FC07B9">
      <w:pPr>
        <w:pStyle w:val="ACMACorporateAddressHeader"/>
      </w:pPr>
      <w:r w:rsidRPr="00F44F3A">
        <w:t>Melbourne</w:t>
      </w:r>
    </w:p>
    <w:p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rsidR="0005011A" w:rsidRPr="00F44F3A" w:rsidRDefault="0005011A" w:rsidP="00FC07B9">
      <w:pPr>
        <w:pStyle w:val="ACMACorporateAddresses"/>
      </w:pPr>
      <w:r w:rsidRPr="00F44F3A">
        <w:t>PO Box 13112</w:t>
      </w:r>
      <w:r w:rsidRPr="00F44F3A">
        <w:br/>
        <w:t xml:space="preserve">Law Courts </w:t>
      </w:r>
      <w:r w:rsidRPr="00F44F3A">
        <w:br/>
        <w:t>Melbourne VIC 8010</w:t>
      </w:r>
    </w:p>
    <w:p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rsidR="0005011A" w:rsidRPr="00F44F3A" w:rsidRDefault="0005011A" w:rsidP="00FC07B9">
      <w:pPr>
        <w:pStyle w:val="ACMACorporateAddressHeader"/>
      </w:pPr>
      <w:r w:rsidRPr="00F44F3A">
        <w:t>Sydney</w:t>
      </w:r>
    </w:p>
    <w:p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rsidR="0005011A" w:rsidRPr="00F44F3A" w:rsidRDefault="0005011A" w:rsidP="00FC07B9">
      <w:pPr>
        <w:pStyle w:val="ACMACorporateAddresses"/>
      </w:pPr>
      <w:r w:rsidRPr="00F44F3A">
        <w:t>PO Box Q500</w:t>
      </w:r>
      <w:r w:rsidRPr="00F44F3A">
        <w:br/>
        <w:t xml:space="preserve">Queen Victoria Building </w:t>
      </w:r>
      <w:r w:rsidRPr="00F44F3A">
        <w:br/>
        <w:t>NSW 1230</w:t>
      </w:r>
    </w:p>
    <w:p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rsidR="00140318" w:rsidRPr="006D46E5" w:rsidRDefault="00140318" w:rsidP="00FC07B9">
      <w:pPr>
        <w:pStyle w:val="ACMACopyrightHeader"/>
      </w:pPr>
      <w:r w:rsidRPr="00140318">
        <w:t>Copyright notice</w:t>
      </w:r>
    </w:p>
    <w:p w:rsidR="00140318" w:rsidRPr="006D46E5" w:rsidRDefault="00623FF9" w:rsidP="00623FF9">
      <w:pPr>
        <w:pStyle w:val="ACMACClogo"/>
      </w:pPr>
      <w:r w:rsidRPr="00623FF9">
        <w:rPr>
          <w:noProof/>
        </w:rPr>
        <w:drawing>
          <wp:inline distT="0" distB="0" distL="0" distR="0" wp14:anchorId="42F34E11" wp14:editId="0B06B01B">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rsidR="00140318" w:rsidRPr="00431792" w:rsidRDefault="002901B3" w:rsidP="00FC07B9">
      <w:pPr>
        <w:pStyle w:val="ACMACorporateAddresses"/>
        <w:rPr>
          <w:rStyle w:val="Hyperlink"/>
        </w:rPr>
      </w:pPr>
      <w:hyperlink r:id="rId16" w:tooltip="Creative Commons Licenses" w:history="1">
        <w:r w:rsidR="00140318" w:rsidRPr="00431792">
          <w:rPr>
            <w:rStyle w:val="Hyperlink"/>
          </w:rPr>
          <w:t>http://creativecommons.org/licenses/by/3.0/au/</w:t>
        </w:r>
      </w:hyperlink>
    </w:p>
    <w:p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rsidR="00140318" w:rsidRPr="006D46E5" w:rsidRDefault="00C34A05" w:rsidP="00FC07B9">
      <w:pPr>
        <w:pStyle w:val="ACMACorporateAddresses"/>
      </w:pPr>
      <w:r>
        <w:t>We request attribution as</w:t>
      </w:r>
      <w:r w:rsidR="00140318" w:rsidRPr="006D46E5">
        <w:t xml:space="preserve"> © Commonwealth of Australia (Australian Communic</w:t>
      </w:r>
      <w:r w:rsidR="003215B5">
        <w:t>ations and Media Authority) 2017</w:t>
      </w:r>
      <w:r w:rsidR="00140318" w:rsidRPr="006D46E5">
        <w:t>.</w:t>
      </w:r>
    </w:p>
    <w:p w:rsidR="00140318" w:rsidRPr="006D46E5" w:rsidRDefault="00140318" w:rsidP="00FC07B9">
      <w:pPr>
        <w:pStyle w:val="ACMACorporateAddresses"/>
      </w:pPr>
      <w:r>
        <w:t>All other rights are reserved.</w:t>
      </w:r>
    </w:p>
    <w:p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rsidR="00140318" w:rsidRPr="006D46E5" w:rsidRDefault="00140318" w:rsidP="00FC07B9">
      <w:pPr>
        <w:pStyle w:val="ACMACorporateAddresses"/>
      </w:pPr>
      <w:r w:rsidRPr="006D46E5">
        <w:t>Written enquiries may be sent to:</w:t>
      </w:r>
    </w:p>
    <w:p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7" w:history="1">
        <w:r w:rsidR="000A1400" w:rsidRPr="00826BEB">
          <w:rPr>
            <w:rStyle w:val="Hyperlink"/>
          </w:rPr>
          <w:t>info@acma.gov.au</w:t>
        </w:r>
      </w:hyperlink>
    </w:p>
    <w:p w:rsidR="00D16FE3" w:rsidRDefault="00D16FE3" w:rsidP="00D16FE3">
      <w:pPr>
        <w:pStyle w:val="ACMACorporateAddresses"/>
        <w:rPr>
          <w:rStyle w:val="Hyperlink"/>
        </w:rPr>
      </w:pPr>
    </w:p>
    <w:p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rsidR="009D6C71" w:rsidRPr="009174F3" w:rsidRDefault="00DB4EFB" w:rsidP="009174F3">
      <w:pPr>
        <w:pStyle w:val="ACMAExecSummaryHeading"/>
      </w:pPr>
      <w:r>
        <w:lastRenderedPageBreak/>
        <w:t>Background</w:t>
      </w:r>
    </w:p>
    <w:p w:rsidR="008C3833" w:rsidRDefault="00C8625F" w:rsidP="00C8625F">
      <w:pPr>
        <w:spacing w:before="240"/>
        <w:rPr>
          <w:bCs/>
          <w:lang w:val="en"/>
        </w:rPr>
      </w:pPr>
      <w:r w:rsidRPr="00C8625F">
        <w:rPr>
          <w:bCs/>
          <w:lang w:val="en"/>
        </w:rPr>
        <w:t>The ACMA’s </w:t>
      </w:r>
      <w:hyperlink r:id="rId22" w:history="1">
        <w:r w:rsidR="00A6209B">
          <w:rPr>
            <w:rStyle w:val="Hyperlink"/>
            <w:bCs/>
            <w:i/>
            <w:iCs/>
            <w:lang w:val="en"/>
          </w:rPr>
          <w:t>Five-</w:t>
        </w:r>
        <w:r w:rsidR="008C3833">
          <w:rPr>
            <w:rStyle w:val="Hyperlink"/>
            <w:bCs/>
            <w:i/>
            <w:iCs/>
            <w:lang w:val="en"/>
          </w:rPr>
          <w:t>year spectrum outlook 2016–20</w:t>
        </w:r>
      </w:hyperlink>
      <w:r w:rsidRPr="00C8625F">
        <w:rPr>
          <w:bCs/>
          <w:i/>
          <w:iCs/>
          <w:lang w:val="en"/>
        </w:rPr>
        <w:t xml:space="preserve"> </w:t>
      </w:r>
      <w:r w:rsidRPr="00C8625F">
        <w:rPr>
          <w:bCs/>
          <w:lang w:val="en"/>
        </w:rPr>
        <w:t>(FYSO)</w:t>
      </w:r>
      <w:r w:rsidR="00233F50">
        <w:rPr>
          <w:bCs/>
          <w:lang w:val="en"/>
        </w:rPr>
        <w:t xml:space="preserve">, released in </w:t>
      </w:r>
      <w:r w:rsidR="00071230">
        <w:rPr>
          <w:bCs/>
          <w:lang w:val="en"/>
        </w:rPr>
        <w:t>October</w:t>
      </w:r>
      <w:r w:rsidR="00233F50">
        <w:rPr>
          <w:bCs/>
          <w:lang w:val="en"/>
        </w:rPr>
        <w:t xml:space="preserve"> 2016,</w:t>
      </w:r>
      <w:r w:rsidR="008C3833">
        <w:rPr>
          <w:bCs/>
          <w:lang w:val="en"/>
        </w:rPr>
        <w:t xml:space="preserve"> </w:t>
      </w:r>
      <w:r w:rsidRPr="00C8625F">
        <w:rPr>
          <w:bCs/>
          <w:lang w:val="en"/>
        </w:rPr>
        <w:t xml:space="preserve">sought </w:t>
      </w:r>
      <w:r w:rsidR="008C3833">
        <w:rPr>
          <w:bCs/>
          <w:lang w:val="en"/>
        </w:rPr>
        <w:t>feedback</w:t>
      </w:r>
      <w:r w:rsidR="008C3833" w:rsidRPr="00C8625F">
        <w:rPr>
          <w:bCs/>
          <w:lang w:val="en"/>
        </w:rPr>
        <w:t xml:space="preserve"> </w:t>
      </w:r>
      <w:r w:rsidRPr="00C8625F">
        <w:rPr>
          <w:bCs/>
          <w:lang w:val="en"/>
        </w:rPr>
        <w:t>on a number of issues surrounding mobile broadband use of bands above 24.25 GHz</w:t>
      </w:r>
      <w:r w:rsidR="006B7C5E">
        <w:rPr>
          <w:bCs/>
          <w:lang w:val="en"/>
        </w:rPr>
        <w:t>—</w:t>
      </w:r>
      <w:r w:rsidRPr="00C8625F">
        <w:rPr>
          <w:bCs/>
          <w:lang w:val="en"/>
        </w:rPr>
        <w:t xml:space="preserve">referred to as mmWave bands. </w:t>
      </w:r>
    </w:p>
    <w:p w:rsidR="00C8625F" w:rsidRDefault="00BF0DA8" w:rsidP="00DB4EFB">
      <w:pPr>
        <w:spacing w:before="240" w:after="80"/>
        <w:rPr>
          <w:bCs/>
        </w:rPr>
      </w:pPr>
      <w:r>
        <w:rPr>
          <w:bCs/>
        </w:rPr>
        <w:t>T</w:t>
      </w:r>
      <w:r w:rsidR="00930F96">
        <w:rPr>
          <w:bCs/>
        </w:rPr>
        <w:t>he FYSO also included the ACMA’s</w:t>
      </w:r>
      <w:r>
        <w:rPr>
          <w:bCs/>
        </w:rPr>
        <w:t xml:space="preserve"> </w:t>
      </w:r>
      <w:r w:rsidR="00C8625F" w:rsidRPr="00C8625F">
        <w:rPr>
          <w:bCs/>
        </w:rPr>
        <w:t>work program for mobile broadband spectrum planning projects</w:t>
      </w:r>
      <w:r>
        <w:rPr>
          <w:bCs/>
        </w:rPr>
        <w:t xml:space="preserve">. The program </w:t>
      </w:r>
      <w:r w:rsidR="00C8625F" w:rsidRPr="00C8625F">
        <w:rPr>
          <w:bCs/>
        </w:rPr>
        <w:t>outline</w:t>
      </w:r>
      <w:r>
        <w:rPr>
          <w:bCs/>
        </w:rPr>
        <w:t xml:space="preserve">d where each </w:t>
      </w:r>
      <w:r w:rsidR="00C8625F" w:rsidRPr="00C8625F">
        <w:rPr>
          <w:bCs/>
        </w:rPr>
        <w:t>project is positioned within the overall pro</w:t>
      </w:r>
      <w:r>
        <w:rPr>
          <w:bCs/>
        </w:rPr>
        <w:t>cess (the stages) and identified</w:t>
      </w:r>
      <w:r w:rsidR="00C8625F" w:rsidRPr="00C8625F">
        <w:rPr>
          <w:bCs/>
        </w:rPr>
        <w:t xml:space="preserve"> those frequency bands that are at the </w:t>
      </w:r>
      <w:r w:rsidR="00C8625F" w:rsidRPr="00C8625F">
        <w:rPr>
          <w:bCs/>
          <w:i/>
        </w:rPr>
        <w:t>monitoring</w:t>
      </w:r>
      <w:r w:rsidR="00C8625F" w:rsidRPr="00C8625F">
        <w:rPr>
          <w:bCs/>
        </w:rPr>
        <w:t xml:space="preserve"> stage. </w:t>
      </w:r>
      <w:r>
        <w:rPr>
          <w:bCs/>
        </w:rPr>
        <w:t xml:space="preserve">The following mmWave bands were included in the </w:t>
      </w:r>
      <w:r w:rsidRPr="00C8625F">
        <w:rPr>
          <w:bCs/>
          <w:i/>
        </w:rPr>
        <w:t>monitoring</w:t>
      </w:r>
      <w:r w:rsidRPr="00C8625F">
        <w:rPr>
          <w:bCs/>
        </w:rPr>
        <w:t xml:space="preserve"> stage</w:t>
      </w:r>
      <w:r>
        <w:rPr>
          <w:bCs/>
        </w:rPr>
        <w:t>:</w:t>
      </w:r>
    </w:p>
    <w:p w:rsidR="00BF0DA8" w:rsidRPr="00C8625F" w:rsidRDefault="00BF0DA8" w:rsidP="00DB4EFB">
      <w:pPr>
        <w:pStyle w:val="ListBullet"/>
      </w:pPr>
      <w:r w:rsidRPr="00C8625F">
        <w:t>Bands being studied under WRC-19 agenda item 1.13:</w:t>
      </w:r>
    </w:p>
    <w:p w:rsidR="00BF0DA8" w:rsidRDefault="00BF0DA8" w:rsidP="00DB4EFB">
      <w:pPr>
        <w:pStyle w:val="ListBullet2"/>
      </w:pPr>
      <w:r w:rsidRPr="00C8625F">
        <w:t>24.25–27.5 GHz, 31.8–33.4 GHz, 37–40.5 GHz, 40.5–42.5 GHz, 42.5–43.5 GHz, 45.5–47 GHz, 47–47.2 GHz, 47.2–50.2 GHz, 50.4–52.6 GHz, 66–76 GHz and 81–86 GHz</w:t>
      </w:r>
      <w:r w:rsidR="008C3833">
        <w:t>.</w:t>
      </w:r>
    </w:p>
    <w:p w:rsidR="00BF0DA8" w:rsidRDefault="00BF0DA8" w:rsidP="00DB4EFB">
      <w:pPr>
        <w:pStyle w:val="ListBullet"/>
      </w:pPr>
      <w:r w:rsidRPr="00BF0DA8">
        <w:t>Bands being considered internationally for 5G:</w:t>
      </w:r>
    </w:p>
    <w:p w:rsidR="00BF0DA8" w:rsidRDefault="008C3833" w:rsidP="00DB4EFB">
      <w:pPr>
        <w:pStyle w:val="ListBullet2"/>
      </w:pPr>
      <w:r>
        <w:t>b</w:t>
      </w:r>
      <w:r w:rsidR="00BF0DA8" w:rsidRPr="00BF0DA8">
        <w:t>ands announced for early implementation of 5G</w:t>
      </w:r>
      <w:r w:rsidR="00BF0DA8" w:rsidRPr="00C8625F">
        <w:rPr>
          <w:vertAlign w:val="superscript"/>
        </w:rPr>
        <w:footnoteReference w:id="2"/>
      </w:r>
      <w:r w:rsidR="00BF0DA8" w:rsidRPr="00BF0DA8">
        <w:t>:</w:t>
      </w:r>
    </w:p>
    <w:p w:rsidR="00BF0DA8" w:rsidRPr="00BF0DA8" w:rsidRDefault="00BF0DA8" w:rsidP="00DB4EFB">
      <w:pPr>
        <w:pStyle w:val="ListBullet2"/>
        <w:tabs>
          <w:tab w:val="clear" w:pos="845"/>
          <w:tab w:val="num" w:pos="1418"/>
        </w:tabs>
        <w:ind w:left="1418"/>
      </w:pPr>
      <w:r w:rsidRPr="00DB4EFB">
        <w:rPr>
          <w:b/>
        </w:rPr>
        <w:t>US</w:t>
      </w:r>
      <w:r w:rsidRPr="008C3833">
        <w:t>:</w:t>
      </w:r>
      <w:r w:rsidRPr="00BF0DA8">
        <w:t xml:space="preserve"> 27.5–28.35 GHz, 37–40 GHz and 64–71 GHz</w:t>
      </w:r>
    </w:p>
    <w:p w:rsidR="00BF0DA8" w:rsidRPr="00C8625F" w:rsidRDefault="008C3833" w:rsidP="00DB4EFB">
      <w:pPr>
        <w:pStyle w:val="ListBullet2"/>
      </w:pPr>
      <w:r>
        <w:t>a</w:t>
      </w:r>
      <w:r w:rsidR="00BF0DA8" w:rsidRPr="00C8625F">
        <w:t>dditional bands being considered internationally for 5G</w:t>
      </w:r>
      <w:r w:rsidR="00BF0DA8" w:rsidRPr="00C8625F">
        <w:rPr>
          <w:vertAlign w:val="superscript"/>
        </w:rPr>
        <w:footnoteReference w:id="3"/>
      </w:r>
      <w:r w:rsidR="00BF0DA8" w:rsidRPr="00C8625F">
        <w:rPr>
          <w:vertAlign w:val="superscript"/>
        </w:rPr>
        <w:t>:</w:t>
      </w:r>
      <w:r w:rsidR="00BF0DA8" w:rsidRPr="00C8625F">
        <w:t>:</w:t>
      </w:r>
    </w:p>
    <w:p w:rsidR="00BF0DA8" w:rsidRPr="00DB4EFB" w:rsidRDefault="00BF0DA8" w:rsidP="00DB4EFB">
      <w:pPr>
        <w:pStyle w:val="ListBullet2"/>
        <w:tabs>
          <w:tab w:val="clear" w:pos="845"/>
          <w:tab w:val="num" w:pos="1418"/>
        </w:tabs>
        <w:ind w:left="1418"/>
        <w:rPr>
          <w:bCs/>
        </w:rPr>
      </w:pPr>
      <w:r w:rsidRPr="00DB4EFB">
        <w:rPr>
          <w:b/>
        </w:rPr>
        <w:t>US</w:t>
      </w:r>
      <w:r w:rsidRPr="00DB4EFB">
        <w:rPr>
          <w:bCs/>
        </w:rPr>
        <w:t xml:space="preserve">: 24.25–24.45 GHz, 24.75–25.25 GHz, 31.8–33.4 GHz, 42–42.5 GHz, 47.2–50.2 GHz, 50.4–52.6 GHz, 71–76 GHz, 81–86 GHz </w:t>
      </w:r>
      <w:r w:rsidRPr="008C3833">
        <w:rPr>
          <w:bCs/>
        </w:rPr>
        <w:t>as well as bands above 95 GHz</w:t>
      </w:r>
    </w:p>
    <w:p w:rsidR="00BF0DA8" w:rsidRPr="008C3833" w:rsidRDefault="00BF0DA8" w:rsidP="00DB4EFB">
      <w:pPr>
        <w:pStyle w:val="ListBullet2"/>
        <w:tabs>
          <w:tab w:val="clear" w:pos="845"/>
          <w:tab w:val="num" w:pos="1418"/>
        </w:tabs>
        <w:ind w:left="1418"/>
        <w:rPr>
          <w:bCs/>
        </w:rPr>
      </w:pPr>
      <w:r w:rsidRPr="00DB4EFB">
        <w:rPr>
          <w:b/>
          <w:bCs/>
        </w:rPr>
        <w:t>Korea</w:t>
      </w:r>
      <w:r w:rsidRPr="00DB4EFB">
        <w:rPr>
          <w:bCs/>
        </w:rPr>
        <w:t>: 24.25–29.5GHz, 31.8–33.4 GHz and 37–40.5 GHz</w:t>
      </w:r>
    </w:p>
    <w:p w:rsidR="00315C55" w:rsidRPr="008C3833" w:rsidRDefault="00315C55" w:rsidP="00DB4EFB">
      <w:pPr>
        <w:pStyle w:val="ListBullet2"/>
        <w:tabs>
          <w:tab w:val="clear" w:pos="845"/>
          <w:tab w:val="num" w:pos="1418"/>
        </w:tabs>
        <w:ind w:left="1418"/>
        <w:rPr>
          <w:bCs/>
          <w:u w:val="single"/>
        </w:rPr>
      </w:pPr>
      <w:r w:rsidRPr="00DB4EFB">
        <w:rPr>
          <w:b/>
          <w:bCs/>
        </w:rPr>
        <w:t>Japan</w:t>
      </w:r>
      <w:r w:rsidR="007A0425" w:rsidRPr="00DB4EFB">
        <w:rPr>
          <w:bCs/>
          <w:vertAlign w:val="superscript"/>
        </w:rPr>
        <w:fldChar w:fldCharType="begin"/>
      </w:r>
      <w:r w:rsidR="007A0425" w:rsidRPr="00DB4EFB">
        <w:rPr>
          <w:bCs/>
          <w:vertAlign w:val="superscript"/>
        </w:rPr>
        <w:instrText xml:space="preserve"> NOTEREF _Ref492544977 \h  \* MERGEFORMAT </w:instrText>
      </w:r>
      <w:r w:rsidR="007A0425" w:rsidRPr="00DB4EFB">
        <w:rPr>
          <w:bCs/>
          <w:vertAlign w:val="superscript"/>
        </w:rPr>
      </w:r>
      <w:r w:rsidR="007A0425" w:rsidRPr="00DB4EFB">
        <w:rPr>
          <w:bCs/>
          <w:vertAlign w:val="superscript"/>
        </w:rPr>
        <w:fldChar w:fldCharType="separate"/>
      </w:r>
      <w:r w:rsidR="007A0425" w:rsidRPr="00DB4EFB">
        <w:rPr>
          <w:bCs/>
          <w:vertAlign w:val="superscript"/>
        </w:rPr>
        <w:t>3</w:t>
      </w:r>
      <w:r w:rsidR="007A0425" w:rsidRPr="00DB4EFB">
        <w:rPr>
          <w:bCs/>
          <w:vertAlign w:val="superscript"/>
        </w:rPr>
        <w:fldChar w:fldCharType="end"/>
      </w:r>
      <w:r w:rsidRPr="00DB4EFB">
        <w:rPr>
          <w:bCs/>
        </w:rPr>
        <w:t>:</w:t>
      </w:r>
      <w:r w:rsidRPr="008C3833">
        <w:rPr>
          <w:bCs/>
        </w:rPr>
        <w:t xml:space="preserve"> </w:t>
      </w:r>
      <w:r w:rsidRPr="00DB4EFB">
        <w:rPr>
          <w:bCs/>
        </w:rPr>
        <w:t>26.5</w:t>
      </w:r>
      <w:r w:rsidR="008C3833">
        <w:rPr>
          <w:bCs/>
        </w:rPr>
        <w:t>–</w:t>
      </w:r>
      <w:r w:rsidRPr="00DB4EFB">
        <w:rPr>
          <w:bCs/>
        </w:rPr>
        <w:t>29.5 GHz</w:t>
      </w:r>
    </w:p>
    <w:p w:rsidR="00315C55" w:rsidRPr="008C3833" w:rsidRDefault="00315C55" w:rsidP="00DB4EFB">
      <w:pPr>
        <w:pStyle w:val="ListBullet2"/>
        <w:tabs>
          <w:tab w:val="clear" w:pos="845"/>
          <w:tab w:val="num" w:pos="1418"/>
        </w:tabs>
        <w:ind w:left="1418"/>
        <w:rPr>
          <w:bCs/>
          <w:u w:val="single"/>
        </w:rPr>
      </w:pPr>
      <w:r w:rsidRPr="00DB4EFB">
        <w:rPr>
          <w:b/>
          <w:bCs/>
        </w:rPr>
        <w:t>European Union</w:t>
      </w:r>
      <w:r w:rsidR="007A0425" w:rsidRPr="00DB4EFB">
        <w:rPr>
          <w:bCs/>
          <w:vertAlign w:val="superscript"/>
        </w:rPr>
        <w:fldChar w:fldCharType="begin"/>
      </w:r>
      <w:r w:rsidR="007A0425" w:rsidRPr="00DB4EFB">
        <w:rPr>
          <w:bCs/>
          <w:vertAlign w:val="superscript"/>
        </w:rPr>
        <w:instrText xml:space="preserve"> NOTEREF _Ref492544977 \h  \* MERGEFORMAT </w:instrText>
      </w:r>
      <w:r w:rsidR="007A0425" w:rsidRPr="00DB4EFB">
        <w:rPr>
          <w:bCs/>
          <w:vertAlign w:val="superscript"/>
        </w:rPr>
      </w:r>
      <w:r w:rsidR="007A0425" w:rsidRPr="00DB4EFB">
        <w:rPr>
          <w:bCs/>
          <w:vertAlign w:val="superscript"/>
        </w:rPr>
        <w:fldChar w:fldCharType="separate"/>
      </w:r>
      <w:r w:rsidR="007A0425" w:rsidRPr="00DB4EFB">
        <w:rPr>
          <w:bCs/>
          <w:vertAlign w:val="superscript"/>
        </w:rPr>
        <w:t>3</w:t>
      </w:r>
      <w:r w:rsidR="007A0425" w:rsidRPr="00DB4EFB">
        <w:rPr>
          <w:bCs/>
          <w:vertAlign w:val="superscript"/>
        </w:rPr>
        <w:fldChar w:fldCharType="end"/>
      </w:r>
      <w:r w:rsidRPr="00DB4EFB">
        <w:rPr>
          <w:bCs/>
        </w:rPr>
        <w:t>: 24.25</w:t>
      </w:r>
      <w:r w:rsidR="008C3833">
        <w:rPr>
          <w:bCs/>
        </w:rPr>
        <w:t>–</w:t>
      </w:r>
      <w:r w:rsidRPr="00DB4EFB">
        <w:rPr>
          <w:bCs/>
        </w:rPr>
        <w:t>27.5 GHz and 40.5</w:t>
      </w:r>
      <w:r w:rsidR="008C3833">
        <w:rPr>
          <w:bCs/>
        </w:rPr>
        <w:t>–</w:t>
      </w:r>
      <w:r w:rsidRPr="00DB4EFB">
        <w:rPr>
          <w:bCs/>
        </w:rPr>
        <w:t>43.5 GHz</w:t>
      </w:r>
    </w:p>
    <w:p w:rsidR="00315C55" w:rsidRPr="008C3833" w:rsidRDefault="00B21735" w:rsidP="00DB4EFB">
      <w:pPr>
        <w:pStyle w:val="ListBullet2"/>
        <w:tabs>
          <w:tab w:val="clear" w:pos="845"/>
          <w:tab w:val="num" w:pos="1418"/>
        </w:tabs>
        <w:ind w:left="1418"/>
        <w:rPr>
          <w:bCs/>
          <w:u w:val="single"/>
        </w:rPr>
      </w:pPr>
      <w:r w:rsidRPr="00DB4EFB">
        <w:rPr>
          <w:b/>
          <w:bCs/>
        </w:rPr>
        <w:t>China</w:t>
      </w:r>
      <w:bookmarkStart w:id="1" w:name="_Ref492544977"/>
      <w:r w:rsidR="00E8236C" w:rsidRPr="00DB4EFB">
        <w:rPr>
          <w:rStyle w:val="FootnoteReference"/>
        </w:rPr>
        <w:footnoteReference w:id="4"/>
      </w:r>
      <w:bookmarkEnd w:id="1"/>
      <w:r w:rsidRPr="00DB4EFB">
        <w:rPr>
          <w:bCs/>
        </w:rPr>
        <w:t>:</w:t>
      </w:r>
      <w:r w:rsidRPr="008C3833">
        <w:rPr>
          <w:bCs/>
        </w:rPr>
        <w:t xml:space="preserve"> </w:t>
      </w:r>
      <w:r w:rsidRPr="00DB4EFB">
        <w:rPr>
          <w:bCs/>
        </w:rPr>
        <w:t>24.25</w:t>
      </w:r>
      <w:r w:rsidR="008C3833">
        <w:rPr>
          <w:bCs/>
        </w:rPr>
        <w:t>–</w:t>
      </w:r>
      <w:r w:rsidRPr="00DB4EFB">
        <w:rPr>
          <w:bCs/>
        </w:rPr>
        <w:t>27.5 GHz and 37</w:t>
      </w:r>
      <w:r w:rsidR="008C3833">
        <w:rPr>
          <w:bCs/>
        </w:rPr>
        <w:t>–</w:t>
      </w:r>
      <w:r w:rsidRPr="00DB4EFB">
        <w:rPr>
          <w:bCs/>
        </w:rPr>
        <w:t>43.5 GHz</w:t>
      </w:r>
      <w:r w:rsidR="008C3833" w:rsidRPr="00DB4EFB">
        <w:rPr>
          <w:bCs/>
        </w:rPr>
        <w:t>.</w:t>
      </w:r>
    </w:p>
    <w:p w:rsidR="00C8625F" w:rsidRPr="00C8625F" w:rsidRDefault="00C8625F" w:rsidP="00C8625F">
      <w:pPr>
        <w:spacing w:before="240"/>
        <w:rPr>
          <w:bCs/>
          <w:lang w:val="en"/>
        </w:rPr>
      </w:pPr>
      <w:r w:rsidRPr="00C8625F">
        <w:rPr>
          <w:bCs/>
          <w:lang w:val="en"/>
        </w:rPr>
        <w:t xml:space="preserve">To further progress consideration of the mmWave bands, </w:t>
      </w:r>
      <w:r w:rsidR="00BF0DA8">
        <w:rPr>
          <w:bCs/>
          <w:lang w:val="en"/>
        </w:rPr>
        <w:t>the ACMA hos</w:t>
      </w:r>
      <w:r w:rsidR="00D32D79">
        <w:rPr>
          <w:bCs/>
          <w:lang w:val="en"/>
        </w:rPr>
        <w:t>t</w:t>
      </w:r>
      <w:r w:rsidR="00BF0DA8">
        <w:rPr>
          <w:bCs/>
          <w:lang w:val="en"/>
        </w:rPr>
        <w:t xml:space="preserve">ed a </w:t>
      </w:r>
      <w:r w:rsidRPr="00C8625F">
        <w:rPr>
          <w:bCs/>
          <w:lang w:val="en"/>
        </w:rPr>
        <w:t>spectrum tune-up on the issue, which include</w:t>
      </w:r>
      <w:r w:rsidR="00BF0DA8">
        <w:rPr>
          <w:bCs/>
          <w:lang w:val="en"/>
        </w:rPr>
        <w:t>d</w:t>
      </w:r>
      <w:r w:rsidRPr="00C8625F">
        <w:rPr>
          <w:bCs/>
          <w:lang w:val="en"/>
        </w:rPr>
        <w:t xml:space="preserve"> speakers from both the ACMA and industry. The tune-up provide</w:t>
      </w:r>
      <w:r w:rsidR="00930F96">
        <w:rPr>
          <w:bCs/>
          <w:lang w:val="en"/>
        </w:rPr>
        <w:t>d</w:t>
      </w:r>
      <w:r w:rsidRPr="00C8625F">
        <w:rPr>
          <w:bCs/>
          <w:lang w:val="en"/>
        </w:rPr>
        <w:t xml:space="preserve"> an opportunity for stakeholders to provide further views and feedback on the use of various mmWave bands that are under consideration for possible use by broadband services. </w:t>
      </w:r>
      <w:r w:rsidR="00930F96">
        <w:rPr>
          <w:bCs/>
          <w:lang w:val="en"/>
        </w:rPr>
        <w:t xml:space="preserve">To complement the contributions received during the tune-up, the ACMA is providing </w:t>
      </w:r>
      <w:r w:rsidR="00BF391F">
        <w:rPr>
          <w:bCs/>
          <w:lang w:val="en"/>
        </w:rPr>
        <w:t xml:space="preserve">this </w:t>
      </w:r>
      <w:r w:rsidR="00930F96">
        <w:rPr>
          <w:bCs/>
          <w:lang w:val="en"/>
        </w:rPr>
        <w:t xml:space="preserve">opportunity for formal submissions on the issues raised for discussion at the event. </w:t>
      </w:r>
    </w:p>
    <w:p w:rsidR="00BF391F" w:rsidRDefault="00BF391F" w:rsidP="00DB4EFB">
      <w:pPr>
        <w:pStyle w:val="Heading1"/>
        <w:rPr>
          <w:lang w:val="en"/>
        </w:rPr>
      </w:pPr>
      <w:r>
        <w:rPr>
          <w:lang w:val="en"/>
        </w:rPr>
        <w:lastRenderedPageBreak/>
        <w:t>Proposed next steps</w:t>
      </w:r>
    </w:p>
    <w:p w:rsidR="00BF391F" w:rsidRDefault="00C8625F" w:rsidP="00C8625F">
      <w:pPr>
        <w:spacing w:before="240"/>
        <w:rPr>
          <w:bCs/>
          <w:lang w:val="en"/>
        </w:rPr>
      </w:pPr>
      <w:r w:rsidRPr="00C8625F">
        <w:rPr>
          <w:bCs/>
          <w:lang w:val="en"/>
        </w:rPr>
        <w:t xml:space="preserve">Given </w:t>
      </w:r>
      <w:r w:rsidR="002C0CA2">
        <w:rPr>
          <w:bCs/>
          <w:lang w:val="en"/>
        </w:rPr>
        <w:t xml:space="preserve">the </w:t>
      </w:r>
      <w:r w:rsidRPr="00C8625F">
        <w:rPr>
          <w:bCs/>
          <w:lang w:val="en"/>
        </w:rPr>
        <w:t xml:space="preserve">increasing interest both domestically and internationally, coupled with limited incumbency issues, </w:t>
      </w:r>
      <w:r w:rsidR="00BF0DA8">
        <w:rPr>
          <w:bCs/>
          <w:lang w:val="en"/>
        </w:rPr>
        <w:t>the ACMA has proposed to use the spectrum tune-up, along with this consultation process,</w:t>
      </w:r>
      <w:r w:rsidRPr="00C8625F">
        <w:rPr>
          <w:bCs/>
          <w:lang w:val="en"/>
        </w:rPr>
        <w:t xml:space="preserve"> to assist in streamlining the early consideration of </w:t>
      </w:r>
      <w:r w:rsidR="00930F96">
        <w:rPr>
          <w:bCs/>
          <w:lang w:val="en"/>
        </w:rPr>
        <w:t xml:space="preserve">the </w:t>
      </w:r>
      <w:r w:rsidR="00930F96" w:rsidRPr="00C8625F">
        <w:rPr>
          <w:bCs/>
        </w:rPr>
        <w:t>24.25–27.5 GHz</w:t>
      </w:r>
      <w:r w:rsidR="00930F96" w:rsidRPr="00C8625F">
        <w:rPr>
          <w:bCs/>
          <w:lang w:val="en"/>
        </w:rPr>
        <w:t xml:space="preserve"> </w:t>
      </w:r>
      <w:r w:rsidR="00930F96">
        <w:rPr>
          <w:bCs/>
          <w:lang w:val="en"/>
        </w:rPr>
        <w:t>band (the 26 GHz mmWave band) and, if supported by submissions, potentially other mmWave bands</w:t>
      </w:r>
      <w:r w:rsidRPr="00C8625F">
        <w:rPr>
          <w:bCs/>
          <w:lang w:val="en"/>
        </w:rPr>
        <w:t xml:space="preserve">. </w:t>
      </w:r>
    </w:p>
    <w:p w:rsidR="00C8625F" w:rsidRPr="00C8625F" w:rsidRDefault="00C8625F" w:rsidP="00C8625F">
      <w:pPr>
        <w:spacing w:before="240"/>
        <w:rPr>
          <w:bCs/>
          <w:lang w:val="en"/>
        </w:rPr>
      </w:pPr>
      <w:r w:rsidRPr="00C8625F">
        <w:rPr>
          <w:bCs/>
          <w:lang w:val="en"/>
        </w:rPr>
        <w:t xml:space="preserve">Specifically, </w:t>
      </w:r>
      <w:r w:rsidR="00930F96">
        <w:rPr>
          <w:bCs/>
          <w:lang w:val="en"/>
        </w:rPr>
        <w:t xml:space="preserve">the ACMA is proposing to </w:t>
      </w:r>
      <w:r w:rsidRPr="00C8625F">
        <w:rPr>
          <w:bCs/>
          <w:lang w:val="en"/>
        </w:rPr>
        <w:t xml:space="preserve">use feedback obtained from the FYSO during </w:t>
      </w:r>
      <w:r w:rsidR="00BF0DA8">
        <w:rPr>
          <w:bCs/>
          <w:lang w:val="en"/>
        </w:rPr>
        <w:t>the</w:t>
      </w:r>
      <w:r w:rsidR="00930F96">
        <w:rPr>
          <w:bCs/>
          <w:lang w:val="en"/>
        </w:rPr>
        <w:t xml:space="preserve"> tune-up</w:t>
      </w:r>
      <w:r w:rsidR="00BF391F">
        <w:rPr>
          <w:bCs/>
          <w:lang w:val="en"/>
        </w:rPr>
        <w:t>,</w:t>
      </w:r>
      <w:r w:rsidR="00930F96">
        <w:rPr>
          <w:bCs/>
          <w:lang w:val="en"/>
        </w:rPr>
        <w:t xml:space="preserve"> and this consultation process</w:t>
      </w:r>
      <w:r w:rsidR="00BF391F">
        <w:rPr>
          <w:bCs/>
          <w:lang w:val="en"/>
        </w:rPr>
        <w:t>,</w:t>
      </w:r>
      <w:r w:rsidR="00930F96">
        <w:rPr>
          <w:bCs/>
          <w:lang w:val="en"/>
        </w:rPr>
        <w:t xml:space="preserve"> </w:t>
      </w:r>
      <w:r w:rsidRPr="00C8625F">
        <w:rPr>
          <w:bCs/>
          <w:lang w:val="en"/>
        </w:rPr>
        <w:t xml:space="preserve">as part of our initial investigation of </w:t>
      </w:r>
      <w:r w:rsidR="00930F96">
        <w:rPr>
          <w:bCs/>
          <w:lang w:val="en"/>
        </w:rPr>
        <w:t xml:space="preserve">the </w:t>
      </w:r>
      <w:r w:rsidR="00BF391F">
        <w:rPr>
          <w:bCs/>
          <w:lang w:val="en"/>
        </w:rPr>
        <w:t>26 </w:t>
      </w:r>
      <w:r w:rsidR="00930F96">
        <w:rPr>
          <w:bCs/>
          <w:lang w:val="en"/>
        </w:rPr>
        <w:t>GHz mmWave band</w:t>
      </w:r>
      <w:r w:rsidR="00BF391F">
        <w:rPr>
          <w:bCs/>
          <w:lang w:val="en"/>
        </w:rPr>
        <w:t>,</w:t>
      </w:r>
      <w:r w:rsidR="00930F96">
        <w:rPr>
          <w:bCs/>
          <w:lang w:val="en"/>
        </w:rPr>
        <w:t xml:space="preserve"> and if appropriate, other mmWave bands. This will </w:t>
      </w:r>
      <w:r w:rsidRPr="00C8625F">
        <w:rPr>
          <w:bCs/>
          <w:lang w:val="en"/>
        </w:rPr>
        <w:t xml:space="preserve">inform a decision on whether to progress consideration of one or more mmWave bands to the </w:t>
      </w:r>
      <w:r w:rsidRPr="00DB4EFB">
        <w:rPr>
          <w:bCs/>
          <w:i/>
          <w:lang w:val="en"/>
        </w:rPr>
        <w:t>preliminary re-planning</w:t>
      </w:r>
      <w:r w:rsidRPr="00C8625F">
        <w:rPr>
          <w:bCs/>
          <w:lang w:val="en"/>
        </w:rPr>
        <w:t xml:space="preserve"> phase of the ACMA’s </w:t>
      </w:r>
      <w:hyperlink r:id="rId23" w:history="1">
        <w:r w:rsidRPr="00C8625F">
          <w:rPr>
            <w:rStyle w:val="Hyperlink"/>
            <w:bCs/>
            <w:lang w:val="en"/>
          </w:rPr>
          <w:t>mobile broadband strategy</w:t>
        </w:r>
      </w:hyperlink>
      <w:r w:rsidRPr="00C8625F">
        <w:rPr>
          <w:bCs/>
          <w:lang w:val="en"/>
        </w:rPr>
        <w:t xml:space="preserve">. </w:t>
      </w:r>
    </w:p>
    <w:p w:rsidR="00B47C43" w:rsidRPr="00B47C43" w:rsidRDefault="00C8625F" w:rsidP="00B47C43">
      <w:pPr>
        <w:spacing w:before="240"/>
        <w:rPr>
          <w:bCs/>
        </w:rPr>
      </w:pPr>
      <w:r w:rsidRPr="00C8625F">
        <w:rPr>
          <w:bCs/>
          <w:lang w:val="en"/>
        </w:rPr>
        <w:t>If a decision is made to progress one or more mmWave bands to this next phase, the ACMA will then work towards developing a consultation paper discussing possible options for the bands identified.</w:t>
      </w:r>
      <w:r w:rsidR="002B477A">
        <w:rPr>
          <w:bCs/>
          <w:lang w:val="en"/>
        </w:rPr>
        <w:t xml:space="preserve"> </w:t>
      </w:r>
      <w:r w:rsidR="00BF391F">
        <w:rPr>
          <w:bCs/>
        </w:rPr>
        <w:t xml:space="preserve">For </w:t>
      </w:r>
      <w:r w:rsidR="00930F96">
        <w:rPr>
          <w:bCs/>
        </w:rPr>
        <w:t>the 26 GHz mmWave band, u</w:t>
      </w:r>
      <w:r w:rsidR="00B47C43" w:rsidRPr="00B47C43">
        <w:rPr>
          <w:bCs/>
        </w:rPr>
        <w:t xml:space="preserve">nless there are significant reasons raised to the contrary, </w:t>
      </w:r>
      <w:r w:rsidR="00930F96">
        <w:rPr>
          <w:bCs/>
        </w:rPr>
        <w:t>the ACMA</w:t>
      </w:r>
      <w:r w:rsidR="00B47C43" w:rsidRPr="00B47C43">
        <w:rPr>
          <w:bCs/>
        </w:rPr>
        <w:t xml:space="preserve"> will use the information garnered from this process and develop an </w:t>
      </w:r>
      <w:r w:rsidR="00BF391F">
        <w:rPr>
          <w:bCs/>
        </w:rPr>
        <w:t>o</w:t>
      </w:r>
      <w:r w:rsidR="00B47C43" w:rsidRPr="00B47C43">
        <w:rPr>
          <w:bCs/>
        </w:rPr>
        <w:t xml:space="preserve">ptions paper for release in the first quarter of 2018. </w:t>
      </w:r>
    </w:p>
    <w:p w:rsidR="0052285A" w:rsidRPr="00A67371" w:rsidRDefault="0052285A" w:rsidP="0052285A">
      <w:pPr>
        <w:pStyle w:val="Heading1"/>
      </w:pPr>
      <w:bookmarkStart w:id="2" w:name="_Toc482886570"/>
      <w:bookmarkStart w:id="3" w:name="_Toc482886609"/>
      <w:bookmarkStart w:id="4" w:name="_Toc482888950"/>
      <w:bookmarkStart w:id="5" w:name="_Toc482891221"/>
      <w:bookmarkStart w:id="6" w:name="_Toc482891288"/>
      <w:bookmarkStart w:id="7" w:name="_Toc482956499"/>
      <w:bookmarkStart w:id="8" w:name="_Toc484011471"/>
      <w:bookmarkStart w:id="9" w:name="_Toc484511687"/>
      <w:bookmarkStart w:id="10" w:name="_Toc492455670"/>
      <w:r>
        <w:lastRenderedPageBreak/>
        <w:t>Issues for comment</w:t>
      </w:r>
      <w:bookmarkEnd w:id="2"/>
      <w:bookmarkEnd w:id="3"/>
      <w:bookmarkEnd w:id="4"/>
      <w:bookmarkEnd w:id="5"/>
      <w:bookmarkEnd w:id="6"/>
      <w:bookmarkEnd w:id="7"/>
      <w:bookmarkEnd w:id="8"/>
      <w:bookmarkEnd w:id="9"/>
      <w:bookmarkEnd w:id="10"/>
    </w:p>
    <w:p w:rsidR="0052285A" w:rsidRDefault="00BF0DA8" w:rsidP="00BF0DA8">
      <w:r w:rsidRPr="00A67371">
        <w:t xml:space="preserve">The ACMA invites comments on the </w:t>
      </w:r>
      <w:r>
        <w:t xml:space="preserve">questions for comment listed below </w:t>
      </w:r>
      <w:r w:rsidRPr="00A67371">
        <w:t xml:space="preserve">or any other relevant issues. </w:t>
      </w:r>
      <w:r w:rsidR="0052285A" w:rsidRPr="00A67371">
        <w:t xml:space="preserve">Details on making a submission can be found </w:t>
      </w:r>
      <w:r w:rsidR="000841B3">
        <w:t>in the</w:t>
      </w:r>
      <w:r w:rsidR="0052285A" w:rsidRPr="00A67371">
        <w:t xml:space="preserve"> </w:t>
      </w:r>
      <w:r w:rsidR="0052285A" w:rsidRPr="00A67371">
        <w:rPr>
          <w:i/>
        </w:rPr>
        <w:t xml:space="preserve">Invitation to comment </w:t>
      </w:r>
      <w:r w:rsidR="0052285A" w:rsidRPr="00A67371">
        <w:t>section</w:t>
      </w:r>
      <w:r w:rsidR="0052285A" w:rsidRPr="00A67371">
        <w:rPr>
          <w:i/>
        </w:rPr>
        <w:t xml:space="preserve"> </w:t>
      </w:r>
      <w:r w:rsidR="0052285A" w:rsidRPr="00A67371">
        <w:t>at the end of this document</w:t>
      </w:r>
      <w:r w:rsidR="0052285A" w:rsidRPr="00A67371">
        <w:rPr>
          <w:i/>
        </w:rPr>
        <w:t>.</w:t>
      </w:r>
    </w:p>
    <w:p w:rsidR="00B47C43" w:rsidRDefault="00B47C43" w:rsidP="00B47C43">
      <w:pPr>
        <w:pStyle w:val="ListNumber"/>
      </w:pPr>
      <w:r>
        <w:t xml:space="preserve">What disposition should the ACMA adopt in progressing possible 5G mmWave bands? </w:t>
      </w:r>
      <w:r w:rsidR="00BF391F">
        <w:t>I</w:t>
      </w:r>
      <w:r>
        <w:t xml:space="preserve">s a traditional approach appropriate, where Australia would wait until there were clear signs of a harmonised, widespread ecosystem developing in a band before it was seriously considered domestically? Or should a more proactive approach be adopted that would potentially make bands </w:t>
      </w:r>
      <w:r w:rsidR="00BF391F">
        <w:t xml:space="preserve">available </w:t>
      </w:r>
      <w:r>
        <w:t xml:space="preserve">very early in a more speculative manner? What are the benefits and risks to each approach? </w:t>
      </w:r>
    </w:p>
    <w:p w:rsidR="00B47C43" w:rsidRDefault="00B47C43" w:rsidP="00B47C43">
      <w:pPr>
        <w:pStyle w:val="ListNumber"/>
      </w:pPr>
      <w:r>
        <w:t xml:space="preserve">When, or under what circumstances, would it be appropriate for potential </w:t>
      </w:r>
      <w:r w:rsidR="00BF391F">
        <w:t>5G </w:t>
      </w:r>
      <w:r>
        <w:t xml:space="preserve">mmWave bands to progress beyond </w:t>
      </w:r>
      <w:r w:rsidRPr="00DB4EFB">
        <w:rPr>
          <w:i/>
        </w:rPr>
        <w:t>monitoring</w:t>
      </w:r>
      <w:r>
        <w:t xml:space="preserve"> in the ACMA’s mobile broadband work program?  </w:t>
      </w:r>
    </w:p>
    <w:p w:rsidR="00B47C43" w:rsidRDefault="00B47C43" w:rsidP="00B47C43">
      <w:pPr>
        <w:pStyle w:val="ListNumber"/>
      </w:pPr>
      <w:r>
        <w:t xml:space="preserve">What bands are the most mature in terms of possible early moves on </w:t>
      </w:r>
      <w:r w:rsidR="00BF391F">
        <w:t>5G </w:t>
      </w:r>
      <w:r>
        <w:t xml:space="preserve">mmWave bands? </w:t>
      </w:r>
    </w:p>
    <w:p w:rsidR="00B47C43" w:rsidRDefault="00B47C43" w:rsidP="00B47C43">
      <w:pPr>
        <w:pStyle w:val="ListNumber"/>
      </w:pPr>
      <w:r>
        <w:t>What is the relative priority of investigation of mmWave bands versus other potential mobile broadband bands below 6 GHz?</w:t>
      </w:r>
    </w:p>
    <w:p w:rsidR="00B47C43" w:rsidRDefault="00B47C43" w:rsidP="00B47C43">
      <w:pPr>
        <w:pStyle w:val="ListNumber"/>
      </w:pPr>
      <w:r>
        <w:t xml:space="preserve">Are there any specific regulatory changes that </w:t>
      </w:r>
      <w:r w:rsidR="00BF391F">
        <w:t>would</w:t>
      </w:r>
      <w:r>
        <w:t xml:space="preserve"> be required to facilitate and support satellite services in the context of 5G? </w:t>
      </w:r>
    </w:p>
    <w:p w:rsidR="00B47C43" w:rsidRDefault="00B47C43" w:rsidP="00B47C43">
      <w:pPr>
        <w:pStyle w:val="ListNumber"/>
      </w:pPr>
      <w:r>
        <w:t xml:space="preserve">Should the 26 GHz band be accelerated through the </w:t>
      </w:r>
      <w:r w:rsidRPr="00DB4EFB">
        <w:rPr>
          <w:i/>
        </w:rPr>
        <w:t>initial investigation</w:t>
      </w:r>
      <w:r>
        <w:t xml:space="preserve"> stage to the </w:t>
      </w:r>
      <w:r w:rsidRPr="00DB4EFB">
        <w:rPr>
          <w:i/>
        </w:rPr>
        <w:t>preliminary re-planning</w:t>
      </w:r>
      <w:r>
        <w:t xml:space="preserve"> stage in the ACMA’s process for consideration of additional spectrum for MBB services? Why/Why not?</w:t>
      </w:r>
    </w:p>
    <w:p w:rsidR="00B47C43" w:rsidRDefault="00B47C43" w:rsidP="00B47C43">
      <w:pPr>
        <w:pStyle w:val="ListNumber"/>
      </w:pPr>
      <w:r>
        <w:t>Are there specific issues that may affect the timeframe in which the 26 GHz band could be made available for broadband services?</w:t>
      </w:r>
    </w:p>
    <w:p w:rsidR="00B47C43" w:rsidRDefault="00B47C43" w:rsidP="00B47C43">
      <w:pPr>
        <w:pStyle w:val="ListNumber"/>
      </w:pPr>
      <w:r>
        <w:t>Should the 24.25</w:t>
      </w:r>
      <w:r w:rsidR="00BF391F">
        <w:t>–</w:t>
      </w:r>
      <w:r>
        <w:t>27 GHz or 24.25</w:t>
      </w:r>
      <w:r w:rsidR="00BF391F">
        <w:t>–</w:t>
      </w:r>
      <w:r>
        <w:t>27.5 GHz be made available initially for broadband services?</w:t>
      </w:r>
    </w:p>
    <w:p w:rsidR="00B47C43" w:rsidRDefault="00B47C43" w:rsidP="00B47C43">
      <w:pPr>
        <w:pStyle w:val="ListNumber"/>
      </w:pPr>
      <w:r>
        <w:t>What licensing approach should be used for broadband in the 26 GHz band?</w:t>
      </w:r>
    </w:p>
    <w:p w:rsidR="00B47C43" w:rsidRDefault="00B47C43" w:rsidP="00B47C43">
      <w:pPr>
        <w:pStyle w:val="ListNumber"/>
      </w:pPr>
      <w:r>
        <w:t>What geographical areas should be made available for broadband in the 26 GHz band?</w:t>
      </w:r>
    </w:p>
    <w:p w:rsidR="00B47C43" w:rsidRDefault="00B47C43" w:rsidP="00B47C43">
      <w:pPr>
        <w:pStyle w:val="ListNumber"/>
      </w:pPr>
      <w:r>
        <w:t xml:space="preserve">Should any other mmWave bands be accelerated through the </w:t>
      </w:r>
      <w:r w:rsidRPr="00DB4EFB">
        <w:rPr>
          <w:i/>
        </w:rPr>
        <w:t>initial investigation</w:t>
      </w:r>
      <w:r>
        <w:t xml:space="preserve"> stage to the </w:t>
      </w:r>
      <w:r w:rsidRPr="00DB4EFB">
        <w:rPr>
          <w:i/>
        </w:rPr>
        <w:t>preliminary re-planning</w:t>
      </w:r>
      <w:r>
        <w:t xml:space="preserve"> stage in the ACMA’s process for consideration of additional spectrum for MBB services? Why/Why not?</w:t>
      </w:r>
    </w:p>
    <w:p w:rsidR="00B47C43" w:rsidRDefault="00B47C43" w:rsidP="00B47C43">
      <w:pPr>
        <w:pStyle w:val="ListNumber"/>
      </w:pPr>
      <w:r>
        <w:t>Are there specific issues that may affect the time</w:t>
      </w:r>
      <w:r w:rsidR="000E41AB">
        <w:t xml:space="preserve"> </w:t>
      </w:r>
      <w:r>
        <w:t>frame in which other mmWave bands could be made available for broadband services?</w:t>
      </w:r>
    </w:p>
    <w:p w:rsidR="00B47C43" w:rsidRDefault="00B47C43" w:rsidP="00B47C43">
      <w:pPr>
        <w:pStyle w:val="ListNumber"/>
      </w:pPr>
      <w:r>
        <w:t>Should part or all of any these bands be considered initially for broadband services?</w:t>
      </w:r>
    </w:p>
    <w:p w:rsidR="00B47C43" w:rsidRDefault="00B47C43" w:rsidP="00B47C43">
      <w:pPr>
        <w:pStyle w:val="ListNumber"/>
      </w:pPr>
      <w:r>
        <w:t>What licensing approach should be used for broadband in other mmWave bands?</w:t>
      </w:r>
    </w:p>
    <w:p w:rsidR="00B47C43" w:rsidRDefault="00B47C43" w:rsidP="00B47C43">
      <w:pPr>
        <w:pStyle w:val="ListNumber"/>
      </w:pPr>
      <w:r>
        <w:t>What geographical areas should be made available for broadband in other mmWave bands?</w:t>
      </w:r>
    </w:p>
    <w:p w:rsidR="0052285A" w:rsidRPr="00A67371" w:rsidRDefault="0052285A" w:rsidP="0052285A">
      <w:pPr>
        <w:pStyle w:val="Heading1"/>
      </w:pPr>
      <w:bookmarkStart w:id="11" w:name="_Toc482886591"/>
      <w:bookmarkStart w:id="12" w:name="_Toc482886633"/>
      <w:bookmarkStart w:id="13" w:name="_Toc482888974"/>
      <w:bookmarkStart w:id="14" w:name="_Toc482891245"/>
      <w:bookmarkStart w:id="15" w:name="_Toc482891312"/>
      <w:bookmarkStart w:id="16" w:name="_Toc482956520"/>
      <w:bookmarkStart w:id="17" w:name="_Toc484011493"/>
      <w:bookmarkStart w:id="18" w:name="_Toc484511709"/>
      <w:bookmarkStart w:id="19" w:name="_Toc492455671"/>
      <w:r w:rsidRPr="00A67371">
        <w:lastRenderedPageBreak/>
        <w:t>Invitation to comment</w:t>
      </w:r>
      <w:bookmarkEnd w:id="11"/>
      <w:bookmarkEnd w:id="12"/>
      <w:bookmarkEnd w:id="13"/>
      <w:bookmarkEnd w:id="14"/>
      <w:bookmarkEnd w:id="15"/>
      <w:bookmarkEnd w:id="16"/>
      <w:bookmarkEnd w:id="17"/>
      <w:bookmarkEnd w:id="18"/>
      <w:bookmarkEnd w:id="19"/>
    </w:p>
    <w:p w:rsidR="0052285A" w:rsidRPr="00A67371" w:rsidRDefault="0052285A" w:rsidP="006A7F44">
      <w:bookmarkStart w:id="20" w:name="_Toc298924673"/>
      <w:bookmarkStart w:id="21" w:name="_Toc300909556"/>
      <w:bookmarkStart w:id="22" w:name="_Toc348105637"/>
      <w:bookmarkStart w:id="23" w:name="_Toc433122131"/>
      <w:bookmarkStart w:id="24" w:name="_Toc300909557"/>
      <w:bookmarkStart w:id="25" w:name="_Toc348105638"/>
      <w:bookmarkStart w:id="26" w:name="_Toc274296357"/>
      <w:bookmarkStart w:id="27" w:name="_Toc298924674"/>
      <w:r w:rsidRPr="00A67371">
        <w:t xml:space="preserve">The ACMA invites comments on the </w:t>
      </w:r>
      <w:r w:rsidR="00B47C43">
        <w:t xml:space="preserve">questions for comment </w:t>
      </w:r>
      <w:r w:rsidRPr="00A67371">
        <w:t xml:space="preserve">set out in this </w:t>
      </w:r>
      <w:r w:rsidR="00B47C43">
        <w:t>document</w:t>
      </w:r>
      <w:r w:rsidRPr="00A67371">
        <w:t xml:space="preserve"> or any other relevant issues. </w:t>
      </w:r>
    </w:p>
    <w:p w:rsidR="0052285A" w:rsidRPr="00A67371" w:rsidRDefault="0052285A" w:rsidP="0052285A">
      <w:pPr>
        <w:spacing w:after="80"/>
        <w:rPr>
          <w:b/>
          <w:sz w:val="28"/>
          <w:szCs w:val="28"/>
        </w:rPr>
      </w:pPr>
      <w:r w:rsidRPr="00A67371">
        <w:rPr>
          <w:b/>
          <w:sz w:val="28"/>
          <w:szCs w:val="28"/>
        </w:rPr>
        <w:t>Making a submission</w:t>
      </w:r>
    </w:p>
    <w:bookmarkEnd w:id="20"/>
    <w:bookmarkEnd w:id="21"/>
    <w:bookmarkEnd w:id="22"/>
    <w:bookmarkEnd w:id="23"/>
    <w:p w:rsidR="0052285A" w:rsidRPr="00A67371" w:rsidRDefault="0052285A" w:rsidP="0052285A">
      <w:pPr>
        <w:pStyle w:val="ListBullet"/>
      </w:pPr>
      <w:r w:rsidRPr="00A67371">
        <w:fldChar w:fldCharType="begin"/>
      </w:r>
      <w:r w:rsidRPr="00A67371">
        <w:instrText xml:space="preserve"> HYPERLINK "http://www.acma.gov.au/theACMA/Consultations/Consultations" </w:instrText>
      </w:r>
      <w:r w:rsidRPr="00A67371">
        <w:fldChar w:fldCharType="separate"/>
      </w:r>
      <w:r w:rsidRPr="00A67371">
        <w:rPr>
          <w:rStyle w:val="Hyperlink"/>
          <w:b/>
          <w:bCs/>
        </w:rPr>
        <w:t>Online submissions</w:t>
      </w:r>
      <w:r w:rsidRPr="00A67371">
        <w:rPr>
          <w:rStyle w:val="Hyperlink"/>
          <w:b/>
          <w:bCs/>
        </w:rPr>
        <w:fldChar w:fldCharType="end"/>
      </w:r>
      <w:r w:rsidRPr="00A67371">
        <w:t>—submissions can be made via the comment function or by uploading a document. The online consultation page provides details.</w:t>
      </w:r>
    </w:p>
    <w:p w:rsidR="0052285A" w:rsidRPr="00A67371" w:rsidRDefault="0052285A" w:rsidP="0052285A">
      <w:pPr>
        <w:pStyle w:val="ListBullet"/>
      </w:pPr>
      <w:r w:rsidRPr="00A67371">
        <w:rPr>
          <w:b/>
        </w:rPr>
        <w:t>Submissions by post</w:t>
      </w:r>
      <w:r w:rsidRPr="00A67371">
        <w:t xml:space="preserve">—can be sent to: </w:t>
      </w:r>
    </w:p>
    <w:p w:rsidR="0052285A" w:rsidRPr="00A67371" w:rsidRDefault="0052285A" w:rsidP="0052285A">
      <w:pPr>
        <w:pStyle w:val="ACMANormalTabbed"/>
        <w:spacing w:after="0"/>
        <w:ind w:left="295"/>
      </w:pPr>
      <w:r w:rsidRPr="00A67371">
        <w:t>The Manager, Spectrum Planning Section</w:t>
      </w:r>
    </w:p>
    <w:p w:rsidR="0052285A" w:rsidRPr="00A67371" w:rsidRDefault="0052285A" w:rsidP="0052285A">
      <w:pPr>
        <w:pStyle w:val="ACMANormalTabbed"/>
        <w:spacing w:after="0"/>
        <w:ind w:left="295"/>
      </w:pPr>
      <w:r w:rsidRPr="00A67371">
        <w:t>Spectrum Planning and Engineering Branch</w:t>
      </w:r>
    </w:p>
    <w:p w:rsidR="0052285A" w:rsidRPr="00A67371" w:rsidRDefault="0052285A" w:rsidP="0052285A">
      <w:pPr>
        <w:pStyle w:val="ACMANormalTabbed"/>
        <w:spacing w:after="0"/>
        <w:ind w:left="295"/>
      </w:pPr>
      <w:r w:rsidRPr="00A67371">
        <w:t>Communications Infrastructure Division</w:t>
      </w:r>
    </w:p>
    <w:p w:rsidR="0052285A" w:rsidRPr="00A67371" w:rsidRDefault="0052285A" w:rsidP="0052285A">
      <w:pPr>
        <w:pStyle w:val="ACMANormalTabbed"/>
        <w:ind w:left="295"/>
      </w:pPr>
      <w:r w:rsidRPr="00A67371">
        <w:t>PO Box 78, Belconnen, ACT 2616</w:t>
      </w:r>
    </w:p>
    <w:p w:rsidR="0052285A" w:rsidRPr="00A67371" w:rsidRDefault="0052285A" w:rsidP="0052285A">
      <w:pPr>
        <w:rPr>
          <w:rStyle w:val="Strong"/>
        </w:rPr>
      </w:pPr>
      <w:r w:rsidRPr="00A67371">
        <w:rPr>
          <w:rStyle w:val="Strong"/>
        </w:rPr>
        <w:t xml:space="preserve">The closing date for submissions is COB, </w:t>
      </w:r>
      <w:r w:rsidR="008D78CD">
        <w:rPr>
          <w:rStyle w:val="Strong"/>
        </w:rPr>
        <w:t xml:space="preserve">Friday </w:t>
      </w:r>
      <w:r w:rsidR="00B47C43">
        <w:rPr>
          <w:rStyle w:val="Strong"/>
        </w:rPr>
        <w:t>13 October</w:t>
      </w:r>
      <w:r w:rsidRPr="00005563">
        <w:rPr>
          <w:b/>
        </w:rPr>
        <w:t xml:space="preserve"> 2017</w:t>
      </w:r>
      <w:r w:rsidRPr="00005563">
        <w:t>.</w:t>
      </w:r>
    </w:p>
    <w:p w:rsidR="0052285A" w:rsidRPr="00A67371" w:rsidRDefault="0052285A" w:rsidP="0052285A">
      <w:r w:rsidRPr="00A67371">
        <w:t xml:space="preserve">Electronic submissions in Microsoft Word or Rich Text Format are preferred. </w:t>
      </w:r>
    </w:p>
    <w:p w:rsidR="0052285A" w:rsidRPr="00A67371" w:rsidRDefault="0052285A" w:rsidP="0052285A">
      <w:pPr>
        <w:pStyle w:val="BodySubHeader"/>
      </w:pPr>
      <w:r w:rsidRPr="00A67371">
        <w:t>Enquiries</w:t>
      </w:r>
    </w:p>
    <w:p w:rsidR="0052285A" w:rsidRPr="00A67371" w:rsidRDefault="0052285A" w:rsidP="0052285A">
      <w:pPr>
        <w:pStyle w:val="ListBulletLast"/>
      </w:pPr>
      <w:r w:rsidRPr="00A67371">
        <w:t xml:space="preserve">Media enquiries can be directed to Emma Rossi on 02 9334 7719 or by email to </w:t>
      </w:r>
      <w:hyperlink r:id="rId24" w:history="1">
        <w:r w:rsidRPr="00A67371">
          <w:rPr>
            <w:rStyle w:val="Hyperlink"/>
          </w:rPr>
          <w:t>media@acma.gov.au</w:t>
        </w:r>
      </w:hyperlink>
      <w:r w:rsidRPr="00A67371">
        <w:t xml:space="preserve">. </w:t>
      </w:r>
    </w:p>
    <w:p w:rsidR="0052285A" w:rsidRPr="00A67371" w:rsidRDefault="0052285A" w:rsidP="0052285A">
      <w:pPr>
        <w:pStyle w:val="BodySubHeader"/>
      </w:pPr>
      <w:r w:rsidRPr="00A67371">
        <w:t>Effective consultation</w:t>
      </w:r>
      <w:bookmarkEnd w:id="24"/>
      <w:bookmarkEnd w:id="25"/>
      <w:r w:rsidRPr="00A67371">
        <w:t xml:space="preserve"> </w:t>
      </w:r>
    </w:p>
    <w:p w:rsidR="0052285A" w:rsidRPr="00A67371" w:rsidRDefault="0052285A" w:rsidP="0052285A">
      <w:r w:rsidRPr="00A67371">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w:t>
      </w:r>
      <w:hyperlink r:id="rId25" w:history="1">
        <w:r w:rsidRPr="00A67371">
          <w:rPr>
            <w:rStyle w:val="Hyperlink"/>
            <w:i/>
          </w:rPr>
          <w:t>Effective consultation—a guide to making a submission</w:t>
        </w:r>
      </w:hyperlink>
      <w:r w:rsidRPr="00A67371">
        <w:t>. This guide provides information about the ACMA’s formal written public consultation processes and practical guidance on how to make a submission.</w:t>
      </w:r>
    </w:p>
    <w:p w:rsidR="0052285A" w:rsidRPr="00A67371" w:rsidRDefault="0052285A" w:rsidP="0052285A">
      <w:pPr>
        <w:pStyle w:val="BodySubHeader"/>
        <w:keepNext/>
      </w:pPr>
      <w:bookmarkStart w:id="28" w:name="_Toc300909558"/>
      <w:bookmarkStart w:id="29" w:name="_Toc348105639"/>
      <w:r w:rsidRPr="00A67371">
        <w:t>Publication of submissions</w:t>
      </w:r>
      <w:bookmarkEnd w:id="26"/>
      <w:bookmarkEnd w:id="27"/>
      <w:bookmarkEnd w:id="28"/>
      <w:bookmarkEnd w:id="29"/>
    </w:p>
    <w:p w:rsidR="0052285A" w:rsidRPr="00A67371" w:rsidRDefault="0052285A" w:rsidP="0052285A">
      <w:r w:rsidRPr="00A67371">
        <w:t>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w:t>
      </w:r>
    </w:p>
    <w:p w:rsidR="0052285A" w:rsidRPr="00A67371" w:rsidRDefault="0052285A" w:rsidP="0052285A">
      <w:r w:rsidRPr="00A67371">
        <w:t xml:space="preserve">The ACMA will consider each confidentiality claim on a case-by-case basis. If the ACMA accepts a claim, it will not publish the confidential information unless authorised or required by law to do so. </w:t>
      </w:r>
    </w:p>
    <w:p w:rsidR="0052285A" w:rsidRPr="00A67371" w:rsidRDefault="0052285A" w:rsidP="0052285A">
      <w:pPr>
        <w:pStyle w:val="BodySubHeader"/>
      </w:pPr>
      <w:bookmarkStart w:id="30" w:name="_Toc265246234"/>
      <w:bookmarkStart w:id="31" w:name="_Toc300909559"/>
      <w:bookmarkStart w:id="32" w:name="_Toc348105640"/>
      <w:r w:rsidRPr="00A67371">
        <w:t>Release of submissions where authorised or required by law</w:t>
      </w:r>
      <w:bookmarkEnd w:id="30"/>
      <w:bookmarkEnd w:id="31"/>
      <w:bookmarkEnd w:id="32"/>
    </w:p>
    <w:p w:rsidR="0052285A" w:rsidRPr="00A67371" w:rsidRDefault="0052285A" w:rsidP="0052285A">
      <w:r w:rsidRPr="00A67371">
        <w:t xml:space="preserve">Any submissions provided to the ACMA may be released under the </w:t>
      </w:r>
      <w:hyperlink r:id="rId26" w:history="1">
        <w:r w:rsidRPr="00A67371">
          <w:rPr>
            <w:rStyle w:val="Hyperlink"/>
            <w:i/>
          </w:rPr>
          <w:t>Freedom of Information Act 1982</w:t>
        </w:r>
      </w:hyperlink>
      <w:r w:rsidRPr="00A67371">
        <w:t xml:space="preserve"> (unless an exemption applies) or shared with various other government agencies and certain other parties under Part 7A of the </w:t>
      </w:r>
      <w:hyperlink r:id="rId27" w:history="1">
        <w:r w:rsidRPr="00A67371">
          <w:rPr>
            <w:rStyle w:val="Hyperlink"/>
            <w:i/>
          </w:rPr>
          <w:t>Australian Communications and Media Authority Act 2005</w:t>
        </w:r>
      </w:hyperlink>
      <w:r w:rsidRPr="00A67371">
        <w:t xml:space="preserve">. The ACMA may also be required to release submissions for other reasons including for the purpose of parliamentary processes or where otherwise required by law (for example, under a court subpoena). While the ACMA seeks to consult submitters of confidential information before that information is provided to another party, the ACMA cannot guarantee that confidential information will not be released through these or other legal means. </w:t>
      </w:r>
    </w:p>
    <w:p w:rsidR="0052285A" w:rsidRPr="00A67371" w:rsidRDefault="0052285A" w:rsidP="0052285A">
      <w:pPr>
        <w:pStyle w:val="BodySubHeader"/>
        <w:keepNext/>
      </w:pPr>
      <w:r w:rsidRPr="00A67371">
        <w:lastRenderedPageBreak/>
        <w:t>Privacy</w:t>
      </w:r>
    </w:p>
    <w:p w:rsidR="0052285A" w:rsidRPr="00A67371" w:rsidRDefault="0052285A" w:rsidP="0052285A">
      <w:pPr>
        <w:keepLines/>
      </w:pPr>
      <w:r w:rsidRPr="00A67371">
        <w:t xml:space="preserve">The </w:t>
      </w:r>
      <w:hyperlink r:id="rId28" w:history="1">
        <w:r w:rsidRPr="00A67371">
          <w:rPr>
            <w:rStyle w:val="Hyperlink"/>
            <w:rFonts w:cs="Arial"/>
            <w:i/>
            <w:szCs w:val="20"/>
          </w:rPr>
          <w:t>Privacy Act 1988</w:t>
        </w:r>
      </w:hyperlink>
      <w:r w:rsidRPr="00A67371">
        <w:t xml:space="preserve"> imposes obligations on the ACMA in relation to the collection, security, quality, access, use and disclosure of personal information. These obligations are detailed in the </w:t>
      </w:r>
      <w:hyperlink r:id="rId29" w:history="1">
        <w:r w:rsidRPr="00A67371">
          <w:rPr>
            <w:rStyle w:val="Hyperlink"/>
            <w:rFonts w:cs="Arial"/>
            <w:i/>
            <w:szCs w:val="20"/>
          </w:rPr>
          <w:t>Australian Privacy Principles</w:t>
        </w:r>
      </w:hyperlink>
      <w:r w:rsidRPr="00A67371">
        <w:t>.</w:t>
      </w:r>
    </w:p>
    <w:p w:rsidR="0052285A" w:rsidRPr="00A67371" w:rsidRDefault="0052285A" w:rsidP="0052285A">
      <w:r w:rsidRPr="00A67371">
        <w:t xml:space="preserve">The ACMA may only collect personal information if it is reasonably necessary for, or directly related to, one or more of its functions or activities. </w:t>
      </w:r>
    </w:p>
    <w:p w:rsidR="0052285A" w:rsidRPr="00A67371" w:rsidRDefault="0052285A" w:rsidP="0052285A">
      <w:pPr>
        <w:spacing w:after="80"/>
      </w:pPr>
      <w:r w:rsidRPr="00A67371">
        <w:t>The purposes for which personal information is being collected (such as the names and contact details of submitters) are to:</w:t>
      </w:r>
    </w:p>
    <w:p w:rsidR="0052285A" w:rsidRPr="00A67371" w:rsidRDefault="0052285A" w:rsidP="006A7F44">
      <w:pPr>
        <w:pStyle w:val="ListBullet"/>
      </w:pPr>
      <w:r w:rsidRPr="00A67371">
        <w:t xml:space="preserve">contribute to the transparency of the consultation process by clarifying, where </w:t>
      </w:r>
      <w:r w:rsidRPr="00C476E5">
        <w:t>appropriate</w:t>
      </w:r>
      <w:r w:rsidRPr="00A67371">
        <w:t xml:space="preserve">, whose views are represented by a submission </w:t>
      </w:r>
    </w:p>
    <w:p w:rsidR="0052285A" w:rsidRPr="00A67371" w:rsidRDefault="0052285A" w:rsidP="006A7F44">
      <w:pPr>
        <w:pStyle w:val="ListBulletLast"/>
      </w:pPr>
      <w:r w:rsidRPr="00A67371">
        <w:t xml:space="preserve">enable the ACMA to contact submitters where follow-up is required or to notify them of </w:t>
      </w:r>
      <w:r w:rsidRPr="00C476E5">
        <w:t>related</w:t>
      </w:r>
      <w:r w:rsidRPr="00A67371">
        <w:t xml:space="preserve"> matters (except where submitters indicate they do not wish to be notified of such matters).</w:t>
      </w:r>
    </w:p>
    <w:p w:rsidR="0052285A" w:rsidRPr="00A67371" w:rsidRDefault="0052285A" w:rsidP="0052285A">
      <w:r w:rsidRPr="00A67371">
        <w:t xml:space="preserve">The ACMA will not use the personal information collected for any other purpose, unless the submitter has provided their consent or the ACMA is otherwise permitted to do so under the Privacy Act. </w:t>
      </w:r>
    </w:p>
    <w:p w:rsidR="0052285A" w:rsidRPr="00A67371" w:rsidRDefault="0052285A" w:rsidP="0052285A">
      <w:r w:rsidRPr="00A67371">
        <w:t xml:space="preserve">Submissions in response to this paper are voluntary. As mentioned above, the ACMA generally publishes all submissions it receives, including any personal information in the submissions. If a submitter has made a confidentiality claim over personal information that the ACMA has accepted, the submission will be published without that information. The ACMA will not release the personal information unless authorised or required by law to do so. </w:t>
      </w:r>
    </w:p>
    <w:p w:rsidR="0052285A" w:rsidRPr="00A67371" w:rsidRDefault="0052285A" w:rsidP="0052285A">
      <w:r w:rsidRPr="00A67371">
        <w:t xml:space="preserve">If a submitter wishes to make a submission anonymously or use a pseudonym, they are asked to contact the ACMA to see whether it is practicable to do so in light of the subject matter of the consultation. If it is practicable, the ACMA will notify the submitter of any procedures that need to be followed and whether there are any other consequences of making a submission in that way. </w:t>
      </w:r>
    </w:p>
    <w:p w:rsidR="0052285A" w:rsidRPr="00A67371" w:rsidRDefault="0052285A" w:rsidP="0052285A">
      <w:r w:rsidRPr="00A67371">
        <w:t xml:space="preserve">Further information on the Privacy Act and the ACMA’s privacy policy is available at </w:t>
      </w:r>
      <w:hyperlink r:id="rId30" w:tooltip="ACMA Privacy Policy" w:history="1">
        <w:r w:rsidRPr="00A67371">
          <w:rPr>
            <w:rStyle w:val="Hyperlink"/>
          </w:rPr>
          <w:t>www.acma.gov.au/privacypolicy</w:t>
        </w:r>
      </w:hyperlink>
      <w:r w:rsidRPr="00A67371">
        <w:t xml:space="preserve">. The privacy policy contains details about how an individual may access personal information about them that is held by the ACMA, and seek the correction of such information. It also explains how an individual may complain about a breach of the Privacy Act and how the ACMA will deal with such a complaint. </w:t>
      </w:r>
    </w:p>
    <w:sectPr w:rsidR="0052285A" w:rsidRPr="00A67371" w:rsidSect="00DB4EFB">
      <w:headerReference w:type="even" r:id="rId31"/>
      <w:headerReference w:type="default" r:id="rId32"/>
      <w:footerReference w:type="even" r:id="rId33"/>
      <w:footerReference w:type="default" r:id="rId3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1B3" w:rsidRDefault="002901B3">
      <w:r>
        <w:separator/>
      </w:r>
    </w:p>
  </w:endnote>
  <w:endnote w:type="continuationSeparator" w:id="0">
    <w:p w:rsidR="002901B3" w:rsidRDefault="002901B3">
      <w:r>
        <w:continuationSeparator/>
      </w:r>
    </w:p>
  </w:endnote>
  <w:endnote w:type="continuationNotice" w:id="1">
    <w:p w:rsidR="002901B3" w:rsidRDefault="00290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宋体">
    <w:altName w:val="Arial Unicode MS"/>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6D" w:rsidRDefault="000F1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Pr="00A5474E" w:rsidRDefault="00236FA5" w:rsidP="00A5474E">
    <w:pPr>
      <w:pStyle w:val="Footer"/>
    </w:pPr>
    <w:r>
      <w:rPr>
        <w:noProof/>
      </w:rPr>
      <w:drawing>
        <wp:inline distT="0" distB="0" distL="0" distR="0" wp14:anchorId="0AD43A70" wp14:editId="0AD29942">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6D" w:rsidRDefault="000F1D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Default="00E92E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Default="00E92E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Pr="00622A3B" w:rsidRDefault="00E92EE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4818B4">
      <w:rPr>
        <w:noProof/>
      </w:rPr>
      <w:t>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rsidR="00E92EE1" w:rsidRPr="00A5474E" w:rsidRDefault="00E92EE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Pr="00622A3B" w:rsidRDefault="00E92EE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4818B4">
      <w:rPr>
        <w:noProof/>
        <w:color w:val="505050"/>
      </w:rPr>
      <w:t>5</w:t>
    </w:r>
    <w:r w:rsidRPr="00575AC5">
      <w:rPr>
        <w:color w:val="505050"/>
      </w:rPr>
      <w:fldChar w:fldCharType="end"/>
    </w:r>
  </w:p>
  <w:p w:rsidR="00E92EE1" w:rsidRPr="00A5474E" w:rsidRDefault="00E92EE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1B3" w:rsidRDefault="002901B3">
      <w:r>
        <w:separator/>
      </w:r>
    </w:p>
  </w:footnote>
  <w:footnote w:type="continuationSeparator" w:id="0">
    <w:p w:rsidR="002901B3" w:rsidRDefault="002901B3">
      <w:r>
        <w:continuationSeparator/>
      </w:r>
    </w:p>
  </w:footnote>
  <w:footnote w:type="continuationNotice" w:id="1">
    <w:p w:rsidR="002901B3" w:rsidRDefault="002901B3">
      <w:pPr>
        <w:spacing w:after="0" w:line="240" w:lineRule="auto"/>
      </w:pPr>
    </w:p>
  </w:footnote>
  <w:footnote w:id="2">
    <w:p w:rsidR="00E92EE1" w:rsidRDefault="00E92EE1" w:rsidP="00BF0DA8">
      <w:pPr>
        <w:pStyle w:val="FootnoteText"/>
        <w:spacing w:after="0"/>
      </w:pPr>
      <w:r>
        <w:rPr>
          <w:rStyle w:val="FootnoteReference"/>
        </w:rPr>
        <w:footnoteRef/>
      </w:r>
      <w:r>
        <w:t xml:space="preserve"> Note: </w:t>
      </w:r>
      <w:r>
        <w:rPr>
          <w:rFonts w:cs="Arial"/>
        </w:rPr>
        <w:t>37.0–40 GHz</w:t>
      </w:r>
      <w:r w:rsidRPr="004470FC">
        <w:rPr>
          <w:rFonts w:cs="Arial"/>
        </w:rPr>
        <w:t xml:space="preserve"> and </w:t>
      </w:r>
      <w:r>
        <w:rPr>
          <w:rFonts w:cs="Arial"/>
        </w:rPr>
        <w:t>66–</w:t>
      </w:r>
      <w:r w:rsidRPr="004470FC">
        <w:rPr>
          <w:rFonts w:cs="Arial"/>
        </w:rPr>
        <w:t>71 GHz</w:t>
      </w:r>
      <w:r>
        <w:rPr>
          <w:rFonts w:cs="Arial"/>
        </w:rPr>
        <w:t xml:space="preserve"> are also being considered under WRC-19 agenda item 1.13</w:t>
      </w:r>
    </w:p>
  </w:footnote>
  <w:footnote w:id="3">
    <w:p w:rsidR="00E92EE1" w:rsidRDefault="00E92EE1" w:rsidP="00BF0DA8">
      <w:pPr>
        <w:pStyle w:val="FootnoteText"/>
        <w:spacing w:after="0"/>
      </w:pPr>
      <w:r>
        <w:rPr>
          <w:rStyle w:val="FootnoteReference"/>
        </w:rPr>
        <w:footnoteRef/>
      </w:r>
      <w:r>
        <w:t xml:space="preserve"> Note: 24.25–27.5 GHz, </w:t>
      </w:r>
      <w:r w:rsidRPr="004470FC">
        <w:rPr>
          <w:rFonts w:cs="Arial"/>
        </w:rPr>
        <w:t>37.0</w:t>
      </w:r>
      <w:r>
        <w:rPr>
          <w:rFonts w:cs="Arial"/>
        </w:rPr>
        <w:t>–</w:t>
      </w:r>
      <w:r w:rsidRPr="004470FC">
        <w:rPr>
          <w:rFonts w:cs="Arial"/>
        </w:rPr>
        <w:t>40.5 GHz, 47.2</w:t>
      </w:r>
      <w:r>
        <w:rPr>
          <w:rFonts w:cs="Arial"/>
        </w:rPr>
        <w:t>–</w:t>
      </w:r>
      <w:r w:rsidRPr="004470FC">
        <w:rPr>
          <w:rFonts w:cs="Arial"/>
        </w:rPr>
        <w:t>50.2 GHz, 50.4</w:t>
      </w:r>
      <w:r>
        <w:rPr>
          <w:rFonts w:cs="Arial"/>
        </w:rPr>
        <w:t>–</w:t>
      </w:r>
      <w:r w:rsidRPr="004470FC">
        <w:rPr>
          <w:rFonts w:cs="Arial"/>
        </w:rPr>
        <w:t xml:space="preserve">52.6 GHz and </w:t>
      </w:r>
      <w:r>
        <w:rPr>
          <w:rFonts w:cs="Arial"/>
        </w:rPr>
        <w:t>66–</w:t>
      </w:r>
      <w:r w:rsidRPr="004470FC">
        <w:rPr>
          <w:rFonts w:cs="Arial"/>
        </w:rPr>
        <w:t>71 GHz</w:t>
      </w:r>
      <w:r>
        <w:rPr>
          <w:rFonts w:cs="Arial"/>
        </w:rPr>
        <w:t xml:space="preserve"> are also being considered under WRC-19 agenda item 1.13.</w:t>
      </w:r>
    </w:p>
  </w:footnote>
  <w:footnote w:id="4">
    <w:p w:rsidR="00E92EE1" w:rsidRDefault="00E92EE1" w:rsidP="00DB4EFB">
      <w:pPr>
        <w:pStyle w:val="FootnoteText"/>
        <w:spacing w:after="0"/>
      </w:pPr>
      <w:r>
        <w:rPr>
          <w:rStyle w:val="FootnoteReference"/>
        </w:rPr>
        <w:footnoteRef/>
      </w:r>
      <w:r>
        <w:t xml:space="preserve"> These observations were not included in the FYSO.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6D" w:rsidRDefault="000F1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Pr="00A5474E" w:rsidRDefault="00E92EE1" w:rsidP="00A5474E">
    <w:pPr>
      <w:pStyle w:val="Header"/>
    </w:pPr>
    <w:r>
      <w:rPr>
        <w:noProof/>
      </w:rPr>
      <w:drawing>
        <wp:inline distT="0" distB="0" distL="0" distR="0" wp14:anchorId="4FCFBE12" wp14:editId="6FBB9872">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6D" w:rsidRDefault="000F1D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Default="00E92E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Default="00E92E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Default="00E92E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E1" w:rsidRDefault="00E92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0A8174"/>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5BC61706"/>
    <w:lvl w:ilvl="0">
      <w:start w:val="1"/>
      <w:numFmt w:val="lowerLetter"/>
      <w:pStyle w:val="ListNumber2"/>
      <w:lvlText w:val="%1."/>
      <w:lvlJc w:val="left"/>
      <w:pPr>
        <w:ind w:left="360" w:hanging="360"/>
      </w:pPr>
      <w:rPr>
        <w:rFonts w:ascii="Arial" w:eastAsia="Times New Roman" w:hAnsi="Arial" w:cs="Times New Roman"/>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C7EA1AB8"/>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60800"/>
    <w:multiLevelType w:val="hybridMultilevel"/>
    <w:tmpl w:val="A138566A"/>
    <w:lvl w:ilvl="0" w:tplc="691CE742">
      <w:start w:val="1"/>
      <w:numFmt w:val="decimal"/>
      <w:lvlText w:val="%1."/>
      <w:lvlJc w:val="left"/>
      <w:pPr>
        <w:ind w:left="644" w:hanging="360"/>
      </w:pPr>
      <w:rPr>
        <w:rFonts w:hint="default"/>
        <w:b/>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2CFC6F8C"/>
    <w:multiLevelType w:val="hybridMultilevel"/>
    <w:tmpl w:val="4F828C6A"/>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CA42079"/>
    <w:multiLevelType w:val="hybridMultilevel"/>
    <w:tmpl w:val="3DBA5754"/>
    <w:lvl w:ilvl="0" w:tplc="44EEC084">
      <w:start w:val="1"/>
      <w:numFmt w:val="bullet"/>
      <w:lvlText w:val="&gt;"/>
      <w:lvlJc w:val="left"/>
      <w:pPr>
        <w:ind w:left="360" w:hanging="360"/>
      </w:pPr>
      <w:rPr>
        <w:rFonts w:ascii="HelveticaNeueLT Std" w:hAnsi="HelveticaNeueLT Std" w:hint="default"/>
      </w:rPr>
    </w:lvl>
    <w:lvl w:ilvl="1" w:tplc="0C090003">
      <w:start w:val="1"/>
      <w:numFmt w:val="bullet"/>
      <w:lvlText w:val="o"/>
      <w:lvlJc w:val="left"/>
      <w:pPr>
        <w:ind w:left="1080" w:hanging="360"/>
      </w:pPr>
      <w:rPr>
        <w:rFonts w:ascii="Courier New" w:hAnsi="Courier New" w:cs="Courier New" w:hint="default"/>
      </w:rPr>
    </w:lvl>
    <w:lvl w:ilvl="2" w:tplc="9FEEF850">
      <w:numFmt w:val="bullet"/>
      <w:lvlText w:val="-"/>
      <w:lvlJc w:val="left"/>
      <w:pPr>
        <w:ind w:left="1800" w:hanging="360"/>
      </w:pPr>
      <w:rPr>
        <w:rFonts w:ascii="Arial" w:eastAsia="Times New Roman" w:hAnsi="Arial" w:cs="Arial" w:hint="default"/>
        <w:b/>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955D1B"/>
    <w:multiLevelType w:val="hybridMultilevel"/>
    <w:tmpl w:val="2250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E4D95"/>
    <w:multiLevelType w:val="hybridMultilevel"/>
    <w:tmpl w:val="0A442AA8"/>
    <w:lvl w:ilvl="0" w:tplc="17CC49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C80564"/>
    <w:multiLevelType w:val="hybridMultilevel"/>
    <w:tmpl w:val="F2F06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5735FC"/>
    <w:multiLevelType w:val="hybridMultilevel"/>
    <w:tmpl w:val="9A5A1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9"/>
  </w:num>
  <w:num w:numId="6">
    <w:abstractNumId w:val="15"/>
  </w:num>
  <w:num w:numId="7">
    <w:abstractNumId w:val="13"/>
  </w:num>
  <w:num w:numId="8">
    <w:abstractNumId w:val="14"/>
  </w:num>
  <w:num w:numId="9">
    <w:abstractNumId w:val="17"/>
  </w:num>
  <w:num w:numId="10">
    <w:abstractNumId w:val="6"/>
  </w:num>
  <w:num w:numId="11">
    <w:abstractNumId w:val="5"/>
  </w:num>
  <w:num w:numId="12">
    <w:abstractNumId w:val="7"/>
  </w:num>
  <w:num w:numId="13">
    <w:abstractNumId w:val="8"/>
  </w:num>
  <w:num w:numId="14">
    <w:abstractNumId w:val="11"/>
  </w:num>
  <w:num w:numId="15">
    <w:abstractNumId w:val="12"/>
  </w:num>
  <w:num w:numId="16">
    <w:abstractNumId w:val="16"/>
  </w:num>
  <w:num w:numId="17">
    <w:abstractNumId w:val="10"/>
  </w:num>
  <w:num w:numId="18">
    <w:abstractNumId w:val="18"/>
  </w:num>
  <w:num w:numId="19">
    <w:abstractNumId w:val="0"/>
  </w:num>
  <w:num w:numId="20">
    <w:abstractNumId w:val="3"/>
    <w:lvlOverride w:ilvl="0">
      <w:startOverride w:val="1"/>
    </w:lvlOverride>
  </w:num>
  <w:num w:numId="21">
    <w:abstractNumId w:val="2"/>
  </w:num>
  <w:num w:numId="22">
    <w:abstractNumId w:val="3"/>
    <w:lvlOverride w:ilvl="0">
      <w:startOverride w:val="1"/>
    </w:lvlOverride>
  </w:num>
  <w:num w:numId="23">
    <w:abstractNumId w:val="15"/>
  </w:num>
  <w:num w:numId="24">
    <w:abstractNumId w:val="4"/>
  </w:num>
  <w:num w:numId="25">
    <w:abstractNumId w:val="15"/>
    <w:lvlOverride w:ilvl="0">
      <w:startOverride w:val="1"/>
    </w:lvlOverride>
  </w:num>
  <w:num w:numId="26">
    <w:abstractNumId w:val="15"/>
    <w:lvlOverride w:ilvl="0">
      <w:startOverride w:val="1"/>
    </w:lvlOverride>
  </w:num>
  <w:num w:numId="27">
    <w:abstractNumId w:val="19"/>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5A"/>
    <w:rsid w:val="00001C7D"/>
    <w:rsid w:val="00010667"/>
    <w:rsid w:val="000129D5"/>
    <w:rsid w:val="00015AE7"/>
    <w:rsid w:val="00016E21"/>
    <w:rsid w:val="0001719C"/>
    <w:rsid w:val="0002141F"/>
    <w:rsid w:val="00021E9E"/>
    <w:rsid w:val="0002224E"/>
    <w:rsid w:val="00026F91"/>
    <w:rsid w:val="00027725"/>
    <w:rsid w:val="00030312"/>
    <w:rsid w:val="00045E65"/>
    <w:rsid w:val="0004764C"/>
    <w:rsid w:val="0005011A"/>
    <w:rsid w:val="0005045A"/>
    <w:rsid w:val="00051C1E"/>
    <w:rsid w:val="000539F9"/>
    <w:rsid w:val="00054C27"/>
    <w:rsid w:val="00055EC3"/>
    <w:rsid w:val="000563CE"/>
    <w:rsid w:val="00061D86"/>
    <w:rsid w:val="000659B6"/>
    <w:rsid w:val="00066555"/>
    <w:rsid w:val="000665C1"/>
    <w:rsid w:val="0006686F"/>
    <w:rsid w:val="0006722A"/>
    <w:rsid w:val="00071230"/>
    <w:rsid w:val="000732CF"/>
    <w:rsid w:val="00075B96"/>
    <w:rsid w:val="0008196A"/>
    <w:rsid w:val="000822DE"/>
    <w:rsid w:val="000841B3"/>
    <w:rsid w:val="000915ED"/>
    <w:rsid w:val="0009209D"/>
    <w:rsid w:val="000944C4"/>
    <w:rsid w:val="000969BD"/>
    <w:rsid w:val="000969BF"/>
    <w:rsid w:val="000A0C22"/>
    <w:rsid w:val="000A1400"/>
    <w:rsid w:val="000A3C43"/>
    <w:rsid w:val="000A4A51"/>
    <w:rsid w:val="000A5D2B"/>
    <w:rsid w:val="000B08C0"/>
    <w:rsid w:val="000B1B8D"/>
    <w:rsid w:val="000B43D1"/>
    <w:rsid w:val="000B55F8"/>
    <w:rsid w:val="000B5DE3"/>
    <w:rsid w:val="000C0A57"/>
    <w:rsid w:val="000C230C"/>
    <w:rsid w:val="000C6AB4"/>
    <w:rsid w:val="000D71D9"/>
    <w:rsid w:val="000D76E0"/>
    <w:rsid w:val="000D7E8B"/>
    <w:rsid w:val="000E1EA1"/>
    <w:rsid w:val="000E41AB"/>
    <w:rsid w:val="000E4449"/>
    <w:rsid w:val="000E6097"/>
    <w:rsid w:val="000E7ABC"/>
    <w:rsid w:val="000F1D6D"/>
    <w:rsid w:val="000F5813"/>
    <w:rsid w:val="00103829"/>
    <w:rsid w:val="00111FCE"/>
    <w:rsid w:val="001177E6"/>
    <w:rsid w:val="001229A5"/>
    <w:rsid w:val="0012489B"/>
    <w:rsid w:val="00130017"/>
    <w:rsid w:val="00130F91"/>
    <w:rsid w:val="001349ED"/>
    <w:rsid w:val="00137424"/>
    <w:rsid w:val="00140318"/>
    <w:rsid w:val="00141AD9"/>
    <w:rsid w:val="00146CE6"/>
    <w:rsid w:val="00152903"/>
    <w:rsid w:val="00153FD5"/>
    <w:rsid w:val="0015614F"/>
    <w:rsid w:val="001577C2"/>
    <w:rsid w:val="00157B42"/>
    <w:rsid w:val="001633C4"/>
    <w:rsid w:val="001650A4"/>
    <w:rsid w:val="00171591"/>
    <w:rsid w:val="00171A57"/>
    <w:rsid w:val="00173981"/>
    <w:rsid w:val="00176A8F"/>
    <w:rsid w:val="0017719D"/>
    <w:rsid w:val="00183FD7"/>
    <w:rsid w:val="00185CAB"/>
    <w:rsid w:val="001875B7"/>
    <w:rsid w:val="00187CB3"/>
    <w:rsid w:val="0019050A"/>
    <w:rsid w:val="001910D4"/>
    <w:rsid w:val="001976E3"/>
    <w:rsid w:val="001A3EAD"/>
    <w:rsid w:val="001A44EC"/>
    <w:rsid w:val="001B174C"/>
    <w:rsid w:val="001B58AA"/>
    <w:rsid w:val="001B7E48"/>
    <w:rsid w:val="001C17CE"/>
    <w:rsid w:val="001C36CA"/>
    <w:rsid w:val="001C44D1"/>
    <w:rsid w:val="001C6AEE"/>
    <w:rsid w:val="001C7630"/>
    <w:rsid w:val="001D3DD1"/>
    <w:rsid w:val="001D6D15"/>
    <w:rsid w:val="001E3518"/>
    <w:rsid w:val="001F6693"/>
    <w:rsid w:val="001F7558"/>
    <w:rsid w:val="00203A2C"/>
    <w:rsid w:val="00205B57"/>
    <w:rsid w:val="002157E0"/>
    <w:rsid w:val="00216A57"/>
    <w:rsid w:val="002220C8"/>
    <w:rsid w:val="0022334F"/>
    <w:rsid w:val="00226819"/>
    <w:rsid w:val="00233101"/>
    <w:rsid w:val="00233817"/>
    <w:rsid w:val="00233F50"/>
    <w:rsid w:val="002367FF"/>
    <w:rsid w:val="00236FA5"/>
    <w:rsid w:val="00237518"/>
    <w:rsid w:val="00240CE9"/>
    <w:rsid w:val="002434BA"/>
    <w:rsid w:val="00246089"/>
    <w:rsid w:val="00246093"/>
    <w:rsid w:val="00246702"/>
    <w:rsid w:val="00247C59"/>
    <w:rsid w:val="00247F2E"/>
    <w:rsid w:val="00250ADC"/>
    <w:rsid w:val="00250B07"/>
    <w:rsid w:val="00257553"/>
    <w:rsid w:val="00260FB2"/>
    <w:rsid w:val="00261863"/>
    <w:rsid w:val="00262128"/>
    <w:rsid w:val="0027165D"/>
    <w:rsid w:val="00273CEB"/>
    <w:rsid w:val="00281C89"/>
    <w:rsid w:val="0028282F"/>
    <w:rsid w:val="002901B3"/>
    <w:rsid w:val="0029593B"/>
    <w:rsid w:val="00297FC5"/>
    <w:rsid w:val="002A0417"/>
    <w:rsid w:val="002A16D8"/>
    <w:rsid w:val="002A1BC8"/>
    <w:rsid w:val="002A3EF2"/>
    <w:rsid w:val="002A6B1F"/>
    <w:rsid w:val="002A7729"/>
    <w:rsid w:val="002B0DED"/>
    <w:rsid w:val="002B19A2"/>
    <w:rsid w:val="002B2E5B"/>
    <w:rsid w:val="002B381A"/>
    <w:rsid w:val="002B477A"/>
    <w:rsid w:val="002B4FCC"/>
    <w:rsid w:val="002B7408"/>
    <w:rsid w:val="002B7CFD"/>
    <w:rsid w:val="002C0CA2"/>
    <w:rsid w:val="002C210F"/>
    <w:rsid w:val="002D3600"/>
    <w:rsid w:val="002D673F"/>
    <w:rsid w:val="002E4DDC"/>
    <w:rsid w:val="002F2126"/>
    <w:rsid w:val="00302480"/>
    <w:rsid w:val="00304563"/>
    <w:rsid w:val="00315C55"/>
    <w:rsid w:val="003165E6"/>
    <w:rsid w:val="00317F7B"/>
    <w:rsid w:val="003215B5"/>
    <w:rsid w:val="003221CF"/>
    <w:rsid w:val="0032319F"/>
    <w:rsid w:val="003233ED"/>
    <w:rsid w:val="00324D9F"/>
    <w:rsid w:val="00327948"/>
    <w:rsid w:val="0033000F"/>
    <w:rsid w:val="00332011"/>
    <w:rsid w:val="00332518"/>
    <w:rsid w:val="00332925"/>
    <w:rsid w:val="003332ED"/>
    <w:rsid w:val="003368DC"/>
    <w:rsid w:val="00340CE9"/>
    <w:rsid w:val="0034121C"/>
    <w:rsid w:val="0034130A"/>
    <w:rsid w:val="00345432"/>
    <w:rsid w:val="00345927"/>
    <w:rsid w:val="00350584"/>
    <w:rsid w:val="00351857"/>
    <w:rsid w:val="003545E8"/>
    <w:rsid w:val="00355B83"/>
    <w:rsid w:val="00355D93"/>
    <w:rsid w:val="003610E1"/>
    <w:rsid w:val="003671BE"/>
    <w:rsid w:val="00372485"/>
    <w:rsid w:val="00373200"/>
    <w:rsid w:val="00375EF5"/>
    <w:rsid w:val="003767A5"/>
    <w:rsid w:val="00381D15"/>
    <w:rsid w:val="00381EAB"/>
    <w:rsid w:val="00385254"/>
    <w:rsid w:val="003A04DB"/>
    <w:rsid w:val="003A11F1"/>
    <w:rsid w:val="003A5F5B"/>
    <w:rsid w:val="003A789A"/>
    <w:rsid w:val="003B0A81"/>
    <w:rsid w:val="003B12EC"/>
    <w:rsid w:val="003B1FF4"/>
    <w:rsid w:val="003C77E0"/>
    <w:rsid w:val="003D17D7"/>
    <w:rsid w:val="003D2678"/>
    <w:rsid w:val="003D71A3"/>
    <w:rsid w:val="003E2B8A"/>
    <w:rsid w:val="003F10EE"/>
    <w:rsid w:val="003F16F6"/>
    <w:rsid w:val="003F4C40"/>
    <w:rsid w:val="003F4DC7"/>
    <w:rsid w:val="003F5235"/>
    <w:rsid w:val="004027E4"/>
    <w:rsid w:val="0041071D"/>
    <w:rsid w:val="00414AFC"/>
    <w:rsid w:val="004151A7"/>
    <w:rsid w:val="00415310"/>
    <w:rsid w:val="0041570C"/>
    <w:rsid w:val="004205E3"/>
    <w:rsid w:val="00421709"/>
    <w:rsid w:val="00423763"/>
    <w:rsid w:val="00425E04"/>
    <w:rsid w:val="0042762F"/>
    <w:rsid w:val="00427DC7"/>
    <w:rsid w:val="00431613"/>
    <w:rsid w:val="00431792"/>
    <w:rsid w:val="0043297A"/>
    <w:rsid w:val="00432EB2"/>
    <w:rsid w:val="0043714F"/>
    <w:rsid w:val="004420EB"/>
    <w:rsid w:val="004438B5"/>
    <w:rsid w:val="00445C48"/>
    <w:rsid w:val="00447037"/>
    <w:rsid w:val="0045124D"/>
    <w:rsid w:val="00454596"/>
    <w:rsid w:val="0045605D"/>
    <w:rsid w:val="00460986"/>
    <w:rsid w:val="0046135B"/>
    <w:rsid w:val="00461D47"/>
    <w:rsid w:val="004718CC"/>
    <w:rsid w:val="004742B5"/>
    <w:rsid w:val="00481695"/>
    <w:rsid w:val="004818B4"/>
    <w:rsid w:val="0049067B"/>
    <w:rsid w:val="00495A96"/>
    <w:rsid w:val="00495BB3"/>
    <w:rsid w:val="00495DA8"/>
    <w:rsid w:val="004A56BB"/>
    <w:rsid w:val="004B1751"/>
    <w:rsid w:val="004C0253"/>
    <w:rsid w:val="004D12AD"/>
    <w:rsid w:val="004D3F69"/>
    <w:rsid w:val="004D4FBA"/>
    <w:rsid w:val="004D56FF"/>
    <w:rsid w:val="004E39D3"/>
    <w:rsid w:val="004E508A"/>
    <w:rsid w:val="004E616D"/>
    <w:rsid w:val="004F1BDE"/>
    <w:rsid w:val="004F2CEE"/>
    <w:rsid w:val="004F556E"/>
    <w:rsid w:val="004F591C"/>
    <w:rsid w:val="004F7F44"/>
    <w:rsid w:val="005037B4"/>
    <w:rsid w:val="005079BF"/>
    <w:rsid w:val="00511D92"/>
    <w:rsid w:val="0051269A"/>
    <w:rsid w:val="005219E7"/>
    <w:rsid w:val="0052285A"/>
    <w:rsid w:val="00525F67"/>
    <w:rsid w:val="00531B9A"/>
    <w:rsid w:val="00531D15"/>
    <w:rsid w:val="00537604"/>
    <w:rsid w:val="00542377"/>
    <w:rsid w:val="005476EB"/>
    <w:rsid w:val="00551782"/>
    <w:rsid w:val="00563EF1"/>
    <w:rsid w:val="00564C71"/>
    <w:rsid w:val="00566AB4"/>
    <w:rsid w:val="00572A7A"/>
    <w:rsid w:val="00575AC5"/>
    <w:rsid w:val="0057605D"/>
    <w:rsid w:val="00581347"/>
    <w:rsid w:val="00581AC9"/>
    <w:rsid w:val="005849F8"/>
    <w:rsid w:val="005874F1"/>
    <w:rsid w:val="00591A21"/>
    <w:rsid w:val="005938DF"/>
    <w:rsid w:val="00594E9C"/>
    <w:rsid w:val="005A099B"/>
    <w:rsid w:val="005A2D9C"/>
    <w:rsid w:val="005A55FE"/>
    <w:rsid w:val="005A6A11"/>
    <w:rsid w:val="005B531B"/>
    <w:rsid w:val="005D2502"/>
    <w:rsid w:val="005D40BB"/>
    <w:rsid w:val="005D47F3"/>
    <w:rsid w:val="005D49BF"/>
    <w:rsid w:val="005D4AA5"/>
    <w:rsid w:val="005D6F4E"/>
    <w:rsid w:val="005D7C73"/>
    <w:rsid w:val="005E3ACD"/>
    <w:rsid w:val="005E7226"/>
    <w:rsid w:val="005E7A57"/>
    <w:rsid w:val="005E7D03"/>
    <w:rsid w:val="005F24B0"/>
    <w:rsid w:val="005F5B5A"/>
    <w:rsid w:val="00604315"/>
    <w:rsid w:val="00604E26"/>
    <w:rsid w:val="006052CF"/>
    <w:rsid w:val="006075BF"/>
    <w:rsid w:val="00607B8D"/>
    <w:rsid w:val="00611F5C"/>
    <w:rsid w:val="00616E09"/>
    <w:rsid w:val="00622A3B"/>
    <w:rsid w:val="00622EEA"/>
    <w:rsid w:val="0062396C"/>
    <w:rsid w:val="00623FF9"/>
    <w:rsid w:val="00627D4E"/>
    <w:rsid w:val="00632B89"/>
    <w:rsid w:val="00634478"/>
    <w:rsid w:val="00644373"/>
    <w:rsid w:val="00645915"/>
    <w:rsid w:val="006519C3"/>
    <w:rsid w:val="00652B30"/>
    <w:rsid w:val="00656345"/>
    <w:rsid w:val="00656DC6"/>
    <w:rsid w:val="00660EC6"/>
    <w:rsid w:val="00664110"/>
    <w:rsid w:val="00664D17"/>
    <w:rsid w:val="006652EB"/>
    <w:rsid w:val="00666520"/>
    <w:rsid w:val="00667C5B"/>
    <w:rsid w:val="0067222C"/>
    <w:rsid w:val="00672E7F"/>
    <w:rsid w:val="006768B4"/>
    <w:rsid w:val="006907A6"/>
    <w:rsid w:val="00691EB8"/>
    <w:rsid w:val="00692CDE"/>
    <w:rsid w:val="00693073"/>
    <w:rsid w:val="00694304"/>
    <w:rsid w:val="0069507C"/>
    <w:rsid w:val="006977FF"/>
    <w:rsid w:val="006A01FA"/>
    <w:rsid w:val="006A0E9E"/>
    <w:rsid w:val="006A25C7"/>
    <w:rsid w:val="006A4AAD"/>
    <w:rsid w:val="006A6DA2"/>
    <w:rsid w:val="006A7AB2"/>
    <w:rsid w:val="006A7F44"/>
    <w:rsid w:val="006B5717"/>
    <w:rsid w:val="006B582F"/>
    <w:rsid w:val="006B7C5E"/>
    <w:rsid w:val="006C0CEB"/>
    <w:rsid w:val="006C3B1E"/>
    <w:rsid w:val="006C47FD"/>
    <w:rsid w:val="006C5C19"/>
    <w:rsid w:val="006C70A0"/>
    <w:rsid w:val="006D27CB"/>
    <w:rsid w:val="006D2F08"/>
    <w:rsid w:val="006D576C"/>
    <w:rsid w:val="006D5865"/>
    <w:rsid w:val="006E4B1B"/>
    <w:rsid w:val="006E5445"/>
    <w:rsid w:val="006E7D93"/>
    <w:rsid w:val="006F22BA"/>
    <w:rsid w:val="006F2D3F"/>
    <w:rsid w:val="007029A3"/>
    <w:rsid w:val="00706E4E"/>
    <w:rsid w:val="0070791C"/>
    <w:rsid w:val="0071383C"/>
    <w:rsid w:val="007141A7"/>
    <w:rsid w:val="00715722"/>
    <w:rsid w:val="00721032"/>
    <w:rsid w:val="00721B55"/>
    <w:rsid w:val="00726CE4"/>
    <w:rsid w:val="00734143"/>
    <w:rsid w:val="00737E47"/>
    <w:rsid w:val="00740931"/>
    <w:rsid w:val="00740EAC"/>
    <w:rsid w:val="00744956"/>
    <w:rsid w:val="00744C40"/>
    <w:rsid w:val="00745A5C"/>
    <w:rsid w:val="0074605F"/>
    <w:rsid w:val="00747810"/>
    <w:rsid w:val="00747E94"/>
    <w:rsid w:val="00754C83"/>
    <w:rsid w:val="00765DF8"/>
    <w:rsid w:val="00766749"/>
    <w:rsid w:val="00767C1B"/>
    <w:rsid w:val="007714A9"/>
    <w:rsid w:val="00774F88"/>
    <w:rsid w:val="00774FDB"/>
    <w:rsid w:val="00777BA2"/>
    <w:rsid w:val="00781408"/>
    <w:rsid w:val="00784F7F"/>
    <w:rsid w:val="007878BD"/>
    <w:rsid w:val="00787DDC"/>
    <w:rsid w:val="007905AC"/>
    <w:rsid w:val="00796F25"/>
    <w:rsid w:val="007A0425"/>
    <w:rsid w:val="007A2E98"/>
    <w:rsid w:val="007A3BA3"/>
    <w:rsid w:val="007A6670"/>
    <w:rsid w:val="007A6CC0"/>
    <w:rsid w:val="007A7FEC"/>
    <w:rsid w:val="007B0CBB"/>
    <w:rsid w:val="007B1499"/>
    <w:rsid w:val="007B1BBF"/>
    <w:rsid w:val="007B2960"/>
    <w:rsid w:val="007B355D"/>
    <w:rsid w:val="007B7980"/>
    <w:rsid w:val="007C0DEF"/>
    <w:rsid w:val="007C5D5A"/>
    <w:rsid w:val="007C607F"/>
    <w:rsid w:val="007C79DD"/>
    <w:rsid w:val="007D1A97"/>
    <w:rsid w:val="007D2CD6"/>
    <w:rsid w:val="007D3063"/>
    <w:rsid w:val="007D3CEB"/>
    <w:rsid w:val="007D48A6"/>
    <w:rsid w:val="007E0FC3"/>
    <w:rsid w:val="007E74E7"/>
    <w:rsid w:val="007E7683"/>
    <w:rsid w:val="007F49FA"/>
    <w:rsid w:val="007F54C4"/>
    <w:rsid w:val="007F6E9A"/>
    <w:rsid w:val="008044D4"/>
    <w:rsid w:val="00810AB4"/>
    <w:rsid w:val="00810C94"/>
    <w:rsid w:val="00817B56"/>
    <w:rsid w:val="00821A88"/>
    <w:rsid w:val="0082495D"/>
    <w:rsid w:val="00831AC3"/>
    <w:rsid w:val="00832D78"/>
    <w:rsid w:val="00837276"/>
    <w:rsid w:val="008408FF"/>
    <w:rsid w:val="00844508"/>
    <w:rsid w:val="00851926"/>
    <w:rsid w:val="00851F3F"/>
    <w:rsid w:val="00856EDC"/>
    <w:rsid w:val="008623B5"/>
    <w:rsid w:val="00870ABA"/>
    <w:rsid w:val="008710E1"/>
    <w:rsid w:val="008716E5"/>
    <w:rsid w:val="008816DF"/>
    <w:rsid w:val="00881CA9"/>
    <w:rsid w:val="00883628"/>
    <w:rsid w:val="00885544"/>
    <w:rsid w:val="0088634E"/>
    <w:rsid w:val="00893AB8"/>
    <w:rsid w:val="008A04C8"/>
    <w:rsid w:val="008A4495"/>
    <w:rsid w:val="008A6913"/>
    <w:rsid w:val="008B70F3"/>
    <w:rsid w:val="008B71C4"/>
    <w:rsid w:val="008B76DF"/>
    <w:rsid w:val="008C10F4"/>
    <w:rsid w:val="008C3833"/>
    <w:rsid w:val="008C65F7"/>
    <w:rsid w:val="008D78CD"/>
    <w:rsid w:val="008E4767"/>
    <w:rsid w:val="008E7A8C"/>
    <w:rsid w:val="008F46B1"/>
    <w:rsid w:val="008F618E"/>
    <w:rsid w:val="00900087"/>
    <w:rsid w:val="00901EF0"/>
    <w:rsid w:val="00903285"/>
    <w:rsid w:val="00904CC4"/>
    <w:rsid w:val="00906F40"/>
    <w:rsid w:val="0090731E"/>
    <w:rsid w:val="0090759B"/>
    <w:rsid w:val="00913165"/>
    <w:rsid w:val="00915B1C"/>
    <w:rsid w:val="009174F3"/>
    <w:rsid w:val="0091797D"/>
    <w:rsid w:val="00923CBA"/>
    <w:rsid w:val="00925A28"/>
    <w:rsid w:val="00926703"/>
    <w:rsid w:val="00927691"/>
    <w:rsid w:val="00927A5F"/>
    <w:rsid w:val="00930DB4"/>
    <w:rsid w:val="00930F96"/>
    <w:rsid w:val="00932DE4"/>
    <w:rsid w:val="0093335F"/>
    <w:rsid w:val="00935B63"/>
    <w:rsid w:val="0094078F"/>
    <w:rsid w:val="00940FA3"/>
    <w:rsid w:val="00941FB0"/>
    <w:rsid w:val="009426D4"/>
    <w:rsid w:val="00947F25"/>
    <w:rsid w:val="00950159"/>
    <w:rsid w:val="0095490B"/>
    <w:rsid w:val="00960A33"/>
    <w:rsid w:val="00971461"/>
    <w:rsid w:val="00971914"/>
    <w:rsid w:val="00974363"/>
    <w:rsid w:val="00981898"/>
    <w:rsid w:val="0099577C"/>
    <w:rsid w:val="009B15CC"/>
    <w:rsid w:val="009B2601"/>
    <w:rsid w:val="009B4589"/>
    <w:rsid w:val="009B4E9E"/>
    <w:rsid w:val="009B76B8"/>
    <w:rsid w:val="009C1690"/>
    <w:rsid w:val="009C6881"/>
    <w:rsid w:val="009C7759"/>
    <w:rsid w:val="009D043D"/>
    <w:rsid w:val="009D07C8"/>
    <w:rsid w:val="009D6C71"/>
    <w:rsid w:val="009E0631"/>
    <w:rsid w:val="009E16D0"/>
    <w:rsid w:val="009E1EC3"/>
    <w:rsid w:val="009E38FD"/>
    <w:rsid w:val="009F13D6"/>
    <w:rsid w:val="009F4C6B"/>
    <w:rsid w:val="009F706C"/>
    <w:rsid w:val="009F78A8"/>
    <w:rsid w:val="00A02AD6"/>
    <w:rsid w:val="00A07096"/>
    <w:rsid w:val="00A07318"/>
    <w:rsid w:val="00A11370"/>
    <w:rsid w:val="00A1727A"/>
    <w:rsid w:val="00A224CE"/>
    <w:rsid w:val="00A22522"/>
    <w:rsid w:val="00A2384B"/>
    <w:rsid w:val="00A24AFD"/>
    <w:rsid w:val="00A24F5C"/>
    <w:rsid w:val="00A3032C"/>
    <w:rsid w:val="00A32F96"/>
    <w:rsid w:val="00A3358F"/>
    <w:rsid w:val="00A40871"/>
    <w:rsid w:val="00A412AB"/>
    <w:rsid w:val="00A4193E"/>
    <w:rsid w:val="00A440E0"/>
    <w:rsid w:val="00A442EF"/>
    <w:rsid w:val="00A51D1A"/>
    <w:rsid w:val="00A5418D"/>
    <w:rsid w:val="00A5474E"/>
    <w:rsid w:val="00A6209B"/>
    <w:rsid w:val="00A64234"/>
    <w:rsid w:val="00A70ADF"/>
    <w:rsid w:val="00A71466"/>
    <w:rsid w:val="00A74B5E"/>
    <w:rsid w:val="00A81BED"/>
    <w:rsid w:val="00A81EC4"/>
    <w:rsid w:val="00A9343F"/>
    <w:rsid w:val="00A967FD"/>
    <w:rsid w:val="00AA7EB2"/>
    <w:rsid w:val="00AB0016"/>
    <w:rsid w:val="00AB156C"/>
    <w:rsid w:val="00AB1A8C"/>
    <w:rsid w:val="00AB6814"/>
    <w:rsid w:val="00AB693F"/>
    <w:rsid w:val="00AC04BA"/>
    <w:rsid w:val="00AC0E39"/>
    <w:rsid w:val="00AD3082"/>
    <w:rsid w:val="00AD3157"/>
    <w:rsid w:val="00AD32B4"/>
    <w:rsid w:val="00AD4AD0"/>
    <w:rsid w:val="00AD5436"/>
    <w:rsid w:val="00AD60CD"/>
    <w:rsid w:val="00AD6C8C"/>
    <w:rsid w:val="00AD709F"/>
    <w:rsid w:val="00AE091D"/>
    <w:rsid w:val="00AE3B60"/>
    <w:rsid w:val="00AE53A1"/>
    <w:rsid w:val="00AF2484"/>
    <w:rsid w:val="00AF3034"/>
    <w:rsid w:val="00AF63E7"/>
    <w:rsid w:val="00AF6E17"/>
    <w:rsid w:val="00B0165D"/>
    <w:rsid w:val="00B01B60"/>
    <w:rsid w:val="00B031F3"/>
    <w:rsid w:val="00B052A4"/>
    <w:rsid w:val="00B125DE"/>
    <w:rsid w:val="00B12A2E"/>
    <w:rsid w:val="00B13FDD"/>
    <w:rsid w:val="00B21735"/>
    <w:rsid w:val="00B22EB2"/>
    <w:rsid w:val="00B27442"/>
    <w:rsid w:val="00B31167"/>
    <w:rsid w:val="00B31B8E"/>
    <w:rsid w:val="00B329D8"/>
    <w:rsid w:val="00B32BB9"/>
    <w:rsid w:val="00B33AE1"/>
    <w:rsid w:val="00B37C38"/>
    <w:rsid w:val="00B404C2"/>
    <w:rsid w:val="00B4288C"/>
    <w:rsid w:val="00B43262"/>
    <w:rsid w:val="00B44100"/>
    <w:rsid w:val="00B46CBA"/>
    <w:rsid w:val="00B46F94"/>
    <w:rsid w:val="00B47C43"/>
    <w:rsid w:val="00B6003C"/>
    <w:rsid w:val="00B61F03"/>
    <w:rsid w:val="00B626E4"/>
    <w:rsid w:val="00B6295A"/>
    <w:rsid w:val="00B6502C"/>
    <w:rsid w:val="00B72F4A"/>
    <w:rsid w:val="00B83C27"/>
    <w:rsid w:val="00B84BC3"/>
    <w:rsid w:val="00B84BDD"/>
    <w:rsid w:val="00B92812"/>
    <w:rsid w:val="00B94D62"/>
    <w:rsid w:val="00BA49E3"/>
    <w:rsid w:val="00BB45A1"/>
    <w:rsid w:val="00BB7686"/>
    <w:rsid w:val="00BC23F9"/>
    <w:rsid w:val="00BC3421"/>
    <w:rsid w:val="00BC37AA"/>
    <w:rsid w:val="00BC732C"/>
    <w:rsid w:val="00BE2580"/>
    <w:rsid w:val="00BE266D"/>
    <w:rsid w:val="00BE3938"/>
    <w:rsid w:val="00BE4C11"/>
    <w:rsid w:val="00BE71C0"/>
    <w:rsid w:val="00BF0DA8"/>
    <w:rsid w:val="00BF391F"/>
    <w:rsid w:val="00BF4099"/>
    <w:rsid w:val="00BF610C"/>
    <w:rsid w:val="00C0060B"/>
    <w:rsid w:val="00C0277D"/>
    <w:rsid w:val="00C053A1"/>
    <w:rsid w:val="00C12E5A"/>
    <w:rsid w:val="00C16198"/>
    <w:rsid w:val="00C2083D"/>
    <w:rsid w:val="00C22777"/>
    <w:rsid w:val="00C24A53"/>
    <w:rsid w:val="00C3198D"/>
    <w:rsid w:val="00C34A05"/>
    <w:rsid w:val="00C3544A"/>
    <w:rsid w:val="00C4032F"/>
    <w:rsid w:val="00C44047"/>
    <w:rsid w:val="00C45155"/>
    <w:rsid w:val="00C457DE"/>
    <w:rsid w:val="00C476E5"/>
    <w:rsid w:val="00C5498F"/>
    <w:rsid w:val="00C55235"/>
    <w:rsid w:val="00C63393"/>
    <w:rsid w:val="00C64CD0"/>
    <w:rsid w:val="00C6684F"/>
    <w:rsid w:val="00C70E70"/>
    <w:rsid w:val="00C75F8D"/>
    <w:rsid w:val="00C77380"/>
    <w:rsid w:val="00C8625F"/>
    <w:rsid w:val="00C97736"/>
    <w:rsid w:val="00CA0FEE"/>
    <w:rsid w:val="00CA345A"/>
    <w:rsid w:val="00CB1E82"/>
    <w:rsid w:val="00CB4BA8"/>
    <w:rsid w:val="00CB5133"/>
    <w:rsid w:val="00CB52D7"/>
    <w:rsid w:val="00CC6732"/>
    <w:rsid w:val="00CE3C96"/>
    <w:rsid w:val="00CE51A8"/>
    <w:rsid w:val="00CF369B"/>
    <w:rsid w:val="00D00E28"/>
    <w:rsid w:val="00D022CA"/>
    <w:rsid w:val="00D0269E"/>
    <w:rsid w:val="00D05D6C"/>
    <w:rsid w:val="00D15810"/>
    <w:rsid w:val="00D16D4E"/>
    <w:rsid w:val="00D16FE3"/>
    <w:rsid w:val="00D22D4C"/>
    <w:rsid w:val="00D27F41"/>
    <w:rsid w:val="00D304E7"/>
    <w:rsid w:val="00D32D79"/>
    <w:rsid w:val="00D36441"/>
    <w:rsid w:val="00D4064E"/>
    <w:rsid w:val="00D41B2D"/>
    <w:rsid w:val="00D44E9B"/>
    <w:rsid w:val="00D47AEB"/>
    <w:rsid w:val="00D50DB9"/>
    <w:rsid w:val="00D51302"/>
    <w:rsid w:val="00D5165E"/>
    <w:rsid w:val="00D52C43"/>
    <w:rsid w:val="00D6507F"/>
    <w:rsid w:val="00D730BC"/>
    <w:rsid w:val="00D73912"/>
    <w:rsid w:val="00D742F4"/>
    <w:rsid w:val="00D85226"/>
    <w:rsid w:val="00D87AC3"/>
    <w:rsid w:val="00D87B94"/>
    <w:rsid w:val="00D92D49"/>
    <w:rsid w:val="00D92EC1"/>
    <w:rsid w:val="00D96DEA"/>
    <w:rsid w:val="00DA08C5"/>
    <w:rsid w:val="00DA3ADA"/>
    <w:rsid w:val="00DA4E41"/>
    <w:rsid w:val="00DB117A"/>
    <w:rsid w:val="00DB3EC4"/>
    <w:rsid w:val="00DB4EFB"/>
    <w:rsid w:val="00DB5173"/>
    <w:rsid w:val="00DB6A7A"/>
    <w:rsid w:val="00DB7873"/>
    <w:rsid w:val="00DC1376"/>
    <w:rsid w:val="00DC187B"/>
    <w:rsid w:val="00DC3A24"/>
    <w:rsid w:val="00DD73C2"/>
    <w:rsid w:val="00DE319B"/>
    <w:rsid w:val="00DE4620"/>
    <w:rsid w:val="00DF2B89"/>
    <w:rsid w:val="00DF34FE"/>
    <w:rsid w:val="00DF510C"/>
    <w:rsid w:val="00DF56AA"/>
    <w:rsid w:val="00DF56AF"/>
    <w:rsid w:val="00DF78E7"/>
    <w:rsid w:val="00E00409"/>
    <w:rsid w:val="00E067A6"/>
    <w:rsid w:val="00E110E0"/>
    <w:rsid w:val="00E14B4B"/>
    <w:rsid w:val="00E15371"/>
    <w:rsid w:val="00E24104"/>
    <w:rsid w:val="00E302D0"/>
    <w:rsid w:val="00E35707"/>
    <w:rsid w:val="00E36AA1"/>
    <w:rsid w:val="00E41ECB"/>
    <w:rsid w:val="00E455EC"/>
    <w:rsid w:val="00E46901"/>
    <w:rsid w:val="00E47A7F"/>
    <w:rsid w:val="00E54FDB"/>
    <w:rsid w:val="00E5617D"/>
    <w:rsid w:val="00E563D7"/>
    <w:rsid w:val="00E56E69"/>
    <w:rsid w:val="00E570C5"/>
    <w:rsid w:val="00E663F4"/>
    <w:rsid w:val="00E666F2"/>
    <w:rsid w:val="00E66DD4"/>
    <w:rsid w:val="00E71120"/>
    <w:rsid w:val="00E748CC"/>
    <w:rsid w:val="00E75415"/>
    <w:rsid w:val="00E775B1"/>
    <w:rsid w:val="00E8152A"/>
    <w:rsid w:val="00E8236C"/>
    <w:rsid w:val="00E92EE1"/>
    <w:rsid w:val="00E93629"/>
    <w:rsid w:val="00E93B5C"/>
    <w:rsid w:val="00E94CEC"/>
    <w:rsid w:val="00EA04EF"/>
    <w:rsid w:val="00EA1716"/>
    <w:rsid w:val="00EA6F19"/>
    <w:rsid w:val="00EB4E2A"/>
    <w:rsid w:val="00EB7090"/>
    <w:rsid w:val="00EC116A"/>
    <w:rsid w:val="00EC1BBE"/>
    <w:rsid w:val="00EC5CD7"/>
    <w:rsid w:val="00EE5FB3"/>
    <w:rsid w:val="00EE7F79"/>
    <w:rsid w:val="00EF715A"/>
    <w:rsid w:val="00F06E14"/>
    <w:rsid w:val="00F179D4"/>
    <w:rsid w:val="00F33C56"/>
    <w:rsid w:val="00F347C7"/>
    <w:rsid w:val="00F34848"/>
    <w:rsid w:val="00F42D46"/>
    <w:rsid w:val="00F4496C"/>
    <w:rsid w:val="00F44F3A"/>
    <w:rsid w:val="00F51F10"/>
    <w:rsid w:val="00F529A5"/>
    <w:rsid w:val="00F60F00"/>
    <w:rsid w:val="00F614C0"/>
    <w:rsid w:val="00F66545"/>
    <w:rsid w:val="00F83848"/>
    <w:rsid w:val="00F872D4"/>
    <w:rsid w:val="00F9133C"/>
    <w:rsid w:val="00F975E9"/>
    <w:rsid w:val="00FA1B7D"/>
    <w:rsid w:val="00FB09A3"/>
    <w:rsid w:val="00FC07B9"/>
    <w:rsid w:val="00FC4E21"/>
    <w:rsid w:val="00FC5F6D"/>
    <w:rsid w:val="00FD0107"/>
    <w:rsid w:val="00FD125A"/>
    <w:rsid w:val="00FD2C2F"/>
    <w:rsid w:val="00FD3B31"/>
    <w:rsid w:val="00FE1823"/>
    <w:rsid w:val="00FE487A"/>
    <w:rsid w:val="00FF0569"/>
    <w:rsid w:val="00FF206E"/>
    <w:rsid w:val="00FF24EB"/>
    <w:rsid w:val="00FF3A80"/>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aliases w:val="RIS 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aliases w:val="RIS 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uiPriority w:val="22"/>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2Char">
    <w:name w:val="Heading 2 Char"/>
    <w:aliases w:val="RIS Heading 2 Char"/>
    <w:basedOn w:val="DefaultParagraphFont"/>
    <w:link w:val="Heading2"/>
    <w:rsid w:val="0052285A"/>
    <w:rPr>
      <w:rFonts w:ascii="Arial" w:hAnsi="Arial" w:cs="Arial"/>
      <w:b/>
      <w:bCs/>
      <w:iCs/>
      <w:sz w:val="28"/>
      <w:szCs w:val="28"/>
    </w:rPr>
  </w:style>
  <w:style w:type="character" w:customStyle="1" w:styleId="Heading3Char">
    <w:name w:val="Heading 3 Char"/>
    <w:basedOn w:val="DefaultParagraphFont"/>
    <w:link w:val="Heading3"/>
    <w:rsid w:val="0052285A"/>
    <w:rPr>
      <w:rFonts w:ascii="Arial" w:hAnsi="Arial" w:cs="Arial"/>
      <w:b/>
      <w:bCs/>
      <w:sz w:val="20"/>
      <w:szCs w:val="26"/>
    </w:rPr>
  </w:style>
  <w:style w:type="paragraph" w:customStyle="1" w:styleId="Bodysubheader0">
    <w:name w:val="Body sub header"/>
    <w:basedOn w:val="Normal"/>
    <w:next w:val="Normal"/>
    <w:rsid w:val="0052285A"/>
    <w:pPr>
      <w:spacing w:after="0"/>
    </w:pPr>
    <w:rPr>
      <w:b/>
      <w:i/>
    </w:rPr>
  </w:style>
  <w:style w:type="paragraph" w:customStyle="1" w:styleId="Default">
    <w:name w:val="Default"/>
    <w:rsid w:val="0052285A"/>
    <w:pPr>
      <w:autoSpaceDE w:val="0"/>
      <w:autoSpaceDN w:val="0"/>
      <w:adjustRightInd w:val="0"/>
    </w:pPr>
    <w:rPr>
      <w:rFonts w:ascii="Calibri" w:hAnsi="Calibri" w:cs="Calibri"/>
      <w:color w:val="000000"/>
    </w:rPr>
  </w:style>
  <w:style w:type="paragraph" w:styleId="BodyText">
    <w:name w:val="Body Text"/>
    <w:basedOn w:val="Normal"/>
    <w:link w:val="BodyTextChar1"/>
    <w:autoRedefine/>
    <w:qFormat/>
    <w:rsid w:val="0052285A"/>
    <w:pPr>
      <w:spacing w:before="120" w:line="320" w:lineRule="exact"/>
      <w:jc w:val="both"/>
    </w:pPr>
    <w:rPr>
      <w:rFonts w:ascii="Verdana" w:eastAsia="'宋体" w:hAnsi="Verdana" w:cs="Arial"/>
      <w:sz w:val="22"/>
      <w:szCs w:val="22"/>
    </w:rPr>
  </w:style>
  <w:style w:type="character" w:customStyle="1" w:styleId="BodyTextChar">
    <w:name w:val="Body Text Char"/>
    <w:basedOn w:val="DefaultParagraphFont"/>
    <w:semiHidden/>
    <w:rsid w:val="0052285A"/>
    <w:rPr>
      <w:rFonts w:ascii="Arial" w:hAnsi="Arial"/>
      <w:sz w:val="20"/>
    </w:rPr>
  </w:style>
  <w:style w:type="character" w:customStyle="1" w:styleId="BodyTextChar1">
    <w:name w:val="Body Text Char1"/>
    <w:basedOn w:val="DefaultParagraphFont"/>
    <w:link w:val="BodyText"/>
    <w:rsid w:val="0052285A"/>
    <w:rPr>
      <w:rFonts w:ascii="Verdana" w:eastAsia="'宋体" w:hAnsi="Verdana" w:cs="Arial"/>
      <w:sz w:val="22"/>
      <w:szCs w:val="22"/>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rsid w:val="0052285A"/>
    <w:rPr>
      <w:rFonts w:ascii="Arial" w:hAnsi="Arial"/>
      <w:sz w:val="16"/>
      <w:szCs w:val="16"/>
    </w:rPr>
  </w:style>
  <w:style w:type="paragraph" w:styleId="ListParagraph">
    <w:name w:val="List Paragraph"/>
    <w:basedOn w:val="Normal"/>
    <w:link w:val="ListParagraphChar"/>
    <w:uiPriority w:val="34"/>
    <w:qFormat/>
    <w:rsid w:val="0052285A"/>
    <w:pPr>
      <w:ind w:left="720"/>
      <w:contextualSpacing/>
    </w:pPr>
  </w:style>
  <w:style w:type="paragraph" w:styleId="NormalWeb">
    <w:name w:val="Normal (Web)"/>
    <w:basedOn w:val="Normal"/>
    <w:uiPriority w:val="99"/>
    <w:semiHidden/>
    <w:unhideWhenUsed/>
    <w:rsid w:val="0052285A"/>
    <w:pPr>
      <w:spacing w:line="240" w:lineRule="auto"/>
    </w:pPr>
    <w:rPr>
      <w:rFonts w:ascii="Times New Roman" w:hAnsi="Times New Roman"/>
      <w:sz w:val="24"/>
    </w:rPr>
  </w:style>
  <w:style w:type="paragraph" w:styleId="Revision">
    <w:name w:val="Revision"/>
    <w:hidden/>
    <w:semiHidden/>
    <w:rsid w:val="0052285A"/>
    <w:rPr>
      <w:rFonts w:ascii="Arial" w:hAnsi="Arial"/>
      <w:sz w:val="20"/>
    </w:rPr>
  </w:style>
  <w:style w:type="table" w:styleId="PlainTable1">
    <w:name w:val="Plain Table 1"/>
    <w:basedOn w:val="TableNormal"/>
    <w:uiPriority w:val="41"/>
    <w:rsid w:val="0052285A"/>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aliases w:val="RIS Heading 1 Char"/>
    <w:basedOn w:val="DefaultParagraphFont"/>
    <w:link w:val="Heading1"/>
    <w:rsid w:val="0052285A"/>
    <w:rPr>
      <w:rFonts w:ascii="Arial" w:hAnsi="Arial" w:cs="Arial"/>
      <w:bCs/>
      <w:color w:val="323232"/>
      <w:kern w:val="32"/>
      <w:sz w:val="53"/>
      <w:szCs w:val="32"/>
    </w:rPr>
  </w:style>
  <w:style w:type="character" w:styleId="IntenseReference">
    <w:name w:val="Intense Reference"/>
    <w:basedOn w:val="DefaultParagraphFont"/>
    <w:rsid w:val="0052285A"/>
    <w:rPr>
      <w:b/>
      <w:bCs/>
      <w:smallCaps/>
      <w:color w:val="4F81BD" w:themeColor="accent1"/>
      <w:spacing w:val="5"/>
    </w:rPr>
  </w:style>
  <w:style w:type="character" w:customStyle="1" w:styleId="ListBulletChar">
    <w:name w:val="List Bullet Char"/>
    <w:basedOn w:val="DefaultParagraphFont"/>
    <w:link w:val="ListBullet"/>
    <w:rsid w:val="0052285A"/>
    <w:rPr>
      <w:rFonts w:ascii="Arial" w:hAnsi="Arial"/>
      <w:sz w:val="20"/>
    </w:rPr>
  </w:style>
  <w:style w:type="character" w:customStyle="1" w:styleId="ListParagraphChar">
    <w:name w:val="List Paragraph Char"/>
    <w:basedOn w:val="DefaultParagraphFont"/>
    <w:link w:val="ListParagraph"/>
    <w:uiPriority w:val="34"/>
    <w:rsid w:val="0052285A"/>
    <w:rPr>
      <w:rFonts w:ascii="Arial" w:hAnsi="Arial"/>
      <w:sz w:val="20"/>
    </w:rPr>
  </w:style>
  <w:style w:type="paragraph" w:customStyle="1" w:styleId="ACMABulletLevel1">
    <w:name w:val="ACMA Bullet Level 1"/>
    <w:rsid w:val="0052285A"/>
    <w:pPr>
      <w:numPr>
        <w:numId w:val="17"/>
      </w:numPr>
      <w:spacing w:after="120"/>
    </w:pPr>
    <w:rPr>
      <w:szCs w:val="20"/>
      <w:lang w:eastAsia="en-US"/>
    </w:rPr>
  </w:style>
  <w:style w:type="paragraph" w:customStyle="1" w:styleId="ACMANumberedList">
    <w:name w:val="ACMA Numbered List"/>
    <w:rsid w:val="0052285A"/>
    <w:pPr>
      <w:tabs>
        <w:tab w:val="num" w:pos="720"/>
      </w:tabs>
      <w:spacing w:before="20" w:after="20"/>
      <w:ind w:left="720" w:hanging="36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938984">
      <w:bodyDiv w:val="1"/>
      <w:marLeft w:val="0"/>
      <w:marRight w:val="0"/>
      <w:marTop w:val="0"/>
      <w:marBottom w:val="0"/>
      <w:divBdr>
        <w:top w:val="none" w:sz="0" w:space="0" w:color="auto"/>
        <w:left w:val="none" w:sz="0" w:space="0" w:color="auto"/>
        <w:bottom w:val="none" w:sz="0" w:space="0" w:color="auto"/>
        <w:right w:val="none" w:sz="0" w:space="0" w:color="auto"/>
      </w:divBdr>
      <w:divsChild>
        <w:div w:id="1561670865">
          <w:marLeft w:val="0"/>
          <w:marRight w:val="0"/>
          <w:marTop w:val="0"/>
          <w:marBottom w:val="0"/>
          <w:divBdr>
            <w:top w:val="none" w:sz="0" w:space="0" w:color="auto"/>
            <w:left w:val="none" w:sz="0" w:space="0" w:color="auto"/>
            <w:bottom w:val="none" w:sz="0" w:space="0" w:color="auto"/>
            <w:right w:val="none" w:sz="0" w:space="0" w:color="auto"/>
          </w:divBdr>
          <w:divsChild>
            <w:div w:id="323359621">
              <w:marLeft w:val="0"/>
              <w:marRight w:val="0"/>
              <w:marTop w:val="0"/>
              <w:marBottom w:val="0"/>
              <w:divBdr>
                <w:top w:val="none" w:sz="0" w:space="0" w:color="auto"/>
                <w:left w:val="none" w:sz="0" w:space="0" w:color="auto"/>
                <w:bottom w:val="none" w:sz="0" w:space="0" w:color="auto"/>
                <w:right w:val="none" w:sz="0" w:space="0" w:color="auto"/>
              </w:divBdr>
              <w:divsChild>
                <w:div w:id="1257245921">
                  <w:marLeft w:val="0"/>
                  <w:marRight w:val="0"/>
                  <w:marTop w:val="0"/>
                  <w:marBottom w:val="0"/>
                  <w:divBdr>
                    <w:top w:val="none" w:sz="0" w:space="0" w:color="auto"/>
                    <w:left w:val="none" w:sz="0" w:space="0" w:color="auto"/>
                    <w:bottom w:val="none" w:sz="0" w:space="0" w:color="auto"/>
                    <w:right w:val="none" w:sz="0" w:space="0" w:color="auto"/>
                  </w:divBdr>
                  <w:divsChild>
                    <w:div w:id="353114259">
                      <w:marLeft w:val="0"/>
                      <w:marRight w:val="0"/>
                      <w:marTop w:val="0"/>
                      <w:marBottom w:val="0"/>
                      <w:divBdr>
                        <w:top w:val="none" w:sz="0" w:space="0" w:color="auto"/>
                        <w:left w:val="none" w:sz="0" w:space="0" w:color="auto"/>
                        <w:bottom w:val="none" w:sz="0" w:space="0" w:color="auto"/>
                        <w:right w:val="none" w:sz="0" w:space="0" w:color="auto"/>
                      </w:divBdr>
                      <w:divsChild>
                        <w:div w:id="13898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comlaw.gov.au/Series/C2004A02562"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acma.gov.au" TargetMode="External"/><Relationship Id="rId25" Type="http://schemas.openxmlformats.org/officeDocument/2006/relationships/hyperlink" Target="http://www.acma.gov.au/theACMA/About/Corporate/Responsibilities/acma-evidenceinformed-regulation-and-effective-consultation"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footer" Target="footer4.xml"/><Relationship Id="rId29" Type="http://schemas.openxmlformats.org/officeDocument/2006/relationships/hyperlink" Target="http://www.oaic.gov.au/privacy/privacy-resources/privacy-fact-sheets/other/privacy-fact-sheet-17-australian-privacy-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edia@acma.gov.au"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acma.gov.au/Industry/Spectrum/Spectrum-projects/Mobile-broadband/mobile-broadband-strategy-and-work-plan" TargetMode="External"/><Relationship Id="rId28" Type="http://schemas.openxmlformats.org/officeDocument/2006/relationships/hyperlink" Target="http://www.comlaw.gov.au/Series/C2004A0371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yperlink" Target="https://www.acma.gov.au/Industry/Spectrum/Spectrum-projects/Mobile-broadband/five-year-spectrum-outlook-2016-20" TargetMode="External"/><Relationship Id="rId27" Type="http://schemas.openxmlformats.org/officeDocument/2006/relationships/hyperlink" Target="https://www.comlaw.gov.au/Series/C2005A00044" TargetMode="External"/><Relationship Id="rId30" Type="http://schemas.openxmlformats.org/officeDocument/2006/relationships/hyperlink" Target="http://www.acma.gov.au/privacypolicy"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5831-DD46-479F-88BE-0F94DA28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2017-09-14T20:22:00Z</dcterms:created>
  <dcterms:modified xsi:type="dcterms:W3CDTF">2017-09-14T20:22:00Z</dcterms:modified>
  <cp:category/>
</cp:coreProperties>
</file>