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bookmarkStart w:id="0" w:name="_GoBack"/>
      <w:bookmarkEnd w:id="0"/>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50EA1E3D" w14:textId="77777777" w:rsidR="00F82069" w:rsidRDefault="00D651C2">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3078457" w:history="1">
            <w:r w:rsidR="00F82069" w:rsidRPr="00BC5A58">
              <w:rPr>
                <w:rStyle w:val="Hyperlink"/>
                <w:rFonts w:ascii="Times New Roman" w:hAnsi="Times New Roman" w:cs="Times New Roman"/>
                <w:b/>
                <w:noProof/>
              </w:rPr>
              <w:t>I.</w:t>
            </w:r>
            <w:r w:rsidR="00F82069">
              <w:rPr>
                <w:rFonts w:eastAsiaTheme="minorEastAsia"/>
                <w:noProof/>
              </w:rPr>
              <w:tab/>
            </w:r>
            <w:r w:rsidR="00F82069" w:rsidRPr="00BC5A58">
              <w:rPr>
                <w:rStyle w:val="Hyperlink"/>
                <w:rFonts w:ascii="Times New Roman" w:hAnsi="Times New Roman" w:cs="Times New Roman"/>
                <w:b/>
                <w:noProof/>
              </w:rPr>
              <w:t>INTRODUCTION</w:t>
            </w:r>
            <w:r w:rsidR="00F82069">
              <w:rPr>
                <w:noProof/>
                <w:webHidden/>
              </w:rPr>
              <w:tab/>
            </w:r>
            <w:r w:rsidR="00F82069">
              <w:rPr>
                <w:noProof/>
                <w:webHidden/>
              </w:rPr>
              <w:fldChar w:fldCharType="begin"/>
            </w:r>
            <w:r w:rsidR="00F82069">
              <w:rPr>
                <w:noProof/>
                <w:webHidden/>
              </w:rPr>
              <w:instrText xml:space="preserve"> PAGEREF _Toc493078457 \h </w:instrText>
            </w:r>
            <w:r w:rsidR="00F82069">
              <w:rPr>
                <w:noProof/>
                <w:webHidden/>
              </w:rPr>
            </w:r>
            <w:r w:rsidR="00F82069">
              <w:rPr>
                <w:noProof/>
                <w:webHidden/>
              </w:rPr>
              <w:fldChar w:fldCharType="separate"/>
            </w:r>
            <w:r w:rsidR="00F82069">
              <w:rPr>
                <w:noProof/>
                <w:webHidden/>
              </w:rPr>
              <w:t>2</w:t>
            </w:r>
            <w:r w:rsidR="00F82069">
              <w:rPr>
                <w:noProof/>
                <w:webHidden/>
              </w:rPr>
              <w:fldChar w:fldCharType="end"/>
            </w:r>
          </w:hyperlink>
        </w:p>
        <w:p w14:paraId="4096F469" w14:textId="77777777" w:rsidR="00F82069" w:rsidRDefault="00F82069">
          <w:pPr>
            <w:pStyle w:val="TOC1"/>
            <w:tabs>
              <w:tab w:val="left" w:pos="660"/>
              <w:tab w:val="right" w:leader="dot" w:pos="9350"/>
            </w:tabs>
            <w:rPr>
              <w:rFonts w:eastAsiaTheme="minorEastAsia"/>
              <w:noProof/>
            </w:rPr>
          </w:pPr>
          <w:hyperlink w:anchor="_Toc493078458" w:history="1">
            <w:r w:rsidRPr="00BC5A58">
              <w:rPr>
                <w:rStyle w:val="Hyperlink"/>
                <w:rFonts w:ascii="Times New Roman" w:hAnsi="Times New Roman" w:cs="Times New Roman"/>
                <w:b/>
                <w:noProof/>
              </w:rPr>
              <w:t>II.</w:t>
            </w:r>
            <w:r>
              <w:rPr>
                <w:rFonts w:eastAsiaTheme="minorEastAsia"/>
                <w:noProof/>
              </w:rPr>
              <w:tab/>
            </w:r>
            <w:r w:rsidRPr="00BC5A58">
              <w:rPr>
                <w:rStyle w:val="Hyperlink"/>
                <w:rFonts w:ascii="Times New Roman" w:hAnsi="Times New Roman" w:cs="Times New Roman"/>
                <w:b/>
                <w:noProof/>
              </w:rPr>
              <w:t>BACKGROUND</w:t>
            </w:r>
            <w:r>
              <w:rPr>
                <w:noProof/>
                <w:webHidden/>
              </w:rPr>
              <w:tab/>
            </w:r>
            <w:r>
              <w:rPr>
                <w:noProof/>
                <w:webHidden/>
              </w:rPr>
              <w:fldChar w:fldCharType="begin"/>
            </w:r>
            <w:r>
              <w:rPr>
                <w:noProof/>
                <w:webHidden/>
              </w:rPr>
              <w:instrText xml:space="preserve"> PAGEREF _Toc493078458 \h </w:instrText>
            </w:r>
            <w:r>
              <w:rPr>
                <w:noProof/>
                <w:webHidden/>
              </w:rPr>
            </w:r>
            <w:r>
              <w:rPr>
                <w:noProof/>
                <w:webHidden/>
              </w:rPr>
              <w:fldChar w:fldCharType="separate"/>
            </w:r>
            <w:r>
              <w:rPr>
                <w:noProof/>
                <w:webHidden/>
              </w:rPr>
              <w:t>2</w:t>
            </w:r>
            <w:r>
              <w:rPr>
                <w:noProof/>
                <w:webHidden/>
              </w:rPr>
              <w:fldChar w:fldCharType="end"/>
            </w:r>
          </w:hyperlink>
        </w:p>
        <w:p w14:paraId="7A2B2959" w14:textId="77777777" w:rsidR="00F82069" w:rsidRDefault="00F82069">
          <w:pPr>
            <w:pStyle w:val="TOC1"/>
            <w:tabs>
              <w:tab w:val="left" w:pos="660"/>
              <w:tab w:val="right" w:leader="dot" w:pos="9350"/>
            </w:tabs>
            <w:rPr>
              <w:rFonts w:eastAsiaTheme="minorEastAsia"/>
              <w:noProof/>
            </w:rPr>
          </w:pPr>
          <w:hyperlink w:anchor="_Toc493078459" w:history="1">
            <w:r w:rsidRPr="00BC5A58">
              <w:rPr>
                <w:rStyle w:val="Hyperlink"/>
                <w:rFonts w:ascii="Times New Roman" w:hAnsi="Times New Roman" w:cs="Times New Roman"/>
                <w:b/>
                <w:noProof/>
              </w:rPr>
              <w:t>III.</w:t>
            </w:r>
            <w:r>
              <w:rPr>
                <w:rFonts w:eastAsiaTheme="minorEastAsia"/>
                <w:noProof/>
              </w:rPr>
              <w:tab/>
            </w:r>
            <w:r w:rsidRPr="00BC5A58">
              <w:rPr>
                <w:rStyle w:val="Hyperlink"/>
                <w:rFonts w:ascii="Times New Roman" w:hAnsi="Times New Roman" w:cs="Times New Roman"/>
                <w:b/>
                <w:noProof/>
              </w:rPr>
              <w:t>UNLICENSED SHARING OF 5.925-7.125 GHz</w:t>
            </w:r>
            <w:r>
              <w:rPr>
                <w:noProof/>
                <w:webHidden/>
              </w:rPr>
              <w:tab/>
            </w:r>
            <w:r>
              <w:rPr>
                <w:noProof/>
                <w:webHidden/>
              </w:rPr>
              <w:fldChar w:fldCharType="begin"/>
            </w:r>
            <w:r>
              <w:rPr>
                <w:noProof/>
                <w:webHidden/>
              </w:rPr>
              <w:instrText xml:space="preserve"> PAGEREF _Toc493078459 \h </w:instrText>
            </w:r>
            <w:r>
              <w:rPr>
                <w:noProof/>
                <w:webHidden/>
              </w:rPr>
            </w:r>
            <w:r>
              <w:rPr>
                <w:noProof/>
                <w:webHidden/>
              </w:rPr>
              <w:fldChar w:fldCharType="separate"/>
            </w:r>
            <w:r>
              <w:rPr>
                <w:noProof/>
                <w:webHidden/>
              </w:rPr>
              <w:t>3</w:t>
            </w:r>
            <w:r>
              <w:rPr>
                <w:noProof/>
                <w:webHidden/>
              </w:rPr>
              <w:fldChar w:fldCharType="end"/>
            </w:r>
          </w:hyperlink>
        </w:p>
        <w:p w14:paraId="64DE26ED" w14:textId="77777777" w:rsidR="00F82069" w:rsidRDefault="00F82069">
          <w:pPr>
            <w:pStyle w:val="TOC1"/>
            <w:tabs>
              <w:tab w:val="left" w:pos="660"/>
              <w:tab w:val="right" w:leader="dot" w:pos="9350"/>
            </w:tabs>
            <w:rPr>
              <w:rFonts w:eastAsiaTheme="minorEastAsia"/>
              <w:noProof/>
            </w:rPr>
          </w:pPr>
          <w:hyperlink w:anchor="_Toc493078460" w:history="1">
            <w:r w:rsidRPr="00BC5A58">
              <w:rPr>
                <w:rStyle w:val="Hyperlink"/>
                <w:rFonts w:ascii="Times New Roman" w:hAnsi="Times New Roman" w:cs="Times New Roman"/>
                <w:b/>
                <w:noProof/>
              </w:rPr>
              <w:t>IV.</w:t>
            </w:r>
            <w:r>
              <w:rPr>
                <w:rFonts w:eastAsiaTheme="minorEastAsia"/>
                <w:noProof/>
              </w:rPr>
              <w:tab/>
            </w:r>
            <w:r w:rsidRPr="00BC5A58">
              <w:rPr>
                <w:rStyle w:val="Hyperlink"/>
                <w:rFonts w:ascii="Times New Roman" w:hAnsi="Times New Roman" w:cs="Times New Roman"/>
                <w:b/>
                <w:noProof/>
              </w:rPr>
              <w:t>INCUMBENT PROTECTION</w:t>
            </w:r>
            <w:r>
              <w:rPr>
                <w:noProof/>
                <w:webHidden/>
              </w:rPr>
              <w:tab/>
            </w:r>
            <w:r>
              <w:rPr>
                <w:noProof/>
                <w:webHidden/>
              </w:rPr>
              <w:fldChar w:fldCharType="begin"/>
            </w:r>
            <w:r>
              <w:rPr>
                <w:noProof/>
                <w:webHidden/>
              </w:rPr>
              <w:instrText xml:space="preserve"> PAGEREF _Toc493078460 \h </w:instrText>
            </w:r>
            <w:r>
              <w:rPr>
                <w:noProof/>
                <w:webHidden/>
              </w:rPr>
            </w:r>
            <w:r>
              <w:rPr>
                <w:noProof/>
                <w:webHidden/>
              </w:rPr>
              <w:fldChar w:fldCharType="separate"/>
            </w:r>
            <w:r>
              <w:rPr>
                <w:noProof/>
                <w:webHidden/>
              </w:rPr>
              <w:t>3</w:t>
            </w:r>
            <w:r>
              <w:rPr>
                <w:noProof/>
                <w:webHidden/>
              </w:rPr>
              <w:fldChar w:fldCharType="end"/>
            </w:r>
          </w:hyperlink>
        </w:p>
        <w:p w14:paraId="39884C02" w14:textId="77777777" w:rsidR="00F82069" w:rsidRDefault="00F82069">
          <w:pPr>
            <w:pStyle w:val="TOC1"/>
            <w:tabs>
              <w:tab w:val="left" w:pos="440"/>
              <w:tab w:val="right" w:leader="dot" w:pos="9350"/>
            </w:tabs>
            <w:rPr>
              <w:rFonts w:eastAsiaTheme="minorEastAsia"/>
              <w:noProof/>
            </w:rPr>
          </w:pPr>
          <w:hyperlink w:anchor="_Toc493078461" w:history="1">
            <w:r w:rsidRPr="00BC5A58">
              <w:rPr>
                <w:rStyle w:val="Hyperlink"/>
                <w:rFonts w:ascii="Times New Roman" w:hAnsi="Times New Roman" w:cs="Times New Roman"/>
                <w:b/>
                <w:noProof/>
              </w:rPr>
              <w:t>V.</w:t>
            </w:r>
            <w:r>
              <w:rPr>
                <w:rFonts w:eastAsiaTheme="minorEastAsia"/>
                <w:noProof/>
              </w:rPr>
              <w:tab/>
            </w:r>
            <w:r w:rsidRPr="00BC5A58">
              <w:rPr>
                <w:rStyle w:val="Hyperlink"/>
                <w:rFonts w:ascii="Times New Roman" w:hAnsi="Times New Roman" w:cs="Times New Roman"/>
                <w:b/>
                <w:noProof/>
              </w:rPr>
              <w:t>UNLICENSED SPECTRUM NEEDS</w:t>
            </w:r>
            <w:r>
              <w:rPr>
                <w:noProof/>
                <w:webHidden/>
              </w:rPr>
              <w:tab/>
            </w:r>
            <w:r>
              <w:rPr>
                <w:noProof/>
                <w:webHidden/>
              </w:rPr>
              <w:fldChar w:fldCharType="begin"/>
            </w:r>
            <w:r>
              <w:rPr>
                <w:noProof/>
                <w:webHidden/>
              </w:rPr>
              <w:instrText xml:space="preserve"> PAGEREF _Toc493078461 \h </w:instrText>
            </w:r>
            <w:r>
              <w:rPr>
                <w:noProof/>
                <w:webHidden/>
              </w:rPr>
            </w:r>
            <w:r>
              <w:rPr>
                <w:noProof/>
                <w:webHidden/>
              </w:rPr>
              <w:fldChar w:fldCharType="separate"/>
            </w:r>
            <w:r>
              <w:rPr>
                <w:noProof/>
                <w:webHidden/>
              </w:rPr>
              <w:t>4</w:t>
            </w:r>
            <w:r>
              <w:rPr>
                <w:noProof/>
                <w:webHidden/>
              </w:rPr>
              <w:fldChar w:fldCharType="end"/>
            </w:r>
          </w:hyperlink>
        </w:p>
        <w:p w14:paraId="3CD8B082" w14:textId="77777777" w:rsidR="00F82069" w:rsidRDefault="00F82069">
          <w:pPr>
            <w:pStyle w:val="TOC1"/>
            <w:tabs>
              <w:tab w:val="left" w:pos="660"/>
              <w:tab w:val="right" w:leader="dot" w:pos="9350"/>
            </w:tabs>
            <w:rPr>
              <w:rFonts w:eastAsiaTheme="minorEastAsia"/>
              <w:noProof/>
            </w:rPr>
          </w:pPr>
          <w:hyperlink w:anchor="_Toc493078462" w:history="1">
            <w:r w:rsidRPr="00BC5A58">
              <w:rPr>
                <w:rStyle w:val="Hyperlink"/>
                <w:rFonts w:ascii="Times New Roman" w:hAnsi="Times New Roman" w:cs="Times New Roman"/>
                <w:b/>
                <w:noProof/>
              </w:rPr>
              <w:t>VI.</w:t>
            </w:r>
            <w:r>
              <w:rPr>
                <w:rFonts w:eastAsiaTheme="minorEastAsia"/>
                <w:noProof/>
              </w:rPr>
              <w:tab/>
            </w:r>
            <w:r w:rsidRPr="00BC5A58">
              <w:rPr>
                <w:rStyle w:val="Hyperlink"/>
                <w:rFonts w:ascii="Times New Roman" w:hAnsi="Times New Roman" w:cs="Times New Roman"/>
                <w:b/>
                <w:noProof/>
              </w:rPr>
              <w:t>INCUMBENT PROTECTION DATA INTEGRITY</w:t>
            </w:r>
            <w:r>
              <w:rPr>
                <w:noProof/>
                <w:webHidden/>
              </w:rPr>
              <w:tab/>
            </w:r>
            <w:r>
              <w:rPr>
                <w:noProof/>
                <w:webHidden/>
              </w:rPr>
              <w:fldChar w:fldCharType="begin"/>
            </w:r>
            <w:r>
              <w:rPr>
                <w:noProof/>
                <w:webHidden/>
              </w:rPr>
              <w:instrText xml:space="preserve"> PAGEREF _Toc493078462 \h </w:instrText>
            </w:r>
            <w:r>
              <w:rPr>
                <w:noProof/>
                <w:webHidden/>
              </w:rPr>
            </w:r>
            <w:r>
              <w:rPr>
                <w:noProof/>
                <w:webHidden/>
              </w:rPr>
              <w:fldChar w:fldCharType="separate"/>
            </w:r>
            <w:r>
              <w:rPr>
                <w:noProof/>
                <w:webHidden/>
              </w:rPr>
              <w:t>5</w:t>
            </w:r>
            <w:r>
              <w:rPr>
                <w:noProof/>
                <w:webHidden/>
              </w:rPr>
              <w:fldChar w:fldCharType="end"/>
            </w:r>
          </w:hyperlink>
        </w:p>
        <w:p w14:paraId="5FF84583" w14:textId="77777777" w:rsidR="00F82069" w:rsidRDefault="00F82069">
          <w:pPr>
            <w:pStyle w:val="TOC1"/>
            <w:tabs>
              <w:tab w:val="left" w:pos="660"/>
              <w:tab w:val="right" w:leader="dot" w:pos="9350"/>
            </w:tabs>
            <w:rPr>
              <w:rFonts w:eastAsiaTheme="minorEastAsia"/>
              <w:noProof/>
            </w:rPr>
          </w:pPr>
          <w:hyperlink w:anchor="_Toc493078463" w:history="1">
            <w:r w:rsidRPr="00BC5A58">
              <w:rPr>
                <w:rStyle w:val="Hyperlink"/>
                <w:rFonts w:ascii="Times New Roman" w:hAnsi="Times New Roman" w:cs="Times New Roman"/>
                <w:b/>
                <w:noProof/>
              </w:rPr>
              <w:t>VII.</w:t>
            </w:r>
            <w:r>
              <w:rPr>
                <w:rFonts w:eastAsiaTheme="minorEastAsia"/>
                <w:noProof/>
              </w:rPr>
              <w:tab/>
            </w:r>
            <w:r w:rsidRPr="00BC5A58">
              <w:rPr>
                <w:rStyle w:val="Hyperlink"/>
                <w:rFonts w:ascii="Times New Roman" w:hAnsi="Times New Roman" w:cs="Times New Roman"/>
                <w:b/>
                <w:noProof/>
              </w:rPr>
              <w:t>GLOBAL HARMONIZATION</w:t>
            </w:r>
            <w:r>
              <w:rPr>
                <w:noProof/>
                <w:webHidden/>
              </w:rPr>
              <w:tab/>
            </w:r>
            <w:r>
              <w:rPr>
                <w:noProof/>
                <w:webHidden/>
              </w:rPr>
              <w:fldChar w:fldCharType="begin"/>
            </w:r>
            <w:r>
              <w:rPr>
                <w:noProof/>
                <w:webHidden/>
              </w:rPr>
              <w:instrText xml:space="preserve"> PAGEREF _Toc493078463 \h </w:instrText>
            </w:r>
            <w:r>
              <w:rPr>
                <w:noProof/>
                <w:webHidden/>
              </w:rPr>
            </w:r>
            <w:r>
              <w:rPr>
                <w:noProof/>
                <w:webHidden/>
              </w:rPr>
              <w:fldChar w:fldCharType="separate"/>
            </w:r>
            <w:r>
              <w:rPr>
                <w:noProof/>
                <w:webHidden/>
              </w:rPr>
              <w:t>5</w:t>
            </w:r>
            <w:r>
              <w:rPr>
                <w:noProof/>
                <w:webHidden/>
              </w:rPr>
              <w:fldChar w:fldCharType="end"/>
            </w:r>
          </w:hyperlink>
        </w:p>
        <w:p w14:paraId="528FAE12" w14:textId="77777777" w:rsidR="00F82069" w:rsidRDefault="00F82069">
          <w:pPr>
            <w:pStyle w:val="TOC1"/>
            <w:tabs>
              <w:tab w:val="left" w:pos="880"/>
              <w:tab w:val="right" w:leader="dot" w:pos="9350"/>
            </w:tabs>
            <w:rPr>
              <w:rFonts w:eastAsiaTheme="minorEastAsia"/>
              <w:noProof/>
            </w:rPr>
          </w:pPr>
          <w:hyperlink w:anchor="_Toc493078464" w:history="1">
            <w:r w:rsidRPr="00BC5A58">
              <w:rPr>
                <w:rStyle w:val="Hyperlink"/>
                <w:rFonts w:ascii="Times New Roman" w:hAnsi="Times New Roman" w:cs="Times New Roman"/>
                <w:b/>
                <w:noProof/>
              </w:rPr>
              <w:t>VIII.</w:t>
            </w:r>
            <w:r>
              <w:rPr>
                <w:rFonts w:eastAsiaTheme="minorEastAsia"/>
                <w:noProof/>
              </w:rPr>
              <w:tab/>
            </w:r>
            <w:r w:rsidRPr="00BC5A58">
              <w:rPr>
                <w:rStyle w:val="Hyperlink"/>
                <w:rFonts w:ascii="Times New Roman" w:hAnsi="Times New Roman" w:cs="Times New Roman"/>
                <w:b/>
                <w:noProof/>
              </w:rPr>
              <w:t>OTHER CONSIDERATIONS</w:t>
            </w:r>
            <w:r>
              <w:rPr>
                <w:noProof/>
                <w:webHidden/>
              </w:rPr>
              <w:tab/>
            </w:r>
            <w:r>
              <w:rPr>
                <w:noProof/>
                <w:webHidden/>
              </w:rPr>
              <w:fldChar w:fldCharType="begin"/>
            </w:r>
            <w:r>
              <w:rPr>
                <w:noProof/>
                <w:webHidden/>
              </w:rPr>
              <w:instrText xml:space="preserve"> PAGEREF _Toc493078464 \h </w:instrText>
            </w:r>
            <w:r>
              <w:rPr>
                <w:noProof/>
                <w:webHidden/>
              </w:rPr>
            </w:r>
            <w:r>
              <w:rPr>
                <w:noProof/>
                <w:webHidden/>
              </w:rPr>
              <w:fldChar w:fldCharType="separate"/>
            </w:r>
            <w:r>
              <w:rPr>
                <w:noProof/>
                <w:webHidden/>
              </w:rPr>
              <w:t>5</w:t>
            </w:r>
            <w:r>
              <w:rPr>
                <w:noProof/>
                <w:webHidden/>
              </w:rPr>
              <w:fldChar w:fldCharType="end"/>
            </w:r>
          </w:hyperlink>
        </w:p>
        <w:p w14:paraId="6D15CF90" w14:textId="77777777" w:rsidR="00F82069" w:rsidRDefault="00F82069">
          <w:pPr>
            <w:pStyle w:val="TOC1"/>
            <w:tabs>
              <w:tab w:val="left" w:pos="660"/>
              <w:tab w:val="right" w:leader="dot" w:pos="9350"/>
            </w:tabs>
            <w:rPr>
              <w:rFonts w:eastAsiaTheme="minorEastAsia"/>
              <w:noProof/>
            </w:rPr>
          </w:pPr>
          <w:hyperlink w:anchor="_Toc493078465" w:history="1">
            <w:r w:rsidRPr="00BC5A58">
              <w:rPr>
                <w:rStyle w:val="Hyperlink"/>
                <w:rFonts w:ascii="Times New Roman" w:hAnsi="Times New Roman" w:cs="Times New Roman"/>
                <w:b/>
                <w:noProof/>
              </w:rPr>
              <w:t>IX.</w:t>
            </w:r>
            <w:r>
              <w:rPr>
                <w:rFonts w:eastAsiaTheme="minorEastAsia"/>
                <w:noProof/>
              </w:rPr>
              <w:tab/>
            </w:r>
            <w:r w:rsidRPr="00BC5A58">
              <w:rPr>
                <w:rStyle w:val="Hyperlink"/>
                <w:rFonts w:ascii="Times New Roman" w:hAnsi="Times New Roman" w:cs="Times New Roman"/>
                <w:b/>
                <w:noProof/>
              </w:rPr>
              <w:t>URGENCY</w:t>
            </w:r>
            <w:r>
              <w:rPr>
                <w:noProof/>
                <w:webHidden/>
              </w:rPr>
              <w:tab/>
            </w:r>
            <w:r>
              <w:rPr>
                <w:noProof/>
                <w:webHidden/>
              </w:rPr>
              <w:fldChar w:fldCharType="begin"/>
            </w:r>
            <w:r>
              <w:rPr>
                <w:noProof/>
                <w:webHidden/>
              </w:rPr>
              <w:instrText xml:space="preserve"> PAGEREF _Toc493078465 \h </w:instrText>
            </w:r>
            <w:r>
              <w:rPr>
                <w:noProof/>
                <w:webHidden/>
              </w:rPr>
            </w:r>
            <w:r>
              <w:rPr>
                <w:noProof/>
                <w:webHidden/>
              </w:rPr>
              <w:fldChar w:fldCharType="separate"/>
            </w:r>
            <w:r>
              <w:rPr>
                <w:noProof/>
                <w:webHidden/>
              </w:rPr>
              <w:t>6</w:t>
            </w:r>
            <w:r>
              <w:rPr>
                <w:noProof/>
                <w:webHidden/>
              </w:rPr>
              <w:fldChar w:fldCharType="end"/>
            </w:r>
          </w:hyperlink>
        </w:p>
        <w:p w14:paraId="78C8BE25" w14:textId="77777777" w:rsidR="00F82069" w:rsidRDefault="00F82069">
          <w:pPr>
            <w:pStyle w:val="TOC1"/>
            <w:tabs>
              <w:tab w:val="left" w:pos="440"/>
              <w:tab w:val="right" w:leader="dot" w:pos="9350"/>
            </w:tabs>
            <w:rPr>
              <w:rFonts w:eastAsiaTheme="minorEastAsia"/>
              <w:noProof/>
            </w:rPr>
          </w:pPr>
          <w:hyperlink w:anchor="_Toc493078466" w:history="1">
            <w:r w:rsidRPr="00BC5A58">
              <w:rPr>
                <w:rStyle w:val="Hyperlink"/>
                <w:rFonts w:ascii="Times New Roman" w:hAnsi="Times New Roman" w:cs="Times New Roman"/>
                <w:b/>
                <w:noProof/>
              </w:rPr>
              <w:t>X.</w:t>
            </w:r>
            <w:r>
              <w:rPr>
                <w:rFonts w:eastAsiaTheme="minorEastAsia"/>
                <w:noProof/>
              </w:rPr>
              <w:tab/>
            </w:r>
            <w:r w:rsidRPr="00BC5A58">
              <w:rPr>
                <w:rStyle w:val="Hyperlink"/>
                <w:rFonts w:ascii="Times New Roman" w:hAnsi="Times New Roman" w:cs="Times New Roman"/>
                <w:b/>
                <w:noProof/>
              </w:rPr>
              <w:t>CONCLUSIONS</w:t>
            </w:r>
            <w:r>
              <w:rPr>
                <w:noProof/>
                <w:webHidden/>
              </w:rPr>
              <w:tab/>
            </w:r>
            <w:r>
              <w:rPr>
                <w:noProof/>
                <w:webHidden/>
              </w:rPr>
              <w:fldChar w:fldCharType="begin"/>
            </w:r>
            <w:r>
              <w:rPr>
                <w:noProof/>
                <w:webHidden/>
              </w:rPr>
              <w:instrText xml:space="preserve"> PAGEREF _Toc493078466 \h </w:instrText>
            </w:r>
            <w:r>
              <w:rPr>
                <w:noProof/>
                <w:webHidden/>
              </w:rPr>
            </w:r>
            <w:r>
              <w:rPr>
                <w:noProof/>
                <w:webHidden/>
              </w:rPr>
              <w:fldChar w:fldCharType="separate"/>
            </w:r>
            <w:r>
              <w:rPr>
                <w:noProof/>
                <w:webHidden/>
              </w:rPr>
              <w:t>6</w:t>
            </w:r>
            <w:r>
              <w:rPr>
                <w:noProof/>
                <w:webHidden/>
              </w:rPr>
              <w:fldChar w:fldCharType="end"/>
            </w:r>
          </w:hyperlink>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F10C3A">
      <w:pPr>
        <w:pStyle w:val="Heading1"/>
        <w:spacing w:before="0" w:line="360" w:lineRule="auto"/>
        <w:ind w:left="144" w:firstLine="720"/>
        <w:rPr>
          <w:rFonts w:ascii="Times New Roman" w:hAnsi="Times New Roman" w:cs="Times New Roman"/>
          <w:b/>
          <w:color w:val="auto"/>
          <w:sz w:val="24"/>
        </w:rPr>
      </w:pPr>
      <w:bookmarkStart w:id="1" w:name="_Toc493078457"/>
      <w:r w:rsidRPr="00C60699">
        <w:rPr>
          <w:rFonts w:ascii="Times New Roman" w:hAnsi="Times New Roman" w:cs="Times New Roman"/>
          <w:b/>
          <w:color w:val="auto"/>
          <w:sz w:val="24"/>
        </w:rPr>
        <w:t>INTRODUCTION</w:t>
      </w:r>
      <w:bookmarkEnd w:id="1"/>
    </w:p>
    <w:p w14:paraId="2C616123" w14:textId="77777777" w:rsidR="000E3E6C" w:rsidRDefault="000E3E6C" w:rsidP="002B55A5">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2" w:name="_Toc493078458"/>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2"/>
    </w:p>
    <w:p w14:paraId="505895BB" w14:textId="203D3F1D"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0061011C">
        <w:rPr>
          <w:rFonts w:ascii="Times New Roman" w:hAnsi="Times New Roman" w:cs="Times New Roman"/>
        </w:rPr>
        <w:t>, based on the IEEE 802.11 standard</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and consumers</w:t>
      </w:r>
      <w:r w:rsidR="0061011C">
        <w:rPr>
          <w:rFonts w:ascii="Times New Roman" w:hAnsi="Times New Roman" w:cs="Times New Roman"/>
        </w:rPr>
        <w:t>, as well as public institutions such as schools and hospitals</w:t>
      </w:r>
      <w:r w:rsidR="006835FD">
        <w:rPr>
          <w:rFonts w:ascii="Times New Roman" w:hAnsi="Times New Roman" w:cs="Times New Roman"/>
        </w:rPr>
        <w:t xml:space="preserve"> </w:t>
      </w:r>
      <w:r w:rsidR="006835FD" w:rsidRPr="007D4EAC">
        <w:rPr>
          <w:rFonts w:ascii="Times New Roman" w:hAnsi="Times New Roman" w:cs="Times New Roman"/>
        </w:rPr>
        <w:t xml:space="preserve">that now </w:t>
      </w:r>
      <w:r w:rsidR="0061011C">
        <w:rPr>
          <w:rFonts w:ascii="Times New Roman" w:hAnsi="Times New Roman" w:cs="Times New Roman"/>
        </w:rPr>
        <w:t>rely</w:t>
      </w:r>
      <w:r w:rsidR="0061011C" w:rsidRPr="007D4EAC">
        <w:rPr>
          <w:rFonts w:ascii="Times New Roman" w:hAnsi="Times New Roman" w:cs="Times New Roman"/>
        </w:rPr>
        <w:t xml:space="preserve"> </w:t>
      </w:r>
      <w:r w:rsidR="006835FD" w:rsidRPr="007D4EAC">
        <w:rPr>
          <w:rFonts w:ascii="Times New Roman" w:hAnsi="Times New Roman" w:cs="Times New Roman"/>
        </w:rPr>
        <w:t xml:space="preserve">heavily on Wi-Fi. </w:t>
      </w:r>
      <w:r w:rsidRPr="007D4EAC">
        <w:rPr>
          <w:rFonts w:ascii="Times New Roman" w:hAnsi="Times New Roman" w:cs="Times New Roman"/>
        </w:rPr>
        <w:t>All this success, and all of the jobs</w:t>
      </w:r>
      <w:r w:rsidR="006E273D">
        <w:rPr>
          <w:rFonts w:ascii="Times New Roman" w:hAnsi="Times New Roman" w:cs="Times New Roman"/>
        </w:rPr>
        <w:t xml:space="preserve"> Wi-Fi</w:t>
      </w:r>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6E273D">
        <w:rPr>
          <w:rFonts w:ascii="Times New Roman" w:hAnsi="Times New Roman" w:cs="Times New Roman"/>
        </w:rPr>
        <w:t xml:space="preserve"> and unlicensed technical rules, which</w:t>
      </w:r>
      <w:r w:rsidR="00844C57" w:rsidRPr="007D4EAC">
        <w:rPr>
          <w:rFonts w:ascii="Times New Roman" w:hAnsi="Times New Roman" w:cs="Times New Roman"/>
        </w:rPr>
        <w:t xml:space="preserve"> </w:t>
      </w:r>
      <w:r w:rsidR="006E273D">
        <w:rPr>
          <w:rFonts w:ascii="Times New Roman" w:hAnsi="Times New Roman" w:cs="Times New Roman"/>
        </w:rPr>
        <w:t>require Wi-Fi to accept all interference and</w:t>
      </w:r>
      <w:r w:rsidRPr="007D4EAC">
        <w:rPr>
          <w:rFonts w:ascii="Times New Roman" w:hAnsi="Times New Roman" w:cs="Times New Roman"/>
        </w:rPr>
        <w:t xml:space="preserve"> </w:t>
      </w:r>
      <w:r w:rsidR="006E273D" w:rsidRPr="007D4EAC">
        <w:rPr>
          <w:rFonts w:ascii="Times New Roman" w:hAnsi="Times New Roman" w:cs="Times New Roman"/>
        </w:rPr>
        <w:t xml:space="preserve">protect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r w:rsidRPr="007D4EAC">
        <w:rPr>
          <w:rFonts w:ascii="Times New Roman" w:hAnsi="Times New Roman" w:cs="Times New Roman"/>
        </w:rPr>
        <w:t>spectrum with</w:t>
      </w:r>
      <w:r w:rsidR="006E273D">
        <w:rPr>
          <w:rFonts w:ascii="Times New Roman" w:hAnsi="Times New Roman" w:cs="Times New Roman"/>
        </w:rPr>
        <w:t xml:space="preserve"> from harmful interference</w:t>
      </w:r>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proven to be an effective </w:t>
      </w:r>
      <w:r w:rsidR="006E273D">
        <w:rPr>
          <w:rFonts w:ascii="Times New Roman" w:hAnsi="Times New Roman" w:cs="Times New Roman"/>
        </w:rPr>
        <w:t xml:space="preserve">spectrum sharing </w:t>
      </w:r>
      <w:r w:rsidR="00A85260" w:rsidRPr="007D4EAC">
        <w:rPr>
          <w:rFonts w:ascii="Times New Roman" w:hAnsi="Times New Roman" w:cs="Times New Roman"/>
        </w:rPr>
        <w:t>mechanism</w:t>
      </w:r>
      <w:r w:rsidR="006E273D">
        <w:rPr>
          <w:rFonts w:ascii="Times New Roman" w:hAnsi="Times New Roman" w:cs="Times New Roman"/>
        </w:rPr>
        <w:t>,</w:t>
      </w:r>
      <w:r w:rsidR="00A85260" w:rsidRPr="007D4EAC">
        <w:rPr>
          <w:rFonts w:ascii="Times New Roman" w:hAnsi="Times New Roman" w:cs="Times New Roman"/>
        </w:rPr>
        <w:t xml:space="preserve"> providing an apparent perfect record of </w:t>
      </w:r>
      <w:r w:rsidR="006E273D">
        <w:rPr>
          <w:rFonts w:ascii="Times New Roman" w:hAnsi="Times New Roman" w:cs="Times New Roman"/>
        </w:rPr>
        <w:t>protecting sensitive Federal government radar operations from harmful interference</w:t>
      </w:r>
      <w:r w:rsidR="00A85260" w:rsidRPr="007D4EAC">
        <w:rPr>
          <w:rFonts w:ascii="Times New Roman" w:hAnsi="Times New Roman" w:cs="Times New Roman"/>
        </w:rPr>
        <w:t>.</w:t>
      </w:r>
      <w:r w:rsidR="00E2589C">
        <w:rPr>
          <w:rFonts w:ascii="Times New Roman" w:hAnsi="Times New Roman" w:cs="Times New Roman"/>
        </w:rPr>
        <w:t xml:space="preserve">  </w:t>
      </w:r>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020315CE"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r w:rsidR="00031DBF">
        <w:rPr>
          <w:rFonts w:ascii="Times New Roman" w:hAnsi="Times New Roman" w:cs="Times New Roman"/>
        </w:rPr>
        <w:t>Wi-Fi’s</w:t>
      </w:r>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band, congestion clouds </w:t>
      </w:r>
      <w:r w:rsidR="00031DBF">
        <w:rPr>
          <w:rFonts w:ascii="Times New Roman" w:hAnsi="Times New Roman" w:cs="Times New Roman"/>
        </w:rPr>
        <w:t>Wi-Fi’s</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future. </w:t>
      </w:r>
      <w:r w:rsidR="006835FD" w:rsidRPr="007D4EAC">
        <w:rPr>
          <w:rFonts w:ascii="Times New Roman" w:hAnsi="Times New Roman" w:cs="Times New Roman"/>
        </w:rPr>
        <w:t>The Commission’s 2013 attempt to provide additional bands for unlicensed services has been met with limited success</w:t>
      </w:r>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Gbps</w:t>
      </w:r>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w:t>
      </w:r>
      <w:r w:rsidR="00366711" w:rsidRPr="007D4EAC">
        <w:rPr>
          <w:rFonts w:ascii="Times New Roman" w:hAnsi="Times New Roman" w:cs="Times New Roman"/>
        </w:rPr>
        <w:lastRenderedPageBreak/>
        <w:t>those that depend on it. This proceeding</w:t>
      </w:r>
      <w:r w:rsidR="00031DBF">
        <w:rPr>
          <w:rFonts w:ascii="Times New Roman" w:hAnsi="Times New Roman" w:cs="Times New Roman"/>
        </w:rPr>
        <w:t>, in addition to the Commission’s ongoing efforts to open the 5850-5925 MHz band for unlicensed use,</w:t>
      </w:r>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3" w:name="_Toc493078459"/>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3"/>
    </w:p>
    <w:p w14:paraId="1BB521B0" w14:textId="58ADA52E"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r w:rsidRPr="007D4EAC">
        <w:rPr>
          <w:rFonts w:ascii="Times New Roman" w:hAnsi="Times New Roman" w:cs="Times New Roman"/>
        </w:rPr>
        <w:t>Notice of Inquiry, and to best enable th</w:t>
      </w:r>
      <w:r w:rsidR="00F54ACF">
        <w:rPr>
          <w:rFonts w:ascii="Times New Roman" w:hAnsi="Times New Roman" w:cs="Times New Roman"/>
        </w:rPr>
        <w:t>e</w:t>
      </w:r>
      <w:r w:rsidRPr="007D4EAC">
        <w:rPr>
          <w:rFonts w:ascii="Times New Roman" w:hAnsi="Times New Roman" w:cs="Times New Roman"/>
        </w:rPr>
        <w:t xml:space="preserve"> </w:t>
      </w:r>
      <w:r w:rsidR="00F54ACF">
        <w:rPr>
          <w:rFonts w:ascii="Times New Roman" w:hAnsi="Times New Roman" w:cs="Times New Roman"/>
        </w:rPr>
        <w:t>next generation of Wi-Fi</w:t>
      </w:r>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r w:rsidR="006835FD">
        <w:rPr>
          <w:rFonts w:ascii="Times New Roman" w:hAnsi="Times New Roman" w:cs="Times New Roman"/>
        </w:rPr>
        <w:t>This would allow products based on IEEE 802.11 standards</w:t>
      </w:r>
      <w:r w:rsidR="001547FD">
        <w:rPr>
          <w:rFonts w:ascii="Times New Roman" w:hAnsi="Times New Roman" w:cs="Times New Roman"/>
        </w:rPr>
        <w:t xml:space="preserve"> 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409273AC" w14:textId="550D15C1" w:rsidR="00BE6756" w:rsidRDefault="006835FD" w:rsidP="00BE6756">
      <w:pPr>
        <w:spacing w:after="0" w:line="360" w:lineRule="auto"/>
        <w:ind w:left="144" w:firstLine="720"/>
        <w:rPr>
          <w:rFonts w:ascii="Times New Roman" w:hAnsi="Times New Roman" w:cs="Times New Roman"/>
        </w:rPr>
      </w:pPr>
      <w:r>
        <w:rPr>
          <w:rFonts w:ascii="Times New Roman" w:hAnsi="Times New Roman" w:cs="Times New Roman"/>
        </w:rPr>
        <w:t>I</w:t>
      </w:r>
      <w:r w:rsidR="00BF3B0F" w:rsidRPr="007D4EAC">
        <w:rPr>
          <w:rFonts w:ascii="Times New Roman" w:hAnsi="Times New Roman" w:cs="Times New Roman"/>
        </w:rPr>
        <w:t xml:space="preserve">n order 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EB00BE">
      <w:pPr>
        <w:pStyle w:val="Heading1"/>
        <w:spacing w:line="360" w:lineRule="auto"/>
        <w:rPr>
          <w:rFonts w:ascii="Times New Roman" w:hAnsi="Times New Roman" w:cs="Times New Roman"/>
          <w:b/>
          <w:color w:val="auto"/>
          <w:sz w:val="24"/>
        </w:rPr>
      </w:pPr>
      <w:bookmarkStart w:id="4" w:name="_Toc493078460"/>
      <w:r w:rsidRPr="00C60699">
        <w:rPr>
          <w:rFonts w:ascii="Times New Roman" w:hAnsi="Times New Roman" w:cs="Times New Roman"/>
          <w:b/>
          <w:color w:val="auto"/>
          <w:sz w:val="24"/>
        </w:rPr>
        <w:t>INCUMBENT PROTECTION</w:t>
      </w:r>
      <w:bookmarkEnd w:id="4"/>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14:paraId="71C7DA63" w14:textId="7A404394" w:rsidR="00405034" w:rsidRPr="00984BD5" w:rsidRDefault="003E55D2" w:rsidP="00F10C3A">
      <w:pPr>
        <w:pStyle w:val="ListParagraph"/>
        <w:numPr>
          <w:ilvl w:val="0"/>
          <w:numId w:val="10"/>
        </w:numPr>
        <w:spacing w:line="360" w:lineRule="auto"/>
        <w:rPr>
          <w:rFonts w:ascii="Times New Roman" w:hAnsi="Times New Roman" w:cs="Times New Roman"/>
        </w:rPr>
      </w:pPr>
      <w:r>
        <w:rPr>
          <w:rFonts w:ascii="Times New Roman" w:hAnsi="Times New Roman" w:cs="Times New Roman"/>
        </w:rPr>
        <w:t>An a</w:t>
      </w:r>
      <w:r w:rsidR="00405034">
        <w:rPr>
          <w:rFonts w:ascii="Times New Roman" w:hAnsi="Times New Roman" w:cs="Times New Roman"/>
        </w:rPr>
        <w:t>ntenna restriction for outdoor operations</w:t>
      </w:r>
      <w:r>
        <w:rPr>
          <w:rFonts w:ascii="Times New Roman" w:hAnsi="Times New Roman" w:cs="Times New Roman"/>
        </w:rPr>
        <w:t xml:space="preserve"> or specialized antennas</w:t>
      </w:r>
      <w:r w:rsidR="00405034">
        <w:rPr>
          <w:rFonts w:ascii="Times New Roman" w:hAnsi="Times New Roman" w:cs="Times New Roman"/>
        </w:rPr>
        <w:t xml:space="preserve"> </w:t>
      </w:r>
      <w:r w:rsidR="00405034" w:rsidRPr="00C75C36">
        <w:rPr>
          <w:rFonts w:ascii="Times New Roman" w:hAnsi="Times New Roman" w:cs="Times New Roman"/>
        </w:rPr>
        <w:t>may be employed to control interference to incumbents</w:t>
      </w:r>
      <w:r w:rsidR="00405034">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r w:rsidR="00405034" w:rsidRPr="00C75C36">
        <w:rPr>
          <w:rFonts w:ascii="Times New Roman" w:hAnsi="Times New Roman" w:cs="Times New Roman"/>
        </w:rPr>
        <w:t>.</w:t>
      </w:r>
      <w:r w:rsidR="00405034">
        <w:rPr>
          <w:rStyle w:val="FootnoteReference"/>
          <w:rFonts w:ascii="Times New Roman" w:hAnsi="Times New Roman" w:cs="Times New Roman"/>
        </w:rPr>
        <w:footnoteReference w:id="1"/>
      </w:r>
    </w:p>
    <w:p w14:paraId="1B11FC08" w14:textId="77777777" w:rsidR="0005491F" w:rsidRPr="00C75C36" w:rsidRDefault="004F23F4"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0D8D9339" w14:textId="2DBF9380" w:rsidR="00E6586E"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lastRenderedPageBreak/>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r w:rsidR="000118AC">
        <w:rPr>
          <w:rStyle w:val="FootnoteReference"/>
          <w:rFonts w:ascii="Times New Roman" w:hAnsi="Times New Roman" w:cs="Times New Roman"/>
        </w:rPr>
        <w:footnoteReference w:id="2"/>
      </w:r>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r w:rsidR="00984BD5" w:rsidRPr="00C75C36">
        <w:rPr>
          <w:rFonts w:ascii="Times New Roman" w:hAnsi="Times New Roman" w:cs="Times New Roman"/>
        </w:rPr>
        <w:t>employed</w:t>
      </w:r>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5" w:name="_Toc493078461"/>
      <w:r w:rsidRPr="00D0252D">
        <w:rPr>
          <w:rFonts w:ascii="Times New Roman" w:hAnsi="Times New Roman" w:cs="Times New Roman"/>
          <w:b/>
          <w:color w:val="auto"/>
          <w:sz w:val="24"/>
        </w:rPr>
        <w:t>UNLICENSED SPECTRUM NEEDS</w:t>
      </w:r>
      <w:bookmarkEnd w:id="5"/>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(VoD)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2E094CCD" w:rsid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In addition, the emerging areas of Virtual Reality and Augmented Reality are expected to add to the data growth. </w:t>
      </w:r>
      <w:r w:rsidR="00682F6A">
        <w:rPr>
          <w:rFonts w:ascii="Times New Roman" w:hAnsi="Times New Roman" w:cs="Times New Roman"/>
        </w:rPr>
        <w:t>All of t</w:t>
      </w:r>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r w:rsidR="000B3172">
        <w:rPr>
          <w:rFonts w:ascii="Times New Roman" w:hAnsi="Times New Roman" w:cs="Times New Roman"/>
        </w:rPr>
        <w:t xml:space="preserve">drive </w:t>
      </w:r>
      <w:r>
        <w:rPr>
          <w:rFonts w:ascii="Times New Roman" w:hAnsi="Times New Roman" w:cs="Times New Roman"/>
        </w:rPr>
        <w:t xml:space="preserve">the need for greater data rates </w:t>
      </w:r>
      <w:r w:rsidR="000B3172">
        <w:rPr>
          <w:rFonts w:ascii="Times New Roman" w:hAnsi="Times New Roman" w:cs="Times New Roman"/>
        </w:rPr>
        <w:t xml:space="preserve">enabled by the use of </w:t>
      </w:r>
      <w:r>
        <w:rPr>
          <w:rFonts w:ascii="Times New Roman" w:hAnsi="Times New Roman" w:cs="Times New Roman"/>
        </w:rPr>
        <w:t>80 and 160 MHz channels</w:t>
      </w:r>
      <w:r w:rsidRPr="00BA733E">
        <w:rPr>
          <w:rFonts w:ascii="Times New Roman" w:hAnsi="Times New Roman" w:cs="Times New Roman"/>
        </w:rPr>
        <w:t xml:space="preserve">. </w:t>
      </w:r>
    </w:p>
    <w:p w14:paraId="6354B90F" w14:textId="0D7E2E51"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r w:rsidR="000B3172">
        <w:rPr>
          <w:rStyle w:val="FootnoteReference"/>
          <w:rFonts w:ascii="Times New Roman" w:hAnsi="Times New Roman" w:cs="Times New Roman"/>
        </w:rPr>
        <w:footnoteReference w:id="3"/>
      </w:r>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w:t>
      </w:r>
    </w:p>
    <w:p w14:paraId="444C6B36" w14:textId="25E2B3E1"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lastRenderedPageBreak/>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r w:rsidR="00BA733E">
        <w:rPr>
          <w:rFonts w:ascii="Times New Roman" w:hAnsi="Times New Roman" w:cs="Times New Roman"/>
        </w:rPr>
        <w:t xml:space="preserve">current </w:t>
      </w:r>
      <w:r w:rsidRPr="007D4EAC">
        <w:rPr>
          <w:rFonts w:ascii="Times New Roman" w:hAnsi="Times New Roman" w:cs="Times New Roman"/>
        </w:rPr>
        <w:t>U-NII-</w:t>
      </w:r>
      <w:r w:rsidR="006D0333">
        <w:rPr>
          <w:rFonts w:ascii="Times New Roman" w:hAnsi="Times New Roman" w:cs="Times New Roman"/>
        </w:rPr>
        <w:t>1</w:t>
      </w:r>
      <w:r w:rsidR="00BA733E">
        <w:rPr>
          <w:rFonts w:ascii="Times New Roman" w:hAnsi="Times New Roman" w:cs="Times New Roman"/>
        </w:rPr>
        <w:t xml:space="preserve"> band</w:t>
      </w:r>
      <w:r w:rsidRPr="007D4EAC">
        <w:rPr>
          <w:rFonts w:ascii="Times New Roman" w:hAnsi="Times New Roman" w:cs="Times New Roman"/>
        </w:rPr>
        <w:t>.</w:t>
      </w:r>
    </w:p>
    <w:p w14:paraId="42B9CCA3" w14:textId="3CC383E9"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r w:rsidR="007F4D95">
        <w:rPr>
          <w:rFonts w:ascii="Times New Roman" w:hAnsi="Times New Roman" w:cs="Times New Roman"/>
        </w:rPr>
        <w:t>U-NII-5 and U-NII-7 for mobile use</w:t>
      </w:r>
      <w:r w:rsidR="00BA733E">
        <w:rPr>
          <w:rFonts w:ascii="Times New Roman" w:hAnsi="Times New Roman" w:cs="Times New Roman"/>
        </w:rPr>
        <w:t>. Further research and development will be required to prov</w:t>
      </w:r>
      <w:r w:rsidR="00DD61E9">
        <w:rPr>
          <w:rFonts w:ascii="Times New Roman" w:hAnsi="Times New Roman" w:cs="Times New Roman"/>
        </w:rPr>
        <w:t>ide</w:t>
      </w:r>
      <w:r w:rsidR="00E01A89" w:rsidRPr="007D4EAC">
        <w:rPr>
          <w:rFonts w:ascii="Times New Roman" w:hAnsi="Times New Roman" w:cs="Times New Roman"/>
        </w:rPr>
        <w:t xml:space="preserve"> </w:t>
      </w:r>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r w:rsidR="007F4D95">
        <w:rPr>
          <w:rFonts w:ascii="Times New Roman" w:hAnsi="Times New Roman" w:cs="Times New Roman"/>
        </w:rPr>
        <w:t xml:space="preserve"> for incumbents in U-NII-6 and U-NII-8</w:t>
      </w:r>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6" w:name="_Toc493078462"/>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6"/>
    </w:p>
    <w:p w14:paraId="4C016924" w14:textId="2FA4D6A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r w:rsidR="003A0657">
        <w:rPr>
          <w:rFonts w:ascii="Times New Roman" w:hAnsi="Times New Roman" w:cs="Times New Roman"/>
        </w:rPr>
        <w:t xml:space="preserve"> relevant</w:t>
      </w:r>
      <w:r w:rsidRPr="007D4EAC">
        <w:rPr>
          <w:rFonts w:ascii="Times New Roman" w:hAnsi="Times New Roman" w:cs="Times New Roman"/>
        </w:rPr>
        <w:t xml:space="preserve"> FCC database</w:t>
      </w:r>
      <w:r w:rsidR="003A0657">
        <w:rPr>
          <w:rFonts w:ascii="Times New Roman" w:hAnsi="Times New Roman" w:cs="Times New Roman"/>
        </w:rPr>
        <w:t>s</w:t>
      </w:r>
      <w:r w:rsidRPr="007D4EAC">
        <w:rPr>
          <w:rFonts w:ascii="Times New Roman" w:hAnsi="Times New Roman" w:cs="Times New Roman"/>
        </w:rPr>
        <w:t xml:space="preserv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r w:rsidR="00F67BBA" w:rsidRPr="00F67BBA">
        <w:rPr>
          <w:rFonts w:ascii="Times New Roman" w:hAnsi="Times New Roman" w:cs="Times New Roman"/>
        </w:rPr>
        <w:t xml:space="preserve">the 5925-6425 MHz (Earth-to-space) and the 3700-4200 MHz (space-to-Earth) frequency </w:t>
      </w:r>
      <w:r w:rsidR="00E01A89" w:rsidRPr="007D4EAC">
        <w:rPr>
          <w:rFonts w:ascii="Times New Roman" w:hAnsi="Times New Roman" w:cs="Times New Roman"/>
        </w:rPr>
        <w:t>band</w:t>
      </w:r>
      <w:r w:rsidR="00F67BBA">
        <w:rPr>
          <w:rFonts w:ascii="Times New Roman" w:hAnsi="Times New Roman" w:cs="Times New Roman"/>
        </w:rPr>
        <w:t>s</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61CA9C0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r w:rsidR="00C20B58">
        <w:rPr>
          <w:rFonts w:ascii="Times New Roman" w:hAnsi="Times New Roman" w:cs="Times New Roman"/>
        </w:rPr>
        <w:t xml:space="preserve">registered </w:t>
      </w:r>
      <w:r w:rsidRPr="007D4EAC">
        <w:rPr>
          <w:rFonts w:ascii="Times New Roman" w:hAnsi="Times New Roman" w:cs="Times New Roman"/>
        </w:rPr>
        <w:t xml:space="preserve">FSS </w:t>
      </w:r>
      <w:r w:rsidR="002B5452">
        <w:rPr>
          <w:rFonts w:ascii="Times New Roman" w:hAnsi="Times New Roman" w:cs="Times New Roman"/>
        </w:rPr>
        <w:t>earth</w:t>
      </w:r>
      <w:r w:rsidR="002B5452" w:rsidRPr="007D4EAC">
        <w:rPr>
          <w:rFonts w:ascii="Times New Roman" w:hAnsi="Times New Roman" w:cs="Times New Roman"/>
        </w:rPr>
        <w:t xml:space="preserve"> </w:t>
      </w:r>
      <w:r w:rsidRPr="007D4EAC">
        <w:rPr>
          <w:rFonts w:ascii="Times New Roman" w:hAnsi="Times New Roman" w:cs="Times New Roman"/>
        </w:rPr>
        <w:t>stations is correct and current</w:t>
      </w: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 w:name="_Toc493078463"/>
      <w:r w:rsidRPr="00D0252D">
        <w:rPr>
          <w:rFonts w:ascii="Times New Roman" w:hAnsi="Times New Roman" w:cs="Times New Roman"/>
          <w:b/>
          <w:color w:val="auto"/>
          <w:sz w:val="24"/>
        </w:rPr>
        <w:t>GLOBAL HARMONIZATION</w:t>
      </w:r>
      <w:bookmarkEnd w:id="7"/>
    </w:p>
    <w:p w14:paraId="5CD9DEA9" w14:textId="56F78824" w:rsidR="00260F4A" w:rsidRDefault="00260F4A" w:rsidP="00260F4A">
      <w:pPr>
        <w:spacing w:after="0" w:line="360" w:lineRule="auto"/>
        <w:ind w:left="144" w:firstLine="720"/>
        <w:rPr>
          <w:rFonts w:ascii="Times New Roman" w:hAnsi="Times New Roman" w:cs="Times New Roman"/>
        </w:rPr>
      </w:pPr>
      <w:r>
        <w:rPr>
          <w:rFonts w:ascii="Times New Roman" w:hAnsi="Times New Roman" w:cs="Times New Roman"/>
        </w:rPr>
        <w:t xml:space="preserve">IEEE 802 is aware that </w:t>
      </w:r>
      <w:r w:rsidR="00081174">
        <w:rPr>
          <w:rFonts w:ascii="Times New Roman" w:hAnsi="Times New Roman" w:cs="Times New Roman"/>
        </w:rPr>
        <w:t>CEPT and ETSI have begun the</w:t>
      </w:r>
      <w:r>
        <w:rPr>
          <w:rFonts w:ascii="Times New Roman" w:hAnsi="Times New Roman" w:cs="Times New Roman"/>
        </w:rPr>
        <w:t xml:space="preserve"> process </w:t>
      </w:r>
      <w:r w:rsidR="00081174">
        <w:rPr>
          <w:rFonts w:ascii="Times New Roman" w:hAnsi="Times New Roman" w:cs="Times New Roman"/>
        </w:rPr>
        <w:t xml:space="preserve">of </w:t>
      </w:r>
      <w:r>
        <w:rPr>
          <w:rFonts w:ascii="Times New Roman" w:hAnsi="Times New Roman" w:cs="Times New Roman"/>
        </w:rPr>
        <w:t xml:space="preserve">exploring expanding </w:t>
      </w:r>
      <w:r>
        <w:rPr>
          <w:rFonts w:ascii="Times New Roman" w:hAnsi="Times New Roman" w:cs="Times New Roman"/>
        </w:rPr>
        <w:t>license-exempt</w:t>
      </w:r>
      <w:r>
        <w:rPr>
          <w:rFonts w:ascii="Times New Roman" w:hAnsi="Times New Roman" w:cs="Times New Roman"/>
        </w:rPr>
        <w:t xml:space="preserve"> use for W</w:t>
      </w:r>
      <w:r>
        <w:rPr>
          <w:rFonts w:ascii="Times New Roman" w:hAnsi="Times New Roman" w:cs="Times New Roman"/>
        </w:rPr>
        <w:t>AS/RLANs in</w:t>
      </w:r>
      <w:r>
        <w:rPr>
          <w:rFonts w:ascii="Times New Roman" w:hAnsi="Times New Roman" w:cs="Times New Roman"/>
        </w:rPr>
        <w:t xml:space="preserve"> bands above 6 GHz. Presently, this effort is just beginning, but offers the potential for global harmonization of this spectrum, opening up the opportunities for economic benefits to American companies to offer additional wireless products in international markets.</w:t>
      </w:r>
      <w:r>
        <w:rPr>
          <w:rFonts w:ascii="Times New Roman" w:hAnsi="Times New Roman" w:cs="Times New Roman"/>
        </w:rPr>
        <w:t xml:space="preserve"> We look to the Commission to provide leadership in harmonizing unlicensed/license-exempt sharing of this band.</w:t>
      </w:r>
    </w:p>
    <w:p w14:paraId="720877F5" w14:textId="73F82BB9" w:rsidR="00BE6756" w:rsidRDefault="00BE6756" w:rsidP="00496D43">
      <w:pPr>
        <w:spacing w:after="0" w:line="360" w:lineRule="auto"/>
        <w:ind w:left="144" w:firstLine="720"/>
        <w:rPr>
          <w:rFonts w:ascii="Times New Roman" w:hAnsi="Times New Roman" w:cs="Times New Roman"/>
        </w:rPr>
      </w:pPr>
    </w:p>
    <w:p w14:paraId="49EEF2F5" w14:textId="0393F31C" w:rsidR="00BE6756" w:rsidRPr="001C7ED0" w:rsidRDefault="00BE6756" w:rsidP="001C7ED0">
      <w:pPr>
        <w:pStyle w:val="Heading1"/>
        <w:spacing w:line="360" w:lineRule="auto"/>
        <w:rPr>
          <w:rFonts w:ascii="Times New Roman" w:hAnsi="Times New Roman" w:cs="Times New Roman"/>
          <w:b/>
          <w:color w:val="auto"/>
          <w:sz w:val="24"/>
        </w:rPr>
      </w:pPr>
      <w:bookmarkStart w:id="8" w:name="_Toc493078464"/>
      <w:r w:rsidRPr="001C7ED0">
        <w:rPr>
          <w:rFonts w:ascii="Times New Roman" w:hAnsi="Times New Roman" w:cs="Times New Roman"/>
          <w:b/>
          <w:color w:val="auto"/>
          <w:sz w:val="24"/>
        </w:rPr>
        <w:t>OTHER CONSIDERATIONS</w:t>
      </w:r>
      <w:bookmarkEnd w:id="8"/>
    </w:p>
    <w:p w14:paraId="67CB76A8" w14:textId="2C974001" w:rsidR="00BE6756" w:rsidRPr="001C7ED0" w:rsidRDefault="00CC50DD" w:rsidP="001C7ED0">
      <w:pPr>
        <w:spacing w:line="360" w:lineRule="auto"/>
        <w:ind w:firstLine="720"/>
        <w:rPr>
          <w:rFonts w:ascii="Times New Roman" w:hAnsi="Times New Roman" w:cs="Times New Roman"/>
        </w:rPr>
      </w:pPr>
      <w:r>
        <w:rPr>
          <w:rFonts w:ascii="Times New Roman" w:hAnsi="Times New Roman" w:cs="Times New Roman"/>
        </w:rPr>
        <w:t>We</w:t>
      </w:r>
      <w:r w:rsidR="00BE6756" w:rsidRPr="001C7ED0">
        <w:rPr>
          <w:rFonts w:ascii="Times New Roman" w:hAnsi="Times New Roman" w:cs="Times New Roman"/>
        </w:rPr>
        <w:t xml:space="preserve"> recognize that other IEEE 802 technologies operate under Part 15 </w:t>
      </w:r>
      <w:r w:rsidR="00BE1E18" w:rsidRPr="001C7ED0">
        <w:rPr>
          <w:rFonts w:ascii="Times New Roman" w:hAnsi="Times New Roman" w:cs="Times New Roman"/>
        </w:rPr>
        <w:t>rules in this band</w:t>
      </w:r>
      <w:r w:rsidR="00BE6756" w:rsidRPr="001C7ED0">
        <w:rPr>
          <w:rFonts w:ascii="Times New Roman" w:hAnsi="Times New Roman" w:cs="Times New Roman"/>
        </w:rPr>
        <w:t>. Ultra</w:t>
      </w:r>
      <w:r w:rsidR="00BE1E18" w:rsidRPr="001C7ED0">
        <w:rPr>
          <w:rFonts w:ascii="Times New Roman" w:hAnsi="Times New Roman" w:cs="Times New Roman"/>
        </w:rPr>
        <w:t>-</w:t>
      </w:r>
      <w:r w:rsidR="00BE6756" w:rsidRPr="001C7ED0">
        <w:rPr>
          <w:rFonts w:ascii="Times New Roman" w:hAnsi="Times New Roman" w:cs="Times New Roman"/>
        </w:rPr>
        <w:t>Wide</w:t>
      </w:r>
      <w:r w:rsidR="00BE1E18" w:rsidRPr="001C7ED0">
        <w:rPr>
          <w:rFonts w:ascii="Times New Roman" w:hAnsi="Times New Roman" w:cs="Times New Roman"/>
        </w:rPr>
        <w:t xml:space="preserve"> B</w:t>
      </w:r>
      <w:r w:rsidR="00BE6756" w:rsidRPr="001C7ED0">
        <w:rPr>
          <w:rFonts w:ascii="Times New Roman" w:hAnsi="Times New Roman" w:cs="Times New Roman"/>
        </w:rPr>
        <w:t>and</w:t>
      </w:r>
      <w:r w:rsidR="00BE1E18" w:rsidRPr="001C7ED0">
        <w:rPr>
          <w:rFonts w:ascii="Times New Roman" w:hAnsi="Times New Roman" w:cs="Times New Roman"/>
        </w:rPr>
        <w:t xml:space="preserve"> (“UWB”)</w:t>
      </w:r>
      <w:r w:rsidR="00BE6756" w:rsidRPr="001C7ED0">
        <w:rPr>
          <w:rFonts w:ascii="Times New Roman" w:hAnsi="Times New Roman" w:cs="Times New Roman"/>
        </w:rPr>
        <w:t xml:space="preserve"> devices</w:t>
      </w:r>
      <w:r w:rsidR="00BE1E18" w:rsidRPr="001C7ED0">
        <w:rPr>
          <w:rFonts w:ascii="Times New Roman" w:hAnsi="Times New Roman" w:cs="Times New Roman"/>
        </w:rPr>
        <w:t>,</w:t>
      </w:r>
      <w:r w:rsidR="00BE6756" w:rsidRPr="001C7ED0">
        <w:rPr>
          <w:rFonts w:ascii="Times New Roman" w:hAnsi="Times New Roman" w:cs="Times New Roman"/>
        </w:rPr>
        <w:t xml:space="preserve"> based on </w:t>
      </w:r>
      <w:r w:rsidR="00BE1E18" w:rsidRPr="001C7ED0">
        <w:rPr>
          <w:rFonts w:ascii="Times New Roman" w:hAnsi="Times New Roman" w:cs="Times New Roman"/>
        </w:rPr>
        <w:t>IEEE 802.15.</w:t>
      </w:r>
      <w:r w:rsidR="00BE1E18" w:rsidRPr="001C7ED0">
        <w:rPr>
          <w:rFonts w:ascii="Times New Roman" w:hAnsi="Times New Roman" w:cs="Times New Roman"/>
        </w:rPr>
        <w:t>4a (2007), IEEE 802.15.6 (2012) and</w:t>
      </w:r>
      <w:r w:rsidR="00BE1E18" w:rsidRPr="001C7ED0">
        <w:rPr>
          <w:rFonts w:ascii="Times New Roman" w:hAnsi="Times New Roman" w:cs="Times New Roman"/>
        </w:rPr>
        <w:t xml:space="preserve"> IEEE 802.15.4f (2012)</w:t>
      </w:r>
      <w:r w:rsidR="00BE1E18" w:rsidRPr="001C7ED0">
        <w:rPr>
          <w:rFonts w:ascii="Times New Roman" w:hAnsi="Times New Roman" w:cs="Times New Roman"/>
        </w:rPr>
        <w:t xml:space="preserve"> standards support a number of applications</w:t>
      </w:r>
      <w:r w:rsidR="00081174">
        <w:rPr>
          <w:rFonts w:ascii="Times New Roman" w:hAnsi="Times New Roman" w:cs="Times New Roman"/>
        </w:rPr>
        <w:t>.</w:t>
      </w:r>
      <w:r w:rsidR="00BE1E18" w:rsidRPr="001C7ED0">
        <w:rPr>
          <w:rFonts w:ascii="Times New Roman" w:hAnsi="Times New Roman" w:cs="Times New Roman"/>
        </w:rPr>
        <w:t xml:space="preserve"> </w:t>
      </w:r>
      <w:r w:rsidR="00081174">
        <w:rPr>
          <w:rFonts w:ascii="Times New Roman" w:hAnsi="Times New Roman" w:cs="Times New Roman"/>
        </w:rPr>
        <w:t>Some examples</w:t>
      </w:r>
      <w:r w:rsidR="00BE1E18" w:rsidRPr="001C7ED0">
        <w:rPr>
          <w:rFonts w:ascii="Times New Roman" w:hAnsi="Times New Roman" w:cs="Times New Roman"/>
        </w:rPr>
        <w:t>:</w:t>
      </w:r>
    </w:p>
    <w:p w14:paraId="20A9DDD0" w14:textId="77777777"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lastRenderedPageBreak/>
        <w:t>Automotive passive entry systems based on secure proximity detection.</w:t>
      </w:r>
    </w:p>
    <w:p w14:paraId="503CACFA" w14:textId="29038AA2"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t>General indoor navigation, autonomous robot guidance, factory automation, smart home</w:t>
      </w:r>
    </w:p>
    <w:p w14:paraId="07EA2C5E" w14:textId="3416F079" w:rsidR="00BE1E18" w:rsidRPr="001C7ED0" w:rsidRDefault="00BE1E18" w:rsidP="001C7ED0">
      <w:pPr>
        <w:spacing w:line="360" w:lineRule="auto"/>
        <w:ind w:firstLine="720"/>
        <w:rPr>
          <w:rFonts w:ascii="Times New Roman" w:hAnsi="Times New Roman" w:cs="Times New Roman"/>
        </w:rPr>
      </w:pPr>
      <w:r w:rsidRPr="001C7ED0">
        <w:rPr>
          <w:rFonts w:ascii="Times New Roman" w:hAnsi="Times New Roman" w:cs="Times New Roman"/>
        </w:rPr>
        <w:t>With their very low power limit (-41.3 dBm</w:t>
      </w:r>
      <w:r w:rsidR="00081174">
        <w:rPr>
          <w:rFonts w:ascii="Times New Roman" w:hAnsi="Times New Roman" w:cs="Times New Roman"/>
        </w:rPr>
        <w:t>/MHz</w:t>
      </w:r>
      <w:r w:rsidRPr="001C7ED0">
        <w:rPr>
          <w:rFonts w:ascii="Times New Roman" w:hAnsi="Times New Roman" w:cs="Times New Roman"/>
        </w:rPr>
        <w:t>), they are difficult to detect and protect</w:t>
      </w:r>
      <w:r w:rsidR="00260F4A" w:rsidRPr="001C7ED0">
        <w:rPr>
          <w:rFonts w:ascii="Times New Roman" w:hAnsi="Times New Roman" w:cs="Times New Roman"/>
        </w:rPr>
        <w:t xml:space="preserve"> using existing methods</w:t>
      </w:r>
      <w:r w:rsidRPr="001C7ED0">
        <w:rPr>
          <w:rFonts w:ascii="Times New Roman" w:hAnsi="Times New Roman" w:cs="Times New Roman"/>
        </w:rPr>
        <w:t>. IEEE 802.19</w:t>
      </w:r>
      <w:r w:rsidR="00260F4A" w:rsidRPr="001C7ED0">
        <w:rPr>
          <w:rFonts w:ascii="Times New Roman" w:hAnsi="Times New Roman" w:cs="Times New Roman"/>
        </w:rPr>
        <w:t>, the Wireless Coexistence Working Group (WG),</w:t>
      </w:r>
      <w:r w:rsidRPr="001C7ED0">
        <w:rPr>
          <w:rFonts w:ascii="Times New Roman" w:hAnsi="Times New Roman" w:cs="Times New Roman"/>
        </w:rPr>
        <w:t xml:space="preserve"> has the responsibility to ensure that IEEE 802 wireless technologies</w:t>
      </w:r>
      <w:r w:rsidR="00260F4A" w:rsidRPr="001C7ED0">
        <w:rPr>
          <w:rFonts w:ascii="Times New Roman" w:hAnsi="Times New Roman" w:cs="Times New Roman"/>
        </w:rPr>
        <w:t xml:space="preserve"> can</w:t>
      </w:r>
      <w:r w:rsidRPr="001C7ED0">
        <w:rPr>
          <w:rFonts w:ascii="Times New Roman" w:hAnsi="Times New Roman" w:cs="Times New Roman"/>
        </w:rPr>
        <w:t xml:space="preserve"> coexist. At this time we will work within the 802 family to develop effective coexistence methods.</w:t>
      </w:r>
      <w:r w:rsidR="00963792">
        <w:rPr>
          <w:rFonts w:ascii="Times New Roman" w:hAnsi="Times New Roman" w:cs="Times New Roman"/>
        </w:rPr>
        <w:t xml:space="preserve"> It is understood that use of this band by higher power devices may adversely affect the performance of existing devices based on the aforementioned IEEE 802 standards.</w:t>
      </w:r>
    </w:p>
    <w:p w14:paraId="4E9A30E0" w14:textId="77777777" w:rsidR="00BE1E18" w:rsidRPr="007D4EAC" w:rsidRDefault="00BE1E18"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9" w:name="_Toc493078465"/>
      <w:r w:rsidRPr="00C60699">
        <w:rPr>
          <w:rFonts w:ascii="Times New Roman" w:hAnsi="Times New Roman" w:cs="Times New Roman"/>
          <w:b/>
          <w:color w:val="auto"/>
          <w:sz w:val="24"/>
        </w:rPr>
        <w:t>URGENCY</w:t>
      </w:r>
      <w:bookmarkEnd w:id="9"/>
    </w:p>
    <w:p w14:paraId="15225ABA" w14:textId="35AA80A0"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specifically </w:t>
      </w: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r w:rsidRPr="007D4EAC">
        <w:rPr>
          <w:rFonts w:ascii="Times New Roman" w:hAnsi="Times New Roman" w:cs="Times New Roman"/>
        </w:rPr>
        <w:t xml:space="preserve">Federal </w:t>
      </w:r>
      <w:r w:rsidR="00C421CB">
        <w:rPr>
          <w:rFonts w:ascii="Times New Roman" w:hAnsi="Times New Roman" w:cs="Times New Roman"/>
        </w:rPr>
        <w:t xml:space="preserve">users in the </w:t>
      </w:r>
      <w:r w:rsidR="005344C5" w:rsidRPr="007D4EAC">
        <w:rPr>
          <w:rFonts w:ascii="Times New Roman" w:hAnsi="Times New Roman" w:cs="Times New Roman"/>
        </w:rPr>
        <w:t>7</w:t>
      </w:r>
      <w:r w:rsidR="001C7ED0">
        <w:rPr>
          <w:rFonts w:ascii="Times New Roman" w:hAnsi="Times New Roman" w:cs="Times New Roman"/>
        </w:rPr>
        <w:t>.</w:t>
      </w:r>
      <w:r w:rsidR="005344C5" w:rsidRPr="007D4EAC">
        <w:rPr>
          <w:rFonts w:ascii="Times New Roman" w:hAnsi="Times New Roman" w:cs="Times New Roman"/>
        </w:rPr>
        <w:t>125 MHz to 7</w:t>
      </w:r>
      <w:r w:rsidR="001C7ED0">
        <w:rPr>
          <w:rFonts w:ascii="Times New Roman" w:hAnsi="Times New Roman" w:cs="Times New Roman"/>
        </w:rPr>
        <w:t>.</w:t>
      </w:r>
      <w:r w:rsidR="005344C5" w:rsidRPr="007D4EAC">
        <w:rPr>
          <w:rFonts w:ascii="Times New Roman" w:hAnsi="Times New Roman" w:cs="Times New Roman"/>
        </w:rPr>
        <w:t xml:space="preserve">250 </w:t>
      </w:r>
      <w:r w:rsidR="001C7ED0">
        <w:rPr>
          <w:rFonts w:ascii="Times New Roman" w:hAnsi="Times New Roman" w:cs="Times New Roman"/>
        </w:rPr>
        <w:t>G</w:t>
      </w:r>
      <w:r w:rsidR="001C7ED0" w:rsidRPr="007D4EAC">
        <w:rPr>
          <w:rFonts w:ascii="Times New Roman" w:hAnsi="Times New Roman" w:cs="Times New Roman"/>
        </w:rPr>
        <w:t>Hz</w:t>
      </w:r>
      <w:r w:rsidR="001C7ED0">
        <w:rPr>
          <w:rFonts w:ascii="Times New Roman" w:hAnsi="Times New Roman" w:cs="Times New Roman"/>
        </w:rPr>
        <w:t xml:space="preserve"> </w:t>
      </w:r>
      <w:r w:rsidR="00C421CB">
        <w:rPr>
          <w:rFonts w:ascii="Times New Roman" w:hAnsi="Times New Roman" w:cs="Times New Roman"/>
        </w:rPr>
        <w:t>band</w:t>
      </w:r>
      <w:r w:rsidRPr="007D4EAC">
        <w:rPr>
          <w:rFonts w:ascii="Times New Roman" w:hAnsi="Times New Roman" w:cs="Times New Roman"/>
        </w:rPr>
        <w:t xml:space="preserve"> at this time due to the urgency of the need for additional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69154906"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r w:rsidR="00CF7EEF">
        <w:rPr>
          <w:rFonts w:ascii="Times New Roman" w:hAnsi="Times New Roman" w:cs="Times New Roman"/>
        </w:rPr>
        <w:t xml:space="preserve">  IEEE 802 therefore urges the Commission to move forward in the near term to authorize unlicensed use of the 5</w:t>
      </w:r>
      <w:r w:rsidR="001C7ED0">
        <w:rPr>
          <w:rFonts w:ascii="Times New Roman" w:hAnsi="Times New Roman" w:cs="Times New Roman"/>
        </w:rPr>
        <w:t>.</w:t>
      </w:r>
      <w:r w:rsidR="00CF7EEF">
        <w:rPr>
          <w:rFonts w:ascii="Times New Roman" w:hAnsi="Times New Roman" w:cs="Times New Roman"/>
        </w:rPr>
        <w:t>925-7</w:t>
      </w:r>
      <w:r w:rsidR="001C7ED0">
        <w:rPr>
          <w:rFonts w:ascii="Times New Roman" w:hAnsi="Times New Roman" w:cs="Times New Roman"/>
        </w:rPr>
        <w:t>.</w:t>
      </w:r>
      <w:r w:rsidR="00CF7EEF">
        <w:rPr>
          <w:rFonts w:ascii="Times New Roman" w:hAnsi="Times New Roman" w:cs="Times New Roman"/>
        </w:rPr>
        <w:t xml:space="preserve">125 </w:t>
      </w:r>
      <w:r w:rsidR="001C7ED0">
        <w:rPr>
          <w:rFonts w:ascii="Times New Roman" w:hAnsi="Times New Roman" w:cs="Times New Roman"/>
        </w:rPr>
        <w:t>G</w:t>
      </w:r>
      <w:r w:rsidR="00CF7EEF">
        <w:rPr>
          <w:rFonts w:ascii="Times New Roman" w:hAnsi="Times New Roman" w:cs="Times New Roman"/>
        </w:rPr>
        <w:t>Hz band, proceeding first with bands where proven spectrum sharing methods can be used or adapted (U-NII-5 and U-NII-7)</w:t>
      </w:r>
      <w:r w:rsidR="00984BD5">
        <w:rPr>
          <w:rFonts w:ascii="Times New Roman" w:hAnsi="Times New Roman" w:cs="Times New Roman"/>
        </w:rPr>
        <w:t>,</w:t>
      </w:r>
      <w:r w:rsidR="00CF7EEF">
        <w:rPr>
          <w:rFonts w:ascii="Times New Roman" w:hAnsi="Times New Roman" w:cs="Times New Roman"/>
        </w:rPr>
        <w:t xml:space="preserve">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p>
    <w:p w14:paraId="191CCE21" w14:textId="77777777" w:rsidR="00915C58" w:rsidRDefault="00915C58" w:rsidP="00496D43">
      <w:pPr>
        <w:spacing w:after="0" w:line="360" w:lineRule="auto"/>
        <w:ind w:left="144" w:firstLine="720"/>
        <w:rPr>
          <w:rFonts w:ascii="Times New Roman" w:hAnsi="Times New Roman" w:cs="Times New Roman"/>
          <w:sz w:val="18"/>
        </w:rPr>
      </w:pPr>
    </w:p>
    <w:p w14:paraId="12328912" w14:textId="7F436A6E" w:rsidR="00EB00BE" w:rsidRPr="00F10C3A" w:rsidRDefault="002B55A5" w:rsidP="00F10C3A">
      <w:pPr>
        <w:pStyle w:val="Heading1"/>
        <w:spacing w:before="0" w:line="360" w:lineRule="auto"/>
        <w:rPr>
          <w:rFonts w:ascii="Times New Roman" w:hAnsi="Times New Roman" w:cs="Times New Roman"/>
          <w:b/>
          <w:color w:val="auto"/>
          <w:sz w:val="28"/>
        </w:rPr>
      </w:pPr>
      <w:bookmarkStart w:id="10" w:name="_Toc493078466"/>
      <w:r w:rsidRPr="00F10C3A">
        <w:rPr>
          <w:rFonts w:ascii="Times New Roman" w:hAnsi="Times New Roman" w:cs="Times New Roman"/>
          <w:b/>
          <w:color w:val="auto"/>
          <w:sz w:val="24"/>
        </w:rPr>
        <w:t>CONCLUSIONS</w:t>
      </w:r>
      <w:bookmarkEnd w:id="10"/>
    </w:p>
    <w:p w14:paraId="5E181A24" w14:textId="393F99C6" w:rsidR="00EB00BE"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has developed </w:t>
      </w:r>
      <w:r w:rsidR="00EB00BE" w:rsidRPr="002A5172">
        <w:rPr>
          <w:rFonts w:ascii="Times New Roman" w:hAnsi="Times New Roman" w:cs="Times New Roman"/>
        </w:rPr>
        <w:t>wireless networking standards that have become essential to consumers and businesses alike. It has been the highest performing l</w:t>
      </w:r>
      <w:r w:rsidRPr="002A5172">
        <w:rPr>
          <w:rFonts w:ascii="Times New Roman" w:hAnsi="Times New Roman" w:cs="Times New Roman"/>
        </w:rPr>
        <w:t>ink between the Internet and its</w:t>
      </w:r>
      <w:r w:rsidR="00EB00BE" w:rsidRPr="002A5172">
        <w:rPr>
          <w:rFonts w:ascii="Times New Roman" w:hAnsi="Times New Roman" w:cs="Times New Roman"/>
        </w:rPr>
        <w:t xml:space="preserve"> endpoint</w:t>
      </w:r>
      <w:r w:rsidRPr="002A5172">
        <w:rPr>
          <w:rFonts w:ascii="Times New Roman" w:hAnsi="Times New Roman" w:cs="Times New Roman"/>
        </w:rPr>
        <w:t>s</w:t>
      </w:r>
      <w:r w:rsidR="00EB00BE" w:rsidRPr="002A5172">
        <w:rPr>
          <w:rFonts w:ascii="Times New Roman" w:hAnsi="Times New Roman" w:cs="Times New Roman"/>
        </w:rPr>
        <w:t xml:space="preserve">. With </w:t>
      </w:r>
      <w:r w:rsidRPr="002A5172">
        <w:rPr>
          <w:rFonts w:ascii="Times New Roman" w:hAnsi="Times New Roman" w:cs="Times New Roman"/>
        </w:rPr>
        <w:t xml:space="preserve">the demand for greater and greater speeds, for business and advanced wireless applications, IEEE 802 continues to support the demands with new standards, </w:t>
      </w:r>
      <w:r w:rsidR="0061011C">
        <w:rPr>
          <w:rFonts w:ascii="Times New Roman" w:hAnsi="Times New Roman" w:cs="Times New Roman"/>
        </w:rPr>
        <w:t>such as</w:t>
      </w:r>
      <w:r w:rsidR="0061011C" w:rsidRPr="002A5172">
        <w:rPr>
          <w:rFonts w:ascii="Times New Roman" w:hAnsi="Times New Roman" w:cs="Times New Roman"/>
        </w:rPr>
        <w:t xml:space="preserve"> </w:t>
      </w:r>
      <w:r w:rsidRPr="002A5172">
        <w:rPr>
          <w:rFonts w:ascii="Times New Roman" w:hAnsi="Times New Roman" w:cs="Times New Roman"/>
        </w:rPr>
        <w:t>IEEE 802.11ax.</w:t>
      </w:r>
    </w:p>
    <w:p w14:paraId="01E41939" w14:textId="334AB43B" w:rsidR="00CD1A75"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However, with no new allocations since 2003, the spectrum congestion of billions of Wi-Fi devices</w:t>
      </w:r>
      <w:r w:rsidR="002A5172">
        <w:rPr>
          <w:rFonts w:ascii="Times New Roman" w:hAnsi="Times New Roman" w:cs="Times New Roman"/>
        </w:rPr>
        <w:t>,</w:t>
      </w:r>
      <w:r w:rsidRPr="002A5172">
        <w:rPr>
          <w:rFonts w:ascii="Times New Roman" w:hAnsi="Times New Roman" w:cs="Times New Roman"/>
        </w:rPr>
        <w:t xml:space="preserve"> and now new technologies sharing the limited unlicensed spectrum</w:t>
      </w:r>
      <w:r w:rsidR="0061011C">
        <w:rPr>
          <w:rFonts w:ascii="Times New Roman" w:hAnsi="Times New Roman" w:cs="Times New Roman"/>
        </w:rPr>
        <w:t>,</w:t>
      </w:r>
      <w:r w:rsidRPr="002A5172">
        <w:rPr>
          <w:rFonts w:ascii="Times New Roman" w:hAnsi="Times New Roman" w:cs="Times New Roman"/>
        </w:rPr>
        <w:t xml:space="preserve"> the future is seriously threatened.</w:t>
      </w:r>
    </w:p>
    <w:p w14:paraId="5BD5F9FD" w14:textId="564A743B" w:rsidR="00CD1A75" w:rsidRPr="002A5172" w:rsidRDefault="002A5172"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believes that the 5.925-6.425 </w:t>
      </w:r>
      <w:r w:rsidR="0061011C" w:rsidRPr="002A5172">
        <w:rPr>
          <w:rFonts w:ascii="Times New Roman" w:hAnsi="Times New Roman" w:cs="Times New Roman"/>
        </w:rPr>
        <w:t>GH</w:t>
      </w:r>
      <w:r w:rsidR="0061011C">
        <w:rPr>
          <w:rFonts w:ascii="Times New Roman" w:hAnsi="Times New Roman" w:cs="Times New Roman"/>
        </w:rPr>
        <w:t>z</w:t>
      </w:r>
      <w:r w:rsidR="0061011C" w:rsidRPr="002A5172">
        <w:rPr>
          <w:rFonts w:ascii="Times New Roman" w:hAnsi="Times New Roman" w:cs="Times New Roman"/>
        </w:rPr>
        <w:t xml:space="preserve"> </w:t>
      </w:r>
      <w:r w:rsidRPr="002A5172">
        <w:rPr>
          <w:rFonts w:ascii="Times New Roman" w:hAnsi="Times New Roman" w:cs="Times New Roman"/>
        </w:rPr>
        <w:t>and 6.425-7.125 GHz bands provide the best opportunity for spectrum sharing to maintain the viability of this essential unlicensed service</w:t>
      </w:r>
      <w:r w:rsidR="0061011C">
        <w:rPr>
          <w:rFonts w:ascii="Times New Roman" w:hAnsi="Times New Roman" w:cs="Times New Roman"/>
        </w:rPr>
        <w:t xml:space="preserve"> for consumers, businesses and the public sector</w:t>
      </w:r>
      <w:r w:rsidRPr="002A5172">
        <w:rPr>
          <w:rFonts w:ascii="Times New Roman" w:hAnsi="Times New Roman" w:cs="Times New Roman"/>
        </w:rPr>
        <w:t>. With</w:t>
      </w:r>
      <w:r w:rsidR="00CD1A75" w:rsidRPr="002A5172">
        <w:rPr>
          <w:rFonts w:ascii="Times New Roman" w:hAnsi="Times New Roman" w:cs="Times New Roman"/>
        </w:rPr>
        <w:t xml:space="preserve"> proven ability to protect incumbent users while sharing </w:t>
      </w:r>
      <w:r w:rsidRPr="002A5172">
        <w:rPr>
          <w:rFonts w:ascii="Times New Roman" w:hAnsi="Times New Roman" w:cs="Times New Roman"/>
        </w:rPr>
        <w:t xml:space="preserve">their allocation, we believe </w:t>
      </w:r>
      <w:r w:rsidR="00CD1A75" w:rsidRPr="002A5172">
        <w:rPr>
          <w:rFonts w:ascii="Times New Roman" w:hAnsi="Times New Roman" w:cs="Times New Roman"/>
        </w:rPr>
        <w:t>IEEE 802 standard</w:t>
      </w:r>
      <w:r w:rsidRPr="002A5172">
        <w:rPr>
          <w:rFonts w:ascii="Times New Roman" w:hAnsi="Times New Roman" w:cs="Times New Roman"/>
        </w:rPr>
        <w:t xml:space="preserve"> technologies will protect the incumbents in these bands, while providing the wireless connectivity that support business and consumer needs for the future.</w:t>
      </w:r>
      <w:r w:rsidR="00CD1A75" w:rsidRPr="002A5172">
        <w:rPr>
          <w:rFonts w:ascii="Times New Roman" w:hAnsi="Times New Roman" w:cs="Times New Roman"/>
        </w:rPr>
        <w:t xml:space="preserve"> </w:t>
      </w:r>
    </w:p>
    <w:sectPr w:rsidR="00CD1A75" w:rsidRPr="002A5172" w:rsidSect="00D651C2">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C8FA" w14:textId="77777777" w:rsidR="005C0B31" w:rsidRDefault="005C0B31">
      <w:pPr>
        <w:spacing w:after="0" w:line="240" w:lineRule="auto"/>
      </w:pPr>
      <w:r>
        <w:separator/>
      </w:r>
    </w:p>
  </w:endnote>
  <w:endnote w:type="continuationSeparator" w:id="0">
    <w:p w14:paraId="16BC678B" w14:textId="77777777" w:rsidR="005C0B31" w:rsidRDefault="005C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4951" w14:textId="77777777" w:rsidR="005C0B31" w:rsidRDefault="005C0B31">
      <w:pPr>
        <w:spacing w:after="0" w:line="240" w:lineRule="auto"/>
      </w:pPr>
      <w:r>
        <w:separator/>
      </w:r>
    </w:p>
  </w:footnote>
  <w:footnote w:type="continuationSeparator" w:id="0">
    <w:p w14:paraId="7B0A6298" w14:textId="77777777" w:rsidR="005C0B31" w:rsidRDefault="005C0B31">
      <w:pPr>
        <w:spacing w:after="0" w:line="240" w:lineRule="auto"/>
      </w:pPr>
      <w:r>
        <w:continuationSeparator/>
      </w:r>
    </w:p>
  </w:footnote>
  <w:footnote w:id="1">
    <w:p w14:paraId="310604EB" w14:textId="77777777" w:rsidR="00405034" w:rsidRPr="00405034" w:rsidRDefault="00405034">
      <w:pPr>
        <w:pStyle w:val="FootnoteText"/>
      </w:pPr>
      <w:r>
        <w:rPr>
          <w:rStyle w:val="FootnoteReference"/>
        </w:rPr>
        <w:footnoteRef/>
      </w:r>
      <w:r>
        <w:t xml:space="preserve"> </w:t>
      </w:r>
      <w:r>
        <w:rPr>
          <w:i/>
        </w:rPr>
        <w:t>See</w:t>
      </w:r>
      <w:r>
        <w:t xml:space="preserve"> 47 C.F.R. § 15.407(a)(1)(i).</w:t>
      </w:r>
    </w:p>
  </w:footnote>
  <w:footnote w:id="2">
    <w:p w14:paraId="298A5198" w14:textId="01D39A6D" w:rsidR="000118AC" w:rsidRDefault="000118AC">
      <w:pPr>
        <w:pStyle w:val="FootnoteText"/>
      </w:pPr>
      <w:r>
        <w:rPr>
          <w:rStyle w:val="FootnoteReference"/>
        </w:rPr>
        <w:footnoteRef/>
      </w:r>
      <w:r>
        <w:t xml:space="preserve"> </w:t>
      </w:r>
      <w:r w:rsidRPr="00F10C3A">
        <w:rPr>
          <w:i/>
        </w:rPr>
        <w:t>See</w:t>
      </w:r>
      <w:r>
        <w:t xml:space="preserve"> IEEE 802.11-2016 Clause 12.2.2</w:t>
      </w:r>
    </w:p>
  </w:footnote>
  <w:footnote w:id="3">
    <w:p w14:paraId="5F33DEF8" w14:textId="45FCE9FC" w:rsidR="000F7323" w:rsidRPr="001C7ED0" w:rsidRDefault="000B3172" w:rsidP="000F7323">
      <w:pPr>
        <w:rPr>
          <w:rFonts w:ascii="Times New Roman" w:hAnsi="Times New Roman" w:cs="Times New Roman"/>
          <w:sz w:val="20"/>
          <w:szCs w:val="20"/>
        </w:rPr>
      </w:pPr>
      <w:r w:rsidRPr="001C7ED0">
        <w:rPr>
          <w:rStyle w:val="FootnoteReference"/>
          <w:rFonts w:ascii="Times New Roman" w:hAnsi="Times New Roman" w:cs="Times New Roman"/>
          <w:sz w:val="20"/>
          <w:szCs w:val="20"/>
        </w:rPr>
        <w:footnoteRef/>
      </w:r>
      <w:r w:rsidRPr="001C7ED0">
        <w:rPr>
          <w:rFonts w:ascii="Times New Roman" w:hAnsi="Times New Roman" w:cs="Times New Roman"/>
          <w:sz w:val="20"/>
          <w:szCs w:val="20"/>
        </w:rPr>
        <w:t xml:space="preserve"> Quotient Associates, </w:t>
      </w:r>
      <w:r w:rsidRPr="001C7ED0">
        <w:rPr>
          <w:rFonts w:ascii="Times New Roman" w:hAnsi="Times New Roman" w:cs="Times New Roman"/>
          <w:i/>
          <w:sz w:val="20"/>
          <w:szCs w:val="20"/>
        </w:rPr>
        <w:t>Wi-Fi Spectrum Needs Study: Final Report to Wi-Fi Alliance</w:t>
      </w:r>
      <w:r w:rsidRPr="001C7ED0">
        <w:rPr>
          <w:rFonts w:ascii="Times New Roman" w:hAnsi="Times New Roman" w:cs="Times New Roman"/>
          <w:sz w:val="20"/>
          <w:szCs w:val="20"/>
        </w:rPr>
        <w:t xml:space="preserve"> (Feb. 2017), </w:t>
      </w:r>
      <w:hyperlink r:id="rId1" w:history="1">
        <w:r w:rsidR="00FA7429" w:rsidRPr="001C7ED0">
          <w:rPr>
            <w:rStyle w:val="Hyperlink"/>
            <w:rFonts w:ascii="Times New Roman" w:hAnsi="Times New Roman" w:cs="Times New Roman"/>
            <w:sz w:val="20"/>
            <w:szCs w:val="20"/>
          </w:rPr>
          <w:t>https://www.wi-fi.org/file/wi-fi-spectrum-needs-study</w:t>
        </w:r>
      </w:hyperlink>
      <w:r w:rsidRPr="001C7ED0">
        <w:rPr>
          <w:rFonts w:ascii="Times New Roman" w:hAnsi="Times New Roman" w:cs="Times New Roman"/>
          <w:sz w:val="20"/>
          <w:szCs w:val="20"/>
        </w:rPr>
        <w:t xml:space="preserve">; </w:t>
      </w:r>
      <w:r w:rsidR="000F7323" w:rsidRPr="001C7ED0">
        <w:rPr>
          <w:rFonts w:ascii="Times New Roman" w:hAnsi="Times New Roman" w:cs="Times New Roman"/>
          <w:sz w:val="20"/>
          <w:szCs w:val="20"/>
        </w:rPr>
        <w:t xml:space="preserve">Qualcomm, </w:t>
      </w:r>
      <w:r w:rsidR="000F7323" w:rsidRPr="001C7ED0">
        <w:rPr>
          <w:rFonts w:ascii="Times New Roman" w:hAnsi="Times New Roman" w:cs="Times New Roman"/>
          <w:i/>
          <w:sz w:val="20"/>
          <w:szCs w:val="20"/>
        </w:rPr>
        <w:t>A Quantification of 5 GHz Unlicensed Band Spectrum Needs</w:t>
      </w:r>
      <w:r w:rsidR="000F7323" w:rsidRPr="001C7ED0">
        <w:rPr>
          <w:rFonts w:ascii="Times New Roman" w:hAnsi="Times New Roman" w:cs="Times New Roman"/>
          <w:sz w:val="20"/>
          <w:szCs w:val="20"/>
        </w:rPr>
        <w:t xml:space="preserve">, </w:t>
      </w:r>
      <w:hyperlink r:id="rId2" w:history="1">
        <w:r w:rsidR="000F7323" w:rsidRPr="001C7ED0">
          <w:rPr>
            <w:rStyle w:val="Hyperlink"/>
            <w:rFonts w:ascii="Times New Roman" w:hAnsi="Times New Roman" w:cs="Times New Roman"/>
            <w:sz w:val="20"/>
            <w:szCs w:val="20"/>
          </w:rPr>
          <w:t>https://www.qualcomm.com/documents/quantification-5-ghz-unlicensed-band-spectrum-needs</w:t>
        </w:r>
      </w:hyperlink>
    </w:p>
    <w:p w14:paraId="4EF76B36" w14:textId="1FD12A9D" w:rsidR="000B3172" w:rsidRPr="000B3172" w:rsidRDefault="000B3172" w:rsidP="000F73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1636F3A9" w:rsidR="00E90837" w:rsidRDefault="005C0B31"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r w:rsidR="003F2A07">
      <w:t>0114r</w:t>
    </w:r>
    <w:r w:rsidR="00963792">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7"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6D1360"/>
    <w:multiLevelType w:val="hybridMultilevel"/>
    <w:tmpl w:val="F8DC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5C3ED8"/>
    <w:multiLevelType w:val="multilevel"/>
    <w:tmpl w:val="7A5A5B84"/>
    <w:lvl w:ilvl="0">
      <w:start w:val="1"/>
      <w:numFmt w:val="upperRoman"/>
      <w:pStyle w:val="Heading1"/>
      <w:lvlText w:val="%1."/>
      <w:lvlJc w:val="left"/>
      <w:pPr>
        <w:ind w:left="720" w:firstLine="0"/>
      </w:pPr>
      <w:rPr>
        <w:sz w:val="24"/>
      </w:r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1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118AC"/>
    <w:rsid w:val="00031DBF"/>
    <w:rsid w:val="0005491F"/>
    <w:rsid w:val="00081174"/>
    <w:rsid w:val="000823F7"/>
    <w:rsid w:val="000A2EDD"/>
    <w:rsid w:val="000B3172"/>
    <w:rsid w:val="000C6371"/>
    <w:rsid w:val="000E3E6C"/>
    <w:rsid w:val="000F7323"/>
    <w:rsid w:val="00117E23"/>
    <w:rsid w:val="001547FD"/>
    <w:rsid w:val="00176D3B"/>
    <w:rsid w:val="0018754F"/>
    <w:rsid w:val="001A163E"/>
    <w:rsid w:val="001C30B7"/>
    <w:rsid w:val="001C7ED0"/>
    <w:rsid w:val="001F7816"/>
    <w:rsid w:val="00231B47"/>
    <w:rsid w:val="00260F4A"/>
    <w:rsid w:val="0027637D"/>
    <w:rsid w:val="002A5172"/>
    <w:rsid w:val="002A5AD2"/>
    <w:rsid w:val="002B5452"/>
    <w:rsid w:val="002B55A5"/>
    <w:rsid w:val="002C22A7"/>
    <w:rsid w:val="002F62A6"/>
    <w:rsid w:val="003062EF"/>
    <w:rsid w:val="00361C48"/>
    <w:rsid w:val="00362C23"/>
    <w:rsid w:val="00366711"/>
    <w:rsid w:val="003671A4"/>
    <w:rsid w:val="00371B2A"/>
    <w:rsid w:val="003827FE"/>
    <w:rsid w:val="003910FD"/>
    <w:rsid w:val="003A0657"/>
    <w:rsid w:val="003B4014"/>
    <w:rsid w:val="003C0821"/>
    <w:rsid w:val="003C47A5"/>
    <w:rsid w:val="003E55D2"/>
    <w:rsid w:val="003F2A07"/>
    <w:rsid w:val="00405034"/>
    <w:rsid w:val="00440570"/>
    <w:rsid w:val="00453BFC"/>
    <w:rsid w:val="004920BA"/>
    <w:rsid w:val="00493257"/>
    <w:rsid w:val="00495FD4"/>
    <w:rsid w:val="0049646B"/>
    <w:rsid w:val="00496D43"/>
    <w:rsid w:val="004F23F4"/>
    <w:rsid w:val="004F7F5F"/>
    <w:rsid w:val="0052789B"/>
    <w:rsid w:val="005344C5"/>
    <w:rsid w:val="005542BA"/>
    <w:rsid w:val="005908D7"/>
    <w:rsid w:val="005C0B31"/>
    <w:rsid w:val="005F6C91"/>
    <w:rsid w:val="0061011C"/>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63792"/>
    <w:rsid w:val="00984BD5"/>
    <w:rsid w:val="009E0515"/>
    <w:rsid w:val="00A23337"/>
    <w:rsid w:val="00A60EF2"/>
    <w:rsid w:val="00A61362"/>
    <w:rsid w:val="00A72010"/>
    <w:rsid w:val="00A85260"/>
    <w:rsid w:val="00BA733E"/>
    <w:rsid w:val="00BC72B2"/>
    <w:rsid w:val="00BD3070"/>
    <w:rsid w:val="00BE1E18"/>
    <w:rsid w:val="00BE5F66"/>
    <w:rsid w:val="00BE6756"/>
    <w:rsid w:val="00BF3B0F"/>
    <w:rsid w:val="00C20B58"/>
    <w:rsid w:val="00C32366"/>
    <w:rsid w:val="00C40961"/>
    <w:rsid w:val="00C421CB"/>
    <w:rsid w:val="00C60699"/>
    <w:rsid w:val="00C75C36"/>
    <w:rsid w:val="00C83BC2"/>
    <w:rsid w:val="00CA048B"/>
    <w:rsid w:val="00CC50DD"/>
    <w:rsid w:val="00CC793B"/>
    <w:rsid w:val="00CD1444"/>
    <w:rsid w:val="00CD1A75"/>
    <w:rsid w:val="00CF7EEF"/>
    <w:rsid w:val="00D0252D"/>
    <w:rsid w:val="00D651C2"/>
    <w:rsid w:val="00DD61E9"/>
    <w:rsid w:val="00DE6FE7"/>
    <w:rsid w:val="00E01A89"/>
    <w:rsid w:val="00E2589C"/>
    <w:rsid w:val="00E37543"/>
    <w:rsid w:val="00E442E3"/>
    <w:rsid w:val="00E47358"/>
    <w:rsid w:val="00E6586E"/>
    <w:rsid w:val="00E90837"/>
    <w:rsid w:val="00E93056"/>
    <w:rsid w:val="00EA2F56"/>
    <w:rsid w:val="00EB00BE"/>
    <w:rsid w:val="00EE4F2A"/>
    <w:rsid w:val="00EE552C"/>
    <w:rsid w:val="00EF70E9"/>
    <w:rsid w:val="00F10C3A"/>
    <w:rsid w:val="00F4495A"/>
    <w:rsid w:val="00F54ACF"/>
    <w:rsid w:val="00F67BBA"/>
    <w:rsid w:val="00F82069"/>
    <w:rsid w:val="00FA742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1544826433">
      <w:bodyDiv w:val="1"/>
      <w:marLeft w:val="0"/>
      <w:marRight w:val="0"/>
      <w:marTop w:val="0"/>
      <w:marBottom w:val="0"/>
      <w:divBdr>
        <w:top w:val="none" w:sz="0" w:space="0" w:color="auto"/>
        <w:left w:val="none" w:sz="0" w:space="0" w:color="auto"/>
        <w:bottom w:val="none" w:sz="0" w:space="0" w:color="auto"/>
        <w:right w:val="none" w:sz="0" w:space="0" w:color="auto"/>
      </w:divBdr>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1F67-D7FA-4952-8E3F-94E805F5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2017-09-14T20:40:00Z</dcterms:created>
  <dcterms:modified xsi:type="dcterms:W3CDTF">2017-09-14T20:40:00Z</dcterms:modified>
</cp:coreProperties>
</file>