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header3.xml" ContentType="application/vnd.openxmlformats-officedocument.wordprocessingml.head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81"/>
        <w:gridCol w:w="2821"/>
        <w:gridCol w:w="5430"/>
      </w:tblGrid>
      <w:tr w:rsidR="008C4423">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8C4423"/>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242" w:type="dxa"/>
            </w:tcMar>
          </w:tcPr>
          <w:p w:rsidR="008C4423" w:rsidRDefault="008C4423"/>
        </w:tc>
      </w:tr>
      <w:tr w:rsidR="008C4423">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t>Title</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b/>
                <w:bCs/>
              </w:rPr>
              <w:t xml:space="preserve">Proposed Contribution to ITU-R WP 1A: </w:t>
            </w:r>
            <w:r>
              <w:rPr>
                <w:b/>
                <w:bCs/>
                <w:i/>
                <w:iCs/>
              </w:rPr>
              <w:t>Comment on Working Document towards a PRELIMINARY Draft New Report ITU-R SM.[Visible-Light]</w:t>
            </w:r>
          </w:p>
        </w:tc>
      </w:tr>
      <w:tr w:rsidR="008C4423">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t>Date Submitted</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rsidP="003A4411">
            <w:pPr>
              <w:pStyle w:val="covertext"/>
            </w:pPr>
            <w:r>
              <w:rPr>
                <w:b/>
                <w:bCs/>
              </w:rPr>
              <w:t>2017-05-1</w:t>
            </w:r>
            <w:r w:rsidR="003A4411">
              <w:rPr>
                <w:b/>
                <w:bCs/>
              </w:rPr>
              <w:t>0</w:t>
            </w:r>
          </w:p>
        </w:tc>
      </w:tr>
      <w:tr w:rsidR="008C4423">
        <w:trPr>
          <w:trHeight w:val="14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t>Source(s)</w:t>
            </w:r>
          </w:p>
        </w:tc>
        <w:tc>
          <w:tcPr>
            <w:tcW w:w="28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t>Roger B. Marks</w:t>
            </w:r>
          </w:p>
          <w:p w:rsidR="008C4423" w:rsidRDefault="003D561D">
            <w:pPr>
              <w:pStyle w:val="covertext"/>
            </w:pPr>
            <w:r>
              <w:t>EthAirNet Associates</w:t>
            </w:r>
          </w:p>
          <w:p w:rsidR="008C4423" w:rsidRDefault="003D561D">
            <w:pPr>
              <w:pStyle w:val="covertext"/>
            </w:pPr>
            <w:r>
              <w:t>4040 Montview Blvd</w:t>
            </w:r>
          </w:p>
          <w:p w:rsidR="008C4423" w:rsidRDefault="003D561D">
            <w:pPr>
              <w:pStyle w:val="covertext"/>
            </w:pPr>
            <w:r>
              <w:t>Denver, CO 80207 USA</w:t>
            </w:r>
          </w:p>
        </w:tc>
        <w:tc>
          <w:tcPr>
            <w:tcW w:w="542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Default"/>
              <w:tabs>
                <w:tab w:val="clear" w:pos="1134"/>
                <w:tab w:val="clear" w:pos="1871"/>
                <w:tab w:val="clear" w:pos="2268"/>
              </w:tabs>
              <w:spacing w:before="0"/>
            </w:pPr>
            <w:r>
              <w:t>Voice:</w:t>
            </w:r>
            <w:r>
              <w:tab/>
              <w:t xml:space="preserve">+1 </w:t>
            </w:r>
            <w:r>
              <w:t>802 capable</w:t>
            </w:r>
            <w:r>
              <w:rPr>
                <w:rFonts w:ascii="Arial Unicode MS" w:hAnsi="Arial Unicode MS"/>
              </w:rPr>
              <w:br/>
            </w:r>
            <w:r>
              <w:t>E-mail: roger@ethair.net</w:t>
            </w:r>
          </w:p>
          <w:p w:rsidR="008C4423" w:rsidRDefault="008C4423">
            <w:pPr>
              <w:pStyle w:val="Default"/>
              <w:tabs>
                <w:tab w:val="clear" w:pos="1134"/>
                <w:tab w:val="clear" w:pos="1871"/>
                <w:tab w:val="clear" w:pos="2268"/>
              </w:tabs>
              <w:spacing w:before="0"/>
              <w:rPr>
                <w:rFonts w:ascii="Helvetica" w:eastAsia="Helvetica" w:hAnsi="Helvetica" w:cs="Helvetica"/>
                <w:sz w:val="20"/>
                <w:szCs w:val="20"/>
              </w:rPr>
            </w:pPr>
          </w:p>
          <w:p w:rsidR="008C4423" w:rsidRDefault="003D561D">
            <w:pPr>
              <w:pStyle w:val="Default"/>
              <w:tabs>
                <w:tab w:val="clear" w:pos="1134"/>
                <w:tab w:val="clear" w:pos="1871"/>
                <w:tab w:val="clear" w:pos="2268"/>
              </w:tabs>
              <w:spacing w:before="0"/>
            </w:pPr>
            <w:r>
              <w:rPr>
                <w:rFonts w:ascii="Helvetica" w:hAnsi="Helvetica"/>
                <w:sz w:val="20"/>
                <w:szCs w:val="20"/>
              </w:rPr>
              <w:t>*&lt;</w:t>
            </w:r>
            <w:hyperlink r:id="rId4" w:history="1">
              <w:r>
                <w:rPr>
                  <w:rStyle w:val="Hyperlink0"/>
                  <w:rFonts w:ascii="Helvetica" w:hAnsi="Helvetica"/>
                </w:rPr>
                <w:t>http://standards.ieee.org/faqs/affiliationFAQ.html</w:t>
              </w:r>
            </w:hyperlink>
            <w:r>
              <w:rPr>
                <w:rStyle w:val="None"/>
                <w:rFonts w:ascii="Helvetica" w:hAnsi="Helvetica"/>
                <w:sz w:val="20"/>
                <w:szCs w:val="20"/>
              </w:rPr>
              <w:t>&gt;</w:t>
            </w:r>
          </w:p>
        </w:tc>
      </w:tr>
      <w:tr w:rsidR="008C4423">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Re:</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ITU-R WP 1A</w:t>
            </w:r>
          </w:p>
        </w:tc>
      </w:tr>
      <w:tr w:rsidR="008C4423">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Abstract</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 xml:space="preserve">This document proposes a contribution to ITU-R Working Party 1A, as an </w:t>
            </w:r>
            <w:r>
              <w:rPr>
                <w:rStyle w:val="None"/>
              </w:rPr>
              <w:t>enhancement of IEEE 802.11-17-0790-02.</w:t>
            </w:r>
          </w:p>
        </w:tc>
      </w:tr>
      <w:tr w:rsidR="008C4423">
        <w:trPr>
          <w:trHeight w:val="14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Purpose</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This contribution requests review by the IEEE 802.18 Technical Advisory Group and submittal of a version, revised to suit the TAG, to the IEEE 802 Executive Committee for approval under OM Subclause 8.2.1 as an intended contribution from IEEE to ITU-R Work</w:t>
            </w:r>
            <w:r>
              <w:rPr>
                <w:rStyle w:val="None"/>
              </w:rPr>
              <w:t xml:space="preserve">ing Party 1A </w:t>
            </w:r>
            <w:r>
              <w:rPr>
                <w:rStyle w:val="None"/>
                <w:b/>
                <w:bCs/>
              </w:rPr>
              <w:t>for submission by IEEE by the deadline of Tuesday 6 June 2017, 16:00 hours UTC</w:t>
            </w:r>
            <w:r>
              <w:rPr>
                <w:rStyle w:val="None"/>
              </w:rPr>
              <w:t>.</w:t>
            </w:r>
          </w:p>
        </w:tc>
      </w:tr>
      <w:tr w:rsidR="008C4423">
        <w:trPr>
          <w:trHeight w:val="7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Notice</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spacing w:before="0" w:after="0"/>
            </w:pPr>
            <w:r>
              <w:rPr>
                <w:rStyle w:val="None"/>
                <w:i/>
                <w:iCs/>
                <w:sz w:val="20"/>
                <w:szCs w:val="20"/>
              </w:rPr>
              <w:t xml:space="preserve">This document represents only the views of the participants listed in the “Source(s)” field above. It is offered as a basis for discussion. It is not </w:t>
            </w:r>
            <w:r>
              <w:rPr>
                <w:rStyle w:val="None"/>
                <w:i/>
                <w:iCs/>
                <w:sz w:val="20"/>
                <w:szCs w:val="20"/>
              </w:rPr>
              <w:t>binding on the contributor(s), who reserve(s) the right to add, amend or withdraw material contained herein.</w:t>
            </w:r>
          </w:p>
        </w:tc>
      </w:tr>
      <w:tr w:rsidR="008C4423">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8C4423" w:rsidRDefault="003D561D">
            <w:pPr>
              <w:pStyle w:val="covertext"/>
            </w:pPr>
            <w:r>
              <w:rPr>
                <w:rStyle w:val="None"/>
              </w:rPr>
              <w:t>Copyright Policy</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8C4423" w:rsidRDefault="003D561D">
            <w:pPr>
              <w:pStyle w:val="covertext"/>
              <w:spacing w:before="0" w:after="0"/>
            </w:pPr>
            <w:r>
              <w:rPr>
                <w:rStyle w:val="None"/>
                <w:sz w:val="20"/>
                <w:szCs w:val="20"/>
              </w:rPr>
              <w:t>The contributor is familiar with the IEEE-SA Copyright Policy &lt;</w:t>
            </w:r>
            <w:r>
              <w:rPr>
                <w:rStyle w:val="None"/>
                <w:color w:val="0000FF"/>
                <w:sz w:val="20"/>
                <w:szCs w:val="20"/>
                <w:u w:color="0000FF"/>
              </w:rPr>
              <w:t>http://standards.ieee.org/IPR/copyrightpolicy.html</w:t>
            </w:r>
            <w:r>
              <w:rPr>
                <w:rStyle w:val="None"/>
                <w:sz w:val="20"/>
                <w:szCs w:val="20"/>
              </w:rPr>
              <w:t>&gt;.</w:t>
            </w:r>
          </w:p>
        </w:tc>
      </w:tr>
      <w:tr w:rsidR="008C4423">
        <w:trPr>
          <w:trHeight w:val="13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C4423" w:rsidRDefault="003D561D">
            <w:pPr>
              <w:pStyle w:val="covertext"/>
            </w:pPr>
            <w:r>
              <w:rPr>
                <w:rStyle w:val="None"/>
              </w:rPr>
              <w:t xml:space="preserve">Patent </w:t>
            </w:r>
            <w:r>
              <w:rPr>
                <w:rStyle w:val="None"/>
              </w:rPr>
              <w:t>Policy</w:t>
            </w:r>
          </w:p>
        </w:tc>
        <w:tc>
          <w:tcPr>
            <w:tcW w:w="825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8C4423" w:rsidRDefault="003D561D">
            <w:pPr>
              <w:pStyle w:val="Default"/>
              <w:tabs>
                <w:tab w:val="clear" w:pos="1134"/>
                <w:tab w:val="clear" w:pos="1871"/>
                <w:tab w:val="clear" w:pos="2268"/>
              </w:tabs>
              <w:spacing w:before="0"/>
              <w:rPr>
                <w:rStyle w:val="None"/>
              </w:rPr>
            </w:pPr>
            <w:r>
              <w:rPr>
                <w:rStyle w:val="None"/>
                <w:sz w:val="20"/>
                <w:szCs w:val="20"/>
              </w:rPr>
              <w:t>The contributor is familiar with the IEEE-SA Patent Policy and Procedures:</w:t>
            </w:r>
          </w:p>
          <w:p w:rsidR="008C4423" w:rsidRDefault="003D561D">
            <w:pPr>
              <w:pStyle w:val="Default"/>
              <w:tabs>
                <w:tab w:val="clear" w:pos="1134"/>
                <w:tab w:val="clear" w:pos="1871"/>
                <w:tab w:val="clear" w:pos="2268"/>
              </w:tabs>
              <w:spacing w:before="0"/>
              <w:ind w:left="720"/>
              <w:rPr>
                <w:rStyle w:val="None"/>
              </w:rPr>
            </w:pPr>
            <w:r>
              <w:rPr>
                <w:rStyle w:val="None"/>
                <w:sz w:val="20"/>
                <w:szCs w:val="20"/>
              </w:rPr>
              <w:t>&lt;</w:t>
            </w:r>
            <w:hyperlink r:id="rId5" w:history="1">
              <w:r>
                <w:rPr>
                  <w:rStyle w:val="Hyperlink1"/>
                  <w:sz w:val="20"/>
                  <w:szCs w:val="20"/>
                </w:rPr>
                <w:t>http://standards.ieee.org/guides/bylaws/sect6-7.html#6</w:t>
              </w:r>
            </w:hyperlink>
            <w:r>
              <w:rPr>
                <w:rStyle w:val="None"/>
                <w:sz w:val="20"/>
                <w:szCs w:val="20"/>
              </w:rPr>
              <w:t>&gt; and &lt;</w:t>
            </w:r>
            <w:hyperlink r:id="rId6" w:history="1">
              <w:r>
                <w:rPr>
                  <w:rStyle w:val="Hyperlink1"/>
                  <w:sz w:val="20"/>
                  <w:szCs w:val="20"/>
                </w:rPr>
                <w:t>http://standards.ieee.org/guides/opman/sect6.html#6.3</w:t>
              </w:r>
            </w:hyperlink>
            <w:r>
              <w:rPr>
                <w:rStyle w:val="None"/>
                <w:sz w:val="20"/>
                <w:szCs w:val="20"/>
              </w:rPr>
              <w:t>&gt;.</w:t>
            </w:r>
          </w:p>
          <w:p w:rsidR="008C4423" w:rsidRDefault="003D561D">
            <w:pPr>
              <w:pStyle w:val="Default"/>
              <w:tabs>
                <w:tab w:val="clear" w:pos="1134"/>
                <w:tab w:val="clear" w:pos="1871"/>
                <w:tab w:val="clear" w:pos="2268"/>
              </w:tabs>
              <w:spacing w:before="0"/>
            </w:pPr>
            <w:r>
              <w:rPr>
                <w:rStyle w:val="None"/>
                <w:sz w:val="20"/>
                <w:szCs w:val="20"/>
              </w:rPr>
              <w:t>Further information is located at &lt;</w:t>
            </w:r>
            <w:hyperlink r:id="rId7" w:history="1">
              <w:r>
                <w:rPr>
                  <w:rStyle w:val="Hyperlink1"/>
                  <w:sz w:val="20"/>
                  <w:szCs w:val="20"/>
                </w:rPr>
                <w:t>http://standards.ieee.org/board/pat/pat-material.html</w:t>
              </w:r>
            </w:hyperlink>
            <w:r>
              <w:rPr>
                <w:rStyle w:val="None"/>
                <w:sz w:val="20"/>
                <w:szCs w:val="20"/>
              </w:rPr>
              <w:t>&gt; and &lt;</w:t>
            </w:r>
            <w:hyperlink r:id="rId8" w:history="1">
              <w:r>
                <w:rPr>
                  <w:rStyle w:val="Hyperlink1"/>
                  <w:sz w:val="20"/>
                  <w:szCs w:val="20"/>
                </w:rPr>
                <w:t>http://standards.ieee.org/board/pat</w:t>
              </w:r>
            </w:hyperlink>
            <w:r>
              <w:rPr>
                <w:rStyle w:val="None"/>
                <w:sz w:val="20"/>
                <w:szCs w:val="20"/>
              </w:rPr>
              <w:t>&gt;.</w:t>
            </w:r>
          </w:p>
        </w:tc>
      </w:tr>
    </w:tbl>
    <w:p w:rsidR="008C4423" w:rsidRDefault="008C4423">
      <w:pPr>
        <w:pStyle w:val="Body"/>
        <w:widowControl w:val="0"/>
      </w:pPr>
    </w:p>
    <w:p w:rsidR="008C4423" w:rsidRDefault="008C4423">
      <w:pPr>
        <w:pStyle w:val="Title"/>
        <w:jc w:val="left"/>
      </w:pPr>
    </w:p>
    <w:p w:rsidR="008C4423" w:rsidRDefault="003D561D">
      <w:pPr>
        <w:pStyle w:val="Body"/>
        <w:tabs>
          <w:tab w:val="clear" w:pos="1134"/>
          <w:tab w:val="clear" w:pos="1871"/>
          <w:tab w:val="clear" w:pos="2268"/>
        </w:tabs>
        <w:spacing w:before="0"/>
      </w:pPr>
      <w:r>
        <w:rPr>
          <w:rFonts w:ascii="Arial Unicode MS" w:hAnsi="Arial Unicode MS"/>
        </w:rPr>
        <w:br w:type="page"/>
      </w:r>
    </w:p>
    <w:p w:rsidR="008C4423" w:rsidRDefault="003D561D">
      <w:pPr>
        <w:pStyle w:val="Body"/>
      </w:pPr>
      <w:r>
        <w:rPr>
          <w:rStyle w:val="None"/>
          <w:b/>
          <w:bCs/>
          <w:lang w:val="en-US"/>
        </w:rPr>
        <w:t>Proposed Contribution to ITU-R WP 1A: Comment on Working Document towards a PRELIMINARY Draft New Report ITU-R SM.[Visible-Light]</w:t>
      </w:r>
    </w:p>
    <w:p w:rsidR="008C4423" w:rsidRDefault="003D561D">
      <w:pPr>
        <w:pStyle w:val="covertext"/>
      </w:pPr>
      <w:r>
        <w:t xml:space="preserve">This document proposes the following </w:t>
      </w:r>
      <w:r>
        <w:t xml:space="preserve">draft </w:t>
      </w:r>
      <w:bookmarkStart w:id="0" w:name="OLE_LINK34"/>
      <w:r>
        <w:t xml:space="preserve">contribution </w:t>
      </w:r>
      <w:bookmarkEnd w:id="0"/>
      <w:r>
        <w:t xml:space="preserve">to ITU-R Working Party 1A, as an enhancement of </w:t>
      </w:r>
      <w:bookmarkStart w:id="1" w:name="OLE_LINK35"/>
      <w:r>
        <w:t>IEEE 802.11-17-0790-02</w:t>
      </w:r>
      <w:bookmarkEnd w:id="1"/>
      <w:r>
        <w:t>.</w:t>
      </w:r>
    </w:p>
    <w:p w:rsidR="008C4423" w:rsidRDefault="003D561D">
      <w:pPr>
        <w:pStyle w:val="covertext"/>
      </w:pPr>
      <w:r>
        <w:t>The draft attachment referenced in the “Proposal” section is in document IEEE 802.18-17-0076.</w:t>
      </w:r>
    </w:p>
    <w:p w:rsidR="008C4423" w:rsidRDefault="003D561D">
      <w:pPr>
        <w:pStyle w:val="Title"/>
        <w:jc w:val="left"/>
      </w:pPr>
      <w:r>
        <w:rPr>
          <w:rFonts w:ascii="Arial Unicode MS" w:eastAsia="Arial Unicode MS" w:hAnsi="Arial Unicode MS" w:cs="Arial Unicode MS"/>
          <w:b w:val="0"/>
          <w:bCs w:val="0"/>
        </w:rPr>
        <w:br w:type="page"/>
      </w: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86"/>
        <w:gridCol w:w="4784"/>
        <w:gridCol w:w="1843"/>
        <w:gridCol w:w="1519"/>
      </w:tblGrid>
      <w:tr w:rsidR="008C4423">
        <w:trPr>
          <w:trHeight w:val="1286"/>
        </w:trPr>
        <w:tc>
          <w:tcPr>
            <w:tcW w:w="1486" w:type="dxa"/>
            <w:tcBorders>
              <w:top w:val="nil"/>
              <w:left w:val="nil"/>
              <w:bottom w:val="nil"/>
              <w:right w:val="nil"/>
            </w:tcBorders>
            <w:shd w:val="clear" w:color="auto" w:fill="auto"/>
            <w:tcMar>
              <w:top w:w="80" w:type="dxa"/>
              <w:left w:w="80" w:type="dxa"/>
              <w:bottom w:w="80" w:type="dxa"/>
              <w:right w:w="80" w:type="dxa"/>
            </w:tcMar>
            <w:vAlign w:val="center"/>
          </w:tcPr>
          <w:p w:rsidR="008C4423" w:rsidRDefault="003D561D">
            <w:pPr>
              <w:pStyle w:val="Body"/>
              <w:shd w:val="clear" w:color="auto" w:fill="FFFFFF"/>
              <w:spacing w:before="0"/>
            </w:pPr>
            <w:r>
              <w:rPr>
                <w:rStyle w:val="None"/>
                <w:rFonts w:ascii="Verdana" w:eastAsia="Verdana" w:hAnsi="Verdana" w:cs="Verdana"/>
                <w:b/>
                <w:bCs/>
                <w:noProof/>
                <w:sz w:val="20"/>
                <w:szCs w:val="20"/>
                <w:lang w:val="en-US"/>
              </w:rPr>
              <w:drawing>
                <wp:inline distT="0" distB="0" distL="0" distR="0">
                  <wp:extent cx="579396" cy="65722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extLst/>
                          </a:blip>
                          <a:stretch>
                            <a:fillRect/>
                          </a:stretch>
                        </pic:blipFill>
                        <pic:spPr>
                          <a:xfrm>
                            <a:off x="0" y="0"/>
                            <a:ext cx="579396" cy="657225"/>
                          </a:xfrm>
                          <a:prstGeom prst="rect">
                            <a:avLst/>
                          </a:prstGeom>
                          <a:ln w="12700" cap="flat">
                            <a:noFill/>
                            <a:miter lim="400000"/>
                          </a:ln>
                          <a:effectLst/>
                        </pic:spPr>
                      </pic:pic>
                    </a:graphicData>
                  </a:graphic>
                </wp:inline>
              </w:drawing>
            </w:r>
          </w:p>
        </w:tc>
        <w:tc>
          <w:tcPr>
            <w:tcW w:w="6627" w:type="dxa"/>
            <w:gridSpan w:val="2"/>
            <w:tcBorders>
              <w:top w:val="nil"/>
              <w:left w:val="nil"/>
              <w:bottom w:val="nil"/>
              <w:right w:val="nil"/>
            </w:tcBorders>
            <w:shd w:val="clear" w:color="auto" w:fill="auto"/>
            <w:tcMar>
              <w:top w:w="80" w:type="dxa"/>
              <w:left w:w="80" w:type="dxa"/>
              <w:bottom w:w="80" w:type="dxa"/>
              <w:right w:w="80" w:type="dxa"/>
            </w:tcMar>
            <w:vAlign w:val="center"/>
          </w:tcPr>
          <w:p w:rsidR="008C4423" w:rsidRDefault="003D561D">
            <w:pPr>
              <w:pStyle w:val="Body"/>
              <w:shd w:val="clear" w:color="auto" w:fill="FFFFFF"/>
              <w:spacing w:before="0"/>
              <w:jc w:val="center"/>
            </w:pPr>
            <w:r>
              <w:rPr>
                <w:rStyle w:val="None"/>
                <w:rFonts w:ascii="Verdana" w:hAnsi="Verdana"/>
                <w:b/>
                <w:bCs/>
                <w:sz w:val="26"/>
                <w:szCs w:val="26"/>
                <w:lang w:val="en-US"/>
              </w:rPr>
              <w:t>Radiocommunication Study Groups</w:t>
            </w:r>
          </w:p>
        </w:tc>
        <w:tc>
          <w:tcPr>
            <w:tcW w:w="1518" w:type="dxa"/>
            <w:tcBorders>
              <w:top w:val="nil"/>
              <w:left w:val="nil"/>
              <w:bottom w:val="nil"/>
              <w:right w:val="nil"/>
            </w:tcBorders>
            <w:shd w:val="clear" w:color="auto" w:fill="auto"/>
            <w:tcMar>
              <w:top w:w="80" w:type="dxa"/>
              <w:left w:w="80" w:type="dxa"/>
              <w:bottom w:w="80" w:type="dxa"/>
              <w:right w:w="80" w:type="dxa"/>
            </w:tcMar>
          </w:tcPr>
          <w:p w:rsidR="008C4423" w:rsidRDefault="003D561D">
            <w:pPr>
              <w:pStyle w:val="Heading5"/>
              <w:keepNext w:val="0"/>
              <w:keepLines w:val="0"/>
              <w:shd w:val="clear" w:color="auto" w:fill="FFFFFF"/>
              <w:tabs>
                <w:tab w:val="left" w:pos="1134"/>
              </w:tabs>
              <w:spacing w:before="0" w:line="240" w:lineRule="atLeast"/>
              <w:ind w:left="0" w:firstLine="0"/>
              <w:jc w:val="right"/>
            </w:pPr>
            <w:r>
              <w:rPr>
                <w:rStyle w:val="None"/>
                <w:b w:val="0"/>
                <w:bCs w:val="0"/>
                <w:noProof/>
              </w:rPr>
              <w:drawing>
                <wp:inline distT="0" distB="0" distL="0" distR="0">
                  <wp:extent cx="964238" cy="876295"/>
                  <wp:effectExtent l="0" t="0" r="0" b="0"/>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10">
                            <a:extLst/>
                          </a:blip>
                          <a:stretch>
                            <a:fillRect/>
                          </a:stretch>
                        </pic:blipFill>
                        <pic:spPr>
                          <a:xfrm>
                            <a:off x="0" y="0"/>
                            <a:ext cx="964238" cy="876295"/>
                          </a:xfrm>
                          <a:prstGeom prst="rect">
                            <a:avLst/>
                          </a:prstGeom>
                          <a:ln w="12700" cap="flat">
                            <a:noFill/>
                            <a:miter lim="400000"/>
                          </a:ln>
                          <a:effectLst/>
                        </pic:spPr>
                      </pic:pic>
                    </a:graphicData>
                  </a:graphic>
                </wp:inline>
              </w:drawing>
            </w:r>
          </w:p>
        </w:tc>
      </w:tr>
      <w:tr w:rsidR="008C4423">
        <w:trPr>
          <w:trHeight w:val="255"/>
        </w:trPr>
        <w:tc>
          <w:tcPr>
            <w:tcW w:w="6270" w:type="dxa"/>
            <w:gridSpan w:val="2"/>
            <w:tcBorders>
              <w:top w:val="nil"/>
              <w:left w:val="nil"/>
              <w:bottom w:val="single" w:sz="12" w:space="0" w:color="000000"/>
              <w:right w:val="nil"/>
            </w:tcBorders>
            <w:shd w:val="clear" w:color="auto" w:fill="auto"/>
            <w:tcMar>
              <w:top w:w="80" w:type="dxa"/>
              <w:left w:w="80" w:type="dxa"/>
              <w:bottom w:w="80" w:type="dxa"/>
              <w:right w:w="80" w:type="dxa"/>
            </w:tcMar>
          </w:tcPr>
          <w:p w:rsidR="008C4423" w:rsidRDefault="003D561D">
            <w:pPr>
              <w:pStyle w:val="Body"/>
              <w:shd w:val="clear" w:color="auto" w:fill="FFFFFF"/>
              <w:spacing w:before="0" w:after="48"/>
            </w:pPr>
            <w:r>
              <w:rPr>
                <w:rStyle w:val="None"/>
                <w:rFonts w:ascii="Verdana" w:hAnsi="Verdana"/>
                <w:b/>
                <w:bCs/>
                <w:sz w:val="20"/>
                <w:szCs w:val="20"/>
                <w:lang w:val="en-US"/>
              </w:rPr>
              <w:t xml:space="preserve">INTERNATIONAL TELECOMMUNICATION </w:t>
            </w:r>
            <w:r>
              <w:rPr>
                <w:rStyle w:val="None"/>
                <w:rFonts w:ascii="Verdana" w:hAnsi="Verdana"/>
                <w:b/>
                <w:bCs/>
                <w:sz w:val="20"/>
                <w:szCs w:val="20"/>
                <w:lang w:val="en-US"/>
              </w:rPr>
              <w:t>UNION</w:t>
            </w:r>
          </w:p>
        </w:tc>
        <w:tc>
          <w:tcPr>
            <w:tcW w:w="3361" w:type="dxa"/>
            <w:gridSpan w:val="2"/>
            <w:tcBorders>
              <w:top w:val="nil"/>
              <w:left w:val="nil"/>
              <w:bottom w:val="single" w:sz="12" w:space="0" w:color="000000"/>
              <w:right w:val="nil"/>
            </w:tcBorders>
            <w:shd w:val="clear" w:color="auto" w:fill="auto"/>
            <w:tcMar>
              <w:top w:w="80" w:type="dxa"/>
              <w:left w:w="80" w:type="dxa"/>
              <w:bottom w:w="80" w:type="dxa"/>
              <w:right w:w="80" w:type="dxa"/>
            </w:tcMar>
          </w:tcPr>
          <w:p w:rsidR="008C4423" w:rsidRDefault="008C4423"/>
        </w:tc>
      </w:tr>
      <w:tr w:rsidR="008C4423">
        <w:trPr>
          <w:trHeight w:val="305"/>
        </w:trPr>
        <w:tc>
          <w:tcPr>
            <w:tcW w:w="6270" w:type="dxa"/>
            <w:gridSpan w:val="2"/>
            <w:tcBorders>
              <w:top w:val="single" w:sz="12" w:space="0" w:color="000000"/>
              <w:left w:val="nil"/>
              <w:bottom w:val="nil"/>
              <w:right w:val="nil"/>
            </w:tcBorders>
            <w:shd w:val="clear" w:color="auto" w:fill="auto"/>
            <w:tcMar>
              <w:top w:w="80" w:type="dxa"/>
              <w:left w:w="80" w:type="dxa"/>
              <w:bottom w:w="80" w:type="dxa"/>
              <w:right w:w="80" w:type="dxa"/>
            </w:tcMar>
          </w:tcPr>
          <w:p w:rsidR="008C4423" w:rsidRDefault="008C4423"/>
        </w:tc>
        <w:tc>
          <w:tcPr>
            <w:tcW w:w="3361" w:type="dxa"/>
            <w:gridSpan w:val="2"/>
            <w:tcBorders>
              <w:top w:val="single" w:sz="12" w:space="0" w:color="000000"/>
              <w:left w:val="nil"/>
              <w:bottom w:val="nil"/>
              <w:right w:val="nil"/>
            </w:tcBorders>
            <w:shd w:val="clear" w:color="auto" w:fill="auto"/>
            <w:tcMar>
              <w:top w:w="80" w:type="dxa"/>
              <w:left w:w="80" w:type="dxa"/>
              <w:bottom w:w="80" w:type="dxa"/>
              <w:right w:w="80" w:type="dxa"/>
            </w:tcMar>
          </w:tcPr>
          <w:p w:rsidR="008C4423" w:rsidRDefault="008C4423"/>
        </w:tc>
      </w:tr>
      <w:tr w:rsidR="008C4423">
        <w:trPr>
          <w:trHeight w:val="240"/>
        </w:trPr>
        <w:tc>
          <w:tcPr>
            <w:tcW w:w="6270" w:type="dxa"/>
            <w:gridSpan w:val="2"/>
            <w:vMerge w:val="restart"/>
            <w:tcBorders>
              <w:top w:val="nil"/>
              <w:left w:val="nil"/>
              <w:bottom w:val="nil"/>
              <w:right w:val="nil"/>
            </w:tcBorders>
            <w:shd w:val="clear" w:color="auto" w:fill="auto"/>
            <w:tcMar>
              <w:top w:w="80" w:type="dxa"/>
              <w:left w:w="1214" w:type="dxa"/>
              <w:bottom w:w="80" w:type="dxa"/>
              <w:right w:w="80" w:type="dxa"/>
            </w:tcMar>
          </w:tcPr>
          <w:p w:rsidR="008C4423" w:rsidRDefault="003D561D">
            <w:pPr>
              <w:pStyle w:val="Body"/>
              <w:shd w:val="clear" w:color="auto" w:fill="FFFFFF"/>
              <w:tabs>
                <w:tab w:val="clear" w:pos="1134"/>
                <w:tab w:val="clear" w:pos="1871"/>
                <w:tab w:val="clear" w:pos="2268"/>
              </w:tabs>
              <w:spacing w:before="0" w:after="240"/>
              <w:ind w:left="1134" w:hanging="1134"/>
              <w:rPr>
                <w:rStyle w:val="None"/>
                <w:rFonts w:cs="Times New Roman"/>
                <w:color w:val="auto"/>
                <w:lang w:val="en-US"/>
              </w:rPr>
            </w:pPr>
            <w:r>
              <w:rPr>
                <w:rStyle w:val="None"/>
                <w:rFonts w:ascii="Verdana" w:hAnsi="Verdana"/>
                <w:sz w:val="20"/>
                <w:szCs w:val="20"/>
                <w:lang w:val="en-US"/>
              </w:rPr>
              <w:t>Received:</w:t>
            </w:r>
            <w:r>
              <w:rPr>
                <w:rStyle w:val="None"/>
                <w:rFonts w:ascii="Verdana" w:hAnsi="Verdana"/>
                <w:sz w:val="20"/>
                <w:szCs w:val="20"/>
                <w:lang w:val="en-US"/>
              </w:rPr>
              <w:tab/>
              <w:t>XX June 2017</w:t>
            </w:r>
          </w:p>
          <w:p w:rsidR="008C4423" w:rsidRDefault="003D561D">
            <w:pPr>
              <w:pStyle w:val="Body"/>
              <w:shd w:val="clear" w:color="auto" w:fill="FFFFFF"/>
              <w:tabs>
                <w:tab w:val="clear" w:pos="1134"/>
                <w:tab w:val="clear" w:pos="1871"/>
                <w:tab w:val="clear" w:pos="2268"/>
              </w:tabs>
              <w:spacing w:before="0" w:after="240"/>
              <w:ind w:left="1134" w:hanging="1134"/>
            </w:pPr>
            <w:r>
              <w:rPr>
                <w:rStyle w:val="None"/>
                <w:rFonts w:ascii="Verdana" w:hAnsi="Verdana"/>
                <w:sz w:val="20"/>
                <w:szCs w:val="20"/>
                <w:lang w:val="en-US"/>
              </w:rPr>
              <w:t>Subject:</w:t>
            </w:r>
            <w:r>
              <w:rPr>
                <w:rStyle w:val="None"/>
                <w:rFonts w:ascii="Verdana" w:hAnsi="Verdana"/>
                <w:sz w:val="20"/>
                <w:szCs w:val="20"/>
                <w:lang w:val="en-US"/>
              </w:rPr>
              <w:tab/>
            </w:r>
          </w:p>
        </w:tc>
        <w:tc>
          <w:tcPr>
            <w:tcW w:w="3361" w:type="dxa"/>
            <w:gridSpan w:val="2"/>
            <w:tcBorders>
              <w:top w:val="nil"/>
              <w:left w:val="nil"/>
              <w:bottom w:val="nil"/>
              <w:right w:val="nil"/>
            </w:tcBorders>
            <w:shd w:val="clear" w:color="auto" w:fill="auto"/>
            <w:tcMar>
              <w:top w:w="80" w:type="dxa"/>
              <w:left w:w="80" w:type="dxa"/>
              <w:bottom w:w="80" w:type="dxa"/>
              <w:right w:w="80" w:type="dxa"/>
            </w:tcMar>
          </w:tcPr>
          <w:p w:rsidR="008C4423" w:rsidRDefault="003D561D">
            <w:pPr>
              <w:pStyle w:val="Body"/>
              <w:shd w:val="clear" w:color="auto" w:fill="FFFFFF"/>
              <w:spacing w:before="0" w:line="240" w:lineRule="atLeast"/>
            </w:pPr>
            <w:r>
              <w:rPr>
                <w:rStyle w:val="None"/>
                <w:rFonts w:ascii="Verdana" w:hAnsi="Verdana"/>
                <w:b/>
                <w:bCs/>
                <w:sz w:val="20"/>
                <w:szCs w:val="20"/>
                <w:lang w:val="en-US"/>
              </w:rPr>
              <w:t>Document XXX-E</w:t>
            </w:r>
          </w:p>
        </w:tc>
      </w:tr>
      <w:tr w:rsidR="008C4423">
        <w:trPr>
          <w:trHeight w:val="240"/>
        </w:trPr>
        <w:tc>
          <w:tcPr>
            <w:tcW w:w="6270" w:type="dxa"/>
            <w:gridSpan w:val="2"/>
            <w:vMerge/>
            <w:tcBorders>
              <w:top w:val="nil"/>
              <w:left w:val="nil"/>
              <w:bottom w:val="nil"/>
              <w:right w:val="nil"/>
            </w:tcBorders>
            <w:shd w:val="clear" w:color="auto" w:fill="auto"/>
          </w:tcPr>
          <w:p w:rsidR="008C4423" w:rsidRDefault="008C4423"/>
        </w:tc>
        <w:tc>
          <w:tcPr>
            <w:tcW w:w="3361" w:type="dxa"/>
            <w:gridSpan w:val="2"/>
            <w:tcBorders>
              <w:top w:val="nil"/>
              <w:left w:val="nil"/>
              <w:bottom w:val="nil"/>
              <w:right w:val="nil"/>
            </w:tcBorders>
            <w:shd w:val="clear" w:color="auto" w:fill="auto"/>
            <w:tcMar>
              <w:top w:w="80" w:type="dxa"/>
              <w:left w:w="80" w:type="dxa"/>
              <w:bottom w:w="80" w:type="dxa"/>
              <w:right w:w="80" w:type="dxa"/>
            </w:tcMar>
          </w:tcPr>
          <w:p w:rsidR="008C4423" w:rsidRDefault="003D561D">
            <w:pPr>
              <w:pStyle w:val="Body"/>
              <w:shd w:val="clear" w:color="auto" w:fill="FFFFFF"/>
              <w:spacing w:before="0" w:line="240" w:lineRule="atLeast"/>
            </w:pPr>
            <w:r>
              <w:rPr>
                <w:rStyle w:val="None"/>
                <w:rFonts w:ascii="Verdana" w:hAnsi="Verdana"/>
                <w:b/>
                <w:bCs/>
                <w:sz w:val="20"/>
                <w:szCs w:val="20"/>
                <w:lang w:val="en-US"/>
              </w:rPr>
              <w:t>XX June 2017</w:t>
            </w:r>
          </w:p>
        </w:tc>
      </w:tr>
      <w:tr w:rsidR="008C4423">
        <w:trPr>
          <w:trHeight w:val="240"/>
        </w:trPr>
        <w:tc>
          <w:tcPr>
            <w:tcW w:w="6270" w:type="dxa"/>
            <w:gridSpan w:val="2"/>
            <w:vMerge/>
            <w:tcBorders>
              <w:top w:val="nil"/>
              <w:left w:val="nil"/>
              <w:bottom w:val="nil"/>
              <w:right w:val="nil"/>
            </w:tcBorders>
            <w:shd w:val="clear" w:color="auto" w:fill="auto"/>
          </w:tcPr>
          <w:p w:rsidR="008C4423" w:rsidRDefault="008C4423"/>
        </w:tc>
        <w:tc>
          <w:tcPr>
            <w:tcW w:w="3361" w:type="dxa"/>
            <w:gridSpan w:val="2"/>
            <w:tcBorders>
              <w:top w:val="nil"/>
              <w:left w:val="nil"/>
              <w:bottom w:val="nil"/>
              <w:right w:val="nil"/>
            </w:tcBorders>
            <w:shd w:val="clear" w:color="auto" w:fill="auto"/>
            <w:tcMar>
              <w:top w:w="80" w:type="dxa"/>
              <w:left w:w="80" w:type="dxa"/>
              <w:bottom w:w="80" w:type="dxa"/>
              <w:right w:w="80" w:type="dxa"/>
            </w:tcMar>
          </w:tcPr>
          <w:p w:rsidR="008C4423" w:rsidRDefault="003D561D">
            <w:pPr>
              <w:pStyle w:val="Body"/>
              <w:shd w:val="clear" w:color="auto" w:fill="FFFFFF"/>
              <w:spacing w:before="0" w:line="240" w:lineRule="atLeast"/>
            </w:pPr>
            <w:r>
              <w:rPr>
                <w:rStyle w:val="None"/>
                <w:rFonts w:ascii="Verdana" w:hAnsi="Verdana"/>
                <w:b/>
                <w:bCs/>
                <w:sz w:val="20"/>
                <w:szCs w:val="20"/>
                <w:lang w:val="en-US"/>
              </w:rPr>
              <w:t>English only</w:t>
            </w:r>
          </w:p>
        </w:tc>
      </w:tr>
      <w:tr w:rsidR="008C4423">
        <w:trPr>
          <w:trHeight w:val="308"/>
        </w:trPr>
        <w:tc>
          <w:tcPr>
            <w:tcW w:w="9632" w:type="dxa"/>
            <w:gridSpan w:val="4"/>
            <w:tcBorders>
              <w:top w:val="nil"/>
              <w:left w:val="nil"/>
              <w:bottom w:val="nil"/>
              <w:right w:val="nil"/>
            </w:tcBorders>
            <w:shd w:val="clear" w:color="auto" w:fill="auto"/>
            <w:tcMar>
              <w:top w:w="80" w:type="dxa"/>
              <w:left w:w="80" w:type="dxa"/>
              <w:bottom w:w="80" w:type="dxa"/>
              <w:right w:w="80" w:type="dxa"/>
            </w:tcMar>
          </w:tcPr>
          <w:p w:rsidR="008C4423" w:rsidRDefault="003D561D">
            <w:pPr>
              <w:pStyle w:val="Source"/>
            </w:pPr>
            <w:r>
              <w:rPr>
                <w:rStyle w:val="None"/>
              </w:rPr>
              <w:t>Institute of Electrical and Electronics Engineers, Inc.</w:t>
            </w:r>
          </w:p>
        </w:tc>
      </w:tr>
      <w:tr w:rsidR="008C4423">
        <w:trPr>
          <w:trHeight w:val="628"/>
        </w:trPr>
        <w:tc>
          <w:tcPr>
            <w:tcW w:w="9632" w:type="dxa"/>
            <w:gridSpan w:val="4"/>
            <w:tcBorders>
              <w:top w:val="nil"/>
              <w:left w:val="nil"/>
              <w:bottom w:val="nil"/>
              <w:right w:val="nil"/>
            </w:tcBorders>
            <w:shd w:val="clear" w:color="auto" w:fill="auto"/>
            <w:tcMar>
              <w:top w:w="80" w:type="dxa"/>
              <w:left w:w="80" w:type="dxa"/>
              <w:bottom w:w="80" w:type="dxa"/>
              <w:right w:w="80" w:type="dxa"/>
            </w:tcMar>
          </w:tcPr>
          <w:p w:rsidR="008C4423" w:rsidRDefault="003D561D">
            <w:pPr>
              <w:pStyle w:val="Title1"/>
            </w:pPr>
            <w:r>
              <w:rPr>
                <w:rStyle w:val="None"/>
              </w:rPr>
              <w:t>Comment on Working D</w:t>
            </w:r>
            <w:r>
              <w:rPr>
                <w:rStyle w:val="None"/>
              </w:rPr>
              <w:t>ocument towards a PR</w:t>
            </w:r>
            <w:r>
              <w:rPr>
                <w:rStyle w:val="None"/>
              </w:rPr>
              <w:t xml:space="preserve">ELIMINARY Draft New </w:t>
            </w:r>
            <w:r>
              <w:rPr>
                <w:rStyle w:val="None"/>
              </w:rPr>
              <w:t>Report ITU-R SM.[Vis</w:t>
            </w:r>
            <w:r>
              <w:rPr>
                <w:rStyle w:val="None"/>
              </w:rPr>
              <w:t>ible-Light]</w:t>
            </w:r>
          </w:p>
        </w:tc>
      </w:tr>
      <w:tr w:rsidR="008C4423">
        <w:trPr>
          <w:trHeight w:val="308"/>
        </w:trPr>
        <w:tc>
          <w:tcPr>
            <w:tcW w:w="9632" w:type="dxa"/>
            <w:gridSpan w:val="4"/>
            <w:tcBorders>
              <w:top w:val="nil"/>
              <w:left w:val="nil"/>
              <w:bottom w:val="nil"/>
              <w:right w:val="nil"/>
            </w:tcBorders>
            <w:shd w:val="clear" w:color="auto" w:fill="auto"/>
            <w:tcMar>
              <w:top w:w="80" w:type="dxa"/>
              <w:left w:w="80" w:type="dxa"/>
              <w:bottom w:w="80" w:type="dxa"/>
              <w:right w:w="80" w:type="dxa"/>
            </w:tcMar>
          </w:tcPr>
          <w:p w:rsidR="008C4423" w:rsidRDefault="008C4423"/>
        </w:tc>
      </w:tr>
    </w:tbl>
    <w:p w:rsidR="008C4423" w:rsidRDefault="003D561D">
      <w:pPr>
        <w:pStyle w:val="Body"/>
        <w:spacing w:after="120"/>
        <w:rPr>
          <w:rStyle w:val="None"/>
          <w:rFonts w:cs="Times New Roman"/>
          <w:color w:val="auto"/>
          <w:lang w:val="en-US"/>
        </w:rPr>
      </w:pPr>
      <w:bookmarkStart w:id="2" w:name="dbreak"/>
      <w:bookmarkEnd w:id="2"/>
      <w:r>
        <w:rPr>
          <w:rStyle w:val="None"/>
          <w:b/>
          <w:bCs/>
          <w:sz w:val="28"/>
          <w:szCs w:val="28"/>
        </w:rPr>
        <w:t>1</w:t>
      </w:r>
      <w:bookmarkStart w:id="3" w:name="OLE_LINK26"/>
      <w:r>
        <w:rPr>
          <w:rStyle w:val="None"/>
          <w:b/>
          <w:bCs/>
          <w:sz w:val="28"/>
          <w:szCs w:val="28"/>
        </w:rPr>
        <w:tab/>
      </w:r>
      <w:bookmarkStart w:id="4" w:name="OLE_LINK27"/>
      <w:r>
        <w:rPr>
          <w:rStyle w:val="None"/>
          <w:b/>
          <w:bCs/>
          <w:lang w:val="en-US"/>
        </w:rPr>
        <w:t xml:space="preserve">Source </w:t>
      </w:r>
      <w:r>
        <w:rPr>
          <w:rStyle w:val="None"/>
          <w:b/>
          <w:bCs/>
          <w:lang w:val="en-US"/>
        </w:rPr>
        <w:t>information</w:t>
      </w:r>
    </w:p>
    <w:p w:rsidR="008C4423" w:rsidRDefault="003D561D">
      <w:pPr>
        <w:pStyle w:val="Body"/>
        <w:spacing w:after="120"/>
      </w:pPr>
      <w:r>
        <w:rPr>
          <w:lang w:val="en-US"/>
        </w:rPr>
        <w:t>This contribution from IEEE was developed by IEEE 802</w:t>
      </w:r>
      <w:r>
        <w:t>®</w:t>
      </w:r>
      <w:r>
        <w:rPr>
          <w:lang w:val="en-US"/>
        </w:rPr>
        <w:t>, the Local and Metropolitan Area Network Standards Committee, an international standards development committee organized under the IEEE and the IEEE Standards Association (</w:t>
      </w:r>
      <w:r>
        <w:t>“IEEE-SA”</w:t>
      </w:r>
      <w:r>
        <w:rPr>
          <w:lang w:val="en-US"/>
        </w:rPr>
        <w:t xml:space="preserve">), and </w:t>
      </w:r>
      <w:r>
        <w:rPr>
          <w:lang w:val="en-US"/>
        </w:rPr>
        <w:t>represents the view of IEEE 802.</w:t>
      </w:r>
    </w:p>
    <w:p w:rsidR="008C4423" w:rsidRDefault="008C4423">
      <w:pPr>
        <w:pStyle w:val="Body"/>
        <w:spacing w:after="120"/>
      </w:pPr>
    </w:p>
    <w:p w:rsidR="008C4423" w:rsidRDefault="003D561D">
      <w:pPr>
        <w:pStyle w:val="Body"/>
        <w:spacing w:after="120"/>
        <w:rPr>
          <w:rStyle w:val="None"/>
        </w:rPr>
      </w:pPr>
      <w:r>
        <w:rPr>
          <w:rStyle w:val="None"/>
          <w:b/>
          <w:bCs/>
          <w:lang w:val="en-US"/>
        </w:rPr>
        <w:t>2</w:t>
      </w:r>
      <w:r>
        <w:rPr>
          <w:rStyle w:val="None"/>
          <w:b/>
          <w:bCs/>
          <w:lang w:val="en-US"/>
        </w:rPr>
        <w:tab/>
        <w:t>Background</w:t>
      </w:r>
    </w:p>
    <w:p w:rsidR="008C4423" w:rsidRDefault="003D561D">
      <w:pPr>
        <w:pStyle w:val="Body"/>
        <w:rPr>
          <w:rStyle w:val="None"/>
        </w:rPr>
      </w:pPr>
      <w:r>
        <w:rPr>
          <w:lang w:val="en-US"/>
        </w:rPr>
        <w:t>The Working Party 1A Chairman</w:t>
      </w:r>
      <w:r>
        <w:t>’</w:t>
      </w:r>
      <w:r>
        <w:rPr>
          <w:lang w:val="fr-FR"/>
        </w:rPr>
        <w:t>s Report</w:t>
      </w:r>
      <w:bookmarkEnd w:id="4"/>
      <w:bookmarkEnd w:id="3"/>
      <w:r>
        <w:rPr>
          <w:lang w:val="en-US"/>
        </w:rPr>
        <w:t xml:space="preserve"> of December 2016 (</w:t>
      </w:r>
      <w:r>
        <w:rPr>
          <w:lang w:val="fr-FR"/>
        </w:rPr>
        <w:t>Document 1A/144</w:t>
      </w:r>
      <w:r>
        <w:rPr>
          <w:lang w:val="en-US"/>
        </w:rPr>
        <w:t xml:space="preserve">) refers (in 2.3.6) to the “Working document towards a preliminary draft new Report ITU-R SM.[VISIBLE LIGHT],” attached as </w:t>
      </w:r>
      <w:r>
        <w:rPr>
          <w:lang w:val="fr-FR"/>
        </w:rPr>
        <w:t>Annex 17</w:t>
      </w:r>
      <w:r>
        <w:rPr>
          <w:lang w:val="en-US"/>
        </w:rPr>
        <w:t xml:space="preserve">. The </w:t>
      </w:r>
      <w:r>
        <w:rPr>
          <w:lang w:val="en-US"/>
        </w:rPr>
        <w:t xml:space="preserve">report notes that </w:t>
      </w:r>
      <w:r>
        <w:rPr>
          <w:rStyle w:val="None"/>
          <w:lang w:val="en-US"/>
        </w:rPr>
        <w:t>WG 1A-3 proposed to maintain the document in the Chairman’s Report for further work at the next meeting and drafted liaison statements, including one (Annex 19) to provide and request information from external organizations. Annex 19 expl</w:t>
      </w:r>
      <w:r>
        <w:rPr>
          <w:rStyle w:val="None"/>
          <w:lang w:val="en-US"/>
        </w:rPr>
        <w:t>ains that “At its meeting in June 2016 ITU-R WP 1A started development of a working document towards a preliminary draft new Report ITU-R SM.[VISIBLE-LIGHT] under Question ITU-R 238/1 ‘Characteristics for use of visible light for broadband communications’.</w:t>
      </w:r>
      <w:r>
        <w:rPr>
          <w:rStyle w:val="None"/>
          <w:lang w:val="en-US"/>
        </w:rPr>
        <w:t>”</w:t>
      </w:r>
    </w:p>
    <w:p w:rsidR="008C4423" w:rsidRDefault="008C4423">
      <w:pPr>
        <w:pStyle w:val="Body"/>
      </w:pPr>
    </w:p>
    <w:p w:rsidR="008C4423" w:rsidRDefault="003D561D">
      <w:pPr>
        <w:pStyle w:val="Body"/>
        <w:spacing w:after="120"/>
        <w:rPr>
          <w:rStyle w:val="None"/>
        </w:rPr>
      </w:pPr>
      <w:r>
        <w:rPr>
          <w:rStyle w:val="None"/>
          <w:b/>
          <w:bCs/>
          <w:lang w:val="en-US"/>
        </w:rPr>
        <w:t>3</w:t>
      </w:r>
      <w:r>
        <w:rPr>
          <w:rStyle w:val="None"/>
          <w:b/>
          <w:bCs/>
          <w:lang w:val="en-US"/>
        </w:rPr>
        <w:tab/>
      </w:r>
      <w:r>
        <w:rPr>
          <w:rStyle w:val="None"/>
          <w:b/>
          <w:bCs/>
          <w:lang w:val="de-DE"/>
        </w:rPr>
        <w:t>Standard</w:t>
      </w:r>
      <w:r>
        <w:rPr>
          <w:rStyle w:val="None"/>
          <w:b/>
          <w:bCs/>
          <w:lang w:val="en-US"/>
        </w:rPr>
        <w:t>ization</w:t>
      </w:r>
      <w:r>
        <w:rPr>
          <w:rStyle w:val="None"/>
          <w:b/>
          <w:bCs/>
        </w:rPr>
        <w:t xml:space="preserve"> </w:t>
      </w:r>
      <w:r>
        <w:rPr>
          <w:rStyle w:val="None"/>
          <w:b/>
          <w:bCs/>
          <w:lang w:val="en-US"/>
        </w:rPr>
        <w:t xml:space="preserve">within IEEE 802 relevant to Visible Light for Broadband Communications </w:t>
      </w:r>
    </w:p>
    <w:p w:rsidR="008C4423" w:rsidRDefault="003D561D">
      <w:pPr>
        <w:pStyle w:val="Body"/>
        <w:spacing w:after="120"/>
        <w:rPr>
          <w:rStyle w:val="None"/>
        </w:rPr>
      </w:pPr>
      <w:r>
        <w:rPr>
          <w:rStyle w:val="None"/>
          <w:lang w:val="en-US"/>
        </w:rPr>
        <w:t>The I</w:t>
      </w:r>
      <w:r>
        <w:rPr>
          <w:rStyle w:val="None"/>
        </w:rPr>
        <w:t xml:space="preserve">EEE 802.15 </w:t>
      </w:r>
      <w:r>
        <w:rPr>
          <w:rStyle w:val="None"/>
          <w:lang w:val="en-US"/>
        </w:rPr>
        <w:t>Working Group completed, in 2011,</w:t>
      </w:r>
      <w:r>
        <w:rPr>
          <w:rStyle w:val="None"/>
        </w:rPr>
        <w:t xml:space="preserve"> IEEE Std 802.15.7-2011</w:t>
      </w:r>
      <w:r>
        <w:rPr>
          <w:rStyle w:val="None"/>
          <w:lang w:val="en-US"/>
        </w:rPr>
        <w:t xml:space="preserve"> on “Short-Range Wireless Optical Communication Using Visible Light.” A project to revise </w:t>
      </w:r>
      <w:r>
        <w:rPr>
          <w:rStyle w:val="None"/>
        </w:rPr>
        <w:t>I</w:t>
      </w:r>
      <w:r>
        <w:rPr>
          <w:rStyle w:val="None"/>
        </w:rPr>
        <w:t>EEE Std 802.15.7-2011</w:t>
      </w:r>
      <w:r>
        <w:rPr>
          <w:rStyle w:val="None"/>
          <w:lang w:val="en-US"/>
        </w:rPr>
        <w:t xml:space="preserve"> was authorized in December 2014 and is currently active</w:t>
      </w:r>
      <w:r>
        <w:rPr>
          <w:rStyle w:val="None"/>
        </w:rPr>
        <w:t>.</w:t>
      </w:r>
      <w:r>
        <w:rPr>
          <w:rStyle w:val="None"/>
          <w:lang w:val="en-US"/>
        </w:rPr>
        <w:t xml:space="preserve"> It intends to develop a standard for optically transparent media using light wavelengths from 10,000 nm </w:t>
      </w:r>
      <w:r>
        <w:rPr>
          <w:rStyle w:val="None"/>
          <w:lang w:val="it-IT"/>
        </w:rPr>
        <w:t>to 190 nm.</w:t>
      </w:r>
    </w:p>
    <w:p w:rsidR="008C4423" w:rsidRDefault="003D561D">
      <w:pPr>
        <w:pStyle w:val="Body"/>
        <w:spacing w:after="120"/>
        <w:rPr>
          <w:rStyle w:val="None"/>
        </w:rPr>
      </w:pPr>
      <w:r>
        <w:rPr>
          <w:rStyle w:val="None"/>
          <w:lang w:val="en-US"/>
        </w:rPr>
        <w:t>The I</w:t>
      </w:r>
      <w:r>
        <w:rPr>
          <w:rStyle w:val="None"/>
        </w:rPr>
        <w:t>EEE 802.1</w:t>
      </w:r>
      <w:r>
        <w:rPr>
          <w:rStyle w:val="None"/>
          <w:lang w:val="en-US"/>
        </w:rPr>
        <w:t>1</w:t>
      </w:r>
      <w:r>
        <w:rPr>
          <w:rStyle w:val="None"/>
        </w:rPr>
        <w:t xml:space="preserve"> </w:t>
      </w:r>
      <w:r>
        <w:rPr>
          <w:rStyle w:val="None"/>
          <w:lang w:val="en-US"/>
        </w:rPr>
        <w:t>Working Group initiated, in late 2016, a Techn</w:t>
      </w:r>
      <w:r>
        <w:rPr>
          <w:rStyle w:val="None"/>
          <w:lang w:val="en-US"/>
        </w:rPr>
        <w:t>ical Interest Group (TIG) on Light Communication, aiming to determine the technical and economic opportunity presented by using the light medium for wireless communications.</w:t>
      </w:r>
    </w:p>
    <w:p w:rsidR="008C4423" w:rsidRDefault="008C4423">
      <w:pPr>
        <w:pStyle w:val="Default"/>
        <w:widowControl/>
        <w:tabs>
          <w:tab w:val="clear" w:pos="1134"/>
          <w:tab w:val="clear" w:pos="1871"/>
          <w:tab w:val="clear" w:pos="2268"/>
        </w:tabs>
        <w:suppressAutoHyphens w:val="0"/>
        <w:spacing w:before="0"/>
        <w:rPr>
          <w:rStyle w:val="None"/>
          <w:rFonts w:ascii="Times New Roman" w:hAnsi="Times New Roman"/>
          <w:lang w:val="da-DK"/>
        </w:rPr>
      </w:pPr>
    </w:p>
    <w:p w:rsidR="008C4423" w:rsidRDefault="008C4423">
      <w:pPr>
        <w:pStyle w:val="Body"/>
        <w:spacing w:after="120"/>
        <w:rPr>
          <w:rStyle w:val="None"/>
          <w:rFonts w:ascii="Times" w:hAnsi="Times"/>
          <w:lang w:val="en-US"/>
        </w:rPr>
      </w:pPr>
    </w:p>
    <w:p w:rsidR="008C4423" w:rsidRDefault="008C4423">
      <w:pPr>
        <w:pStyle w:val="Body"/>
        <w:spacing w:after="120"/>
        <w:rPr>
          <w:rStyle w:val="None"/>
        </w:rPr>
      </w:pPr>
    </w:p>
    <w:p w:rsidR="008C4423" w:rsidRDefault="008C4423">
      <w:pPr>
        <w:pStyle w:val="Body"/>
        <w:spacing w:after="120"/>
      </w:pPr>
    </w:p>
    <w:p w:rsidR="008C4423" w:rsidRDefault="003D561D">
      <w:pPr>
        <w:pStyle w:val="Body"/>
        <w:spacing w:after="120"/>
        <w:rPr>
          <w:rStyle w:val="None"/>
        </w:rPr>
      </w:pPr>
      <w:r>
        <w:rPr>
          <w:rStyle w:val="None"/>
          <w:b/>
          <w:bCs/>
        </w:rPr>
        <w:t>4</w:t>
      </w:r>
      <w:r>
        <w:rPr>
          <w:rStyle w:val="None"/>
          <w:b/>
          <w:bCs/>
        </w:rPr>
        <w:tab/>
      </w:r>
      <w:r>
        <w:rPr>
          <w:rStyle w:val="None"/>
          <w:b/>
          <w:bCs/>
          <w:lang w:val="en-US"/>
        </w:rPr>
        <w:t>Views on opportunities for Optical Wireless Communications</w:t>
      </w:r>
    </w:p>
    <w:p w:rsidR="008C4423" w:rsidRDefault="003D561D">
      <w:pPr>
        <w:pStyle w:val="Body"/>
      </w:pPr>
      <w:bookmarkStart w:id="5" w:name="OLE_LINK9"/>
      <w:r>
        <w:rPr>
          <w:lang w:val="en-US"/>
        </w:rPr>
        <w:t xml:space="preserve">Optical Wireless </w:t>
      </w:r>
      <w:r>
        <w:rPr>
          <w:lang w:val="en-US"/>
        </w:rPr>
        <w:t>Communications (OWC), also known as Light Communications (LC), has the potential to ease congestion in the lower radio frequency (RF) spectrum bands since light can be used as an additional spectrum resource for broadband communications.</w:t>
      </w:r>
      <w:bookmarkEnd w:id="5"/>
    </w:p>
    <w:p w:rsidR="008C4423" w:rsidRDefault="008C4423">
      <w:pPr>
        <w:pStyle w:val="Body"/>
        <w:spacing w:after="120"/>
      </w:pPr>
    </w:p>
    <w:p w:rsidR="008C4423" w:rsidRDefault="003D561D">
      <w:pPr>
        <w:pStyle w:val="Body"/>
        <w:spacing w:after="120"/>
        <w:rPr>
          <w:rStyle w:val="None"/>
        </w:rPr>
      </w:pPr>
      <w:bookmarkStart w:id="6" w:name="OLE_LINK13"/>
      <w:r>
        <w:rPr>
          <w:rStyle w:val="None"/>
          <w:b/>
          <w:bCs/>
        </w:rPr>
        <w:t>5</w:t>
      </w:r>
      <w:r>
        <w:rPr>
          <w:rStyle w:val="None"/>
          <w:b/>
          <w:bCs/>
        </w:rPr>
        <w:tab/>
      </w:r>
      <w:r>
        <w:rPr>
          <w:rStyle w:val="None"/>
          <w:b/>
          <w:bCs/>
          <w:lang w:val="en-US"/>
        </w:rPr>
        <w:t>Views on regula</w:t>
      </w:r>
      <w:r>
        <w:rPr>
          <w:rStyle w:val="None"/>
          <w:b/>
          <w:bCs/>
          <w:lang w:val="en-US"/>
        </w:rPr>
        <w:t xml:space="preserve">tory environment </w:t>
      </w:r>
    </w:p>
    <w:p w:rsidR="008C4423" w:rsidRDefault="003D561D">
      <w:pPr>
        <w:pStyle w:val="Body"/>
        <w:spacing w:after="120"/>
        <w:rPr>
          <w:rStyle w:val="None"/>
        </w:rPr>
      </w:pPr>
      <w:r>
        <w:rPr>
          <w:lang w:val="en-US"/>
        </w:rPr>
        <w:t>Light communications are subject to substantially different propagation characteristics relative to frequencies in the radio frequency spectrum. As a result, the potential for interference is small, and light c</w:t>
      </w:r>
      <w:r>
        <w:rPr>
          <w:lang w:val="fr-FR"/>
        </w:rPr>
        <w:t xml:space="preserve">ommunications </w:t>
      </w:r>
      <w:r>
        <w:rPr>
          <w:lang w:val="en-US"/>
        </w:rPr>
        <w:t>need not be ma</w:t>
      </w:r>
      <w:r>
        <w:rPr>
          <w:lang w:val="en-US"/>
        </w:rPr>
        <w:t>naged by spectrum regulators. IEEE 802 believes</w:t>
      </w:r>
      <w:r>
        <w:t xml:space="preserve"> </w:t>
      </w:r>
      <w:r>
        <w:rPr>
          <w:lang w:val="en-US"/>
        </w:rPr>
        <w:t>that light c</w:t>
      </w:r>
      <w:r>
        <w:rPr>
          <w:lang w:val="fr-FR"/>
        </w:rPr>
        <w:t>ommunications</w:t>
      </w:r>
      <w:r>
        <w:rPr>
          <w:lang w:val="en-US"/>
        </w:rPr>
        <w:t xml:space="preserve"> operations should be classified as license-</w:t>
      </w:r>
      <w:r>
        <w:rPr>
          <w:lang w:val="fr-FR"/>
        </w:rPr>
        <w:t>exempt</w:t>
      </w:r>
      <w:r>
        <w:rPr>
          <w:lang w:val="en-US"/>
        </w:rPr>
        <w:t xml:space="preserve"> and not subject to exclusive licensing</w:t>
      </w:r>
      <w:r>
        <w:t xml:space="preserve">. </w:t>
      </w:r>
      <w:r>
        <w:rPr>
          <w:lang w:val="en-US"/>
        </w:rPr>
        <w:t>Adherence</w:t>
      </w:r>
      <w:r>
        <w:rPr>
          <w:lang w:val="en-US"/>
        </w:rPr>
        <w:t xml:space="preserve"> to the relevant local health and safety regulations regarding human eye safety and sensitivity is essential</w:t>
      </w:r>
      <w:r>
        <w:t xml:space="preserve">. </w:t>
      </w:r>
      <w:r>
        <w:rPr>
          <w:lang w:val="en-US"/>
        </w:rPr>
        <w:t>Devices using LC or OWC should adhere to any local regulations regarding spurious RF emissions and should avoid causing interference in other RF s</w:t>
      </w:r>
      <w:r>
        <w:rPr>
          <w:lang w:val="en-US"/>
        </w:rPr>
        <w:t xml:space="preserve">pectrum bands. </w:t>
      </w:r>
      <w:bookmarkEnd w:id="6"/>
    </w:p>
    <w:p w:rsidR="008C4423" w:rsidRDefault="008C4423">
      <w:pPr>
        <w:pStyle w:val="Body"/>
        <w:spacing w:after="120"/>
      </w:pPr>
    </w:p>
    <w:p w:rsidR="008C4423" w:rsidRDefault="003D561D">
      <w:pPr>
        <w:pStyle w:val="Body"/>
        <w:spacing w:after="120"/>
        <w:rPr>
          <w:rStyle w:val="None"/>
        </w:rPr>
      </w:pPr>
      <w:r>
        <w:rPr>
          <w:rStyle w:val="None"/>
          <w:b/>
          <w:bCs/>
          <w:lang w:val="en-US"/>
        </w:rPr>
        <w:t>6</w:t>
      </w:r>
      <w:r>
        <w:rPr>
          <w:rStyle w:val="None"/>
          <w:b/>
          <w:bCs/>
          <w:lang w:val="en-US"/>
        </w:rPr>
        <w:tab/>
        <w:t>Proposal</w:t>
      </w:r>
    </w:p>
    <w:p w:rsidR="008C4423" w:rsidRDefault="003D561D">
      <w:pPr>
        <w:pStyle w:val="Body"/>
        <w:spacing w:after="120"/>
      </w:pPr>
      <w:bookmarkStart w:id="7" w:name="OLE_LINK48"/>
      <w:r>
        <w:rPr>
          <w:lang w:val="fr-FR"/>
        </w:rPr>
        <w:t xml:space="preserve">IEEE </w:t>
      </w:r>
      <w:r>
        <w:rPr>
          <w:lang w:val="en-US"/>
        </w:rPr>
        <w:t xml:space="preserve">802 </w:t>
      </w:r>
      <w:r>
        <w:rPr>
          <w:lang w:val="fr-FR"/>
        </w:rPr>
        <w:t xml:space="preserve">proposes </w:t>
      </w:r>
      <w:r>
        <w:rPr>
          <w:lang w:val="en-US"/>
        </w:rPr>
        <w:t>the attached revisions to</w:t>
      </w:r>
      <w:r>
        <w:rPr>
          <w:lang w:val="de-DE"/>
        </w:rPr>
        <w:t xml:space="preserve"> WP </w:t>
      </w:r>
      <w:r>
        <w:rPr>
          <w:lang w:val="en-US"/>
        </w:rPr>
        <w:t>1A Preliminary Draft new Report ITU-R SM.</w:t>
      </w:r>
      <w:r>
        <w:t>[VISIBLE-LIGHT]</w:t>
      </w:r>
      <w:bookmarkEnd w:id="7"/>
      <w:r>
        <w:t>.</w:t>
      </w:r>
    </w:p>
    <w:p w:rsidR="008C4423" w:rsidRDefault="008C4423">
      <w:pPr>
        <w:pStyle w:val="Body"/>
        <w:spacing w:after="120"/>
      </w:pPr>
    </w:p>
    <w:p w:rsidR="008C4423" w:rsidRDefault="008C4423">
      <w:pPr>
        <w:pStyle w:val="Body"/>
        <w:spacing w:after="120"/>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5"/>
        <w:gridCol w:w="4791"/>
      </w:tblGrid>
      <w:tr w:rsidR="008C4423">
        <w:trPr>
          <w:trHeight w:val="310"/>
        </w:trPr>
        <w:tc>
          <w:tcPr>
            <w:tcW w:w="4785" w:type="dxa"/>
            <w:tcBorders>
              <w:top w:val="nil"/>
              <w:left w:val="nil"/>
              <w:bottom w:val="nil"/>
              <w:right w:val="nil"/>
            </w:tcBorders>
            <w:shd w:val="clear" w:color="auto" w:fill="auto"/>
            <w:tcMar>
              <w:top w:w="80" w:type="dxa"/>
              <w:left w:w="80" w:type="dxa"/>
              <w:bottom w:w="80" w:type="dxa"/>
              <w:right w:w="80" w:type="dxa"/>
            </w:tcMar>
          </w:tcPr>
          <w:p w:rsidR="008C4423" w:rsidRDefault="003D561D">
            <w:pPr>
              <w:pStyle w:val="Body"/>
            </w:pPr>
            <w:r>
              <w:rPr>
                <w:rStyle w:val="None"/>
                <w:b/>
                <w:bCs/>
                <w:lang w:val="en-US"/>
              </w:rPr>
              <w:t>Contact</w:t>
            </w:r>
            <w:r>
              <w:rPr>
                <w:rStyle w:val="None"/>
                <w:lang w:val="en-US"/>
              </w:rPr>
              <w:t>:</w:t>
            </w:r>
            <w:r>
              <w:rPr>
                <w:rStyle w:val="None"/>
                <w:lang w:val="en-US"/>
              </w:rPr>
              <w:tab/>
              <w:t>LYNCH, Michael</w:t>
            </w:r>
          </w:p>
        </w:tc>
        <w:tc>
          <w:tcPr>
            <w:tcW w:w="4791" w:type="dxa"/>
            <w:tcBorders>
              <w:top w:val="nil"/>
              <w:left w:val="nil"/>
              <w:bottom w:val="nil"/>
              <w:right w:val="nil"/>
            </w:tcBorders>
            <w:shd w:val="clear" w:color="auto" w:fill="auto"/>
            <w:tcMar>
              <w:top w:w="80" w:type="dxa"/>
              <w:left w:w="80" w:type="dxa"/>
              <w:bottom w:w="80" w:type="dxa"/>
              <w:right w:w="80" w:type="dxa"/>
            </w:tcMar>
          </w:tcPr>
          <w:p w:rsidR="008C4423" w:rsidRDefault="003D561D">
            <w:pPr>
              <w:pStyle w:val="Body"/>
            </w:pPr>
            <w:r>
              <w:rPr>
                <w:rStyle w:val="None"/>
                <w:b/>
                <w:bCs/>
                <w:lang w:val="de-DE"/>
              </w:rPr>
              <w:t>E-</w:t>
            </w:r>
            <w:r>
              <w:rPr>
                <w:rStyle w:val="None"/>
                <w:b/>
                <w:bCs/>
                <w:lang w:val="de-DE"/>
              </w:rPr>
              <w:t>m</w:t>
            </w:r>
            <w:r>
              <w:rPr>
                <w:rStyle w:val="None"/>
                <w:b/>
                <w:bCs/>
                <w:lang w:val="de-DE"/>
              </w:rPr>
              <w:t>ail:</w:t>
            </w:r>
            <w:r>
              <w:rPr>
                <w:rStyle w:val="None"/>
                <w:lang w:val="de-DE"/>
              </w:rPr>
              <w:tab/>
            </w:r>
            <w:hyperlink r:id="rId11" w:history="1">
              <w:r>
                <w:rPr>
                  <w:rStyle w:val="Hyperlink2"/>
                  <w:rFonts w:eastAsia="Arial Unicode MS"/>
                </w:rPr>
                <w:t>freqmgr@ieee.org</w:t>
              </w:r>
            </w:hyperlink>
            <w:r>
              <w:rPr>
                <w:rStyle w:val="None"/>
                <w:lang w:val="de-DE"/>
              </w:rPr>
              <w:t xml:space="preserve"> </w:t>
            </w:r>
          </w:p>
        </w:tc>
      </w:tr>
    </w:tbl>
    <w:p w:rsidR="008C4423" w:rsidRDefault="008C4423">
      <w:pPr>
        <w:pStyle w:val="Body"/>
        <w:widowControl w:val="0"/>
        <w:spacing w:after="120"/>
      </w:pPr>
    </w:p>
    <w:p w:rsidR="008C4423" w:rsidRDefault="008C4423">
      <w:pPr>
        <w:pStyle w:val="Body"/>
        <w:widowControl w:val="0"/>
        <w:spacing w:after="120"/>
      </w:pPr>
    </w:p>
    <w:sectPr w:rsidR="008C4423" w:rsidSect="008C4423">
      <w:headerReference w:type="even" r:id="rId12"/>
      <w:headerReference w:type="default" r:id="rId13"/>
      <w:footerReference w:type="even" r:id="rId14"/>
      <w:footerReference w:type="default" r:id="rId15"/>
      <w:headerReference w:type="first" r:id="rId16"/>
      <w:footerReference w:type="first" r:id="rId17"/>
      <w:pgSz w:w="11900" w:h="16840"/>
      <w:pgMar w:top="1418" w:right="1134" w:bottom="1418" w:left="1134"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1D" w:rsidRDefault="003D561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23" w:rsidRDefault="008C4423">
    <w:pPr>
      <w:pStyle w:val="Header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23" w:rsidRDefault="008C4423">
    <w:pPr>
      <w:pStyle w:val="Header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1D" w:rsidRDefault="003D561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23" w:rsidRDefault="003D561D">
    <w:pPr>
      <w:pStyle w:val="Header"/>
      <w:jc w:val="left"/>
    </w:pPr>
    <w:r>
      <w:rPr>
        <w:color w:val="FF0000"/>
        <w:sz w:val="36"/>
        <w:szCs w:val="36"/>
        <w:u w:color="FF0000"/>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23" w:rsidRDefault="008C4423">
    <w:pPr>
      <w:pStyle w:val="Header"/>
      <w:tabs>
        <w:tab w:val="left" w:pos="3677"/>
        <w:tab w:val="center" w:pos="5400"/>
        <w:tab w:val="right" w:pos="9612"/>
        <w:tab w:val="right" w:pos="9612"/>
      </w:tabs>
      <w:jc w:val="right"/>
      <w:rPr>
        <w:sz w:val="24"/>
        <w:szCs w:val="24"/>
      </w:rPr>
    </w:pPr>
    <w:r w:rsidRPr="008C4423">
      <w:pict>
        <v:rect id="_x0000_s1026" style="position:absolute;left:0;text-align:left;margin-left:274.1pt;margin-top:36.2pt;width:9pt;height:18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8C4423" w:rsidRDefault="003D561D">
                <w:pPr>
                  <w:pStyle w:val="Body"/>
                  <w:jc w:val="center"/>
                </w:pPr>
                <w:r>
                  <w:rPr>
                    <w:b/>
                    <w:bCs/>
                    <w:color w:val="FF0000"/>
                    <w:u w:color="FF0000"/>
                  </w:rPr>
                  <w:t xml:space="preserve">PROPOSED </w:t>
                </w:r>
                <w:r>
                  <w:rPr>
                    <w:b/>
                    <w:bCs/>
                    <w:color w:val="FF0000"/>
                    <w:u w:color="FF0000"/>
                  </w:rPr>
                  <w:t>DRAFT</w:t>
                </w:r>
              </w:p>
            </w:txbxContent>
          </v:textbox>
          <w10:wrap anchorx="page" anchory="page"/>
        </v:rect>
      </w:pict>
    </w:r>
    <w:r w:rsidR="003D561D">
      <w:rPr>
        <w:sz w:val="24"/>
        <w:szCs w:val="24"/>
      </w:rPr>
      <w:tab/>
    </w:r>
    <w:r w:rsidR="003D561D">
      <w:rPr>
        <w:sz w:val="24"/>
        <w:szCs w:val="24"/>
      </w:rPr>
      <w:tab/>
    </w:r>
    <w:r w:rsidR="003D561D">
      <w:rPr>
        <w:sz w:val="24"/>
        <w:szCs w:val="24"/>
      </w:rPr>
      <w:tab/>
    </w:r>
    <w:r w:rsidR="003D561D">
      <w:rPr>
        <w:sz w:val="24"/>
        <w:szCs w:val="24"/>
      </w:rPr>
      <w:tab/>
    </w:r>
    <w:r w:rsidR="003D561D">
      <w:rPr>
        <w:sz w:val="24"/>
        <w:szCs w:val="24"/>
      </w:rPr>
      <w:tab/>
    </w:r>
    <w:r w:rsidR="003D561D">
      <w:rPr>
        <w:sz w:val="24"/>
        <w:szCs w:val="24"/>
      </w:rPr>
      <w:tab/>
    </w:r>
    <w:bookmarkStart w:id="8" w:name="OLE_LINK1"/>
    <w:r w:rsidR="003D561D">
      <w:rPr>
        <w:sz w:val="24"/>
        <w:szCs w:val="24"/>
      </w:rPr>
      <w:t>IEEE 802.18-1</w:t>
    </w:r>
    <w:r w:rsidR="003D561D">
      <w:rPr>
        <w:sz w:val="24"/>
        <w:szCs w:val="24"/>
      </w:rPr>
      <w:t>7-0075-00-0000</w:t>
    </w:r>
    <w:bookmarkEnd w:id="8"/>
  </w:p>
  <w:p w:rsidR="008C4423" w:rsidRDefault="003D561D">
    <w:pPr>
      <w:pStyle w:val="Header"/>
      <w:tabs>
        <w:tab w:val="left" w:pos="4300"/>
      </w:tabs>
      <w:jc w:val="right"/>
    </w:pPr>
    <w:r>
      <w:rPr>
        <w:sz w:val="24"/>
        <w:szCs w:val="24"/>
      </w:rPr>
      <w:tab/>
    </w:r>
    <w:r>
      <w:rPr>
        <w:sz w:val="24"/>
        <w:szCs w:val="24"/>
      </w:rPr>
      <w:tab/>
    </w:r>
    <w:r>
      <w:rPr>
        <w:sz w:val="24"/>
        <w:szCs w:val="24"/>
      </w:rPr>
      <w:tab/>
    </w:r>
    <w:r>
      <w:rPr>
        <w:sz w:val="24"/>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60"/>
  <w:revisionView w:formatting="0"/>
  <w:doNotTrackMoves/>
  <w:defaultTabStop w:val="720"/>
  <w:characterSpacingControl w:val="doNotCompress"/>
  <w:hdrShapeDefaults>
    <o:shapedefaults v:ext="edit" spidmax="1029"/>
    <o:shapelayout v:ext="edit">
      <o:idmap v:ext="edit" data="1"/>
    </o:shapelayout>
  </w:hdrShapeDefaults>
  <w:compat/>
  <w:rsids>
    <w:rsidRoot w:val="008C4423"/>
    <w:rsid w:val="003A4411"/>
    <w:rsid w:val="003D561D"/>
    <w:rsid w:val="008C442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4423"/>
    <w:rPr>
      <w:sz w:val="24"/>
      <w:szCs w:val="24"/>
    </w:rPr>
  </w:style>
  <w:style w:type="paragraph" w:styleId="Heading5">
    <w:name w:val="heading 5"/>
    <w:next w:val="Body"/>
    <w:rsid w:val="008C4423"/>
    <w:pPr>
      <w:keepNext/>
      <w:keepLines/>
      <w:tabs>
        <w:tab w:val="left" w:pos="1871"/>
        <w:tab w:val="left" w:pos="2268"/>
      </w:tabs>
      <w:spacing w:before="200"/>
      <w:ind w:left="1134" w:hanging="1134"/>
      <w:outlineLvl w:val="4"/>
    </w:pPr>
    <w:rPr>
      <w:rFonts w:eastAsia="Times New Roman"/>
      <w:b/>
      <w:bCs/>
      <w:color w:val="000000"/>
      <w:sz w:val="24"/>
      <w:szCs w:val="24"/>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8C4423"/>
    <w:rPr>
      <w:u w:val="single"/>
    </w:rPr>
  </w:style>
  <w:style w:type="paragraph" w:styleId="Header">
    <w:name w:val="header"/>
    <w:rsid w:val="008C4423"/>
    <w:pPr>
      <w:tabs>
        <w:tab w:val="left" w:pos="1134"/>
        <w:tab w:val="left" w:pos="1871"/>
        <w:tab w:val="left" w:pos="2268"/>
      </w:tabs>
      <w:jc w:val="center"/>
    </w:pPr>
    <w:rPr>
      <w:rFonts w:cs="Arial Unicode MS"/>
      <w:color w:val="000000"/>
      <w:sz w:val="18"/>
      <w:szCs w:val="18"/>
      <w:u w:color="000000"/>
    </w:rPr>
  </w:style>
  <w:style w:type="paragraph" w:customStyle="1" w:styleId="HeaderFooter">
    <w:name w:val="Header &amp; Footer"/>
    <w:rsid w:val="008C4423"/>
    <w:pPr>
      <w:tabs>
        <w:tab w:val="right" w:pos="9020"/>
      </w:tabs>
    </w:pPr>
    <w:rPr>
      <w:rFonts w:ascii="Helvetica" w:eastAsia="Helvetica" w:hAnsi="Helvetica" w:cs="Helvetica"/>
      <w:color w:val="000000"/>
      <w:sz w:val="24"/>
      <w:szCs w:val="24"/>
    </w:rPr>
  </w:style>
  <w:style w:type="paragraph" w:customStyle="1" w:styleId="Body">
    <w:name w:val="Body"/>
    <w:rsid w:val="008C4423"/>
    <w:pPr>
      <w:tabs>
        <w:tab w:val="left" w:pos="1134"/>
        <w:tab w:val="left" w:pos="1871"/>
        <w:tab w:val="left" w:pos="2268"/>
      </w:tabs>
      <w:spacing w:before="120"/>
    </w:pPr>
    <w:rPr>
      <w:rFonts w:cs="Arial Unicode MS"/>
      <w:color w:val="000000"/>
      <w:sz w:val="24"/>
      <w:szCs w:val="24"/>
      <w:u w:color="000000"/>
      <w:lang w:val="da-DK"/>
    </w:rPr>
  </w:style>
  <w:style w:type="paragraph" w:customStyle="1" w:styleId="covertext">
    <w:name w:val="cover text"/>
    <w:rsid w:val="008C4423"/>
    <w:pPr>
      <w:widowControl w:val="0"/>
      <w:suppressAutoHyphens/>
      <w:spacing w:before="120" w:after="120"/>
    </w:pPr>
    <w:rPr>
      <w:rFonts w:ascii="Times" w:hAnsi="Times" w:cs="Arial Unicode MS"/>
      <w:color w:val="000000"/>
      <w:sz w:val="24"/>
      <w:szCs w:val="24"/>
      <w:u w:color="000000"/>
    </w:rPr>
  </w:style>
  <w:style w:type="paragraph" w:customStyle="1" w:styleId="Default">
    <w:name w:val="Default"/>
    <w:rsid w:val="008C4423"/>
    <w:pPr>
      <w:widowControl w:val="0"/>
      <w:tabs>
        <w:tab w:val="left" w:pos="1134"/>
        <w:tab w:val="left" w:pos="1871"/>
        <w:tab w:val="left" w:pos="2268"/>
      </w:tabs>
      <w:suppressAutoHyphens/>
      <w:spacing w:before="120"/>
    </w:pPr>
    <w:rPr>
      <w:rFonts w:ascii="Times" w:hAnsi="Times" w:cs="Arial Unicode MS"/>
      <w:color w:val="000000"/>
      <w:sz w:val="24"/>
      <w:szCs w:val="24"/>
      <w:u w:color="000000"/>
    </w:rPr>
  </w:style>
  <w:style w:type="character" w:customStyle="1" w:styleId="None">
    <w:name w:val="None"/>
    <w:rsid w:val="008C4423"/>
  </w:style>
  <w:style w:type="character" w:customStyle="1" w:styleId="Hyperlink0">
    <w:name w:val="Hyperlink.0"/>
    <w:basedOn w:val="None"/>
    <w:rsid w:val="008C4423"/>
    <w:rPr>
      <w:caps w:val="0"/>
      <w:smallCaps w:val="0"/>
      <w:strike w:val="0"/>
      <w:dstrike w:val="0"/>
      <w:outline w:val="0"/>
      <w:color w:val="0000FF"/>
      <w:spacing w:val="0"/>
      <w:kern w:val="0"/>
      <w:position w:val="0"/>
      <w:sz w:val="20"/>
      <w:szCs w:val="20"/>
      <w:u w:val="none" w:color="0000FF"/>
      <w:vertAlign w:val="baseline"/>
      <w:lang w:val="en-US"/>
    </w:rPr>
  </w:style>
  <w:style w:type="character" w:customStyle="1" w:styleId="Hyperlink1">
    <w:name w:val="Hyperlink.1"/>
    <w:basedOn w:val="None"/>
    <w:rsid w:val="008C4423"/>
    <w:rPr>
      <w:rFonts w:ascii="Times" w:eastAsia="Times" w:hAnsi="Times" w:cs="Times"/>
      <w:caps w:val="0"/>
      <w:smallCaps w:val="0"/>
      <w:strike w:val="0"/>
      <w:dstrike w:val="0"/>
      <w:outline w:val="0"/>
      <w:color w:val="0000FF"/>
      <w:spacing w:val="0"/>
      <w:kern w:val="0"/>
      <w:position w:val="0"/>
      <w:u w:val="none" w:color="0000FF"/>
      <w:vertAlign w:val="baseline"/>
      <w:lang w:val="en-US"/>
    </w:rPr>
  </w:style>
  <w:style w:type="paragraph" w:styleId="Title">
    <w:name w:val="Title"/>
    <w:rsid w:val="008C4423"/>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paragraph" w:customStyle="1" w:styleId="Source">
    <w:name w:val="Source"/>
    <w:next w:val="Body"/>
    <w:rsid w:val="008C4423"/>
    <w:pPr>
      <w:tabs>
        <w:tab w:val="left" w:pos="1134"/>
        <w:tab w:val="left" w:pos="1871"/>
        <w:tab w:val="left" w:pos="2268"/>
      </w:tabs>
      <w:spacing w:before="840"/>
      <w:jc w:val="center"/>
    </w:pPr>
    <w:rPr>
      <w:rFonts w:cs="Arial Unicode MS"/>
      <w:b/>
      <w:bCs/>
      <w:color w:val="000000"/>
      <w:sz w:val="28"/>
      <w:szCs w:val="28"/>
      <w:u w:color="000000"/>
    </w:rPr>
  </w:style>
  <w:style w:type="paragraph" w:customStyle="1" w:styleId="Title1">
    <w:name w:val="Title 1"/>
    <w:rsid w:val="008C4423"/>
    <w:pPr>
      <w:tabs>
        <w:tab w:val="left" w:pos="567"/>
        <w:tab w:val="left" w:pos="1134"/>
        <w:tab w:val="left" w:pos="1701"/>
        <w:tab w:val="left" w:pos="1871"/>
        <w:tab w:val="left" w:pos="2268"/>
        <w:tab w:val="left" w:pos="2835"/>
      </w:tabs>
      <w:spacing w:before="240"/>
      <w:jc w:val="center"/>
    </w:pPr>
    <w:rPr>
      <w:rFonts w:cs="Arial Unicode MS"/>
      <w:caps/>
      <w:color w:val="000000"/>
      <w:sz w:val="28"/>
      <w:szCs w:val="28"/>
      <w:u w:color="000000"/>
    </w:rPr>
  </w:style>
  <w:style w:type="character" w:customStyle="1" w:styleId="Link">
    <w:name w:val="Link"/>
    <w:rsid w:val="008C4423"/>
    <w:rPr>
      <w:color w:val="0000FF"/>
      <w:u w:val="single" w:color="0000FF"/>
    </w:rPr>
  </w:style>
  <w:style w:type="character" w:customStyle="1" w:styleId="Hyperlink2">
    <w:name w:val="Hyperlink.2"/>
    <w:basedOn w:val="Link"/>
    <w:rsid w:val="008C4423"/>
    <w:rPr>
      <w:rFonts w:ascii="Times New Roman" w:eastAsia="Times New Roman" w:hAnsi="Times New Roman" w:cs="Times New Roman"/>
      <w:caps w:val="0"/>
      <w:smallCaps w:val="0"/>
      <w:strike w:val="0"/>
      <w:dstrike w:val="0"/>
      <w:outline w:val="0"/>
      <w:spacing w:val="0"/>
      <w:kern w:val="0"/>
      <w:position w:val="0"/>
      <w:sz w:val="24"/>
      <w:szCs w:val="24"/>
      <w:vertAlign w:val="baseline"/>
      <w:lang w:val="de-DE"/>
    </w:rPr>
  </w:style>
  <w:style w:type="paragraph" w:styleId="Footer">
    <w:name w:val="footer"/>
    <w:basedOn w:val="Normal"/>
    <w:link w:val="FooterChar"/>
    <w:uiPriority w:val="99"/>
    <w:semiHidden/>
    <w:unhideWhenUsed/>
    <w:rsid w:val="003D561D"/>
    <w:pPr>
      <w:tabs>
        <w:tab w:val="center" w:pos="4320"/>
        <w:tab w:val="right" w:pos="8640"/>
      </w:tabs>
    </w:pPr>
  </w:style>
  <w:style w:type="character" w:customStyle="1" w:styleId="FooterChar">
    <w:name w:val="Footer Char"/>
    <w:basedOn w:val="DefaultParagraphFont"/>
    <w:link w:val="Footer"/>
    <w:uiPriority w:val="99"/>
    <w:semiHidden/>
    <w:rsid w:val="003D561D"/>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reqmgr@iee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tandards.ieee.org/faqs/affiliationFAQ.html" TargetMode="External"/><Relationship Id="rId5" Type="http://schemas.openxmlformats.org/officeDocument/2006/relationships/hyperlink" Target="http://standards.ieee.org/guides/bylaws/sect6-7.html#6" TargetMode="External"/><Relationship Id="rId6" Type="http://schemas.openxmlformats.org/officeDocument/2006/relationships/hyperlink" Target="http://standards.ieee.org/guides/opman/sect6.html#6.3" TargetMode="External"/><Relationship Id="rId7" Type="http://schemas.openxmlformats.org/officeDocument/2006/relationships/hyperlink" Target="http://standards.ieee.org/board/pat/pat-material.html" TargetMode="External"/><Relationship Id="rId8" Type="http://schemas.openxmlformats.org/officeDocument/2006/relationships/hyperlink" Target="http://standards.ieee.org/board/pat" TargetMode="Externa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4428</Characters>
  <Application>Microsoft Macintosh Word</Application>
  <DocSecurity>0</DocSecurity>
  <Lines>122</Lines>
  <Paragraphs>54</Paragraphs>
  <ScaleCrop>false</ScaleCrop>
  <HeadingPairs>
    <vt:vector size="2" baseType="variant">
      <vt:variant>
        <vt:lpstr>Title</vt:lpstr>
      </vt:variant>
      <vt:variant>
        <vt:i4>1</vt:i4>
      </vt:variant>
    </vt:vector>
  </HeadingPairs>
  <TitlesOfParts>
    <vt:vector size="1" baseType="lpstr">
      <vt:lpstr/>
    </vt:vector>
  </TitlesOfParts>
  <Manager/>
  <Company>EthAirNet Associates</Company>
  <LinksUpToDate>false</LinksUpToDate>
  <CharactersWithSpaces>5090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IEEE 802.18-17-0075-00-0000</dc:subject>
  <dc:creator>Roger Marks</dc:creator>
  <cp:keywords/>
  <dc:description/>
  <cp:lastModifiedBy>Roger Marks</cp:lastModifiedBy>
  <cp:revision>3</cp:revision>
  <dcterms:created xsi:type="dcterms:W3CDTF">2017-05-10T06:10:00Z</dcterms:created>
  <dcterms:modified xsi:type="dcterms:W3CDTF">2017-05-10T06:11:00Z</dcterms:modified>
  <cp:category/>
</cp:coreProperties>
</file>