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03710B" w:rsidP="0003710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 w:rsidRPr="0003710B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9C6DAD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03710B" w:rsidRPr="0003710B" w:rsidRDefault="0003710B" w:rsidP="009C6DA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2" w:name="recibido"/>
            <w:bookmarkStart w:id="3" w:name="dnum" w:colFirst="1" w:colLast="1"/>
            <w:bookmarkEnd w:id="2"/>
            <w:r w:rsidRPr="0003710B">
              <w:rPr>
                <w:rFonts w:ascii="Verdana" w:hAnsi="Verdana"/>
                <w:sz w:val="20"/>
                <w:lang w:val="fr-CH"/>
              </w:rPr>
              <w:t>Source:</w:t>
            </w:r>
            <w:r w:rsidRPr="0003710B">
              <w:rPr>
                <w:rFonts w:ascii="Verdana" w:hAnsi="Verdana"/>
                <w:sz w:val="20"/>
                <w:lang w:val="fr-CH"/>
              </w:rPr>
              <w:tab/>
            </w:r>
            <w:r w:rsidR="00A037C4" w:rsidRPr="00A037C4">
              <w:rPr>
                <w:rFonts w:ascii="Verdana" w:hAnsi="Verdana"/>
                <w:bCs/>
                <w:sz w:val="20"/>
                <w:lang w:val="fr-CH" w:eastAsia="zh-CN"/>
              </w:rPr>
              <w:t>Document 5C/TEMP/42</w:t>
            </w:r>
          </w:p>
        </w:tc>
        <w:tc>
          <w:tcPr>
            <w:tcW w:w="3451" w:type="dxa"/>
            <w:gridSpan w:val="2"/>
          </w:tcPr>
          <w:p w:rsidR="009C6DAD" w:rsidRPr="009C6DAD" w:rsidRDefault="009C6DAD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Cs/>
                <w:sz w:val="20"/>
                <w:lang w:val="fr-CH" w:eastAsia="zh-CN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A037C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03710B" w:rsidRDefault="0003710B" w:rsidP="003020B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020B5">
              <w:rPr>
                <w:rFonts w:ascii="Verdana" w:hAnsi="Verdana"/>
                <w:b/>
                <w:sz w:val="20"/>
                <w:lang w:eastAsia="zh-CN"/>
              </w:rPr>
              <w:t>7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November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  <w:gridSpan w:val="2"/>
          </w:tcPr>
          <w:p w:rsidR="000069D4" w:rsidRPr="0003710B" w:rsidRDefault="0003710B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3710B" w:rsidP="009C6DAD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Working Party 5C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3710B" w:rsidP="0003710B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54327B">
              <w:rPr>
                <w:lang w:val="en-US" w:eastAsia="zh-CN"/>
              </w:rPr>
              <w:t xml:space="preserve">LIAiSON STATEMENT TO WORKING PARTY </w:t>
            </w:r>
            <w:r>
              <w:rPr>
                <w:lang w:val="en-US" w:eastAsia="zh-CN"/>
              </w:rPr>
              <w:t>1A and IEEE</w:t>
            </w:r>
            <w:r w:rsidRPr="0054327B">
              <w:rPr>
                <w:lang w:val="en-US" w:eastAsia="zh-CN"/>
              </w:rPr>
              <w:br/>
              <w:t>(cop</w:t>
            </w:r>
            <w:r>
              <w:rPr>
                <w:lang w:val="en-US" w:eastAsia="zh-CN"/>
              </w:rPr>
              <w:t>Y</w:t>
            </w:r>
            <w:r w:rsidRPr="0054327B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TO</w:t>
            </w:r>
            <w:r w:rsidRPr="0054327B">
              <w:rPr>
                <w:lang w:val="en-US" w:eastAsia="zh-CN"/>
              </w:rPr>
              <w:t xml:space="preserve"> Working parties </w:t>
            </w:r>
            <w:r>
              <w:rPr>
                <w:lang w:val="en-US" w:eastAsia="zh-CN"/>
              </w:rPr>
              <w:t xml:space="preserve">3M, 5A, 7C and </w:t>
            </w:r>
            <w:r w:rsidRPr="0054327B">
              <w:rPr>
                <w:lang w:val="en-US" w:eastAsia="zh-CN"/>
              </w:rPr>
              <w:t>7D</w:t>
            </w:r>
            <w:r>
              <w:rPr>
                <w:lang w:val="en-US" w:eastAsia="zh-CN"/>
              </w:rPr>
              <w:t xml:space="preserve"> </w:t>
            </w:r>
            <w:r w:rsidRPr="0054327B">
              <w:rPr>
                <w:lang w:val="en-US" w:eastAsia="zh-CN"/>
              </w:rPr>
              <w:t>for information)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3710B" w:rsidP="00252067">
            <w:pPr>
              <w:pStyle w:val="Title4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eastAsiaTheme="minorEastAsia"/>
                <w:lang w:val="en-US" w:eastAsia="zh-CN"/>
              </w:rPr>
              <w:t xml:space="preserve">Preliminary information on fixed </w:t>
            </w:r>
            <w:r w:rsidRPr="000D3979">
              <w:rPr>
                <w:rFonts w:eastAsiaTheme="minorEastAsia"/>
                <w:lang w:val="en-US" w:eastAsia="zh-CN"/>
              </w:rPr>
              <w:t>service applications associated</w:t>
            </w:r>
            <w:r w:rsidR="00252067">
              <w:rPr>
                <w:rFonts w:eastAsiaTheme="minorEastAsia"/>
                <w:lang w:val="en-US" w:eastAsia="zh-CN"/>
              </w:rPr>
              <w:br/>
            </w:r>
            <w:r w:rsidRPr="000D3979">
              <w:rPr>
                <w:rFonts w:eastAsiaTheme="minorEastAsia"/>
                <w:lang w:val="en-US" w:eastAsia="zh-CN"/>
              </w:rPr>
              <w:t>with work on WRC-19 agenda item 1.15</w:t>
            </w:r>
          </w:p>
        </w:tc>
      </w:tr>
    </w:tbl>
    <w:p w:rsidR="0003710B" w:rsidRDefault="0003710B" w:rsidP="005F7463">
      <w:pPr>
        <w:pStyle w:val="Normalaftertitle"/>
        <w:rPr>
          <w:lang w:val="en-US" w:eastAsia="ja-JP"/>
        </w:rPr>
      </w:pPr>
      <w:bookmarkStart w:id="9" w:name="dbreak"/>
      <w:bookmarkEnd w:id="8"/>
      <w:bookmarkEnd w:id="9"/>
      <w:r>
        <w:rPr>
          <w:lang w:val="en-US" w:eastAsia="ja-JP"/>
        </w:rPr>
        <w:t>At the November 2016 meeting of WP</w:t>
      </w:r>
      <w:r w:rsidR="00252067">
        <w:rPr>
          <w:lang w:val="en-US" w:eastAsia="ja-JP"/>
        </w:rPr>
        <w:t> </w:t>
      </w:r>
      <w:r>
        <w:rPr>
          <w:lang w:val="en-US" w:eastAsia="ja-JP"/>
        </w:rPr>
        <w:t>5C, WP</w:t>
      </w:r>
      <w:r w:rsidR="00252067">
        <w:rPr>
          <w:lang w:val="en-US" w:eastAsia="ja-JP"/>
        </w:rPr>
        <w:t> </w:t>
      </w:r>
      <w:r>
        <w:rPr>
          <w:lang w:val="en-US" w:eastAsia="ja-JP"/>
        </w:rPr>
        <w:t>5C</w:t>
      </w:r>
      <w:r w:rsidRPr="00574ABD">
        <w:rPr>
          <w:lang w:val="en-US" w:eastAsia="ja-JP"/>
        </w:rPr>
        <w:t xml:space="preserve"> </w:t>
      </w:r>
      <w:r>
        <w:rPr>
          <w:lang w:val="en-US" w:eastAsia="ja-JP"/>
        </w:rPr>
        <w:t>continued to develop its working document towards a preliminary draft new Report ITU-R M.[300GHZ_F</w:t>
      </w:r>
      <w:r w:rsidRPr="0063663B">
        <w:rPr>
          <w:lang w:val="en-US" w:eastAsia="ja-JP"/>
        </w:rPr>
        <w:t>S_CHAR]</w:t>
      </w:r>
      <w:r>
        <w:rPr>
          <w:lang w:val="en-US" w:eastAsia="ja-JP"/>
        </w:rPr>
        <w:t xml:space="preserve"> on t</w:t>
      </w:r>
      <w:r w:rsidRPr="0063663B">
        <w:rPr>
          <w:lang w:val="en-US" w:eastAsia="ja-JP"/>
        </w:rPr>
        <w:t xml:space="preserve">echnical and operational characteristics and applications of the </w:t>
      </w:r>
      <w:r>
        <w:rPr>
          <w:lang w:val="en-US" w:eastAsia="ja-JP"/>
        </w:rPr>
        <w:t xml:space="preserve">fixed </w:t>
      </w:r>
      <w:r w:rsidRPr="0063663B">
        <w:rPr>
          <w:lang w:val="en-US" w:eastAsia="ja-JP"/>
        </w:rPr>
        <w:t xml:space="preserve">service applications operating in the frequency </w:t>
      </w:r>
      <w:r>
        <w:rPr>
          <w:lang w:val="en-US" w:eastAsia="ja-JP"/>
        </w:rPr>
        <w:t>range</w:t>
      </w:r>
      <w:r w:rsidRPr="0063663B">
        <w:rPr>
          <w:lang w:val="en-US" w:eastAsia="ja-JP"/>
        </w:rPr>
        <w:t xml:space="preserve"> 275</w:t>
      </w:r>
      <w:r>
        <w:rPr>
          <w:lang w:val="en-US" w:eastAsia="ja-JP"/>
        </w:rPr>
        <w:noBreakHyphen/>
      </w:r>
      <w:r w:rsidRPr="0063663B">
        <w:rPr>
          <w:lang w:val="en-US" w:eastAsia="ja-JP"/>
        </w:rPr>
        <w:t>450 GHz</w:t>
      </w:r>
      <w:r>
        <w:rPr>
          <w:lang w:val="en-US" w:eastAsia="ja-JP"/>
        </w:rPr>
        <w:t xml:space="preserve"> </w:t>
      </w:r>
      <w:r w:rsidRPr="00574ABD">
        <w:rPr>
          <w:lang w:val="en-US" w:eastAsia="ja-JP"/>
        </w:rPr>
        <w:t xml:space="preserve">(see Annex </w:t>
      </w:r>
      <w:r>
        <w:rPr>
          <w:lang w:val="en-US" w:eastAsia="ja-JP"/>
        </w:rPr>
        <w:t xml:space="preserve">3 to </w:t>
      </w:r>
      <w:r w:rsidRPr="00574ABD">
        <w:rPr>
          <w:lang w:val="en-US" w:eastAsia="ja-JP"/>
        </w:rPr>
        <w:t>Chairman’s Report</w:t>
      </w:r>
      <w:r w:rsidR="005F7463">
        <w:rPr>
          <w:lang w:val="en-US" w:eastAsia="ja-JP"/>
        </w:rPr>
        <w:t xml:space="preserve"> </w:t>
      </w:r>
      <w:hyperlink r:id="rId8" w:history="1">
        <w:r w:rsidR="005F7463" w:rsidRPr="005F7463">
          <w:rPr>
            <w:rStyle w:val="Hyperlink"/>
            <w:lang w:val="en-US" w:eastAsia="ja-JP"/>
          </w:rPr>
          <w:t>5C/173</w:t>
        </w:r>
      </w:hyperlink>
      <w:r w:rsidRPr="00574ABD">
        <w:rPr>
          <w:lang w:val="en-US" w:eastAsia="ja-JP"/>
        </w:rPr>
        <w:t>).</w:t>
      </w:r>
      <w:r>
        <w:rPr>
          <w:lang w:val="en-US" w:eastAsia="ja-JP"/>
        </w:rPr>
        <w:t xml:space="preserve"> </w:t>
      </w:r>
      <w:r w:rsidR="00252067">
        <w:rPr>
          <w:lang w:val="en-US" w:eastAsia="ja-JP"/>
        </w:rPr>
        <w:t>WP </w:t>
      </w:r>
      <w:r>
        <w:rPr>
          <w:lang w:val="en-US" w:eastAsia="ja-JP"/>
        </w:rPr>
        <w:t>5C thanks IEEE for providing technical and operational characteristics; see Document</w:t>
      </w:r>
      <w:r w:rsidRPr="0003710B">
        <w:rPr>
          <w:szCs w:val="24"/>
          <w:lang w:val="en-US"/>
        </w:rPr>
        <w:t xml:space="preserve"> </w:t>
      </w:r>
      <w:hyperlink r:id="rId9" w:history="1">
        <w:r w:rsidRPr="00A76211">
          <w:rPr>
            <w:rStyle w:val="Hyperlink"/>
            <w:szCs w:val="24"/>
            <w:lang w:val="en-US" w:eastAsia="it-IT"/>
          </w:rPr>
          <w:t>5C/140</w:t>
        </w:r>
      </w:hyperlink>
      <w:r>
        <w:rPr>
          <w:szCs w:val="24"/>
          <w:lang w:val="en-US" w:eastAsia="it-IT"/>
        </w:rPr>
        <w:t>.</w:t>
      </w:r>
    </w:p>
    <w:p w:rsidR="0003710B" w:rsidRDefault="00252067" w:rsidP="00252067">
      <w:pPr>
        <w:rPr>
          <w:lang w:val="en-US" w:eastAsia="ja-JP"/>
        </w:rPr>
      </w:pPr>
      <w:r>
        <w:rPr>
          <w:lang w:val="en-US" w:eastAsia="ja-JP"/>
        </w:rPr>
        <w:t>WP </w:t>
      </w:r>
      <w:r w:rsidR="0003710B">
        <w:rPr>
          <w:lang w:val="en-US" w:eastAsia="ja-JP"/>
        </w:rPr>
        <w:t>5C believes that this preliminary information will help WP</w:t>
      </w:r>
      <w:r>
        <w:rPr>
          <w:lang w:val="en-US" w:eastAsia="ja-JP"/>
        </w:rPr>
        <w:t> </w:t>
      </w:r>
      <w:r w:rsidR="0003710B">
        <w:rPr>
          <w:lang w:val="en-US" w:eastAsia="ja-JP"/>
        </w:rPr>
        <w:t xml:space="preserve">1A in facilitating its work. The current working document includes specific applications, which do not fully represent the fixed </w:t>
      </w:r>
      <w:r w:rsidR="0003710B">
        <w:rPr>
          <w:rFonts w:hint="eastAsia"/>
          <w:lang w:val="en-US" w:eastAsia="ja-JP"/>
        </w:rPr>
        <w:t>applications</w:t>
      </w:r>
      <w:r w:rsidR="0003710B">
        <w:rPr>
          <w:lang w:val="en-US" w:eastAsia="ja-JP"/>
        </w:rPr>
        <w:t xml:space="preserve"> operating in </w:t>
      </w:r>
      <w:r w:rsidR="0003710B" w:rsidRPr="0063663B">
        <w:rPr>
          <w:lang w:val="en-US" w:eastAsia="ja-JP"/>
        </w:rPr>
        <w:t xml:space="preserve">the frequency </w:t>
      </w:r>
      <w:r w:rsidR="0003710B">
        <w:rPr>
          <w:lang w:val="en-US" w:eastAsia="ja-JP"/>
        </w:rPr>
        <w:t>range</w:t>
      </w:r>
      <w:r w:rsidR="0003710B" w:rsidRPr="0063663B">
        <w:rPr>
          <w:lang w:val="en-US" w:eastAsia="ja-JP"/>
        </w:rPr>
        <w:t xml:space="preserve"> 275</w:t>
      </w:r>
      <w:r w:rsidR="0003710B">
        <w:rPr>
          <w:lang w:val="en-US" w:eastAsia="ja-JP"/>
        </w:rPr>
        <w:noBreakHyphen/>
      </w:r>
      <w:r w:rsidR="0003710B" w:rsidRPr="0063663B">
        <w:rPr>
          <w:lang w:val="en-US" w:eastAsia="ja-JP"/>
        </w:rPr>
        <w:t>450 GHz</w:t>
      </w:r>
      <w:r w:rsidR="0003710B">
        <w:rPr>
          <w:lang w:val="en-US" w:eastAsia="ja-JP"/>
        </w:rPr>
        <w:t>. WP 5C will consider other fixed service applications, operating in the frequency range 275</w:t>
      </w:r>
      <w:r w:rsidR="0003710B">
        <w:rPr>
          <w:lang w:val="en-US" w:eastAsia="ja-JP"/>
        </w:rPr>
        <w:noBreakHyphen/>
        <w:t>450 GHz, so that the report will address the issues pertinent to technical and operational characteristics of systems associated with work on WRC-19 agenda item 1.15.</w:t>
      </w:r>
    </w:p>
    <w:p w:rsidR="0003710B" w:rsidRPr="00F06697" w:rsidRDefault="0003710B" w:rsidP="00C27831">
      <w:pPr>
        <w:pStyle w:val="Normalaftertitle0"/>
        <w:spacing w:before="120"/>
      </w:pPr>
      <w:r>
        <w:rPr>
          <w:lang w:val="en-US"/>
        </w:rPr>
        <w:t xml:space="preserve">At its June </w:t>
      </w:r>
      <w:r w:rsidR="00252067">
        <w:rPr>
          <w:lang w:val="en-US"/>
        </w:rPr>
        <w:t>2016 meeting WP </w:t>
      </w:r>
      <w:r>
        <w:rPr>
          <w:lang w:val="en-US"/>
        </w:rPr>
        <w:t>1A</w:t>
      </w:r>
      <w:r w:rsidRPr="0054327B">
        <w:rPr>
          <w:lang w:val="en-US"/>
        </w:rPr>
        <w:t xml:space="preserve"> </w:t>
      </w:r>
      <w:r>
        <w:rPr>
          <w:lang w:val="en-US"/>
        </w:rPr>
        <w:t>requested WP</w:t>
      </w:r>
      <w:r w:rsidR="00252067">
        <w:rPr>
          <w:lang w:val="en-US"/>
        </w:rPr>
        <w:t> </w:t>
      </w:r>
      <w:r w:rsidRPr="0054327B">
        <w:rPr>
          <w:lang w:val="en-US"/>
        </w:rPr>
        <w:t xml:space="preserve">3M </w:t>
      </w:r>
      <w:r>
        <w:rPr>
          <w:lang w:val="en-US"/>
        </w:rPr>
        <w:t xml:space="preserve">to consider related propagation models and assess the </w:t>
      </w:r>
      <w:r w:rsidRPr="0054327B">
        <w:rPr>
          <w:lang w:val="en-US"/>
        </w:rPr>
        <w:t>intended frequency</w:t>
      </w:r>
      <w:r>
        <w:rPr>
          <w:lang w:val="en-US"/>
        </w:rPr>
        <w:t xml:space="preserve"> bands. </w:t>
      </w:r>
    </w:p>
    <w:p w:rsidR="0003710B" w:rsidRDefault="0003710B" w:rsidP="0003710B">
      <w:pPr>
        <w:rPr>
          <w:szCs w:val="24"/>
          <w:lang w:val="en-US" w:eastAsia="ja-JP"/>
        </w:rPr>
      </w:pPr>
      <w:r>
        <w:rPr>
          <w:szCs w:val="24"/>
          <w:lang w:val="en-US" w:eastAsia="ja-JP"/>
        </w:rPr>
        <w:t xml:space="preserve">IEEE is kindly invited to provide additional information. </w:t>
      </w:r>
    </w:p>
    <w:p w:rsidR="0003710B" w:rsidRPr="0054327B" w:rsidRDefault="0003710B" w:rsidP="00252067">
      <w:pPr>
        <w:spacing w:after="240"/>
      </w:pPr>
      <w:r w:rsidRPr="00574ABD">
        <w:rPr>
          <w:szCs w:val="24"/>
          <w:lang w:val="en-US" w:eastAsia="ja-JP"/>
        </w:rPr>
        <w:t>WP</w:t>
      </w:r>
      <w:r w:rsidR="00252067">
        <w:rPr>
          <w:szCs w:val="24"/>
          <w:lang w:val="en-US" w:eastAsia="ja-JP"/>
        </w:rPr>
        <w:t> </w:t>
      </w:r>
      <w:r w:rsidRPr="00574ABD">
        <w:rPr>
          <w:szCs w:val="24"/>
          <w:lang w:val="en-US" w:eastAsia="ja-JP"/>
        </w:rPr>
        <w:t xml:space="preserve">1A is kindly invited to take note of </w:t>
      </w:r>
      <w:r>
        <w:rPr>
          <w:szCs w:val="24"/>
          <w:lang w:val="en-US" w:eastAsia="ja-JP"/>
        </w:rPr>
        <w:t>this</w:t>
      </w:r>
      <w:r w:rsidRPr="00574ABD">
        <w:rPr>
          <w:szCs w:val="24"/>
          <w:lang w:val="en-US" w:eastAsia="ja-JP"/>
        </w:rPr>
        <w:t xml:space="preserve"> </w:t>
      </w:r>
      <w:r>
        <w:rPr>
          <w:szCs w:val="24"/>
          <w:lang w:val="en-US" w:eastAsia="ja-JP"/>
        </w:rPr>
        <w:t xml:space="preserve">information </w:t>
      </w:r>
      <w:r w:rsidRPr="00574ABD">
        <w:rPr>
          <w:szCs w:val="24"/>
          <w:lang w:val="en-US" w:eastAsia="ja-JP"/>
        </w:rPr>
        <w:t xml:space="preserve">and take necessary actions as appropriate, </w:t>
      </w:r>
      <w:r w:rsidRPr="00574ABD">
        <w:rPr>
          <w:lang w:val="en-US"/>
        </w:rPr>
        <w:t>so that WP</w:t>
      </w:r>
      <w:r w:rsidR="00252067">
        <w:rPr>
          <w:lang w:val="en-US"/>
        </w:rPr>
        <w:t> </w:t>
      </w:r>
      <w:r w:rsidRPr="00574ABD">
        <w:rPr>
          <w:lang w:val="en-US"/>
        </w:rPr>
        <w:t xml:space="preserve">1A </w:t>
      </w:r>
      <w:r>
        <w:rPr>
          <w:lang w:val="en-US"/>
        </w:rPr>
        <w:t>continues</w:t>
      </w:r>
      <w:r w:rsidRPr="00574ABD">
        <w:rPr>
          <w:lang w:val="en-US"/>
        </w:rPr>
        <w:t xml:space="preserve"> its work in time for CPM19-2.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"/>
        <w:gridCol w:w="3959"/>
      </w:tblGrid>
      <w:tr w:rsidR="0003710B" w:rsidRPr="0054327B" w:rsidTr="00A037C4">
        <w:tc>
          <w:tcPr>
            <w:tcW w:w="5245" w:type="dxa"/>
            <w:hideMark/>
          </w:tcPr>
          <w:p w:rsidR="0003710B" w:rsidRPr="0054327B" w:rsidRDefault="0003710B" w:rsidP="00A037C4">
            <w:pPr>
              <w:pStyle w:val="ListParagraph"/>
              <w:spacing w:before="60" w:after="60"/>
              <w:ind w:leftChars="14" w:left="34"/>
              <w:jc w:val="both"/>
            </w:pPr>
            <w:r w:rsidRPr="0054327B">
              <w:rPr>
                <w:b/>
              </w:rPr>
              <w:t>Status:</w:t>
            </w:r>
            <w:r w:rsidRPr="0054327B">
              <w:rPr>
                <w:b/>
              </w:rPr>
              <w:tab/>
            </w:r>
            <w:r w:rsidRPr="0054327B">
              <w:t xml:space="preserve">For </w:t>
            </w:r>
            <w:r>
              <w:t xml:space="preserve">action or information as appropriate </w:t>
            </w:r>
          </w:p>
        </w:tc>
        <w:tc>
          <w:tcPr>
            <w:tcW w:w="4384" w:type="dxa"/>
            <w:gridSpan w:val="2"/>
          </w:tcPr>
          <w:p w:rsidR="0003710B" w:rsidRPr="0054327B" w:rsidRDefault="0003710B" w:rsidP="00A037C4">
            <w:pPr>
              <w:pStyle w:val="ListParagraph"/>
              <w:spacing w:before="60" w:after="60"/>
              <w:ind w:leftChars="14" w:left="34"/>
              <w:jc w:val="both"/>
            </w:pPr>
          </w:p>
        </w:tc>
      </w:tr>
      <w:tr w:rsidR="0003710B" w:rsidRPr="0054327B" w:rsidTr="00A037C4">
        <w:tc>
          <w:tcPr>
            <w:tcW w:w="5670" w:type="dxa"/>
            <w:gridSpan w:val="2"/>
            <w:hideMark/>
          </w:tcPr>
          <w:p w:rsidR="0003710B" w:rsidRPr="0054327B" w:rsidRDefault="0003710B" w:rsidP="00A037C4">
            <w:pPr>
              <w:pStyle w:val="ListParagraph"/>
              <w:spacing w:before="60" w:after="60"/>
              <w:ind w:leftChars="14" w:left="34"/>
              <w:jc w:val="both"/>
            </w:pPr>
            <w:r w:rsidRPr="0054327B">
              <w:rPr>
                <w:b/>
              </w:rPr>
              <w:t>Contact:</w:t>
            </w:r>
            <w:r w:rsidRPr="0054327B">
              <w:rPr>
                <w:b/>
              </w:rPr>
              <w:tab/>
            </w:r>
            <w:proofErr w:type="spellStart"/>
            <w:r w:rsidRPr="00A037C4">
              <w:rPr>
                <w:bCs/>
              </w:rPr>
              <w:t>Tuncer</w:t>
            </w:r>
            <w:proofErr w:type="spellEnd"/>
            <w:r w:rsidRPr="00A037C4">
              <w:rPr>
                <w:bCs/>
              </w:rPr>
              <w:t xml:space="preserve"> </w:t>
            </w:r>
            <w:proofErr w:type="spellStart"/>
            <w:r w:rsidRPr="00A037C4">
              <w:rPr>
                <w:bCs/>
              </w:rPr>
              <w:t>Baykas</w:t>
            </w:r>
            <w:proofErr w:type="spellEnd"/>
          </w:p>
        </w:tc>
        <w:tc>
          <w:tcPr>
            <w:tcW w:w="3959" w:type="dxa"/>
            <w:hideMark/>
          </w:tcPr>
          <w:p w:rsidR="0003710B" w:rsidRPr="0054327B" w:rsidRDefault="00A037C4" w:rsidP="00A037C4">
            <w:pPr>
              <w:pStyle w:val="ListParagraph"/>
              <w:spacing w:before="60" w:after="60"/>
              <w:ind w:leftChars="14" w:left="34"/>
              <w:jc w:val="both"/>
            </w:pPr>
            <w:r>
              <w:rPr>
                <w:b/>
              </w:rPr>
              <w:t xml:space="preserve">E-mail </w:t>
            </w:r>
            <w:r w:rsidR="0003710B" w:rsidRPr="0054327B">
              <w:rPr>
                <w:b/>
              </w:rPr>
              <w:t>:</w:t>
            </w:r>
            <w:r w:rsidR="0003710B" w:rsidRPr="0054327B">
              <w:rPr>
                <w:b/>
              </w:rPr>
              <w:tab/>
            </w:r>
            <w:hyperlink r:id="rId10" w:history="1">
              <w:r w:rsidR="005F7463" w:rsidRPr="001A3777">
                <w:rPr>
                  <w:rStyle w:val="Hyperlink"/>
                  <w:bCs/>
                </w:rPr>
                <w:t>baykas@ties.itu.int</w:t>
              </w:r>
            </w:hyperlink>
          </w:p>
        </w:tc>
      </w:tr>
    </w:tbl>
    <w:p w:rsidR="0003710B" w:rsidRDefault="0003710B" w:rsidP="00252067">
      <w:pPr>
        <w:spacing w:before="360"/>
        <w:jc w:val="center"/>
      </w:pPr>
      <w:r>
        <w:t>______________</w:t>
      </w:r>
    </w:p>
    <w:p w:rsidR="0003710B" w:rsidRPr="00810C1E" w:rsidRDefault="0003710B" w:rsidP="0003710B">
      <w:pPr>
        <w:rPr>
          <w:lang w:val="en-US" w:eastAsia="ja-JP"/>
        </w:rPr>
      </w:pPr>
    </w:p>
    <w:sectPr w:rsidR="0003710B" w:rsidRPr="00810C1E" w:rsidSect="00D02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A9" w:rsidRDefault="00FB65A9">
      <w:r>
        <w:separator/>
      </w:r>
    </w:p>
  </w:endnote>
  <w:endnote w:type="continuationSeparator" w:id="0">
    <w:p w:rsidR="00FB65A9" w:rsidRDefault="00FB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Courier New"/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00000000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B5" w:rsidRDefault="00302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67" w:rsidRDefault="00FB65A9" w:rsidP="0025206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4332E">
      <w:t>Y:\APP\BR\POOL\sg05\wp5a\Liaisons\16 Nov\IEEE.docx</w:t>
    </w:r>
    <w:r>
      <w:fldChar w:fldCharType="end"/>
    </w:r>
    <w:r w:rsidR="00252067">
      <w:tab/>
    </w:r>
    <w:r w:rsidR="00252067">
      <w:fldChar w:fldCharType="begin"/>
    </w:r>
    <w:r w:rsidR="00252067">
      <w:instrText xml:space="preserve"> SAVEDATE \@ DD.MM.YY </w:instrText>
    </w:r>
    <w:r w:rsidR="00252067">
      <w:fldChar w:fldCharType="separate"/>
    </w:r>
    <w:r w:rsidR="00457E3E">
      <w:t>17.11.16</w:t>
    </w:r>
    <w:r w:rsidR="00252067">
      <w:fldChar w:fldCharType="end"/>
    </w:r>
    <w:r w:rsidR="00252067">
      <w:tab/>
    </w:r>
    <w:r w:rsidR="00252067">
      <w:fldChar w:fldCharType="begin"/>
    </w:r>
    <w:r w:rsidR="00252067">
      <w:instrText xml:space="preserve"> PRINTDATE \@ DD.MM.YY </w:instrText>
    </w:r>
    <w:r w:rsidR="00252067">
      <w:fldChar w:fldCharType="separate"/>
    </w:r>
    <w:r w:rsidR="0084332E">
      <w:t>16.11.16</w:t>
    </w:r>
    <w:r w:rsidR="0025206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67" w:rsidRPr="003020B5" w:rsidRDefault="00252067" w:rsidP="0030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A9" w:rsidRDefault="00FB65A9">
      <w:r>
        <w:t>____________________</w:t>
      </w:r>
    </w:p>
  </w:footnote>
  <w:footnote w:type="continuationSeparator" w:id="0">
    <w:p w:rsidR="00FB65A9" w:rsidRDefault="00FB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B5" w:rsidRDefault="00302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52067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03710B">
    <w:pPr>
      <w:pStyle w:val="Header"/>
      <w:rPr>
        <w:lang w:val="en-US"/>
      </w:rPr>
    </w:pPr>
    <w:r>
      <w:rPr>
        <w:lang w:val="en-US"/>
      </w:rPr>
      <w:t>5C/TEMP/42-E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B5" w:rsidRDefault="00302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0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0B"/>
    <w:rsid w:val="000069D4"/>
    <w:rsid w:val="000174AD"/>
    <w:rsid w:val="0003710B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52067"/>
    <w:rsid w:val="002A7FE2"/>
    <w:rsid w:val="002E1B4F"/>
    <w:rsid w:val="002F2E67"/>
    <w:rsid w:val="002F7CB3"/>
    <w:rsid w:val="003020B5"/>
    <w:rsid w:val="00315546"/>
    <w:rsid w:val="00330567"/>
    <w:rsid w:val="00386A9D"/>
    <w:rsid w:val="00391081"/>
    <w:rsid w:val="003B2789"/>
    <w:rsid w:val="003C13CE"/>
    <w:rsid w:val="003E2518"/>
    <w:rsid w:val="003E7CEF"/>
    <w:rsid w:val="0042405F"/>
    <w:rsid w:val="00457E3E"/>
    <w:rsid w:val="00492F68"/>
    <w:rsid w:val="0049591A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5F7463"/>
    <w:rsid w:val="006144E4"/>
    <w:rsid w:val="00650299"/>
    <w:rsid w:val="00655FC5"/>
    <w:rsid w:val="00814E0A"/>
    <w:rsid w:val="00822581"/>
    <w:rsid w:val="008309DD"/>
    <w:rsid w:val="0083227A"/>
    <w:rsid w:val="0084332E"/>
    <w:rsid w:val="00866900"/>
    <w:rsid w:val="00881BA1"/>
    <w:rsid w:val="008C26B8"/>
    <w:rsid w:val="008F208F"/>
    <w:rsid w:val="00982084"/>
    <w:rsid w:val="00995963"/>
    <w:rsid w:val="009B61EB"/>
    <w:rsid w:val="009C2064"/>
    <w:rsid w:val="009C6DAD"/>
    <w:rsid w:val="009D1697"/>
    <w:rsid w:val="009F3A46"/>
    <w:rsid w:val="00A014F8"/>
    <w:rsid w:val="00A037C4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27831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B65A9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6E1232-F3BF-4323-B48D-C71D4722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03710B"/>
    <w:rPr>
      <w:color w:val="0000FF" w:themeColor="hyperlink"/>
      <w:u w:val="single"/>
    </w:rPr>
  </w:style>
  <w:style w:type="table" w:styleId="TableGrid">
    <w:name w:val="Table Grid"/>
    <w:basedOn w:val="TableNormal"/>
    <w:rsid w:val="0003710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3710B"/>
    <w:pPr>
      <w:ind w:leftChars="400" w:left="84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WP5C-C-0173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baykas@ties.itu.in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md/R15-WP5C-C-0140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MJ Lynch &amp; Associates LLC</cp:lastModifiedBy>
  <cp:revision>2</cp:revision>
  <cp:lastPrinted>2016-11-16T15:24:00Z</cp:lastPrinted>
  <dcterms:created xsi:type="dcterms:W3CDTF">2017-01-16T22:39:00Z</dcterms:created>
  <dcterms:modified xsi:type="dcterms:W3CDTF">2017-01-16T22:39:00Z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