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6CC88" w14:textId="77777777" w:rsidR="00F548FB" w:rsidRPr="00B36A19" w:rsidRDefault="00F548FB" w:rsidP="006C1B05">
      <w:pPr>
        <w:pStyle w:val="NoSpacing"/>
        <w:jc w:val="center"/>
        <w:rPr>
          <w:b/>
        </w:rPr>
      </w:pPr>
      <w:bookmarkStart w:id="0" w:name="_Toc525525058"/>
      <w:bookmarkStart w:id="1" w:name="_Toc390933025"/>
      <w:bookmarkStart w:id="2" w:name="_Toc390933116"/>
      <w:bookmarkStart w:id="3" w:name="_Toc390959760"/>
      <w:bookmarkStart w:id="4" w:name="_Toc391033048"/>
      <w:bookmarkStart w:id="5" w:name="_Toc395097042"/>
      <w:bookmarkStart w:id="6" w:name="_Toc395097114"/>
      <w:bookmarkStart w:id="7" w:name="_Toc397005408"/>
      <w:bookmarkStart w:id="8" w:name="_Toc397007612"/>
      <w:bookmarkStart w:id="9" w:name="_Toc401153629"/>
      <w:bookmarkStart w:id="10" w:name="_Toc401153757"/>
      <w:bookmarkStart w:id="11" w:name="_Toc427854873"/>
      <w:bookmarkStart w:id="12" w:name="_Toc428885097"/>
      <w:r w:rsidRPr="00B36A19">
        <w:rPr>
          <w:b/>
          <w:bCs/>
        </w:rPr>
        <w:t>Before the</w:t>
      </w:r>
      <w:bookmarkEnd w:id="0"/>
      <w:bookmarkEnd w:id="1"/>
      <w:bookmarkEnd w:id="2"/>
      <w:bookmarkEnd w:id="3"/>
      <w:bookmarkEnd w:id="4"/>
      <w:bookmarkEnd w:id="5"/>
      <w:bookmarkEnd w:id="6"/>
      <w:bookmarkEnd w:id="7"/>
      <w:bookmarkEnd w:id="8"/>
      <w:bookmarkEnd w:id="9"/>
      <w:bookmarkEnd w:id="10"/>
      <w:bookmarkEnd w:id="11"/>
      <w:bookmarkEnd w:id="12"/>
    </w:p>
    <w:p w14:paraId="67015944" w14:textId="77777777" w:rsidR="00F548FB" w:rsidRPr="00C77876" w:rsidRDefault="00F548FB" w:rsidP="006C1B05">
      <w:pPr>
        <w:jc w:val="center"/>
        <w:rPr>
          <w:rFonts w:cs="Times New Roman"/>
          <w:b/>
        </w:rPr>
      </w:pPr>
      <w:bookmarkStart w:id="13" w:name="_Toc525525059"/>
      <w:bookmarkStart w:id="14" w:name="_Toc390933026"/>
      <w:bookmarkStart w:id="15" w:name="_Toc390933117"/>
      <w:bookmarkStart w:id="16" w:name="_Toc390959761"/>
      <w:bookmarkStart w:id="17" w:name="_Toc391033049"/>
      <w:bookmarkStart w:id="18" w:name="_Toc395097043"/>
      <w:bookmarkStart w:id="19" w:name="_Toc395097115"/>
      <w:bookmarkStart w:id="20" w:name="_Toc397005409"/>
      <w:bookmarkStart w:id="21" w:name="_Toc397007613"/>
      <w:bookmarkStart w:id="22" w:name="_Toc401153630"/>
      <w:bookmarkStart w:id="23" w:name="_Toc401153758"/>
      <w:bookmarkStart w:id="24" w:name="_Toc427854874"/>
      <w:bookmarkStart w:id="25" w:name="_Toc428885098"/>
      <w:r w:rsidRPr="00C77876">
        <w:rPr>
          <w:rFonts w:cs="Times New Roman"/>
          <w:b/>
          <w:bCs/>
        </w:rPr>
        <w:t>Federal C</w:t>
      </w:r>
      <w:r w:rsidR="00806AA3" w:rsidRPr="00C77876">
        <w:rPr>
          <w:rFonts w:cs="Times New Roman"/>
          <w:b/>
          <w:bCs/>
        </w:rPr>
        <w:t>omm</w:t>
      </w:r>
      <w:r w:rsidR="00420994" w:rsidRPr="00C77876">
        <w:rPr>
          <w:rFonts w:cs="Times New Roman"/>
          <w:b/>
        </w:rPr>
        <w:t>u</w:t>
      </w:r>
      <w:r w:rsidRPr="00C77876">
        <w:rPr>
          <w:rFonts w:cs="Times New Roman"/>
          <w:b/>
        </w:rPr>
        <w:t>nications Commission</w:t>
      </w:r>
      <w:bookmarkEnd w:id="13"/>
      <w:bookmarkEnd w:id="14"/>
      <w:bookmarkEnd w:id="15"/>
      <w:bookmarkEnd w:id="16"/>
      <w:bookmarkEnd w:id="17"/>
      <w:bookmarkEnd w:id="18"/>
      <w:bookmarkEnd w:id="19"/>
      <w:bookmarkEnd w:id="20"/>
      <w:bookmarkEnd w:id="21"/>
      <w:bookmarkEnd w:id="22"/>
      <w:bookmarkEnd w:id="23"/>
      <w:bookmarkEnd w:id="24"/>
      <w:bookmarkEnd w:id="25"/>
    </w:p>
    <w:p w14:paraId="39CA7A11" w14:textId="77777777" w:rsidR="00F548FB" w:rsidRPr="00C77876" w:rsidRDefault="00F548FB" w:rsidP="006C1B05">
      <w:pPr>
        <w:jc w:val="center"/>
        <w:rPr>
          <w:rFonts w:cs="Times New Roman"/>
          <w:b/>
        </w:rPr>
      </w:pPr>
      <w:bookmarkStart w:id="26" w:name="_Toc525525060"/>
      <w:bookmarkStart w:id="27" w:name="_Toc390933027"/>
      <w:bookmarkStart w:id="28" w:name="_Toc390933118"/>
      <w:bookmarkStart w:id="29" w:name="_Toc390959762"/>
      <w:bookmarkStart w:id="30" w:name="_Toc391033050"/>
      <w:bookmarkStart w:id="31" w:name="_Toc395097044"/>
      <w:bookmarkStart w:id="32" w:name="_Toc395097116"/>
      <w:bookmarkStart w:id="33" w:name="_Toc397005410"/>
      <w:bookmarkStart w:id="34" w:name="_Toc397007614"/>
      <w:bookmarkStart w:id="35" w:name="_Toc401153631"/>
      <w:bookmarkStart w:id="36" w:name="_Toc401153759"/>
      <w:bookmarkStart w:id="37" w:name="_Toc427854875"/>
      <w:bookmarkStart w:id="38" w:name="_Toc428885099"/>
      <w:r w:rsidRPr="00C77876">
        <w:rPr>
          <w:rFonts w:cs="Times New Roman"/>
          <w:b/>
        </w:rPr>
        <w:t>Washington, D.C. 20554</w:t>
      </w:r>
      <w:bookmarkEnd w:id="26"/>
      <w:bookmarkEnd w:id="27"/>
      <w:bookmarkEnd w:id="28"/>
      <w:bookmarkEnd w:id="29"/>
      <w:bookmarkEnd w:id="30"/>
      <w:bookmarkEnd w:id="31"/>
      <w:bookmarkEnd w:id="32"/>
      <w:bookmarkEnd w:id="33"/>
      <w:bookmarkEnd w:id="34"/>
      <w:bookmarkEnd w:id="35"/>
      <w:bookmarkEnd w:id="36"/>
      <w:bookmarkEnd w:id="37"/>
      <w:bookmarkEnd w:id="38"/>
    </w:p>
    <w:p w14:paraId="27B9BB63" w14:textId="77777777" w:rsidR="00F548FB" w:rsidRPr="00C77876" w:rsidRDefault="00F548FB" w:rsidP="00035E4E">
      <w:pPr>
        <w:tabs>
          <w:tab w:val="left" w:pos="-720"/>
        </w:tabs>
        <w:suppressAutoHyphens/>
        <w:spacing w:line="227" w:lineRule="auto"/>
        <w:jc w:val="both"/>
        <w:rPr>
          <w:rFonts w:cs="Times New Roman"/>
          <w:spacing w:val="-2"/>
        </w:rPr>
      </w:pPr>
    </w:p>
    <w:tbl>
      <w:tblPr>
        <w:tblW w:w="9560" w:type="dxa"/>
        <w:tblLayout w:type="fixed"/>
        <w:tblLook w:val="0000" w:firstRow="0" w:lastRow="0" w:firstColumn="0" w:lastColumn="0" w:noHBand="0" w:noVBand="0"/>
      </w:tblPr>
      <w:tblGrid>
        <w:gridCol w:w="4690"/>
        <w:gridCol w:w="629"/>
        <w:gridCol w:w="4241"/>
      </w:tblGrid>
      <w:tr w:rsidR="00F548FB" w:rsidRPr="00B36A19" w14:paraId="34CE9699" w14:textId="77777777" w:rsidTr="00CD2314">
        <w:trPr>
          <w:trHeight w:val="972"/>
        </w:trPr>
        <w:tc>
          <w:tcPr>
            <w:tcW w:w="4690" w:type="dxa"/>
          </w:tcPr>
          <w:p w14:paraId="1B569D4F" w14:textId="77777777" w:rsidR="00F548FB" w:rsidRPr="00C77876" w:rsidRDefault="00F548FB" w:rsidP="00035E4E">
            <w:pPr>
              <w:tabs>
                <w:tab w:val="center" w:pos="4680"/>
              </w:tabs>
              <w:suppressAutoHyphens/>
              <w:rPr>
                <w:rFonts w:cs="Times New Roman"/>
                <w:spacing w:val="-2"/>
              </w:rPr>
            </w:pPr>
            <w:r w:rsidRPr="00C77876">
              <w:rPr>
                <w:rFonts w:cs="Times New Roman"/>
                <w:spacing w:val="-2"/>
              </w:rPr>
              <w:t>In the Matter of</w:t>
            </w:r>
          </w:p>
          <w:p w14:paraId="64DD9918" w14:textId="77777777" w:rsidR="00F548FB" w:rsidRPr="00C77876" w:rsidRDefault="00F548FB" w:rsidP="00035E4E">
            <w:pPr>
              <w:tabs>
                <w:tab w:val="center" w:pos="4680"/>
              </w:tabs>
              <w:suppressAutoHyphens/>
              <w:rPr>
                <w:rFonts w:cs="Times New Roman"/>
                <w:spacing w:val="-2"/>
              </w:rPr>
            </w:pPr>
          </w:p>
          <w:p w14:paraId="24470CCE" w14:textId="77777777" w:rsidR="00F548FB" w:rsidRPr="00C77876" w:rsidRDefault="00483455" w:rsidP="00035E4E">
            <w:pPr>
              <w:pStyle w:val="TOAHeading"/>
              <w:tabs>
                <w:tab w:val="clear" w:pos="9360"/>
              </w:tabs>
              <w:suppressAutoHyphens w:val="0"/>
              <w:rPr>
                <w:rFonts w:cs="Times New Roman"/>
              </w:rPr>
            </w:pPr>
            <w:bookmarkStart w:id="39" w:name="_GoBack"/>
            <w:r w:rsidRPr="00C77876">
              <w:rPr>
                <w:rFonts w:cs="Times New Roman"/>
              </w:rPr>
              <w:t>Fifth Generation Wireless Network and Device Security</w:t>
            </w:r>
            <w:r w:rsidR="00F548FB" w:rsidRPr="00C77876">
              <w:rPr>
                <w:rFonts w:cs="Times New Roman"/>
              </w:rPr>
              <w:t xml:space="preserve"> </w:t>
            </w:r>
            <w:bookmarkEnd w:id="39"/>
          </w:p>
        </w:tc>
        <w:tc>
          <w:tcPr>
            <w:tcW w:w="629" w:type="dxa"/>
          </w:tcPr>
          <w:p w14:paraId="54C30191" w14:textId="77777777" w:rsidR="00F548FB" w:rsidRPr="00C77876" w:rsidRDefault="00F548FB" w:rsidP="00035E4E">
            <w:pPr>
              <w:tabs>
                <w:tab w:val="center" w:pos="4680"/>
              </w:tabs>
              <w:suppressAutoHyphens/>
              <w:rPr>
                <w:rFonts w:cs="Times New Roman"/>
                <w:spacing w:val="-2"/>
              </w:rPr>
            </w:pPr>
            <w:r w:rsidRPr="00C77876">
              <w:rPr>
                <w:rFonts w:cs="Times New Roman"/>
                <w:bCs/>
                <w:spacing w:val="-2"/>
              </w:rPr>
              <w:t>)</w:t>
            </w:r>
          </w:p>
          <w:p w14:paraId="5820037F" w14:textId="77777777" w:rsidR="00F548FB" w:rsidRPr="00C77876" w:rsidRDefault="00F548FB" w:rsidP="00035E4E">
            <w:pPr>
              <w:tabs>
                <w:tab w:val="center" w:pos="4680"/>
              </w:tabs>
              <w:suppressAutoHyphens/>
              <w:rPr>
                <w:rFonts w:cs="Times New Roman"/>
                <w:spacing w:val="-2"/>
              </w:rPr>
            </w:pPr>
            <w:r w:rsidRPr="00C77876">
              <w:rPr>
                <w:rFonts w:cs="Times New Roman"/>
                <w:bCs/>
                <w:spacing w:val="-2"/>
              </w:rPr>
              <w:t>)</w:t>
            </w:r>
          </w:p>
          <w:p w14:paraId="5F330796" w14:textId="77777777" w:rsidR="00F548FB" w:rsidRPr="00C77876" w:rsidRDefault="00F548FB" w:rsidP="00035E4E">
            <w:pPr>
              <w:tabs>
                <w:tab w:val="center" w:pos="4680"/>
              </w:tabs>
              <w:suppressAutoHyphens/>
              <w:rPr>
                <w:rFonts w:cs="Times New Roman"/>
                <w:spacing w:val="-2"/>
              </w:rPr>
            </w:pPr>
            <w:r w:rsidRPr="00C77876">
              <w:rPr>
                <w:rFonts w:cs="Times New Roman"/>
                <w:bCs/>
                <w:spacing w:val="-2"/>
              </w:rPr>
              <w:t>)</w:t>
            </w:r>
          </w:p>
          <w:p w14:paraId="43B6E746" w14:textId="77777777" w:rsidR="00F548FB" w:rsidRPr="00C77876" w:rsidRDefault="00F548FB" w:rsidP="00035E4E">
            <w:pPr>
              <w:tabs>
                <w:tab w:val="center" w:pos="4680"/>
              </w:tabs>
              <w:suppressAutoHyphens/>
              <w:rPr>
                <w:rFonts w:cs="Times New Roman"/>
                <w:spacing w:val="-2"/>
              </w:rPr>
            </w:pPr>
            <w:r w:rsidRPr="00C77876">
              <w:rPr>
                <w:rFonts w:cs="Times New Roman"/>
                <w:bCs/>
                <w:spacing w:val="-2"/>
              </w:rPr>
              <w:t>)</w:t>
            </w:r>
          </w:p>
        </w:tc>
        <w:tc>
          <w:tcPr>
            <w:tcW w:w="4241" w:type="dxa"/>
          </w:tcPr>
          <w:p w14:paraId="5AD343D7" w14:textId="77777777" w:rsidR="00F548FB" w:rsidRPr="00C77876" w:rsidRDefault="00F548FB" w:rsidP="00035E4E">
            <w:pPr>
              <w:rPr>
                <w:rFonts w:cs="Times New Roman"/>
              </w:rPr>
            </w:pPr>
          </w:p>
          <w:p w14:paraId="75DE8005" w14:textId="77777777" w:rsidR="00F548FB" w:rsidRPr="00C77876" w:rsidRDefault="00F548FB" w:rsidP="00035E4E">
            <w:pPr>
              <w:rPr>
                <w:rFonts w:cs="Times New Roman"/>
              </w:rPr>
            </w:pPr>
          </w:p>
          <w:p w14:paraId="73E235C0" w14:textId="77777777" w:rsidR="00BA546E" w:rsidRPr="00C77876" w:rsidRDefault="00797927" w:rsidP="00035E4E">
            <w:pPr>
              <w:rPr>
                <w:rFonts w:cs="Times New Roman"/>
              </w:rPr>
            </w:pPr>
            <w:r w:rsidRPr="00C77876">
              <w:rPr>
                <w:rFonts w:cs="Times New Roman"/>
              </w:rPr>
              <w:t xml:space="preserve">PS </w:t>
            </w:r>
            <w:r w:rsidR="00F548FB" w:rsidRPr="00C77876">
              <w:rPr>
                <w:rFonts w:cs="Times New Roman"/>
              </w:rPr>
              <w:t xml:space="preserve">Docket No. </w:t>
            </w:r>
            <w:r w:rsidR="00BA546E" w:rsidRPr="00C77876">
              <w:rPr>
                <w:rFonts w:cs="Times New Roman"/>
              </w:rPr>
              <w:t>16-353</w:t>
            </w:r>
          </w:p>
          <w:p w14:paraId="4835035B" w14:textId="77777777" w:rsidR="00F548FB" w:rsidRPr="00C77876" w:rsidRDefault="00F548FB" w:rsidP="00035E4E">
            <w:pPr>
              <w:rPr>
                <w:rFonts w:cs="Times New Roman"/>
              </w:rPr>
            </w:pPr>
          </w:p>
        </w:tc>
      </w:tr>
    </w:tbl>
    <w:p w14:paraId="74742B91" w14:textId="77777777" w:rsidR="00F548FB" w:rsidRPr="00C77876" w:rsidRDefault="00F548FB" w:rsidP="00035E4E">
      <w:pPr>
        <w:jc w:val="center"/>
        <w:rPr>
          <w:rFonts w:cs="Times New Roman"/>
        </w:rPr>
      </w:pPr>
    </w:p>
    <w:p w14:paraId="27B85E87" w14:textId="77777777" w:rsidR="00F548FB" w:rsidRPr="00C77876" w:rsidRDefault="00F548FB" w:rsidP="00035E4E">
      <w:pPr>
        <w:tabs>
          <w:tab w:val="left" w:pos="-720"/>
        </w:tabs>
        <w:suppressAutoHyphens/>
        <w:spacing w:line="227" w:lineRule="auto"/>
        <w:jc w:val="center"/>
        <w:rPr>
          <w:rFonts w:cs="Times New Roman"/>
          <w:spacing w:val="-2"/>
        </w:rPr>
      </w:pPr>
      <w:r w:rsidRPr="00C77876">
        <w:rPr>
          <w:rFonts w:cs="Times New Roman"/>
          <w:bCs/>
          <w:spacing w:val="-2"/>
        </w:rPr>
        <w:t>NOTICE OF INQUIRY</w:t>
      </w:r>
    </w:p>
    <w:p w14:paraId="670F1677" w14:textId="77777777" w:rsidR="00F548FB" w:rsidRPr="00C77876" w:rsidRDefault="00F548FB" w:rsidP="00035E4E">
      <w:pPr>
        <w:tabs>
          <w:tab w:val="left" w:pos="-720"/>
        </w:tabs>
        <w:suppressAutoHyphens/>
        <w:spacing w:line="227" w:lineRule="auto"/>
        <w:jc w:val="center"/>
        <w:rPr>
          <w:rFonts w:cs="Times New Roman"/>
          <w:spacing w:val="-2"/>
        </w:rPr>
      </w:pPr>
    </w:p>
    <w:p w14:paraId="48DDC0A0" w14:textId="0ACB84F8" w:rsidR="00F548FB" w:rsidRPr="00C77876" w:rsidRDefault="00F548FB" w:rsidP="00035E4E">
      <w:pPr>
        <w:tabs>
          <w:tab w:val="right" w:pos="9360"/>
        </w:tabs>
        <w:rPr>
          <w:rFonts w:cs="Times New Roman"/>
          <w:spacing w:val="-2"/>
        </w:rPr>
      </w:pPr>
      <w:r w:rsidRPr="00C77876">
        <w:rPr>
          <w:rFonts w:cs="Times New Roman"/>
          <w:bCs/>
          <w:spacing w:val="-2"/>
        </w:rPr>
        <w:t xml:space="preserve">Adopted:  </w:t>
      </w:r>
      <w:r w:rsidR="004B1B5C">
        <w:rPr>
          <w:rFonts w:cs="Times New Roman"/>
          <w:bCs/>
          <w:spacing w:val="-2"/>
        </w:rPr>
        <w:t>December 1</w:t>
      </w:r>
      <w:r w:rsidR="00DA2DF4">
        <w:rPr>
          <w:rFonts w:cs="Times New Roman"/>
          <w:bCs/>
          <w:spacing w:val="-2"/>
        </w:rPr>
        <w:t>6</w:t>
      </w:r>
      <w:r w:rsidRPr="00C77876">
        <w:rPr>
          <w:rFonts w:cs="Times New Roman"/>
          <w:bCs/>
          <w:spacing w:val="-2"/>
        </w:rPr>
        <w:t>, 2016</w:t>
      </w:r>
      <w:r w:rsidR="2462E4EC" w:rsidRPr="00C77876">
        <w:rPr>
          <w:rFonts w:cs="Times New Roman"/>
          <w:bCs/>
          <w:spacing w:val="-2"/>
        </w:rPr>
        <w:t xml:space="preserve"> </w:t>
      </w:r>
      <w:r w:rsidRPr="00C77876">
        <w:rPr>
          <w:rFonts w:cs="Times New Roman"/>
          <w:spacing w:val="-2"/>
        </w:rPr>
        <w:tab/>
      </w:r>
      <w:r w:rsidRPr="00C77876">
        <w:rPr>
          <w:rFonts w:cs="Times New Roman"/>
          <w:bCs/>
          <w:spacing w:val="-2"/>
        </w:rPr>
        <w:t xml:space="preserve">Released:  </w:t>
      </w:r>
      <w:r w:rsidR="004B1B5C">
        <w:rPr>
          <w:rFonts w:cs="Times New Roman"/>
          <w:bCs/>
          <w:spacing w:val="-2"/>
        </w:rPr>
        <w:t>December 1</w:t>
      </w:r>
      <w:r w:rsidR="00DA2DF4">
        <w:rPr>
          <w:rFonts w:cs="Times New Roman"/>
          <w:bCs/>
          <w:spacing w:val="-2"/>
        </w:rPr>
        <w:t>6</w:t>
      </w:r>
      <w:r w:rsidRPr="00C77876">
        <w:rPr>
          <w:rFonts w:cs="Times New Roman"/>
          <w:bCs/>
          <w:spacing w:val="-2"/>
        </w:rPr>
        <w:t>, 2016</w:t>
      </w:r>
    </w:p>
    <w:p w14:paraId="7E339B74" w14:textId="77777777" w:rsidR="00F548FB" w:rsidRPr="00C77876" w:rsidRDefault="00F548FB" w:rsidP="00035E4E">
      <w:pPr>
        <w:rPr>
          <w:rFonts w:cs="Times New Roman"/>
        </w:rPr>
      </w:pPr>
    </w:p>
    <w:p w14:paraId="1CDFAF79" w14:textId="77777777" w:rsidR="00F548FB" w:rsidRPr="00C77876" w:rsidRDefault="00F548FB" w:rsidP="006C1B05">
      <w:pPr>
        <w:rPr>
          <w:rFonts w:cs="Times New Roman"/>
        </w:rPr>
      </w:pPr>
      <w:r w:rsidRPr="00C77876">
        <w:rPr>
          <w:rFonts w:cs="Times New Roman"/>
          <w:bCs/>
        </w:rPr>
        <w:t xml:space="preserve">Comment Date:  </w:t>
      </w:r>
      <w:r w:rsidR="00F70440" w:rsidRPr="00C77876">
        <w:rPr>
          <w:rFonts w:cs="Times New Roman"/>
          <w:bCs/>
          <w:spacing w:val="-2"/>
        </w:rPr>
        <w:t>[</w:t>
      </w:r>
      <w:r w:rsidR="00E90F66" w:rsidRPr="00C77876">
        <w:rPr>
          <w:rFonts w:cs="Times New Roman"/>
          <w:bCs/>
          <w:spacing w:val="-2"/>
        </w:rPr>
        <w:t>9</w:t>
      </w:r>
      <w:r w:rsidR="00995588" w:rsidRPr="00C77876">
        <w:rPr>
          <w:rFonts w:cs="Times New Roman"/>
          <w:bCs/>
          <w:spacing w:val="-2"/>
        </w:rPr>
        <w:t>0</w:t>
      </w:r>
      <w:r w:rsidR="006E1872" w:rsidRPr="00C77876">
        <w:rPr>
          <w:rFonts w:cs="Times New Roman"/>
          <w:bCs/>
          <w:spacing w:val="-2"/>
        </w:rPr>
        <w:t xml:space="preserve"> </w:t>
      </w:r>
      <w:r w:rsidR="00F70440" w:rsidRPr="00C77876">
        <w:rPr>
          <w:rFonts w:cs="Times New Roman"/>
          <w:bCs/>
          <w:spacing w:val="-2"/>
        </w:rPr>
        <w:t>DAYS AFTER PUBLICATION IN FEDERAL REGISTER]</w:t>
      </w:r>
    </w:p>
    <w:p w14:paraId="4C5B7206" w14:textId="77777777" w:rsidR="00F548FB" w:rsidRPr="00C77876" w:rsidRDefault="00F548FB" w:rsidP="006C1B05">
      <w:pPr>
        <w:rPr>
          <w:rFonts w:cs="Times New Roman"/>
          <w:spacing w:val="-2"/>
        </w:rPr>
      </w:pPr>
      <w:r w:rsidRPr="00C77876">
        <w:rPr>
          <w:rFonts w:cs="Times New Roman"/>
          <w:bCs/>
        </w:rPr>
        <w:t xml:space="preserve">Reply Comment Date:  </w:t>
      </w:r>
      <w:r w:rsidR="00F70440" w:rsidRPr="00C77876">
        <w:rPr>
          <w:rFonts w:cs="Times New Roman"/>
          <w:bCs/>
          <w:spacing w:val="-2"/>
        </w:rPr>
        <w:t>[</w:t>
      </w:r>
      <w:r w:rsidR="00E90F66" w:rsidRPr="00C77876">
        <w:rPr>
          <w:rFonts w:cs="Times New Roman"/>
          <w:bCs/>
          <w:spacing w:val="-2"/>
        </w:rPr>
        <w:t>12</w:t>
      </w:r>
      <w:r w:rsidR="00995588" w:rsidRPr="00C77876">
        <w:rPr>
          <w:rFonts w:cs="Times New Roman"/>
          <w:bCs/>
          <w:spacing w:val="-2"/>
        </w:rPr>
        <w:t>0</w:t>
      </w:r>
      <w:r w:rsidR="006E1872" w:rsidRPr="00C77876">
        <w:rPr>
          <w:rFonts w:cs="Times New Roman"/>
          <w:bCs/>
          <w:spacing w:val="-2"/>
        </w:rPr>
        <w:t xml:space="preserve"> </w:t>
      </w:r>
      <w:r w:rsidR="00F70440" w:rsidRPr="00C77876">
        <w:rPr>
          <w:rFonts w:cs="Times New Roman"/>
          <w:bCs/>
          <w:spacing w:val="-2"/>
        </w:rPr>
        <w:t>DAYS AFTER PUBLICATION IN FEDERAL REGISTER]</w:t>
      </w:r>
    </w:p>
    <w:p w14:paraId="6B322B71" w14:textId="6F522734" w:rsidR="008F2063" w:rsidRPr="00C77876" w:rsidRDefault="008F2063" w:rsidP="006C1B05">
      <w:pPr>
        <w:rPr>
          <w:rFonts w:cs="Times New Roman"/>
        </w:rPr>
      </w:pPr>
      <w:r w:rsidRPr="00C77876">
        <w:rPr>
          <w:rFonts w:cs="Times New Roman"/>
        </w:rPr>
        <w:t xml:space="preserve">By the Chief, </w:t>
      </w:r>
      <w:r w:rsidR="00716C2B" w:rsidRPr="00C77876">
        <w:rPr>
          <w:rFonts w:cs="Times New Roman"/>
        </w:rPr>
        <w:t>Public Safety and Homeland Security Bureau</w:t>
      </w:r>
    </w:p>
    <w:p w14:paraId="7EB97107" w14:textId="77777777" w:rsidR="00B000F1" w:rsidRPr="00C77876" w:rsidRDefault="00052976" w:rsidP="006C1B05">
      <w:pPr>
        <w:pStyle w:val="TOCTitle"/>
        <w:rPr>
          <w:rFonts w:ascii="Times New Roman" w:hAnsi="Times New Roman" w:cs="Times New Roman"/>
        </w:rPr>
      </w:pPr>
      <w:bookmarkStart w:id="40" w:name="TOChere"/>
      <w:r w:rsidRPr="00C77876">
        <w:rPr>
          <w:rFonts w:ascii="Times New Roman" w:hAnsi="Times New Roman" w:cs="Times New Roman"/>
        </w:rPr>
        <w:t>Table of Contents</w:t>
      </w:r>
    </w:p>
    <w:p w14:paraId="2B3217CC" w14:textId="77777777" w:rsidR="00052976" w:rsidRPr="00C77876" w:rsidRDefault="00052976" w:rsidP="006C1B05">
      <w:pPr>
        <w:pStyle w:val="Paratitle"/>
        <w:rPr>
          <w:rFonts w:cs="Times New Roman"/>
        </w:rPr>
      </w:pPr>
      <w:r w:rsidRPr="00C77876">
        <w:rPr>
          <w:rFonts w:cs="Times New Roman"/>
        </w:rPr>
        <w:t>Heading</w:t>
      </w:r>
      <w:r w:rsidRPr="00C77876">
        <w:rPr>
          <w:rFonts w:cs="Times New Roman"/>
        </w:rPr>
        <w:tab/>
        <w:t>Paragraph #</w:t>
      </w:r>
      <w:bookmarkStart w:id="41" w:name="start_here"/>
      <w:bookmarkEnd w:id="41"/>
    </w:p>
    <w:p w14:paraId="3BC7C97F" w14:textId="77777777" w:rsidR="00052976" w:rsidRPr="00C77876" w:rsidRDefault="00052976" w:rsidP="006C1B05">
      <w:pPr>
        <w:pStyle w:val="TOC1"/>
        <w:rPr>
          <w:rFonts w:eastAsiaTheme="minorEastAsia" w:cs="Times New Roman"/>
          <w:caps w:val="0"/>
        </w:rPr>
      </w:pPr>
      <w:r w:rsidRPr="00C77876">
        <w:rPr>
          <w:rFonts w:cs="Times New Roman"/>
        </w:rPr>
        <w:t>I.</w:t>
      </w:r>
      <w:r w:rsidRPr="00C77876">
        <w:rPr>
          <w:rFonts w:eastAsiaTheme="minorEastAsia" w:cs="Times New Roman"/>
          <w:caps w:val="0"/>
        </w:rPr>
        <w:tab/>
      </w:r>
      <w:r w:rsidRPr="00C77876">
        <w:rPr>
          <w:rFonts w:cs="Times New Roman"/>
        </w:rPr>
        <w:t>Introduction and background</w:t>
      </w:r>
      <w:r w:rsidRPr="00C77876">
        <w:rPr>
          <w:rFonts w:cs="Times New Roman"/>
        </w:rPr>
        <w:tab/>
        <w:t>1</w:t>
      </w:r>
    </w:p>
    <w:p w14:paraId="7A89E58D" w14:textId="77777777" w:rsidR="00052976" w:rsidRPr="00C77876" w:rsidRDefault="00052976" w:rsidP="006C1B05">
      <w:pPr>
        <w:pStyle w:val="TOC1"/>
        <w:rPr>
          <w:rFonts w:eastAsiaTheme="minorEastAsia" w:cs="Times New Roman"/>
          <w:caps w:val="0"/>
        </w:rPr>
      </w:pPr>
      <w:r w:rsidRPr="00C77876">
        <w:rPr>
          <w:rFonts w:cs="Times New Roman"/>
        </w:rPr>
        <w:t>II.</w:t>
      </w:r>
      <w:r w:rsidRPr="00C77876">
        <w:rPr>
          <w:rFonts w:eastAsiaTheme="minorEastAsia" w:cs="Times New Roman"/>
          <w:caps w:val="0"/>
        </w:rPr>
        <w:tab/>
      </w:r>
      <w:r w:rsidRPr="00C77876">
        <w:rPr>
          <w:rFonts w:cs="Times New Roman"/>
        </w:rPr>
        <w:t>inquiry</w:t>
      </w:r>
      <w:r w:rsidRPr="00C77876">
        <w:rPr>
          <w:rFonts w:cs="Times New Roman"/>
        </w:rPr>
        <w:tab/>
      </w:r>
      <w:r w:rsidR="00BD095E">
        <w:rPr>
          <w:rFonts w:cs="Times New Roman"/>
        </w:rPr>
        <w:t>6</w:t>
      </w:r>
    </w:p>
    <w:p w14:paraId="173838F4" w14:textId="77777777" w:rsidR="00052976" w:rsidRPr="00C77876" w:rsidRDefault="00052976" w:rsidP="006C1B05">
      <w:pPr>
        <w:pStyle w:val="TOC2"/>
        <w:tabs>
          <w:tab w:val="left" w:pos="360"/>
        </w:tabs>
        <w:rPr>
          <w:rFonts w:eastAsiaTheme="minorEastAsia" w:cs="Times New Roman"/>
        </w:rPr>
      </w:pPr>
      <w:r w:rsidRPr="00C77876">
        <w:rPr>
          <w:rFonts w:cs="Times New Roman"/>
        </w:rPr>
        <w:t>A.</w:t>
      </w:r>
      <w:r w:rsidRPr="00C77876">
        <w:rPr>
          <w:rFonts w:eastAsiaTheme="minorEastAsia" w:cs="Times New Roman"/>
        </w:rPr>
        <w:tab/>
      </w:r>
      <w:r w:rsidRPr="00C77876">
        <w:rPr>
          <w:rFonts w:cs="Times New Roman"/>
        </w:rPr>
        <w:t>Protecting Confidentiality, Integrity, and Availability</w:t>
      </w:r>
      <w:r w:rsidRPr="00C77876">
        <w:rPr>
          <w:rFonts w:cs="Times New Roman"/>
        </w:rPr>
        <w:tab/>
      </w:r>
      <w:r w:rsidR="000855BE" w:rsidRPr="00C77876">
        <w:rPr>
          <w:rFonts w:cs="Times New Roman"/>
        </w:rPr>
        <w:t>9</w:t>
      </w:r>
    </w:p>
    <w:p w14:paraId="62ED9D50" w14:textId="77777777" w:rsidR="00052976" w:rsidRPr="00C77876" w:rsidRDefault="00052976" w:rsidP="006C1B05">
      <w:pPr>
        <w:pStyle w:val="TOC3"/>
        <w:tabs>
          <w:tab w:val="left" w:pos="360"/>
        </w:tabs>
        <w:rPr>
          <w:rFonts w:eastAsiaTheme="minorEastAsia" w:cs="Times New Roman"/>
        </w:rPr>
      </w:pPr>
      <w:r w:rsidRPr="00C77876">
        <w:rPr>
          <w:rFonts w:cs="Times New Roman"/>
        </w:rPr>
        <w:t>1.</w:t>
      </w:r>
      <w:r w:rsidRPr="00C77876">
        <w:rPr>
          <w:rFonts w:eastAsiaTheme="minorEastAsia" w:cs="Times New Roman"/>
        </w:rPr>
        <w:tab/>
      </w:r>
      <w:r w:rsidRPr="00C77876">
        <w:rPr>
          <w:rFonts w:cs="Times New Roman"/>
        </w:rPr>
        <w:t>Authentication</w:t>
      </w:r>
      <w:r w:rsidRPr="00C77876">
        <w:rPr>
          <w:rFonts w:cs="Times New Roman"/>
        </w:rPr>
        <w:tab/>
      </w:r>
      <w:r w:rsidR="00E452E0" w:rsidRPr="00C77876">
        <w:rPr>
          <w:rFonts w:cs="Times New Roman"/>
        </w:rPr>
        <w:t>1</w:t>
      </w:r>
      <w:r w:rsidR="00940D6A">
        <w:rPr>
          <w:rFonts w:cs="Times New Roman"/>
        </w:rPr>
        <w:t>1</w:t>
      </w:r>
    </w:p>
    <w:p w14:paraId="50B8FA80" w14:textId="77777777" w:rsidR="00052976" w:rsidRPr="00C77876" w:rsidRDefault="006E6C3A" w:rsidP="006C1B05">
      <w:pPr>
        <w:pStyle w:val="TOC3"/>
        <w:tabs>
          <w:tab w:val="left" w:pos="360"/>
        </w:tabs>
        <w:rPr>
          <w:rFonts w:eastAsiaTheme="minorEastAsia" w:cs="Times New Roman"/>
        </w:rPr>
      </w:pPr>
      <w:r w:rsidRPr="00C77876">
        <w:rPr>
          <w:rFonts w:cs="Times New Roman"/>
        </w:rPr>
        <w:t>2</w:t>
      </w:r>
      <w:r w:rsidR="00052976" w:rsidRPr="00C77876">
        <w:rPr>
          <w:rFonts w:cs="Times New Roman"/>
        </w:rPr>
        <w:t>.</w:t>
      </w:r>
      <w:r w:rsidR="00052976" w:rsidRPr="00C77876">
        <w:rPr>
          <w:rFonts w:eastAsiaTheme="minorEastAsia" w:cs="Times New Roman"/>
        </w:rPr>
        <w:tab/>
      </w:r>
      <w:r w:rsidR="00052976" w:rsidRPr="00C77876">
        <w:rPr>
          <w:rFonts w:cs="Times New Roman"/>
        </w:rPr>
        <w:t>Encryption</w:t>
      </w:r>
      <w:r w:rsidR="00052976" w:rsidRPr="00C77876">
        <w:rPr>
          <w:rFonts w:cs="Times New Roman"/>
        </w:rPr>
        <w:tab/>
      </w:r>
      <w:r w:rsidR="00E452E0" w:rsidRPr="00C77876">
        <w:rPr>
          <w:rFonts w:cs="Times New Roman"/>
        </w:rPr>
        <w:t>1</w:t>
      </w:r>
      <w:r w:rsidR="00BD095E">
        <w:rPr>
          <w:rFonts w:cs="Times New Roman"/>
        </w:rPr>
        <w:t>2</w:t>
      </w:r>
    </w:p>
    <w:p w14:paraId="636EE4AD" w14:textId="77777777" w:rsidR="00052976" w:rsidRPr="00C77876" w:rsidRDefault="006E6C3A" w:rsidP="006C1B05">
      <w:pPr>
        <w:pStyle w:val="TOC3"/>
        <w:tabs>
          <w:tab w:val="left" w:pos="360"/>
        </w:tabs>
        <w:rPr>
          <w:rFonts w:eastAsiaTheme="minorEastAsia" w:cs="Times New Roman"/>
        </w:rPr>
      </w:pPr>
      <w:r w:rsidRPr="00C77876">
        <w:rPr>
          <w:rFonts w:cs="Times New Roman"/>
        </w:rPr>
        <w:t>3</w:t>
      </w:r>
      <w:r w:rsidR="00052976" w:rsidRPr="00C77876">
        <w:rPr>
          <w:rFonts w:cs="Times New Roman"/>
        </w:rPr>
        <w:t>.</w:t>
      </w:r>
      <w:r w:rsidR="00052976" w:rsidRPr="00C77876">
        <w:rPr>
          <w:rFonts w:eastAsiaTheme="minorEastAsia" w:cs="Times New Roman"/>
        </w:rPr>
        <w:tab/>
      </w:r>
      <w:r w:rsidR="00052976" w:rsidRPr="00C77876">
        <w:rPr>
          <w:rFonts w:cs="Times New Roman"/>
        </w:rPr>
        <w:t>Physical Security</w:t>
      </w:r>
      <w:r w:rsidR="00052976" w:rsidRPr="00C77876">
        <w:rPr>
          <w:rFonts w:cs="Times New Roman"/>
        </w:rPr>
        <w:tab/>
      </w:r>
      <w:r w:rsidR="00E452E0" w:rsidRPr="00C77876">
        <w:rPr>
          <w:rFonts w:cs="Times New Roman"/>
        </w:rPr>
        <w:t>1</w:t>
      </w:r>
      <w:r w:rsidR="00805D26">
        <w:rPr>
          <w:rFonts w:cs="Times New Roman"/>
        </w:rPr>
        <w:t>6</w:t>
      </w:r>
    </w:p>
    <w:p w14:paraId="3047BB6E" w14:textId="77777777" w:rsidR="00052976" w:rsidRPr="00C77876" w:rsidRDefault="006E6C3A" w:rsidP="006C1B05">
      <w:pPr>
        <w:pStyle w:val="TOC3"/>
        <w:tabs>
          <w:tab w:val="left" w:pos="360"/>
        </w:tabs>
        <w:rPr>
          <w:rFonts w:eastAsiaTheme="minorEastAsia" w:cs="Times New Roman"/>
        </w:rPr>
      </w:pPr>
      <w:r w:rsidRPr="00C77876">
        <w:rPr>
          <w:rFonts w:cs="Times New Roman"/>
        </w:rPr>
        <w:t>4</w:t>
      </w:r>
      <w:r w:rsidR="00052976" w:rsidRPr="00C77876">
        <w:rPr>
          <w:rFonts w:cs="Times New Roman"/>
        </w:rPr>
        <w:t>.</w:t>
      </w:r>
      <w:r w:rsidR="00052976" w:rsidRPr="00C77876">
        <w:rPr>
          <w:rFonts w:eastAsiaTheme="minorEastAsia" w:cs="Times New Roman"/>
        </w:rPr>
        <w:tab/>
      </w:r>
      <w:r w:rsidR="00052976" w:rsidRPr="00C77876">
        <w:rPr>
          <w:rFonts w:cs="Times New Roman"/>
        </w:rPr>
        <w:t>Device Security</w:t>
      </w:r>
      <w:r w:rsidR="00052976" w:rsidRPr="00C77876">
        <w:rPr>
          <w:rFonts w:cs="Times New Roman"/>
        </w:rPr>
        <w:tab/>
      </w:r>
      <w:r w:rsidR="00BD095E">
        <w:rPr>
          <w:rFonts w:cs="Times New Roman"/>
        </w:rPr>
        <w:t>19</w:t>
      </w:r>
    </w:p>
    <w:p w14:paraId="4AEE4B18" w14:textId="77777777" w:rsidR="00052976" w:rsidRDefault="006E6C3A" w:rsidP="006C1B05">
      <w:pPr>
        <w:pStyle w:val="TOC3"/>
        <w:tabs>
          <w:tab w:val="left" w:pos="360"/>
        </w:tabs>
        <w:rPr>
          <w:rFonts w:cs="Times New Roman"/>
        </w:rPr>
      </w:pPr>
      <w:r w:rsidRPr="00C77876">
        <w:rPr>
          <w:rFonts w:cs="Times New Roman"/>
        </w:rPr>
        <w:t>5</w:t>
      </w:r>
      <w:r w:rsidR="00052976" w:rsidRPr="00C77876">
        <w:rPr>
          <w:rFonts w:cs="Times New Roman"/>
        </w:rPr>
        <w:t>.</w:t>
      </w:r>
      <w:r w:rsidR="00052976" w:rsidRPr="00C77876">
        <w:rPr>
          <w:rFonts w:eastAsiaTheme="minorEastAsia" w:cs="Times New Roman"/>
        </w:rPr>
        <w:tab/>
      </w:r>
      <w:r w:rsidR="00052976" w:rsidRPr="00C77876">
        <w:rPr>
          <w:rFonts w:cs="Times New Roman"/>
        </w:rPr>
        <w:t>Protecting 5G Networks from DoS and DDoS Attacks</w:t>
      </w:r>
      <w:r w:rsidR="00052976" w:rsidRPr="00C77876">
        <w:rPr>
          <w:rFonts w:cs="Times New Roman"/>
        </w:rPr>
        <w:tab/>
      </w:r>
      <w:r w:rsidR="00E452E0" w:rsidRPr="00C77876">
        <w:rPr>
          <w:rFonts w:cs="Times New Roman"/>
        </w:rPr>
        <w:t>2</w:t>
      </w:r>
      <w:r w:rsidR="00EF0183">
        <w:rPr>
          <w:rFonts w:cs="Times New Roman"/>
        </w:rPr>
        <w:t>0</w:t>
      </w:r>
    </w:p>
    <w:p w14:paraId="32C3B348" w14:textId="77777777" w:rsidR="005F53A1" w:rsidRDefault="005F53A1" w:rsidP="006C1B05">
      <w:pPr>
        <w:pStyle w:val="TOC3"/>
        <w:tabs>
          <w:tab w:val="left" w:pos="360"/>
        </w:tabs>
        <w:rPr>
          <w:rFonts w:cs="Times New Roman"/>
        </w:rPr>
      </w:pPr>
      <w:r>
        <w:rPr>
          <w:rFonts w:cs="Times New Roman"/>
        </w:rPr>
        <w:t>6</w:t>
      </w:r>
      <w:r w:rsidRPr="00FC756E">
        <w:rPr>
          <w:rFonts w:cs="Times New Roman"/>
        </w:rPr>
        <w:t>.</w:t>
      </w:r>
      <w:r w:rsidRPr="00FC756E">
        <w:rPr>
          <w:rFonts w:eastAsiaTheme="minorEastAsia" w:cs="Times New Roman"/>
        </w:rPr>
        <w:tab/>
      </w:r>
      <w:r>
        <w:rPr>
          <w:rFonts w:eastAsiaTheme="minorEastAsia" w:cs="Times New Roman"/>
        </w:rPr>
        <w:t xml:space="preserve">Patch Management </w:t>
      </w:r>
      <w:r w:rsidRPr="00FC756E">
        <w:rPr>
          <w:rFonts w:cs="Times New Roman"/>
        </w:rPr>
        <w:tab/>
        <w:t>2</w:t>
      </w:r>
      <w:r w:rsidR="00EF0183">
        <w:rPr>
          <w:rFonts w:cs="Times New Roman"/>
        </w:rPr>
        <w:t>2</w:t>
      </w:r>
    </w:p>
    <w:p w14:paraId="18C1A9A6" w14:textId="77777777" w:rsidR="002B1620" w:rsidRPr="00C77876" w:rsidRDefault="005F53A1" w:rsidP="006C1B05">
      <w:pPr>
        <w:pStyle w:val="TOC3"/>
        <w:tabs>
          <w:tab w:val="left" w:pos="360"/>
        </w:tabs>
      </w:pPr>
      <w:r>
        <w:rPr>
          <w:rFonts w:cs="Times New Roman"/>
        </w:rPr>
        <w:t>7</w:t>
      </w:r>
      <w:r w:rsidRPr="00FC756E">
        <w:rPr>
          <w:rFonts w:cs="Times New Roman"/>
        </w:rPr>
        <w:t>.</w:t>
      </w:r>
      <w:r w:rsidRPr="00FC756E">
        <w:rPr>
          <w:rFonts w:eastAsiaTheme="minorEastAsia" w:cs="Times New Roman"/>
        </w:rPr>
        <w:tab/>
      </w:r>
      <w:r>
        <w:rPr>
          <w:rFonts w:eastAsiaTheme="minorEastAsia" w:cs="Times New Roman"/>
        </w:rPr>
        <w:t xml:space="preserve">Risk </w:t>
      </w:r>
      <w:r w:rsidR="00940D6A">
        <w:rPr>
          <w:rFonts w:eastAsiaTheme="minorEastAsia" w:cs="Times New Roman"/>
        </w:rPr>
        <w:t>Segmentation</w:t>
      </w:r>
      <w:r>
        <w:rPr>
          <w:rFonts w:eastAsiaTheme="minorEastAsia" w:cs="Times New Roman"/>
        </w:rPr>
        <w:t xml:space="preserve">  </w:t>
      </w:r>
      <w:r w:rsidRPr="00FC756E">
        <w:rPr>
          <w:rFonts w:cs="Times New Roman"/>
        </w:rPr>
        <w:tab/>
        <w:t>2</w:t>
      </w:r>
      <w:r w:rsidR="00EF0183">
        <w:rPr>
          <w:rFonts w:cs="Times New Roman"/>
        </w:rPr>
        <w:t>6</w:t>
      </w:r>
    </w:p>
    <w:p w14:paraId="58960CA3" w14:textId="77777777" w:rsidR="002E6E35" w:rsidRDefault="00052976" w:rsidP="006C1B05">
      <w:pPr>
        <w:pStyle w:val="TOC2"/>
        <w:tabs>
          <w:tab w:val="left" w:pos="360"/>
        </w:tabs>
        <w:rPr>
          <w:rFonts w:cs="Times New Roman"/>
        </w:rPr>
      </w:pPr>
      <w:r w:rsidRPr="00C77876">
        <w:rPr>
          <w:rFonts w:cs="Times New Roman"/>
        </w:rPr>
        <w:t>B.</w:t>
      </w:r>
      <w:r w:rsidRPr="00C77876">
        <w:rPr>
          <w:rFonts w:eastAsiaTheme="minorEastAsia" w:cs="Times New Roman"/>
        </w:rPr>
        <w:tab/>
      </w:r>
      <w:r w:rsidR="00EF0183">
        <w:rPr>
          <w:rFonts w:eastAsiaTheme="minorEastAsia" w:cs="Times New Roman"/>
        </w:rPr>
        <w:t>Additional</w:t>
      </w:r>
      <w:r w:rsidR="00707358" w:rsidRPr="00C77876">
        <w:rPr>
          <w:rFonts w:cs="Times New Roman"/>
        </w:rPr>
        <w:t xml:space="preserve"> 5G </w:t>
      </w:r>
      <w:r w:rsidRPr="00C77876">
        <w:rPr>
          <w:rFonts w:cs="Times New Roman"/>
        </w:rPr>
        <w:t>Considerations</w:t>
      </w:r>
      <w:r w:rsidRPr="00C77876">
        <w:rPr>
          <w:rFonts w:cs="Times New Roman"/>
        </w:rPr>
        <w:tab/>
      </w:r>
      <w:r w:rsidR="00EF0183">
        <w:rPr>
          <w:rFonts w:cs="Times New Roman"/>
        </w:rPr>
        <w:t>3</w:t>
      </w:r>
      <w:r w:rsidR="00805D26">
        <w:rPr>
          <w:rFonts w:cs="Times New Roman"/>
        </w:rPr>
        <w:t>2</w:t>
      </w:r>
    </w:p>
    <w:p w14:paraId="0F6FA00F" w14:textId="77777777" w:rsidR="002E6E35" w:rsidRDefault="002E6E35" w:rsidP="006C1B05">
      <w:pPr>
        <w:pStyle w:val="TOC3"/>
        <w:tabs>
          <w:tab w:val="left" w:pos="360"/>
        </w:tabs>
        <w:rPr>
          <w:rFonts w:cs="Times New Roman"/>
        </w:rPr>
      </w:pPr>
      <w:r w:rsidRPr="00BA4E08">
        <w:rPr>
          <w:rFonts w:cs="Times New Roman"/>
        </w:rPr>
        <w:t>1.</w:t>
      </w:r>
      <w:r w:rsidRPr="00BA4E08">
        <w:rPr>
          <w:rFonts w:eastAsiaTheme="minorEastAsia" w:cs="Times New Roman"/>
        </w:rPr>
        <w:tab/>
      </w:r>
      <w:r>
        <w:rPr>
          <w:rFonts w:eastAsiaTheme="minorEastAsia" w:cs="Times New Roman"/>
        </w:rPr>
        <w:t>Overview</w:t>
      </w:r>
      <w:r w:rsidRPr="00BA4E08">
        <w:rPr>
          <w:rFonts w:cs="Times New Roman"/>
        </w:rPr>
        <w:tab/>
      </w:r>
      <w:r w:rsidR="002E7741">
        <w:rPr>
          <w:rFonts w:cs="Times New Roman"/>
        </w:rPr>
        <w:t>3</w:t>
      </w:r>
      <w:r w:rsidR="00805D26">
        <w:rPr>
          <w:rFonts w:cs="Times New Roman"/>
        </w:rPr>
        <w:t>2</w:t>
      </w:r>
    </w:p>
    <w:p w14:paraId="485C26EE" w14:textId="77777777" w:rsidR="002E6E35" w:rsidRDefault="002E6E35" w:rsidP="006C1B05">
      <w:pPr>
        <w:pStyle w:val="TOC3"/>
        <w:tabs>
          <w:tab w:val="left" w:pos="360"/>
        </w:tabs>
        <w:rPr>
          <w:rFonts w:cs="Times New Roman"/>
        </w:rPr>
      </w:pPr>
      <w:r>
        <w:rPr>
          <w:rFonts w:cs="Times New Roman"/>
        </w:rPr>
        <w:t>2</w:t>
      </w:r>
      <w:r w:rsidRPr="00BA4E08">
        <w:rPr>
          <w:rFonts w:cs="Times New Roman"/>
        </w:rPr>
        <w:t>.</w:t>
      </w:r>
      <w:r w:rsidRPr="00BA4E08">
        <w:rPr>
          <w:rFonts w:eastAsiaTheme="minorEastAsia" w:cs="Times New Roman"/>
        </w:rPr>
        <w:tab/>
      </w:r>
      <w:r>
        <w:rPr>
          <w:rFonts w:eastAsiaTheme="minorEastAsia" w:cs="Times New Roman"/>
        </w:rPr>
        <w:t>Roles and Responsibilities</w:t>
      </w:r>
      <w:r w:rsidRPr="00BA4E08">
        <w:rPr>
          <w:rFonts w:cs="Times New Roman"/>
        </w:rPr>
        <w:tab/>
      </w:r>
      <w:r w:rsidR="00EF0183">
        <w:rPr>
          <w:rFonts w:cs="Times New Roman"/>
        </w:rPr>
        <w:t>3</w:t>
      </w:r>
      <w:r w:rsidR="00805D26">
        <w:rPr>
          <w:rFonts w:cs="Times New Roman"/>
        </w:rPr>
        <w:t>7</w:t>
      </w:r>
    </w:p>
    <w:p w14:paraId="124E5D3E" w14:textId="77777777" w:rsidR="00052976" w:rsidRDefault="002E6E35" w:rsidP="006C1B05">
      <w:pPr>
        <w:pStyle w:val="TOC3"/>
        <w:tabs>
          <w:tab w:val="left" w:pos="360"/>
        </w:tabs>
        <w:rPr>
          <w:rFonts w:cs="Times New Roman"/>
        </w:rPr>
      </w:pPr>
      <w:r>
        <w:rPr>
          <w:rFonts w:cs="Times New Roman"/>
        </w:rPr>
        <w:t>3</w:t>
      </w:r>
      <w:r w:rsidRPr="00BA4E08">
        <w:rPr>
          <w:rFonts w:cs="Times New Roman"/>
        </w:rPr>
        <w:t>.</w:t>
      </w:r>
      <w:r w:rsidRPr="00BA4E08">
        <w:rPr>
          <w:rFonts w:eastAsiaTheme="minorEastAsia" w:cs="Times New Roman"/>
        </w:rPr>
        <w:tab/>
      </w:r>
      <w:r>
        <w:rPr>
          <w:rFonts w:eastAsiaTheme="minorEastAsia" w:cs="Times New Roman"/>
        </w:rPr>
        <w:t>Other Considerations</w:t>
      </w:r>
      <w:r w:rsidRPr="00BA4E08">
        <w:rPr>
          <w:rFonts w:cs="Times New Roman"/>
        </w:rPr>
        <w:tab/>
      </w:r>
      <w:r w:rsidR="00805D26">
        <w:rPr>
          <w:rFonts w:cs="Times New Roman"/>
        </w:rPr>
        <w:t>40</w:t>
      </w:r>
    </w:p>
    <w:p w14:paraId="635BD2C3" w14:textId="77777777" w:rsidR="005230C1" w:rsidRPr="005230C1" w:rsidRDefault="005230C1" w:rsidP="005230C1">
      <w:pPr>
        <w:pStyle w:val="TOC3"/>
        <w:tabs>
          <w:tab w:val="left" w:pos="360"/>
        </w:tabs>
        <w:rPr>
          <w:rFonts w:cs="Times New Roman"/>
        </w:rPr>
      </w:pPr>
      <w:r>
        <w:rPr>
          <w:rFonts w:cs="Times New Roman"/>
        </w:rPr>
        <w:t>4</w:t>
      </w:r>
      <w:r w:rsidRPr="00BA4E08">
        <w:rPr>
          <w:rFonts w:cs="Times New Roman"/>
        </w:rPr>
        <w:t>.</w:t>
      </w:r>
      <w:r w:rsidRPr="00BA4E08">
        <w:rPr>
          <w:rFonts w:eastAsiaTheme="minorEastAsia" w:cs="Times New Roman"/>
        </w:rPr>
        <w:tab/>
      </w:r>
      <w:r w:rsidR="00BD095E">
        <w:rPr>
          <w:rFonts w:eastAsiaTheme="minorEastAsia" w:cs="Times New Roman"/>
        </w:rPr>
        <w:t>Benefits and Costs</w:t>
      </w:r>
      <w:r w:rsidRPr="00BA4E08">
        <w:rPr>
          <w:rFonts w:cs="Times New Roman"/>
        </w:rPr>
        <w:tab/>
      </w:r>
      <w:r>
        <w:rPr>
          <w:rFonts w:cs="Times New Roman"/>
        </w:rPr>
        <w:t>4</w:t>
      </w:r>
      <w:r w:rsidR="00CF6033">
        <w:rPr>
          <w:rFonts w:cs="Times New Roman"/>
        </w:rPr>
        <w:t>1</w:t>
      </w:r>
    </w:p>
    <w:p w14:paraId="54B1685E" w14:textId="556FCBC0" w:rsidR="00052976" w:rsidRPr="00C77876" w:rsidRDefault="00052976" w:rsidP="006C1B05">
      <w:pPr>
        <w:pStyle w:val="TOC2"/>
        <w:tabs>
          <w:tab w:val="left" w:pos="360"/>
        </w:tabs>
        <w:rPr>
          <w:rFonts w:eastAsiaTheme="minorEastAsia" w:cs="Times New Roman"/>
        </w:rPr>
      </w:pPr>
      <w:r w:rsidRPr="00C77876">
        <w:rPr>
          <w:rFonts w:cs="Times New Roman"/>
        </w:rPr>
        <w:t>C.</w:t>
      </w:r>
      <w:r w:rsidRPr="00C77876">
        <w:rPr>
          <w:rFonts w:eastAsiaTheme="minorEastAsia" w:cs="Times New Roman"/>
        </w:rPr>
        <w:tab/>
      </w:r>
      <w:r w:rsidR="00F46D31" w:rsidRPr="00C77876">
        <w:rPr>
          <w:rFonts w:cs="Times New Roman"/>
        </w:rPr>
        <w:t>5G Implications for</w:t>
      </w:r>
      <w:r w:rsidR="00F46D31" w:rsidRPr="00C77876">
        <w:rPr>
          <w:rFonts w:eastAsiaTheme="minorEastAsia" w:cs="Times New Roman"/>
        </w:rPr>
        <w:t xml:space="preserve"> </w:t>
      </w:r>
      <w:r w:rsidRPr="00C77876">
        <w:rPr>
          <w:rFonts w:cs="Times New Roman"/>
        </w:rPr>
        <w:t>Public Safety</w:t>
      </w:r>
      <w:r w:rsidRPr="00C77876">
        <w:rPr>
          <w:rFonts w:cs="Times New Roman"/>
        </w:rPr>
        <w:tab/>
      </w:r>
      <w:r w:rsidR="002E7741">
        <w:rPr>
          <w:rFonts w:cs="Times New Roman"/>
        </w:rPr>
        <w:t>4</w:t>
      </w:r>
      <w:r w:rsidR="0021503F">
        <w:rPr>
          <w:rFonts w:cs="Times New Roman"/>
        </w:rPr>
        <w:t>3</w:t>
      </w:r>
    </w:p>
    <w:p w14:paraId="34FDBCB5" w14:textId="7290C58B" w:rsidR="00052976" w:rsidRPr="00C77876" w:rsidRDefault="00052976" w:rsidP="006C1B05">
      <w:pPr>
        <w:pStyle w:val="TOC1"/>
        <w:rPr>
          <w:rFonts w:eastAsiaTheme="minorEastAsia" w:cs="Times New Roman"/>
          <w:caps w:val="0"/>
        </w:rPr>
      </w:pPr>
      <w:r w:rsidRPr="00C77876">
        <w:rPr>
          <w:rFonts w:cs="Times New Roman"/>
        </w:rPr>
        <w:t>III.</w:t>
      </w:r>
      <w:r w:rsidRPr="00C77876">
        <w:rPr>
          <w:rFonts w:eastAsiaTheme="minorEastAsia" w:cs="Times New Roman"/>
          <w:caps w:val="0"/>
        </w:rPr>
        <w:tab/>
      </w:r>
      <w:r w:rsidRPr="00C77876">
        <w:rPr>
          <w:rFonts w:cs="Times New Roman"/>
        </w:rPr>
        <w:t>Procedural Matters</w:t>
      </w:r>
      <w:r w:rsidRPr="00C77876">
        <w:rPr>
          <w:rFonts w:cs="Times New Roman"/>
        </w:rPr>
        <w:tab/>
      </w:r>
      <w:r w:rsidR="002E7741">
        <w:rPr>
          <w:rFonts w:cs="Times New Roman"/>
        </w:rPr>
        <w:t>4</w:t>
      </w:r>
      <w:r w:rsidR="00A216A4">
        <w:rPr>
          <w:rFonts w:cs="Times New Roman"/>
        </w:rPr>
        <w:t>5</w:t>
      </w:r>
    </w:p>
    <w:p w14:paraId="053D4E70" w14:textId="2D53703C" w:rsidR="00052976" w:rsidRPr="00C77876" w:rsidRDefault="00052976" w:rsidP="006C1B05">
      <w:pPr>
        <w:pStyle w:val="TOC2"/>
        <w:tabs>
          <w:tab w:val="left" w:pos="360"/>
        </w:tabs>
        <w:rPr>
          <w:rFonts w:eastAsiaTheme="minorEastAsia" w:cs="Times New Roman"/>
        </w:rPr>
      </w:pPr>
      <w:r w:rsidRPr="00C77876">
        <w:rPr>
          <w:rFonts w:cs="Times New Roman"/>
        </w:rPr>
        <w:t>A.</w:t>
      </w:r>
      <w:r w:rsidRPr="00C77876">
        <w:rPr>
          <w:rFonts w:eastAsiaTheme="minorEastAsia" w:cs="Times New Roman"/>
        </w:rPr>
        <w:tab/>
      </w:r>
      <w:r w:rsidRPr="00C56CC7">
        <w:rPr>
          <w:rFonts w:cs="Times New Roman"/>
          <w:i/>
        </w:rPr>
        <w:t>Ex Parte</w:t>
      </w:r>
      <w:r w:rsidRPr="00C77876">
        <w:rPr>
          <w:rFonts w:cs="Times New Roman"/>
        </w:rPr>
        <w:t xml:space="preserve"> Rules</w:t>
      </w:r>
      <w:r w:rsidRPr="00C77876">
        <w:rPr>
          <w:rFonts w:cs="Times New Roman"/>
        </w:rPr>
        <w:tab/>
      </w:r>
      <w:r w:rsidR="00CF6033">
        <w:rPr>
          <w:rFonts w:cs="Times New Roman"/>
        </w:rPr>
        <w:t>4</w:t>
      </w:r>
      <w:r w:rsidR="00A216A4">
        <w:rPr>
          <w:rFonts w:cs="Times New Roman"/>
        </w:rPr>
        <w:t>5</w:t>
      </w:r>
    </w:p>
    <w:p w14:paraId="1BF6DAA2" w14:textId="200309E0" w:rsidR="00052976" w:rsidRPr="00C77876" w:rsidRDefault="006E6C3A" w:rsidP="006C1B05">
      <w:pPr>
        <w:pStyle w:val="TOC2"/>
        <w:tabs>
          <w:tab w:val="left" w:pos="360"/>
        </w:tabs>
        <w:rPr>
          <w:rFonts w:eastAsiaTheme="minorEastAsia" w:cs="Times New Roman"/>
        </w:rPr>
      </w:pPr>
      <w:r w:rsidRPr="00C77876">
        <w:rPr>
          <w:rFonts w:cs="Times New Roman"/>
        </w:rPr>
        <w:t>B</w:t>
      </w:r>
      <w:r w:rsidR="00052976" w:rsidRPr="00C77876">
        <w:rPr>
          <w:rFonts w:cs="Times New Roman"/>
        </w:rPr>
        <w:t>.</w:t>
      </w:r>
      <w:r w:rsidR="00052976" w:rsidRPr="00C77876">
        <w:rPr>
          <w:rFonts w:eastAsiaTheme="minorEastAsia" w:cs="Times New Roman"/>
        </w:rPr>
        <w:tab/>
      </w:r>
      <w:r w:rsidR="00052976" w:rsidRPr="00C77876">
        <w:rPr>
          <w:rFonts w:cs="Times New Roman"/>
        </w:rPr>
        <w:t>Comment Period and Procedures</w:t>
      </w:r>
      <w:r w:rsidR="00052976" w:rsidRPr="00C77876">
        <w:rPr>
          <w:rFonts w:cs="Times New Roman"/>
        </w:rPr>
        <w:tab/>
      </w:r>
      <w:r w:rsidR="002E7741">
        <w:rPr>
          <w:rFonts w:cs="Times New Roman"/>
        </w:rPr>
        <w:t>4</w:t>
      </w:r>
      <w:r w:rsidR="00A216A4">
        <w:rPr>
          <w:rFonts w:cs="Times New Roman"/>
        </w:rPr>
        <w:t>6</w:t>
      </w:r>
    </w:p>
    <w:p w14:paraId="682E3850" w14:textId="778AD342" w:rsidR="00052976" w:rsidRPr="00C77876" w:rsidRDefault="006E6C3A" w:rsidP="006C1B05">
      <w:pPr>
        <w:pStyle w:val="TOC2"/>
        <w:tabs>
          <w:tab w:val="left" w:pos="360"/>
        </w:tabs>
        <w:rPr>
          <w:rFonts w:eastAsiaTheme="minorEastAsia" w:cs="Times New Roman"/>
        </w:rPr>
      </w:pPr>
      <w:r w:rsidRPr="00C77876">
        <w:rPr>
          <w:rFonts w:cs="Times New Roman"/>
        </w:rPr>
        <w:t>C</w:t>
      </w:r>
      <w:r w:rsidR="00052976" w:rsidRPr="00C77876">
        <w:rPr>
          <w:rFonts w:cs="Times New Roman"/>
        </w:rPr>
        <w:t>.</w:t>
      </w:r>
      <w:r w:rsidR="00052976" w:rsidRPr="00C77876">
        <w:rPr>
          <w:rFonts w:eastAsiaTheme="minorEastAsia" w:cs="Times New Roman"/>
        </w:rPr>
        <w:tab/>
      </w:r>
      <w:r w:rsidR="00052976" w:rsidRPr="00C77876">
        <w:rPr>
          <w:rFonts w:cs="Times New Roman"/>
        </w:rPr>
        <w:t>Accessible Formats</w:t>
      </w:r>
      <w:r w:rsidR="00052976" w:rsidRPr="00C77876">
        <w:rPr>
          <w:rFonts w:cs="Times New Roman"/>
        </w:rPr>
        <w:tab/>
      </w:r>
      <w:r w:rsidR="00CF6033">
        <w:rPr>
          <w:rFonts w:cs="Times New Roman"/>
        </w:rPr>
        <w:t>4</w:t>
      </w:r>
      <w:r w:rsidR="00A216A4">
        <w:rPr>
          <w:rFonts w:cs="Times New Roman"/>
        </w:rPr>
        <w:t>7</w:t>
      </w:r>
    </w:p>
    <w:p w14:paraId="50334F7F" w14:textId="51FB5D7C" w:rsidR="00052976" w:rsidRPr="00C77876" w:rsidRDefault="006E6C3A" w:rsidP="006C1B05">
      <w:pPr>
        <w:pStyle w:val="TOC2"/>
        <w:tabs>
          <w:tab w:val="left" w:pos="360"/>
        </w:tabs>
        <w:rPr>
          <w:rFonts w:eastAsiaTheme="minorEastAsia" w:cs="Times New Roman"/>
        </w:rPr>
      </w:pPr>
      <w:r w:rsidRPr="00C77876">
        <w:rPr>
          <w:rFonts w:cs="Times New Roman"/>
        </w:rPr>
        <w:t>D</w:t>
      </w:r>
      <w:r w:rsidR="00052976" w:rsidRPr="00C77876">
        <w:rPr>
          <w:rFonts w:cs="Times New Roman"/>
        </w:rPr>
        <w:t>.</w:t>
      </w:r>
      <w:r w:rsidR="00052976" w:rsidRPr="00C77876">
        <w:rPr>
          <w:rFonts w:eastAsiaTheme="minorEastAsia" w:cs="Times New Roman"/>
        </w:rPr>
        <w:tab/>
      </w:r>
      <w:r w:rsidR="00052976" w:rsidRPr="00C77876">
        <w:rPr>
          <w:rFonts w:cs="Times New Roman"/>
        </w:rPr>
        <w:t>Further Information</w:t>
      </w:r>
      <w:r w:rsidR="00052976" w:rsidRPr="00C77876">
        <w:rPr>
          <w:rFonts w:cs="Times New Roman"/>
        </w:rPr>
        <w:tab/>
      </w:r>
      <w:r w:rsidR="00CF6033">
        <w:rPr>
          <w:rFonts w:cs="Times New Roman"/>
        </w:rPr>
        <w:t>4</w:t>
      </w:r>
      <w:r w:rsidR="00A216A4">
        <w:rPr>
          <w:rFonts w:cs="Times New Roman"/>
        </w:rPr>
        <w:t>8</w:t>
      </w:r>
    </w:p>
    <w:p w14:paraId="5B7D8D55" w14:textId="309BB603" w:rsidR="00052976" w:rsidRPr="00C77876" w:rsidRDefault="00052976" w:rsidP="00E04769">
      <w:pPr>
        <w:pStyle w:val="TOC1"/>
        <w:spacing w:after="120"/>
        <w:rPr>
          <w:rFonts w:eastAsiaTheme="minorEastAsia" w:cs="Times New Roman"/>
          <w:caps w:val="0"/>
        </w:rPr>
      </w:pPr>
      <w:r w:rsidRPr="00C77876">
        <w:rPr>
          <w:rFonts w:cs="Times New Roman"/>
        </w:rPr>
        <w:t>IV. Ordering Clauses</w:t>
      </w:r>
      <w:r w:rsidRPr="00C77876">
        <w:rPr>
          <w:rFonts w:cs="Times New Roman"/>
        </w:rPr>
        <w:tab/>
      </w:r>
      <w:r w:rsidR="00A216A4">
        <w:rPr>
          <w:rFonts w:cs="Times New Roman"/>
        </w:rPr>
        <w:t>49</w:t>
      </w:r>
    </w:p>
    <w:p w14:paraId="7AA3D9AE" w14:textId="77777777" w:rsidR="00F548FB" w:rsidRPr="00C77876" w:rsidRDefault="00F72A26" w:rsidP="006C1B05">
      <w:pPr>
        <w:pStyle w:val="Heading1"/>
        <w:ind w:left="0" w:firstLine="0"/>
        <w:rPr>
          <w:rFonts w:ascii="Times New Roman" w:hAnsi="Times New Roman" w:cs="Times New Roman"/>
        </w:rPr>
      </w:pPr>
      <w:bookmarkStart w:id="42" w:name="_Toc461003991"/>
      <w:bookmarkStart w:id="43" w:name="_Toc461022034"/>
      <w:bookmarkStart w:id="44" w:name="_Toc461555035"/>
      <w:bookmarkStart w:id="45" w:name="_Toc462057100"/>
      <w:bookmarkStart w:id="46" w:name="_Toc464124731"/>
      <w:bookmarkStart w:id="47" w:name="_Toc464818714"/>
      <w:bookmarkStart w:id="48" w:name="_Toc464819252"/>
      <w:bookmarkStart w:id="49" w:name="_Toc464819401"/>
      <w:bookmarkStart w:id="50" w:name="_Toc465937270"/>
      <w:bookmarkStart w:id="51" w:name="_Toc466545189"/>
      <w:bookmarkStart w:id="52" w:name="_Toc466545458"/>
      <w:bookmarkEnd w:id="40"/>
      <w:r w:rsidRPr="00C77876">
        <w:rPr>
          <w:rFonts w:ascii="Times New Roman" w:hAnsi="Times New Roman" w:cs="Times New Roman"/>
        </w:rPr>
        <w:t>Introductio</w:t>
      </w:r>
      <w:r w:rsidR="004D33F5" w:rsidRPr="00C77876">
        <w:rPr>
          <w:rFonts w:ascii="Times New Roman" w:hAnsi="Times New Roman" w:cs="Times New Roman"/>
        </w:rPr>
        <w:t>n</w:t>
      </w:r>
      <w:bookmarkEnd w:id="42"/>
      <w:bookmarkEnd w:id="43"/>
      <w:bookmarkEnd w:id="44"/>
      <w:bookmarkEnd w:id="45"/>
      <w:bookmarkEnd w:id="46"/>
      <w:r w:rsidR="004D33F5" w:rsidRPr="00C77876">
        <w:rPr>
          <w:rFonts w:ascii="Times New Roman" w:hAnsi="Times New Roman" w:cs="Times New Roman"/>
        </w:rPr>
        <w:t xml:space="preserve"> and background</w:t>
      </w:r>
      <w:bookmarkEnd w:id="47"/>
      <w:bookmarkEnd w:id="48"/>
      <w:bookmarkEnd w:id="49"/>
      <w:bookmarkEnd w:id="50"/>
      <w:bookmarkEnd w:id="51"/>
      <w:bookmarkEnd w:id="52"/>
    </w:p>
    <w:p w14:paraId="7AE2E650" w14:textId="77777777" w:rsidR="00552342" w:rsidRPr="00C77876" w:rsidRDefault="00552342" w:rsidP="00460BE2">
      <w:pPr>
        <w:pStyle w:val="ParaNum"/>
        <w:tabs>
          <w:tab w:val="clear" w:pos="1080"/>
        </w:tabs>
        <w:rPr>
          <w:rFonts w:cs="Times New Roman"/>
        </w:rPr>
      </w:pPr>
      <w:bookmarkStart w:id="53" w:name="_Toc449604456"/>
      <w:bookmarkStart w:id="54" w:name="_Toc449613440"/>
      <w:bookmarkStart w:id="55" w:name="_Toc449614162"/>
      <w:bookmarkStart w:id="56" w:name="_Toc449616716"/>
      <w:bookmarkStart w:id="57" w:name="_Toc449685658"/>
      <w:bookmarkStart w:id="58" w:name="_Toc449685875"/>
      <w:bookmarkStart w:id="59" w:name="_Toc449686073"/>
      <w:bookmarkStart w:id="60" w:name="_Toc390933047"/>
      <w:bookmarkStart w:id="61" w:name="_Toc390933135"/>
      <w:bookmarkStart w:id="62" w:name="_Toc390959782"/>
      <w:bookmarkStart w:id="63" w:name="_Toc391033070"/>
      <w:bookmarkStart w:id="64" w:name="_Toc395097065"/>
      <w:bookmarkStart w:id="65" w:name="_Toc395097138"/>
      <w:bookmarkStart w:id="66" w:name="_Toc397005432"/>
      <w:bookmarkStart w:id="67" w:name="_Toc397007636"/>
      <w:bookmarkStart w:id="68" w:name="_Toc401153653"/>
      <w:bookmarkStart w:id="69" w:name="_Toc401153781"/>
      <w:bookmarkStart w:id="70" w:name="_Toc427854963"/>
      <w:bookmarkStart w:id="71" w:name="_Toc428885178"/>
      <w:bookmarkStart w:id="72" w:name="_Toc428885525"/>
      <w:bookmarkStart w:id="73" w:name="_Toc428885614"/>
      <w:bookmarkStart w:id="74" w:name="_Toc428885837"/>
      <w:bookmarkStart w:id="75" w:name="_Toc428885911"/>
      <w:bookmarkStart w:id="76" w:name="_Toc428886238"/>
      <w:bookmarkStart w:id="77" w:name="_Toc428886299"/>
      <w:bookmarkStart w:id="78" w:name="_Toc428886411"/>
      <w:bookmarkStart w:id="79" w:name="_Toc428887058"/>
      <w:bookmarkStart w:id="80" w:name="_Toc428890660"/>
      <w:r w:rsidRPr="00C77876">
        <w:rPr>
          <w:rFonts w:cs="Times New Roman"/>
        </w:rPr>
        <w:t xml:space="preserve">Fifth generation </w:t>
      </w:r>
      <w:r w:rsidR="001152B3" w:rsidRPr="00C77876">
        <w:rPr>
          <w:rFonts w:cs="Times New Roman"/>
        </w:rPr>
        <w:t xml:space="preserve">(5G) </w:t>
      </w:r>
      <w:r w:rsidRPr="00C77876">
        <w:rPr>
          <w:rFonts w:cs="Times New Roman"/>
        </w:rPr>
        <w:t xml:space="preserve">wireless </w:t>
      </w:r>
      <w:r w:rsidR="001152B3" w:rsidRPr="00C77876">
        <w:rPr>
          <w:rFonts w:cs="Times New Roman"/>
        </w:rPr>
        <w:t>technologies</w:t>
      </w:r>
      <w:r w:rsidRPr="00C77876">
        <w:rPr>
          <w:rFonts w:cs="Times New Roman"/>
        </w:rPr>
        <w:t xml:space="preserve"> represent the next evolutionary step in wireless communications.  These networks promise </w:t>
      </w:r>
      <w:r w:rsidR="00F86EAC" w:rsidRPr="00C77876">
        <w:rPr>
          <w:rFonts w:cs="Times New Roman"/>
        </w:rPr>
        <w:t xml:space="preserve">to enable or support </w:t>
      </w:r>
      <w:r w:rsidRPr="00C77876">
        <w:rPr>
          <w:rFonts w:cs="Times New Roman"/>
        </w:rPr>
        <w:t xml:space="preserve">a diverse range of new applications, and will </w:t>
      </w:r>
      <w:r w:rsidR="00262096" w:rsidRPr="00C77876">
        <w:rPr>
          <w:rFonts w:cs="Times New Roman"/>
        </w:rPr>
        <w:t xml:space="preserve">provide for </w:t>
      </w:r>
      <w:r w:rsidRPr="00C77876">
        <w:rPr>
          <w:rFonts w:cs="Times New Roman"/>
        </w:rPr>
        <w:t>a</w:t>
      </w:r>
      <w:r w:rsidR="00F86EAC" w:rsidRPr="00C77876">
        <w:rPr>
          <w:rFonts w:cs="Times New Roman"/>
        </w:rPr>
        <w:t xml:space="preserve"> vast</w:t>
      </w:r>
      <w:r w:rsidRPr="00C77876">
        <w:rPr>
          <w:rFonts w:cs="Times New Roman"/>
        </w:rPr>
        <w:t xml:space="preserve"> array </w:t>
      </w:r>
      <w:r w:rsidR="00F86EAC" w:rsidRPr="00C77876">
        <w:rPr>
          <w:rFonts w:cs="Times New Roman"/>
        </w:rPr>
        <w:t xml:space="preserve">of </w:t>
      </w:r>
      <w:r w:rsidRPr="00C77876">
        <w:rPr>
          <w:rFonts w:cs="Times New Roman"/>
        </w:rPr>
        <w:t xml:space="preserve">user requirements, traffic types, and connected devices.  5G communications </w:t>
      </w:r>
      <w:r w:rsidR="00F86EAC" w:rsidRPr="00C77876">
        <w:rPr>
          <w:rFonts w:cs="Times New Roman"/>
        </w:rPr>
        <w:t xml:space="preserve">technology </w:t>
      </w:r>
      <w:r w:rsidRPr="00C77876">
        <w:rPr>
          <w:rFonts w:cs="Times New Roman"/>
        </w:rPr>
        <w:t xml:space="preserve">could be particularly useful in </w:t>
      </w:r>
      <w:r w:rsidR="00CF1923" w:rsidRPr="00C77876">
        <w:rPr>
          <w:rFonts w:cs="Times New Roman"/>
        </w:rPr>
        <w:t xml:space="preserve">enabling </w:t>
      </w:r>
      <w:r w:rsidRPr="00C77876">
        <w:rPr>
          <w:rFonts w:cs="Times New Roman"/>
        </w:rPr>
        <w:t xml:space="preserve">the growing </w:t>
      </w:r>
      <w:r w:rsidRPr="00C77876">
        <w:rPr>
          <w:rFonts w:cs="Times New Roman"/>
        </w:rPr>
        <w:lastRenderedPageBreak/>
        <w:t>number of high-capacity networks necessary for transformative business and consumer services</w:t>
      </w:r>
      <w:r w:rsidR="00F86EAC" w:rsidRPr="00C77876">
        <w:rPr>
          <w:rFonts w:cs="Times New Roman"/>
        </w:rPr>
        <w:t>,</w:t>
      </w:r>
      <w:r w:rsidRPr="00C77876">
        <w:rPr>
          <w:rFonts w:cs="Times New Roman"/>
        </w:rPr>
        <w:t xml:space="preserve"> as well as backhaul</w:t>
      </w:r>
      <w:r w:rsidR="007B0A03" w:rsidRPr="00C77876">
        <w:rPr>
          <w:rFonts w:cs="Times New Roman"/>
        </w:rPr>
        <w:t>,</w:t>
      </w:r>
      <w:r w:rsidRPr="00C77876">
        <w:rPr>
          <w:rFonts w:cs="Times New Roman"/>
        </w:rPr>
        <w:t xml:space="preserve"> and</w:t>
      </w:r>
      <w:r w:rsidR="004435E3" w:rsidRPr="00C77876">
        <w:rPr>
          <w:rFonts w:cs="Times New Roman"/>
        </w:rPr>
        <w:t xml:space="preserve"> communications related to </w:t>
      </w:r>
      <w:r w:rsidR="00531DB8" w:rsidRPr="00C77876">
        <w:rPr>
          <w:rFonts w:cs="Times New Roman"/>
        </w:rPr>
        <w:t xml:space="preserve">the </w:t>
      </w:r>
      <w:r w:rsidR="004435E3" w:rsidRPr="00C77876">
        <w:rPr>
          <w:rFonts w:cs="Times New Roman"/>
        </w:rPr>
        <w:t>“Internet of Thing</w:t>
      </w:r>
      <w:r w:rsidR="00987F71" w:rsidRPr="00C77876">
        <w:rPr>
          <w:rFonts w:cs="Times New Roman"/>
        </w:rPr>
        <w:t>s</w:t>
      </w:r>
      <w:r w:rsidR="004435E3" w:rsidRPr="00C77876">
        <w:rPr>
          <w:rFonts w:cs="Times New Roman"/>
        </w:rPr>
        <w:t>” (IoT) technology.</w:t>
      </w:r>
      <w:r w:rsidRPr="00B36A19">
        <w:rPr>
          <w:rStyle w:val="FootnoteReference"/>
          <w:rFonts w:cs="Times New Roman"/>
          <w:sz w:val="22"/>
        </w:rPr>
        <w:footnoteReference w:id="2"/>
      </w:r>
    </w:p>
    <w:p w14:paraId="6DAA7FE0" w14:textId="77777777" w:rsidR="007B0A03" w:rsidRPr="00C77876" w:rsidRDefault="007B0A03" w:rsidP="00460BE2">
      <w:pPr>
        <w:pStyle w:val="ParaNum"/>
        <w:tabs>
          <w:tab w:val="clear" w:pos="1080"/>
        </w:tabs>
        <w:rPr>
          <w:rFonts w:cs="Times New Roman"/>
        </w:rPr>
      </w:pPr>
      <w:r w:rsidRPr="00C77876">
        <w:rPr>
          <w:rFonts w:cs="Times New Roman"/>
        </w:rPr>
        <w:t xml:space="preserve">5G has the potential to be an enormous driver of economic activity.  It is a </w:t>
      </w:r>
      <w:r w:rsidR="003325CF">
        <w:rPr>
          <w:rFonts w:cs="Times New Roman"/>
        </w:rPr>
        <w:t>n</w:t>
      </w:r>
      <w:r w:rsidRPr="00C77876">
        <w:rPr>
          <w:rFonts w:cs="Times New Roman"/>
        </w:rPr>
        <w:t xml:space="preserve">ational priority to foster an environment in which </w:t>
      </w:r>
      <w:r w:rsidR="001E3A05" w:rsidRPr="00C77876">
        <w:rPr>
          <w:rFonts w:cs="Times New Roman"/>
        </w:rPr>
        <w:t>5G</w:t>
      </w:r>
      <w:r w:rsidRPr="00C77876">
        <w:rPr>
          <w:rFonts w:cs="Times New Roman"/>
        </w:rPr>
        <w:t xml:space="preserve"> can be developed and deployed across the country.  That means both ensuring that networks are secure and that the regulatory obligations are measured.  We have an opportunity at this stage to ensure that these new technologies and networks are secure by design.  </w:t>
      </w:r>
      <w:r w:rsidR="00137BB9" w:rsidRPr="00C77876">
        <w:rPr>
          <w:rFonts w:cs="Times New Roman"/>
        </w:rPr>
        <w:t>Therefore, while the Commission is moving quickly to make the spectrum needed for 5G available in the near term,</w:t>
      </w:r>
      <w:r w:rsidR="00137BB9" w:rsidRPr="00B36A19">
        <w:rPr>
          <w:rStyle w:val="FootnoteReference"/>
          <w:rFonts w:cs="Times New Roman"/>
          <w:sz w:val="22"/>
        </w:rPr>
        <w:footnoteReference w:id="3"/>
      </w:r>
      <w:r w:rsidR="00137BB9" w:rsidRPr="00C77876">
        <w:rPr>
          <w:rFonts w:cs="Times New Roman"/>
        </w:rPr>
        <w:t xml:space="preserve"> it </w:t>
      </w:r>
      <w:r w:rsidRPr="00C77876">
        <w:rPr>
          <w:rFonts w:cs="Times New Roman"/>
        </w:rPr>
        <w:t xml:space="preserve">is </w:t>
      </w:r>
      <w:r w:rsidR="00137BB9" w:rsidRPr="00C77876">
        <w:rPr>
          <w:rFonts w:cs="Times New Roman"/>
        </w:rPr>
        <w:t xml:space="preserve">also </w:t>
      </w:r>
      <w:r w:rsidRPr="00C77876">
        <w:rPr>
          <w:rFonts w:cs="Times New Roman"/>
        </w:rPr>
        <w:t>seeking</w:t>
      </w:r>
      <w:r w:rsidR="00137BB9" w:rsidRPr="00C77876">
        <w:rPr>
          <w:rFonts w:cs="Times New Roman"/>
        </w:rPr>
        <w:t xml:space="preserve"> to accelerate the dialogue around the critical importance of the early incorporation of cybersecurity protections in 5G networks, services, and devices.  </w:t>
      </w:r>
    </w:p>
    <w:p w14:paraId="40F8951C" w14:textId="2520C36F" w:rsidR="001152B3" w:rsidRPr="00C77876" w:rsidRDefault="00137BB9" w:rsidP="00460BE2">
      <w:pPr>
        <w:pStyle w:val="ParaNum"/>
        <w:tabs>
          <w:tab w:val="clear" w:pos="1080"/>
        </w:tabs>
        <w:rPr>
          <w:rFonts w:cs="Times New Roman"/>
        </w:rPr>
      </w:pPr>
      <w:r w:rsidRPr="00C77876">
        <w:rPr>
          <w:rFonts w:cs="Times New Roman"/>
        </w:rPr>
        <w:t xml:space="preserve">In its July 2016 </w:t>
      </w:r>
      <w:r w:rsidRPr="00C77876">
        <w:rPr>
          <w:rFonts w:cs="Times New Roman"/>
          <w:i/>
        </w:rPr>
        <w:t>Spectrum Frontiers Report and Order</w:t>
      </w:r>
      <w:r w:rsidRPr="00C77876">
        <w:rPr>
          <w:rFonts w:cs="Times New Roman"/>
        </w:rPr>
        <w:t>, the Commission reiterated its view that communications providers are generally in the best position to evaluate and address security risks to network operations.</w:t>
      </w:r>
      <w:r w:rsidRPr="00B36A19">
        <w:rPr>
          <w:rStyle w:val="FootnoteReference"/>
          <w:rFonts w:cs="Times New Roman"/>
          <w:sz w:val="22"/>
        </w:rPr>
        <w:footnoteReference w:id="4"/>
      </w:r>
      <w:r w:rsidRPr="00C77876">
        <w:rPr>
          <w:rFonts w:cs="Times New Roman"/>
        </w:rPr>
        <w:t xml:space="preserve">  Toward this end, the Commission adopted a rule requiring </w:t>
      </w:r>
      <w:r w:rsidR="007B0A03" w:rsidRPr="00C77876">
        <w:rPr>
          <w:rFonts w:cs="Times New Roman"/>
        </w:rPr>
        <w:t xml:space="preserve">Upper Microwave Flexible Use Service </w:t>
      </w:r>
      <w:r w:rsidRPr="00C77876">
        <w:rPr>
          <w:rFonts w:cs="Times New Roman"/>
        </w:rPr>
        <w:t>licensees to submit general statements</w:t>
      </w:r>
      <w:r w:rsidR="005D3A91" w:rsidRPr="00C77876">
        <w:rPr>
          <w:rFonts w:cs="Times New Roman"/>
        </w:rPr>
        <w:t xml:space="preserve"> of their network security plans.  </w:t>
      </w:r>
      <w:r w:rsidR="005E3397" w:rsidRPr="00C77876">
        <w:rPr>
          <w:rFonts w:cs="Times New Roman"/>
        </w:rPr>
        <w:t xml:space="preserve">The statements are </w:t>
      </w:r>
      <w:r w:rsidR="001152B3" w:rsidRPr="00C77876">
        <w:rPr>
          <w:rFonts w:cs="Times New Roman"/>
        </w:rPr>
        <w:t>designed to encourage licensees to consider security in their new 5G networks</w:t>
      </w:r>
      <w:r w:rsidRPr="00C77876">
        <w:rPr>
          <w:rFonts w:cs="Times New Roman"/>
        </w:rPr>
        <w:t>.</w:t>
      </w:r>
      <w:r w:rsidRPr="00B36A19">
        <w:rPr>
          <w:rStyle w:val="FootnoteReference"/>
          <w:rFonts w:cs="Times New Roman"/>
          <w:sz w:val="22"/>
        </w:rPr>
        <w:footnoteReference w:id="5"/>
      </w:r>
      <w:r w:rsidRPr="00C77876">
        <w:rPr>
          <w:rFonts w:cs="Times New Roman"/>
        </w:rPr>
        <w:t xml:space="preserve">  The statements will also keep the Commission informed of ongoing progress in 5G cybersecurity</w:t>
      </w:r>
      <w:r w:rsidR="001152B3" w:rsidRPr="00C77876">
        <w:rPr>
          <w:rFonts w:cs="Times New Roman"/>
        </w:rPr>
        <w:t>.</w:t>
      </w:r>
      <w:r w:rsidR="00552342" w:rsidRPr="00C77876">
        <w:rPr>
          <w:rFonts w:cs="Times New Roman"/>
        </w:rPr>
        <w:t xml:space="preserve"> </w:t>
      </w:r>
      <w:r w:rsidR="003738A0" w:rsidRPr="00C77876">
        <w:rPr>
          <w:rFonts w:cs="Times New Roman"/>
        </w:rPr>
        <w:t xml:space="preserve"> </w:t>
      </w:r>
      <w:r w:rsidR="004B1B5C">
        <w:rPr>
          <w:rFonts w:cs="Times New Roman"/>
        </w:rPr>
        <w:t xml:space="preserve">The Public Safety and Homeland Security Bureau (PSHSB) issues this Notice of Inquiry (NOI) to seek </w:t>
      </w:r>
      <w:r w:rsidR="001152B3" w:rsidRPr="00C77876">
        <w:rPr>
          <w:rFonts w:cs="Times New Roman"/>
        </w:rPr>
        <w:t xml:space="preserve">input on the new issues </w:t>
      </w:r>
      <w:r w:rsidR="001E3A05" w:rsidRPr="00C77876">
        <w:rPr>
          <w:rFonts w:cs="Times New Roman"/>
        </w:rPr>
        <w:t xml:space="preserve">raised by </w:t>
      </w:r>
      <w:r w:rsidR="001152B3" w:rsidRPr="00C77876">
        <w:rPr>
          <w:rFonts w:cs="Times New Roman"/>
        </w:rPr>
        <w:t>5G security</w:t>
      </w:r>
      <w:r w:rsidR="001E3A05" w:rsidRPr="00C77876">
        <w:rPr>
          <w:rFonts w:cs="Times New Roman"/>
        </w:rPr>
        <w:t xml:space="preserve"> in order to</w:t>
      </w:r>
      <w:r w:rsidR="001152B3" w:rsidRPr="00C77876">
        <w:rPr>
          <w:rFonts w:cs="Times New Roman"/>
        </w:rPr>
        <w:t xml:space="preserve"> </w:t>
      </w:r>
      <w:r w:rsidR="00DB517D" w:rsidRPr="00C77876">
        <w:rPr>
          <w:rFonts w:cs="Times New Roman"/>
        </w:rPr>
        <w:t xml:space="preserve">foster dialogue between relevant standards bodies and prospective 5G providers on </w:t>
      </w:r>
      <w:r w:rsidR="001152B3" w:rsidRPr="00C77876">
        <w:rPr>
          <w:rFonts w:cs="Times New Roman"/>
        </w:rPr>
        <w:t>the best methods for ensuring that networks and devices are secure from the beginning.</w:t>
      </w:r>
      <w:r w:rsidR="004B1B5C" w:rsidRPr="00B36A19">
        <w:rPr>
          <w:rStyle w:val="FootnoteReference"/>
          <w:rFonts w:cs="Times New Roman"/>
          <w:sz w:val="22"/>
        </w:rPr>
        <w:footnoteReference w:id="6"/>
      </w:r>
      <w:r w:rsidR="004B1B5C" w:rsidRPr="00C77876">
        <w:rPr>
          <w:rFonts w:cs="Times New Roman"/>
        </w:rPr>
        <w:t xml:space="preserve"> </w:t>
      </w:r>
      <w:r w:rsidR="00DB517D" w:rsidRPr="00C77876">
        <w:rPr>
          <w:rFonts w:cs="Times New Roman"/>
        </w:rPr>
        <w:t xml:space="preserve"> </w:t>
      </w:r>
    </w:p>
    <w:p w14:paraId="1B7D19D5" w14:textId="77777777" w:rsidR="00552342" w:rsidRDefault="001152B3" w:rsidP="00460BE2">
      <w:pPr>
        <w:pStyle w:val="ParaNum"/>
        <w:tabs>
          <w:tab w:val="clear" w:pos="1080"/>
        </w:tabs>
        <w:rPr>
          <w:rFonts w:cs="Times New Roman"/>
        </w:rPr>
      </w:pPr>
      <w:r w:rsidRPr="00C77876">
        <w:rPr>
          <w:rFonts w:cs="Times New Roman"/>
        </w:rPr>
        <w:t xml:space="preserve">We are not conducting this NOI in a vacuum. </w:t>
      </w:r>
      <w:r w:rsidR="00C31A74">
        <w:rPr>
          <w:rFonts w:cs="Times New Roman"/>
        </w:rPr>
        <w:t xml:space="preserve"> </w:t>
      </w:r>
      <w:r w:rsidRPr="00C77876">
        <w:rPr>
          <w:rFonts w:cs="Times New Roman"/>
        </w:rPr>
        <w:t xml:space="preserve">We intend this inquiry </w:t>
      </w:r>
      <w:r w:rsidR="00137BB9" w:rsidRPr="00C77876">
        <w:rPr>
          <w:rFonts w:cs="Times New Roman"/>
        </w:rPr>
        <w:t>to complement</w:t>
      </w:r>
      <w:r w:rsidRPr="00C77876">
        <w:rPr>
          <w:rFonts w:cs="Times New Roman"/>
        </w:rPr>
        <w:t xml:space="preserve"> </w:t>
      </w:r>
      <w:r w:rsidR="00137BB9" w:rsidRPr="00C77876">
        <w:rPr>
          <w:rFonts w:cs="Times New Roman"/>
        </w:rPr>
        <w:t xml:space="preserve">the important work on cybersecurity that is already taking place within the </w:t>
      </w:r>
      <w:r w:rsidRPr="00C77876">
        <w:rPr>
          <w:rFonts w:cs="Times New Roman"/>
        </w:rPr>
        <w:t>government and private sector.</w:t>
      </w:r>
      <w:r w:rsidRPr="00B36A19">
        <w:rPr>
          <w:rStyle w:val="FootnoteReference"/>
          <w:rFonts w:cs="Times New Roman"/>
          <w:sz w:val="22"/>
        </w:rPr>
        <w:footnoteReference w:id="7"/>
      </w:r>
      <w:r w:rsidRPr="00C77876">
        <w:rPr>
          <w:rFonts w:cs="Times New Roman"/>
        </w:rPr>
        <w:t xml:space="preserve">  </w:t>
      </w:r>
      <w:r w:rsidR="00137BB9" w:rsidRPr="00C77876">
        <w:rPr>
          <w:rFonts w:cs="Times New Roman"/>
        </w:rPr>
        <w:t xml:space="preserve">The Commission, these other groups, and the wireless industry </w:t>
      </w:r>
      <w:r w:rsidR="00137BB9" w:rsidRPr="00C77876">
        <w:rPr>
          <w:rFonts w:cs="Times New Roman"/>
        </w:rPr>
        <w:lastRenderedPageBreak/>
        <w:t xml:space="preserve">all have a significant interest in ensuring </w:t>
      </w:r>
      <w:r w:rsidR="001E3A05" w:rsidRPr="00C77876">
        <w:rPr>
          <w:rFonts w:cs="Times New Roman"/>
        </w:rPr>
        <w:t xml:space="preserve">that </w:t>
      </w:r>
      <w:r w:rsidR="00137BB9" w:rsidRPr="00C77876">
        <w:rPr>
          <w:rFonts w:cs="Times New Roman"/>
        </w:rPr>
        <w:t xml:space="preserve">these new networks consider security risk and mitigation </w:t>
      </w:r>
      <w:r w:rsidR="00D258CF">
        <w:rPr>
          <w:rFonts w:cs="Times New Roman"/>
        </w:rPr>
        <w:t>techniques from the outset.</w:t>
      </w:r>
      <w:r w:rsidR="00137BB9" w:rsidRPr="00C77876">
        <w:rPr>
          <w:rFonts w:cs="Times New Roman"/>
        </w:rPr>
        <w:t xml:space="preserve">  This NOI, and the record it seeks to develop, will help in that effort.  </w:t>
      </w:r>
    </w:p>
    <w:p w14:paraId="2954BEDF" w14:textId="77777777" w:rsidR="00D92E3F" w:rsidRPr="00D92E3F" w:rsidRDefault="00D92E3F" w:rsidP="00460BE2">
      <w:pPr>
        <w:pStyle w:val="ParaNum"/>
        <w:tabs>
          <w:tab w:val="clear" w:pos="1080"/>
        </w:tabs>
        <w:rPr>
          <w:rFonts w:cs="Times New Roman"/>
        </w:rPr>
      </w:pPr>
      <w:r w:rsidRPr="00D92E3F">
        <w:rPr>
          <w:rFonts w:cs="Times New Roman"/>
        </w:rPr>
        <w:t>We recognize that our inquiry, focusing on cybersecurity for 5G, raises fundamental questions relative to scope and responsibilities.  Security of network infrastructure, such as protecting software and hardware that are essential to signaling and control of Radio Access Networks and to ensure the proper operation of the network, creates one perspective.  Another perspective, however, just as relevant to the consumer, is the end-to-end security of both the network and the devices that connect to commercial network services.  Devices and other network elements may be furnished by the service provider, third parties, and consumers themselves.</w:t>
      </w:r>
      <w:r w:rsidRPr="00D92E3F">
        <w:rPr>
          <w:rFonts w:cs="Times New Roman"/>
          <w:vertAlign w:val="superscript"/>
        </w:rPr>
        <w:footnoteReference w:id="8"/>
      </w:r>
      <w:r w:rsidRPr="00D92E3F">
        <w:rPr>
          <w:rFonts w:cs="Times New Roman"/>
          <w:vertAlign w:val="superscript"/>
        </w:rPr>
        <w:t xml:space="preserve"> </w:t>
      </w:r>
      <w:r>
        <w:rPr>
          <w:rFonts w:cs="Times New Roman"/>
        </w:rPr>
        <w:t xml:space="preserve">  </w:t>
      </w:r>
      <w:r w:rsidRPr="00D92E3F">
        <w:rPr>
          <w:rFonts w:cs="Times New Roman"/>
        </w:rPr>
        <w:t>Who should be responsible for cyber protections for a device</w:t>
      </w:r>
      <w:r>
        <w:rPr>
          <w:rFonts w:cs="Times New Roman"/>
        </w:rPr>
        <w:t xml:space="preserve">, or </w:t>
      </w:r>
      <w:r w:rsidRPr="00D92E3F">
        <w:rPr>
          <w:rFonts w:cs="Times New Roman"/>
        </w:rPr>
        <w:t xml:space="preserve">should responsibility be shared in some </w:t>
      </w:r>
      <w:r>
        <w:rPr>
          <w:rFonts w:cs="Times New Roman"/>
        </w:rPr>
        <w:t>r</w:t>
      </w:r>
      <w:r w:rsidRPr="00D92E3F">
        <w:rPr>
          <w:rFonts w:cs="Times New Roman"/>
        </w:rPr>
        <w:t>ecognizable manner across the 5G ecosystem?  We also appreciate that 5G is not apt to be a separate network, but rather will be integrated with existing previous generation networks, perhaps indefinitely.  Do questions about the cyber protections of 5G networks inherently implicate the other networks associated with them?  Where should the lines between networks be drawn relative to responsibility for 5G cybersecurity?  We invite comment on these and other questions related to scope in the context of the various specific topics discussed below.</w:t>
      </w:r>
    </w:p>
    <w:p w14:paraId="332B3738" w14:textId="77777777" w:rsidR="002466C5" w:rsidRPr="00C77876" w:rsidRDefault="003E3706" w:rsidP="00460BE2">
      <w:pPr>
        <w:pStyle w:val="Heading1"/>
        <w:ind w:left="0" w:firstLine="0"/>
        <w:rPr>
          <w:rFonts w:ascii="Times New Roman" w:hAnsi="Times New Roman" w:cs="Times New Roman"/>
        </w:rPr>
      </w:pPr>
      <w:bookmarkStart w:id="81" w:name="_Toc462057101"/>
      <w:bookmarkStart w:id="82" w:name="_Toc462057102"/>
      <w:bookmarkStart w:id="83" w:name="_Toc462057103"/>
      <w:bookmarkStart w:id="84" w:name="_Toc462057104"/>
      <w:bookmarkStart w:id="85" w:name="_Toc462057105"/>
      <w:bookmarkStart w:id="86" w:name="_Toc462057106"/>
      <w:bookmarkStart w:id="87" w:name="_Toc462057107"/>
      <w:bookmarkStart w:id="88" w:name="_Toc462057108"/>
      <w:bookmarkStart w:id="89" w:name="_Toc462057109"/>
      <w:bookmarkStart w:id="90" w:name="_Toc462057110"/>
      <w:bookmarkStart w:id="91" w:name="_Toc462057111"/>
      <w:bookmarkStart w:id="92" w:name="_Toc462057115"/>
      <w:bookmarkStart w:id="93" w:name="_Toc462057116"/>
      <w:bookmarkStart w:id="94" w:name="_Toc462057117"/>
      <w:bookmarkStart w:id="95" w:name="_Toc466545190"/>
      <w:bookmarkStart w:id="96" w:name="_Toc466545459"/>
      <w:bookmarkStart w:id="97" w:name="_Toc45972025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C77876">
        <w:rPr>
          <w:rFonts w:ascii="Times New Roman" w:hAnsi="Times New Roman" w:cs="Times New Roman"/>
        </w:rPr>
        <w:lastRenderedPageBreak/>
        <w:t>inquiry</w:t>
      </w:r>
      <w:bookmarkEnd w:id="95"/>
      <w:bookmarkEnd w:id="96"/>
    </w:p>
    <w:p w14:paraId="1BF240C1" w14:textId="77777777" w:rsidR="00DD2021" w:rsidRPr="00C77876" w:rsidRDefault="008479C2" w:rsidP="00460BE2">
      <w:pPr>
        <w:pStyle w:val="ParaNum"/>
        <w:tabs>
          <w:tab w:val="clear" w:pos="1080"/>
        </w:tabs>
        <w:rPr>
          <w:rFonts w:cs="Times New Roman"/>
        </w:rPr>
      </w:pPr>
      <w:bookmarkStart w:id="98" w:name="_Toc459984679"/>
      <w:bookmarkStart w:id="99" w:name="_Toc459720253"/>
      <w:r w:rsidRPr="00C77876">
        <w:rPr>
          <w:rFonts w:cs="Times New Roman"/>
        </w:rPr>
        <w:t>This NOI</w:t>
      </w:r>
      <w:r w:rsidR="009C2E43" w:rsidRPr="00C77876">
        <w:rPr>
          <w:rFonts w:cs="Times New Roman"/>
        </w:rPr>
        <w:t xml:space="preserve"> look</w:t>
      </w:r>
      <w:r w:rsidRPr="00C77876">
        <w:rPr>
          <w:rFonts w:cs="Times New Roman"/>
        </w:rPr>
        <w:t>s</w:t>
      </w:r>
      <w:r w:rsidR="009C2E43" w:rsidRPr="00C77876">
        <w:rPr>
          <w:rFonts w:cs="Times New Roman"/>
        </w:rPr>
        <w:t xml:space="preserve"> holistically at the</w:t>
      </w:r>
      <w:r w:rsidR="00AE0C60" w:rsidRPr="00C77876">
        <w:rPr>
          <w:rFonts w:cs="Times New Roman"/>
        </w:rPr>
        <w:t xml:space="preserve"> security implications </w:t>
      </w:r>
      <w:r w:rsidR="004F352A" w:rsidRPr="004F352A">
        <w:rPr>
          <w:rFonts w:cs="Times New Roman"/>
        </w:rPr>
        <w:t>(</w:t>
      </w:r>
      <w:r w:rsidR="004F352A" w:rsidRPr="00C56CC7">
        <w:rPr>
          <w:rFonts w:cs="Times New Roman"/>
          <w:i/>
        </w:rPr>
        <w:t>e.g.</w:t>
      </w:r>
      <w:r w:rsidR="004F352A" w:rsidRPr="004F352A">
        <w:rPr>
          <w:rFonts w:cs="Times New Roman"/>
        </w:rPr>
        <w:t xml:space="preserve">, as to IoT) </w:t>
      </w:r>
      <w:r w:rsidR="00AE0C60" w:rsidRPr="00C77876">
        <w:rPr>
          <w:rFonts w:cs="Times New Roman"/>
        </w:rPr>
        <w:t xml:space="preserve">that arise </w:t>
      </w:r>
      <w:r w:rsidR="009D30E8" w:rsidRPr="00C77876">
        <w:rPr>
          <w:rFonts w:cs="Times New Roman"/>
        </w:rPr>
        <w:t xml:space="preserve">through </w:t>
      </w:r>
      <w:r w:rsidR="00AE0C60" w:rsidRPr="00C77876">
        <w:rPr>
          <w:rFonts w:cs="Times New Roman"/>
        </w:rPr>
        <w:t xml:space="preserve">the provision of </w:t>
      </w:r>
      <w:r w:rsidR="00D258CF">
        <w:rPr>
          <w:rFonts w:cs="Times New Roman"/>
        </w:rPr>
        <w:t xml:space="preserve">a wide variety </w:t>
      </w:r>
      <w:r w:rsidR="00AE0C60" w:rsidRPr="00C77876">
        <w:rPr>
          <w:rFonts w:cs="Times New Roman"/>
        </w:rPr>
        <w:t xml:space="preserve">of services to </w:t>
      </w:r>
      <w:r w:rsidR="00D258CF">
        <w:rPr>
          <w:rFonts w:cs="Times New Roman"/>
        </w:rPr>
        <w:t xml:space="preserve">various market sectors and users </w:t>
      </w:r>
      <w:r w:rsidR="00AE0C60" w:rsidRPr="00C77876">
        <w:rPr>
          <w:rFonts w:cs="Times New Roman"/>
        </w:rPr>
        <w:t>in the future 5G network environment.</w:t>
      </w:r>
      <w:r w:rsidR="00262096" w:rsidRPr="00C77876">
        <w:rPr>
          <w:rFonts w:cs="Times New Roman"/>
          <w:vertAlign w:val="superscript"/>
        </w:rPr>
        <w:footnoteReference w:id="9"/>
      </w:r>
      <w:r w:rsidR="00AE0C60" w:rsidRPr="00C77876">
        <w:rPr>
          <w:rFonts w:cs="Times New Roman"/>
        </w:rPr>
        <w:t xml:space="preserve"> </w:t>
      </w:r>
      <w:r w:rsidR="00D92E3F">
        <w:rPr>
          <w:rFonts w:cs="Times New Roman"/>
        </w:rPr>
        <w:t xml:space="preserve"> </w:t>
      </w:r>
      <w:r w:rsidR="00AE0C60" w:rsidRPr="00C77876">
        <w:rPr>
          <w:rFonts w:cs="Times New Roman"/>
        </w:rPr>
        <w:t>We also explore 5G security threats,</w:t>
      </w:r>
      <w:r w:rsidR="008C42FD">
        <w:rPr>
          <w:rFonts w:cs="Times New Roman"/>
        </w:rPr>
        <w:t xml:space="preserve"> solutions, and best practices.</w:t>
      </w:r>
      <w:r w:rsidR="00CC0CA8" w:rsidRPr="00B36A19">
        <w:rPr>
          <w:rStyle w:val="FootnoteReference"/>
          <w:rFonts w:cs="Times New Roman"/>
          <w:sz w:val="22"/>
        </w:rPr>
        <w:footnoteReference w:id="10"/>
      </w:r>
      <w:r w:rsidR="00CC0CA8" w:rsidRPr="00C77876">
        <w:rPr>
          <w:rFonts w:cs="Times New Roman"/>
        </w:rPr>
        <w:t xml:space="preserve">  </w:t>
      </w:r>
      <w:r w:rsidR="00877D44" w:rsidRPr="00C77876">
        <w:rPr>
          <w:rFonts w:cs="Times New Roman"/>
        </w:rPr>
        <w:t>B</w:t>
      </w:r>
      <w:r w:rsidR="00CC0CA8" w:rsidRPr="00C77876">
        <w:rPr>
          <w:rFonts w:cs="Times New Roman"/>
        </w:rPr>
        <w:t>y “confidentiality,” “integrity,” and “</w:t>
      </w:r>
      <w:r w:rsidR="002B0A4C" w:rsidRPr="00C77876">
        <w:rPr>
          <w:rFonts w:cs="Times New Roman"/>
        </w:rPr>
        <w:t>availability,” or “CIA,”</w:t>
      </w:r>
      <w:r w:rsidR="00CC0CA8" w:rsidRPr="00C77876">
        <w:rPr>
          <w:rFonts w:cs="Times New Roman"/>
        </w:rPr>
        <w:t xml:space="preserve"> we mean those three interrelated, and dynamic principles </w:t>
      </w:r>
      <w:r w:rsidR="002B0A4C" w:rsidRPr="00C77876">
        <w:rPr>
          <w:rFonts w:cs="Times New Roman"/>
        </w:rPr>
        <w:t xml:space="preserve">(“CIA principles”) </w:t>
      </w:r>
      <w:r w:rsidR="00CC0CA8" w:rsidRPr="00C77876">
        <w:rPr>
          <w:rFonts w:cs="Times New Roman"/>
        </w:rPr>
        <w:t xml:space="preserve">that collectively guide security practices and illustrate the various considerations that must be </w:t>
      </w:r>
      <w:r w:rsidR="008332CB" w:rsidRPr="00C77876">
        <w:rPr>
          <w:rFonts w:cs="Times New Roman"/>
        </w:rPr>
        <w:t>applied</w:t>
      </w:r>
      <w:r w:rsidR="00CC0CA8" w:rsidRPr="00C77876">
        <w:rPr>
          <w:rFonts w:cs="Times New Roman"/>
        </w:rPr>
        <w:t xml:space="preserve"> when developing a security posture </w:t>
      </w:r>
      <w:r w:rsidR="006D6362" w:rsidRPr="00C77876">
        <w:rPr>
          <w:rFonts w:cs="Times New Roman"/>
        </w:rPr>
        <w:t xml:space="preserve">for </w:t>
      </w:r>
      <w:r w:rsidR="00CC0CA8" w:rsidRPr="00C77876">
        <w:rPr>
          <w:rFonts w:cs="Times New Roman"/>
        </w:rPr>
        <w:t>communications technolog</w:t>
      </w:r>
      <w:r w:rsidR="00D258CF">
        <w:rPr>
          <w:rFonts w:cs="Times New Roman"/>
        </w:rPr>
        <w:t>ies and services</w:t>
      </w:r>
      <w:r w:rsidR="00CC0CA8" w:rsidRPr="00C77876">
        <w:rPr>
          <w:rFonts w:cs="Times New Roman"/>
        </w:rPr>
        <w:t>.</w:t>
      </w:r>
      <w:r w:rsidR="00CC0CA8" w:rsidRPr="00B36A19">
        <w:rPr>
          <w:rStyle w:val="FootnoteReference"/>
          <w:rFonts w:cs="Times New Roman"/>
          <w:sz w:val="22"/>
        </w:rPr>
        <w:footnoteReference w:id="11"/>
      </w:r>
    </w:p>
    <w:p w14:paraId="37AAE4AF" w14:textId="77777777" w:rsidR="00D372AB" w:rsidRPr="00C77876" w:rsidRDefault="00D372AB" w:rsidP="00460BE2">
      <w:pPr>
        <w:pStyle w:val="ParaNum"/>
        <w:tabs>
          <w:tab w:val="clear" w:pos="1080"/>
        </w:tabs>
        <w:rPr>
          <w:rFonts w:cs="Times New Roman"/>
        </w:rPr>
      </w:pPr>
      <w:bookmarkStart w:id="100" w:name="_Toc461003996"/>
      <w:r w:rsidRPr="00C77876">
        <w:rPr>
          <w:rFonts w:cs="Times New Roman"/>
        </w:rPr>
        <w:t xml:space="preserve">As an initial matter, we seek to understand the </w:t>
      </w:r>
      <w:r w:rsidR="002B269C" w:rsidRPr="00C77876">
        <w:rPr>
          <w:rFonts w:cs="Times New Roman"/>
        </w:rPr>
        <w:t xml:space="preserve">current </w:t>
      </w:r>
      <w:r w:rsidRPr="00C77876">
        <w:rPr>
          <w:rFonts w:cs="Times New Roman"/>
        </w:rPr>
        <w:t>state of</w:t>
      </w:r>
      <w:r w:rsidR="00262096" w:rsidRPr="00C77876">
        <w:rPr>
          <w:rFonts w:cs="Times New Roman"/>
        </w:rPr>
        <w:t xml:space="preserve"> </w:t>
      </w:r>
      <w:r w:rsidR="002B269C" w:rsidRPr="00C77876">
        <w:rPr>
          <w:rFonts w:cs="Times New Roman"/>
        </w:rPr>
        <w:t>security planning for 5G networks.</w:t>
      </w:r>
      <w:r w:rsidR="009F700F" w:rsidRPr="00C34B90">
        <w:rPr>
          <w:rFonts w:cs="Times New Roman"/>
        </w:rPr>
        <w:t xml:space="preserve">  </w:t>
      </w:r>
      <w:r w:rsidRPr="00C77876">
        <w:rPr>
          <w:rFonts w:cs="Times New Roman"/>
        </w:rPr>
        <w:t xml:space="preserve">We must first build a solid foundation of facts about 5G security in order to further identify potential issue areas and solutions.  We seek comment on the current </w:t>
      </w:r>
      <w:r w:rsidR="009D30E8" w:rsidRPr="00C77876">
        <w:rPr>
          <w:rFonts w:cs="Times New Roman"/>
        </w:rPr>
        <w:t>efforts</w:t>
      </w:r>
      <w:r w:rsidRPr="00C77876">
        <w:rPr>
          <w:rFonts w:cs="Times New Roman"/>
        </w:rPr>
        <w:t xml:space="preserve"> across industry to study 5G security, develop security protocols and solutions, and triage 5G security issues when the</w:t>
      </w:r>
      <w:r w:rsidR="009D30E8" w:rsidRPr="00C77876">
        <w:rPr>
          <w:rFonts w:cs="Times New Roman"/>
        </w:rPr>
        <w:t>y</w:t>
      </w:r>
      <w:r w:rsidRPr="00C77876">
        <w:rPr>
          <w:rFonts w:cs="Times New Roman"/>
        </w:rPr>
        <w:t xml:space="preserve"> arise.  How are equipment developers considering security in the design of 5G equipment?  How are service providers considering security in the planning of 5G networks</w:t>
      </w:r>
      <w:r w:rsidR="009D30E8" w:rsidRPr="00C77876">
        <w:rPr>
          <w:rFonts w:cs="Times New Roman"/>
        </w:rPr>
        <w:t xml:space="preserve"> and</w:t>
      </w:r>
      <w:r w:rsidR="00134FB8" w:rsidRPr="00C77876">
        <w:rPr>
          <w:rFonts w:cs="Times New Roman"/>
        </w:rPr>
        <w:t xml:space="preserve"> ensuring end-to-end security </w:t>
      </w:r>
      <w:r w:rsidR="00D258CF" w:rsidRPr="00C77876">
        <w:rPr>
          <w:rFonts w:cs="Times New Roman"/>
        </w:rPr>
        <w:t xml:space="preserve">where 5G technology is integrated with prior generation technology </w:t>
      </w:r>
      <w:r w:rsidR="00134FB8" w:rsidRPr="00C77876">
        <w:rPr>
          <w:rFonts w:cs="Times New Roman"/>
        </w:rPr>
        <w:t xml:space="preserve">in heterogeneous networks?  </w:t>
      </w:r>
      <w:r w:rsidRPr="00C77876">
        <w:rPr>
          <w:rFonts w:cs="Times New Roman"/>
        </w:rPr>
        <w:t>How can the Commission support and enhance this work?  Wha</w:t>
      </w:r>
      <w:r w:rsidR="004B625A" w:rsidRPr="00C77876">
        <w:rPr>
          <w:rFonts w:cs="Times New Roman"/>
        </w:rPr>
        <w:t>t known vulnerabilities require</w:t>
      </w:r>
      <w:r w:rsidRPr="00C77876">
        <w:rPr>
          <w:rFonts w:cs="Times New Roman"/>
        </w:rPr>
        <w:t xml:space="preserve"> increased study?</w:t>
      </w:r>
      <w:r w:rsidR="0027146C" w:rsidRPr="00C34B90">
        <w:rPr>
          <w:rFonts w:cs="Times New Roman"/>
        </w:rPr>
        <w:t xml:space="preserve">  How should 5G differ </w:t>
      </w:r>
      <w:r w:rsidR="0027146C" w:rsidRPr="00C34B90">
        <w:rPr>
          <w:rFonts w:cs="Times New Roman"/>
        </w:rPr>
        <w:lastRenderedPageBreak/>
        <w:t>in terms of</w:t>
      </w:r>
      <w:r w:rsidR="00C34B90" w:rsidRPr="00C34B90">
        <w:rPr>
          <w:rFonts w:cs="Times New Roman"/>
        </w:rPr>
        <w:t xml:space="preserve"> cybersecurity needs from its widely-deployed predecessor generation, 4G LTE?  </w:t>
      </w:r>
      <w:r w:rsidR="00C34B90">
        <w:rPr>
          <w:rFonts w:cs="Times New Roman"/>
        </w:rPr>
        <w:t>W</w:t>
      </w:r>
      <w:r w:rsidR="0027146C" w:rsidRPr="00C34B90">
        <w:rPr>
          <w:rFonts w:cs="Times New Roman"/>
        </w:rPr>
        <w:t xml:space="preserve">hat cybersecurity lessons </w:t>
      </w:r>
      <w:r w:rsidR="00C34B90">
        <w:rPr>
          <w:rFonts w:cs="Times New Roman"/>
        </w:rPr>
        <w:t xml:space="preserve">can be learned </w:t>
      </w:r>
      <w:r w:rsidR="0027146C" w:rsidRPr="00C34B90">
        <w:rPr>
          <w:rFonts w:cs="Times New Roman"/>
        </w:rPr>
        <w:t xml:space="preserve">from 4G deployment and operational experience that are applicable to the </w:t>
      </w:r>
      <w:r w:rsidR="00EB00F3">
        <w:rPr>
          <w:rFonts w:cs="Times New Roman"/>
        </w:rPr>
        <w:t>5</w:t>
      </w:r>
      <w:r w:rsidR="0027146C" w:rsidRPr="00C34B90">
        <w:rPr>
          <w:rFonts w:cs="Times New Roman"/>
        </w:rPr>
        <w:t>G security environment?  What should be different, if anything, between LTE pre-5G deployment and pos</w:t>
      </w:r>
      <w:r w:rsidR="00EB00F3">
        <w:rPr>
          <w:rFonts w:cs="Times New Roman"/>
        </w:rPr>
        <w:t>t-5G</w:t>
      </w:r>
      <w:r w:rsidR="0027146C" w:rsidRPr="00C34B90">
        <w:rPr>
          <w:rFonts w:cs="Times New Roman"/>
        </w:rPr>
        <w:t xml:space="preserve"> deployment?   </w:t>
      </w:r>
    </w:p>
    <w:p w14:paraId="3213ECBC" w14:textId="77777777" w:rsidR="00D372AB" w:rsidRPr="00C77876" w:rsidRDefault="00D92E3F" w:rsidP="00460BE2">
      <w:pPr>
        <w:pStyle w:val="ParaNum"/>
        <w:tabs>
          <w:tab w:val="clear" w:pos="1080"/>
        </w:tabs>
        <w:rPr>
          <w:rFonts w:cs="Times New Roman"/>
        </w:rPr>
      </w:pPr>
      <w:r>
        <w:rPr>
          <w:rFonts w:cs="Times New Roman"/>
        </w:rPr>
        <w:t xml:space="preserve">In this NOI, </w:t>
      </w:r>
      <w:r w:rsidR="00D372AB" w:rsidRPr="00C77876">
        <w:rPr>
          <w:rFonts w:cs="Times New Roman"/>
        </w:rPr>
        <w:t xml:space="preserve">we seek </w:t>
      </w:r>
      <w:r w:rsidR="009D09CF">
        <w:rPr>
          <w:rFonts w:cs="Times New Roman"/>
        </w:rPr>
        <w:t>information o</w:t>
      </w:r>
      <w:r w:rsidR="00D372AB" w:rsidRPr="00C77876">
        <w:rPr>
          <w:rFonts w:cs="Times New Roman"/>
        </w:rPr>
        <w:t>n a variety of specific security-related issues.  We do not, however, limit our inquiry to these narrow topics.  Instead, we encourage commenters to consider this common thread throughout the NOI:  how can we, working together</w:t>
      </w:r>
      <w:r w:rsidR="009D09CF">
        <w:rPr>
          <w:rFonts w:cs="Times New Roman"/>
        </w:rPr>
        <w:t xml:space="preserve"> with other stakeholders</w:t>
      </w:r>
      <w:r w:rsidR="00D372AB" w:rsidRPr="00C77876">
        <w:rPr>
          <w:rFonts w:cs="Times New Roman"/>
        </w:rPr>
        <w:t>, ensure the rapid deployment of secure 5</w:t>
      </w:r>
      <w:r w:rsidR="00134FB8" w:rsidRPr="00C77876">
        <w:rPr>
          <w:rFonts w:cs="Times New Roman"/>
        </w:rPr>
        <w:t>G</w:t>
      </w:r>
      <w:r w:rsidR="00D372AB" w:rsidRPr="00C77876">
        <w:rPr>
          <w:rFonts w:cs="Times New Roman"/>
        </w:rPr>
        <w:t xml:space="preserve"> networks, services, and technologies</w:t>
      </w:r>
      <w:r w:rsidR="000B7708" w:rsidRPr="00C77876">
        <w:rPr>
          <w:rFonts w:cs="Times New Roman"/>
        </w:rPr>
        <w:t>?</w:t>
      </w:r>
    </w:p>
    <w:p w14:paraId="416DB5FF" w14:textId="77777777" w:rsidR="005C7396" w:rsidRPr="00075D72" w:rsidRDefault="005C7396" w:rsidP="00460BE2">
      <w:pPr>
        <w:pStyle w:val="Heading2"/>
      </w:pPr>
      <w:bookmarkStart w:id="101" w:name="_Toc465937272"/>
      <w:bookmarkStart w:id="102" w:name="_Toc466545191"/>
      <w:bookmarkStart w:id="103" w:name="_Toc466545460"/>
      <w:r w:rsidRPr="00075D72">
        <w:t>Pr</w:t>
      </w:r>
      <w:r w:rsidR="00892AC3" w:rsidRPr="00075D72">
        <w:t>otecting</w:t>
      </w:r>
      <w:r w:rsidRPr="00075D72">
        <w:t xml:space="preserve"> Confidentiality</w:t>
      </w:r>
      <w:r w:rsidR="000B2B84" w:rsidRPr="00075D72">
        <w:t xml:space="preserve">, </w:t>
      </w:r>
      <w:r w:rsidRPr="00075D72">
        <w:t>Integrity</w:t>
      </w:r>
      <w:r w:rsidR="00892AC3" w:rsidRPr="00075D72">
        <w:t>,</w:t>
      </w:r>
      <w:r w:rsidRPr="00075D72">
        <w:t xml:space="preserve"> </w:t>
      </w:r>
      <w:r w:rsidR="000B2B84" w:rsidRPr="00075D72">
        <w:t>and Availability</w:t>
      </w:r>
      <w:bookmarkEnd w:id="101"/>
      <w:bookmarkEnd w:id="102"/>
      <w:bookmarkEnd w:id="103"/>
    </w:p>
    <w:p w14:paraId="28EBDF57" w14:textId="77777777" w:rsidR="005919A7" w:rsidRPr="00C77876" w:rsidRDefault="00B149BC" w:rsidP="00460BE2">
      <w:pPr>
        <w:pStyle w:val="ParaNum"/>
        <w:tabs>
          <w:tab w:val="clear" w:pos="1080"/>
        </w:tabs>
        <w:rPr>
          <w:rFonts w:cs="Times New Roman"/>
        </w:rPr>
      </w:pPr>
      <w:r w:rsidRPr="00C77876">
        <w:rPr>
          <w:rFonts w:cs="Times New Roman"/>
        </w:rPr>
        <w:t xml:space="preserve">As the Commission indicated in the </w:t>
      </w:r>
      <w:r w:rsidRPr="00C77876">
        <w:rPr>
          <w:rFonts w:cs="Times New Roman"/>
          <w:i/>
        </w:rPr>
        <w:t xml:space="preserve">Spectrum Frontiers Report and Order, </w:t>
      </w:r>
      <w:r w:rsidR="00D92E3F">
        <w:rPr>
          <w:rFonts w:cs="Times New Roman"/>
        </w:rPr>
        <w:t>we seek</w:t>
      </w:r>
      <w:r w:rsidR="00555484" w:rsidRPr="00C77876">
        <w:rPr>
          <w:rFonts w:cs="Times New Roman"/>
        </w:rPr>
        <w:t xml:space="preserve"> </w:t>
      </w:r>
      <w:r w:rsidR="00250226" w:rsidRPr="00C77876">
        <w:rPr>
          <w:rFonts w:cs="Times New Roman"/>
        </w:rPr>
        <w:t xml:space="preserve">to </w:t>
      </w:r>
      <w:r w:rsidR="00F70F58" w:rsidRPr="00C77876">
        <w:rPr>
          <w:rFonts w:cs="Times New Roman"/>
        </w:rPr>
        <w:t>promote</w:t>
      </w:r>
      <w:r w:rsidR="00250226" w:rsidRPr="00C77876">
        <w:rPr>
          <w:rFonts w:cs="Times New Roman"/>
        </w:rPr>
        <w:t xml:space="preserve"> 5G security through </w:t>
      </w:r>
      <w:r w:rsidR="00555484" w:rsidRPr="00C77876">
        <w:rPr>
          <w:rFonts w:cs="Times New Roman"/>
        </w:rPr>
        <w:t xml:space="preserve">a </w:t>
      </w:r>
      <w:r w:rsidRPr="00C77876">
        <w:rPr>
          <w:rFonts w:cs="Times New Roman"/>
        </w:rPr>
        <w:t>“</w:t>
      </w:r>
      <w:r w:rsidR="00555484" w:rsidRPr="00C77876">
        <w:rPr>
          <w:rFonts w:cs="Times New Roman"/>
        </w:rPr>
        <w:t>security-by-design</w:t>
      </w:r>
      <w:r w:rsidRPr="00C77876">
        <w:rPr>
          <w:rFonts w:cs="Times New Roman"/>
        </w:rPr>
        <w:t>”</w:t>
      </w:r>
      <w:r w:rsidR="00555484" w:rsidRPr="00C77876">
        <w:rPr>
          <w:rFonts w:cs="Times New Roman"/>
        </w:rPr>
        <w:t xml:space="preserve"> approach to 5G development,</w:t>
      </w:r>
      <w:r w:rsidR="004C3CC9" w:rsidRPr="00B36A19">
        <w:rPr>
          <w:rStyle w:val="FootnoteReference"/>
          <w:rFonts w:cs="Times New Roman"/>
          <w:sz w:val="22"/>
        </w:rPr>
        <w:footnoteReference w:id="12"/>
      </w:r>
      <w:r w:rsidR="00555484" w:rsidRPr="00C77876">
        <w:rPr>
          <w:rFonts w:cs="Times New Roman"/>
        </w:rPr>
        <w:t xml:space="preserve"> </w:t>
      </w:r>
      <w:r w:rsidR="00187B0C">
        <w:rPr>
          <w:rFonts w:cs="Times New Roman"/>
        </w:rPr>
        <w:t xml:space="preserve">and </w:t>
      </w:r>
      <w:r w:rsidR="00555484" w:rsidRPr="00C77876">
        <w:rPr>
          <w:rFonts w:cs="Times New Roman"/>
        </w:rPr>
        <w:t xml:space="preserve">we believe it is important that </w:t>
      </w:r>
      <w:r w:rsidR="00555484" w:rsidRPr="00C77876">
        <w:rPr>
          <w:rFonts w:cs="Times New Roman"/>
          <w:i/>
        </w:rPr>
        <w:t>all</w:t>
      </w:r>
      <w:r w:rsidR="00555484" w:rsidRPr="00C77876">
        <w:rPr>
          <w:rFonts w:cs="Times New Roman"/>
        </w:rPr>
        <w:t xml:space="preserve"> stakeholders – service providers</w:t>
      </w:r>
      <w:r w:rsidR="00E56030">
        <w:rPr>
          <w:rFonts w:cs="Times New Roman"/>
        </w:rPr>
        <w:t>, software developers,</w:t>
      </w:r>
      <w:r w:rsidR="00555484" w:rsidRPr="00C77876">
        <w:rPr>
          <w:rFonts w:cs="Times New Roman"/>
        </w:rPr>
        <w:t xml:space="preserve"> and device manufacturers alike – </w:t>
      </w:r>
      <w:r w:rsidR="005F6139" w:rsidRPr="00C77876">
        <w:rPr>
          <w:rFonts w:cs="Times New Roman"/>
        </w:rPr>
        <w:t xml:space="preserve">work toward </w:t>
      </w:r>
      <w:r w:rsidR="00555484" w:rsidRPr="00C77876">
        <w:rPr>
          <w:rFonts w:cs="Times New Roman"/>
        </w:rPr>
        <w:t xml:space="preserve">a </w:t>
      </w:r>
      <w:r w:rsidR="008332CB" w:rsidRPr="00C77876">
        <w:rPr>
          <w:rFonts w:cs="Times New Roman"/>
        </w:rPr>
        <w:t>comprehensive</w:t>
      </w:r>
      <w:r w:rsidR="00555484" w:rsidRPr="00C77876">
        <w:rPr>
          <w:rFonts w:cs="Times New Roman"/>
        </w:rPr>
        <w:t xml:space="preserve"> long-term strategic framework.  </w:t>
      </w:r>
      <w:r w:rsidR="00250226" w:rsidRPr="00C77876">
        <w:rPr>
          <w:rFonts w:cs="Times New Roman"/>
        </w:rPr>
        <w:t xml:space="preserve">We seek comment on the </w:t>
      </w:r>
      <w:r w:rsidR="00E90F66" w:rsidRPr="00C77876">
        <w:rPr>
          <w:rFonts w:cs="Times New Roman"/>
        </w:rPr>
        <w:t>premise</w:t>
      </w:r>
      <w:r w:rsidR="00250226" w:rsidRPr="00C77876">
        <w:rPr>
          <w:rFonts w:cs="Times New Roman"/>
        </w:rPr>
        <w:t xml:space="preserve"> that, b</w:t>
      </w:r>
      <w:r w:rsidR="001F4983" w:rsidRPr="00C77876">
        <w:rPr>
          <w:rFonts w:cs="Times New Roman"/>
        </w:rPr>
        <w:t xml:space="preserve">y utilizing </w:t>
      </w:r>
      <w:r w:rsidR="00895B6B" w:rsidRPr="00C77876">
        <w:rPr>
          <w:rFonts w:cs="Times New Roman"/>
        </w:rPr>
        <w:t xml:space="preserve">the </w:t>
      </w:r>
      <w:r w:rsidR="009D09CF">
        <w:rPr>
          <w:rFonts w:cs="Times New Roman"/>
        </w:rPr>
        <w:t xml:space="preserve">“confidentiality,” “integrity,” and “availability” (CIA) </w:t>
      </w:r>
      <w:r w:rsidR="001F4983" w:rsidRPr="00C77876">
        <w:rPr>
          <w:rFonts w:cs="Times New Roman"/>
        </w:rPr>
        <w:t>principles,</w:t>
      </w:r>
      <w:r w:rsidR="0032602A" w:rsidRPr="00B36A19">
        <w:rPr>
          <w:rStyle w:val="FootnoteReference"/>
          <w:rFonts w:cs="Times New Roman"/>
          <w:sz w:val="22"/>
        </w:rPr>
        <w:footnoteReference w:id="13"/>
      </w:r>
      <w:r w:rsidR="001F4983" w:rsidRPr="00C77876">
        <w:rPr>
          <w:rFonts w:cs="Times New Roman"/>
        </w:rPr>
        <w:t xml:space="preserve"> a firm </w:t>
      </w:r>
      <w:r w:rsidR="009C2E43" w:rsidRPr="00C77876">
        <w:rPr>
          <w:rFonts w:cs="Times New Roman"/>
        </w:rPr>
        <w:t>may avoid or</w:t>
      </w:r>
      <w:r w:rsidR="001F4983" w:rsidRPr="00C77876">
        <w:rPr>
          <w:rFonts w:cs="Times New Roman"/>
        </w:rPr>
        <w:t xml:space="preserve"> mitigate 5G network and device data security risk through strong, adaptive, protections against unauthorized use, disclosure, and access.  </w:t>
      </w:r>
      <w:r w:rsidR="00F70F58" w:rsidRPr="00C77876">
        <w:rPr>
          <w:rFonts w:cs="Times New Roman"/>
        </w:rPr>
        <w:t xml:space="preserve">What are the benefits and limitation of a security-by-design approach and of employing CIA principles?  </w:t>
      </w:r>
    </w:p>
    <w:p w14:paraId="7BE3CF10" w14:textId="77777777" w:rsidR="00892AC3" w:rsidRPr="00C77876" w:rsidRDefault="002B0A4C" w:rsidP="00460BE2">
      <w:pPr>
        <w:pStyle w:val="ParaNum"/>
        <w:tabs>
          <w:tab w:val="clear" w:pos="1080"/>
        </w:tabs>
        <w:rPr>
          <w:rFonts w:cs="Times New Roman"/>
        </w:rPr>
      </w:pPr>
      <w:r w:rsidRPr="00C77876">
        <w:rPr>
          <w:rFonts w:cs="Times New Roman"/>
        </w:rPr>
        <w:t xml:space="preserve">We </w:t>
      </w:r>
      <w:r w:rsidR="00D43FD4" w:rsidRPr="00C77876">
        <w:rPr>
          <w:rFonts w:cs="Times New Roman"/>
        </w:rPr>
        <w:t xml:space="preserve">seek </w:t>
      </w:r>
      <w:r w:rsidRPr="00C77876">
        <w:rPr>
          <w:rFonts w:cs="Times New Roman"/>
        </w:rPr>
        <w:t xml:space="preserve">specific </w:t>
      </w:r>
      <w:r w:rsidR="00D43FD4" w:rsidRPr="00C77876">
        <w:rPr>
          <w:rFonts w:cs="Times New Roman"/>
        </w:rPr>
        <w:t xml:space="preserve">comment on how </w:t>
      </w:r>
      <w:r w:rsidR="00895B6B" w:rsidRPr="00C77876">
        <w:rPr>
          <w:rFonts w:cs="Times New Roman"/>
        </w:rPr>
        <w:t xml:space="preserve">the </w:t>
      </w:r>
      <w:r w:rsidR="00D43FD4" w:rsidRPr="00C77876">
        <w:rPr>
          <w:rFonts w:cs="Times New Roman"/>
        </w:rPr>
        <w:t xml:space="preserve">CIA principles are being </w:t>
      </w:r>
      <w:r w:rsidR="009D30E8" w:rsidRPr="00C77876">
        <w:rPr>
          <w:rFonts w:cs="Times New Roman"/>
        </w:rPr>
        <w:t>considered</w:t>
      </w:r>
      <w:r w:rsidR="00D43FD4" w:rsidRPr="00C77876">
        <w:rPr>
          <w:rFonts w:cs="Times New Roman"/>
        </w:rPr>
        <w:t xml:space="preserve"> for 5G networks, systems, and devices.  </w:t>
      </w:r>
      <w:r w:rsidR="005919A7" w:rsidRPr="00C77876">
        <w:rPr>
          <w:rFonts w:cs="Times New Roman"/>
        </w:rPr>
        <w:t>In particular, we</w:t>
      </w:r>
      <w:r w:rsidR="00D43FD4" w:rsidRPr="00C77876">
        <w:rPr>
          <w:rFonts w:cs="Times New Roman"/>
        </w:rPr>
        <w:t xml:space="preserve"> examine</w:t>
      </w:r>
      <w:r w:rsidR="007840D1" w:rsidRPr="00C77876">
        <w:rPr>
          <w:rFonts w:cs="Times New Roman"/>
        </w:rPr>
        <w:t xml:space="preserve"> </w:t>
      </w:r>
      <w:r w:rsidR="004C3CC9">
        <w:rPr>
          <w:rFonts w:cs="Times New Roman"/>
        </w:rPr>
        <w:t xml:space="preserve">below </w:t>
      </w:r>
      <w:r w:rsidR="007840D1" w:rsidRPr="00C77876">
        <w:rPr>
          <w:rFonts w:cs="Times New Roman"/>
        </w:rPr>
        <w:t>how CIA principles</w:t>
      </w:r>
      <w:r w:rsidR="005919A7" w:rsidRPr="00C77876">
        <w:rPr>
          <w:rFonts w:cs="Times New Roman"/>
        </w:rPr>
        <w:t xml:space="preserve"> </w:t>
      </w:r>
      <w:r w:rsidR="007840D1" w:rsidRPr="00C77876">
        <w:rPr>
          <w:rFonts w:cs="Times New Roman"/>
        </w:rPr>
        <w:t xml:space="preserve">are being taken into consideration </w:t>
      </w:r>
      <w:r w:rsidR="00914647" w:rsidRPr="00C77876">
        <w:rPr>
          <w:rFonts w:cs="Times New Roman"/>
        </w:rPr>
        <w:t>with respect to</w:t>
      </w:r>
      <w:r w:rsidR="00564771" w:rsidRPr="00C77876">
        <w:rPr>
          <w:rFonts w:cs="Times New Roman"/>
        </w:rPr>
        <w:t xml:space="preserve"> </w:t>
      </w:r>
      <w:r w:rsidR="00914647" w:rsidRPr="00C77876">
        <w:rPr>
          <w:rFonts w:cs="Times New Roman"/>
        </w:rPr>
        <w:t xml:space="preserve">authentication, </w:t>
      </w:r>
      <w:r w:rsidR="007840D1" w:rsidRPr="00C77876">
        <w:rPr>
          <w:rFonts w:cs="Times New Roman"/>
        </w:rPr>
        <w:t>encrypti</w:t>
      </w:r>
      <w:r w:rsidR="001A5C4C" w:rsidRPr="00C77876">
        <w:rPr>
          <w:rFonts w:cs="Times New Roman"/>
        </w:rPr>
        <w:t>on</w:t>
      </w:r>
      <w:r w:rsidR="00914647" w:rsidRPr="00C77876">
        <w:rPr>
          <w:rFonts w:cs="Times New Roman"/>
        </w:rPr>
        <w:t xml:space="preserve">, </w:t>
      </w:r>
      <w:r w:rsidR="007840D1" w:rsidRPr="00C77876">
        <w:rPr>
          <w:rFonts w:cs="Times New Roman"/>
        </w:rPr>
        <w:t>physical security</w:t>
      </w:r>
      <w:r w:rsidR="00914647" w:rsidRPr="00C77876">
        <w:rPr>
          <w:rFonts w:cs="Times New Roman"/>
        </w:rPr>
        <w:t xml:space="preserve">, device security, protecting 5G networks from cyber attacks, </w:t>
      </w:r>
      <w:r w:rsidR="00564771" w:rsidRPr="00C77876">
        <w:rPr>
          <w:rFonts w:cs="Times New Roman"/>
        </w:rPr>
        <w:t>patch management, and risk segmentation</w:t>
      </w:r>
      <w:r w:rsidR="0032602A" w:rsidRPr="00C77876">
        <w:rPr>
          <w:rFonts w:cs="Times New Roman"/>
        </w:rPr>
        <w:t xml:space="preserve"> of networks</w:t>
      </w:r>
      <w:r w:rsidR="00564771" w:rsidRPr="00C77876">
        <w:rPr>
          <w:rFonts w:cs="Times New Roman"/>
        </w:rPr>
        <w:t xml:space="preserve">.  </w:t>
      </w:r>
      <w:r w:rsidR="004B625A" w:rsidRPr="00C77876">
        <w:rPr>
          <w:rFonts w:cs="Times New Roman"/>
        </w:rPr>
        <w:t xml:space="preserve">This is a non-exclusive list, and we seek comment on other </w:t>
      </w:r>
      <w:r w:rsidR="00D32579" w:rsidRPr="00C77876">
        <w:rPr>
          <w:rFonts w:cs="Times New Roman"/>
        </w:rPr>
        <w:t>areas</w:t>
      </w:r>
      <w:r w:rsidR="004B625A" w:rsidRPr="00C77876">
        <w:rPr>
          <w:rFonts w:cs="Times New Roman"/>
        </w:rPr>
        <w:t xml:space="preserve"> that are potential vulnerabilities for 5G. </w:t>
      </w:r>
      <w:r w:rsidR="00E25E91" w:rsidRPr="00C77876">
        <w:rPr>
          <w:rFonts w:cs="Times New Roman"/>
        </w:rPr>
        <w:t xml:space="preserve"> </w:t>
      </w:r>
      <w:r w:rsidR="00107308" w:rsidRPr="00C77876">
        <w:rPr>
          <w:rFonts w:cs="Times New Roman"/>
        </w:rPr>
        <w:t xml:space="preserve"> </w:t>
      </w:r>
    </w:p>
    <w:p w14:paraId="6D8B9D6F" w14:textId="77777777" w:rsidR="005C7396" w:rsidRPr="00C77876" w:rsidRDefault="005C7396" w:rsidP="00460BE2">
      <w:pPr>
        <w:pStyle w:val="Heading3"/>
        <w:numPr>
          <w:ilvl w:val="0"/>
          <w:numId w:val="6"/>
        </w:numPr>
        <w:rPr>
          <w:rFonts w:cs="Times New Roman"/>
        </w:rPr>
      </w:pPr>
      <w:bookmarkStart w:id="104" w:name="_Toc464818718"/>
      <w:bookmarkStart w:id="105" w:name="_Toc464819256"/>
      <w:bookmarkStart w:id="106" w:name="_Toc464819405"/>
      <w:bookmarkStart w:id="107" w:name="_Toc465937273"/>
      <w:bookmarkStart w:id="108" w:name="_Toc466545192"/>
      <w:bookmarkStart w:id="109" w:name="_Toc466545461"/>
      <w:r w:rsidRPr="00C77876">
        <w:rPr>
          <w:rFonts w:cs="Times New Roman"/>
        </w:rPr>
        <w:t>Authentication</w:t>
      </w:r>
      <w:bookmarkEnd w:id="104"/>
      <w:bookmarkEnd w:id="105"/>
      <w:bookmarkEnd w:id="106"/>
      <w:bookmarkEnd w:id="107"/>
      <w:bookmarkEnd w:id="108"/>
      <w:bookmarkEnd w:id="109"/>
      <w:r w:rsidRPr="00C77876">
        <w:rPr>
          <w:rFonts w:cs="Times New Roman"/>
        </w:rPr>
        <w:t xml:space="preserve"> </w:t>
      </w:r>
    </w:p>
    <w:p w14:paraId="202398A6" w14:textId="419CAA1B" w:rsidR="00E25E91" w:rsidRPr="00BD095E" w:rsidRDefault="00300DFB" w:rsidP="00460BE2">
      <w:pPr>
        <w:pStyle w:val="ParaNum"/>
        <w:tabs>
          <w:tab w:val="clear" w:pos="1080"/>
          <w:tab w:val="num" w:pos="1440"/>
        </w:tabs>
        <w:rPr>
          <w:rFonts w:cs="Times New Roman"/>
        </w:rPr>
      </w:pPr>
      <w:r w:rsidRPr="006071BE">
        <w:rPr>
          <w:rFonts w:cs="Times New Roman"/>
        </w:rPr>
        <w:t>Preserving the</w:t>
      </w:r>
      <w:r w:rsidR="00203974" w:rsidRPr="006071BE">
        <w:rPr>
          <w:rFonts w:cs="Times New Roman"/>
        </w:rPr>
        <w:t xml:space="preserve"> confidentiality and</w:t>
      </w:r>
      <w:r w:rsidRPr="006071BE">
        <w:rPr>
          <w:rFonts w:cs="Times New Roman"/>
        </w:rPr>
        <w:t xml:space="preserve"> integrity of networks, systems</w:t>
      </w:r>
      <w:r w:rsidR="009D30E8" w:rsidRPr="00BE4E76">
        <w:rPr>
          <w:rFonts w:cs="Times New Roman"/>
        </w:rPr>
        <w:t>,</w:t>
      </w:r>
      <w:r w:rsidRPr="00E53222">
        <w:rPr>
          <w:rFonts w:cs="Times New Roman"/>
        </w:rPr>
        <w:t xml:space="preserve"> and data depends on limiting access to authorized users</w:t>
      </w:r>
      <w:r w:rsidR="006B319B" w:rsidRPr="0092056D">
        <w:rPr>
          <w:rFonts w:cs="Times New Roman"/>
        </w:rPr>
        <w:t>.</w:t>
      </w:r>
      <w:r w:rsidR="00A135D9">
        <w:t xml:space="preserve">  </w:t>
      </w:r>
      <w:r w:rsidR="006B319B" w:rsidRPr="006071BE">
        <w:rPr>
          <w:rFonts w:cs="Times New Roman"/>
        </w:rPr>
        <w:t>This</w:t>
      </w:r>
      <w:r w:rsidRPr="00BE4E76">
        <w:rPr>
          <w:rFonts w:cs="Times New Roman"/>
        </w:rPr>
        <w:t xml:space="preserve"> is typically accomplished through effective, and sometimes mutual, authentication.</w:t>
      </w:r>
      <w:r w:rsidR="00A135D9">
        <w:rPr>
          <w:rStyle w:val="FootnoteReference"/>
        </w:rPr>
        <w:footnoteReference w:id="14"/>
      </w:r>
      <w:r w:rsidRPr="006071BE">
        <w:rPr>
          <w:rFonts w:cs="Times New Roman"/>
        </w:rPr>
        <w:t xml:space="preserve"> </w:t>
      </w:r>
      <w:r w:rsidR="004C3CC9">
        <w:rPr>
          <w:rFonts w:cs="Times New Roman"/>
        </w:rPr>
        <w:t xml:space="preserve"> </w:t>
      </w:r>
      <w:r w:rsidRPr="00C77876">
        <w:rPr>
          <w:rFonts w:cs="Times New Roman"/>
        </w:rPr>
        <w:t>W</w:t>
      </w:r>
      <w:r w:rsidR="006A4483" w:rsidRPr="00C77876">
        <w:rPr>
          <w:rFonts w:cs="Times New Roman"/>
        </w:rPr>
        <w:t xml:space="preserve">e </w:t>
      </w:r>
      <w:r w:rsidR="00DA7F92" w:rsidRPr="00C77876">
        <w:rPr>
          <w:rFonts w:cs="Times New Roman"/>
        </w:rPr>
        <w:t>seek comment</w:t>
      </w:r>
      <w:r w:rsidR="006A4483" w:rsidRPr="00C77876">
        <w:rPr>
          <w:rFonts w:cs="Times New Roman"/>
        </w:rPr>
        <w:t xml:space="preserve"> on the use of authentication</w:t>
      </w:r>
      <w:r w:rsidR="004C3CC9">
        <w:rPr>
          <w:rFonts w:cs="Times New Roman"/>
        </w:rPr>
        <w:t xml:space="preserve"> </w:t>
      </w:r>
      <w:r w:rsidR="00830211" w:rsidRPr="00C77876">
        <w:rPr>
          <w:rFonts w:cs="Times New Roman"/>
        </w:rPr>
        <w:t xml:space="preserve">in networks today and whether existing authentication practices will be applicable to </w:t>
      </w:r>
      <w:r w:rsidR="006A4483" w:rsidRPr="00C77876">
        <w:rPr>
          <w:rFonts w:cs="Times New Roman"/>
        </w:rPr>
        <w:t xml:space="preserve">the 5G </w:t>
      </w:r>
      <w:r w:rsidR="006A4483" w:rsidRPr="00C77876">
        <w:rPr>
          <w:rFonts w:cs="Times New Roman"/>
        </w:rPr>
        <w:lastRenderedPageBreak/>
        <w:t xml:space="preserve">environment.  </w:t>
      </w:r>
      <w:r w:rsidR="00830211" w:rsidRPr="00C77876">
        <w:rPr>
          <w:rFonts w:cs="Times New Roman"/>
        </w:rPr>
        <w:t>We seek comment on the effective use of mutual authentication</w:t>
      </w:r>
      <w:r w:rsidR="00C15138">
        <w:rPr>
          <w:rFonts w:cs="Times New Roman"/>
        </w:rPr>
        <w:t>, in particular,</w:t>
      </w:r>
      <w:r w:rsidR="00830211" w:rsidRPr="00C77876">
        <w:rPr>
          <w:rFonts w:cs="Times New Roman"/>
        </w:rPr>
        <w:t xml:space="preserve"> for protecting</w:t>
      </w:r>
      <w:r w:rsidR="00EB00F3">
        <w:rPr>
          <w:rFonts w:cs="Times New Roman"/>
        </w:rPr>
        <w:t xml:space="preserve"> 5G networks</w:t>
      </w:r>
      <w:r w:rsidR="00830211" w:rsidRPr="00C77876">
        <w:rPr>
          <w:rFonts w:cs="Times New Roman"/>
        </w:rPr>
        <w:t xml:space="preserve"> against unauthorized access</w:t>
      </w:r>
      <w:r w:rsidR="00EB00F3">
        <w:rPr>
          <w:rFonts w:cs="Times New Roman"/>
        </w:rPr>
        <w:t xml:space="preserve"> and end-user devices against attaching to malicious network components</w:t>
      </w:r>
      <w:r w:rsidR="00830211" w:rsidRPr="00C77876">
        <w:rPr>
          <w:rFonts w:cs="Times New Roman"/>
        </w:rPr>
        <w:t>, as well as the perceived limitations and drawbacks of those uses.</w:t>
      </w:r>
      <w:r w:rsidR="00720511" w:rsidRPr="00C77876">
        <w:rPr>
          <w:rFonts w:cs="Times New Roman"/>
        </w:rPr>
        <w:t xml:space="preserve">  </w:t>
      </w:r>
      <w:r w:rsidR="00830211" w:rsidRPr="00C77876">
        <w:rPr>
          <w:rFonts w:cs="Times New Roman"/>
        </w:rPr>
        <w:t xml:space="preserve">Are there specific considerations that would apply to 5G devices?  </w:t>
      </w:r>
      <w:r w:rsidR="006A4483" w:rsidRPr="00C77876">
        <w:rPr>
          <w:rFonts w:cs="Times New Roman"/>
        </w:rPr>
        <w:t>U</w:t>
      </w:r>
      <w:r w:rsidR="00E3267E" w:rsidRPr="00C77876">
        <w:rPr>
          <w:rFonts w:cs="Times New Roman"/>
        </w:rPr>
        <w:t>nder what circumstances would</w:t>
      </w:r>
      <w:r w:rsidR="009E3E51" w:rsidRPr="00C77876">
        <w:rPr>
          <w:rFonts w:cs="Times New Roman"/>
        </w:rPr>
        <w:t xml:space="preserve"> mutual authentication</w:t>
      </w:r>
      <w:r w:rsidR="00E3267E" w:rsidRPr="00C77876">
        <w:rPr>
          <w:rFonts w:cs="Times New Roman"/>
        </w:rPr>
        <w:t xml:space="preserve"> be</w:t>
      </w:r>
      <w:r w:rsidR="006F62F8" w:rsidRPr="00C77876">
        <w:rPr>
          <w:rFonts w:cs="Times New Roman"/>
        </w:rPr>
        <w:t xml:space="preserve"> considered essential to ensure</w:t>
      </w:r>
      <w:r w:rsidR="00E3267E" w:rsidRPr="00C77876">
        <w:rPr>
          <w:rFonts w:cs="Times New Roman"/>
        </w:rPr>
        <w:t xml:space="preserve"> or bolster security</w:t>
      </w:r>
      <w:r w:rsidR="009E3E51" w:rsidRPr="00C77876">
        <w:rPr>
          <w:rFonts w:cs="Times New Roman"/>
        </w:rPr>
        <w:t>?</w:t>
      </w:r>
      <w:r w:rsidR="009A6F2A" w:rsidRPr="00C77876">
        <w:rPr>
          <w:rFonts w:cs="Times New Roman"/>
        </w:rPr>
        <w:t xml:space="preserve">  </w:t>
      </w:r>
      <w:r w:rsidR="006A4483" w:rsidRPr="00C77876">
        <w:rPr>
          <w:rFonts w:cs="Times New Roman"/>
        </w:rPr>
        <w:t xml:space="preserve">Are there any circumstances where mutual authentication would not be beneficial?  </w:t>
      </w:r>
      <w:r w:rsidR="00F41588" w:rsidRPr="00C77876">
        <w:rPr>
          <w:rFonts w:cs="Times New Roman"/>
        </w:rPr>
        <w:t xml:space="preserve">If a communications provider did not invest in mutual authentication, how would that likely </w:t>
      </w:r>
      <w:r w:rsidR="006F62F8" w:rsidRPr="00C77876">
        <w:rPr>
          <w:rFonts w:cs="Times New Roman"/>
        </w:rPr>
        <w:t>affect</w:t>
      </w:r>
      <w:r w:rsidR="00F41588" w:rsidRPr="00C77876">
        <w:rPr>
          <w:rFonts w:cs="Times New Roman"/>
        </w:rPr>
        <w:t xml:space="preserve"> its relative overall security risk?  </w:t>
      </w:r>
      <w:r w:rsidR="004B625A" w:rsidRPr="00C77876">
        <w:rPr>
          <w:rFonts w:cs="Times New Roman"/>
        </w:rPr>
        <w:t xml:space="preserve">What other authentications methodologies might be effective for 5G security?  </w:t>
      </w:r>
      <w:r w:rsidR="008221E6" w:rsidRPr="00C77876">
        <w:rPr>
          <w:rFonts w:cs="Times New Roman"/>
        </w:rPr>
        <w:t>W</w:t>
      </w:r>
      <w:r w:rsidR="000C58A4" w:rsidRPr="00C77876">
        <w:rPr>
          <w:rFonts w:cs="Times New Roman"/>
        </w:rPr>
        <w:t>ould the</w:t>
      </w:r>
      <w:r w:rsidR="008221E6" w:rsidRPr="00C77876">
        <w:rPr>
          <w:rFonts w:cs="Times New Roman"/>
        </w:rPr>
        <w:t xml:space="preserve"> </w:t>
      </w:r>
      <w:r w:rsidR="0031606C" w:rsidRPr="00C77876">
        <w:rPr>
          <w:rFonts w:cs="Times New Roman"/>
        </w:rPr>
        <w:t>mass deployment</w:t>
      </w:r>
      <w:r w:rsidR="000C58A4" w:rsidRPr="00C77876">
        <w:rPr>
          <w:rFonts w:cs="Times New Roman"/>
        </w:rPr>
        <w:t xml:space="preserve"> of high</w:t>
      </w:r>
      <w:r w:rsidR="007840C3">
        <w:rPr>
          <w:rFonts w:cs="Times New Roman"/>
        </w:rPr>
        <w:t>-</w:t>
      </w:r>
      <w:r w:rsidR="000C58A4" w:rsidRPr="00C77876">
        <w:rPr>
          <w:rFonts w:cs="Times New Roman"/>
        </w:rPr>
        <w:t>volume</w:t>
      </w:r>
      <w:r w:rsidR="00C860DD">
        <w:rPr>
          <w:rFonts w:cs="Times New Roman"/>
        </w:rPr>
        <w:t xml:space="preserve">, </w:t>
      </w:r>
      <w:r w:rsidR="000C58A4" w:rsidRPr="00C77876">
        <w:rPr>
          <w:rFonts w:cs="Times New Roman"/>
        </w:rPr>
        <w:t>low</w:t>
      </w:r>
      <w:r w:rsidR="007840C3">
        <w:rPr>
          <w:rFonts w:cs="Times New Roman"/>
        </w:rPr>
        <w:t>-</w:t>
      </w:r>
      <w:r w:rsidR="000C58A4" w:rsidRPr="00C77876">
        <w:rPr>
          <w:rFonts w:cs="Times New Roman"/>
        </w:rPr>
        <w:t xml:space="preserve">cost 5G devices in IoT networks </w:t>
      </w:r>
      <w:r w:rsidR="008221E6" w:rsidRPr="00C77876">
        <w:rPr>
          <w:rFonts w:cs="Times New Roman"/>
        </w:rPr>
        <w:t xml:space="preserve">present particular </w:t>
      </w:r>
      <w:r w:rsidR="000C58A4" w:rsidRPr="00C77876">
        <w:rPr>
          <w:rFonts w:cs="Times New Roman"/>
        </w:rPr>
        <w:t xml:space="preserve">authentication </w:t>
      </w:r>
      <w:r w:rsidR="008221E6" w:rsidRPr="00C77876">
        <w:rPr>
          <w:rFonts w:cs="Times New Roman"/>
        </w:rPr>
        <w:t>challenges</w:t>
      </w:r>
      <w:r w:rsidR="0031606C" w:rsidRPr="00C77876">
        <w:rPr>
          <w:rFonts w:cs="Times New Roman"/>
        </w:rPr>
        <w:t xml:space="preserve">?  </w:t>
      </w:r>
      <w:r w:rsidR="00DA7F92" w:rsidRPr="00C77876">
        <w:rPr>
          <w:rFonts w:cs="Times New Roman"/>
        </w:rPr>
        <w:t xml:space="preserve">How can providers effectively authenticate </w:t>
      </w:r>
      <w:r w:rsidR="00F70F58" w:rsidRPr="00C77876">
        <w:rPr>
          <w:rFonts w:cs="Times New Roman"/>
        </w:rPr>
        <w:t xml:space="preserve">the communications of </w:t>
      </w:r>
      <w:r w:rsidR="008221E6" w:rsidRPr="00C77876">
        <w:rPr>
          <w:rFonts w:cs="Times New Roman"/>
        </w:rPr>
        <w:t>high</w:t>
      </w:r>
      <w:r w:rsidR="007840C3">
        <w:rPr>
          <w:rFonts w:cs="Times New Roman"/>
        </w:rPr>
        <w:t>-</w:t>
      </w:r>
      <w:r w:rsidR="008221E6" w:rsidRPr="00C77876">
        <w:rPr>
          <w:rFonts w:cs="Times New Roman"/>
        </w:rPr>
        <w:t>volume</w:t>
      </w:r>
      <w:r w:rsidR="00C860DD">
        <w:rPr>
          <w:rFonts w:cs="Times New Roman"/>
        </w:rPr>
        <w:t xml:space="preserve">, </w:t>
      </w:r>
      <w:r w:rsidR="00DA7F92" w:rsidRPr="00C77876">
        <w:rPr>
          <w:rFonts w:cs="Times New Roman"/>
        </w:rPr>
        <w:t>low</w:t>
      </w:r>
      <w:r w:rsidR="007840C3">
        <w:rPr>
          <w:rFonts w:cs="Times New Roman"/>
        </w:rPr>
        <w:t>-</w:t>
      </w:r>
      <w:r w:rsidR="00DA7F92" w:rsidRPr="00C77876">
        <w:rPr>
          <w:rFonts w:cs="Times New Roman"/>
        </w:rPr>
        <w:t xml:space="preserve">cost </w:t>
      </w:r>
      <w:r w:rsidR="000C58A4" w:rsidRPr="00C77876">
        <w:rPr>
          <w:rFonts w:cs="Times New Roman"/>
        </w:rPr>
        <w:t xml:space="preserve">5G </w:t>
      </w:r>
      <w:r w:rsidR="00DA7F92" w:rsidRPr="00C77876">
        <w:rPr>
          <w:rFonts w:cs="Times New Roman"/>
        </w:rPr>
        <w:t xml:space="preserve">devices – device to device, device to network, and network to device?  </w:t>
      </w:r>
      <w:r w:rsidR="00C15138" w:rsidRPr="00075221">
        <w:rPr>
          <w:rFonts w:cs="Times New Roman"/>
        </w:rPr>
        <w:t xml:space="preserve">How can providers effectively address these challenges?  </w:t>
      </w:r>
      <w:r w:rsidR="003954A5" w:rsidRPr="00BD095E">
        <w:rPr>
          <w:rFonts w:cs="Times New Roman"/>
        </w:rPr>
        <w:t xml:space="preserve">Would it be appropriate for 5G architects to consider identity credentialing and access management, in addition to authentication?  </w:t>
      </w:r>
    </w:p>
    <w:p w14:paraId="10A3CC62" w14:textId="77777777" w:rsidR="005C7396" w:rsidRPr="00C77876" w:rsidRDefault="005C7396" w:rsidP="00460BE2">
      <w:pPr>
        <w:pStyle w:val="Heading3"/>
        <w:numPr>
          <w:ilvl w:val="0"/>
          <w:numId w:val="6"/>
        </w:numPr>
        <w:rPr>
          <w:rFonts w:cs="Times New Roman"/>
        </w:rPr>
      </w:pPr>
      <w:bookmarkStart w:id="110" w:name="_Toc464818719"/>
      <w:bookmarkStart w:id="111" w:name="_Toc464819257"/>
      <w:bookmarkStart w:id="112" w:name="_Toc464819406"/>
      <w:bookmarkStart w:id="113" w:name="_Toc465937274"/>
      <w:bookmarkStart w:id="114" w:name="_Toc466545193"/>
      <w:bookmarkStart w:id="115" w:name="_Toc466545462"/>
      <w:r w:rsidRPr="00C77876">
        <w:rPr>
          <w:rFonts w:cs="Times New Roman"/>
        </w:rPr>
        <w:t>Encryption</w:t>
      </w:r>
      <w:bookmarkEnd w:id="110"/>
      <w:bookmarkEnd w:id="111"/>
      <w:bookmarkEnd w:id="112"/>
      <w:bookmarkEnd w:id="113"/>
      <w:bookmarkEnd w:id="114"/>
      <w:bookmarkEnd w:id="115"/>
      <w:r w:rsidRPr="00C77876">
        <w:rPr>
          <w:rFonts w:cs="Times New Roman"/>
        </w:rPr>
        <w:t xml:space="preserve"> </w:t>
      </w:r>
    </w:p>
    <w:p w14:paraId="76E4884A" w14:textId="77777777" w:rsidR="00760AD2" w:rsidRPr="00C77876" w:rsidRDefault="00FB5525" w:rsidP="00460BE2">
      <w:pPr>
        <w:pStyle w:val="ParaNum"/>
        <w:tabs>
          <w:tab w:val="clear" w:pos="1080"/>
        </w:tabs>
        <w:rPr>
          <w:rFonts w:cs="Times New Roman"/>
        </w:rPr>
      </w:pPr>
      <w:r w:rsidRPr="00C77876">
        <w:rPr>
          <w:rFonts w:cs="Times New Roman"/>
        </w:rPr>
        <w:t xml:space="preserve">Encryption </w:t>
      </w:r>
      <w:r w:rsidR="00F72A55">
        <w:rPr>
          <w:rFonts w:cs="Times New Roman"/>
        </w:rPr>
        <w:t>can be</w:t>
      </w:r>
      <w:r w:rsidRPr="00C77876">
        <w:rPr>
          <w:rFonts w:cs="Times New Roman"/>
        </w:rPr>
        <w:t xml:space="preserve"> </w:t>
      </w:r>
      <w:r w:rsidR="00F72A55">
        <w:rPr>
          <w:rFonts w:cs="Times New Roman"/>
        </w:rPr>
        <w:t>an important a</w:t>
      </w:r>
      <w:r w:rsidRPr="00C77876">
        <w:rPr>
          <w:rFonts w:cs="Times New Roman"/>
        </w:rPr>
        <w:t xml:space="preserve">spect of protecting </w:t>
      </w:r>
      <w:r w:rsidR="00B50131">
        <w:rPr>
          <w:rFonts w:cs="Times New Roman"/>
        </w:rPr>
        <w:t>confidentiality, integrity and availability</w:t>
      </w:r>
      <w:r w:rsidRPr="00C77876">
        <w:rPr>
          <w:rFonts w:cs="Times New Roman"/>
        </w:rPr>
        <w:t xml:space="preserve"> in communications environments.</w:t>
      </w:r>
      <w:r w:rsidRPr="00B36A19">
        <w:rPr>
          <w:rStyle w:val="FootnoteReference"/>
          <w:rFonts w:cs="Times New Roman"/>
          <w:sz w:val="22"/>
        </w:rPr>
        <w:footnoteReference w:id="15"/>
      </w:r>
      <w:r w:rsidRPr="00C77876">
        <w:rPr>
          <w:rFonts w:cs="Times New Roman"/>
        </w:rPr>
        <w:t xml:space="preserve">  </w:t>
      </w:r>
      <w:r w:rsidR="007258F0" w:rsidRPr="00C77876">
        <w:rPr>
          <w:rFonts w:cs="Times New Roman"/>
        </w:rPr>
        <w:t xml:space="preserve">We seek comment on the planned deployment and use of encryption to promote 5G security, as well as on the perceived challenges, costs, and benefits of encryption at both the network and device levels.  </w:t>
      </w:r>
    </w:p>
    <w:p w14:paraId="384D8408" w14:textId="77777777" w:rsidR="000819A7" w:rsidRDefault="000819A7" w:rsidP="00460BE2">
      <w:pPr>
        <w:pStyle w:val="ParaNum"/>
        <w:tabs>
          <w:tab w:val="clear" w:pos="1080"/>
        </w:tabs>
        <w:rPr>
          <w:rFonts w:cs="Times New Roman"/>
        </w:rPr>
      </w:pPr>
      <w:r>
        <w:rPr>
          <w:rFonts w:cs="Times New Roman"/>
        </w:rPr>
        <w:t>We</w:t>
      </w:r>
      <w:r w:rsidR="00E20723" w:rsidRPr="00C77876">
        <w:rPr>
          <w:rFonts w:cs="Times New Roman"/>
        </w:rPr>
        <w:t xml:space="preserve"> seek comment on whether currently available encryption protocols are effective in securing devices</w:t>
      </w:r>
      <w:r w:rsidR="007258F0" w:rsidRPr="00C77876">
        <w:rPr>
          <w:rFonts w:cs="Times New Roman"/>
        </w:rPr>
        <w:t xml:space="preserve"> and </w:t>
      </w:r>
      <w:r w:rsidR="00FE61D6" w:rsidRPr="00C77876">
        <w:rPr>
          <w:rFonts w:cs="Times New Roman"/>
        </w:rPr>
        <w:t>are likely to be effective</w:t>
      </w:r>
      <w:r w:rsidR="007258F0" w:rsidRPr="00C77876">
        <w:rPr>
          <w:rFonts w:cs="Times New Roman"/>
        </w:rPr>
        <w:t xml:space="preserve"> in </w:t>
      </w:r>
      <w:r w:rsidR="003C7060" w:rsidRPr="00C77876">
        <w:rPr>
          <w:rFonts w:cs="Times New Roman"/>
        </w:rPr>
        <w:t>a</w:t>
      </w:r>
      <w:r w:rsidR="007258F0" w:rsidRPr="00C77876">
        <w:rPr>
          <w:rFonts w:cs="Times New Roman"/>
        </w:rPr>
        <w:t xml:space="preserve"> 5G environment</w:t>
      </w:r>
      <w:r w:rsidR="003C7060" w:rsidRPr="00C77876">
        <w:rPr>
          <w:rFonts w:cs="Times New Roman"/>
        </w:rPr>
        <w:t xml:space="preserve"> in which</w:t>
      </w:r>
      <w:r w:rsidR="007258F0" w:rsidRPr="00C77876">
        <w:rPr>
          <w:rFonts w:cs="Times New Roman"/>
        </w:rPr>
        <w:t xml:space="preserve"> </w:t>
      </w:r>
      <w:r w:rsidR="003C7060" w:rsidRPr="00C77876">
        <w:rPr>
          <w:rFonts w:cs="Times New Roman"/>
        </w:rPr>
        <w:t xml:space="preserve">innumerable, low-cost </w:t>
      </w:r>
      <w:r w:rsidR="007258F0" w:rsidRPr="00C77876">
        <w:rPr>
          <w:rFonts w:cs="Times New Roman"/>
        </w:rPr>
        <w:t xml:space="preserve">devices are expected to </w:t>
      </w:r>
      <w:r w:rsidR="003C7060" w:rsidRPr="00C77876">
        <w:rPr>
          <w:rFonts w:cs="Times New Roman"/>
        </w:rPr>
        <w:t>operate</w:t>
      </w:r>
      <w:r w:rsidR="007258F0" w:rsidRPr="00C77876">
        <w:rPr>
          <w:rFonts w:cs="Times New Roman"/>
        </w:rPr>
        <w:t>.</w:t>
      </w:r>
      <w:r w:rsidR="00AB77F2" w:rsidRPr="00B36A19">
        <w:rPr>
          <w:rStyle w:val="FootnoteReference"/>
          <w:rFonts w:cs="Times New Roman"/>
          <w:sz w:val="22"/>
        </w:rPr>
        <w:footnoteReference w:id="16"/>
      </w:r>
      <w:r w:rsidR="00564771" w:rsidRPr="00C77876">
        <w:rPr>
          <w:rFonts w:cs="Times New Roman"/>
        </w:rPr>
        <w:t xml:space="preserve">  </w:t>
      </w:r>
      <w:r w:rsidRPr="00C77876">
        <w:rPr>
          <w:rFonts w:cs="Times New Roman"/>
        </w:rPr>
        <w:t xml:space="preserve">We seek comment on ways that 5G participants can address </w:t>
      </w:r>
      <w:r>
        <w:rPr>
          <w:rFonts w:cs="Times New Roman"/>
        </w:rPr>
        <w:t>encryption k</w:t>
      </w:r>
      <w:r w:rsidRPr="00C77876">
        <w:rPr>
          <w:rFonts w:cs="Times New Roman"/>
        </w:rPr>
        <w:t xml:space="preserve">ey </w:t>
      </w:r>
      <w:r>
        <w:rPr>
          <w:rFonts w:cs="Times New Roman"/>
        </w:rPr>
        <w:t>m</w:t>
      </w:r>
      <w:r w:rsidRPr="00C77876">
        <w:rPr>
          <w:rFonts w:cs="Times New Roman"/>
        </w:rPr>
        <w:t xml:space="preserve">anagement and distribution mechanism challenges.  We additionally seek comment on stakeholder responsibilities with respect to objective </w:t>
      </w:r>
      <w:r>
        <w:rPr>
          <w:rFonts w:cs="Times New Roman"/>
        </w:rPr>
        <w:t>encryption k</w:t>
      </w:r>
      <w:r w:rsidRPr="00C77876">
        <w:rPr>
          <w:rFonts w:cs="Times New Roman"/>
        </w:rPr>
        <w:t xml:space="preserve">ey </w:t>
      </w:r>
      <w:r>
        <w:rPr>
          <w:rFonts w:cs="Times New Roman"/>
        </w:rPr>
        <w:t>m</w:t>
      </w:r>
      <w:r w:rsidRPr="00C77876">
        <w:rPr>
          <w:rFonts w:cs="Times New Roman"/>
        </w:rPr>
        <w:t>anagement for 5G.</w:t>
      </w:r>
    </w:p>
    <w:p w14:paraId="10CEF835" w14:textId="3236A28E" w:rsidR="00BA003C" w:rsidRPr="00C77876" w:rsidRDefault="000819A7" w:rsidP="00460BE2">
      <w:pPr>
        <w:pStyle w:val="ParaNum"/>
        <w:tabs>
          <w:tab w:val="clear" w:pos="1080"/>
        </w:tabs>
        <w:rPr>
          <w:rFonts w:cs="Times New Roman"/>
        </w:rPr>
      </w:pPr>
      <w:r w:rsidRPr="006A7E4F">
        <w:rPr>
          <w:rFonts w:cs="Times New Roman"/>
        </w:rPr>
        <w:t xml:space="preserve">We also seek comment on whether encryption is necessary for all 5G communications.  </w:t>
      </w:r>
      <w:r w:rsidRPr="00C03CC2">
        <w:rPr>
          <w:rFonts w:cs="Times New Roman"/>
        </w:rPr>
        <w:t>Recent research has shown that certain scenarios exist where signaling information is not encrypted for systems implementing LTE standards, which has led to bad actors being capable of tracking the movements of individuals via their LTE handset.</w:t>
      </w:r>
      <w:r w:rsidRPr="00C03CC2">
        <w:rPr>
          <w:rStyle w:val="FootnoteReference"/>
          <w:rFonts w:cs="Times New Roman"/>
          <w:sz w:val="22"/>
        </w:rPr>
        <w:footnoteReference w:id="17"/>
      </w:r>
      <w:r w:rsidRPr="00C03CC2">
        <w:rPr>
          <w:rFonts w:cs="Times New Roman"/>
        </w:rPr>
        <w:t xml:space="preserve"> </w:t>
      </w:r>
      <w:r>
        <w:rPr>
          <w:rFonts w:cs="Times New Roman"/>
        </w:rPr>
        <w:t xml:space="preserve"> </w:t>
      </w:r>
      <w:r w:rsidRPr="00C03CC2">
        <w:rPr>
          <w:rFonts w:cs="Times New Roman"/>
        </w:rPr>
        <w:t xml:space="preserve">We seek comment on whether the decisions </w:t>
      </w:r>
      <w:r w:rsidR="006A2C2E">
        <w:rPr>
          <w:rFonts w:cs="Times New Roman"/>
        </w:rPr>
        <w:t xml:space="preserve">made by the 3GPP standards body that resulted in non-encryption for such systems </w:t>
      </w:r>
      <w:r w:rsidRPr="00C03CC2">
        <w:rPr>
          <w:rFonts w:cs="Times New Roman"/>
        </w:rPr>
        <w:t xml:space="preserve">are rooted in increased latency, degraded performance due to added signaling or computational requirements, an interest in minimizing changes to </w:t>
      </w:r>
      <w:r>
        <w:rPr>
          <w:rFonts w:cs="Times New Roman"/>
        </w:rPr>
        <w:t>LTE</w:t>
      </w:r>
      <w:r w:rsidRPr="00C03CC2">
        <w:rPr>
          <w:rFonts w:cs="Times New Roman"/>
        </w:rPr>
        <w:t xml:space="preserve"> standards as </w:t>
      </w:r>
      <w:r w:rsidRPr="00C03CC2">
        <w:rPr>
          <w:rFonts w:cs="Times New Roman"/>
        </w:rPr>
        <w:lastRenderedPageBreak/>
        <w:t>5G is standardized, or other factors.</w:t>
      </w:r>
      <w:r w:rsidR="00B84CFC">
        <w:rPr>
          <w:rStyle w:val="FootnoteReference"/>
          <w:rFonts w:cs="Times New Roman"/>
        </w:rPr>
        <w:footnoteReference w:id="18"/>
      </w:r>
      <w:r w:rsidR="006A2C2E">
        <w:rPr>
          <w:rFonts w:cs="Times New Roman"/>
        </w:rPr>
        <w:t xml:space="preserve">  We inquire about what</w:t>
      </w:r>
      <w:r w:rsidR="007B2097">
        <w:rPr>
          <w:rFonts w:cs="Times New Roman"/>
        </w:rPr>
        <w:t xml:space="preserve"> lessons</w:t>
      </w:r>
      <w:r w:rsidR="006A2C2E">
        <w:rPr>
          <w:rFonts w:cs="Times New Roman"/>
        </w:rPr>
        <w:t>, if any</w:t>
      </w:r>
      <w:r w:rsidR="007B2097">
        <w:rPr>
          <w:rFonts w:cs="Times New Roman"/>
        </w:rPr>
        <w:t>,</w:t>
      </w:r>
      <w:r w:rsidR="00B84CFC">
        <w:rPr>
          <w:rFonts w:cs="Times New Roman"/>
        </w:rPr>
        <w:t xml:space="preserve"> </w:t>
      </w:r>
      <w:r w:rsidR="006A2C2E">
        <w:rPr>
          <w:rFonts w:cs="Times New Roman"/>
        </w:rPr>
        <w:t xml:space="preserve">can be learned from the underlying rationale of these decisions as </w:t>
      </w:r>
      <w:r w:rsidR="007B2097">
        <w:rPr>
          <w:rFonts w:cs="Times New Roman"/>
        </w:rPr>
        <w:t xml:space="preserve">they </w:t>
      </w:r>
      <w:r w:rsidR="006A2C2E">
        <w:rPr>
          <w:rFonts w:cs="Times New Roman"/>
        </w:rPr>
        <w:t xml:space="preserve">pertain </w:t>
      </w:r>
      <w:r w:rsidR="00024CD0">
        <w:rPr>
          <w:rFonts w:cs="Times New Roman"/>
        </w:rPr>
        <w:t xml:space="preserve">to </w:t>
      </w:r>
      <w:r w:rsidR="006A2C2E">
        <w:rPr>
          <w:rFonts w:cs="Times New Roman"/>
        </w:rPr>
        <w:t xml:space="preserve">encryption for 5G communications. </w:t>
      </w:r>
      <w:r>
        <w:rPr>
          <w:rFonts w:cs="Times New Roman"/>
        </w:rPr>
        <w:t xml:space="preserve"> </w:t>
      </w:r>
    </w:p>
    <w:p w14:paraId="6F14BFCD" w14:textId="77777777" w:rsidR="00442D32" w:rsidRPr="00C77876" w:rsidRDefault="00442D32" w:rsidP="00460BE2">
      <w:pPr>
        <w:pStyle w:val="ParaNum"/>
        <w:tabs>
          <w:tab w:val="clear" w:pos="1080"/>
        </w:tabs>
        <w:rPr>
          <w:rFonts w:cs="Times New Roman"/>
        </w:rPr>
      </w:pPr>
      <w:r w:rsidRPr="00C77876">
        <w:rPr>
          <w:rFonts w:cs="Times New Roman"/>
        </w:rPr>
        <w:t xml:space="preserve">Finally, </w:t>
      </w:r>
      <w:r w:rsidR="000819A7">
        <w:rPr>
          <w:rFonts w:cs="Times New Roman"/>
        </w:rPr>
        <w:t xml:space="preserve">we seek comment on whether </w:t>
      </w:r>
      <w:r w:rsidR="000819A7" w:rsidRPr="006A7E4F">
        <w:rPr>
          <w:rFonts w:cs="Times New Roman"/>
        </w:rPr>
        <w:t xml:space="preserve">5G service providers </w:t>
      </w:r>
      <w:r w:rsidR="000819A7">
        <w:rPr>
          <w:rFonts w:cs="Times New Roman"/>
        </w:rPr>
        <w:t xml:space="preserve">should </w:t>
      </w:r>
      <w:r w:rsidR="000819A7" w:rsidRPr="006A7E4F">
        <w:rPr>
          <w:rFonts w:cs="Times New Roman"/>
        </w:rPr>
        <w:t>distinguish between the application of encryption to products that would operate primarily on the 5G control plane and those that would be part of the user plane</w:t>
      </w:r>
      <w:r w:rsidR="000819A7">
        <w:rPr>
          <w:rFonts w:cs="Times New Roman"/>
        </w:rPr>
        <w:t>.</w:t>
      </w:r>
      <w:r w:rsidR="000819A7" w:rsidRPr="00C03CC2">
        <w:rPr>
          <w:rStyle w:val="FootnoteReference"/>
          <w:rFonts w:cs="Times New Roman"/>
          <w:sz w:val="22"/>
        </w:rPr>
        <w:footnoteReference w:id="19"/>
      </w:r>
      <w:r w:rsidR="000819A7" w:rsidRPr="006A7E4F">
        <w:rPr>
          <w:rFonts w:cs="Times New Roman"/>
        </w:rPr>
        <w:t xml:space="preserve">  </w:t>
      </w:r>
      <w:r w:rsidR="000819A7" w:rsidRPr="00C77876">
        <w:rPr>
          <w:rFonts w:cs="Times New Roman"/>
        </w:rPr>
        <w:t xml:space="preserve">If such a distinction is desirable, how should such a distinction be made?  For example, if security elements were limited to the control plane, which security elements should be included and what minimum security requirements would apply?  </w:t>
      </w:r>
    </w:p>
    <w:p w14:paraId="0A0EFE4F" w14:textId="77777777" w:rsidR="005C7396" w:rsidRPr="00C77876" w:rsidRDefault="005F6048" w:rsidP="00460BE2">
      <w:pPr>
        <w:pStyle w:val="Heading3"/>
        <w:numPr>
          <w:ilvl w:val="0"/>
          <w:numId w:val="6"/>
        </w:numPr>
        <w:rPr>
          <w:rFonts w:cs="Times New Roman"/>
        </w:rPr>
      </w:pPr>
      <w:bookmarkStart w:id="116" w:name="_Toc464818720"/>
      <w:bookmarkStart w:id="117" w:name="_Toc464819258"/>
      <w:bookmarkStart w:id="118" w:name="_Toc464819407"/>
      <w:bookmarkStart w:id="119" w:name="_Toc465937275"/>
      <w:bookmarkStart w:id="120" w:name="_Toc466545194"/>
      <w:bookmarkStart w:id="121" w:name="_Toc466545463"/>
      <w:r w:rsidRPr="00C77876">
        <w:rPr>
          <w:rFonts w:cs="Times New Roman"/>
        </w:rPr>
        <w:t>P</w:t>
      </w:r>
      <w:r w:rsidR="005C7396" w:rsidRPr="00C77876">
        <w:rPr>
          <w:rFonts w:cs="Times New Roman"/>
        </w:rPr>
        <w:t>hysical Security</w:t>
      </w:r>
      <w:bookmarkEnd w:id="116"/>
      <w:bookmarkEnd w:id="117"/>
      <w:bookmarkEnd w:id="118"/>
      <w:bookmarkEnd w:id="119"/>
      <w:bookmarkEnd w:id="120"/>
      <w:bookmarkEnd w:id="121"/>
    </w:p>
    <w:p w14:paraId="7C3EC049" w14:textId="77777777" w:rsidR="001F17BE" w:rsidRPr="00C77876" w:rsidRDefault="00FB5525" w:rsidP="00460BE2">
      <w:pPr>
        <w:pStyle w:val="ParaNum"/>
        <w:tabs>
          <w:tab w:val="clear" w:pos="1080"/>
        </w:tabs>
        <w:rPr>
          <w:rFonts w:cs="Times New Roman"/>
        </w:rPr>
      </w:pPr>
      <w:r w:rsidRPr="00C77876">
        <w:rPr>
          <w:rFonts w:cs="Times New Roman"/>
        </w:rPr>
        <w:t>Physical security aims to protect networks and critical components of end-user devices, even where those devices are in the possession of unauthorized users (</w:t>
      </w:r>
      <w:r w:rsidR="00EF1F3D" w:rsidRPr="00C77876">
        <w:rPr>
          <w:rFonts w:cs="Times New Roman"/>
        </w:rPr>
        <w:t>lest those devices become operationalized to induce risk to other elements of the 5G ecosystem</w:t>
      </w:r>
      <w:r w:rsidR="00930FE6" w:rsidRPr="00C77876">
        <w:rPr>
          <w:rFonts w:cs="Times New Roman"/>
        </w:rPr>
        <w:t>,</w:t>
      </w:r>
      <w:r w:rsidR="00EF1F3D" w:rsidRPr="00C77876">
        <w:rPr>
          <w:rFonts w:cs="Times New Roman"/>
        </w:rPr>
        <w:t xml:space="preserve"> downstream users</w:t>
      </w:r>
      <w:r w:rsidR="00930FE6" w:rsidRPr="00C77876">
        <w:rPr>
          <w:rFonts w:cs="Times New Roman"/>
        </w:rPr>
        <w:t xml:space="preserve"> and others</w:t>
      </w:r>
      <w:r w:rsidRPr="00C77876">
        <w:rPr>
          <w:rFonts w:cs="Times New Roman"/>
        </w:rPr>
        <w:t>)</w:t>
      </w:r>
      <w:r w:rsidR="00E56D8C" w:rsidRPr="00C77876">
        <w:rPr>
          <w:rFonts w:cs="Times New Roman"/>
        </w:rPr>
        <w:t>.</w:t>
      </w:r>
      <w:r w:rsidR="003D0C70" w:rsidRPr="00C77876">
        <w:rPr>
          <w:rFonts w:cs="Times New Roman"/>
        </w:rPr>
        <w:t xml:space="preserve">  </w:t>
      </w:r>
      <w:r w:rsidR="007B6037" w:rsidRPr="00C77876">
        <w:rPr>
          <w:rFonts w:cs="Times New Roman"/>
        </w:rPr>
        <w:t>W</w:t>
      </w:r>
      <w:r w:rsidR="005C7396" w:rsidRPr="00C77876">
        <w:rPr>
          <w:rFonts w:cs="Times New Roman"/>
        </w:rPr>
        <w:t>e seek comment</w:t>
      </w:r>
      <w:r w:rsidRPr="00C77876">
        <w:rPr>
          <w:rFonts w:cs="Times New Roman"/>
        </w:rPr>
        <w:t xml:space="preserve"> </w:t>
      </w:r>
      <w:r w:rsidR="005C7396" w:rsidRPr="00C77876">
        <w:rPr>
          <w:rFonts w:cs="Times New Roman"/>
        </w:rPr>
        <w:t xml:space="preserve">on physical security </w:t>
      </w:r>
      <w:r w:rsidR="00D97441" w:rsidRPr="00C77876">
        <w:rPr>
          <w:rFonts w:cs="Times New Roman"/>
        </w:rPr>
        <w:t xml:space="preserve">objectives and needs </w:t>
      </w:r>
      <w:r w:rsidR="005C7396" w:rsidRPr="00C77876">
        <w:rPr>
          <w:rFonts w:cs="Times New Roman"/>
        </w:rPr>
        <w:t>in the 5G environment</w:t>
      </w:r>
      <w:r w:rsidR="004573E8">
        <w:rPr>
          <w:rFonts w:cs="Times New Roman"/>
        </w:rPr>
        <w:t>, and on</w:t>
      </w:r>
      <w:r w:rsidR="004573E8" w:rsidRPr="004573E8">
        <w:rPr>
          <w:rFonts w:cs="Times New Roman"/>
        </w:rPr>
        <w:t xml:space="preserve"> </w:t>
      </w:r>
      <w:r w:rsidR="004573E8" w:rsidRPr="00C77876">
        <w:rPr>
          <w:rFonts w:cs="Times New Roman"/>
        </w:rPr>
        <w:t>any other considerations the Commission should take into account in its examination of physical security of 5G networks and devices</w:t>
      </w:r>
      <w:r w:rsidR="005C7396" w:rsidRPr="00C77876">
        <w:rPr>
          <w:rFonts w:cs="Times New Roman"/>
        </w:rPr>
        <w:t xml:space="preserve">.  </w:t>
      </w:r>
    </w:p>
    <w:p w14:paraId="0E63BB71" w14:textId="24A99BA6" w:rsidR="005C7396" w:rsidRPr="00C77876" w:rsidRDefault="00C875C2" w:rsidP="00460BE2">
      <w:pPr>
        <w:pStyle w:val="ParaNum"/>
        <w:tabs>
          <w:tab w:val="clear" w:pos="1080"/>
        </w:tabs>
        <w:rPr>
          <w:rFonts w:cs="Times New Roman"/>
        </w:rPr>
      </w:pPr>
      <w:r w:rsidRPr="00C03CC2">
        <w:rPr>
          <w:rFonts w:cs="Times New Roman"/>
        </w:rPr>
        <w:t>What device</w:t>
      </w:r>
      <w:r>
        <w:rPr>
          <w:rFonts w:cs="Times New Roman"/>
        </w:rPr>
        <w:t>- and network-based</w:t>
      </w:r>
      <w:r w:rsidRPr="00C03CC2">
        <w:rPr>
          <w:rFonts w:cs="Times New Roman"/>
        </w:rPr>
        <w:t xml:space="preserve"> physical security methods </w:t>
      </w:r>
      <w:r>
        <w:rPr>
          <w:rFonts w:cs="Times New Roman"/>
        </w:rPr>
        <w:t xml:space="preserve">would be most effective if </w:t>
      </w:r>
      <w:r w:rsidRPr="00C03CC2">
        <w:rPr>
          <w:rFonts w:cs="Times New Roman"/>
        </w:rPr>
        <w:t xml:space="preserve">applied to 5G devices?  </w:t>
      </w:r>
      <w:r w:rsidRPr="00D75816">
        <w:rPr>
          <w:rFonts w:cs="Times New Roman"/>
        </w:rPr>
        <w:t xml:space="preserve">To what extent does lack of physical security pose a threat to, or introduce risk from unsupervised 5G devices?  </w:t>
      </w:r>
      <w:r w:rsidR="009439C5" w:rsidRPr="00C77876">
        <w:rPr>
          <w:rFonts w:cs="Times New Roman"/>
        </w:rPr>
        <w:t>T</w:t>
      </w:r>
      <w:r w:rsidR="005C7396" w:rsidRPr="00C77876">
        <w:rPr>
          <w:rFonts w:cs="Times New Roman"/>
        </w:rPr>
        <w:t>o what extent does lack of physical security pose a threat to</w:t>
      </w:r>
      <w:r w:rsidR="00930FE6" w:rsidRPr="00C77876">
        <w:rPr>
          <w:rFonts w:cs="Times New Roman"/>
        </w:rPr>
        <w:t>, or introduce risk from</w:t>
      </w:r>
      <w:r w:rsidR="005C7396" w:rsidRPr="00C77876">
        <w:rPr>
          <w:rFonts w:cs="Times New Roman"/>
        </w:rPr>
        <w:t xml:space="preserve"> unsupervised 5G devices?</w:t>
      </w:r>
      <w:r w:rsidR="000D7B85" w:rsidRPr="00C77876">
        <w:rPr>
          <w:rFonts w:cs="Times New Roman"/>
        </w:rPr>
        <w:t xml:space="preserve">  </w:t>
      </w:r>
      <w:r w:rsidRPr="00C77876">
        <w:rPr>
          <w:rFonts w:cs="Times New Roman"/>
        </w:rPr>
        <w:t xml:space="preserve">Will the 5G environment present any new or unique challenges?  What other issues and factors should the Commission consider on the question of preserving </w:t>
      </w:r>
      <w:r w:rsidR="00B50131">
        <w:rPr>
          <w:rFonts w:cs="Times New Roman"/>
        </w:rPr>
        <w:t>confidentiality, integrity and availability</w:t>
      </w:r>
      <w:r w:rsidRPr="00C77876">
        <w:rPr>
          <w:rFonts w:cs="Times New Roman"/>
        </w:rPr>
        <w:t xml:space="preserve"> through physical security?</w:t>
      </w:r>
    </w:p>
    <w:p w14:paraId="231A888A" w14:textId="77777777" w:rsidR="004573E8" w:rsidRPr="004E5828" w:rsidRDefault="004573E8" w:rsidP="00460BE2">
      <w:pPr>
        <w:pStyle w:val="ParaNum"/>
        <w:tabs>
          <w:tab w:val="clear" w:pos="1080"/>
          <w:tab w:val="num" w:pos="1440"/>
        </w:tabs>
        <w:rPr>
          <w:rFonts w:cs="Times New Roman"/>
        </w:rPr>
      </w:pPr>
      <w:bookmarkStart w:id="122" w:name="_Toc464818721"/>
      <w:bookmarkStart w:id="123" w:name="_Toc464819259"/>
      <w:bookmarkStart w:id="124" w:name="_Toc464819408"/>
      <w:bookmarkStart w:id="125" w:name="_Toc465937276"/>
      <w:bookmarkStart w:id="126" w:name="_Toc466545195"/>
      <w:bookmarkStart w:id="127" w:name="_Toc466545464"/>
      <w:r w:rsidRPr="004E5828">
        <w:rPr>
          <w:rFonts w:cs="Times New Roman"/>
        </w:rPr>
        <w:t>What aspects or uses of 5G networks should be considered “mission critical”</w:t>
      </w:r>
      <w:r>
        <w:rPr>
          <w:rFonts w:cs="Times New Roman"/>
        </w:rPr>
        <w:t xml:space="preserve"> (</w:t>
      </w:r>
      <w:r w:rsidRPr="00C56CC7">
        <w:rPr>
          <w:rFonts w:cs="Times New Roman"/>
          <w:i/>
        </w:rPr>
        <w:t>i.e.</w:t>
      </w:r>
      <w:r>
        <w:rPr>
          <w:rFonts w:cs="Times New Roman"/>
        </w:rPr>
        <w:t>, related to safety) and, as such, do they warrant special consideration with respect to physical security</w:t>
      </w:r>
      <w:r w:rsidRPr="004E5828">
        <w:rPr>
          <w:rFonts w:cs="Times New Roman"/>
        </w:rPr>
        <w:t>?  What “mission critical” activities distinguish these networks and how can they be physically secured in the 5G environment?  Should certain 5G networks be physically diverse at the network level as a result of the “mission-critical” aspects they support or enable?</w:t>
      </w:r>
      <w:r w:rsidR="00B50131">
        <w:rPr>
          <w:rFonts w:cs="Times New Roman"/>
        </w:rPr>
        <w:t xml:space="preserve"> </w:t>
      </w:r>
      <w:r w:rsidRPr="004E5828">
        <w:rPr>
          <w:rFonts w:cs="Times New Roman"/>
        </w:rPr>
        <w:t xml:space="preserve"> If so, how should that diversity be achieved?   </w:t>
      </w:r>
    </w:p>
    <w:p w14:paraId="4BF4C93C" w14:textId="77777777" w:rsidR="005C7396" w:rsidRPr="00C77876" w:rsidRDefault="00742BAE" w:rsidP="00460BE2">
      <w:pPr>
        <w:pStyle w:val="Heading3"/>
        <w:numPr>
          <w:ilvl w:val="0"/>
          <w:numId w:val="6"/>
        </w:numPr>
        <w:rPr>
          <w:rFonts w:cs="Times New Roman"/>
        </w:rPr>
      </w:pPr>
      <w:r w:rsidRPr="00C77876">
        <w:rPr>
          <w:rFonts w:cs="Times New Roman"/>
        </w:rPr>
        <w:t>Device</w:t>
      </w:r>
      <w:r w:rsidR="005C7396" w:rsidRPr="00C77876">
        <w:rPr>
          <w:rFonts w:cs="Times New Roman"/>
        </w:rPr>
        <w:t xml:space="preserve"> Security</w:t>
      </w:r>
      <w:bookmarkEnd w:id="122"/>
      <w:bookmarkEnd w:id="123"/>
      <w:bookmarkEnd w:id="124"/>
      <w:bookmarkEnd w:id="125"/>
      <w:bookmarkEnd w:id="126"/>
      <w:bookmarkEnd w:id="127"/>
      <w:r w:rsidR="005C7396" w:rsidRPr="00C77876">
        <w:rPr>
          <w:rFonts w:cs="Times New Roman"/>
        </w:rPr>
        <w:t xml:space="preserve">  </w:t>
      </w:r>
    </w:p>
    <w:p w14:paraId="08D8D7FE" w14:textId="4A7AEE16" w:rsidR="00930FE6" w:rsidRPr="00805D26" w:rsidRDefault="004573E8" w:rsidP="009520B4">
      <w:pPr>
        <w:pStyle w:val="ParaNum"/>
        <w:tabs>
          <w:tab w:val="clear" w:pos="1080"/>
        </w:tabs>
        <w:rPr>
          <w:rFonts w:cs="Times New Roman"/>
        </w:rPr>
      </w:pPr>
      <w:r w:rsidRPr="000D27E5">
        <w:rPr>
          <w:rFonts w:cs="Times New Roman"/>
        </w:rPr>
        <w:t xml:space="preserve">Ensuring the provision of </w:t>
      </w:r>
      <w:r w:rsidR="00360F14">
        <w:rPr>
          <w:rFonts w:cs="Times New Roman"/>
        </w:rPr>
        <w:t>c</w:t>
      </w:r>
      <w:r w:rsidR="00B50131">
        <w:rPr>
          <w:rFonts w:cs="Times New Roman"/>
        </w:rPr>
        <w:t>o</w:t>
      </w:r>
      <w:r w:rsidR="00360F14">
        <w:rPr>
          <w:rFonts w:cs="Times New Roman"/>
        </w:rPr>
        <w:t>nfidentiality, i</w:t>
      </w:r>
      <w:r w:rsidR="00B50131">
        <w:rPr>
          <w:rFonts w:cs="Times New Roman"/>
        </w:rPr>
        <w:t xml:space="preserve">ntegrity, and </w:t>
      </w:r>
      <w:r w:rsidR="00360F14">
        <w:rPr>
          <w:rFonts w:cs="Times New Roman"/>
        </w:rPr>
        <w:t>a</w:t>
      </w:r>
      <w:r w:rsidR="00B50131">
        <w:rPr>
          <w:rFonts w:cs="Times New Roman"/>
        </w:rPr>
        <w:t>vailability</w:t>
      </w:r>
      <w:r w:rsidRPr="000D27E5">
        <w:rPr>
          <w:rFonts w:cs="Times New Roman"/>
        </w:rPr>
        <w:t xml:space="preserve"> requires that devices are secure and capable of authenticating on the network.  </w:t>
      </w:r>
      <w:r w:rsidR="00F113F8" w:rsidRPr="000D27E5">
        <w:rPr>
          <w:rFonts w:cs="Times New Roman"/>
        </w:rPr>
        <w:t xml:space="preserve">What methodologies will be used to protect </w:t>
      </w:r>
      <w:r w:rsidRPr="000D27E5">
        <w:rPr>
          <w:rFonts w:cs="Times New Roman"/>
        </w:rPr>
        <w:t xml:space="preserve">the variety of </w:t>
      </w:r>
      <w:r w:rsidR="00F113F8" w:rsidRPr="000D27E5">
        <w:rPr>
          <w:rFonts w:cs="Times New Roman"/>
        </w:rPr>
        <w:t xml:space="preserve">devices connected to 5G networks?  </w:t>
      </w:r>
      <w:r w:rsidR="00D62BFC" w:rsidRPr="000D27E5">
        <w:rPr>
          <w:rFonts w:cs="Times New Roman"/>
        </w:rPr>
        <w:t>For example, s</w:t>
      </w:r>
      <w:r w:rsidR="00742BAE" w:rsidRPr="000D27E5">
        <w:rPr>
          <w:rFonts w:cs="Times New Roman"/>
        </w:rPr>
        <w:t>ome</w:t>
      </w:r>
      <w:r w:rsidR="007B1113" w:rsidRPr="000D27E5">
        <w:rPr>
          <w:rFonts w:cs="Times New Roman"/>
        </w:rPr>
        <w:t xml:space="preserve"> devices that will connect to 5G networks will incorporate some form of </w:t>
      </w:r>
      <w:r w:rsidR="009164A1">
        <w:rPr>
          <w:rFonts w:cs="Times New Roman"/>
        </w:rPr>
        <w:t xml:space="preserve">Subscriber Identity Module </w:t>
      </w:r>
      <w:r w:rsidR="009164A1">
        <w:rPr>
          <w:rFonts w:cs="Times New Roman"/>
        </w:rPr>
        <w:lastRenderedPageBreak/>
        <w:t>(</w:t>
      </w:r>
      <w:r w:rsidR="007B1113" w:rsidRPr="000D27E5">
        <w:rPr>
          <w:rFonts w:cs="Times New Roman"/>
        </w:rPr>
        <w:t>SIM</w:t>
      </w:r>
      <w:r w:rsidR="009164A1">
        <w:rPr>
          <w:rFonts w:cs="Times New Roman"/>
        </w:rPr>
        <w:t>)</w:t>
      </w:r>
      <w:r w:rsidR="007B1113" w:rsidRPr="000D27E5">
        <w:rPr>
          <w:rFonts w:cs="Times New Roman"/>
        </w:rPr>
        <w:t xml:space="preserve"> technology</w:t>
      </w:r>
      <w:r w:rsidR="00CE67CD" w:rsidRPr="000D27E5">
        <w:rPr>
          <w:rFonts w:cs="Times New Roman"/>
        </w:rPr>
        <w:t>.</w:t>
      </w:r>
      <w:r w:rsidR="00CE67CD">
        <w:rPr>
          <w:rStyle w:val="FootnoteReference"/>
          <w:rFonts w:cs="Times New Roman"/>
        </w:rPr>
        <w:footnoteReference w:id="20"/>
      </w:r>
      <w:r w:rsidR="00CE67CD" w:rsidRPr="000D27E5">
        <w:rPr>
          <w:rFonts w:cs="Times New Roman"/>
        </w:rPr>
        <w:t xml:space="preserve"> </w:t>
      </w:r>
      <w:r w:rsidR="007B1113" w:rsidRPr="000D27E5">
        <w:rPr>
          <w:rFonts w:cs="Times New Roman"/>
        </w:rPr>
        <w:t xml:space="preserve"> </w:t>
      </w:r>
      <w:r w:rsidR="009439C5" w:rsidRPr="000D27E5">
        <w:rPr>
          <w:rFonts w:cs="Times New Roman"/>
        </w:rPr>
        <w:t>Is</w:t>
      </w:r>
      <w:r w:rsidR="003B7B44" w:rsidRPr="000D27E5">
        <w:rPr>
          <w:rFonts w:cs="Times New Roman"/>
        </w:rPr>
        <w:t xml:space="preserve"> </w:t>
      </w:r>
      <w:r w:rsidR="00F113F8" w:rsidRPr="000D27E5">
        <w:rPr>
          <w:rFonts w:cs="Times New Roman"/>
        </w:rPr>
        <w:t xml:space="preserve">current </w:t>
      </w:r>
      <w:r w:rsidR="003B7B44" w:rsidRPr="000D27E5">
        <w:rPr>
          <w:rFonts w:cs="Times New Roman"/>
        </w:rPr>
        <w:t>SIM technology robust enough to ensure security without posing threats to consumers, service providers</w:t>
      </w:r>
      <w:r w:rsidR="009439C5" w:rsidRPr="000D27E5">
        <w:rPr>
          <w:rFonts w:cs="Times New Roman"/>
        </w:rPr>
        <w:t>,</w:t>
      </w:r>
      <w:r w:rsidR="003B7B44" w:rsidRPr="000D27E5">
        <w:rPr>
          <w:rFonts w:cs="Times New Roman"/>
        </w:rPr>
        <w:t xml:space="preserve"> or the underlying infrastructure</w:t>
      </w:r>
      <w:r w:rsidR="009439C5" w:rsidRPr="000D27E5">
        <w:rPr>
          <w:rFonts w:cs="Times New Roman"/>
        </w:rPr>
        <w:t>?</w:t>
      </w:r>
      <w:r w:rsidR="003B7B44" w:rsidRPr="000D27E5">
        <w:rPr>
          <w:rFonts w:cs="Times New Roman"/>
        </w:rPr>
        <w:t xml:space="preserve">  Will SIM technology be leveraged for 5G?  Do standards for next generation SIM cards</w:t>
      </w:r>
      <w:r w:rsidR="00AC18CF" w:rsidRPr="000D27E5">
        <w:rPr>
          <w:rFonts w:cs="Times New Roman"/>
        </w:rPr>
        <w:t xml:space="preserve"> (</w:t>
      </w:r>
      <w:r w:rsidR="00F113F8" w:rsidRPr="00C56CC7">
        <w:rPr>
          <w:rFonts w:cs="Times New Roman"/>
          <w:i/>
        </w:rPr>
        <w:t>e.g.</w:t>
      </w:r>
      <w:r w:rsidR="002508EF" w:rsidRPr="000D27E5">
        <w:rPr>
          <w:rFonts w:cs="Times New Roman"/>
        </w:rPr>
        <w:t>,</w:t>
      </w:r>
      <w:r w:rsidR="00F113F8" w:rsidRPr="000D27E5">
        <w:rPr>
          <w:rFonts w:cs="Times New Roman"/>
        </w:rPr>
        <w:t xml:space="preserve"> </w:t>
      </w:r>
      <w:r w:rsidR="00AC18CF" w:rsidRPr="000D27E5">
        <w:rPr>
          <w:rFonts w:cs="Times New Roman"/>
        </w:rPr>
        <w:t>embedded SIMs (eSIMs)</w:t>
      </w:r>
      <w:r w:rsidR="00F113F8" w:rsidRPr="000D27E5">
        <w:rPr>
          <w:rFonts w:cs="Times New Roman"/>
        </w:rPr>
        <w:t>)</w:t>
      </w:r>
      <w:r w:rsidR="00AC18CF" w:rsidRPr="000D27E5">
        <w:rPr>
          <w:rFonts w:cs="Times New Roman"/>
        </w:rPr>
        <w:t xml:space="preserve"> </w:t>
      </w:r>
      <w:r w:rsidR="002508EF" w:rsidRPr="000D27E5">
        <w:rPr>
          <w:rFonts w:cs="Times New Roman"/>
        </w:rPr>
        <w:t>effectively address security and integrity concerns</w:t>
      </w:r>
      <w:r w:rsidR="00AC18CF" w:rsidRPr="000D27E5">
        <w:rPr>
          <w:rFonts w:cs="Times New Roman"/>
        </w:rPr>
        <w:t xml:space="preserve">?  </w:t>
      </w:r>
      <w:r w:rsidR="000D27E5" w:rsidRPr="000D27E5">
        <w:rPr>
          <w:rFonts w:cs="Times New Roman"/>
        </w:rPr>
        <w:t xml:space="preserve">What new security benefits or challenges </w:t>
      </w:r>
      <w:r w:rsidR="000D27E5" w:rsidRPr="0076730E">
        <w:rPr>
          <w:rFonts w:cs="Times New Roman"/>
        </w:rPr>
        <w:t xml:space="preserve">are created by the use of </w:t>
      </w:r>
      <w:r w:rsidR="00DE28C5">
        <w:rPr>
          <w:rFonts w:cs="Times New Roman"/>
        </w:rPr>
        <w:t>eS</w:t>
      </w:r>
      <w:r w:rsidR="000B7EFF">
        <w:rPr>
          <w:rFonts w:cs="Times New Roman"/>
        </w:rPr>
        <w:t>IMs</w:t>
      </w:r>
      <w:r w:rsidR="000D27E5" w:rsidRPr="000B5D08">
        <w:rPr>
          <w:rFonts w:cs="Times New Roman"/>
        </w:rPr>
        <w:t>?</w:t>
      </w:r>
      <w:r w:rsidR="000D27E5">
        <w:rPr>
          <w:rFonts w:cs="Times New Roman"/>
        </w:rPr>
        <w:t xml:space="preserve">  </w:t>
      </w:r>
      <w:r w:rsidR="000D27E5" w:rsidRPr="00805D26">
        <w:rPr>
          <w:rFonts w:cs="Times New Roman"/>
        </w:rPr>
        <w:t>Are there non-SIM methods that should be considered for high</w:t>
      </w:r>
      <w:r w:rsidR="00DE28C5">
        <w:rPr>
          <w:rFonts w:cs="Times New Roman"/>
        </w:rPr>
        <w:t>-</w:t>
      </w:r>
      <w:r w:rsidR="000D27E5" w:rsidRPr="00805D26">
        <w:rPr>
          <w:rFonts w:cs="Times New Roman"/>
        </w:rPr>
        <w:t>volume, low</w:t>
      </w:r>
      <w:r w:rsidR="00DE28C5">
        <w:rPr>
          <w:rFonts w:cs="Times New Roman"/>
        </w:rPr>
        <w:t>-</w:t>
      </w:r>
      <w:r w:rsidR="000D27E5" w:rsidRPr="00805D26">
        <w:rPr>
          <w:rFonts w:cs="Times New Roman"/>
        </w:rPr>
        <w:t>cost devices</w:t>
      </w:r>
      <w:r w:rsidR="00A3491E">
        <w:rPr>
          <w:rFonts w:cs="Times New Roman"/>
        </w:rPr>
        <w:t xml:space="preserve">, and if so, are standards bodies </w:t>
      </w:r>
      <w:r w:rsidR="00FE7246">
        <w:rPr>
          <w:rFonts w:cs="Times New Roman"/>
        </w:rPr>
        <w:t>currently developing standards for such methods</w:t>
      </w:r>
      <w:r w:rsidR="00A3491E">
        <w:rPr>
          <w:rFonts w:cs="Times New Roman"/>
        </w:rPr>
        <w:t xml:space="preserve">?  </w:t>
      </w:r>
      <w:r w:rsidR="00250226" w:rsidRPr="00805D26">
        <w:rPr>
          <w:rFonts w:cs="Times New Roman"/>
        </w:rPr>
        <w:t>What other issues and factors should the Commission consider on the question of preserving CIA through device security?</w:t>
      </w:r>
      <w:r w:rsidRPr="00805D26">
        <w:rPr>
          <w:rFonts w:cs="Times New Roman"/>
        </w:rPr>
        <w:t xml:space="preserve"> </w:t>
      </w:r>
    </w:p>
    <w:p w14:paraId="01E2F2E9" w14:textId="77777777" w:rsidR="00471409" w:rsidRPr="00C77876" w:rsidRDefault="00E2613C" w:rsidP="00460BE2">
      <w:pPr>
        <w:pStyle w:val="Heading3"/>
        <w:numPr>
          <w:ilvl w:val="0"/>
          <w:numId w:val="6"/>
        </w:numPr>
        <w:rPr>
          <w:rFonts w:cs="Times New Roman"/>
        </w:rPr>
      </w:pPr>
      <w:bookmarkStart w:id="128" w:name="_Toc461555041"/>
      <w:bookmarkStart w:id="129" w:name="_Toc462057120"/>
      <w:bookmarkStart w:id="130" w:name="_Toc464124735"/>
      <w:bookmarkStart w:id="131" w:name="_Toc464818723"/>
      <w:bookmarkStart w:id="132" w:name="_Toc464819261"/>
      <w:bookmarkStart w:id="133" w:name="_Toc464819410"/>
      <w:bookmarkStart w:id="134" w:name="_Toc465937277"/>
      <w:bookmarkStart w:id="135" w:name="_Toc466545196"/>
      <w:bookmarkStart w:id="136" w:name="_Toc466545465"/>
      <w:r w:rsidRPr="00C77876">
        <w:rPr>
          <w:rFonts w:cs="Times New Roman"/>
        </w:rPr>
        <w:t xml:space="preserve">Protecting </w:t>
      </w:r>
      <w:r w:rsidR="006E777E" w:rsidRPr="00C77876">
        <w:rPr>
          <w:rFonts w:cs="Times New Roman"/>
        </w:rPr>
        <w:t xml:space="preserve">5G </w:t>
      </w:r>
      <w:r w:rsidR="00354BE7" w:rsidRPr="00C77876">
        <w:rPr>
          <w:rFonts w:cs="Times New Roman"/>
        </w:rPr>
        <w:t>N</w:t>
      </w:r>
      <w:r w:rsidR="004B11FA" w:rsidRPr="00C77876">
        <w:rPr>
          <w:rFonts w:cs="Times New Roman"/>
        </w:rPr>
        <w:t xml:space="preserve">etworks </w:t>
      </w:r>
      <w:r w:rsidR="00930FE6" w:rsidRPr="00C77876">
        <w:rPr>
          <w:rFonts w:cs="Times New Roman"/>
        </w:rPr>
        <w:t>from</w:t>
      </w:r>
      <w:r w:rsidRPr="00C77876">
        <w:rPr>
          <w:rFonts w:cs="Times New Roman"/>
        </w:rPr>
        <w:t xml:space="preserve"> DoS and DDoS</w:t>
      </w:r>
      <w:r w:rsidR="004B11FA" w:rsidRPr="00C77876">
        <w:rPr>
          <w:rFonts w:cs="Times New Roman"/>
        </w:rPr>
        <w:t xml:space="preserve"> </w:t>
      </w:r>
      <w:r w:rsidR="00812BAD" w:rsidRPr="00C77876">
        <w:rPr>
          <w:rFonts w:cs="Times New Roman"/>
        </w:rPr>
        <w:t>Att</w:t>
      </w:r>
      <w:r w:rsidR="004B11FA" w:rsidRPr="00C77876">
        <w:rPr>
          <w:rFonts w:cs="Times New Roman"/>
        </w:rPr>
        <w:t>acks</w:t>
      </w:r>
      <w:bookmarkEnd w:id="128"/>
      <w:bookmarkEnd w:id="129"/>
      <w:bookmarkEnd w:id="130"/>
      <w:bookmarkEnd w:id="131"/>
      <w:bookmarkEnd w:id="132"/>
      <w:bookmarkEnd w:id="133"/>
      <w:bookmarkEnd w:id="134"/>
      <w:bookmarkEnd w:id="135"/>
      <w:bookmarkEnd w:id="136"/>
    </w:p>
    <w:p w14:paraId="7A8D7AA1" w14:textId="19C4E422" w:rsidR="002F629C" w:rsidRPr="00C77876" w:rsidRDefault="00CE67CD" w:rsidP="00460BE2">
      <w:pPr>
        <w:pStyle w:val="ParaNum"/>
        <w:tabs>
          <w:tab w:val="clear" w:pos="1080"/>
        </w:tabs>
        <w:rPr>
          <w:rFonts w:cs="Times New Roman"/>
        </w:rPr>
      </w:pPr>
      <w:r w:rsidRPr="00C03CC2">
        <w:rPr>
          <w:rFonts w:cs="Times New Roman"/>
        </w:rPr>
        <w:t>A security exploit that targets network resources, such as a D</w:t>
      </w:r>
      <w:r>
        <w:rPr>
          <w:rFonts w:cs="Times New Roman"/>
        </w:rPr>
        <w:t>enial-</w:t>
      </w:r>
      <w:r w:rsidRPr="00C03CC2">
        <w:rPr>
          <w:rFonts w:cs="Times New Roman"/>
        </w:rPr>
        <w:t>o</w:t>
      </w:r>
      <w:r>
        <w:rPr>
          <w:rFonts w:cs="Times New Roman"/>
        </w:rPr>
        <w:t>f-</w:t>
      </w:r>
      <w:r w:rsidRPr="00C03CC2">
        <w:rPr>
          <w:rFonts w:cs="Times New Roman"/>
        </w:rPr>
        <w:t>S</w:t>
      </w:r>
      <w:r>
        <w:rPr>
          <w:rFonts w:cs="Times New Roman"/>
        </w:rPr>
        <w:t>ervice</w:t>
      </w:r>
      <w:r w:rsidRPr="00C03CC2">
        <w:rPr>
          <w:rFonts w:cs="Times New Roman"/>
        </w:rPr>
        <w:t xml:space="preserve"> </w:t>
      </w:r>
      <w:r>
        <w:rPr>
          <w:rFonts w:cs="Times New Roman"/>
        </w:rPr>
        <w:t xml:space="preserve">(DoS) </w:t>
      </w:r>
      <w:r w:rsidRPr="00C03CC2">
        <w:rPr>
          <w:rFonts w:cs="Times New Roman"/>
        </w:rPr>
        <w:t>or D</w:t>
      </w:r>
      <w:r>
        <w:rPr>
          <w:rFonts w:cs="Times New Roman"/>
        </w:rPr>
        <w:t xml:space="preserve">istributed </w:t>
      </w:r>
      <w:r w:rsidRPr="00C03CC2">
        <w:rPr>
          <w:rFonts w:cs="Times New Roman"/>
        </w:rPr>
        <w:t>D</w:t>
      </w:r>
      <w:r>
        <w:rPr>
          <w:rFonts w:cs="Times New Roman"/>
        </w:rPr>
        <w:t xml:space="preserve">enial </w:t>
      </w:r>
      <w:r w:rsidRPr="00C03CC2">
        <w:rPr>
          <w:rFonts w:cs="Times New Roman"/>
        </w:rPr>
        <w:t>o</w:t>
      </w:r>
      <w:r>
        <w:rPr>
          <w:rFonts w:cs="Times New Roman"/>
        </w:rPr>
        <w:t xml:space="preserve">f </w:t>
      </w:r>
      <w:r w:rsidRPr="00C03CC2">
        <w:rPr>
          <w:rFonts w:cs="Times New Roman"/>
        </w:rPr>
        <w:t>S</w:t>
      </w:r>
      <w:r>
        <w:rPr>
          <w:rFonts w:cs="Times New Roman"/>
        </w:rPr>
        <w:t>ervice</w:t>
      </w:r>
      <w:r w:rsidRPr="00C03CC2">
        <w:rPr>
          <w:rFonts w:cs="Times New Roman"/>
        </w:rPr>
        <w:t xml:space="preserve"> </w:t>
      </w:r>
      <w:r>
        <w:rPr>
          <w:rFonts w:cs="Times New Roman"/>
        </w:rPr>
        <w:t xml:space="preserve">(DDoS) </w:t>
      </w:r>
      <w:r w:rsidRPr="00C03CC2">
        <w:rPr>
          <w:rFonts w:cs="Times New Roman"/>
        </w:rPr>
        <w:t>attack, could have an impact on availability of service by causing a total or partial disruption of service.</w:t>
      </w:r>
      <w:r w:rsidRPr="00C03CC2">
        <w:rPr>
          <w:rStyle w:val="FootnoteReference"/>
          <w:rFonts w:cs="Times New Roman"/>
          <w:sz w:val="22"/>
        </w:rPr>
        <w:footnoteReference w:id="21"/>
      </w:r>
      <w:r w:rsidRPr="00C03CC2">
        <w:rPr>
          <w:rFonts w:cs="Times New Roman"/>
        </w:rPr>
        <w:t xml:space="preserve">  We seek comment </w:t>
      </w:r>
      <w:r w:rsidRPr="008B7239">
        <w:rPr>
          <w:rFonts w:cs="Times New Roman"/>
        </w:rPr>
        <w:t xml:space="preserve">and supporting data </w:t>
      </w:r>
      <w:r w:rsidRPr="00C03CC2">
        <w:rPr>
          <w:rFonts w:cs="Times New Roman"/>
        </w:rPr>
        <w:t xml:space="preserve">on the mechanisms </w:t>
      </w:r>
      <w:r>
        <w:rPr>
          <w:rFonts w:cs="Times New Roman"/>
        </w:rPr>
        <w:t>most likely to be effective at preserving</w:t>
      </w:r>
      <w:r w:rsidR="00B50131">
        <w:rPr>
          <w:rFonts w:cs="Times New Roman"/>
        </w:rPr>
        <w:t xml:space="preserve"> confidentiality, integrity and availability</w:t>
      </w:r>
      <w:r w:rsidRPr="00C03CC2">
        <w:rPr>
          <w:rFonts w:cs="Times New Roman"/>
        </w:rPr>
        <w:t xml:space="preserve"> through mitigation of DoS and DDoS attack risks in the planned 5G environment</w:t>
      </w:r>
      <w:r>
        <w:rPr>
          <w:rFonts w:cs="Times New Roman"/>
        </w:rPr>
        <w:t>, including techniques for protecting both the network control and data planes.</w:t>
      </w:r>
      <w:r w:rsidR="00AE2351" w:rsidRPr="00B36A19">
        <w:rPr>
          <w:rStyle w:val="FootnoteReference"/>
          <w:rFonts w:cs="Times New Roman"/>
          <w:sz w:val="22"/>
        </w:rPr>
        <w:footnoteReference w:id="22"/>
      </w:r>
      <w:r w:rsidR="002F629C" w:rsidRPr="00C77876">
        <w:rPr>
          <w:rFonts w:cs="Times New Roman"/>
        </w:rPr>
        <w:t xml:space="preserve">  Which methods of defense against DoS</w:t>
      </w:r>
      <w:r w:rsidR="00C860DD">
        <w:rPr>
          <w:rFonts w:cs="Times New Roman"/>
        </w:rPr>
        <w:t xml:space="preserve"> and </w:t>
      </w:r>
      <w:r w:rsidR="00DD4E3B" w:rsidRPr="00C77876">
        <w:rPr>
          <w:rFonts w:cs="Times New Roman"/>
        </w:rPr>
        <w:t>DDoS</w:t>
      </w:r>
      <w:r w:rsidR="002F629C" w:rsidRPr="00C77876">
        <w:rPr>
          <w:rFonts w:cs="Times New Roman"/>
        </w:rPr>
        <w:t xml:space="preserve"> attacks are the most cost-effective?</w:t>
      </w:r>
    </w:p>
    <w:p w14:paraId="20A67638" w14:textId="4903B5F0" w:rsidR="0091342E" w:rsidRPr="00C77876" w:rsidRDefault="002508EF" w:rsidP="00460BE2">
      <w:pPr>
        <w:pStyle w:val="ParaNum"/>
        <w:tabs>
          <w:tab w:val="clear" w:pos="1080"/>
        </w:tabs>
        <w:rPr>
          <w:rFonts w:cs="Times New Roman"/>
        </w:rPr>
      </w:pPr>
      <w:r>
        <w:rPr>
          <w:rFonts w:cs="Times New Roman"/>
        </w:rPr>
        <w:t>W</w:t>
      </w:r>
      <w:r w:rsidR="00B02299" w:rsidRPr="00C77876">
        <w:rPr>
          <w:rFonts w:cs="Times New Roman"/>
        </w:rPr>
        <w:t>e</w:t>
      </w:r>
      <w:r w:rsidR="0091342E" w:rsidRPr="00C77876">
        <w:rPr>
          <w:rFonts w:cs="Times New Roman"/>
        </w:rPr>
        <w:t xml:space="preserve"> seek comment on whether additional standards are needed to assist in mitigating </w:t>
      </w:r>
      <w:r w:rsidR="00DD4E3B" w:rsidRPr="00C77876">
        <w:rPr>
          <w:rFonts w:cs="Times New Roman"/>
        </w:rPr>
        <w:t>DoS</w:t>
      </w:r>
      <w:r w:rsidR="00C860DD">
        <w:rPr>
          <w:rFonts w:cs="Times New Roman"/>
        </w:rPr>
        <w:t xml:space="preserve"> and </w:t>
      </w:r>
      <w:r w:rsidR="0091342E" w:rsidRPr="00C77876">
        <w:rPr>
          <w:rFonts w:cs="Times New Roman"/>
        </w:rPr>
        <w:t xml:space="preserve">DDoS attacks.  </w:t>
      </w:r>
      <w:r w:rsidR="004E6FD9" w:rsidRPr="00C77876">
        <w:rPr>
          <w:rFonts w:cs="Times New Roman"/>
        </w:rPr>
        <w:t xml:space="preserve">Many </w:t>
      </w:r>
      <w:r w:rsidR="00C860DD">
        <w:rPr>
          <w:rFonts w:cs="Times New Roman"/>
        </w:rPr>
        <w:t xml:space="preserve">such </w:t>
      </w:r>
      <w:r w:rsidR="004E6FD9" w:rsidRPr="00C77876">
        <w:rPr>
          <w:rFonts w:cs="Times New Roman"/>
        </w:rPr>
        <w:t>attack</w:t>
      </w:r>
      <w:r w:rsidR="00FF2A82" w:rsidRPr="00C77876">
        <w:rPr>
          <w:rFonts w:cs="Times New Roman"/>
        </w:rPr>
        <w:t>s</w:t>
      </w:r>
      <w:r w:rsidR="004E6FD9" w:rsidRPr="00C77876">
        <w:rPr>
          <w:rFonts w:cs="Times New Roman"/>
        </w:rPr>
        <w:t xml:space="preserve"> involve </w:t>
      </w:r>
      <w:r w:rsidR="00C860DD">
        <w:rPr>
          <w:rFonts w:cs="Times New Roman"/>
        </w:rPr>
        <w:t xml:space="preserve">the </w:t>
      </w:r>
      <w:r w:rsidR="004E6FD9" w:rsidRPr="00C77876">
        <w:rPr>
          <w:rFonts w:cs="Times New Roman"/>
        </w:rPr>
        <w:t>forging of IP</w:t>
      </w:r>
      <w:r w:rsidR="00C860DD">
        <w:rPr>
          <w:rFonts w:cs="Times New Roman"/>
        </w:rPr>
        <w:t>-</w:t>
      </w:r>
      <w:r w:rsidR="004E6FD9" w:rsidRPr="00C77876">
        <w:rPr>
          <w:rFonts w:cs="Times New Roman"/>
        </w:rPr>
        <w:t>sender addresses (spoofing) so the attacking machines cannot be easily identified</w:t>
      </w:r>
      <w:r w:rsidR="00075D72">
        <w:rPr>
          <w:rFonts w:cs="Times New Roman"/>
        </w:rPr>
        <w:t xml:space="preserve"> and to allow amplification </w:t>
      </w:r>
      <w:r w:rsidR="00EA0081">
        <w:rPr>
          <w:rFonts w:cs="Times New Roman"/>
        </w:rPr>
        <w:t xml:space="preserve">of </w:t>
      </w:r>
      <w:r w:rsidR="00075D72">
        <w:rPr>
          <w:rFonts w:cs="Times New Roman"/>
        </w:rPr>
        <w:t xml:space="preserve">attacks.  </w:t>
      </w:r>
      <w:r w:rsidR="004459BD" w:rsidRPr="00C77876">
        <w:rPr>
          <w:rFonts w:cs="Times New Roman"/>
        </w:rPr>
        <w:t xml:space="preserve">What </w:t>
      </w:r>
      <w:r>
        <w:rPr>
          <w:rFonts w:cs="Times New Roman"/>
        </w:rPr>
        <w:t>anti-spoofing technologies are most likely to be effective in the 5G environment, and w</w:t>
      </w:r>
      <w:r w:rsidR="004459BD" w:rsidRPr="00C77876">
        <w:rPr>
          <w:rFonts w:cs="Times New Roman"/>
        </w:rPr>
        <w:t>hat are the challenges to their</w:t>
      </w:r>
      <w:r>
        <w:rPr>
          <w:rFonts w:cs="Times New Roman"/>
        </w:rPr>
        <w:t xml:space="preserve"> deployment</w:t>
      </w:r>
      <w:r w:rsidR="00DD4E3B" w:rsidRPr="00C77876">
        <w:rPr>
          <w:rFonts w:cs="Times New Roman"/>
        </w:rPr>
        <w:t>?</w:t>
      </w:r>
      <w:r w:rsidR="00616A9A">
        <w:rPr>
          <w:rFonts w:cs="Times New Roman"/>
        </w:rPr>
        <w:t xml:space="preserve"> </w:t>
      </w:r>
      <w:r w:rsidR="004E6FD9" w:rsidRPr="00C77876">
        <w:rPr>
          <w:rFonts w:cs="Times New Roman"/>
        </w:rPr>
        <w:t xml:space="preserve"> </w:t>
      </w:r>
    </w:p>
    <w:p w14:paraId="2D11F2F9" w14:textId="77777777" w:rsidR="00471409" w:rsidRPr="00C77876" w:rsidRDefault="004459BD" w:rsidP="00460BE2">
      <w:pPr>
        <w:pStyle w:val="Heading3"/>
        <w:numPr>
          <w:ilvl w:val="0"/>
          <w:numId w:val="6"/>
        </w:numPr>
        <w:rPr>
          <w:rFonts w:cs="Times New Roman"/>
        </w:rPr>
      </w:pPr>
      <w:r w:rsidRPr="00C77876">
        <w:rPr>
          <w:rFonts w:cs="Times New Roman"/>
        </w:rPr>
        <w:lastRenderedPageBreak/>
        <w:t>Patch Management</w:t>
      </w:r>
      <w:r w:rsidR="00471409" w:rsidRPr="00C77876">
        <w:rPr>
          <w:rFonts w:cs="Times New Roman"/>
        </w:rPr>
        <w:t xml:space="preserve"> </w:t>
      </w:r>
    </w:p>
    <w:p w14:paraId="24A30FE1" w14:textId="77777777" w:rsidR="00AB7245" w:rsidRPr="00C77876" w:rsidRDefault="002508EF" w:rsidP="00460BE2">
      <w:pPr>
        <w:pStyle w:val="ParaNum"/>
        <w:tabs>
          <w:tab w:val="clear" w:pos="1080"/>
        </w:tabs>
        <w:rPr>
          <w:rFonts w:cs="Times New Roman"/>
        </w:rPr>
      </w:pPr>
      <w:r w:rsidRPr="00C03CC2">
        <w:rPr>
          <w:rFonts w:cs="Times New Roman"/>
        </w:rPr>
        <w:t>For more than a decade, communications security authorities and expert bodies</w:t>
      </w:r>
      <w:r>
        <w:rPr>
          <w:rFonts w:cs="Times New Roman"/>
        </w:rPr>
        <w:t xml:space="preserve">, such as </w:t>
      </w:r>
      <w:r w:rsidRPr="00C03CC2">
        <w:rPr>
          <w:rFonts w:cs="Times New Roman"/>
        </w:rPr>
        <w:t>the Commission’s Federal Advisory Committee for communications security policy development</w:t>
      </w:r>
      <w:r>
        <w:rPr>
          <w:rFonts w:cs="Times New Roman"/>
        </w:rPr>
        <w:t xml:space="preserve"> (the </w:t>
      </w:r>
      <w:r w:rsidRPr="00C03CC2">
        <w:rPr>
          <w:rFonts w:cs="Times New Roman"/>
        </w:rPr>
        <w:t>C</w:t>
      </w:r>
      <w:r>
        <w:rPr>
          <w:rFonts w:cs="Times New Roman"/>
        </w:rPr>
        <w:t xml:space="preserve">ommunications </w:t>
      </w:r>
      <w:r w:rsidRPr="00C03CC2">
        <w:rPr>
          <w:rFonts w:cs="Times New Roman"/>
        </w:rPr>
        <w:t>S</w:t>
      </w:r>
      <w:r>
        <w:rPr>
          <w:rFonts w:cs="Times New Roman"/>
        </w:rPr>
        <w:t xml:space="preserve">ecurity </w:t>
      </w:r>
      <w:r w:rsidRPr="00C03CC2">
        <w:rPr>
          <w:rFonts w:cs="Times New Roman"/>
        </w:rPr>
        <w:t>R</w:t>
      </w:r>
      <w:r>
        <w:rPr>
          <w:rFonts w:cs="Times New Roman"/>
        </w:rPr>
        <w:t xml:space="preserve">eliability and </w:t>
      </w:r>
      <w:r w:rsidRPr="00C03CC2">
        <w:rPr>
          <w:rFonts w:cs="Times New Roman"/>
        </w:rPr>
        <w:t>I</w:t>
      </w:r>
      <w:r>
        <w:rPr>
          <w:rFonts w:cs="Times New Roman"/>
        </w:rPr>
        <w:t xml:space="preserve">nteroperability </w:t>
      </w:r>
      <w:r w:rsidRPr="00C03CC2">
        <w:rPr>
          <w:rFonts w:cs="Times New Roman"/>
        </w:rPr>
        <w:t>C</w:t>
      </w:r>
      <w:r>
        <w:rPr>
          <w:rFonts w:cs="Times New Roman"/>
        </w:rPr>
        <w:t>ouncil (CSRIC))</w:t>
      </w:r>
      <w:r w:rsidRPr="00C03CC2">
        <w:rPr>
          <w:rFonts w:cs="Times New Roman"/>
        </w:rPr>
        <w:t xml:space="preserve">, </w:t>
      </w:r>
      <w:r w:rsidR="00AB7245" w:rsidRPr="00C77876">
        <w:rPr>
          <w:rFonts w:cs="Times New Roman"/>
        </w:rPr>
        <w:t>have stressed the importance of regular system patching.</w:t>
      </w:r>
      <w:r w:rsidR="005E71CF" w:rsidRPr="00B36A19">
        <w:rPr>
          <w:rStyle w:val="FootnoteReference"/>
          <w:rFonts w:cs="Times New Roman"/>
          <w:sz w:val="22"/>
        </w:rPr>
        <w:footnoteReference w:id="23"/>
      </w:r>
      <w:r w:rsidR="00AB7245" w:rsidRPr="00C77876">
        <w:rPr>
          <w:rFonts w:cs="Times New Roman"/>
          <w:vertAlign w:val="superscript"/>
        </w:rPr>
        <w:t xml:space="preserve"> </w:t>
      </w:r>
      <w:r w:rsidR="00AB7245" w:rsidRPr="00C77876">
        <w:rPr>
          <w:rFonts w:cs="Times New Roman"/>
        </w:rPr>
        <w:t xml:space="preserve">  </w:t>
      </w:r>
      <w:r w:rsidR="00D4313C" w:rsidRPr="00C77876">
        <w:rPr>
          <w:rFonts w:cs="Times New Roman"/>
        </w:rPr>
        <w:t>A</w:t>
      </w:r>
      <w:r w:rsidR="009E521A" w:rsidRPr="00C77876">
        <w:rPr>
          <w:rFonts w:cs="Times New Roman"/>
        </w:rPr>
        <w:t xml:space="preserve">pplying security patches and </w:t>
      </w:r>
      <w:r w:rsidR="00A16833" w:rsidRPr="00C77876">
        <w:rPr>
          <w:rFonts w:cs="Times New Roman"/>
        </w:rPr>
        <w:t>routine</w:t>
      </w:r>
      <w:r w:rsidR="009E521A" w:rsidRPr="00C77876">
        <w:rPr>
          <w:rFonts w:cs="Times New Roman"/>
        </w:rPr>
        <w:t xml:space="preserve"> patch management </w:t>
      </w:r>
      <w:r w:rsidR="00D4313C" w:rsidRPr="00C77876">
        <w:rPr>
          <w:rFonts w:cs="Times New Roman"/>
        </w:rPr>
        <w:t xml:space="preserve">can reduce known </w:t>
      </w:r>
      <w:r w:rsidR="009E521A" w:rsidRPr="00C77876">
        <w:rPr>
          <w:rFonts w:cs="Times New Roman"/>
        </w:rPr>
        <w:t>vulnerabilities in devices and software</w:t>
      </w:r>
      <w:r w:rsidR="009F1A8F" w:rsidRPr="00C77876">
        <w:rPr>
          <w:rFonts w:cs="Times New Roman"/>
        </w:rPr>
        <w:t>,</w:t>
      </w:r>
      <w:r w:rsidR="009E521A" w:rsidRPr="00B36A19">
        <w:rPr>
          <w:rStyle w:val="FootnoteReference"/>
          <w:rFonts w:cs="Times New Roman"/>
          <w:sz w:val="22"/>
        </w:rPr>
        <w:footnoteReference w:id="24"/>
      </w:r>
      <w:r w:rsidR="009E521A" w:rsidRPr="00C77876">
        <w:rPr>
          <w:rFonts w:cs="Times New Roman"/>
        </w:rPr>
        <w:t xml:space="preserve"> </w:t>
      </w:r>
      <w:r w:rsidR="009F1A8F" w:rsidRPr="00C77876">
        <w:rPr>
          <w:rFonts w:cs="Times New Roman"/>
        </w:rPr>
        <w:t xml:space="preserve">reducing the risk of </w:t>
      </w:r>
      <w:r w:rsidR="00A16833" w:rsidRPr="00C77876">
        <w:rPr>
          <w:rFonts w:cs="Times New Roman"/>
        </w:rPr>
        <w:t>successful security exploits</w:t>
      </w:r>
      <w:r w:rsidR="009F1A8F" w:rsidRPr="00C77876">
        <w:rPr>
          <w:rFonts w:cs="Times New Roman"/>
        </w:rPr>
        <w:t xml:space="preserve"> to devices and networks and enhancing system</w:t>
      </w:r>
      <w:r w:rsidR="00B856AE" w:rsidRPr="00C77876">
        <w:rPr>
          <w:rFonts w:cs="Times New Roman"/>
        </w:rPr>
        <w:t xml:space="preserve"> </w:t>
      </w:r>
      <w:r w:rsidR="00B50131">
        <w:rPr>
          <w:rFonts w:cs="Times New Roman"/>
        </w:rPr>
        <w:t>confidentiality, integrity, and availability</w:t>
      </w:r>
      <w:r w:rsidR="00B856AE" w:rsidRPr="00C77876">
        <w:rPr>
          <w:rFonts w:cs="Times New Roman"/>
        </w:rPr>
        <w:t>.</w:t>
      </w:r>
      <w:r w:rsidR="00B856AE" w:rsidRPr="00C77876" w:rsidDel="00B856AE">
        <w:rPr>
          <w:rFonts w:cs="Times New Roman"/>
        </w:rPr>
        <w:t xml:space="preserve"> </w:t>
      </w:r>
      <w:r w:rsidR="00B50131">
        <w:rPr>
          <w:rFonts w:cs="Times New Roman"/>
        </w:rPr>
        <w:t xml:space="preserve"> </w:t>
      </w:r>
      <w:r w:rsidR="005E5AF8" w:rsidRPr="00C77876">
        <w:rPr>
          <w:rFonts w:cs="Times New Roman"/>
        </w:rPr>
        <w:t>We seek comment and supporting data on patch management’s role as part of a service provider’s overall security risk management strategy in the 5G environment.</w:t>
      </w:r>
      <w:r w:rsidR="005E5AF8" w:rsidRPr="00B36A19">
        <w:rPr>
          <w:rStyle w:val="FootnoteReference"/>
          <w:rFonts w:cs="Times New Roman"/>
          <w:sz w:val="22"/>
        </w:rPr>
        <w:footnoteReference w:id="25"/>
      </w:r>
      <w:r w:rsidR="00763D28" w:rsidRPr="00C77876">
        <w:rPr>
          <w:rFonts w:cs="Times New Roman"/>
        </w:rPr>
        <w:t xml:space="preserve"> </w:t>
      </w:r>
      <w:r w:rsidR="00AB7245" w:rsidRPr="00C77876">
        <w:rPr>
          <w:rFonts w:cs="Times New Roman"/>
        </w:rPr>
        <w:t xml:space="preserve"> </w:t>
      </w:r>
    </w:p>
    <w:p w14:paraId="1EA4E0EA" w14:textId="524D7C7A" w:rsidR="001240F0" w:rsidRPr="00C77876" w:rsidRDefault="006F5AC3" w:rsidP="00460BE2">
      <w:pPr>
        <w:pStyle w:val="ParaNum"/>
        <w:tabs>
          <w:tab w:val="clear" w:pos="1080"/>
        </w:tabs>
        <w:rPr>
          <w:rFonts w:cs="Times New Roman"/>
        </w:rPr>
      </w:pPr>
      <w:r w:rsidRPr="00C77876">
        <w:rPr>
          <w:rFonts w:cs="Times New Roman"/>
        </w:rPr>
        <w:t xml:space="preserve">We also seek comment on which </w:t>
      </w:r>
      <w:r w:rsidR="005E5AF8" w:rsidRPr="00C77876">
        <w:rPr>
          <w:rFonts w:cs="Times New Roman"/>
        </w:rPr>
        <w:t xml:space="preserve">5G network </w:t>
      </w:r>
      <w:r w:rsidRPr="00C77876">
        <w:rPr>
          <w:rFonts w:cs="Times New Roman"/>
        </w:rPr>
        <w:t xml:space="preserve">elements can be successfully maintained </w:t>
      </w:r>
      <w:r w:rsidR="009145E8">
        <w:rPr>
          <w:rFonts w:cs="Times New Roman"/>
        </w:rPr>
        <w:t xml:space="preserve">by service providers </w:t>
      </w:r>
      <w:r w:rsidRPr="00C77876">
        <w:rPr>
          <w:rFonts w:cs="Times New Roman"/>
        </w:rPr>
        <w:t xml:space="preserve">through patch management.  </w:t>
      </w:r>
      <w:r w:rsidR="00580009" w:rsidRPr="00C77876">
        <w:rPr>
          <w:rFonts w:cs="Times New Roman"/>
        </w:rPr>
        <w:t>We observe that there are generally four types of</w:t>
      </w:r>
      <w:r w:rsidR="00AF716B" w:rsidRPr="00C77876">
        <w:rPr>
          <w:rFonts w:cs="Times New Roman"/>
        </w:rPr>
        <w:t xml:space="preserve"> patches</w:t>
      </w:r>
      <w:r w:rsidR="00580009" w:rsidRPr="00C77876">
        <w:rPr>
          <w:rFonts w:cs="Times New Roman"/>
        </w:rPr>
        <w:t xml:space="preserve"> that are pushed to devices</w:t>
      </w:r>
      <w:r w:rsidR="007B2097">
        <w:rPr>
          <w:rFonts w:cs="Times New Roman"/>
        </w:rPr>
        <w:t xml:space="preserve"> with service provider involvement</w:t>
      </w:r>
      <w:r w:rsidR="00AF716B" w:rsidRPr="00C77876">
        <w:rPr>
          <w:rFonts w:cs="Times New Roman"/>
        </w:rPr>
        <w:t>: (1) patches from service providers to their own infrastructure; (2) patches service providers require and push on to subscriber devices; (3) patches to third</w:t>
      </w:r>
      <w:r w:rsidR="00E03C25">
        <w:rPr>
          <w:rFonts w:cs="Times New Roman"/>
        </w:rPr>
        <w:t>-</w:t>
      </w:r>
      <w:r w:rsidR="00AF716B" w:rsidRPr="00C77876">
        <w:rPr>
          <w:rFonts w:cs="Times New Roman"/>
        </w:rPr>
        <w:t xml:space="preserve">party infrastructure that are leased by </w:t>
      </w:r>
      <w:r w:rsidR="009145E8">
        <w:rPr>
          <w:rFonts w:cs="Times New Roman"/>
        </w:rPr>
        <w:t xml:space="preserve">service </w:t>
      </w:r>
      <w:r w:rsidR="00AF716B" w:rsidRPr="00C77876">
        <w:rPr>
          <w:rFonts w:cs="Times New Roman"/>
        </w:rPr>
        <w:t xml:space="preserve">providers but owned by a third party; (4) patches to </w:t>
      </w:r>
      <w:r w:rsidR="00FB3819" w:rsidRPr="00C77876">
        <w:rPr>
          <w:rFonts w:cs="Times New Roman"/>
        </w:rPr>
        <w:t xml:space="preserve">subscriber devices </w:t>
      </w:r>
      <w:r w:rsidR="00AF716B" w:rsidRPr="00C77876">
        <w:rPr>
          <w:rFonts w:cs="Times New Roman"/>
        </w:rPr>
        <w:t>that are sent by device manufacture</w:t>
      </w:r>
      <w:r w:rsidR="009145E8">
        <w:rPr>
          <w:rFonts w:cs="Times New Roman"/>
        </w:rPr>
        <w:t>s under the direction of service provider</w:t>
      </w:r>
      <w:r w:rsidR="00AF716B" w:rsidRPr="00C77876">
        <w:rPr>
          <w:rFonts w:cs="Times New Roman"/>
        </w:rPr>
        <w:t>s.  For each type of patch</w:t>
      </w:r>
      <w:r w:rsidRPr="00C77876">
        <w:rPr>
          <w:rFonts w:cs="Times New Roman"/>
        </w:rPr>
        <w:t>,</w:t>
      </w:r>
      <w:r w:rsidR="00AF716B" w:rsidRPr="00C77876">
        <w:rPr>
          <w:rFonts w:cs="Times New Roman"/>
        </w:rPr>
        <w:t xml:space="preserve"> we seek comment </w:t>
      </w:r>
      <w:r w:rsidR="00D95079">
        <w:rPr>
          <w:rFonts w:cs="Times New Roman"/>
        </w:rPr>
        <w:t xml:space="preserve">on </w:t>
      </w:r>
      <w:r w:rsidR="00D95079" w:rsidRPr="00A85255">
        <w:rPr>
          <w:rFonts w:cs="Times New Roman"/>
        </w:rPr>
        <w:t xml:space="preserve">processes </w:t>
      </w:r>
      <w:r w:rsidR="00D95079">
        <w:rPr>
          <w:rFonts w:cs="Times New Roman"/>
        </w:rPr>
        <w:t xml:space="preserve">that </w:t>
      </w:r>
      <w:r w:rsidR="00D95079" w:rsidRPr="00A85255">
        <w:rPr>
          <w:rFonts w:cs="Times New Roman"/>
        </w:rPr>
        <w:t>service providers and mobile device manufacturers should adopt to sustain an eff</w:t>
      </w:r>
      <w:r w:rsidR="00D95079">
        <w:rPr>
          <w:rFonts w:cs="Times New Roman"/>
        </w:rPr>
        <w:t>ective patch management program in the 5G environment.</w:t>
      </w:r>
      <w:r w:rsidR="00AF716B" w:rsidRPr="00C77876">
        <w:rPr>
          <w:rFonts w:cs="Times New Roman"/>
        </w:rPr>
        <w:t xml:space="preserve">  </w:t>
      </w:r>
      <w:r w:rsidR="00021A01" w:rsidRPr="00C77876">
        <w:rPr>
          <w:rFonts w:cs="Times New Roman"/>
        </w:rPr>
        <w:t xml:space="preserve">How do </w:t>
      </w:r>
      <w:r w:rsidR="00AF716B" w:rsidRPr="00C77876">
        <w:rPr>
          <w:rFonts w:cs="Times New Roman"/>
        </w:rPr>
        <w:t xml:space="preserve">service providers and </w:t>
      </w:r>
      <w:r w:rsidR="00854F16" w:rsidRPr="00C77876">
        <w:rPr>
          <w:rFonts w:cs="Times New Roman"/>
        </w:rPr>
        <w:t xml:space="preserve">mobile </w:t>
      </w:r>
      <w:r w:rsidR="00AF716B" w:rsidRPr="00C77876">
        <w:rPr>
          <w:rFonts w:cs="Times New Roman"/>
        </w:rPr>
        <w:t xml:space="preserve">device manufacturers </w:t>
      </w:r>
      <w:r w:rsidR="00270842" w:rsidRPr="00C77876">
        <w:rPr>
          <w:rFonts w:cs="Times New Roman"/>
        </w:rPr>
        <w:t>routinely make themselves</w:t>
      </w:r>
      <w:r w:rsidR="00021A01" w:rsidRPr="00C77876">
        <w:rPr>
          <w:rFonts w:cs="Times New Roman"/>
        </w:rPr>
        <w:t xml:space="preserve"> aware of new vulnerabilities that need to be patched?  </w:t>
      </w:r>
      <w:r w:rsidR="00DC2657" w:rsidRPr="00C77876">
        <w:rPr>
          <w:rFonts w:cs="Times New Roman"/>
        </w:rPr>
        <w:t xml:space="preserve">How soon after a vulnerability is discovered is the corresponding patch pushed to </w:t>
      </w:r>
      <w:r w:rsidR="00DC2657" w:rsidRPr="00C77876">
        <w:rPr>
          <w:rFonts w:cs="Times New Roman"/>
        </w:rPr>
        <w:lastRenderedPageBreak/>
        <w:t xml:space="preserve">devices?  </w:t>
      </w:r>
      <w:r w:rsidRPr="00C77876">
        <w:rPr>
          <w:rFonts w:cs="Times New Roman"/>
        </w:rPr>
        <w:t xml:space="preserve">What other mechanisms might preclude unauthenticated code </w:t>
      </w:r>
      <w:r w:rsidR="00E03C25">
        <w:rPr>
          <w:rFonts w:cs="Times New Roman"/>
        </w:rPr>
        <w:t>from</w:t>
      </w:r>
      <w:r w:rsidRPr="00C77876">
        <w:rPr>
          <w:rFonts w:cs="Times New Roman"/>
        </w:rPr>
        <w:t xml:space="preserve"> run</w:t>
      </w:r>
      <w:r w:rsidR="00E03C25">
        <w:rPr>
          <w:rFonts w:cs="Times New Roman"/>
        </w:rPr>
        <w:t>ning</w:t>
      </w:r>
      <w:r w:rsidRPr="00C77876">
        <w:rPr>
          <w:rFonts w:cs="Times New Roman"/>
        </w:rPr>
        <w:t xml:space="preserve"> on 5G devices that are connected to their networks?  </w:t>
      </w:r>
    </w:p>
    <w:p w14:paraId="365530FF" w14:textId="01AD3090" w:rsidR="00471409" w:rsidRPr="00C77876" w:rsidRDefault="007F2838" w:rsidP="00460BE2">
      <w:pPr>
        <w:pStyle w:val="ParaNum"/>
        <w:tabs>
          <w:tab w:val="clear" w:pos="1080"/>
        </w:tabs>
        <w:rPr>
          <w:rFonts w:cs="Times New Roman"/>
        </w:rPr>
      </w:pPr>
      <w:r w:rsidRPr="00C77876">
        <w:rPr>
          <w:rFonts w:cs="Times New Roman"/>
        </w:rPr>
        <w:t xml:space="preserve">We seek comment on how 5G service providers and equipment manufacturers can ensure that critical security software updates are installed on their subscriber devices in a timely fashion.  </w:t>
      </w:r>
      <w:r w:rsidR="006B194D" w:rsidRPr="00C77876">
        <w:rPr>
          <w:rFonts w:cs="Times New Roman"/>
        </w:rPr>
        <w:t>How can</w:t>
      </w:r>
      <w:r w:rsidRPr="00C77876">
        <w:rPr>
          <w:rFonts w:cs="Times New Roman"/>
        </w:rPr>
        <w:t xml:space="preserve"> </w:t>
      </w:r>
      <w:r w:rsidR="00363343" w:rsidRPr="00C77876">
        <w:rPr>
          <w:rFonts w:cs="Times New Roman"/>
        </w:rPr>
        <w:t xml:space="preserve">5G </w:t>
      </w:r>
      <w:r w:rsidR="00471409" w:rsidRPr="00C77876">
        <w:rPr>
          <w:rFonts w:cs="Times New Roman"/>
        </w:rPr>
        <w:t xml:space="preserve">service providers </w:t>
      </w:r>
      <w:r w:rsidR="00931C3D" w:rsidRPr="00C77876">
        <w:rPr>
          <w:rFonts w:cs="Times New Roman"/>
        </w:rPr>
        <w:t xml:space="preserve">effectively ensure </w:t>
      </w:r>
      <w:r w:rsidR="00471409" w:rsidRPr="00C77876">
        <w:rPr>
          <w:rFonts w:cs="Times New Roman"/>
        </w:rPr>
        <w:t>firmware and software patch</w:t>
      </w:r>
      <w:r w:rsidR="00931C3D" w:rsidRPr="00C77876">
        <w:rPr>
          <w:rFonts w:cs="Times New Roman"/>
        </w:rPr>
        <w:t xml:space="preserve"> management </w:t>
      </w:r>
      <w:r w:rsidR="002974ED" w:rsidRPr="00C77876">
        <w:rPr>
          <w:rFonts w:cs="Times New Roman"/>
        </w:rPr>
        <w:t xml:space="preserve">related to security </w:t>
      </w:r>
      <w:r w:rsidR="00931C3D" w:rsidRPr="00C77876">
        <w:rPr>
          <w:rFonts w:cs="Times New Roman"/>
        </w:rPr>
        <w:t xml:space="preserve">through </w:t>
      </w:r>
      <w:r w:rsidR="00021A01" w:rsidRPr="00C77876">
        <w:rPr>
          <w:rFonts w:cs="Times New Roman"/>
        </w:rPr>
        <w:t xml:space="preserve">their </w:t>
      </w:r>
      <w:r w:rsidR="00471409" w:rsidRPr="00C77876">
        <w:rPr>
          <w:rFonts w:cs="Times New Roman"/>
        </w:rPr>
        <w:t>customer</w:t>
      </w:r>
      <w:r w:rsidR="00220999" w:rsidRPr="00C77876">
        <w:rPr>
          <w:rFonts w:cs="Times New Roman"/>
        </w:rPr>
        <w:t xml:space="preserve"> relationship</w:t>
      </w:r>
      <w:r w:rsidR="00471409" w:rsidRPr="00C77876">
        <w:rPr>
          <w:rFonts w:cs="Times New Roman"/>
        </w:rPr>
        <w:t>s</w:t>
      </w:r>
      <w:r w:rsidRPr="00C77876">
        <w:rPr>
          <w:rFonts w:cs="Times New Roman"/>
        </w:rPr>
        <w:t>?</w:t>
      </w:r>
      <w:r w:rsidR="00471409" w:rsidRPr="00B36A19">
        <w:rPr>
          <w:rStyle w:val="FootnoteReference"/>
          <w:rFonts w:cs="Times New Roman"/>
          <w:sz w:val="22"/>
        </w:rPr>
        <w:footnoteReference w:id="26"/>
      </w:r>
      <w:r w:rsidR="00471409" w:rsidRPr="00C77876">
        <w:rPr>
          <w:rFonts w:cs="Times New Roman"/>
        </w:rPr>
        <w:t xml:space="preserve">  </w:t>
      </w:r>
      <w:r w:rsidRPr="00C77876">
        <w:rPr>
          <w:rFonts w:cs="Times New Roman"/>
        </w:rPr>
        <w:t xml:space="preserve">How </w:t>
      </w:r>
      <w:r w:rsidR="006B194D" w:rsidRPr="00C77876">
        <w:rPr>
          <w:rFonts w:cs="Times New Roman"/>
        </w:rPr>
        <w:t xml:space="preserve">common is it for </w:t>
      </w:r>
      <w:r w:rsidRPr="00C77876">
        <w:rPr>
          <w:rFonts w:cs="Times New Roman"/>
        </w:rPr>
        <w:t xml:space="preserve">manufacturers </w:t>
      </w:r>
      <w:r w:rsidR="006B194D" w:rsidRPr="00C77876">
        <w:rPr>
          <w:rFonts w:cs="Times New Roman"/>
        </w:rPr>
        <w:t xml:space="preserve">or </w:t>
      </w:r>
      <w:r w:rsidRPr="00C77876">
        <w:rPr>
          <w:rFonts w:cs="Times New Roman"/>
        </w:rPr>
        <w:t xml:space="preserve">service providers </w:t>
      </w:r>
      <w:r w:rsidR="006B194D" w:rsidRPr="00C77876">
        <w:rPr>
          <w:rFonts w:cs="Times New Roman"/>
        </w:rPr>
        <w:t xml:space="preserve">to </w:t>
      </w:r>
      <w:r w:rsidRPr="00C77876">
        <w:rPr>
          <w:rFonts w:cs="Times New Roman"/>
        </w:rPr>
        <w:t xml:space="preserve">rely on consumers to become aware of and install patches to their software and/or hardware?  </w:t>
      </w:r>
      <w:r w:rsidR="001240F0" w:rsidRPr="00C77876">
        <w:rPr>
          <w:rFonts w:cs="Times New Roman"/>
        </w:rPr>
        <w:t xml:space="preserve">What </w:t>
      </w:r>
      <w:r w:rsidR="002974ED" w:rsidRPr="00C77876">
        <w:rPr>
          <w:rFonts w:cs="Times New Roman"/>
        </w:rPr>
        <w:t xml:space="preserve">do </w:t>
      </w:r>
      <w:r w:rsidRPr="00C77876">
        <w:rPr>
          <w:rFonts w:cs="Times New Roman"/>
        </w:rPr>
        <w:t xml:space="preserve">5G </w:t>
      </w:r>
      <w:r w:rsidR="001240F0" w:rsidRPr="00C77876">
        <w:rPr>
          <w:rFonts w:cs="Times New Roman"/>
        </w:rPr>
        <w:t>service provider</w:t>
      </w:r>
      <w:r w:rsidR="00AC18CF" w:rsidRPr="00C77876">
        <w:rPr>
          <w:rFonts w:cs="Times New Roman"/>
        </w:rPr>
        <w:t>s</w:t>
      </w:r>
      <w:r w:rsidR="001240F0" w:rsidRPr="00C77876">
        <w:rPr>
          <w:rFonts w:cs="Times New Roman"/>
        </w:rPr>
        <w:t xml:space="preserve"> </w:t>
      </w:r>
      <w:r w:rsidR="002974ED" w:rsidRPr="00C77876">
        <w:rPr>
          <w:rFonts w:cs="Times New Roman"/>
        </w:rPr>
        <w:t>plan to do to help ensure</w:t>
      </w:r>
      <w:r w:rsidR="001240F0" w:rsidRPr="00C77876">
        <w:rPr>
          <w:rFonts w:cs="Times New Roman"/>
        </w:rPr>
        <w:t xml:space="preserve"> that a subscriber’s devices r</w:t>
      </w:r>
      <w:r w:rsidR="006F1397" w:rsidRPr="00C77876">
        <w:rPr>
          <w:rFonts w:cs="Times New Roman"/>
        </w:rPr>
        <w:t>e</w:t>
      </w:r>
      <w:r w:rsidR="001240F0" w:rsidRPr="00C77876">
        <w:rPr>
          <w:rFonts w:cs="Times New Roman"/>
        </w:rPr>
        <w:t>main “patchable</w:t>
      </w:r>
      <w:r w:rsidR="00E03C25">
        <w:rPr>
          <w:rFonts w:cs="Times New Roman"/>
        </w:rPr>
        <w:t>”</w:t>
      </w:r>
      <w:r w:rsidR="006F1397" w:rsidRPr="00C77876">
        <w:rPr>
          <w:rFonts w:cs="Times New Roman"/>
        </w:rPr>
        <w:t xml:space="preserve"> and</w:t>
      </w:r>
      <w:r w:rsidR="00220999" w:rsidRPr="00C77876">
        <w:rPr>
          <w:rFonts w:cs="Times New Roman"/>
        </w:rPr>
        <w:t>/or</w:t>
      </w:r>
      <w:r w:rsidR="006F1397" w:rsidRPr="00C77876">
        <w:rPr>
          <w:rFonts w:cs="Times New Roman"/>
        </w:rPr>
        <w:t xml:space="preserve"> </w:t>
      </w:r>
      <w:r w:rsidR="00220999" w:rsidRPr="00C77876">
        <w:rPr>
          <w:rFonts w:cs="Times New Roman"/>
        </w:rPr>
        <w:t>“</w:t>
      </w:r>
      <w:r w:rsidR="006F1397" w:rsidRPr="00C77876">
        <w:rPr>
          <w:rFonts w:cs="Times New Roman"/>
        </w:rPr>
        <w:t>discoverable</w:t>
      </w:r>
      <w:r w:rsidR="00220999" w:rsidRPr="00C77876">
        <w:rPr>
          <w:rFonts w:cs="Times New Roman"/>
        </w:rPr>
        <w:t>”</w:t>
      </w:r>
      <w:r w:rsidR="00AC18CF" w:rsidRPr="00C77876">
        <w:rPr>
          <w:rFonts w:cs="Times New Roman"/>
        </w:rPr>
        <w:t xml:space="preserve"> for purposes of device updates</w:t>
      </w:r>
      <w:r w:rsidR="001240F0" w:rsidRPr="00C77876">
        <w:rPr>
          <w:rFonts w:cs="Times New Roman"/>
        </w:rPr>
        <w:t>?</w:t>
      </w:r>
      <w:r w:rsidR="006F1397" w:rsidRPr="00C77876">
        <w:rPr>
          <w:rFonts w:cs="Times New Roman"/>
        </w:rPr>
        <w:t xml:space="preserve"> </w:t>
      </w:r>
      <w:r w:rsidR="00E03C25">
        <w:rPr>
          <w:rFonts w:cs="Times New Roman"/>
        </w:rPr>
        <w:t xml:space="preserve"> </w:t>
      </w:r>
      <w:r w:rsidR="00295082">
        <w:rPr>
          <w:rFonts w:cs="Times New Roman"/>
        </w:rPr>
        <w:t>How can consumers determine whether an older device or service, no longer being sold at retail, is still receiving security-related patches and whether it is still safe to use?</w:t>
      </w:r>
    </w:p>
    <w:p w14:paraId="7D45851E" w14:textId="77777777" w:rsidR="00692352" w:rsidRPr="00C77876" w:rsidRDefault="00692352" w:rsidP="00460BE2">
      <w:pPr>
        <w:pStyle w:val="ParaNum"/>
        <w:tabs>
          <w:tab w:val="clear" w:pos="1080"/>
        </w:tabs>
        <w:rPr>
          <w:rFonts w:cs="Times New Roman"/>
        </w:rPr>
      </w:pPr>
      <w:r w:rsidRPr="00C77876">
        <w:rPr>
          <w:rFonts w:cs="Times New Roman"/>
        </w:rPr>
        <w:t xml:space="preserve">Finally, </w:t>
      </w:r>
      <w:r w:rsidR="00742BAE" w:rsidRPr="00C77876">
        <w:rPr>
          <w:rFonts w:cs="Times New Roman"/>
        </w:rPr>
        <w:t>we</w:t>
      </w:r>
      <w:r w:rsidRPr="00C77876">
        <w:rPr>
          <w:rFonts w:cs="Times New Roman"/>
        </w:rPr>
        <w:t xml:space="preserve"> seek comment on whether relevant standards have been produced that present a common approach, or describe a best practice, to facilitate patch management </w:t>
      </w:r>
      <w:r w:rsidR="00B4711A" w:rsidRPr="00C77876">
        <w:rPr>
          <w:rFonts w:cs="Times New Roman"/>
        </w:rPr>
        <w:t>procedure</w:t>
      </w:r>
      <w:r w:rsidR="006F49D2" w:rsidRPr="00C77876">
        <w:rPr>
          <w:rFonts w:cs="Times New Roman"/>
        </w:rPr>
        <w:t>s</w:t>
      </w:r>
      <w:r w:rsidR="00B4711A" w:rsidRPr="00C77876">
        <w:rPr>
          <w:rFonts w:cs="Times New Roman"/>
        </w:rPr>
        <w:t xml:space="preserve"> that can be applied regardless of </w:t>
      </w:r>
      <w:r w:rsidRPr="00C77876">
        <w:rPr>
          <w:rFonts w:cs="Times New Roman"/>
        </w:rPr>
        <w:t xml:space="preserve">the underlying device operating </w:t>
      </w:r>
      <w:r w:rsidR="006B194D" w:rsidRPr="00C77876">
        <w:rPr>
          <w:rFonts w:cs="Times New Roman"/>
        </w:rPr>
        <w:t xml:space="preserve">system </w:t>
      </w:r>
      <w:r w:rsidRPr="00C77876">
        <w:rPr>
          <w:rFonts w:cs="Times New Roman"/>
        </w:rPr>
        <w:t xml:space="preserve">in a 5G ecosystem.  In the absence of any deployed standard, should this effort be explored, and </w:t>
      </w:r>
      <w:r w:rsidR="007F2838" w:rsidRPr="00C77876">
        <w:rPr>
          <w:rFonts w:cs="Times New Roman"/>
        </w:rPr>
        <w:t xml:space="preserve">if so, </w:t>
      </w:r>
      <w:r w:rsidRPr="00C77876">
        <w:rPr>
          <w:rFonts w:cs="Times New Roman"/>
        </w:rPr>
        <w:t xml:space="preserve">which standards body or </w:t>
      </w:r>
      <w:r w:rsidR="007F2838" w:rsidRPr="00C77876">
        <w:rPr>
          <w:rFonts w:cs="Times New Roman"/>
        </w:rPr>
        <w:t>forum would be</w:t>
      </w:r>
      <w:r w:rsidRPr="00C77876">
        <w:rPr>
          <w:rFonts w:cs="Times New Roman"/>
        </w:rPr>
        <w:t xml:space="preserve"> the best candidate to address this issue?</w:t>
      </w:r>
      <w:r w:rsidR="000C0850" w:rsidRPr="00C77876">
        <w:rPr>
          <w:rFonts w:cs="Times New Roman"/>
        </w:rPr>
        <w:t xml:space="preserve">  What other issues and factors should the Commission consider on the question of preserving CIA through patch management?</w:t>
      </w:r>
    </w:p>
    <w:p w14:paraId="6F10D1F9" w14:textId="77777777" w:rsidR="00471409" w:rsidRPr="00C77876" w:rsidRDefault="00291485" w:rsidP="00460BE2">
      <w:pPr>
        <w:pStyle w:val="Heading3"/>
        <w:numPr>
          <w:ilvl w:val="0"/>
          <w:numId w:val="6"/>
        </w:numPr>
        <w:rPr>
          <w:rFonts w:cs="Times New Roman"/>
        </w:rPr>
      </w:pPr>
      <w:bookmarkStart w:id="137" w:name="_Toc459720257"/>
      <w:bookmarkStart w:id="138" w:name="_Toc459984685"/>
      <w:bookmarkStart w:id="139" w:name="_Toc461004004"/>
      <w:bookmarkStart w:id="140" w:name="_Toc461022041"/>
      <w:bookmarkStart w:id="141" w:name="_Toc461555043"/>
      <w:bookmarkStart w:id="142" w:name="_Toc462057122"/>
      <w:bookmarkStart w:id="143" w:name="_Toc464818725"/>
      <w:bookmarkStart w:id="144" w:name="_Toc464819263"/>
      <w:bookmarkStart w:id="145" w:name="_Toc464819412"/>
      <w:bookmarkStart w:id="146" w:name="_Toc465937279"/>
      <w:bookmarkStart w:id="147" w:name="_Toc466545198"/>
      <w:bookmarkStart w:id="148" w:name="_Toc466545467"/>
      <w:bookmarkStart w:id="149" w:name="_Toc464124737"/>
      <w:r w:rsidRPr="00C77876">
        <w:rPr>
          <w:rFonts w:cs="Times New Roman"/>
        </w:rPr>
        <w:t xml:space="preserve">Risk </w:t>
      </w:r>
      <w:r w:rsidR="00471409" w:rsidRPr="00C77876">
        <w:rPr>
          <w:rFonts w:cs="Times New Roman"/>
        </w:rPr>
        <w:t>Segmentation</w:t>
      </w:r>
      <w:bookmarkEnd w:id="137"/>
      <w:bookmarkEnd w:id="138"/>
      <w:bookmarkEnd w:id="139"/>
      <w:bookmarkEnd w:id="140"/>
      <w:bookmarkEnd w:id="141"/>
      <w:bookmarkEnd w:id="142"/>
      <w:bookmarkEnd w:id="143"/>
      <w:bookmarkEnd w:id="144"/>
      <w:bookmarkEnd w:id="145"/>
      <w:bookmarkEnd w:id="146"/>
      <w:bookmarkEnd w:id="147"/>
      <w:bookmarkEnd w:id="148"/>
      <w:r w:rsidR="00471409" w:rsidRPr="00C77876">
        <w:rPr>
          <w:rFonts w:cs="Times New Roman"/>
        </w:rPr>
        <w:t xml:space="preserve"> </w:t>
      </w:r>
      <w:bookmarkEnd w:id="149"/>
    </w:p>
    <w:p w14:paraId="735423E2" w14:textId="6F81F032" w:rsidR="00471409" w:rsidRPr="00C77876" w:rsidRDefault="00332713" w:rsidP="00460BE2">
      <w:pPr>
        <w:pStyle w:val="ParaNum"/>
        <w:tabs>
          <w:tab w:val="clear" w:pos="1080"/>
        </w:tabs>
        <w:rPr>
          <w:rFonts w:cs="Times New Roman"/>
        </w:rPr>
      </w:pPr>
      <w:r w:rsidRPr="00C77876">
        <w:rPr>
          <w:rFonts w:cs="Times New Roman"/>
        </w:rPr>
        <w:t>Risk s</w:t>
      </w:r>
      <w:r w:rsidR="00471409" w:rsidRPr="00C77876">
        <w:rPr>
          <w:rFonts w:cs="Times New Roman"/>
        </w:rPr>
        <w:t>egmentation</w:t>
      </w:r>
      <w:r w:rsidR="00B11CCB" w:rsidRPr="00C77876">
        <w:rPr>
          <w:rFonts w:cs="Times New Roman"/>
        </w:rPr>
        <w:t xml:space="preserve"> involves splitting network elements into separate components to </w:t>
      </w:r>
      <w:r w:rsidR="00B50131">
        <w:rPr>
          <w:rFonts w:cs="Times New Roman"/>
        </w:rPr>
        <w:t xml:space="preserve">help </w:t>
      </w:r>
      <w:r w:rsidR="00400537" w:rsidRPr="00C77876">
        <w:rPr>
          <w:rFonts w:cs="Times New Roman"/>
        </w:rPr>
        <w:t>isolate security breaches and minimize overall risk</w:t>
      </w:r>
      <w:r w:rsidR="00DD68A8" w:rsidRPr="00C77876">
        <w:rPr>
          <w:rFonts w:cs="Times New Roman"/>
        </w:rPr>
        <w:t xml:space="preserve">.  </w:t>
      </w:r>
      <w:r w:rsidR="00400537" w:rsidRPr="00C77876">
        <w:rPr>
          <w:rFonts w:cs="Times New Roman"/>
        </w:rPr>
        <w:t>For example, networks can</w:t>
      </w:r>
      <w:r w:rsidR="00DD68A8" w:rsidRPr="00C77876">
        <w:rPr>
          <w:rFonts w:cs="Times New Roman"/>
        </w:rPr>
        <w:t xml:space="preserve"> be divided </w:t>
      </w:r>
      <w:r w:rsidR="00471409" w:rsidRPr="00C77876">
        <w:rPr>
          <w:rFonts w:cs="Times New Roman"/>
        </w:rPr>
        <w:t xml:space="preserve">into </w:t>
      </w:r>
      <w:r w:rsidRPr="00C77876">
        <w:rPr>
          <w:rFonts w:cs="Times New Roman"/>
        </w:rPr>
        <w:t xml:space="preserve">isolated </w:t>
      </w:r>
      <w:r w:rsidR="00471409" w:rsidRPr="00C77876">
        <w:rPr>
          <w:rFonts w:cs="Times New Roman"/>
        </w:rPr>
        <w:t>subnetworks to boost performance and improve security.</w:t>
      </w:r>
      <w:r w:rsidR="00471409" w:rsidRPr="00B36A19">
        <w:rPr>
          <w:rStyle w:val="FootnoteReference"/>
          <w:rFonts w:cs="Times New Roman"/>
          <w:sz w:val="22"/>
        </w:rPr>
        <w:footnoteReference w:id="27"/>
      </w:r>
      <w:r w:rsidR="00471409" w:rsidRPr="00C77876">
        <w:rPr>
          <w:rFonts w:cs="Times New Roman"/>
        </w:rPr>
        <w:t xml:space="preserve">  </w:t>
      </w:r>
      <w:r w:rsidR="00DA2DF4">
        <w:rPr>
          <w:rFonts w:cs="Times New Roman"/>
        </w:rPr>
        <w:t>R</w:t>
      </w:r>
      <w:r w:rsidR="00FA5964">
        <w:rPr>
          <w:rFonts w:cs="Times New Roman"/>
        </w:rPr>
        <w:t xml:space="preserve">isk segmentation or network slicing might allow greater resiliency, more effective cyber threat monitoring and analysis and stronger security for network service supporting critical infrastructure communications (to include ICS and SCADA).  </w:t>
      </w:r>
      <w:r w:rsidR="00742BAE" w:rsidRPr="00C77876">
        <w:rPr>
          <w:rFonts w:cs="Times New Roman"/>
        </w:rPr>
        <w:t>We seek comment on the use of segmentation in 5G networks</w:t>
      </w:r>
      <w:r w:rsidR="005E6330" w:rsidRPr="00C77876">
        <w:rPr>
          <w:rFonts w:cs="Times New Roman"/>
        </w:rPr>
        <w:t xml:space="preserve"> and how segmentation can reduce risk in such networks</w:t>
      </w:r>
      <w:r w:rsidRPr="00C77876">
        <w:rPr>
          <w:rFonts w:cs="Times New Roman"/>
        </w:rPr>
        <w:t xml:space="preserve">.  </w:t>
      </w:r>
    </w:p>
    <w:p w14:paraId="7DF17AA0" w14:textId="69A52076" w:rsidR="00A40CF8" w:rsidRPr="00C77876" w:rsidRDefault="00D95079" w:rsidP="00460BE2">
      <w:pPr>
        <w:pStyle w:val="ParaNum"/>
        <w:tabs>
          <w:tab w:val="clear" w:pos="1080"/>
        </w:tabs>
        <w:rPr>
          <w:rFonts w:cs="Times New Roman"/>
        </w:rPr>
      </w:pPr>
      <w:r w:rsidRPr="00E272E4">
        <w:rPr>
          <w:rFonts w:cs="Times New Roman"/>
        </w:rPr>
        <w:t xml:space="preserve">We seek comment and supporting data on ways that segmentation could be achieved throughout the 5G ecosystem </w:t>
      </w:r>
      <w:r w:rsidR="00A40CF8">
        <w:rPr>
          <w:rFonts w:cs="Times New Roman"/>
        </w:rPr>
        <w:t>to</w:t>
      </w:r>
      <w:r w:rsidRPr="00E272E4">
        <w:rPr>
          <w:rFonts w:cs="Times New Roman"/>
        </w:rPr>
        <w:t xml:space="preserve"> </w:t>
      </w:r>
      <w:r w:rsidR="00A40CF8">
        <w:rPr>
          <w:rFonts w:cs="Times New Roman"/>
        </w:rPr>
        <w:t>ensure</w:t>
      </w:r>
      <w:r w:rsidRPr="00E272E4">
        <w:rPr>
          <w:rFonts w:cs="Times New Roman"/>
        </w:rPr>
        <w:t xml:space="preserve"> service providers</w:t>
      </w:r>
      <w:r>
        <w:rPr>
          <w:rFonts w:cs="Times New Roman"/>
        </w:rPr>
        <w:t xml:space="preserve"> have</w:t>
      </w:r>
      <w:r w:rsidRPr="00E272E4">
        <w:rPr>
          <w:rFonts w:cs="Times New Roman"/>
        </w:rPr>
        <w:t xml:space="preserve"> greater situational awareness and ability to respond to</w:t>
      </w:r>
      <w:r>
        <w:rPr>
          <w:rFonts w:cs="Times New Roman"/>
        </w:rPr>
        <w:t>,</w:t>
      </w:r>
      <w:r w:rsidRPr="00E272E4">
        <w:rPr>
          <w:rFonts w:cs="Times New Roman"/>
        </w:rPr>
        <w:t xml:space="preserve"> and contain</w:t>
      </w:r>
      <w:r w:rsidR="003D178B">
        <w:rPr>
          <w:rFonts w:cs="Times New Roman"/>
        </w:rPr>
        <w:t>,</w:t>
      </w:r>
      <w:r w:rsidRPr="00E272E4">
        <w:rPr>
          <w:rFonts w:cs="Times New Roman"/>
        </w:rPr>
        <w:t xml:space="preserve"> security threats.  </w:t>
      </w:r>
      <w:r w:rsidR="00471409" w:rsidRPr="00C77876">
        <w:rPr>
          <w:rFonts w:cs="Times New Roman"/>
        </w:rPr>
        <w:t xml:space="preserve">What lessons have service providers </w:t>
      </w:r>
      <w:r w:rsidR="00D01ED5" w:rsidRPr="00C77876">
        <w:rPr>
          <w:rFonts w:cs="Times New Roman"/>
        </w:rPr>
        <w:t xml:space="preserve">and other enterprises </w:t>
      </w:r>
      <w:r w:rsidR="00471409" w:rsidRPr="00C77876">
        <w:rPr>
          <w:rFonts w:cs="Times New Roman"/>
        </w:rPr>
        <w:t xml:space="preserve">learned about </w:t>
      </w:r>
      <w:r w:rsidR="005E6330" w:rsidRPr="00C77876">
        <w:rPr>
          <w:rFonts w:cs="Times New Roman"/>
        </w:rPr>
        <w:t xml:space="preserve">the application of </w:t>
      </w:r>
      <w:r w:rsidR="00471409" w:rsidRPr="00C77876">
        <w:rPr>
          <w:rFonts w:cs="Times New Roman"/>
        </w:rPr>
        <w:t xml:space="preserve">segmentation in older networks </w:t>
      </w:r>
      <w:r w:rsidR="00D84805">
        <w:rPr>
          <w:rFonts w:cs="Times New Roman"/>
        </w:rPr>
        <w:t>that can</w:t>
      </w:r>
      <w:r w:rsidR="005E6330" w:rsidRPr="00C77876">
        <w:rPr>
          <w:rFonts w:cs="Times New Roman"/>
        </w:rPr>
        <w:t xml:space="preserve"> </w:t>
      </w:r>
      <w:r w:rsidR="00471409" w:rsidRPr="00C77876">
        <w:rPr>
          <w:rFonts w:cs="Times New Roman"/>
        </w:rPr>
        <w:t xml:space="preserve">be applied to 5G networks?  </w:t>
      </w:r>
      <w:r w:rsidR="00A40CF8" w:rsidRPr="00E272E4">
        <w:rPr>
          <w:rFonts w:cs="Times New Roman"/>
        </w:rPr>
        <w:t xml:space="preserve">To what extent can service providers use network segmentation technologies, such as </w:t>
      </w:r>
      <w:r w:rsidR="00B50131">
        <w:rPr>
          <w:rFonts w:cs="Times New Roman"/>
        </w:rPr>
        <w:t>a virtual private network (VPN</w:t>
      </w:r>
      <w:r w:rsidR="00A40CF8" w:rsidRPr="00E272E4">
        <w:rPr>
          <w:rFonts w:cs="Times New Roman"/>
        </w:rPr>
        <w:t xml:space="preserve">) or other cryptographic separation, to help ensure that no device operating on their network’s control plane is directly and immediately accessible via the Internet?  </w:t>
      </w:r>
      <w:r w:rsidR="00471409" w:rsidRPr="00C77876">
        <w:rPr>
          <w:rFonts w:cs="Times New Roman"/>
        </w:rPr>
        <w:t xml:space="preserve">Could </w:t>
      </w:r>
      <w:r w:rsidR="00E37634" w:rsidRPr="00C77876">
        <w:rPr>
          <w:rFonts w:cs="Times New Roman"/>
        </w:rPr>
        <w:t>VPN</w:t>
      </w:r>
      <w:r w:rsidR="00D51240" w:rsidRPr="00C77876">
        <w:rPr>
          <w:rFonts w:cs="Times New Roman"/>
        </w:rPr>
        <w:t>s</w:t>
      </w:r>
      <w:r w:rsidR="00471409" w:rsidRPr="00C77876">
        <w:rPr>
          <w:rFonts w:cs="Times New Roman"/>
        </w:rPr>
        <w:t xml:space="preserve"> or a similar mechanism be scaled in such a way that </w:t>
      </w:r>
      <w:r w:rsidR="000F2F01" w:rsidRPr="00C77876">
        <w:rPr>
          <w:rFonts w:cs="Times New Roman"/>
        </w:rPr>
        <w:t xml:space="preserve">5G </w:t>
      </w:r>
      <w:r w:rsidR="00471409" w:rsidRPr="00C77876">
        <w:rPr>
          <w:rFonts w:cs="Times New Roman"/>
        </w:rPr>
        <w:t xml:space="preserve">providers could implement segmentation across their entire ecosystem? </w:t>
      </w:r>
      <w:r w:rsidR="009369CD" w:rsidRPr="00C77876">
        <w:rPr>
          <w:rFonts w:cs="Times New Roman"/>
        </w:rPr>
        <w:t xml:space="preserve"> </w:t>
      </w:r>
      <w:r w:rsidR="00A40CF8" w:rsidRPr="00C77876">
        <w:rPr>
          <w:rFonts w:cs="Times New Roman"/>
        </w:rPr>
        <w:t xml:space="preserve">We seek comment on the technologies used for network segmentation, </w:t>
      </w:r>
      <w:r w:rsidR="00A40CF8">
        <w:rPr>
          <w:rFonts w:cs="Times New Roman"/>
        </w:rPr>
        <w:t>and</w:t>
      </w:r>
      <w:r w:rsidR="00A40CF8" w:rsidRPr="00C77876">
        <w:rPr>
          <w:rFonts w:cs="Times New Roman"/>
        </w:rPr>
        <w:t xml:space="preserve"> on how to ensure that </w:t>
      </w:r>
      <w:r w:rsidR="00A40CF8" w:rsidRPr="00C77876">
        <w:rPr>
          <w:rFonts w:cs="Times New Roman"/>
        </w:rPr>
        <w:lastRenderedPageBreak/>
        <w:t xml:space="preserve">future networks employing these new architectures use security-by-design principles to minimize security risk.   </w:t>
      </w:r>
    </w:p>
    <w:p w14:paraId="33FA5120" w14:textId="08464C93" w:rsidR="00A40CF8" w:rsidRPr="00A40CF8" w:rsidRDefault="00A40CF8" w:rsidP="00460BE2">
      <w:pPr>
        <w:pStyle w:val="ParaNum"/>
        <w:tabs>
          <w:tab w:val="clear" w:pos="1080"/>
        </w:tabs>
        <w:rPr>
          <w:rFonts w:cs="Times New Roman"/>
        </w:rPr>
      </w:pPr>
      <w:r w:rsidRPr="00E272E4">
        <w:rPr>
          <w:rFonts w:cs="Times New Roman"/>
        </w:rPr>
        <w:t xml:space="preserve">Should segmentation in the 5G environment be based on geography or region, on type of function or device, or by community of interest (such as by public safety, defense, transportation community interests)?  </w:t>
      </w:r>
      <w:r w:rsidRPr="00C77876">
        <w:rPr>
          <w:rFonts w:cs="Times New Roman"/>
        </w:rPr>
        <w:t xml:space="preserve">To what extent are service providers segmenting physical, logical and virtual risks?  </w:t>
      </w:r>
      <w:r>
        <w:t xml:space="preserve">We </w:t>
      </w:r>
      <w:r w:rsidRPr="00E272E4">
        <w:t xml:space="preserve">seek comment on what 5G service providers plan to do to establish logical and physical separation of different bands and/or receive antennas in order to improve integrated device security.  </w:t>
      </w:r>
    </w:p>
    <w:p w14:paraId="2506FBFD" w14:textId="77777777" w:rsidR="00471409" w:rsidRPr="00A40CF8" w:rsidRDefault="00A40CF8" w:rsidP="00460BE2">
      <w:pPr>
        <w:pStyle w:val="ParaNum"/>
        <w:tabs>
          <w:tab w:val="clear" w:pos="1080"/>
        </w:tabs>
        <w:rPr>
          <w:rFonts w:cs="Times New Roman"/>
        </w:rPr>
      </w:pPr>
      <w:r>
        <w:rPr>
          <w:rFonts w:cs="Times New Roman"/>
        </w:rPr>
        <w:t>We seek comment on whether certain network elements or activities merit special consideration with respect to risk segmentation.  For example, w</w:t>
      </w:r>
      <w:r w:rsidRPr="00C03CC2">
        <w:rPr>
          <w:rFonts w:cs="Times New Roman"/>
        </w:rPr>
        <w:t xml:space="preserve">ould it be appropriate to provide virtual separation for Industrial Control Systems/Supervisory Control and Data Acquisition (ICS/SCADA), financial, health, and other high-impact, low-risk critical infrastructure functions? </w:t>
      </w:r>
      <w:r>
        <w:t xml:space="preserve"> </w:t>
      </w:r>
      <w:r w:rsidR="009369CD" w:rsidRPr="00A40CF8">
        <w:rPr>
          <w:rFonts w:cs="Times New Roman"/>
        </w:rPr>
        <w:t xml:space="preserve">To what extent are such segmentation strategies effective in reducing </w:t>
      </w:r>
      <w:r w:rsidR="00FD7A79" w:rsidRPr="00A40CF8">
        <w:rPr>
          <w:rFonts w:cs="Times New Roman"/>
        </w:rPr>
        <w:t xml:space="preserve">security </w:t>
      </w:r>
      <w:r w:rsidR="009369CD" w:rsidRPr="00A40CF8">
        <w:rPr>
          <w:rFonts w:cs="Times New Roman"/>
        </w:rPr>
        <w:t xml:space="preserve">risk?  </w:t>
      </w:r>
    </w:p>
    <w:p w14:paraId="17FDD7B4" w14:textId="24DCBF61" w:rsidR="006C57B1" w:rsidRDefault="00897566" w:rsidP="00460BE2">
      <w:pPr>
        <w:pStyle w:val="ParaNum"/>
        <w:tabs>
          <w:tab w:val="clear" w:pos="1080"/>
        </w:tabs>
        <w:rPr>
          <w:rFonts w:cs="Times New Roman"/>
        </w:rPr>
      </w:pPr>
      <w:r>
        <w:rPr>
          <w:rFonts w:cs="Times New Roman"/>
        </w:rPr>
        <w:t>R</w:t>
      </w:r>
      <w:r w:rsidR="00C35998" w:rsidRPr="00C77876">
        <w:rPr>
          <w:rFonts w:cs="Times New Roman"/>
        </w:rPr>
        <w:t>isk segmentation can also be applied to devices in terms of firmware, software, and data.  In some cases, configuration data (</w:t>
      </w:r>
      <w:r w:rsidR="00C35998" w:rsidRPr="00C56CC7">
        <w:rPr>
          <w:rFonts w:cs="Times New Roman"/>
          <w:i/>
        </w:rPr>
        <w:t>e.g.</w:t>
      </w:r>
      <w:r w:rsidR="00C35998" w:rsidRPr="00C77876">
        <w:rPr>
          <w:rFonts w:cs="Times New Roman"/>
        </w:rPr>
        <w:t>, an Access Class value)</w:t>
      </w:r>
      <w:r w:rsidR="009520B4" w:rsidRPr="00B36A19">
        <w:rPr>
          <w:rStyle w:val="FootnoteReference"/>
          <w:rFonts w:cs="Times New Roman"/>
          <w:sz w:val="22"/>
        </w:rPr>
        <w:footnoteReference w:id="28"/>
      </w:r>
      <w:r w:rsidR="00C35998" w:rsidRPr="00C77876">
        <w:rPr>
          <w:rFonts w:cs="Times New Roman"/>
        </w:rPr>
        <w:t xml:space="preserve"> may be set as read-only by the device, but can only be changed by the service provider.  </w:t>
      </w:r>
      <w:r w:rsidR="000956B5">
        <w:rPr>
          <w:rFonts w:cs="Times New Roman"/>
        </w:rPr>
        <w:t>We seek</w:t>
      </w:r>
      <w:r w:rsidR="00C35998" w:rsidRPr="00C77876">
        <w:rPr>
          <w:rFonts w:cs="Times New Roman"/>
        </w:rPr>
        <w:t xml:space="preserve"> comment on whether privacy features and requirements have been standardized in organizations like 3GPP (and </w:t>
      </w:r>
      <w:r w:rsidR="009164A1">
        <w:rPr>
          <w:rFonts w:cs="Times New Roman"/>
        </w:rPr>
        <w:t xml:space="preserve">to what extent they </w:t>
      </w:r>
      <w:r w:rsidR="00C35998" w:rsidRPr="00C77876">
        <w:rPr>
          <w:rFonts w:cs="Times New Roman"/>
        </w:rPr>
        <w:t>will be standardized for 5G) to support confidentiality and integrity of information.</w:t>
      </w:r>
      <w:r w:rsidR="000C0850" w:rsidRPr="00C77876">
        <w:rPr>
          <w:rFonts w:cs="Times New Roman"/>
        </w:rPr>
        <w:t xml:space="preserve">  What other issues and factors should </w:t>
      </w:r>
      <w:r w:rsidR="00EA0081">
        <w:rPr>
          <w:rFonts w:cs="Times New Roman"/>
        </w:rPr>
        <w:t>we</w:t>
      </w:r>
      <w:r w:rsidR="000C0850" w:rsidRPr="00C77876">
        <w:rPr>
          <w:rFonts w:cs="Times New Roman"/>
        </w:rPr>
        <w:t xml:space="preserve"> consider on the question of preserving CIA through segmentation?</w:t>
      </w:r>
    </w:p>
    <w:p w14:paraId="0048D01D" w14:textId="77777777" w:rsidR="00897566" w:rsidRPr="00C77876" w:rsidRDefault="00897566" w:rsidP="00460BE2">
      <w:pPr>
        <w:pStyle w:val="ParaNum"/>
        <w:tabs>
          <w:tab w:val="clear" w:pos="1080"/>
        </w:tabs>
        <w:rPr>
          <w:rFonts w:cs="Times New Roman"/>
        </w:rPr>
      </w:pPr>
      <w:r>
        <w:rPr>
          <w:rFonts w:cs="Times New Roman"/>
        </w:rPr>
        <w:t xml:space="preserve">Finally, </w:t>
      </w:r>
      <w:r w:rsidR="00FE7246">
        <w:rPr>
          <w:rFonts w:cs="Times New Roman"/>
        </w:rPr>
        <w:t xml:space="preserve">with respect to each of the topics discussed above, we seek information regarding which standards bodies are involved and the state of standards development to protect CIA in the 5G environment.  </w:t>
      </w:r>
      <w:r>
        <w:rPr>
          <w:rFonts w:cs="Times New Roman"/>
        </w:rPr>
        <w:t xml:space="preserve">Is there a need for additional standards body involvement? </w:t>
      </w:r>
    </w:p>
    <w:p w14:paraId="04649319" w14:textId="77777777" w:rsidR="0061715D" w:rsidRDefault="00962B16" w:rsidP="00460BE2">
      <w:pPr>
        <w:pStyle w:val="Heading2"/>
      </w:pPr>
      <w:bookmarkStart w:id="150" w:name="_Toc462057131"/>
      <w:bookmarkStart w:id="151" w:name="_Toc462057132"/>
      <w:bookmarkStart w:id="152" w:name="_Toc464124744"/>
      <w:bookmarkStart w:id="153" w:name="_Toc464818726"/>
      <w:bookmarkStart w:id="154" w:name="_Toc464819264"/>
      <w:bookmarkStart w:id="155" w:name="_Toc464819413"/>
      <w:bookmarkStart w:id="156" w:name="_Toc465937280"/>
      <w:bookmarkStart w:id="157" w:name="_Toc466545199"/>
      <w:bookmarkStart w:id="158" w:name="_Toc466545468"/>
      <w:bookmarkStart w:id="159" w:name="_Toc461004008"/>
      <w:bookmarkStart w:id="160" w:name="_Toc461022051"/>
      <w:bookmarkStart w:id="161" w:name="_Toc461555053"/>
      <w:bookmarkStart w:id="162" w:name="_Toc462057133"/>
      <w:bookmarkStart w:id="163" w:name="_Toc429741605"/>
      <w:bookmarkStart w:id="164" w:name="_Toc430528343"/>
      <w:bookmarkStart w:id="165" w:name="_Toc431370385"/>
      <w:bookmarkStart w:id="166" w:name="_Toc431460961"/>
      <w:bookmarkStart w:id="167" w:name="_Toc433225234"/>
      <w:bookmarkStart w:id="168" w:name="_Toc449367656"/>
      <w:bookmarkStart w:id="169" w:name="_Toc449603630"/>
      <w:bookmarkStart w:id="170" w:name="_Toc449603708"/>
      <w:bookmarkStart w:id="171" w:name="_Toc449603786"/>
      <w:bookmarkStart w:id="172" w:name="_Toc449603955"/>
      <w:bookmarkStart w:id="173" w:name="_Toc449604465"/>
      <w:bookmarkStart w:id="174" w:name="_Toc449613449"/>
      <w:bookmarkStart w:id="175" w:name="_Toc449614171"/>
      <w:bookmarkStart w:id="176" w:name="_Toc449616725"/>
      <w:bookmarkStart w:id="177" w:name="_Toc449685667"/>
      <w:bookmarkStart w:id="178" w:name="_Toc449685884"/>
      <w:bookmarkStart w:id="179" w:name="_Toc449686082"/>
      <w:bookmarkStart w:id="180" w:name="_Toc450648541"/>
      <w:bookmarkStart w:id="181" w:name="_Toc450648637"/>
      <w:bookmarkStart w:id="182" w:name="_Toc450648918"/>
      <w:bookmarkStart w:id="183" w:name="_Toc459383987"/>
      <w:bookmarkStart w:id="184" w:name="_Toc459720259"/>
      <w:bookmarkStart w:id="185" w:name="_Toc459984689"/>
      <w:bookmarkEnd w:id="53"/>
      <w:bookmarkEnd w:id="54"/>
      <w:bookmarkEnd w:id="55"/>
      <w:bookmarkEnd w:id="56"/>
      <w:bookmarkEnd w:id="57"/>
      <w:bookmarkEnd w:id="58"/>
      <w:bookmarkEnd w:id="59"/>
      <w:bookmarkEnd w:id="97"/>
      <w:bookmarkEnd w:id="98"/>
      <w:bookmarkEnd w:id="99"/>
      <w:bookmarkEnd w:id="100"/>
      <w:bookmarkEnd w:id="150"/>
      <w:bookmarkEnd w:id="151"/>
      <w:r>
        <w:t xml:space="preserve">Additional </w:t>
      </w:r>
      <w:r w:rsidR="00707358" w:rsidRPr="00B337D1">
        <w:t>5G</w:t>
      </w:r>
      <w:r w:rsidR="004459BD" w:rsidRPr="00B337D1">
        <w:t xml:space="preserve"> Security</w:t>
      </w:r>
      <w:r w:rsidR="00707358" w:rsidRPr="00B337D1">
        <w:t xml:space="preserve"> </w:t>
      </w:r>
      <w:r w:rsidR="0061715D" w:rsidRPr="00B337D1">
        <w:t>Considerations</w:t>
      </w:r>
      <w:bookmarkEnd w:id="152"/>
      <w:bookmarkEnd w:id="153"/>
      <w:bookmarkEnd w:id="154"/>
      <w:bookmarkEnd w:id="155"/>
      <w:bookmarkEnd w:id="156"/>
      <w:bookmarkEnd w:id="157"/>
      <w:bookmarkEnd w:id="158"/>
    </w:p>
    <w:p w14:paraId="216BE028" w14:textId="77777777" w:rsidR="00962B16" w:rsidRPr="00C77876" w:rsidRDefault="00962B16" w:rsidP="00460BE2">
      <w:pPr>
        <w:pStyle w:val="Heading3"/>
        <w:rPr>
          <w:rFonts w:cs="Times New Roman"/>
        </w:rPr>
      </w:pPr>
      <w:r w:rsidRPr="00C77876">
        <w:rPr>
          <w:rFonts w:cs="Times New Roman"/>
        </w:rPr>
        <w:t>Overview</w:t>
      </w:r>
    </w:p>
    <w:p w14:paraId="4283179D" w14:textId="77777777" w:rsidR="003C457F" w:rsidRPr="00C77876" w:rsidRDefault="003C457F" w:rsidP="00460BE2">
      <w:pPr>
        <w:pStyle w:val="ParaNum"/>
        <w:tabs>
          <w:tab w:val="clear" w:pos="1080"/>
          <w:tab w:val="num" w:pos="1440"/>
        </w:tabs>
        <w:rPr>
          <w:rFonts w:cs="Times New Roman"/>
        </w:rPr>
      </w:pPr>
      <w:r w:rsidRPr="00C77876">
        <w:rPr>
          <w:rFonts w:cs="Times New Roman"/>
        </w:rPr>
        <w:t>It is widely expected that 5G networks will be used to connect the myriad devices, sensors and other elements that will form the Internet of Things (IoT)</w:t>
      </w:r>
      <w:r w:rsidR="00AA7A06">
        <w:rPr>
          <w:rFonts w:cs="Times New Roman"/>
        </w:rPr>
        <w:t>.</w:t>
      </w:r>
      <w:r w:rsidR="00A9329A">
        <w:rPr>
          <w:rFonts w:cs="Times New Roman"/>
        </w:rPr>
        <w:t xml:space="preserve">  </w:t>
      </w:r>
      <w:r w:rsidRPr="00C77876">
        <w:rPr>
          <w:rFonts w:cs="Times New Roman"/>
        </w:rPr>
        <w:t>The anticipated diversity and complexity of these networks, how they interconnect, and the sheer number of discrete elements they will comprise raise concerns about the effective management of cyber threats.  How can holistic security objectives for 5G be established?  What roles can service providers and device manufacturers play to reduce security risk for various communities of interest?  How should service providers, device manufacturers</w:t>
      </w:r>
      <w:r w:rsidR="00295082">
        <w:rPr>
          <w:rFonts w:cs="Times New Roman"/>
        </w:rPr>
        <w:t xml:space="preserve">, </w:t>
      </w:r>
      <w:r w:rsidRPr="00C77876">
        <w:rPr>
          <w:rFonts w:cs="Times New Roman"/>
        </w:rPr>
        <w:t xml:space="preserve">standards bodies </w:t>
      </w:r>
      <w:r w:rsidR="00295082">
        <w:rPr>
          <w:rFonts w:cs="Times New Roman"/>
        </w:rPr>
        <w:t xml:space="preserve">and the Commission </w:t>
      </w:r>
      <w:r w:rsidRPr="00C77876">
        <w:rPr>
          <w:rFonts w:cs="Times New Roman"/>
        </w:rPr>
        <w:t>coordinate their efforts?</w:t>
      </w:r>
      <w:r w:rsidR="00A40CF8">
        <w:rPr>
          <w:rFonts w:cs="Times New Roman"/>
        </w:rPr>
        <w:t xml:space="preserve">  </w:t>
      </w:r>
      <w:r w:rsidR="00FE7246" w:rsidRPr="00047E9D">
        <w:rPr>
          <w:rFonts w:cs="Times New Roman"/>
        </w:rPr>
        <w:t xml:space="preserve">Are </w:t>
      </w:r>
      <w:r w:rsidR="00FE7246">
        <w:rPr>
          <w:rFonts w:cs="Times New Roman"/>
        </w:rPr>
        <w:t>there particular</w:t>
      </w:r>
      <w:r w:rsidR="00FE7246" w:rsidRPr="00047E9D">
        <w:rPr>
          <w:rFonts w:cs="Times New Roman"/>
        </w:rPr>
        <w:t xml:space="preserve"> standards </w:t>
      </w:r>
      <w:r w:rsidR="00FE7246">
        <w:rPr>
          <w:rFonts w:cs="Times New Roman"/>
        </w:rPr>
        <w:t xml:space="preserve">being developed </w:t>
      </w:r>
      <w:r w:rsidR="00FE7246" w:rsidRPr="00047E9D">
        <w:rPr>
          <w:rFonts w:cs="Times New Roman"/>
        </w:rPr>
        <w:t>for</w:t>
      </w:r>
      <w:r w:rsidR="00FE7246">
        <w:rPr>
          <w:rFonts w:cs="Times New Roman"/>
        </w:rPr>
        <w:t xml:space="preserve"> 5G</w:t>
      </w:r>
      <w:r w:rsidR="00FE7246" w:rsidRPr="00047E9D">
        <w:rPr>
          <w:rFonts w:cs="Times New Roman"/>
        </w:rPr>
        <w:t xml:space="preserve"> IoT applications?  </w:t>
      </w:r>
      <w:r w:rsidR="00A40CF8" w:rsidRPr="00174490">
        <w:t xml:space="preserve">Finally, we seek comment on benefits and costs associated with effective hardware, firmware, software, and application security for 5G.  </w:t>
      </w:r>
    </w:p>
    <w:p w14:paraId="3A2DB4B8" w14:textId="6CF062A1" w:rsidR="00962B16" w:rsidRDefault="003C457F" w:rsidP="00460BE2">
      <w:pPr>
        <w:pStyle w:val="ParaNum"/>
        <w:tabs>
          <w:tab w:val="clear" w:pos="1080"/>
        </w:tabs>
        <w:rPr>
          <w:rFonts w:cs="Times New Roman"/>
        </w:rPr>
      </w:pPr>
      <w:r w:rsidRPr="00C77876">
        <w:rPr>
          <w:rFonts w:cs="Times New Roman"/>
        </w:rPr>
        <w:t xml:space="preserve">We generally seek comment on the extent to which IoT devices could place 5G networks at unique risk.  For example, are there particular </w:t>
      </w:r>
      <w:r w:rsidR="009164A1">
        <w:rPr>
          <w:rFonts w:cs="Times New Roman"/>
        </w:rPr>
        <w:t>vulnerabilities</w:t>
      </w:r>
      <w:r w:rsidRPr="00C77876">
        <w:rPr>
          <w:rFonts w:cs="Times New Roman"/>
        </w:rPr>
        <w:t xml:space="preserve"> that arise from, or are increased by, the fact that 5G communications have relatively short range and rely on multiple access points?  It is possible that some of IoT devices will have limited security features.</w:t>
      </w:r>
      <w:r w:rsidR="00A9329A">
        <w:rPr>
          <w:rFonts w:cs="Times New Roman"/>
        </w:rPr>
        <w:t xml:space="preserve">  </w:t>
      </w:r>
      <w:r w:rsidRPr="00C77876">
        <w:rPr>
          <w:rFonts w:cs="Times New Roman"/>
        </w:rPr>
        <w:t xml:space="preserve">Others may be deployed in locations where regular monitoring is not possible.  Could this have a </w:t>
      </w:r>
      <w:r w:rsidRPr="00C77876">
        <w:rPr>
          <w:rFonts w:cs="Times New Roman"/>
        </w:rPr>
        <w:lastRenderedPageBreak/>
        <w:t>negative effect on overall 5G network security?  If so, what roles can network equipment providers, ISPs and device manufacturers play, by themselves and in coordination, to mitigate the risks?</w:t>
      </w:r>
      <w:r w:rsidR="00962B16">
        <w:rPr>
          <w:rFonts w:cs="Times New Roman"/>
        </w:rPr>
        <w:t xml:space="preserve">  </w:t>
      </w:r>
      <w:bookmarkStart w:id="186" w:name="_Toc464124745"/>
      <w:r w:rsidRPr="00285EFD">
        <w:rPr>
          <w:rFonts w:cs="Times New Roman"/>
        </w:rPr>
        <w:t>Are any lessons being learned from the October 2016 D</w:t>
      </w:r>
      <w:r w:rsidR="00A40CF8">
        <w:rPr>
          <w:rFonts w:cs="Times New Roman"/>
        </w:rPr>
        <w:t xml:space="preserve">DoS </w:t>
      </w:r>
      <w:r w:rsidRPr="00285EFD">
        <w:rPr>
          <w:rFonts w:cs="Times New Roman"/>
        </w:rPr>
        <w:t>attacks relevant to 5G?</w:t>
      </w:r>
      <w:r w:rsidR="009520B4">
        <w:rPr>
          <w:rStyle w:val="FootnoteReference"/>
          <w:rFonts w:cs="Times New Roman"/>
        </w:rPr>
        <w:footnoteReference w:id="29"/>
      </w:r>
      <w:r w:rsidR="00767B9C">
        <w:rPr>
          <w:rFonts w:cs="Times New Roman"/>
        </w:rPr>
        <w:t xml:space="preserve">  Where risk externalities exist</w:t>
      </w:r>
      <w:r w:rsidR="009520B4">
        <w:rPr>
          <w:rFonts w:cs="Times New Roman"/>
        </w:rPr>
        <w:t xml:space="preserve">? </w:t>
      </w:r>
      <w:r w:rsidR="00767B9C">
        <w:rPr>
          <w:rFonts w:cs="Times New Roman"/>
        </w:rPr>
        <w:t xml:space="preserve"> </w:t>
      </w:r>
      <w:r w:rsidR="009520B4">
        <w:rPr>
          <w:rFonts w:cs="Times New Roman"/>
        </w:rPr>
        <w:t>H</w:t>
      </w:r>
      <w:r w:rsidR="00767B9C">
        <w:rPr>
          <w:rFonts w:cs="Times New Roman"/>
        </w:rPr>
        <w:t xml:space="preserve">ow will the 5G marketplace address cybersecurity risk in the </w:t>
      </w:r>
      <w:r w:rsidR="00DE28C5">
        <w:rPr>
          <w:rFonts w:cs="Times New Roman"/>
        </w:rPr>
        <w:t>c</w:t>
      </w:r>
      <w:r w:rsidR="00767B9C">
        <w:rPr>
          <w:rFonts w:cs="Times New Roman"/>
        </w:rPr>
        <w:t xml:space="preserve">ommons?   </w:t>
      </w:r>
    </w:p>
    <w:p w14:paraId="067ACE5D" w14:textId="77777777" w:rsidR="00962B16" w:rsidRPr="00C77876" w:rsidRDefault="00962B16" w:rsidP="00460BE2">
      <w:pPr>
        <w:pStyle w:val="ParaNum"/>
        <w:tabs>
          <w:tab w:val="clear" w:pos="1080"/>
          <w:tab w:val="num" w:pos="1440"/>
        </w:tabs>
        <w:rPr>
          <w:rFonts w:cs="Times New Roman"/>
        </w:rPr>
      </w:pPr>
      <w:r w:rsidRPr="00C77876">
        <w:rPr>
          <w:rFonts w:cs="Times New Roman"/>
        </w:rPr>
        <w:t>We also seek comment on whether and how security needs for 5G IoT devices might differ from other infrastructures, including, in particular</w:t>
      </w:r>
      <w:r w:rsidR="00FE7246">
        <w:rPr>
          <w:rFonts w:cs="Times New Roman"/>
        </w:rPr>
        <w:t>,</w:t>
      </w:r>
      <w:r w:rsidRPr="00C77876">
        <w:rPr>
          <w:rFonts w:cs="Times New Roman"/>
        </w:rPr>
        <w:t xml:space="preserve"> each of the critical infrastructure sectors.  What expectations would various critical infrastructure sectors likely have for the security capabilities and features of 5G services?</w:t>
      </w:r>
      <w:r w:rsidR="00767B9C">
        <w:rPr>
          <w:rFonts w:cs="Times New Roman"/>
        </w:rPr>
        <w:t xml:space="preserve">  </w:t>
      </w:r>
      <w:r w:rsidR="00BB7092">
        <w:rPr>
          <w:rFonts w:cs="Times New Roman"/>
        </w:rPr>
        <w:t xml:space="preserve">Does the government have a role </w:t>
      </w:r>
      <w:r w:rsidR="00767B9C">
        <w:rPr>
          <w:rFonts w:cs="Times New Roman"/>
        </w:rPr>
        <w:t>where residual risk unduly threatens critical infrastructure or national security</w:t>
      </w:r>
      <w:r w:rsidR="00BB7092">
        <w:rPr>
          <w:rFonts w:cs="Times New Roman"/>
        </w:rPr>
        <w:t>, and if so, what should it be</w:t>
      </w:r>
      <w:r w:rsidR="00767B9C">
        <w:rPr>
          <w:rFonts w:cs="Times New Roman"/>
        </w:rPr>
        <w:t>?</w:t>
      </w:r>
      <w:r w:rsidR="00215D9A">
        <w:rPr>
          <w:rFonts w:cs="Times New Roman"/>
        </w:rPr>
        <w:t xml:space="preserve">  </w:t>
      </w:r>
    </w:p>
    <w:p w14:paraId="304B7F42" w14:textId="77777777" w:rsidR="00962B16" w:rsidRPr="00C77876" w:rsidRDefault="00962B16" w:rsidP="00460BE2">
      <w:pPr>
        <w:pStyle w:val="ParaNum"/>
        <w:tabs>
          <w:tab w:val="clear" w:pos="1080"/>
          <w:tab w:val="num" w:pos="1440"/>
        </w:tabs>
        <w:rPr>
          <w:rFonts w:cs="Times New Roman"/>
        </w:rPr>
      </w:pPr>
      <w:r w:rsidRPr="00C77876">
        <w:rPr>
          <w:rFonts w:cs="Times New Roman"/>
        </w:rPr>
        <w:t>Given the likely unprecedented diversity of connected devices and their manufacturers, we also generally seek comment on whether 5G security could be challenged by hardware issues, including threats from a compromised supply chain</w:t>
      </w:r>
      <w:r w:rsidR="001279F0">
        <w:rPr>
          <w:rFonts w:cs="Times New Roman"/>
        </w:rPr>
        <w:t>.</w:t>
      </w:r>
      <w:r w:rsidR="001279F0" w:rsidRPr="00285EFD">
        <w:rPr>
          <w:rStyle w:val="CommentReference"/>
          <w:rFonts w:eastAsia="Calibri" w:cs="Times New Roman"/>
          <w:sz w:val="22"/>
          <w:szCs w:val="22"/>
        </w:rPr>
        <w:t xml:space="preserve"> </w:t>
      </w:r>
      <w:r w:rsidR="00C87F2F">
        <w:rPr>
          <w:rFonts w:cs="Times New Roman"/>
        </w:rPr>
        <w:t xml:space="preserve"> </w:t>
      </w:r>
      <w:r w:rsidRPr="00C77876">
        <w:rPr>
          <w:rFonts w:cs="Times New Roman"/>
        </w:rPr>
        <w:t>How are service providers and equipment manufacturers currently assessing supply chain risks?  Are they assessing risks consistent with NIST guidelines?</w:t>
      </w:r>
      <w:r w:rsidRPr="006F095E">
        <w:rPr>
          <w:rStyle w:val="FootnoteReference"/>
          <w:rFonts w:cs="Times New Roman"/>
          <w:sz w:val="22"/>
        </w:rPr>
        <w:footnoteReference w:id="30"/>
      </w:r>
      <w:r w:rsidRPr="00C77876">
        <w:rPr>
          <w:rFonts w:cs="Times New Roman"/>
        </w:rPr>
        <w:t xml:space="preserve"> </w:t>
      </w:r>
      <w:r w:rsidR="00C87F2F">
        <w:rPr>
          <w:rFonts w:cs="Times New Roman"/>
        </w:rPr>
        <w:t xml:space="preserve"> </w:t>
      </w:r>
      <w:r w:rsidR="00C31A74" w:rsidRPr="00C56CC7">
        <w:rPr>
          <w:rFonts w:cs="Times New Roman"/>
        </w:rPr>
        <w:t>W</w:t>
      </w:r>
      <w:r w:rsidR="00C31A74" w:rsidRPr="00895F48">
        <w:rPr>
          <w:rFonts w:cs="Times New Roman"/>
        </w:rPr>
        <w:t>e seek comment</w:t>
      </w:r>
      <w:r w:rsidR="00C31A74" w:rsidRPr="00C31A74">
        <w:rPr>
          <w:rFonts w:cs="Times New Roman"/>
        </w:rPr>
        <w:t xml:space="preserve"> on whether, and if so, how 5G service providers should </w:t>
      </w:r>
      <w:r w:rsidR="00400445" w:rsidRPr="00BA4E08">
        <w:rPr>
          <w:rFonts w:cs="Times New Roman"/>
        </w:rPr>
        <w:t>ensure the provenance of the hardware, firmware, software, and applications operating in their environments</w:t>
      </w:r>
      <w:r w:rsidR="00C31A74">
        <w:rPr>
          <w:rFonts w:cs="Times New Roman"/>
        </w:rPr>
        <w:t>.</w:t>
      </w:r>
      <w:r w:rsidR="00400445">
        <w:rPr>
          <w:rFonts w:cs="Times New Roman"/>
        </w:rPr>
        <w:t xml:space="preserve"> </w:t>
      </w:r>
      <w:r w:rsidR="00400445" w:rsidRPr="00BA4E08">
        <w:rPr>
          <w:rFonts w:cs="Times New Roman"/>
        </w:rPr>
        <w:t xml:space="preserve"> </w:t>
      </w:r>
      <w:r w:rsidRPr="00C77876">
        <w:rPr>
          <w:rFonts w:cs="Times New Roman"/>
        </w:rPr>
        <w:t>What special considerations, if any, should be applied relative to 5G supply chain risks?</w:t>
      </w:r>
      <w:r w:rsidR="00400445">
        <w:rPr>
          <w:rFonts w:cs="Times New Roman"/>
        </w:rPr>
        <w:t xml:space="preserve">  </w:t>
      </w:r>
    </w:p>
    <w:p w14:paraId="5B5DC6AA" w14:textId="715DC5D8" w:rsidR="00962B16" w:rsidRPr="00C77876" w:rsidRDefault="001279F0" w:rsidP="00460BE2">
      <w:pPr>
        <w:pStyle w:val="ParaNum"/>
        <w:tabs>
          <w:tab w:val="clear" w:pos="1080"/>
          <w:tab w:val="num" w:pos="1440"/>
        </w:tabs>
        <w:rPr>
          <w:rFonts w:cs="Times New Roman"/>
        </w:rPr>
      </w:pPr>
      <w:r>
        <w:rPr>
          <w:rFonts w:cs="Times New Roman"/>
        </w:rPr>
        <w:t>W</w:t>
      </w:r>
      <w:r w:rsidR="00962B16" w:rsidRPr="00C77876">
        <w:rPr>
          <w:rFonts w:cs="Times New Roman"/>
        </w:rPr>
        <w:t xml:space="preserve">e </w:t>
      </w:r>
      <w:r>
        <w:rPr>
          <w:rFonts w:cs="Times New Roman"/>
        </w:rPr>
        <w:t xml:space="preserve">further </w:t>
      </w:r>
      <w:r w:rsidR="00962B16" w:rsidRPr="00C77876">
        <w:rPr>
          <w:rFonts w:cs="Times New Roman"/>
        </w:rPr>
        <w:t xml:space="preserve">seek comment on benefits and costs associated with effective hardware, firmware, software, and application security for 5G.  What are the costs associated with updating existing hardware, firmware, software, and applications versus the costs of adding entirely new elements for a totally new security posture?  </w:t>
      </w:r>
      <w:r w:rsidR="00767B9C">
        <w:rPr>
          <w:rFonts w:cs="Times New Roman"/>
        </w:rPr>
        <w:t xml:space="preserve">Is there a role for 5G-specific third party security entities?  </w:t>
      </w:r>
      <w:r w:rsidR="00962B16" w:rsidRPr="00C77876">
        <w:rPr>
          <w:rFonts w:cs="Times New Roman"/>
        </w:rPr>
        <w:t xml:space="preserve">Do benefits and costs vary depending on the use of open-source software compared to proprietary software?  What are the costs of adding security-specific features to 5G network hardware, firmware, software and applications?  Are there scale economies observed across local, regional, and nationwide 5G networks? </w:t>
      </w:r>
      <w:r w:rsidR="009164A1">
        <w:rPr>
          <w:rFonts w:cs="Times New Roman"/>
        </w:rPr>
        <w:t xml:space="preserve"> </w:t>
      </w:r>
      <w:r w:rsidR="0005101D">
        <w:rPr>
          <w:rFonts w:cs="Times New Roman"/>
        </w:rPr>
        <w:t>Finally, w</w:t>
      </w:r>
      <w:r w:rsidR="0005101D" w:rsidRPr="00BD095E">
        <w:rPr>
          <w:rFonts w:cs="Times New Roman"/>
        </w:rPr>
        <w:t>hat other issues or factors should the Commission consider with respect to the preservation of confidentiality</w:t>
      </w:r>
      <w:r w:rsidR="0005101D">
        <w:rPr>
          <w:rFonts w:cs="Times New Roman"/>
        </w:rPr>
        <w:t xml:space="preserve">, </w:t>
      </w:r>
      <w:r w:rsidR="0005101D" w:rsidRPr="00BD095E">
        <w:rPr>
          <w:rFonts w:cs="Times New Roman"/>
        </w:rPr>
        <w:t>integrity</w:t>
      </w:r>
      <w:r w:rsidR="0005101D">
        <w:rPr>
          <w:rFonts w:cs="Times New Roman"/>
        </w:rPr>
        <w:t xml:space="preserve"> and availability</w:t>
      </w:r>
      <w:r w:rsidR="0005101D" w:rsidRPr="00BD095E">
        <w:rPr>
          <w:rFonts w:cs="Times New Roman"/>
        </w:rPr>
        <w:t xml:space="preserve"> in the 5G environment?</w:t>
      </w:r>
    </w:p>
    <w:p w14:paraId="379B50BC" w14:textId="77777777" w:rsidR="00962B16" w:rsidRPr="00C77876" w:rsidRDefault="00962B16" w:rsidP="00460BE2">
      <w:pPr>
        <w:pStyle w:val="Heading3"/>
        <w:rPr>
          <w:rFonts w:cs="Times New Roman"/>
        </w:rPr>
      </w:pPr>
      <w:r w:rsidRPr="00C77876">
        <w:rPr>
          <w:rFonts w:cs="Times New Roman"/>
        </w:rPr>
        <w:lastRenderedPageBreak/>
        <w:t>Roles and Responsibilities</w:t>
      </w:r>
    </w:p>
    <w:p w14:paraId="5C750221" w14:textId="0DD64D3D" w:rsidR="00962B16" w:rsidRPr="00BD095E" w:rsidRDefault="00962B16" w:rsidP="00460BE2">
      <w:pPr>
        <w:pStyle w:val="ParaNum"/>
        <w:tabs>
          <w:tab w:val="clear" w:pos="1080"/>
          <w:tab w:val="num" w:pos="1440"/>
        </w:tabs>
        <w:rPr>
          <w:rFonts w:cs="Times New Roman"/>
        </w:rPr>
      </w:pPr>
      <w:r w:rsidRPr="00C31A74">
        <w:rPr>
          <w:rFonts w:cs="Times New Roman"/>
        </w:rPr>
        <w:t xml:space="preserve">Because of the anticipated proliferation of 5G networks and the devices that will be deployed on them, there is a chance that the cyber integrity of the network as a whole could </w:t>
      </w:r>
      <w:r w:rsidR="00C31A74">
        <w:rPr>
          <w:rFonts w:cs="Times New Roman"/>
        </w:rPr>
        <w:t xml:space="preserve">be </w:t>
      </w:r>
      <w:r w:rsidRPr="00C31A74">
        <w:rPr>
          <w:rFonts w:cs="Times New Roman"/>
        </w:rPr>
        <w:t xml:space="preserve">overlooked on the assumption that another network participant would be responsible.  Is this a valid concern?  </w:t>
      </w:r>
      <w:r w:rsidR="00C31A74">
        <w:rPr>
          <w:rFonts w:cs="Times New Roman"/>
        </w:rPr>
        <w:t>We</w:t>
      </w:r>
      <w:r w:rsidRPr="00C31A74">
        <w:rPr>
          <w:rFonts w:cs="Times New Roman"/>
        </w:rPr>
        <w:t xml:space="preserve"> seek general comment </w:t>
      </w:r>
      <w:r w:rsidR="00C31A74">
        <w:rPr>
          <w:rFonts w:cs="Times New Roman"/>
        </w:rPr>
        <w:t>on who should</w:t>
      </w:r>
      <w:r w:rsidR="00C31A74" w:rsidRPr="00C31A74">
        <w:rPr>
          <w:rFonts w:cs="Times New Roman"/>
        </w:rPr>
        <w:t xml:space="preserve"> </w:t>
      </w:r>
      <w:r w:rsidR="009164A1">
        <w:rPr>
          <w:rFonts w:cs="Times New Roman"/>
        </w:rPr>
        <w:t xml:space="preserve">be responsible for assuring </w:t>
      </w:r>
      <w:r w:rsidR="00C31A74" w:rsidRPr="00C31A74">
        <w:rPr>
          <w:rFonts w:cs="Times New Roman"/>
        </w:rPr>
        <w:t xml:space="preserve">cyber security across the 5G ecosystem, what principles should guide the management of cyber risk, and how cyber risk </w:t>
      </w:r>
      <w:r w:rsidR="00C31A74">
        <w:rPr>
          <w:rFonts w:cs="Times New Roman"/>
        </w:rPr>
        <w:t xml:space="preserve">should </w:t>
      </w:r>
      <w:r w:rsidR="00C31A74" w:rsidRPr="00C31A74">
        <w:rPr>
          <w:rFonts w:cs="Times New Roman"/>
        </w:rPr>
        <w:t xml:space="preserve">be </w:t>
      </w:r>
      <w:r w:rsidR="00C31A74">
        <w:rPr>
          <w:rFonts w:cs="Times New Roman"/>
        </w:rPr>
        <w:t xml:space="preserve">managed within companies. </w:t>
      </w:r>
      <w:r w:rsidR="00C31A74" w:rsidRPr="00C31A74">
        <w:rPr>
          <w:rFonts w:cs="Times New Roman"/>
        </w:rPr>
        <w:t xml:space="preserve"> How should providers work together across the 5G ecosystem to achieve desirable outcomes in cyber risk management?  </w:t>
      </w:r>
    </w:p>
    <w:p w14:paraId="0FDF90EC" w14:textId="68BB8197" w:rsidR="00962B16" w:rsidRPr="00C77876" w:rsidRDefault="00962B16" w:rsidP="00460BE2">
      <w:pPr>
        <w:pStyle w:val="ParaNum"/>
        <w:tabs>
          <w:tab w:val="clear" w:pos="1080"/>
          <w:tab w:val="num" w:pos="1440"/>
        </w:tabs>
        <w:rPr>
          <w:rFonts w:cs="Times New Roman"/>
        </w:rPr>
      </w:pPr>
      <w:r w:rsidRPr="00C77876">
        <w:rPr>
          <w:rFonts w:cs="Times New Roman"/>
        </w:rPr>
        <w:t xml:space="preserve">Relatedly, we seek information on how the 5G ecosystem will share information about cyber threats and concerns.  For example, Information Sharing and Analysis Organizations (ISAO) standards are still largely a work in progress, and their success depends on the level of industry participation.  We seek comment on whether an ISAO construct could be </w:t>
      </w:r>
      <w:r w:rsidR="008C68D1">
        <w:rPr>
          <w:rFonts w:cs="Times New Roman"/>
        </w:rPr>
        <w:t xml:space="preserve">or should be </w:t>
      </w:r>
      <w:r w:rsidRPr="00C77876">
        <w:rPr>
          <w:rFonts w:cs="Times New Roman"/>
        </w:rPr>
        <w:t xml:space="preserve">applied to the 5G ecosystem.  Would it be appropriate to develop a 5G-specific ISAO?  </w:t>
      </w:r>
      <w:r w:rsidR="008C68D1">
        <w:rPr>
          <w:rFonts w:cs="Times New Roman"/>
        </w:rPr>
        <w:t xml:space="preserve">Should 5G networks be instrumented to support automated cybersecurity threat indicators and network anomaly information sharing and analysis?  Is an ISAO or multiple ISAOs the right focal point for automated </w:t>
      </w:r>
      <w:r w:rsidR="00DE28C5">
        <w:rPr>
          <w:rFonts w:cs="Times New Roman"/>
        </w:rPr>
        <w:t xml:space="preserve">cyber </w:t>
      </w:r>
      <w:r w:rsidR="008C68D1">
        <w:rPr>
          <w:rFonts w:cs="Times New Roman"/>
        </w:rPr>
        <w:t xml:space="preserve">information sharing and analysis?  </w:t>
      </w:r>
      <w:r w:rsidRPr="00C77876">
        <w:rPr>
          <w:rFonts w:cs="Times New Roman"/>
        </w:rPr>
        <w:t>Should it address IoT concerns more broadly or focus on network-based considerations?</w:t>
      </w:r>
      <w:r w:rsidR="00AA7A06">
        <w:rPr>
          <w:rFonts w:cs="Times New Roman"/>
        </w:rPr>
        <w:t xml:space="preserve">  </w:t>
      </w:r>
      <w:r w:rsidRPr="00C77876">
        <w:rPr>
          <w:rFonts w:cs="Times New Roman"/>
        </w:rPr>
        <w:t>Who should be involved?</w:t>
      </w:r>
      <w:r w:rsidR="00AA7A06">
        <w:rPr>
          <w:rFonts w:cs="Times New Roman"/>
        </w:rPr>
        <w:t xml:space="preserve">  </w:t>
      </w:r>
      <w:r w:rsidRPr="00C77876">
        <w:rPr>
          <w:rFonts w:cs="Times New Roman"/>
        </w:rPr>
        <w:t>Should work of ISAOs dealing with related topics be formally coordinated?  If so, how?</w:t>
      </w:r>
      <w:r w:rsidR="003954A5">
        <w:rPr>
          <w:rFonts w:cs="Times New Roman"/>
        </w:rPr>
        <w:t xml:space="preserve">  What</w:t>
      </w:r>
      <w:r w:rsidR="003954A5" w:rsidRPr="00C77876">
        <w:rPr>
          <w:rFonts w:cs="Times New Roman"/>
        </w:rPr>
        <w:t xml:space="preserve"> are the proper roles of standards bodies, advisory committees such as</w:t>
      </w:r>
      <w:r w:rsidR="00895F48">
        <w:rPr>
          <w:rFonts w:cs="Times New Roman"/>
        </w:rPr>
        <w:t xml:space="preserve"> the North American Numbering Council (</w:t>
      </w:r>
      <w:r w:rsidR="003954A5" w:rsidRPr="00C77876">
        <w:rPr>
          <w:rFonts w:cs="Times New Roman"/>
        </w:rPr>
        <w:t>NANC</w:t>
      </w:r>
      <w:r w:rsidR="00895F48">
        <w:rPr>
          <w:rFonts w:cs="Times New Roman"/>
        </w:rPr>
        <w:t>)</w:t>
      </w:r>
      <w:r w:rsidR="003954A5" w:rsidRPr="00C77876">
        <w:rPr>
          <w:rFonts w:cs="Times New Roman"/>
        </w:rPr>
        <w:t>, industry authorities, numbering and data services and the FCC? </w:t>
      </w:r>
    </w:p>
    <w:p w14:paraId="0EC7548D" w14:textId="23F53554" w:rsidR="00962B16" w:rsidRPr="00C77876" w:rsidRDefault="00962B16" w:rsidP="00460BE2">
      <w:pPr>
        <w:pStyle w:val="ParaNum"/>
        <w:tabs>
          <w:tab w:val="clear" w:pos="1080"/>
          <w:tab w:val="num" w:pos="1440"/>
        </w:tabs>
        <w:rPr>
          <w:rFonts w:cs="Times New Roman"/>
        </w:rPr>
      </w:pPr>
      <w:r w:rsidRPr="00C77876">
        <w:rPr>
          <w:rFonts w:cs="Times New Roman"/>
        </w:rPr>
        <w:t>We observe that the NIST Framework for Improving Critical Infrastructure Cybersecurity Framework (NIST CSF)</w:t>
      </w:r>
      <w:r w:rsidRPr="006F095E">
        <w:rPr>
          <w:rStyle w:val="FootnoteReference"/>
          <w:rFonts w:cs="Times New Roman"/>
          <w:sz w:val="22"/>
        </w:rPr>
        <w:footnoteReference w:id="31"/>
      </w:r>
      <w:r w:rsidRPr="00C77876">
        <w:rPr>
          <w:rFonts w:cs="Times New Roman"/>
        </w:rPr>
        <w:t xml:space="preserve"> has been voluntarily used by members of the critical infrastructure community, including the communications sector, for several years to help manage cybersecurity risk.  We seek comment on whether, and if so how, the NIST CSF can be used to manage risk for 5G service providers and networks.  We note, in particular, that the NIST CSF includes several top level organizational functions that can be performed concurrently and continuously to form an operational culture that addresses dynamic security risk, namely, Identify, Detect, Protect, Respond, and Recover (IPDRR).</w:t>
      </w:r>
      <w:r w:rsidRPr="006F095E">
        <w:rPr>
          <w:rStyle w:val="FootnoteReference"/>
          <w:rFonts w:cs="Times New Roman"/>
          <w:sz w:val="22"/>
        </w:rPr>
        <w:footnoteReference w:id="32"/>
      </w:r>
      <w:r w:rsidRPr="00C77876">
        <w:rPr>
          <w:rFonts w:cs="Times New Roman"/>
        </w:rPr>
        <w:t xml:space="preserve"> </w:t>
      </w:r>
      <w:r w:rsidR="003954A5">
        <w:rPr>
          <w:rFonts w:cs="Times New Roman"/>
        </w:rPr>
        <w:t xml:space="preserve"> </w:t>
      </w:r>
      <w:r w:rsidRPr="00C77876">
        <w:rPr>
          <w:rFonts w:cs="Times New Roman"/>
        </w:rPr>
        <w:t>We seek comment on unique factors with respect to these functions that should guide 5G design, standards development and operations.</w:t>
      </w:r>
    </w:p>
    <w:p w14:paraId="10035C26" w14:textId="77777777" w:rsidR="00962B16" w:rsidRPr="00C77876" w:rsidRDefault="00962B16" w:rsidP="00460BE2">
      <w:pPr>
        <w:pStyle w:val="Heading3"/>
        <w:rPr>
          <w:rFonts w:cs="Times New Roman"/>
        </w:rPr>
      </w:pPr>
      <w:r w:rsidRPr="00C77876">
        <w:rPr>
          <w:rFonts w:cs="Times New Roman"/>
        </w:rPr>
        <w:lastRenderedPageBreak/>
        <w:t xml:space="preserve">Other </w:t>
      </w:r>
      <w:r>
        <w:rPr>
          <w:rFonts w:cs="Times New Roman"/>
        </w:rPr>
        <w:t>C</w:t>
      </w:r>
      <w:r w:rsidRPr="00C77876">
        <w:rPr>
          <w:rFonts w:cs="Times New Roman"/>
        </w:rPr>
        <w:t>onsiderations</w:t>
      </w:r>
    </w:p>
    <w:p w14:paraId="6BF2D6BF" w14:textId="77777777" w:rsidR="00AA7A06" w:rsidRDefault="00962B16" w:rsidP="00460BE2">
      <w:pPr>
        <w:pStyle w:val="ParaNum"/>
        <w:tabs>
          <w:tab w:val="clear" w:pos="1080"/>
          <w:tab w:val="num" w:pos="1440"/>
        </w:tabs>
        <w:rPr>
          <w:rFonts w:cs="Times New Roman"/>
        </w:rPr>
      </w:pPr>
      <w:r w:rsidRPr="00C77876">
        <w:rPr>
          <w:rFonts w:cs="Times New Roman"/>
        </w:rPr>
        <w:t xml:space="preserve">Are there additional functions that should be considered in the 5G environment? </w:t>
      </w:r>
      <w:r w:rsidR="00D6391D">
        <w:rPr>
          <w:rFonts w:cs="Times New Roman"/>
        </w:rPr>
        <w:t xml:space="preserve"> How should addressing and naming be accommodated for 5G?</w:t>
      </w:r>
      <w:r w:rsidR="00D6391D">
        <w:rPr>
          <w:rStyle w:val="FootnoteReference"/>
          <w:rFonts w:cs="Times New Roman"/>
        </w:rPr>
        <w:footnoteReference w:id="33"/>
      </w:r>
      <w:r w:rsidR="00D6391D">
        <w:rPr>
          <w:rFonts w:cs="Times New Roman"/>
        </w:rPr>
        <w:t xml:space="preserve">  Are stakeholders working to evolve any of today’s numbering schemas to encompass 5G?  </w:t>
      </w:r>
      <w:r w:rsidR="00D6391D" w:rsidRPr="00C77876">
        <w:rPr>
          <w:rFonts w:cs="Times New Roman"/>
        </w:rPr>
        <w:t xml:space="preserve">What practical steps should 5G planners take in order to ensure that the </w:t>
      </w:r>
      <w:r w:rsidR="00D6391D">
        <w:rPr>
          <w:rFonts w:cs="Times New Roman"/>
        </w:rPr>
        <w:t>functions discussed in this NOI</w:t>
      </w:r>
      <w:r w:rsidR="00D6391D" w:rsidRPr="00C77876">
        <w:rPr>
          <w:rFonts w:cs="Times New Roman"/>
        </w:rPr>
        <w:t xml:space="preserve">, and any other relevant functions, are properly considered and implemented within their respective organizations? </w:t>
      </w:r>
      <w:r w:rsidR="00D6391D">
        <w:rPr>
          <w:rFonts w:cs="Times New Roman"/>
        </w:rPr>
        <w:t xml:space="preserve"> </w:t>
      </w:r>
    </w:p>
    <w:bookmarkEnd w:id="159"/>
    <w:bookmarkEnd w:id="160"/>
    <w:bookmarkEnd w:id="161"/>
    <w:bookmarkEnd w:id="162"/>
    <w:bookmarkEnd w:id="186"/>
    <w:p w14:paraId="5E255F63" w14:textId="77777777" w:rsidR="00C87F2F" w:rsidRPr="00C10745" w:rsidRDefault="00C87F2F" w:rsidP="00805D26">
      <w:pPr>
        <w:pStyle w:val="Heading3"/>
        <w:rPr>
          <w:rFonts w:cs="Times New Roman"/>
        </w:rPr>
      </w:pPr>
      <w:r>
        <w:rPr>
          <w:rFonts w:cs="Times New Roman"/>
        </w:rPr>
        <w:t>Benefits and Costs</w:t>
      </w:r>
    </w:p>
    <w:p w14:paraId="5AC9387F" w14:textId="77777777" w:rsidR="00C87F2F" w:rsidRDefault="00C87F2F" w:rsidP="00460BE2">
      <w:pPr>
        <w:pStyle w:val="ParaNum"/>
        <w:tabs>
          <w:tab w:val="clear" w:pos="1080"/>
          <w:tab w:val="num" w:pos="1440"/>
        </w:tabs>
        <w:rPr>
          <w:rFonts w:cs="Times New Roman"/>
        </w:rPr>
      </w:pPr>
      <w:r>
        <w:rPr>
          <w:rFonts w:cs="Times New Roman"/>
        </w:rPr>
        <w:t xml:space="preserve">We seek comment on the public </w:t>
      </w:r>
      <w:r w:rsidR="008C68D1">
        <w:rPr>
          <w:rFonts w:cs="Times New Roman"/>
        </w:rPr>
        <w:t xml:space="preserve">harm </w:t>
      </w:r>
      <w:r>
        <w:rPr>
          <w:rFonts w:cs="Times New Roman"/>
        </w:rPr>
        <w:t xml:space="preserve">expected to result </w:t>
      </w:r>
      <w:r w:rsidR="00C17615">
        <w:rPr>
          <w:rFonts w:cs="Times New Roman"/>
        </w:rPr>
        <w:t xml:space="preserve">from </w:t>
      </w:r>
      <w:r w:rsidR="00B50131">
        <w:rPr>
          <w:rFonts w:cs="Times New Roman"/>
        </w:rPr>
        <w:t>failure to</w:t>
      </w:r>
      <w:r>
        <w:rPr>
          <w:rFonts w:cs="Times New Roman"/>
        </w:rPr>
        <w:t xml:space="preserve"> integrat</w:t>
      </w:r>
      <w:r w:rsidR="008C68D1">
        <w:rPr>
          <w:rFonts w:cs="Times New Roman"/>
        </w:rPr>
        <w:t xml:space="preserve">e </w:t>
      </w:r>
      <w:r w:rsidR="00B50131">
        <w:rPr>
          <w:rFonts w:cs="Times New Roman"/>
        </w:rPr>
        <w:t>c</w:t>
      </w:r>
      <w:r w:rsidR="00897566">
        <w:rPr>
          <w:rFonts w:cs="Times New Roman"/>
        </w:rPr>
        <w:t xml:space="preserve">onfidentiality, </w:t>
      </w:r>
      <w:r w:rsidR="00B50131">
        <w:rPr>
          <w:rFonts w:cs="Times New Roman"/>
        </w:rPr>
        <w:t>integrity and a</w:t>
      </w:r>
      <w:r w:rsidR="00897566">
        <w:rPr>
          <w:rFonts w:cs="Times New Roman"/>
        </w:rPr>
        <w:t xml:space="preserve">vailability </w:t>
      </w:r>
      <w:r>
        <w:rPr>
          <w:rFonts w:cs="Times New Roman"/>
        </w:rPr>
        <w:t xml:space="preserve">into 5G networks through authentication, encryption, physical and device security, protecting against DoS attacks, patch management and risk segmentation.  Could </w:t>
      </w:r>
      <w:r w:rsidR="008C68D1">
        <w:rPr>
          <w:rFonts w:cs="Times New Roman"/>
        </w:rPr>
        <w:t xml:space="preserve">failure to </w:t>
      </w:r>
      <w:r>
        <w:rPr>
          <w:rFonts w:cs="Times New Roman"/>
        </w:rPr>
        <w:t>implement</w:t>
      </w:r>
      <w:r w:rsidR="008C68D1">
        <w:rPr>
          <w:rFonts w:cs="Times New Roman"/>
        </w:rPr>
        <w:t xml:space="preserve"> </w:t>
      </w:r>
      <w:r>
        <w:rPr>
          <w:rFonts w:cs="Times New Roman"/>
        </w:rPr>
        <w:t xml:space="preserve">these measures </w:t>
      </w:r>
      <w:r w:rsidR="00C17615">
        <w:rPr>
          <w:rFonts w:cs="Times New Roman"/>
        </w:rPr>
        <w:t>de</w:t>
      </w:r>
      <w:r>
        <w:rPr>
          <w:rFonts w:cs="Times New Roman"/>
        </w:rPr>
        <w:t xml:space="preserve">crease broadband adoption and </w:t>
      </w:r>
      <w:r w:rsidR="00B50131">
        <w:rPr>
          <w:rFonts w:cs="Times New Roman"/>
        </w:rPr>
        <w:t>detract from</w:t>
      </w:r>
      <w:r>
        <w:rPr>
          <w:rFonts w:cs="Times New Roman"/>
        </w:rPr>
        <w:t xml:space="preserve"> its productive economic use?  Could it </w:t>
      </w:r>
      <w:r w:rsidR="00C17615">
        <w:rPr>
          <w:rFonts w:cs="Times New Roman"/>
        </w:rPr>
        <w:t xml:space="preserve">reduce the risk of </w:t>
      </w:r>
      <w:r>
        <w:rPr>
          <w:rFonts w:cs="Times New Roman"/>
        </w:rPr>
        <w:t>loss of competitively sensitive information for businesses?  Could it prevent the loss of consumers’ personally identifiable information?  Could it play a role in preventing the unnecessary loss of life or property by, for example, preventing malicious intrusion into critical infrastructure?  How should we quantify these benefits in terms of their economic impact?  What other benefits would likely stem from an appropriately secure 5G network?</w:t>
      </w:r>
    </w:p>
    <w:p w14:paraId="748950AD" w14:textId="3CFD5D34" w:rsidR="00C87F2F" w:rsidRDefault="00C87F2F" w:rsidP="00460BE2">
      <w:pPr>
        <w:pStyle w:val="ParaNum"/>
        <w:tabs>
          <w:tab w:val="clear" w:pos="1080"/>
          <w:tab w:val="num" w:pos="1440"/>
        </w:tabs>
        <w:rPr>
          <w:rFonts w:cs="Times New Roman"/>
        </w:rPr>
      </w:pPr>
      <w:r>
        <w:rPr>
          <w:rFonts w:cs="Times New Roman"/>
        </w:rPr>
        <w:t>We also seek comment on</w:t>
      </w:r>
      <w:r w:rsidRPr="00C03CC2">
        <w:rPr>
          <w:rFonts w:cs="Times New Roman"/>
        </w:rPr>
        <w:t xml:space="preserve"> the costs associated with </w:t>
      </w:r>
      <w:r>
        <w:rPr>
          <w:rFonts w:cs="Times New Roman"/>
        </w:rPr>
        <w:t>the implementation of the measures discussed above</w:t>
      </w:r>
      <w:r w:rsidR="00C17615">
        <w:rPr>
          <w:rFonts w:cs="Times New Roman"/>
        </w:rPr>
        <w:t xml:space="preserve"> as investments early in the design and build plans of networks, as op</w:t>
      </w:r>
      <w:r w:rsidR="006A285A">
        <w:rPr>
          <w:rFonts w:cs="Times New Roman"/>
        </w:rPr>
        <w:t>p</w:t>
      </w:r>
      <w:r w:rsidR="00C17615">
        <w:rPr>
          <w:rFonts w:cs="Times New Roman"/>
        </w:rPr>
        <w:t>osed to “</w:t>
      </w:r>
      <w:r w:rsidR="0044463B">
        <w:rPr>
          <w:rFonts w:cs="Times New Roman"/>
        </w:rPr>
        <w:t>bolt-</w:t>
      </w:r>
      <w:r w:rsidR="00C17615">
        <w:rPr>
          <w:rFonts w:cs="Times New Roman"/>
        </w:rPr>
        <w:t>on” security after deployment.  Are there opportunities for 5G implementation that would only be realized if networks are perceived to be secure?  Are there some security elements that, by plan, should be “just in time” or reactive investments, based on realized threats</w:t>
      </w:r>
      <w:r w:rsidR="0044463B">
        <w:rPr>
          <w:rFonts w:cs="Times New Roman"/>
        </w:rPr>
        <w:t>, after 5G implementation?</w:t>
      </w:r>
      <w:r w:rsidR="00C17615">
        <w:rPr>
          <w:rFonts w:cs="Times New Roman"/>
        </w:rPr>
        <w:t xml:space="preserve">  </w:t>
      </w:r>
      <w:r>
        <w:rPr>
          <w:rFonts w:cs="Times New Roman"/>
        </w:rPr>
        <w:t xml:space="preserve">Would these costs include those associated with </w:t>
      </w:r>
      <w:r w:rsidRPr="00C03CC2">
        <w:rPr>
          <w:rFonts w:cs="Times New Roman"/>
        </w:rPr>
        <w:t>updating existing hardware, firmware, software, and applications</w:t>
      </w:r>
      <w:r>
        <w:rPr>
          <w:rFonts w:cs="Times New Roman"/>
        </w:rPr>
        <w:t>?  How would the costs of system updates compare to</w:t>
      </w:r>
      <w:r w:rsidRPr="00470D31">
        <w:t xml:space="preserve"> the costs of adding entirely new elements for a totally new security posture? </w:t>
      </w:r>
      <w:r w:rsidR="00942EF2">
        <w:t xml:space="preserve"> </w:t>
      </w:r>
      <w:r w:rsidRPr="00470D31">
        <w:t xml:space="preserve">Do benefits and costs vary depending on the use of open-source software compared to proprietary software?  </w:t>
      </w:r>
      <w:r>
        <w:rPr>
          <w:rFonts w:cs="Times New Roman"/>
        </w:rPr>
        <w:t>If so, to what extent are open-source solutions available that could reduce costs?</w:t>
      </w:r>
      <w:r w:rsidRPr="00470D31">
        <w:t xml:space="preserve">  Are there scale economies observed across local, regional and nationwide 5G networks? </w:t>
      </w:r>
      <w:r>
        <w:rPr>
          <w:rFonts w:cs="Times New Roman"/>
        </w:rPr>
        <w:t xml:space="preserve"> We seek comment on specific costs associated with authentication, encryption, physical and device security, protecting against DDoS attacks, patch management and risk segmentation in the 5G environment. </w:t>
      </w:r>
    </w:p>
    <w:p w14:paraId="52E8F64E" w14:textId="77777777" w:rsidR="000E79C5" w:rsidRPr="00B337D1" w:rsidRDefault="005B635D" w:rsidP="00460BE2">
      <w:pPr>
        <w:pStyle w:val="Heading2"/>
      </w:pPr>
      <w:bookmarkStart w:id="187" w:name="_Toc464124756"/>
      <w:bookmarkStart w:id="188" w:name="_Toc464818732"/>
      <w:bookmarkStart w:id="189" w:name="_Toc464819270"/>
      <w:bookmarkStart w:id="190" w:name="_Toc464819419"/>
      <w:bookmarkStart w:id="191" w:name="_Toc465937286"/>
      <w:bookmarkStart w:id="192" w:name="_Toc466545205"/>
      <w:bookmarkStart w:id="193" w:name="_Toc466545474"/>
      <w:r w:rsidRPr="00B337D1">
        <w:t xml:space="preserve">5G Implications for </w:t>
      </w:r>
      <w:r w:rsidR="000E79C5" w:rsidRPr="00B337D1">
        <w:t>Public Safety</w:t>
      </w:r>
      <w:bookmarkEnd w:id="187"/>
      <w:bookmarkEnd w:id="188"/>
      <w:bookmarkEnd w:id="189"/>
      <w:bookmarkEnd w:id="190"/>
      <w:bookmarkEnd w:id="191"/>
      <w:bookmarkEnd w:id="192"/>
      <w:bookmarkEnd w:id="193"/>
    </w:p>
    <w:p w14:paraId="4E3DF91C" w14:textId="77777777" w:rsidR="006C295E" w:rsidRPr="00C77876" w:rsidRDefault="006C295E" w:rsidP="00460BE2">
      <w:pPr>
        <w:pStyle w:val="ParaNum"/>
        <w:tabs>
          <w:tab w:val="clear" w:pos="1080"/>
          <w:tab w:val="num" w:pos="1440"/>
        </w:tabs>
        <w:rPr>
          <w:rFonts w:cs="Times New Roman"/>
        </w:rPr>
      </w:pPr>
      <w:r w:rsidRPr="00C77876">
        <w:rPr>
          <w:rFonts w:cs="Times New Roman"/>
        </w:rPr>
        <w:t xml:space="preserve">Many public safety services and technologies are undergoing radical change as underlying networks transition from legacy to IP-based modes.  Examples include the transition of the nation’s 911 system to Next Generation 911 (NG911); the evolution of first responder communications from land mobile radio (LMR) to LTE, including the development of FirstNet; and the emergence of enhanced emergency alerting services that rely on IP-based technologies to communicate with the public.  </w:t>
      </w:r>
      <w:r w:rsidR="00C17615">
        <w:rPr>
          <w:rFonts w:cs="Times New Roman"/>
        </w:rPr>
        <w:t xml:space="preserve">Will any new categories of </w:t>
      </w:r>
      <w:r w:rsidR="0044463B">
        <w:rPr>
          <w:rFonts w:cs="Times New Roman"/>
        </w:rPr>
        <w:t>p</w:t>
      </w:r>
      <w:r w:rsidR="00C17615">
        <w:rPr>
          <w:rFonts w:cs="Times New Roman"/>
        </w:rPr>
        <w:t xml:space="preserve">ublic </w:t>
      </w:r>
      <w:r w:rsidR="0044463B">
        <w:rPr>
          <w:rFonts w:cs="Times New Roman"/>
        </w:rPr>
        <w:t>s</w:t>
      </w:r>
      <w:r w:rsidR="00C17615">
        <w:rPr>
          <w:rFonts w:cs="Times New Roman"/>
        </w:rPr>
        <w:t>afety sensor</w:t>
      </w:r>
      <w:r w:rsidR="0044463B">
        <w:rPr>
          <w:rFonts w:cs="Times New Roman"/>
        </w:rPr>
        <w:t>s</w:t>
      </w:r>
      <w:r w:rsidR="00C17615">
        <w:rPr>
          <w:rFonts w:cs="Times New Roman"/>
        </w:rPr>
        <w:t xml:space="preserve"> or other </w:t>
      </w:r>
      <w:r w:rsidR="00C17615">
        <w:rPr>
          <w:rFonts w:cs="Times New Roman"/>
        </w:rPr>
        <w:lastRenderedPageBreak/>
        <w:t>machine</w:t>
      </w:r>
      <w:r w:rsidR="001B2DB0">
        <w:rPr>
          <w:rFonts w:cs="Times New Roman"/>
        </w:rPr>
        <w:t xml:space="preserve">-based tools </w:t>
      </w:r>
      <w:r w:rsidR="0044463B">
        <w:rPr>
          <w:rFonts w:cs="Times New Roman"/>
        </w:rPr>
        <w:t>become an</w:t>
      </w:r>
      <w:r w:rsidR="001B2DB0">
        <w:rPr>
          <w:rFonts w:cs="Times New Roman"/>
        </w:rPr>
        <w:t xml:space="preserve"> included part of 5G </w:t>
      </w:r>
      <w:r w:rsidR="0044463B">
        <w:rPr>
          <w:rFonts w:cs="Times New Roman"/>
        </w:rPr>
        <w:t xml:space="preserve">public safety communications </w:t>
      </w:r>
      <w:r w:rsidR="001B2DB0">
        <w:rPr>
          <w:rFonts w:cs="Times New Roman"/>
        </w:rPr>
        <w:t xml:space="preserve">architecture?  </w:t>
      </w:r>
      <w:r w:rsidRPr="00C77876">
        <w:rPr>
          <w:rFonts w:cs="Times New Roman"/>
        </w:rPr>
        <w:t xml:space="preserve">We anticipate that the development of 5G networks will contribute new capabilities to these IP-based public safety platforms while also creating new challenges, including security challenges, for public safety entities.  </w:t>
      </w:r>
    </w:p>
    <w:p w14:paraId="3A8A7ACB" w14:textId="77777777" w:rsidR="00AC144F" w:rsidRDefault="006C295E" w:rsidP="00E04769">
      <w:pPr>
        <w:pStyle w:val="ParaNum"/>
        <w:tabs>
          <w:tab w:val="clear" w:pos="1080"/>
        </w:tabs>
        <w:rPr>
          <w:rFonts w:cs="Times New Roman"/>
        </w:rPr>
      </w:pPr>
      <w:r w:rsidRPr="00897566">
        <w:rPr>
          <w:rFonts w:cs="Times New Roman"/>
        </w:rPr>
        <w:t>We seek comment on the security implications of linking or integrating 5G networks with IP-based public safety communications platforms.  Could this create new security risks or vulnerabilities for NG911, first responder communications, or emergency alerting?  What responsibility should 5G service providers have</w:t>
      </w:r>
      <w:r w:rsidRPr="0076730E">
        <w:rPr>
          <w:rFonts w:cs="Times New Roman"/>
        </w:rPr>
        <w:t xml:space="preserve"> for mitigating and managing these risks?  Conversely, could 5G networks help </w:t>
      </w:r>
      <w:r w:rsidRPr="000B5D08">
        <w:rPr>
          <w:rFonts w:cs="Times New Roman"/>
          <w:i/>
        </w:rPr>
        <w:t>reduce</w:t>
      </w:r>
      <w:r w:rsidRPr="000B5D08">
        <w:rPr>
          <w:rFonts w:cs="Times New Roman"/>
        </w:rPr>
        <w:t xml:space="preserve"> security risks that public safety faces in migrating from legacy to IP-based technologies?  For example, first responders are planning to make use of Identity Credential, </w:t>
      </w:r>
      <w:r w:rsidRPr="00AE6989">
        <w:rPr>
          <w:rFonts w:cs="Times New Roman"/>
        </w:rPr>
        <w:t>and Access Management (ICAM) services to enable fast and reliable access to various emergency networks, applications, and databases during times of crisis.</w:t>
      </w:r>
      <w:r w:rsidRPr="00B36A19">
        <w:rPr>
          <w:rStyle w:val="FootnoteReference"/>
          <w:rFonts w:cs="Times New Roman"/>
          <w:sz w:val="22"/>
        </w:rPr>
        <w:footnoteReference w:id="34"/>
      </w:r>
      <w:r w:rsidRPr="00897566">
        <w:rPr>
          <w:rFonts w:cs="Times New Roman"/>
        </w:rPr>
        <w:t xml:space="preserve">  Effective implementation of ICAM will be especially important for responding to large-scale emerge</w:t>
      </w:r>
      <w:r w:rsidRPr="00C17615">
        <w:rPr>
          <w:rFonts w:cs="Times New Roman"/>
        </w:rPr>
        <w:t>ncies that span jurisdictional boundaries because without a secure access management protocol, inter-jurisdictional communication and access to critical information and applications may be compromised.  Could 5G services support ICAM in a manner that reduc</w:t>
      </w:r>
      <w:r w:rsidRPr="0076730E">
        <w:rPr>
          <w:rFonts w:cs="Times New Roman"/>
        </w:rPr>
        <w:t>es these security risks?</w:t>
      </w:r>
      <w:r w:rsidR="00897566" w:rsidRPr="000B5D08">
        <w:rPr>
          <w:rFonts w:cs="Times New Roman"/>
        </w:rPr>
        <w:t xml:space="preserve">  </w:t>
      </w:r>
      <w:r w:rsidR="001B2DB0">
        <w:rPr>
          <w:rFonts w:cs="Times New Roman"/>
        </w:rPr>
        <w:t xml:space="preserve">Should </w:t>
      </w:r>
      <w:r w:rsidR="00840BA1">
        <w:rPr>
          <w:rFonts w:cs="Times New Roman"/>
        </w:rPr>
        <w:t>p</w:t>
      </w:r>
      <w:r w:rsidR="001B2DB0">
        <w:rPr>
          <w:rFonts w:cs="Times New Roman"/>
        </w:rPr>
        <w:t xml:space="preserve">ublic </w:t>
      </w:r>
      <w:r w:rsidR="00840BA1">
        <w:rPr>
          <w:rFonts w:cs="Times New Roman"/>
        </w:rPr>
        <w:t>s</w:t>
      </w:r>
      <w:r w:rsidR="001B2DB0">
        <w:rPr>
          <w:rFonts w:cs="Times New Roman"/>
        </w:rPr>
        <w:t xml:space="preserve">afety anticipate a need for </w:t>
      </w:r>
      <w:r w:rsidR="000364C5">
        <w:rPr>
          <w:rFonts w:cs="Times New Roman"/>
        </w:rPr>
        <w:t>unmanned, unattended device ICAM</w:t>
      </w:r>
      <w:r w:rsidR="001B2DB0">
        <w:rPr>
          <w:rFonts w:cs="Times New Roman"/>
        </w:rPr>
        <w:t xml:space="preserve">?  </w:t>
      </w:r>
      <w:r w:rsidR="00215D9A" w:rsidRPr="00047E9D">
        <w:rPr>
          <w:rFonts w:cs="Times New Roman"/>
        </w:rPr>
        <w:t xml:space="preserve">Are there special considerations for </w:t>
      </w:r>
      <w:r w:rsidR="00215D9A">
        <w:rPr>
          <w:rFonts w:cs="Times New Roman"/>
        </w:rPr>
        <w:t xml:space="preserve">standards development for </w:t>
      </w:r>
      <w:r w:rsidR="00215D9A" w:rsidRPr="00047E9D">
        <w:rPr>
          <w:rFonts w:cs="Times New Roman"/>
        </w:rPr>
        <w:t xml:space="preserve">public safety </w:t>
      </w:r>
      <w:r w:rsidR="00215D9A">
        <w:rPr>
          <w:rFonts w:cs="Times New Roman"/>
        </w:rPr>
        <w:t>services and technologies</w:t>
      </w:r>
      <w:r w:rsidR="00215D9A" w:rsidRPr="00047E9D">
        <w:rPr>
          <w:rFonts w:cs="Times New Roman"/>
        </w:rPr>
        <w:t xml:space="preserve"> for 5G, and if so, are standards bodies addressing these issues?  </w:t>
      </w:r>
      <w:r w:rsidR="00215D9A" w:rsidRPr="001416D6">
        <w:rPr>
          <w:rFonts w:cs="Times New Roman"/>
        </w:rPr>
        <w:t xml:space="preserve">Is there a need for additional standards body involvement? </w:t>
      </w:r>
      <w:r w:rsidR="00215D9A">
        <w:rPr>
          <w:rFonts w:cs="Times New Roman"/>
        </w:rPr>
        <w:t xml:space="preserve"> </w:t>
      </w:r>
    </w:p>
    <w:p w14:paraId="6D958C7E" w14:textId="77777777" w:rsidR="00F548FB" w:rsidRPr="00B36A19" w:rsidRDefault="00F72A26" w:rsidP="00460BE2">
      <w:pPr>
        <w:pStyle w:val="Heading1"/>
        <w:ind w:left="0" w:firstLine="0"/>
        <w:rPr>
          <w:rFonts w:ascii="Times New Roman" w:hAnsi="Times New Roman" w:cs="Times New Roman"/>
        </w:rPr>
      </w:pPr>
      <w:bookmarkStart w:id="194" w:name="_Toc461004009"/>
      <w:bookmarkStart w:id="195" w:name="_Toc461022052"/>
      <w:bookmarkStart w:id="196" w:name="_Toc461555054"/>
      <w:bookmarkStart w:id="197" w:name="_Toc462057134"/>
      <w:bookmarkStart w:id="198" w:name="_Toc464124762"/>
      <w:bookmarkStart w:id="199" w:name="_Toc464818733"/>
      <w:bookmarkStart w:id="200" w:name="_Toc464819271"/>
      <w:bookmarkStart w:id="201" w:name="_Toc464819420"/>
      <w:bookmarkStart w:id="202" w:name="_Toc465937287"/>
      <w:bookmarkStart w:id="203" w:name="_Toc466545206"/>
      <w:bookmarkStart w:id="204" w:name="_Toc46654547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B36A19">
        <w:rPr>
          <w:rFonts w:ascii="Times New Roman" w:hAnsi="Times New Roman" w:cs="Times New Roman"/>
        </w:rPr>
        <w:t>Procedural Matters</w:t>
      </w:r>
      <w:bookmarkEnd w:id="194"/>
      <w:bookmarkEnd w:id="195"/>
      <w:bookmarkEnd w:id="196"/>
      <w:bookmarkEnd w:id="197"/>
      <w:bookmarkEnd w:id="198"/>
      <w:bookmarkEnd w:id="199"/>
      <w:bookmarkEnd w:id="200"/>
      <w:bookmarkEnd w:id="201"/>
      <w:bookmarkEnd w:id="202"/>
      <w:bookmarkEnd w:id="203"/>
      <w:bookmarkEnd w:id="204"/>
    </w:p>
    <w:p w14:paraId="1D3BBA4F" w14:textId="77777777" w:rsidR="005F2CD1" w:rsidRPr="00B337D1" w:rsidRDefault="00BF30D6" w:rsidP="00460BE2">
      <w:pPr>
        <w:pStyle w:val="Heading2"/>
        <w:numPr>
          <w:ilvl w:val="0"/>
          <w:numId w:val="7"/>
        </w:numPr>
      </w:pPr>
      <w:bookmarkStart w:id="205" w:name="_Toc465937288"/>
      <w:bookmarkStart w:id="206" w:name="_Toc466545207"/>
      <w:bookmarkStart w:id="207" w:name="_Toc466545476"/>
      <w:r w:rsidRPr="00C56CC7">
        <w:rPr>
          <w:i/>
        </w:rPr>
        <w:t>Ex Parte</w:t>
      </w:r>
      <w:r w:rsidRPr="00B337D1">
        <w:t xml:space="preserve"> Rules</w:t>
      </w:r>
      <w:bookmarkStart w:id="208" w:name="_Toc464124763"/>
      <w:bookmarkStart w:id="209" w:name="_Toc464124764"/>
      <w:bookmarkEnd w:id="205"/>
      <w:bookmarkEnd w:id="206"/>
      <w:bookmarkEnd w:id="207"/>
      <w:bookmarkEnd w:id="208"/>
      <w:bookmarkEnd w:id="209"/>
    </w:p>
    <w:p w14:paraId="176717FB" w14:textId="77777777" w:rsidR="00C57141" w:rsidRPr="00C77876" w:rsidRDefault="00C57141" w:rsidP="00460BE2">
      <w:pPr>
        <w:pStyle w:val="ParaNum"/>
        <w:tabs>
          <w:tab w:val="clear" w:pos="1080"/>
          <w:tab w:val="num" w:pos="1440"/>
        </w:tabs>
        <w:rPr>
          <w:rFonts w:cs="Times New Roman"/>
        </w:rPr>
      </w:pPr>
      <w:bookmarkStart w:id="210" w:name="_Toc465937289"/>
      <w:r w:rsidRPr="00C77876">
        <w:rPr>
          <w:rFonts w:cs="Times New Roman"/>
        </w:rPr>
        <w:t xml:space="preserve">This proceeding shall be treated as a “permit-but-disclose” proceeding in accordance with the Commission’s </w:t>
      </w:r>
      <w:r w:rsidRPr="00C77876">
        <w:rPr>
          <w:rFonts w:cs="Times New Roman"/>
          <w:i/>
          <w:iCs/>
        </w:rPr>
        <w:t xml:space="preserve">ex parte </w:t>
      </w:r>
      <w:r w:rsidRPr="00C77876">
        <w:rPr>
          <w:rFonts w:cs="Times New Roman"/>
        </w:rPr>
        <w:t>rules.</w:t>
      </w:r>
      <w:r w:rsidRPr="00B36A19">
        <w:rPr>
          <w:rStyle w:val="FootnoteReference"/>
          <w:rFonts w:cs="Times New Roman"/>
          <w:sz w:val="22"/>
        </w:rPr>
        <w:footnoteReference w:id="35"/>
      </w:r>
      <w:r w:rsidRPr="00C77876">
        <w:rPr>
          <w:rFonts w:cs="Times New Roman"/>
        </w:rPr>
        <w:t xml:space="preserve">  Persons making </w:t>
      </w:r>
      <w:r w:rsidRPr="00C77876">
        <w:rPr>
          <w:rFonts w:cs="Times New Roman"/>
          <w:i/>
        </w:rPr>
        <w:t xml:space="preserve">ex parte </w:t>
      </w:r>
      <w:r w:rsidRPr="00C77876">
        <w:rPr>
          <w:rFonts w:cs="Times New Roman"/>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C77876">
        <w:rPr>
          <w:rFonts w:cs="Times New Roman"/>
          <w:i/>
          <w:iCs/>
        </w:rPr>
        <w:t xml:space="preserve">ex parte </w:t>
      </w:r>
      <w:r w:rsidRPr="00C77876">
        <w:rPr>
          <w:rFonts w:cs="Times New Roman"/>
        </w:rPr>
        <w:t xml:space="preserve">presentations are reminded that memoranda summarizing the presentation must (1) list all persons attending or otherwise participating in the meeting at which the </w:t>
      </w:r>
      <w:r w:rsidRPr="00C77876">
        <w:rPr>
          <w:rFonts w:cs="Times New Roman"/>
          <w:i/>
          <w:iCs/>
        </w:rPr>
        <w:t xml:space="preserve">ex parte </w:t>
      </w:r>
      <w:r w:rsidRPr="00C77876">
        <w:rPr>
          <w:rFonts w:cs="Times New Roman"/>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w:t>
      </w:r>
      <w:r w:rsidRPr="00C77876">
        <w:rPr>
          <w:rFonts w:cs="Times New Roman"/>
        </w:rPr>
        <w:lastRenderedPageBreak/>
        <w:t xml:space="preserve">Commission staff during </w:t>
      </w:r>
      <w:r w:rsidRPr="00C77876">
        <w:rPr>
          <w:rFonts w:cs="Times New Roman"/>
          <w:i/>
          <w:iCs/>
        </w:rPr>
        <w:t xml:space="preserve">ex parte </w:t>
      </w:r>
      <w:r w:rsidRPr="00C77876">
        <w:rPr>
          <w:rFonts w:cs="Times New Roman"/>
        </w:rPr>
        <w:t xml:space="preserve">meetings are deemed to be written </w:t>
      </w:r>
      <w:r w:rsidRPr="00C77876">
        <w:rPr>
          <w:rFonts w:cs="Times New Roman"/>
          <w:i/>
          <w:iCs/>
        </w:rPr>
        <w:t>ex parte</w:t>
      </w:r>
      <w:r w:rsidRPr="00C77876">
        <w:rPr>
          <w:rFonts w:cs="Times New Roman"/>
        </w:rPr>
        <w:t xml:space="preserve"> presentations and must be filed consistent with rule 1.1206(b).  In proceedings governed by rule 1.49(f) or for which the Commission has made available a method of electronic filing, written </w:t>
      </w:r>
      <w:r w:rsidRPr="00C77876">
        <w:rPr>
          <w:rFonts w:cs="Times New Roman"/>
          <w:i/>
          <w:iCs/>
        </w:rPr>
        <w:t xml:space="preserve">ex parte </w:t>
      </w:r>
      <w:r w:rsidRPr="00C77876">
        <w:rPr>
          <w:rFonts w:cs="Times New Roman"/>
        </w:rPr>
        <w:t xml:space="preserve">presentations and memoranda summarizing oral </w:t>
      </w:r>
      <w:r w:rsidRPr="00C77876">
        <w:rPr>
          <w:rFonts w:cs="Times New Roman"/>
          <w:i/>
          <w:iCs/>
        </w:rPr>
        <w:t xml:space="preserve">ex parte </w:t>
      </w:r>
      <w:r w:rsidRPr="00C77876">
        <w:rPr>
          <w:rFonts w:cs="Times New Roman"/>
        </w:rPr>
        <w:t>presentations, and all attachments thereto, must be filed through the electronic comment filing system available for that proceeding, and must be filed in their native format (</w:t>
      </w:r>
      <w:r w:rsidRPr="00C77876">
        <w:rPr>
          <w:rFonts w:cs="Times New Roman"/>
          <w:i/>
          <w:iCs/>
        </w:rPr>
        <w:t>e.g.</w:t>
      </w:r>
      <w:r w:rsidRPr="00C77876">
        <w:rPr>
          <w:rFonts w:cs="Times New Roman"/>
        </w:rPr>
        <w:t xml:space="preserve">, .doc, .xml, .ppt, searchable .pdf).  Participants in this proceeding should familiarize themselves with the Commission’s </w:t>
      </w:r>
      <w:r w:rsidRPr="00C77876">
        <w:rPr>
          <w:rFonts w:cs="Times New Roman"/>
          <w:i/>
          <w:iCs/>
        </w:rPr>
        <w:t xml:space="preserve">ex parte </w:t>
      </w:r>
      <w:r w:rsidRPr="00C77876">
        <w:rPr>
          <w:rFonts w:cs="Times New Roman"/>
        </w:rPr>
        <w:t>rules.</w:t>
      </w:r>
    </w:p>
    <w:p w14:paraId="690FC342" w14:textId="77777777" w:rsidR="005F2CD1" w:rsidRPr="00B337D1" w:rsidRDefault="005F2CD1" w:rsidP="006C1B05">
      <w:pPr>
        <w:pStyle w:val="Heading2"/>
        <w:numPr>
          <w:ilvl w:val="0"/>
          <w:numId w:val="7"/>
        </w:numPr>
      </w:pPr>
      <w:bookmarkStart w:id="211" w:name="_Toc466545208"/>
      <w:bookmarkStart w:id="212" w:name="_Toc466545477"/>
      <w:r w:rsidRPr="00B337D1">
        <w:t>Comment Period and Procedures</w:t>
      </w:r>
      <w:bookmarkEnd w:id="210"/>
      <w:bookmarkEnd w:id="211"/>
      <w:bookmarkEnd w:id="212"/>
    </w:p>
    <w:p w14:paraId="1CC2BB55" w14:textId="77777777" w:rsidR="00F548FB" w:rsidRPr="00C77876" w:rsidRDefault="00F548FB" w:rsidP="006C1B05">
      <w:pPr>
        <w:pStyle w:val="ParaNum"/>
        <w:tabs>
          <w:tab w:val="clear" w:pos="1080"/>
        </w:tabs>
        <w:rPr>
          <w:rFonts w:cs="Times New Roman"/>
        </w:rPr>
      </w:pPr>
      <w:r w:rsidRPr="00C77876">
        <w:rPr>
          <w:rFonts w:cs="Times New Roman"/>
        </w:rP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C77876">
        <w:rPr>
          <w:rFonts w:cs="Times New Roman"/>
          <w:i/>
          <w:iCs/>
        </w:rPr>
        <w:t>See Electronic Filing of Documents in Rulemaking Proceedings</w:t>
      </w:r>
      <w:r w:rsidRPr="00C77876">
        <w:rPr>
          <w:rFonts w:cs="Times New Roman"/>
        </w:rPr>
        <w:t>, 63 FR 24121 (1998).</w:t>
      </w:r>
    </w:p>
    <w:p w14:paraId="7599651F" w14:textId="1DF04095" w:rsidR="00F548FB" w:rsidRPr="00C77876" w:rsidRDefault="00F548FB" w:rsidP="006C1B05">
      <w:pPr>
        <w:numPr>
          <w:ilvl w:val="0"/>
          <w:numId w:val="4"/>
        </w:numPr>
        <w:rPr>
          <w:rFonts w:cs="Times New Roman"/>
        </w:rPr>
      </w:pPr>
      <w:r w:rsidRPr="00C77876">
        <w:rPr>
          <w:rFonts w:cs="Times New Roman"/>
        </w:rPr>
        <w:t xml:space="preserve">Electronic Filers:  Comments may be filed electronically using the Internet by accessing the ECFS:  </w:t>
      </w:r>
      <w:hyperlink r:id="rId7">
        <w:r w:rsidRPr="00C77876">
          <w:rPr>
            <w:rStyle w:val="Hyperlink"/>
            <w:rFonts w:cs="Times New Roman"/>
          </w:rPr>
          <w:t>http://fjallfoss.fcc.gov/ecfs2/</w:t>
        </w:r>
      </w:hyperlink>
      <w:r w:rsidRPr="00C77876">
        <w:rPr>
          <w:rFonts w:cs="Times New Roman"/>
        </w:rPr>
        <w:t xml:space="preserve">.  </w:t>
      </w:r>
    </w:p>
    <w:p w14:paraId="18C94DC6" w14:textId="77777777" w:rsidR="00F548FB" w:rsidRPr="00C77876" w:rsidRDefault="00F548FB" w:rsidP="006C1B05">
      <w:pPr>
        <w:numPr>
          <w:ilvl w:val="0"/>
          <w:numId w:val="2"/>
        </w:numPr>
        <w:rPr>
          <w:rFonts w:cs="Times New Roman"/>
        </w:rPr>
      </w:pPr>
      <w:r w:rsidRPr="00C77876">
        <w:rPr>
          <w:rFonts w:cs="Times New Roman"/>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14:paraId="7DB973FA" w14:textId="77777777" w:rsidR="00F548FB" w:rsidRPr="00C77876" w:rsidRDefault="00F548FB" w:rsidP="006C1B05">
      <w:pPr>
        <w:ind w:left="720"/>
        <w:rPr>
          <w:rFonts w:cs="Times New Roman"/>
        </w:rPr>
      </w:pPr>
      <w:r w:rsidRPr="00C77876">
        <w:rPr>
          <w:rFonts w:cs="Times New Roman"/>
        </w:rPr>
        <w:t>Filings can be sent by hand or messenger delivery, by commercial overnight courier, or by first-class or overnight U.S. Postal Service mail.  All filings must be addressed to the Commission’s Secretary, Office of the Secretary, Federal Communications Commission.</w:t>
      </w:r>
    </w:p>
    <w:p w14:paraId="4EA32FDC" w14:textId="77777777" w:rsidR="00F548FB" w:rsidRPr="00C77876" w:rsidRDefault="00F548FB" w:rsidP="006C1B05">
      <w:pPr>
        <w:numPr>
          <w:ilvl w:val="0"/>
          <w:numId w:val="3"/>
        </w:numPr>
        <w:rPr>
          <w:rFonts w:cs="Times New Roman"/>
        </w:rPr>
      </w:pPr>
      <w:r w:rsidRPr="00C77876">
        <w:rPr>
          <w:rFonts w:cs="Times New Roman"/>
        </w:rPr>
        <w:t>All hand-delivered or messenger-delivered paper filings for the Commission’s Secretary must be delivered to FCC Headquarters at 445 12</w:t>
      </w:r>
      <w:r w:rsidRPr="00C77876">
        <w:rPr>
          <w:rFonts w:cs="Times New Roman"/>
          <w:vertAlign w:val="superscript"/>
        </w:rPr>
        <w:t>th</w:t>
      </w:r>
      <w:r w:rsidRPr="00C77876">
        <w:rPr>
          <w:rFonts w:cs="Times New Roman"/>
        </w:rPr>
        <w:t xml:space="preserve"> St., SW, Room TW-A325, Washington, DC 20554.  The filing hours are 8:00 a.m. to 7:00 p.m.   All hand deliveries must be held together with rubber bands or fasteners.  Any envelopes and boxes must be disposed of </w:t>
      </w:r>
      <w:r w:rsidRPr="00C77876">
        <w:rPr>
          <w:rFonts w:cs="Times New Roman"/>
          <w:u w:val="single"/>
        </w:rPr>
        <w:t>before</w:t>
      </w:r>
      <w:r w:rsidRPr="00C77876">
        <w:rPr>
          <w:rFonts w:cs="Times New Roman"/>
        </w:rPr>
        <w:t xml:space="preserve"> entering the building.  </w:t>
      </w:r>
    </w:p>
    <w:p w14:paraId="656FF671" w14:textId="77777777" w:rsidR="00F548FB" w:rsidRPr="00C77876" w:rsidRDefault="00F548FB" w:rsidP="006C1B05">
      <w:pPr>
        <w:numPr>
          <w:ilvl w:val="0"/>
          <w:numId w:val="3"/>
        </w:numPr>
        <w:rPr>
          <w:rFonts w:cs="Times New Roman"/>
        </w:rPr>
      </w:pPr>
      <w:r w:rsidRPr="00C77876">
        <w:rPr>
          <w:rFonts w:cs="Times New Roman"/>
        </w:rPr>
        <w:t>Commercial overnight mail (other than U.S. Postal Service Express Mail and Priority Mail) must be sent to 9300 East Hampton Drive, Capitol Heights, MD  20743.</w:t>
      </w:r>
    </w:p>
    <w:p w14:paraId="134E3FFE" w14:textId="77777777" w:rsidR="00F548FB" w:rsidRPr="00C77876" w:rsidRDefault="00F548FB" w:rsidP="006C1B05">
      <w:pPr>
        <w:numPr>
          <w:ilvl w:val="0"/>
          <w:numId w:val="3"/>
        </w:numPr>
        <w:rPr>
          <w:rFonts w:cs="Times New Roman"/>
        </w:rPr>
      </w:pPr>
      <w:r w:rsidRPr="00C77876">
        <w:rPr>
          <w:rFonts w:cs="Times New Roman"/>
        </w:rPr>
        <w:t>U.S. Postal Service first-class, Express, and Priority mail must be addressed to 445 12</w:t>
      </w:r>
      <w:r w:rsidRPr="00C77876">
        <w:rPr>
          <w:rFonts w:cs="Times New Roman"/>
          <w:vertAlign w:val="superscript"/>
        </w:rPr>
        <w:t>th</w:t>
      </w:r>
      <w:r w:rsidRPr="00C77876">
        <w:rPr>
          <w:rFonts w:cs="Times New Roman"/>
        </w:rPr>
        <w:t xml:space="preserve"> Street, SW, Washington DC  20554.</w:t>
      </w:r>
    </w:p>
    <w:p w14:paraId="3BF9BF2D" w14:textId="77777777" w:rsidR="003E3706" w:rsidRPr="00B337D1" w:rsidRDefault="003E3706" w:rsidP="00BD095E">
      <w:pPr>
        <w:pStyle w:val="Heading2"/>
        <w:numPr>
          <w:ilvl w:val="0"/>
          <w:numId w:val="7"/>
        </w:numPr>
      </w:pPr>
      <w:bookmarkStart w:id="213" w:name="_Toc386545063"/>
      <w:bookmarkStart w:id="214" w:name="_Toc386712803"/>
      <w:bookmarkStart w:id="215" w:name="_Toc386718149"/>
      <w:bookmarkStart w:id="216" w:name="_Toc386719082"/>
      <w:bookmarkStart w:id="217" w:name="_Toc387323146"/>
      <w:bookmarkStart w:id="218" w:name="_Toc387323725"/>
      <w:bookmarkStart w:id="219" w:name="_Toc387323787"/>
      <w:bookmarkStart w:id="220" w:name="_Toc387323859"/>
      <w:bookmarkStart w:id="221" w:name="_Toc387645432"/>
      <w:bookmarkStart w:id="222" w:name="_Toc387645676"/>
      <w:bookmarkStart w:id="223" w:name="_Toc387645983"/>
      <w:bookmarkStart w:id="224" w:name="_Toc387646127"/>
      <w:bookmarkStart w:id="225" w:name="_Toc387745066"/>
      <w:bookmarkStart w:id="226" w:name="_Toc387922707"/>
      <w:bookmarkStart w:id="227" w:name="_Toc387922864"/>
      <w:bookmarkStart w:id="228" w:name="_Toc387923005"/>
      <w:bookmarkStart w:id="229" w:name="_Toc387923325"/>
      <w:bookmarkStart w:id="230" w:name="_Toc387923756"/>
      <w:bookmarkStart w:id="231" w:name="_Toc387924475"/>
      <w:bookmarkStart w:id="232" w:name="_Toc388526901"/>
      <w:bookmarkStart w:id="233" w:name="_Toc389026277"/>
      <w:bookmarkStart w:id="234" w:name="_Toc391479544"/>
      <w:bookmarkStart w:id="235" w:name="_Toc391561449"/>
      <w:bookmarkStart w:id="236" w:name="_Toc391562810"/>
      <w:bookmarkStart w:id="237" w:name="_Toc391642495"/>
      <w:bookmarkStart w:id="238" w:name="_Toc394323253"/>
      <w:bookmarkStart w:id="239" w:name="_Toc394323548"/>
      <w:bookmarkStart w:id="240" w:name="_Toc394323642"/>
      <w:bookmarkStart w:id="241" w:name="_Toc394642417"/>
      <w:bookmarkStart w:id="242" w:name="_Toc445192997"/>
      <w:bookmarkStart w:id="243" w:name="_Toc445193090"/>
      <w:bookmarkStart w:id="244" w:name="_Toc445193161"/>
      <w:bookmarkStart w:id="245" w:name="_Toc445276294"/>
      <w:bookmarkStart w:id="246" w:name="_Toc445367883"/>
      <w:bookmarkStart w:id="247" w:name="_Toc446937492"/>
      <w:bookmarkStart w:id="248" w:name="_Toc447116365"/>
      <w:bookmarkStart w:id="249" w:name="_Toc447121253"/>
      <w:bookmarkStart w:id="250" w:name="_Toc466545209"/>
      <w:bookmarkStart w:id="251" w:name="_Toc466545478"/>
      <w:r w:rsidRPr="00B337D1">
        <w:t>Accessible Formats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727FB42" w14:textId="77777777" w:rsidR="003E3706" w:rsidRPr="00C77876" w:rsidRDefault="003E3706" w:rsidP="006C1B05">
      <w:pPr>
        <w:pStyle w:val="ParaNum"/>
        <w:tabs>
          <w:tab w:val="clear" w:pos="1080"/>
          <w:tab w:val="num" w:pos="1440"/>
        </w:tabs>
        <w:rPr>
          <w:rFonts w:cs="Times New Roman"/>
        </w:rPr>
      </w:pPr>
      <w:r w:rsidRPr="00C77876">
        <w:rPr>
          <w:rFonts w:cs="Times New Roman"/>
        </w:rPr>
        <w:t>To request materials in accessible formats for people with disabilities (braille, large print, electronic files, audio format), send an email to fcc504@fcc.gov or call the Consumer &amp; Governmental Affairs Bureau at 202-418-0530 (voice), 202-418-0432 (tty).</w:t>
      </w:r>
    </w:p>
    <w:p w14:paraId="53DF11FB" w14:textId="77777777" w:rsidR="00F548FB" w:rsidRPr="00B337D1" w:rsidRDefault="00181851" w:rsidP="006C1B05">
      <w:pPr>
        <w:pStyle w:val="Heading2"/>
        <w:numPr>
          <w:ilvl w:val="0"/>
          <w:numId w:val="7"/>
        </w:numPr>
      </w:pPr>
      <w:bookmarkStart w:id="252" w:name="_Toc465937290"/>
      <w:bookmarkStart w:id="253" w:name="_Toc466545210"/>
      <w:bookmarkStart w:id="254" w:name="_Toc466545479"/>
      <w:bookmarkStart w:id="255" w:name="_Toc112491217"/>
      <w:bookmarkStart w:id="256" w:name="_Toc112563557"/>
      <w:bookmarkStart w:id="257" w:name="_Toc112573877"/>
      <w:bookmarkStart w:id="258" w:name="_Toc114039877"/>
      <w:bookmarkStart w:id="259" w:name="_Toc114475871"/>
      <w:bookmarkStart w:id="260" w:name="_Toc115059105"/>
      <w:bookmarkStart w:id="261" w:name="_Toc115569549"/>
      <w:bookmarkStart w:id="262" w:name="_Toc115586169"/>
      <w:bookmarkStart w:id="263" w:name="_Toc116442646"/>
      <w:bookmarkStart w:id="264" w:name="_Toc117581209"/>
      <w:bookmarkStart w:id="265" w:name="_Toc118692062"/>
      <w:bookmarkStart w:id="266" w:name="_Toc119314890"/>
      <w:bookmarkStart w:id="267" w:name="_Toc119754048"/>
      <w:bookmarkStart w:id="268" w:name="_Toc119754822"/>
      <w:bookmarkStart w:id="269" w:name="_Toc119818399"/>
      <w:bookmarkStart w:id="270" w:name="_Toc119986084"/>
      <w:bookmarkStart w:id="271" w:name="_Toc120423889"/>
      <w:bookmarkStart w:id="272" w:name="_Toc120424124"/>
      <w:bookmarkStart w:id="273" w:name="_Toc121632988"/>
      <w:bookmarkStart w:id="274" w:name="_Toc127261178"/>
      <w:bookmarkStart w:id="275" w:name="_Toc127261305"/>
      <w:bookmarkStart w:id="276" w:name="_Toc130622084"/>
      <w:bookmarkStart w:id="277" w:name="_Toc130622205"/>
      <w:bookmarkStart w:id="278" w:name="_Toc130629936"/>
      <w:bookmarkStart w:id="279" w:name="_Toc130711861"/>
      <w:bookmarkStart w:id="280" w:name="_Toc130717942"/>
      <w:bookmarkStart w:id="281" w:name="_Toc130790458"/>
      <w:bookmarkStart w:id="282" w:name="_Toc130808173"/>
      <w:bookmarkStart w:id="283" w:name="_Toc132275635"/>
      <w:bookmarkStart w:id="284" w:name="_Toc132504622"/>
      <w:bookmarkStart w:id="285" w:name="_Toc132505090"/>
      <w:bookmarkStart w:id="286" w:name="_Toc132513087"/>
      <w:bookmarkStart w:id="287" w:name="_Toc132552474"/>
      <w:bookmarkStart w:id="288" w:name="_Toc133054373"/>
      <w:bookmarkStart w:id="289" w:name="_Toc133650425"/>
      <w:bookmarkStart w:id="290" w:name="_Toc156967158"/>
      <w:bookmarkStart w:id="291" w:name="_Toc156969077"/>
      <w:bookmarkStart w:id="292" w:name="_Toc156970168"/>
      <w:bookmarkStart w:id="293" w:name="_Toc156970268"/>
      <w:bookmarkStart w:id="294" w:name="_Toc156970368"/>
      <w:bookmarkStart w:id="295" w:name="_Toc156970468"/>
      <w:bookmarkStart w:id="296" w:name="_Toc156970973"/>
      <w:bookmarkStart w:id="297" w:name="_Toc156971073"/>
      <w:bookmarkStart w:id="298" w:name="_Toc156971199"/>
      <w:bookmarkStart w:id="299" w:name="_Toc156972517"/>
      <w:bookmarkStart w:id="300" w:name="_Toc156972781"/>
      <w:bookmarkStart w:id="301" w:name="_Toc156972996"/>
      <w:bookmarkStart w:id="302" w:name="_Toc160259125"/>
      <w:bookmarkStart w:id="303" w:name="_Toc160269458"/>
      <w:bookmarkStart w:id="304" w:name="_Toc160508079"/>
      <w:bookmarkStart w:id="305" w:name="_Toc160528787"/>
      <w:bookmarkStart w:id="306" w:name="_Toc161476038"/>
      <w:bookmarkStart w:id="307" w:name="_Toc161625588"/>
      <w:bookmarkStart w:id="308" w:name="_Toc161625966"/>
      <w:bookmarkStart w:id="309" w:name="_Toc161626035"/>
      <w:bookmarkStart w:id="310" w:name="_Toc162666141"/>
      <w:bookmarkStart w:id="311" w:name="_Toc162762857"/>
      <w:bookmarkStart w:id="312" w:name="_Toc162835599"/>
      <w:bookmarkStart w:id="313" w:name="_Toc162918166"/>
      <w:bookmarkStart w:id="314" w:name="_Toc164831266"/>
      <w:bookmarkStart w:id="315" w:name="_Toc169426157"/>
      <w:bookmarkStart w:id="316" w:name="_Toc174249348"/>
      <w:bookmarkStart w:id="317" w:name="_Toc266709540"/>
      <w:bookmarkStart w:id="318" w:name="_Toc272152515"/>
      <w:bookmarkStart w:id="319" w:name="_Toc272309479"/>
      <w:bookmarkStart w:id="320" w:name="_Toc288478309"/>
      <w:bookmarkStart w:id="321" w:name="_Toc288478907"/>
      <w:bookmarkStart w:id="322" w:name="_Toc288720485"/>
      <w:bookmarkStart w:id="323" w:name="_Toc288721585"/>
      <w:bookmarkStart w:id="324" w:name="_Toc290643859"/>
      <w:bookmarkStart w:id="325" w:name="_Toc294619689"/>
      <w:bookmarkStart w:id="326" w:name="_Toc295470921"/>
      <w:bookmarkStart w:id="327" w:name="_Toc295471051"/>
      <w:bookmarkStart w:id="328" w:name="_Toc295647968"/>
      <w:bookmarkStart w:id="329" w:name="_Toc295658305"/>
      <w:bookmarkStart w:id="330" w:name="_Toc295828135"/>
      <w:bookmarkStart w:id="331" w:name="_Toc296412468"/>
      <w:bookmarkStart w:id="332" w:name="_Toc296526403"/>
      <w:bookmarkStart w:id="333" w:name="_Toc297101290"/>
      <w:bookmarkStart w:id="334" w:name="_Toc297197652"/>
      <w:bookmarkStart w:id="335" w:name="_Toc297197719"/>
      <w:bookmarkStart w:id="336" w:name="_Toc297197794"/>
      <w:bookmarkStart w:id="337" w:name="_Toc297197861"/>
      <w:bookmarkStart w:id="338" w:name="_Toc297627528"/>
      <w:bookmarkStart w:id="339" w:name="_Toc297627595"/>
      <w:bookmarkStart w:id="340" w:name="_Toc297627662"/>
      <w:bookmarkStart w:id="341" w:name="_Toc297627729"/>
      <w:bookmarkStart w:id="342" w:name="_Toc297728377"/>
      <w:bookmarkStart w:id="343" w:name="_Toc297728444"/>
      <w:bookmarkStart w:id="344" w:name="_Toc297728511"/>
      <w:bookmarkStart w:id="345" w:name="_Toc297728578"/>
      <w:bookmarkStart w:id="346" w:name="_Toc297728645"/>
      <w:bookmarkStart w:id="347" w:name="_Toc297728712"/>
      <w:bookmarkStart w:id="348" w:name="_Toc297728779"/>
      <w:bookmarkStart w:id="349" w:name="_Toc297728846"/>
      <w:bookmarkStart w:id="350" w:name="_Toc297728913"/>
      <w:bookmarkStart w:id="351" w:name="_Toc297734200"/>
      <w:bookmarkStart w:id="352" w:name="_Toc297734267"/>
      <w:bookmarkStart w:id="353" w:name="_Toc297905394"/>
      <w:bookmarkStart w:id="354" w:name="_Toc298771580"/>
      <w:bookmarkStart w:id="355" w:name="_Toc298771647"/>
      <w:bookmarkStart w:id="356" w:name="_Toc299689598"/>
      <w:bookmarkStart w:id="357" w:name="_Toc300328230"/>
      <w:bookmarkStart w:id="358" w:name="_Toc322935358"/>
      <w:bookmarkStart w:id="359" w:name="_Toc427854968"/>
      <w:bookmarkStart w:id="360" w:name="_Toc428885183"/>
      <w:bookmarkStart w:id="361" w:name="_Toc428885530"/>
      <w:bookmarkStart w:id="362" w:name="_Toc428885619"/>
      <w:bookmarkStart w:id="363" w:name="_Toc428885842"/>
      <w:bookmarkStart w:id="364" w:name="_Toc428885916"/>
      <w:bookmarkStart w:id="365" w:name="_Toc428886243"/>
      <w:bookmarkStart w:id="366" w:name="_Toc428886304"/>
      <w:bookmarkStart w:id="367" w:name="_Toc428886416"/>
      <w:bookmarkStart w:id="368" w:name="_Toc428887063"/>
      <w:bookmarkStart w:id="369" w:name="_Toc428890665"/>
      <w:bookmarkStart w:id="370" w:name="_Toc429741610"/>
      <w:bookmarkStart w:id="371" w:name="_Toc430528348"/>
      <w:bookmarkStart w:id="372" w:name="_Toc431370390"/>
      <w:bookmarkStart w:id="373" w:name="_Toc431460966"/>
      <w:bookmarkStart w:id="374" w:name="_Toc433225239"/>
      <w:bookmarkStart w:id="375" w:name="_Toc449367661"/>
      <w:bookmarkStart w:id="376" w:name="_Toc449603635"/>
      <w:bookmarkStart w:id="377" w:name="_Toc449603713"/>
      <w:bookmarkStart w:id="378" w:name="_Toc449603791"/>
      <w:bookmarkStart w:id="379" w:name="_Toc449603960"/>
      <w:bookmarkStart w:id="380" w:name="_Toc449604470"/>
      <w:bookmarkStart w:id="381" w:name="_Toc449613454"/>
      <w:bookmarkStart w:id="382" w:name="_Toc449614176"/>
      <w:bookmarkStart w:id="383" w:name="_Toc449616730"/>
      <w:bookmarkStart w:id="384" w:name="_Toc449685672"/>
      <w:bookmarkStart w:id="385" w:name="_Toc449685889"/>
      <w:bookmarkStart w:id="386" w:name="_Toc449686087"/>
      <w:bookmarkStart w:id="387" w:name="_Toc450648546"/>
      <w:bookmarkStart w:id="388" w:name="_Toc450648642"/>
      <w:bookmarkStart w:id="389" w:name="_Toc450648923"/>
      <w:bookmarkStart w:id="390" w:name="_Toc459383990"/>
      <w:bookmarkStart w:id="391" w:name="_Toc459720262"/>
      <w:bookmarkStart w:id="392" w:name="_Toc459984692"/>
      <w:bookmarkStart w:id="393" w:name="_Toc461004012"/>
      <w:bookmarkStart w:id="394" w:name="_Toc461022055"/>
      <w:bookmarkStart w:id="395" w:name="_Toc461555057"/>
      <w:bookmarkStart w:id="396" w:name="_Toc462057137"/>
      <w:bookmarkStart w:id="397" w:name="_Toc464124766"/>
      <w:bookmarkStart w:id="398" w:name="_Toc464818735"/>
      <w:bookmarkStart w:id="399" w:name="_Toc464819273"/>
      <w:bookmarkStart w:id="400" w:name="_Toc464819422"/>
      <w:r w:rsidRPr="00B337D1">
        <w:t>Further Information</w:t>
      </w:r>
      <w:bookmarkEnd w:id="252"/>
      <w:bookmarkEnd w:id="253"/>
      <w:bookmarkEnd w:id="254"/>
      <w:r w:rsidRPr="00B337D1">
        <w:t xml:space="preserve"> </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EE61B4E" w14:textId="7611A4E8" w:rsidR="00204DEE" w:rsidRPr="00204DEE" w:rsidRDefault="00F548FB" w:rsidP="00F03912">
      <w:pPr>
        <w:pStyle w:val="ParaNum"/>
        <w:tabs>
          <w:tab w:val="clear" w:pos="1080"/>
          <w:tab w:val="num" w:pos="1530"/>
        </w:tabs>
        <w:rPr>
          <w:rFonts w:cs="Times New Roman"/>
        </w:rPr>
      </w:pPr>
      <w:r w:rsidRPr="00204DEE">
        <w:rPr>
          <w:rFonts w:cs="Times New Roman"/>
        </w:rPr>
        <w:t xml:space="preserve">For further information, contact </w:t>
      </w:r>
      <w:r w:rsidR="00CB35ED" w:rsidRPr="00204DEE">
        <w:rPr>
          <w:rFonts w:cs="Times New Roman"/>
        </w:rPr>
        <w:t>Greg</w:t>
      </w:r>
      <w:r w:rsidR="00B74143" w:rsidRPr="00204DEE">
        <w:rPr>
          <w:rFonts w:cs="Times New Roman"/>
        </w:rPr>
        <w:t>ory</w:t>
      </w:r>
      <w:r w:rsidR="00CB35ED" w:rsidRPr="00204DEE">
        <w:rPr>
          <w:rFonts w:cs="Times New Roman"/>
        </w:rPr>
        <w:t xml:space="preserve"> Intoccia</w:t>
      </w:r>
      <w:r w:rsidR="00C82DBB" w:rsidRPr="00204DEE">
        <w:rPr>
          <w:rFonts w:cs="Times New Roman"/>
        </w:rPr>
        <w:t xml:space="preserve"> of the Public Safety and Homeland Security Bureau, Communications Cybersecurity and Reliability Division, at (202) 418-0546 or at </w:t>
      </w:r>
      <w:hyperlink r:id="rId8" w:history="1">
        <w:r w:rsidR="00CB35ED" w:rsidRPr="00204DEE">
          <w:rPr>
            <w:rStyle w:val="Hyperlink"/>
            <w:rFonts w:cs="Times New Roman"/>
          </w:rPr>
          <w:t>Gregory.Intoccia</w:t>
        </w:r>
        <w:r w:rsidR="00C82DBB" w:rsidRPr="00204DEE">
          <w:rPr>
            <w:rStyle w:val="Hyperlink"/>
            <w:rFonts w:cs="Times New Roman"/>
          </w:rPr>
          <w:t>@fcc.gov</w:t>
        </w:r>
      </w:hyperlink>
      <w:r w:rsidRPr="00204DEE">
        <w:rPr>
          <w:rFonts w:cs="Times New Roman"/>
        </w:rPr>
        <w:t>.</w:t>
      </w:r>
      <w:r w:rsidR="00204DEE">
        <w:rPr>
          <w:rFonts w:cs="Times New Roman"/>
        </w:rPr>
        <w:br/>
      </w:r>
    </w:p>
    <w:p w14:paraId="6D687D5F" w14:textId="77777777" w:rsidR="00204DEE" w:rsidRDefault="00204DEE">
      <w:pPr>
        <w:rPr>
          <w:rFonts w:cs="Times New Roman"/>
          <w:b/>
          <w:caps/>
        </w:rPr>
      </w:pPr>
      <w:bookmarkStart w:id="401" w:name="_Toc461004013"/>
      <w:bookmarkStart w:id="402" w:name="_Toc461022056"/>
      <w:bookmarkStart w:id="403" w:name="_Toc461555058"/>
      <w:bookmarkStart w:id="404" w:name="_Toc462057138"/>
      <w:bookmarkStart w:id="405" w:name="_Toc464124767"/>
      <w:bookmarkStart w:id="406" w:name="_Toc464818736"/>
      <w:bookmarkStart w:id="407" w:name="_Toc464819274"/>
      <w:bookmarkStart w:id="408" w:name="_Toc464819423"/>
      <w:bookmarkStart w:id="409" w:name="_Toc465937291"/>
      <w:bookmarkStart w:id="410" w:name="_Toc466545211"/>
      <w:bookmarkStart w:id="411" w:name="_Toc466545480"/>
      <w:r>
        <w:rPr>
          <w:rFonts w:cs="Times New Roman"/>
        </w:rPr>
        <w:br w:type="page"/>
      </w:r>
    </w:p>
    <w:p w14:paraId="3211D39D" w14:textId="5988BA86" w:rsidR="00F548FB" w:rsidRPr="00B36A19" w:rsidRDefault="00F72A26" w:rsidP="006C1B05">
      <w:pPr>
        <w:pStyle w:val="Heading1"/>
        <w:ind w:left="0" w:firstLine="0"/>
        <w:rPr>
          <w:rFonts w:ascii="Times New Roman" w:hAnsi="Times New Roman" w:cs="Times New Roman"/>
        </w:rPr>
      </w:pPr>
      <w:r w:rsidRPr="00C77876">
        <w:rPr>
          <w:rFonts w:ascii="Times New Roman" w:hAnsi="Times New Roman" w:cs="Times New Roman"/>
        </w:rPr>
        <w:lastRenderedPageBreak/>
        <w:t xml:space="preserve">Ordering </w:t>
      </w:r>
      <w:r w:rsidRPr="00B36A19">
        <w:rPr>
          <w:rFonts w:ascii="Times New Roman" w:hAnsi="Times New Roman" w:cs="Times New Roman"/>
        </w:rPr>
        <w:t>Clauses</w:t>
      </w:r>
      <w:bookmarkEnd w:id="401"/>
      <w:bookmarkEnd w:id="402"/>
      <w:bookmarkEnd w:id="403"/>
      <w:bookmarkEnd w:id="404"/>
      <w:bookmarkEnd w:id="405"/>
      <w:bookmarkEnd w:id="406"/>
      <w:bookmarkEnd w:id="407"/>
      <w:bookmarkEnd w:id="408"/>
      <w:bookmarkEnd w:id="409"/>
      <w:bookmarkEnd w:id="410"/>
      <w:bookmarkEnd w:id="411"/>
    </w:p>
    <w:p w14:paraId="70EFF224" w14:textId="1B301B86" w:rsidR="00F548FB" w:rsidRPr="00C77876" w:rsidRDefault="00A46E31" w:rsidP="006C1B05">
      <w:pPr>
        <w:pStyle w:val="ParaNum"/>
        <w:tabs>
          <w:tab w:val="clear" w:pos="1080"/>
          <w:tab w:val="num" w:pos="1530"/>
        </w:tabs>
        <w:rPr>
          <w:rFonts w:cs="Times New Roman"/>
        </w:rPr>
      </w:pPr>
      <w:r w:rsidRPr="00C77876">
        <w:rPr>
          <w:rFonts w:cs="Times New Roman"/>
        </w:rPr>
        <w:t xml:space="preserve">Accordingly, </w:t>
      </w:r>
      <w:r w:rsidRPr="00C77876">
        <w:rPr>
          <w:rFonts w:cs="Times New Roman"/>
          <w:b/>
          <w:bCs/>
        </w:rPr>
        <w:t>IT IS ORDERED,</w:t>
      </w:r>
      <w:r w:rsidRPr="00C77876">
        <w:rPr>
          <w:rFonts w:cs="Times New Roman"/>
        </w:rPr>
        <w:t xml:space="preserve"> pursuant to the authority contained in Sections 1, 4(i) &amp; (j), 303(r), and 403 of the Communications Act of 1934, 47 U.S.C. §§ 154(i) &amp; (j), 303(r), and 403, that this </w:t>
      </w:r>
      <w:r w:rsidRPr="00C77876">
        <w:rPr>
          <w:rFonts w:cs="Times New Roman"/>
          <w:i/>
          <w:iCs/>
        </w:rPr>
        <w:t>Notice of Inquiry</w:t>
      </w:r>
      <w:r w:rsidRPr="00C77876">
        <w:rPr>
          <w:rFonts w:cs="Times New Roman"/>
        </w:rPr>
        <w:t xml:space="preserve"> </w:t>
      </w:r>
      <w:r w:rsidRPr="00C77876">
        <w:rPr>
          <w:rFonts w:cs="Times New Roman"/>
          <w:b/>
          <w:bCs/>
        </w:rPr>
        <w:t>IS ADOPTED.</w:t>
      </w:r>
      <w:r w:rsidR="00204DEE">
        <w:rPr>
          <w:rFonts w:cs="Times New Roman"/>
          <w:b/>
          <w:bCs/>
        </w:rPr>
        <w:br/>
      </w:r>
    </w:p>
    <w:p w14:paraId="0C772776" w14:textId="61B66FA6" w:rsidR="00F548FB" w:rsidRDefault="00F548FB" w:rsidP="00204DEE">
      <w:pPr>
        <w:rPr>
          <w:rFonts w:cs="Times New Roman"/>
        </w:rPr>
      </w:pPr>
      <w:r w:rsidRPr="00C77876">
        <w:rPr>
          <w:rFonts w:cs="Times New Roman"/>
        </w:rPr>
        <w:tab/>
      </w:r>
      <w:r w:rsidRPr="00C77876">
        <w:rPr>
          <w:rFonts w:cs="Times New Roman"/>
        </w:rPr>
        <w:tab/>
      </w:r>
      <w:r w:rsidRPr="00C77876">
        <w:rPr>
          <w:rFonts w:cs="Times New Roman"/>
        </w:rPr>
        <w:tab/>
      </w:r>
      <w:r w:rsidRPr="00C77876">
        <w:rPr>
          <w:rFonts w:cs="Times New Roman"/>
        </w:rPr>
        <w:tab/>
      </w:r>
      <w:r w:rsidRPr="00C77876">
        <w:rPr>
          <w:rFonts w:cs="Times New Roman"/>
        </w:rPr>
        <w:tab/>
      </w:r>
      <w:r w:rsidRPr="00C77876">
        <w:rPr>
          <w:rFonts w:cs="Times New Roman"/>
        </w:rPr>
        <w:tab/>
        <w:t>FEDERAL COMMUNICATIONS COMMISSION</w:t>
      </w:r>
    </w:p>
    <w:p w14:paraId="56487349" w14:textId="77777777" w:rsidR="00204DEE" w:rsidRDefault="00F548FB" w:rsidP="006C1B05">
      <w:pPr>
        <w:rPr>
          <w:rFonts w:cs="Times New Roman"/>
        </w:rPr>
      </w:pPr>
      <w:r w:rsidRPr="00C77876">
        <w:rPr>
          <w:rFonts w:cs="Times New Roman"/>
        </w:rPr>
        <w:tab/>
      </w:r>
      <w:r w:rsidRPr="00C77876">
        <w:rPr>
          <w:rFonts w:cs="Times New Roman"/>
        </w:rPr>
        <w:tab/>
      </w:r>
      <w:r w:rsidRPr="00C77876">
        <w:rPr>
          <w:rFonts w:cs="Times New Roman"/>
        </w:rPr>
        <w:tab/>
      </w:r>
      <w:r w:rsidRPr="00C77876">
        <w:rPr>
          <w:rFonts w:cs="Times New Roman"/>
        </w:rPr>
        <w:tab/>
      </w:r>
      <w:r w:rsidRPr="00C77876">
        <w:rPr>
          <w:rFonts w:cs="Times New Roman"/>
        </w:rPr>
        <w:tab/>
      </w:r>
      <w:r w:rsidRPr="00C77876">
        <w:rPr>
          <w:rFonts w:cs="Times New Roman"/>
        </w:rPr>
        <w:tab/>
      </w:r>
    </w:p>
    <w:p w14:paraId="03CF1BBD" w14:textId="01703C43" w:rsidR="00204DEE" w:rsidRDefault="00A216A4" w:rsidP="00A216A4">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David Grey Simpson</w:t>
      </w:r>
    </w:p>
    <w:p w14:paraId="0EAAD102" w14:textId="0A285182" w:rsidR="00A216A4" w:rsidRDefault="00A216A4" w:rsidP="00A216A4">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Rear Admiral</w:t>
      </w:r>
      <w:r w:rsidR="0021503F">
        <w:rPr>
          <w:rFonts w:cs="Times New Roman"/>
        </w:rPr>
        <w:t>,</w:t>
      </w:r>
      <w:r>
        <w:rPr>
          <w:rFonts w:cs="Times New Roman"/>
        </w:rPr>
        <w:t xml:space="preserve"> USN</w:t>
      </w:r>
      <w:r w:rsidR="0021503F">
        <w:rPr>
          <w:rFonts w:cs="Times New Roman"/>
        </w:rPr>
        <w:t xml:space="preserve"> (ret.)</w:t>
      </w:r>
    </w:p>
    <w:p w14:paraId="3735C754" w14:textId="2D5456E6" w:rsidR="00204DEE" w:rsidRPr="00C77876" w:rsidRDefault="00204DEE" w:rsidP="00A216A4">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Chief</w:t>
      </w:r>
      <w:r w:rsidR="00A216A4">
        <w:rPr>
          <w:rFonts w:cs="Times New Roman"/>
        </w:rPr>
        <w:t xml:space="preserve">, Public Safety &amp; Homeland Security Bureau </w:t>
      </w:r>
    </w:p>
    <w:p w14:paraId="63882053" w14:textId="77777777" w:rsidR="002C00E8" w:rsidRDefault="002C00E8" w:rsidP="00A216A4">
      <w:pPr>
        <w:rPr>
          <w:rFonts w:cs="Times New Roman"/>
        </w:rPr>
      </w:pPr>
    </w:p>
    <w:p w14:paraId="0A2CC54E" w14:textId="69574A14" w:rsidR="00A216A4" w:rsidRPr="00C77876" w:rsidRDefault="00A216A4" w:rsidP="006C1B05">
      <w:pPr>
        <w:rPr>
          <w:rFonts w:cs="Times New Roman"/>
        </w:rPr>
      </w:pPr>
    </w:p>
    <w:sectPr w:rsidR="00A216A4" w:rsidRPr="00C77876" w:rsidSect="0034214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D14F9" w14:textId="77777777" w:rsidR="00B249C0" w:rsidRDefault="00B249C0">
      <w:pPr>
        <w:spacing w:line="20" w:lineRule="exact"/>
      </w:pPr>
    </w:p>
  </w:endnote>
  <w:endnote w:type="continuationSeparator" w:id="0">
    <w:p w14:paraId="2C626776" w14:textId="77777777" w:rsidR="00B249C0" w:rsidRDefault="00B249C0">
      <w:r>
        <w:t xml:space="preserve"> </w:t>
      </w:r>
    </w:p>
  </w:endnote>
  <w:endnote w:type="continuationNotice" w:id="1">
    <w:p w14:paraId="51566B1F" w14:textId="77777777" w:rsidR="00B249C0" w:rsidRDefault="00B249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9BF8" w14:textId="77777777" w:rsidR="009520B4" w:rsidRDefault="009520B4" w:rsidP="0055614C">
    <w:pPr>
      <w:pStyle w:val="Footer"/>
      <w:framePr w:wrap="around" w:vAnchor="text" w:hAnchor="margin" w:xAlign="center" w:y="1"/>
    </w:pPr>
    <w:r>
      <w:fldChar w:fldCharType="begin"/>
    </w:r>
    <w:r>
      <w:instrText xml:space="preserve">PAGE  </w:instrText>
    </w:r>
    <w:r>
      <w:fldChar w:fldCharType="end"/>
    </w:r>
  </w:p>
  <w:p w14:paraId="2CA45478" w14:textId="77777777" w:rsidR="009520B4" w:rsidRDefault="009520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285A" w14:textId="77777777" w:rsidR="009520B4" w:rsidRPr="00912BA4" w:rsidRDefault="009520B4" w:rsidP="0055614C">
    <w:pPr>
      <w:pStyle w:val="Footer"/>
      <w:framePr w:wrap="around" w:vAnchor="text" w:hAnchor="margin" w:xAlign="center" w:y="1"/>
      <w:rPr>
        <w:rFonts w:cs="Times New Roman"/>
      </w:rPr>
    </w:pPr>
    <w:r w:rsidRPr="00912BA4">
      <w:rPr>
        <w:rFonts w:cs="Times New Roman"/>
      </w:rPr>
      <w:fldChar w:fldCharType="begin"/>
    </w:r>
    <w:r w:rsidRPr="00912BA4">
      <w:rPr>
        <w:rFonts w:cs="Times New Roman"/>
      </w:rPr>
      <w:instrText xml:space="preserve">PAGE  </w:instrText>
    </w:r>
    <w:r w:rsidRPr="00912BA4">
      <w:rPr>
        <w:rFonts w:cs="Times New Roman"/>
      </w:rPr>
      <w:fldChar w:fldCharType="separate"/>
    </w:r>
    <w:r w:rsidR="00D40A45">
      <w:rPr>
        <w:rFonts w:cs="Times New Roman"/>
        <w:noProof/>
      </w:rPr>
      <w:t>2</w:t>
    </w:r>
    <w:r w:rsidRPr="00912BA4">
      <w:rPr>
        <w:rFonts w:cs="Times New Roman"/>
      </w:rPr>
      <w:fldChar w:fldCharType="end"/>
    </w:r>
  </w:p>
  <w:p w14:paraId="71A3C97A" w14:textId="77777777" w:rsidR="009520B4" w:rsidRPr="00912BA4" w:rsidRDefault="009520B4" w:rsidP="0034214F">
    <w:pPr>
      <w:pStyle w:val="Footer"/>
      <w:tabs>
        <w:tab w:val="clear" w:pos="4320"/>
        <w:tab w:val="clear" w:pos="8640"/>
      </w:tabs>
      <w:jc w:val="center"/>
      <w:rPr>
        <w:rFonts w:cs="Times New Roman"/>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87553" w14:textId="77777777" w:rsidR="009520B4" w:rsidRDefault="009520B4" w:rsidP="00295BC4">
    <w:pPr>
      <w:pStyle w:val="Footer"/>
      <w:tabs>
        <w:tab w:val="clear" w:pos="8640"/>
      </w:tabs>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0190F" w14:textId="77777777" w:rsidR="00B249C0" w:rsidRDefault="00B249C0">
      <w:r>
        <w:separator/>
      </w:r>
    </w:p>
  </w:footnote>
  <w:footnote w:type="continuationSeparator" w:id="0">
    <w:p w14:paraId="0A0617AA" w14:textId="77777777" w:rsidR="00B249C0" w:rsidRDefault="00B249C0" w:rsidP="00C721AC">
      <w:pPr>
        <w:spacing w:before="120"/>
        <w:rPr>
          <w:sz w:val="20"/>
        </w:rPr>
      </w:pPr>
      <w:r>
        <w:rPr>
          <w:sz w:val="20"/>
        </w:rPr>
        <w:t xml:space="preserve">(Continued from previous page)  </w:t>
      </w:r>
      <w:r>
        <w:rPr>
          <w:sz w:val="20"/>
        </w:rPr>
        <w:separator/>
      </w:r>
    </w:p>
  </w:footnote>
  <w:footnote w:type="continuationNotice" w:id="1">
    <w:p w14:paraId="29681757" w14:textId="77777777" w:rsidR="00B249C0" w:rsidRDefault="00B249C0" w:rsidP="00C721AC">
      <w:pPr>
        <w:jc w:val="right"/>
        <w:rPr>
          <w:sz w:val="20"/>
        </w:rPr>
      </w:pPr>
      <w:r>
        <w:rPr>
          <w:sz w:val="20"/>
        </w:rPr>
        <w:t>(continued….)</w:t>
      </w:r>
    </w:p>
  </w:footnote>
  <w:footnote w:id="2">
    <w:p w14:paraId="57C2EAB2" w14:textId="38EA6B00" w:rsidR="009520B4" w:rsidRPr="00C56CC7" w:rsidRDefault="009520B4" w:rsidP="009D2312">
      <w:pPr>
        <w:pStyle w:val="FootnoteText"/>
      </w:pPr>
      <w:r w:rsidRPr="00C56CC7">
        <w:rPr>
          <w:rStyle w:val="FootnoteReference"/>
        </w:rPr>
        <w:footnoteRef/>
      </w:r>
      <w:r w:rsidRPr="00C56CC7">
        <w:t xml:space="preserve"> Significantly, 5G networks, through a combination of cellular, wireless LAN and wired LAN technologies, will support an unprecedented web of connectivity and serve as the central platform for the full, robust deployment of IoT.  </w:t>
      </w:r>
      <w:r w:rsidRPr="00C56CC7">
        <w:rPr>
          <w:i/>
        </w:rPr>
        <w:t>See</w:t>
      </w:r>
      <w:r w:rsidRPr="00C56CC7">
        <w:t>,</w:t>
      </w:r>
      <w:r w:rsidRPr="00C56CC7">
        <w:rPr>
          <w:i/>
        </w:rPr>
        <w:t xml:space="preserve"> e.g.</w:t>
      </w:r>
      <w:r w:rsidRPr="00C56CC7">
        <w:t>,</w:t>
      </w:r>
      <w:r w:rsidRPr="00C56CC7">
        <w:rPr>
          <w:i/>
        </w:rPr>
        <w:t xml:space="preserve"> Machine to Machine (M2M) Market Global Forecast &amp; Analysis</w:t>
      </w:r>
      <w:r w:rsidRPr="00C56CC7">
        <w:t xml:space="preserve">, Markets and Markets, http://www.marketsandmarkets.com/Market-Reports/machine-to-machine-market-732.html; Bill Detwiler, 71 Percent Say M2M is About Developing New Business Opportunities (Apr. 4, 2013), http://www.zdnet.com/71-percent-say-m2m-is-about-developing-new-business-opportunities-7000009304/.  </w:t>
      </w:r>
    </w:p>
  </w:footnote>
  <w:footnote w:id="3">
    <w:p w14:paraId="6BB28069" w14:textId="41FB8A6B" w:rsidR="009520B4" w:rsidRPr="00C56CC7" w:rsidRDefault="009520B4" w:rsidP="00C56CC7">
      <w:pPr>
        <w:pStyle w:val="FootnoteText"/>
      </w:pPr>
      <w:r w:rsidRPr="00C56CC7">
        <w:rPr>
          <w:rStyle w:val="FootnoteReference"/>
        </w:rPr>
        <w:footnoteRef/>
      </w:r>
      <w:r w:rsidRPr="00C56CC7">
        <w:t xml:space="preserve"> </w:t>
      </w:r>
      <w:r w:rsidRPr="00C56CC7">
        <w:rPr>
          <w:i/>
        </w:rPr>
        <w:t>See</w:t>
      </w:r>
      <w:r w:rsidRPr="00C56CC7">
        <w:t xml:space="preserve">, </w:t>
      </w:r>
      <w:r w:rsidRPr="00C56CC7">
        <w:rPr>
          <w:i/>
        </w:rPr>
        <w:t>e.g.</w:t>
      </w:r>
      <w:r w:rsidRPr="00C56CC7">
        <w:t>,</w:t>
      </w:r>
      <w:r w:rsidRPr="00C56CC7">
        <w:rPr>
          <w:i/>
        </w:rPr>
        <w:t xml:space="preserve"> Use of Spectrum Bands Above 24 GHz For Mobile Radio Services</w:t>
      </w:r>
      <w:r w:rsidRPr="00C56CC7">
        <w:t xml:space="preserve">; </w:t>
      </w:r>
      <w:r w:rsidRPr="00C56CC7">
        <w:rPr>
          <w:i/>
        </w:rPr>
        <w:t>Establishing a More Flexible Framework to Facilitate Satellite Operations in the 27.5-28.35 GHz and 37.5-40 GHz Bands</w:t>
      </w:r>
      <w:r w:rsidRPr="00C56CC7">
        <w:t xml:space="preserve">; </w:t>
      </w:r>
      <w:r w:rsidRPr="00C56CC7">
        <w:rPr>
          <w:i/>
        </w:rPr>
        <w:t>Petition for Rulemaking of the Fixed Wireless Communications Coalition to Create Service Rules for the 42-43.5 GHz Band</w:t>
      </w:r>
      <w:r w:rsidRPr="00C56CC7">
        <w:t xml:space="preserve">; </w:t>
      </w:r>
      <w:r w:rsidRPr="00C56CC7">
        <w:rPr>
          <w:i/>
        </w:rPr>
        <w:t>Amendment of Parts 1, 22, 24, 27, 74, 80, 90, 95, and 101 To Establish Uniform License Renewal, Discontinuance of Operation, and Geographic Partitioning and Spectrum Disaggregation Rules and Policies for Certain Wireless Radio Services</w:t>
      </w:r>
      <w:r w:rsidRPr="00C56CC7">
        <w:t xml:space="preserve">; </w:t>
      </w:r>
      <w:r w:rsidRPr="00C56CC7">
        <w:rPr>
          <w:i/>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37.0- 38.0 GHz and 40.0-40.5 GHz for Government Operations</w:t>
      </w:r>
      <w:r w:rsidRPr="00C56CC7">
        <w:t>, GN Docket No. 14-77, IB Docket No. 15-256, RM-11664, WT Docket No. 10-112, IB Docket No. 97-95,</w:t>
      </w:r>
      <w:r w:rsidRPr="00C56CC7">
        <w:rPr>
          <w:i/>
        </w:rPr>
        <w:t xml:space="preserve"> </w:t>
      </w:r>
      <w:r w:rsidRPr="00C56CC7">
        <w:t>Report &amp; Order and Further Notice of Proposed Rulemaking, 31 FCC Rcd 8014 (rel. July 14, 2016) (</w:t>
      </w:r>
      <w:r w:rsidRPr="00C56CC7">
        <w:rPr>
          <w:i/>
        </w:rPr>
        <w:t>Spectrum Frontiers Report &amp; Order</w:t>
      </w:r>
      <w:r w:rsidRPr="00C56CC7">
        <w:t xml:space="preserve"> or </w:t>
      </w:r>
      <w:r w:rsidRPr="00C56CC7">
        <w:rPr>
          <w:i/>
        </w:rPr>
        <w:t>Spectrum Frontiers Further Notice</w:t>
      </w:r>
      <w:r w:rsidRPr="00C56CC7">
        <w:t xml:space="preserve">). </w:t>
      </w:r>
    </w:p>
  </w:footnote>
  <w:footnote w:id="4">
    <w:p w14:paraId="39F51C81" w14:textId="77777777" w:rsidR="009520B4" w:rsidRPr="00C56CC7" w:rsidRDefault="009520B4" w:rsidP="00895F48">
      <w:pPr>
        <w:pStyle w:val="FootnoteText"/>
      </w:pPr>
      <w:r w:rsidRPr="00C56CC7">
        <w:rPr>
          <w:rStyle w:val="FootnoteReference"/>
        </w:rPr>
        <w:footnoteRef/>
      </w:r>
      <w:r w:rsidRPr="00C56CC7">
        <w:t xml:space="preserve"> </w:t>
      </w:r>
      <w:r w:rsidRPr="00C56CC7">
        <w:rPr>
          <w:i/>
        </w:rPr>
        <w:t>Spectrum Frontiers Report &amp; Order</w:t>
      </w:r>
      <w:r w:rsidRPr="00C56CC7">
        <w:t>, 31 FCC Rcd at 8106, para. 265.</w:t>
      </w:r>
    </w:p>
  </w:footnote>
  <w:footnote w:id="5">
    <w:p w14:paraId="0B534B1F" w14:textId="393CF8A6" w:rsidR="009520B4" w:rsidRPr="00C56CC7" w:rsidRDefault="009520B4" w:rsidP="00C56CC7">
      <w:pPr>
        <w:pStyle w:val="FootnoteText"/>
      </w:pPr>
      <w:r w:rsidRPr="00C56CC7">
        <w:rPr>
          <w:rStyle w:val="FootnoteReference"/>
        </w:rPr>
        <w:footnoteRef/>
      </w:r>
      <w:r w:rsidRPr="00C56CC7">
        <w:t xml:space="preserve"> </w:t>
      </w:r>
      <w:r w:rsidRPr="00C56CC7">
        <w:rPr>
          <w:i/>
        </w:rPr>
        <w:t xml:space="preserve">See id. </w:t>
      </w:r>
      <w:r w:rsidRPr="00C56CC7">
        <w:t xml:space="preserve">at 8104, para. 262.  </w:t>
      </w:r>
    </w:p>
  </w:footnote>
  <w:footnote w:id="6">
    <w:p w14:paraId="41E5B016" w14:textId="53572DB1" w:rsidR="004B1B5C" w:rsidRPr="00C56CC7" w:rsidRDefault="004B1B5C" w:rsidP="004B1B5C">
      <w:pPr>
        <w:pStyle w:val="FootnoteText"/>
      </w:pPr>
      <w:r w:rsidRPr="00C56CC7">
        <w:rPr>
          <w:rStyle w:val="FootnoteReference"/>
        </w:rPr>
        <w:footnoteRef/>
      </w:r>
      <w:r w:rsidRPr="00C56CC7">
        <w:t xml:space="preserve"> </w:t>
      </w:r>
      <w:r>
        <w:t xml:space="preserve">In issuing this NOI, PSHSB has coordinated with the Office of Engineering and Technology and the Wireless Telecommunications Bureau.  </w:t>
      </w:r>
      <w:r>
        <w:rPr>
          <w:i/>
        </w:rPr>
        <w:t>See i</w:t>
      </w:r>
      <w:r w:rsidRPr="00C56CC7">
        <w:rPr>
          <w:i/>
        </w:rPr>
        <w:t xml:space="preserve">d. </w:t>
      </w:r>
      <w:r w:rsidRPr="00C56CC7">
        <w:t xml:space="preserve">at 8106, para. 265.  </w:t>
      </w:r>
    </w:p>
  </w:footnote>
  <w:footnote w:id="7">
    <w:p w14:paraId="5B539EF1" w14:textId="3FB7994C" w:rsidR="009520B4" w:rsidRPr="00C56CC7" w:rsidRDefault="009520B4" w:rsidP="00C56CC7">
      <w:pPr>
        <w:spacing w:after="120"/>
        <w:rPr>
          <w:rFonts w:cs="Times New Roman"/>
          <w:sz w:val="20"/>
          <w:szCs w:val="20"/>
        </w:rPr>
      </w:pPr>
      <w:r w:rsidRPr="00C56CC7">
        <w:rPr>
          <w:rStyle w:val="FootnoteReference"/>
          <w:rFonts w:cs="Times New Roman"/>
          <w:szCs w:val="20"/>
        </w:rPr>
        <w:footnoteRef/>
      </w:r>
      <w:r w:rsidRPr="00C56CC7">
        <w:rPr>
          <w:rFonts w:cs="Times New Roman"/>
          <w:sz w:val="20"/>
          <w:szCs w:val="20"/>
        </w:rPr>
        <w:t xml:space="preserve"> We observe that the U.S. Department of Commerce’s National Institute of Standards and Technologies (NIST) NIST recently issued guidelines on cyber security for Internet-connected devices, stressing an engineering-based approach that builds security systems directly into IoT technology.  </w:t>
      </w:r>
      <w:r w:rsidRPr="00C56CC7">
        <w:rPr>
          <w:rFonts w:cs="Times New Roman"/>
          <w:i/>
          <w:sz w:val="20"/>
          <w:szCs w:val="20"/>
        </w:rPr>
        <w:t xml:space="preserve">See </w:t>
      </w:r>
      <w:r w:rsidRPr="00C56CC7">
        <w:rPr>
          <w:rFonts w:cs="Times New Roman"/>
          <w:sz w:val="20"/>
          <w:szCs w:val="20"/>
        </w:rPr>
        <w:t>NIST, Systems Security Engineering: Considerations for a Multidisciplinary Approach in the Engineering of Trustworthy Secure System</w:t>
      </w:r>
      <w:r w:rsidRPr="00C56CC7">
        <w:rPr>
          <w:rFonts w:cs="Times New Roman"/>
          <w:i/>
          <w:sz w:val="20"/>
          <w:szCs w:val="20"/>
        </w:rPr>
        <w:t xml:space="preserve">, </w:t>
      </w:r>
      <w:r w:rsidRPr="00C56CC7">
        <w:rPr>
          <w:rFonts w:cs="Times New Roman"/>
          <w:sz w:val="20"/>
          <w:szCs w:val="20"/>
        </w:rPr>
        <w:t xml:space="preserve">NIST Special Pub. 800-160 (Nov. 2016), https://doi.org/10.6028/NIST.SP.800-160.  The Department of Homeland Security (DHS) also recently released its own cybersecurity policy for IoT devices, delineating six strategic principles that it believes will help stakeholders stop unauthorized intruders from tampering with connected devices. </w:t>
      </w:r>
      <w:r w:rsidRPr="00C56CC7">
        <w:rPr>
          <w:rFonts w:cs="Times New Roman"/>
          <w:i/>
          <w:sz w:val="20"/>
          <w:szCs w:val="20"/>
        </w:rPr>
        <w:t xml:space="preserve">See </w:t>
      </w:r>
      <w:r w:rsidRPr="00C56CC7">
        <w:rPr>
          <w:rFonts w:cs="Times New Roman"/>
          <w:sz w:val="20"/>
          <w:szCs w:val="20"/>
        </w:rPr>
        <w:t xml:space="preserve">U.S. Dept. of Homeland Security, Strategic Principles for Securing the Internet of Things (IoT), Version 1.0 (Nov. 15, 2016), https://www.dhs.gov/securingtheIoT.  NIST and the National Telecommunications and Information Administration (NTIA) developed a risk management framework for addressing cybersecurity issues.  </w:t>
      </w:r>
      <w:r w:rsidRPr="00C56CC7">
        <w:rPr>
          <w:rFonts w:cs="Times New Roman"/>
          <w:i/>
          <w:sz w:val="20"/>
          <w:szCs w:val="20"/>
        </w:rPr>
        <w:t xml:space="preserve">See </w:t>
      </w:r>
      <w:r w:rsidRPr="00C56CC7">
        <w:rPr>
          <w:rFonts w:cs="Times New Roman"/>
          <w:sz w:val="20"/>
          <w:szCs w:val="20"/>
        </w:rPr>
        <w:t xml:space="preserve">NIST, Framework for Improving Critical Infrastructure Cybersecurity (2014), https://www.nist.gov/sites/default/files/documents/cyberframework/cybersecurity-framework-021214.pdf.  The Communications Security, Reliability, and Interoperability Council IV’s (CSRIC IV’s) Cybersecurity Risk Management and Best Practices Working Group 4 developed a segment-specific analysis of the application of the Cybersecurity Framework, as well as recommendations for voluntary efforts to address cybersecurity concerns.  </w:t>
      </w:r>
      <w:r w:rsidRPr="00C56CC7">
        <w:rPr>
          <w:rFonts w:cs="Times New Roman"/>
          <w:i/>
          <w:sz w:val="20"/>
          <w:szCs w:val="20"/>
        </w:rPr>
        <w:t xml:space="preserve">See </w:t>
      </w:r>
      <w:r w:rsidRPr="00C56CC7">
        <w:rPr>
          <w:rFonts w:cs="Times New Roman"/>
          <w:sz w:val="20"/>
          <w:szCs w:val="20"/>
        </w:rPr>
        <w:t xml:space="preserve">CSRIC IV, Working Group 4, Cybersecurity Risk Management and Best Practices, Final Report (2015), https://transition.fcc.gov/pshs/advisory/csric4/CSRIC_IV_WG4_Final_Report_031815.pdf.  In addition, the Commission’s Technical Advisory Council (The TAC) Cybersecurity Working Group issued its report on applying security to consumer IoT devices on December 4, 2015.  </w:t>
      </w:r>
      <w:r w:rsidRPr="00C56CC7">
        <w:rPr>
          <w:rFonts w:cs="Times New Roman"/>
          <w:i/>
          <w:sz w:val="20"/>
          <w:szCs w:val="20"/>
        </w:rPr>
        <w:t xml:space="preserve">See </w:t>
      </w:r>
      <w:r w:rsidRPr="00C56CC7">
        <w:rPr>
          <w:rFonts w:cs="Times New Roman"/>
          <w:sz w:val="20"/>
          <w:szCs w:val="20"/>
        </w:rPr>
        <w:t xml:space="preserve">Federal Communications Commission Technical Advisory Council (FCC TAC), Cybersecurity Working Group, Technical Considerations White Paper (2015), https://transition.fcc.gov/oet/tac/tacdocs/reports/2015/FCC-TAC-Cyber-IoT-White-Paper-Rel1.1-2015.pdf.  </w:t>
      </w:r>
      <w:r w:rsidRPr="00C56CC7">
        <w:rPr>
          <w:rFonts w:cs="Times New Roman"/>
          <w:i/>
          <w:sz w:val="20"/>
          <w:szCs w:val="20"/>
        </w:rPr>
        <w:t xml:space="preserve">See also </w:t>
      </w:r>
      <w:r w:rsidRPr="00C56CC7">
        <w:rPr>
          <w:rFonts w:cs="Times New Roman"/>
          <w:sz w:val="20"/>
          <w:szCs w:val="20"/>
        </w:rPr>
        <w:t>FTC Report on Internet of Things Urges Companies to Adopt Best Practices to Address Consumer Privacy and Security Risks</w:t>
      </w:r>
      <w:r w:rsidRPr="00C56CC7">
        <w:rPr>
          <w:rFonts w:cs="Times New Roman"/>
          <w:i/>
          <w:sz w:val="20"/>
          <w:szCs w:val="20"/>
        </w:rPr>
        <w:t xml:space="preserve"> </w:t>
      </w:r>
      <w:r w:rsidRPr="00C56CC7">
        <w:rPr>
          <w:rFonts w:cs="Times New Roman"/>
          <w:sz w:val="20"/>
          <w:szCs w:val="20"/>
        </w:rPr>
        <w:t xml:space="preserve">(Jan. 27, 2015),  https://www.ftc.gov/system/files/documents/reports/federal-trade-commission-staff-report-november-2013-workshop-entitled-internet-things-privacy/150127iotrpt.pdf (proposing privacy and cybersecurity best practices associated with IoT); </w:t>
      </w:r>
      <w:r w:rsidRPr="00C56CC7">
        <w:rPr>
          <w:rFonts w:cs="Times New Roman"/>
          <w:color w:val="000000"/>
          <w:spacing w:val="4"/>
          <w:sz w:val="20"/>
          <w:szCs w:val="20"/>
        </w:rPr>
        <w:t>U.S. Dept. of Health and Human Services, Radio Frequency Wireless Technology in Medical Devices: Guidance for Industry and Food and Drug Administration Staff</w:t>
      </w:r>
      <w:r w:rsidRPr="00C56CC7">
        <w:rPr>
          <w:rFonts w:cs="Times New Roman"/>
          <w:sz w:val="20"/>
          <w:szCs w:val="20"/>
        </w:rPr>
        <w:t> </w:t>
      </w:r>
      <w:r w:rsidRPr="00C56CC7">
        <w:rPr>
          <w:rFonts w:cs="Times New Roman"/>
          <w:color w:val="000000"/>
          <w:spacing w:val="4"/>
          <w:sz w:val="20"/>
          <w:szCs w:val="20"/>
        </w:rPr>
        <w:t xml:space="preserve">(Aug. 14, 2013), </w:t>
      </w:r>
      <w:r w:rsidRPr="00C56CC7">
        <w:rPr>
          <w:rFonts w:cs="Times New Roman"/>
          <w:sz w:val="20"/>
          <w:szCs w:val="20"/>
        </w:rPr>
        <w:t>http://www.fda.gov/downloads/MedicalDevices/DeviceRegulationandGuidance/GuidanceDocuments/ucm077272.pdf (guidance to the industry on considerations for the safe and effective development and use of RF technology in medical devices).</w:t>
      </w:r>
    </w:p>
  </w:footnote>
  <w:footnote w:id="8">
    <w:p w14:paraId="320576F1" w14:textId="77777777" w:rsidR="009520B4" w:rsidRPr="00C56CC7" w:rsidRDefault="009520B4" w:rsidP="00895F48">
      <w:pPr>
        <w:pStyle w:val="FootnoteText"/>
      </w:pPr>
      <w:r w:rsidRPr="00C56CC7">
        <w:rPr>
          <w:rStyle w:val="FootnoteReference"/>
        </w:rPr>
        <w:footnoteRef/>
      </w:r>
      <w:r w:rsidRPr="00C56CC7">
        <w:t xml:space="preserve"> For example, the same Wi-Fi IoT device may be connected to the Internet using a Mi-Fi hot spot via the carrier’s network or via a wireline network such as a cable provider’s wireless Wi-Fi router.  </w:t>
      </w:r>
    </w:p>
  </w:footnote>
  <w:footnote w:id="9">
    <w:p w14:paraId="16B0CAE7" w14:textId="77777777" w:rsidR="009520B4" w:rsidRPr="00C56CC7" w:rsidRDefault="009520B4" w:rsidP="00895F48">
      <w:pPr>
        <w:pStyle w:val="FootnoteText"/>
      </w:pPr>
      <w:r w:rsidRPr="00C56CC7">
        <w:rPr>
          <w:rStyle w:val="FootnoteReference"/>
        </w:rPr>
        <w:footnoteRef/>
      </w:r>
      <w:r w:rsidRPr="00C56CC7">
        <w:t xml:space="preserve"> We note that this NOI is consistent with, but distinct from, the Commission’s privacy rulemaking proceeding.  Last month, the Commission released the </w:t>
      </w:r>
      <w:r w:rsidRPr="00C56CC7">
        <w:rPr>
          <w:i/>
        </w:rPr>
        <w:t>Broadband Privacy Order</w:t>
      </w:r>
      <w:r w:rsidRPr="00C56CC7">
        <w:t>,</w:t>
      </w:r>
      <w:r w:rsidRPr="00C56CC7">
        <w:rPr>
          <w:i/>
        </w:rPr>
        <w:t xml:space="preserve"> </w:t>
      </w:r>
      <w:r w:rsidRPr="00C56CC7">
        <w:t xml:space="preserve">which applied the privacy requirements of the Communications Act to broadband service. </w:t>
      </w:r>
      <w:r w:rsidRPr="00C56CC7">
        <w:rPr>
          <w:i/>
        </w:rPr>
        <w:t xml:space="preserve"> </w:t>
      </w:r>
      <w:r w:rsidRPr="00C56CC7">
        <w:t xml:space="preserve">There, the Commission stated that it expected providers to take CIA principles into account when developing, implementing, and monitoring the effectiveness of adopted measures to meet their data security obligation under Section 222.  </w:t>
      </w:r>
      <w:r w:rsidRPr="00C56CC7">
        <w:rPr>
          <w:i/>
        </w:rPr>
        <w:t>See Protecting the Privacy of Customers of Broadband and Other Telecommunications Services</w:t>
      </w:r>
      <w:r w:rsidRPr="00C56CC7">
        <w:t>, WC Docket No. 16-106, Report and Order, FCC 16-148 at 98, para. 239 (Nov. 2, 2016) (</w:t>
      </w:r>
      <w:r w:rsidRPr="00C56CC7">
        <w:rPr>
          <w:i/>
        </w:rPr>
        <w:t>Broadband Privacy Order</w:t>
      </w:r>
      <w:r w:rsidRPr="00C56CC7">
        <w:t>).</w:t>
      </w:r>
      <w:r w:rsidRPr="00C56CC7">
        <w:rPr>
          <w:i/>
        </w:rPr>
        <w:t xml:space="preserve"> </w:t>
      </w:r>
      <w:r w:rsidRPr="00C56CC7">
        <w:t xml:space="preserve">  </w:t>
      </w:r>
    </w:p>
  </w:footnote>
  <w:footnote w:id="10">
    <w:p w14:paraId="1764C11C" w14:textId="77777777" w:rsidR="009520B4" w:rsidRPr="00C56CC7" w:rsidRDefault="009520B4" w:rsidP="00895F48">
      <w:pPr>
        <w:pStyle w:val="FootnoteText"/>
      </w:pPr>
      <w:r w:rsidRPr="00C56CC7">
        <w:rPr>
          <w:rStyle w:val="FootnoteReference"/>
        </w:rPr>
        <w:footnoteRef/>
      </w:r>
      <w:r w:rsidRPr="00C56CC7">
        <w:t xml:space="preserve"> As used in this NOI, “security” and “information security” refer to protecting data, networks, and systems from unauthorized access, use, disclosure, disruption, modification, or destruction, in order to protect confidentiality, integrity, and availability with respect to such networks, systems, and defined user communities.  </w:t>
      </w:r>
      <w:r w:rsidRPr="00C56CC7">
        <w:rPr>
          <w:i/>
        </w:rPr>
        <w:t>See</w:t>
      </w:r>
      <w:r w:rsidRPr="00C56CC7">
        <w:t xml:space="preserve"> 44 U.S.C. § 3552(b)(3).  </w:t>
      </w:r>
      <w:r w:rsidRPr="00C56CC7">
        <w:rPr>
          <w:snapToGrid w:val="0"/>
        </w:rPr>
        <w:t>We note this definition of “security” is distinct from the definition of security as it relates to “radios” and radio parameters as defined in 47</w:t>
      </w:r>
      <w:r w:rsidRPr="00C56CC7">
        <w:t xml:space="preserve"> CFR § 2.944 or our Part 15 rules.  </w:t>
      </w:r>
      <w:r w:rsidRPr="00C56CC7">
        <w:rPr>
          <w:i/>
        </w:rPr>
        <w:t>See</w:t>
      </w:r>
      <w:r w:rsidRPr="00C56CC7">
        <w:t>,</w:t>
      </w:r>
      <w:r w:rsidRPr="00C56CC7">
        <w:rPr>
          <w:i/>
        </w:rPr>
        <w:t xml:space="preserve"> e.g</w:t>
      </w:r>
      <w:r w:rsidRPr="00C56CC7">
        <w:t xml:space="preserve">., </w:t>
      </w:r>
      <w:r w:rsidRPr="00C56CC7">
        <w:rPr>
          <w:snapToGrid w:val="0"/>
        </w:rPr>
        <w:t xml:space="preserve">47 CFR § 1.407. </w:t>
      </w:r>
    </w:p>
  </w:footnote>
  <w:footnote w:id="11">
    <w:p w14:paraId="0F5103B3" w14:textId="6227A28F" w:rsidR="009520B4" w:rsidRPr="00C56CC7" w:rsidRDefault="009520B4" w:rsidP="00895F48">
      <w:pPr>
        <w:pStyle w:val="FootnoteText"/>
      </w:pPr>
      <w:r w:rsidRPr="00C56CC7">
        <w:rPr>
          <w:rStyle w:val="FootnoteReference"/>
        </w:rPr>
        <w:footnoteRef/>
      </w:r>
      <w:r w:rsidRPr="00C56CC7">
        <w:t xml:space="preserve"> “Confidentiality” refers to protecting data from unauthorized access and disclosure.  </w:t>
      </w:r>
      <w:r w:rsidRPr="00C56CC7">
        <w:rPr>
          <w:i/>
        </w:rPr>
        <w:t xml:space="preserve">See </w:t>
      </w:r>
      <w:r w:rsidRPr="00C56CC7">
        <w:rPr>
          <w:color w:val="000000"/>
        </w:rPr>
        <w:t xml:space="preserve">ATIS, </w:t>
      </w:r>
      <w:r w:rsidRPr="00C56CC7">
        <w:rPr>
          <w:i/>
          <w:color w:val="000000"/>
        </w:rPr>
        <w:t xml:space="preserve">ATIS Telecom Glossary: Confidentiality </w:t>
      </w:r>
      <w:r w:rsidRPr="00C56CC7">
        <w:rPr>
          <w:color w:val="000000"/>
        </w:rPr>
        <w:t xml:space="preserve">(Aug. 15, 2016), </w:t>
      </w:r>
      <w:r w:rsidRPr="00C56CC7">
        <w:t>http://www.atis.org/glossary/definition.aspx?id=6609</w:t>
      </w:r>
      <w:r w:rsidRPr="00C56CC7">
        <w:rPr>
          <w:color w:val="367FFF"/>
        </w:rPr>
        <w:t xml:space="preserve">.  </w:t>
      </w:r>
      <w:r w:rsidRPr="00C56CC7">
        <w:t xml:space="preserve">“Integrity” refers to protecting data from unauthorized modification or destruction, both at rest and in transit.  </w:t>
      </w:r>
      <w:r w:rsidRPr="00C56CC7">
        <w:rPr>
          <w:i/>
        </w:rPr>
        <w:t xml:space="preserve">See </w:t>
      </w:r>
      <w:r w:rsidRPr="00C56CC7">
        <w:rPr>
          <w:color w:val="000000"/>
        </w:rPr>
        <w:t xml:space="preserve">ATIS, </w:t>
      </w:r>
      <w:r w:rsidRPr="00C56CC7">
        <w:rPr>
          <w:i/>
          <w:color w:val="000000"/>
        </w:rPr>
        <w:t xml:space="preserve">ATIS Telecom Glossary: Integrity </w:t>
      </w:r>
      <w:r w:rsidRPr="00C56CC7">
        <w:rPr>
          <w:color w:val="000000"/>
        </w:rPr>
        <w:t xml:space="preserve">(Aug. 15, 2016), </w:t>
      </w:r>
      <w:r w:rsidRPr="00C56CC7">
        <w:t xml:space="preserve">http://www.atis.org/glossary/definition.aspx?id=4584.  Finally, “availability” refers to whether a network provides timely, reliable access to data and information services for authorized users.  </w:t>
      </w:r>
      <w:r w:rsidRPr="00C56CC7">
        <w:rPr>
          <w:i/>
        </w:rPr>
        <w:t xml:space="preserve">See </w:t>
      </w:r>
      <w:r w:rsidRPr="00C56CC7">
        <w:rPr>
          <w:color w:val="000000"/>
        </w:rPr>
        <w:t xml:space="preserve">ATIS, </w:t>
      </w:r>
      <w:r w:rsidRPr="00C56CC7">
        <w:rPr>
          <w:i/>
          <w:color w:val="000000"/>
        </w:rPr>
        <w:t xml:space="preserve">ATIS Telecom Glossary: Availability </w:t>
      </w:r>
      <w:r w:rsidRPr="00C56CC7">
        <w:rPr>
          <w:color w:val="000000"/>
        </w:rPr>
        <w:t xml:space="preserve">(Sept. 7, 2016), </w:t>
      </w:r>
      <w:r w:rsidRPr="00C56CC7">
        <w:t xml:space="preserve">http://www.atis.org/glossary/definition.aspx?id=5637.  </w:t>
      </w:r>
      <w:r w:rsidRPr="00C56CC7">
        <w:rPr>
          <w:i/>
        </w:rPr>
        <w:t>See also</w:t>
      </w:r>
      <w:r w:rsidRPr="00C56CC7">
        <w:t xml:space="preserve"> </w:t>
      </w:r>
      <w:r w:rsidRPr="00C56CC7">
        <w:rPr>
          <w:i/>
        </w:rPr>
        <w:t>Spectrum Frontiers Report and Order</w:t>
      </w:r>
      <w:r w:rsidRPr="00C56CC7">
        <w:t xml:space="preserve">, 31 FCC Rcd 8106, para. 263 n.672.  </w:t>
      </w:r>
      <w:r w:rsidRPr="00C56CC7">
        <w:rPr>
          <w:i/>
        </w:rPr>
        <w:t xml:space="preserve">See also </w:t>
      </w:r>
      <w:r w:rsidRPr="00C56CC7">
        <w:t xml:space="preserve">Communications Security, Reliability, and Interoperability Council (CSRIC), Working Group 21: Cyber Security Best Practices Final Report at 35 (2011) https://transition.fcc.gov/pshs/docs/csric/WG2A-Cyber-Security-Best-Practices-Final-Report.pdf (utilizing the same definitions of these terms).  All three of these principles are fundamental to any security framework and are dynamically interrelated, and thus no particular principle should be addressed in isolation if 5G security is to be achieved. </w:t>
      </w:r>
      <w:r w:rsidRPr="00C56CC7">
        <w:rPr>
          <w:i/>
        </w:rPr>
        <w:t>See</w:t>
      </w:r>
      <w:r w:rsidRPr="00C56CC7">
        <w:t>,</w:t>
      </w:r>
      <w:r w:rsidRPr="00C56CC7">
        <w:rPr>
          <w:i/>
        </w:rPr>
        <w:t xml:space="preserve"> e.g.</w:t>
      </w:r>
      <w:r w:rsidRPr="00C56CC7">
        <w:t>,</w:t>
      </w:r>
      <w:r w:rsidRPr="00C56CC7">
        <w:rPr>
          <w:i/>
        </w:rPr>
        <w:t xml:space="preserve"> </w:t>
      </w:r>
      <w:r w:rsidRPr="00C56CC7">
        <w:t xml:space="preserve">Techopedia, CIA Triad of Information Security, https://www.techopedia.com/definition/25830/cia-triad-of-information-security (last visited Oct. 5, 2016); </w:t>
      </w:r>
      <w:r w:rsidRPr="00C56CC7">
        <w:rPr>
          <w:i/>
        </w:rPr>
        <w:t>see also</w:t>
      </w:r>
      <w:r w:rsidRPr="00C56CC7">
        <w:t xml:space="preserve"> 44 USC § 3552(b</w:t>
      </w:r>
      <w:r w:rsidR="004A0151" w:rsidRPr="00C56CC7">
        <w:t>) (</w:t>
      </w:r>
      <w:r w:rsidRPr="00C56CC7">
        <w:t>3) (defining “confidentiality,” “integrity,</w:t>
      </w:r>
      <w:r w:rsidR="004A0151" w:rsidRPr="00C56CC7">
        <w:t>” and</w:t>
      </w:r>
      <w:r w:rsidRPr="00C56CC7">
        <w:t xml:space="preserve"> “availability” (CIA) as the constituent elements of “information security”; collectively, the terms are sometimes referred to as the “CIA principles”); Office of Management and Budget, Circular No. A-130, Managing Information as a Strategic Resource at 36 (2016), https://www.whitehouse.gov/sites/default/files/omb/assets/OMB/circulars/a130/a130revised.pdf (defining “[s]ecurity control” as “the safeguards or countermeasures prescribed for an information system or an organization to protect the confidentiality, integrity, and availability of the system and its information”).</w:t>
      </w:r>
    </w:p>
  </w:footnote>
  <w:footnote w:id="12">
    <w:p w14:paraId="3207AA2B" w14:textId="6990D3DD" w:rsidR="009520B4" w:rsidRPr="00C56CC7" w:rsidRDefault="009520B4" w:rsidP="00895F48">
      <w:pPr>
        <w:pStyle w:val="FootnoteText"/>
        <w:rPr>
          <w:i/>
        </w:rPr>
      </w:pPr>
      <w:r w:rsidRPr="00C56CC7">
        <w:rPr>
          <w:rStyle w:val="FootnoteReference"/>
        </w:rPr>
        <w:footnoteRef/>
      </w:r>
      <w:r w:rsidRPr="00C56CC7">
        <w:t xml:space="preserve"> </w:t>
      </w:r>
      <w:r w:rsidRPr="00C56CC7">
        <w:rPr>
          <w:i/>
        </w:rPr>
        <w:t>Spectrum Frontiers Report &amp; Order</w:t>
      </w:r>
      <w:r w:rsidRPr="00C56CC7">
        <w:t>, 31 FCC at 8106, paras. 255-65.</w:t>
      </w:r>
    </w:p>
  </w:footnote>
  <w:footnote w:id="13">
    <w:p w14:paraId="6B17F9AD" w14:textId="5FFCB49D" w:rsidR="009520B4" w:rsidRPr="00C56CC7" w:rsidRDefault="009520B4" w:rsidP="00895F48">
      <w:pPr>
        <w:pStyle w:val="FootnoteText"/>
        <w:rPr>
          <w:b/>
          <w:i/>
        </w:rPr>
      </w:pPr>
      <w:r w:rsidRPr="00C56CC7">
        <w:rPr>
          <w:rStyle w:val="FootnoteReference"/>
        </w:rPr>
        <w:footnoteRef/>
      </w:r>
      <w:r w:rsidRPr="00C56CC7">
        <w:t xml:space="preserve"> </w:t>
      </w:r>
      <w:r w:rsidRPr="00C56CC7">
        <w:rPr>
          <w:i/>
        </w:rPr>
        <w:t xml:space="preserve">See supra </w:t>
      </w:r>
      <w:r w:rsidRPr="00C56CC7">
        <w:t xml:space="preserve">note 10 (further explaining the CIA principles). </w:t>
      </w:r>
    </w:p>
  </w:footnote>
  <w:footnote w:id="14">
    <w:p w14:paraId="11D25BAF" w14:textId="7C248EB1" w:rsidR="009520B4" w:rsidRPr="00C56CC7" w:rsidRDefault="009520B4" w:rsidP="00895F48">
      <w:pPr>
        <w:pStyle w:val="FootnoteText"/>
      </w:pPr>
      <w:r w:rsidRPr="00C56CC7">
        <w:rPr>
          <w:rStyle w:val="FootnoteReference"/>
        </w:rPr>
        <w:footnoteRef/>
      </w:r>
      <w:r w:rsidRPr="00C56CC7">
        <w:t xml:space="preserve"> Mutual authentication generally requires that both entities involved in a transaction verify each other’s identity at the same time.</w:t>
      </w:r>
      <w:r w:rsidRPr="00C56CC7">
        <w:rPr>
          <w:vertAlign w:val="superscript"/>
        </w:rPr>
        <w:t xml:space="preserve">  </w:t>
      </w:r>
      <w:r w:rsidRPr="00C56CC7">
        <w:t xml:space="preserve">(According to the National Information Assurance Glossary, mutual authentication refers to the process of both entities involved in a transaction verifying each other.  </w:t>
      </w:r>
      <w:r w:rsidRPr="00C56CC7">
        <w:rPr>
          <w:i/>
        </w:rPr>
        <w:t>See</w:t>
      </w:r>
      <w:r w:rsidRPr="00C56CC7">
        <w:t xml:space="preserve"> Committee on National Security Systems, National Information Assurance (Apr. 26, 2010), https://www.ncsc.gov/nittf/docs/CNSSI-4009_National_Information_Assurance.pdf</w:t>
      </w:r>
      <w:r w:rsidRPr="00C56CC7">
        <w:rPr>
          <w:rStyle w:val="Hyperlink"/>
          <w:color w:val="auto"/>
          <w:u w:val="none"/>
        </w:rPr>
        <w:t xml:space="preserve">.  </w:t>
      </w:r>
      <w:r w:rsidRPr="00C56CC7">
        <w:t xml:space="preserve">Mutual authentication can be a tool against phishing, replay attacks, and other types of “man-in-the-middle” exploits in communications environments, and is presumably a core security consideration for 5G security.  For some communications technology protocols, mutual authentication is established as a default setting; for other protocols, however, it is optional.  </w:t>
      </w:r>
      <w:r w:rsidRPr="00C56CC7">
        <w:rPr>
          <w:i/>
        </w:rPr>
        <w:t xml:space="preserve">See </w:t>
      </w:r>
      <w:r w:rsidRPr="00C56CC7">
        <w:t xml:space="preserve">Secure Shell, </w:t>
      </w:r>
      <w:r w:rsidRPr="00C56CC7">
        <w:rPr>
          <w:i/>
        </w:rPr>
        <w:t>Setting Up Non-Interactive Server and User Authentication</w:t>
      </w:r>
      <w:r w:rsidRPr="00C56CC7">
        <w:t>, https://support.ssh.com/manuals/server-zos-eval/54/Setting_up_Non-Interactive_Server_and_User_Authentication.html</w:t>
      </w:r>
      <w:r w:rsidRPr="00C56CC7">
        <w:rPr>
          <w:rStyle w:val="Hyperlink"/>
          <w:color w:val="auto"/>
          <w:u w:val="none"/>
        </w:rPr>
        <w:t xml:space="preserve"> (last visited Sept. 5, 2016)</w:t>
      </w:r>
      <w:r w:rsidRPr="00C56CC7">
        <w:t xml:space="preserve">; Tim Dierks &amp; Eric Rescorla, </w:t>
      </w:r>
      <w:r w:rsidRPr="00C56CC7">
        <w:rPr>
          <w:i/>
        </w:rPr>
        <w:t>The Transport Layer Security (TLS) Protocol</w:t>
      </w:r>
      <w:r w:rsidRPr="00C56CC7">
        <w:t xml:space="preserve"> (Aug. 2008), https://tools.ietf.org/html/rfc5246.  Authentication can be either human to machine, or human to human.  Each approach requires forethought, has resource implications, and establishes stakeholder responsibilities.</w:t>
      </w:r>
    </w:p>
  </w:footnote>
  <w:footnote w:id="15">
    <w:p w14:paraId="4E140989" w14:textId="3D62389D" w:rsidR="009520B4" w:rsidRPr="00C56CC7" w:rsidRDefault="009520B4" w:rsidP="00895F48">
      <w:pPr>
        <w:pStyle w:val="FootnoteText"/>
      </w:pPr>
      <w:r w:rsidRPr="00C56CC7">
        <w:rPr>
          <w:rStyle w:val="FootnoteReference"/>
        </w:rPr>
        <w:footnoteRef/>
      </w:r>
      <w:r w:rsidRPr="00C56CC7">
        <w:t xml:space="preserve"> Encryption is the conversion of electronic data into another form, called “ciphertext”, which cannot be easily understood by anyone except authorized parties.  </w:t>
      </w:r>
      <w:r w:rsidRPr="00C56CC7">
        <w:rPr>
          <w:i/>
        </w:rPr>
        <w:t xml:space="preserve">See </w:t>
      </w:r>
      <w:r w:rsidRPr="00C56CC7">
        <w:t xml:space="preserve">Margaret Rouse, </w:t>
      </w:r>
      <w:r w:rsidRPr="00C56CC7">
        <w:rPr>
          <w:i/>
        </w:rPr>
        <w:t>Definition: Ciphertext</w:t>
      </w:r>
      <w:r w:rsidRPr="00C56CC7">
        <w:t xml:space="preserve">, WhatIs.com (2007), http://searchcio-midmarket.techtarget.com/definition/ciphertext (defining “ciphertext”); Margaret Rouse, </w:t>
      </w:r>
      <w:r w:rsidRPr="00C56CC7">
        <w:rPr>
          <w:i/>
        </w:rPr>
        <w:t>Definition: Encryption</w:t>
      </w:r>
      <w:r w:rsidRPr="00C56CC7">
        <w:t xml:space="preserve">, TechTarget (2014), http://searchsecurity.techtarget.com/definition/encryption (defining encryption).  Effective encryption is defined as the security of cryptological techniques and related management conducted in accordance with NIST document SP-800-57.  </w:t>
      </w:r>
      <w:r w:rsidRPr="00C56CC7">
        <w:rPr>
          <w:i/>
        </w:rPr>
        <w:t xml:space="preserve">See </w:t>
      </w:r>
      <w:r w:rsidRPr="00C56CC7">
        <w:t>Elaine Barker et al., Computer Security at 22 (2012),</w:t>
      </w:r>
      <w:r w:rsidRPr="00C56CC7">
        <w:rPr>
          <w:i/>
        </w:rPr>
        <w:t xml:space="preserve"> </w:t>
      </w:r>
      <w:r w:rsidRPr="00C56CC7">
        <w:t>http://csrc.nist.gov/publications/nistpubs/800-57/sp800-57_part1_rev3_general.pdf</w:t>
      </w:r>
      <w:r w:rsidRPr="00C56CC7">
        <w:rPr>
          <w:rStyle w:val="Hyperlink"/>
          <w:u w:val="none"/>
        </w:rPr>
        <w:t>.</w:t>
      </w:r>
    </w:p>
  </w:footnote>
  <w:footnote w:id="16">
    <w:p w14:paraId="71BEB91D" w14:textId="3EA796A4" w:rsidR="009520B4" w:rsidRPr="004A0151" w:rsidRDefault="009520B4" w:rsidP="00895F48">
      <w:pPr>
        <w:pStyle w:val="FootnoteText"/>
        <w:rPr>
          <w:lang w:val="es-ES"/>
        </w:rPr>
      </w:pPr>
      <w:r w:rsidRPr="00C56CC7">
        <w:rPr>
          <w:rStyle w:val="FootnoteReference"/>
        </w:rPr>
        <w:footnoteRef/>
      </w:r>
      <w:r w:rsidRPr="00C56CC7">
        <w:t xml:space="preserve"> The three algorithms used to protect the air interface (handset to tower) are: SNOW 3G, AES, and ZUC.  </w:t>
      </w:r>
      <w:r w:rsidRPr="00C56CC7">
        <w:rPr>
          <w:i/>
        </w:rPr>
        <w:t xml:space="preserve">See </w:t>
      </w:r>
      <w:r w:rsidRPr="00C56CC7">
        <w:t>Jeffrey Cichonski &amp; Joshua Franklin,</w:t>
      </w:r>
      <w:r w:rsidR="004A0151">
        <w:t xml:space="preserve"> LTE Security – How Good Is It?</w:t>
      </w:r>
      <w:r w:rsidRPr="00C56CC7">
        <w:t xml:space="preserve"> </w:t>
      </w:r>
      <w:r w:rsidRPr="004A0151">
        <w:rPr>
          <w:lang w:val="es-ES"/>
        </w:rPr>
        <w:t>(Apr. 24, 2015), https://www.rsaconference.com/writable/presentations/file_upload/tech-r03_lte-security-how-good-is-it.pdf.</w:t>
      </w:r>
    </w:p>
  </w:footnote>
  <w:footnote w:id="17">
    <w:p w14:paraId="3CD08067" w14:textId="77777777" w:rsidR="009520B4" w:rsidRPr="00C56CC7" w:rsidRDefault="009520B4" w:rsidP="00895F48">
      <w:pPr>
        <w:pStyle w:val="FootnoteText"/>
      </w:pPr>
      <w:r w:rsidRPr="00C56CC7">
        <w:rPr>
          <w:rStyle w:val="FootnoteReference"/>
        </w:rPr>
        <w:footnoteRef/>
      </w:r>
      <w:r w:rsidRPr="00C56CC7">
        <w:t xml:space="preserve"> </w:t>
      </w:r>
      <w:r w:rsidRPr="00C56CC7">
        <w:rPr>
          <w:i/>
        </w:rPr>
        <w:t xml:space="preserve">See </w:t>
      </w:r>
      <w:r w:rsidRPr="00C56CC7">
        <w:t xml:space="preserve">Roger Piqueras Jover, LTE Security, </w:t>
      </w:r>
      <w:r w:rsidRPr="00C56CC7">
        <w:rPr>
          <w:i/>
        </w:rPr>
        <w:t>Protocol Exploits and Location Tracking Experimentation with Low-Cost Software Radio</w:t>
      </w:r>
      <w:r w:rsidRPr="00C56CC7">
        <w:t>, Cornell University Library (Jul. 18, 2016), https://arxiv.org/abs/1607.05171.</w:t>
      </w:r>
    </w:p>
  </w:footnote>
  <w:footnote w:id="18">
    <w:p w14:paraId="25DAB46E" w14:textId="6945C379" w:rsidR="009520B4" w:rsidRPr="00C56CC7" w:rsidRDefault="009520B4" w:rsidP="00895F48">
      <w:pPr>
        <w:pStyle w:val="FootnoteText"/>
      </w:pPr>
      <w:r w:rsidRPr="00C56CC7">
        <w:rPr>
          <w:rStyle w:val="FootnoteReference"/>
        </w:rPr>
        <w:footnoteRef/>
      </w:r>
      <w:r w:rsidRPr="00C56CC7">
        <w:t xml:space="preserve"> </w:t>
      </w:r>
      <w:r w:rsidRPr="00C56CC7">
        <w:rPr>
          <w:i/>
        </w:rPr>
        <w:t>See id</w:t>
      </w:r>
      <w:r w:rsidRPr="00C56CC7">
        <w:t>.</w:t>
      </w:r>
    </w:p>
  </w:footnote>
  <w:footnote w:id="19">
    <w:p w14:paraId="52489E9A" w14:textId="6DD90885" w:rsidR="009520B4" w:rsidRPr="00C56CC7" w:rsidRDefault="009520B4" w:rsidP="00895F48">
      <w:pPr>
        <w:pStyle w:val="FootnoteText"/>
      </w:pPr>
      <w:r w:rsidRPr="00C56CC7">
        <w:rPr>
          <w:rStyle w:val="FootnoteReference"/>
        </w:rPr>
        <w:footnoteRef/>
      </w:r>
      <w:r w:rsidRPr="00C56CC7">
        <w:t xml:space="preserve"> There are two core component architectures within the 5G radio protocol architecture stack:  the “user plane” and the “control plane.”  In the user plane, generated data packets are processed by protocols such as TCP, UDP and IP, while in the control plane, the radio resource control (RRC) protocol writes the signaling messages that are exchanged between cellular base stations and mobile devices.  In both settings, the information is processed by the packet data convergence protocol (PDCP), the radio link control (RLC) protocol and the medium access control (MAC) protocol, before being passed to the physical layer for transmission.  </w:t>
      </w:r>
      <w:r w:rsidRPr="00C56CC7">
        <w:rPr>
          <w:i/>
        </w:rPr>
        <w:t>See</w:t>
      </w:r>
      <w:r w:rsidRPr="00C56CC7">
        <w:t xml:space="preserve"> </w:t>
      </w:r>
      <w:r w:rsidRPr="00C56CC7">
        <w:rPr>
          <w:i/>
        </w:rPr>
        <w:t>LTE Radio Protocol Architecture</w:t>
      </w:r>
      <w:r w:rsidRPr="00C56CC7">
        <w:t xml:space="preserve">, Tutorialspoint, https://www.tutorialspoint.com/lte/lte_radio_protocol_architecture.htm (last visited Nov. 1, 2016); Margaret Rouse, </w:t>
      </w:r>
      <w:r w:rsidRPr="00C56CC7">
        <w:rPr>
          <w:i/>
        </w:rPr>
        <w:t>Definition: Plane (In Networking)</w:t>
      </w:r>
      <w:r w:rsidRPr="00C56CC7">
        <w:t>,</w:t>
      </w:r>
      <w:r w:rsidRPr="00C56CC7">
        <w:rPr>
          <w:i/>
        </w:rPr>
        <w:t xml:space="preserve"> </w:t>
      </w:r>
      <w:r w:rsidRPr="00C56CC7">
        <w:t>WhatIs.com, http://whatis.techtarget.com/definition/plane-in-networking (last visited Nov. 1, 2016).</w:t>
      </w:r>
    </w:p>
  </w:footnote>
  <w:footnote w:id="20">
    <w:p w14:paraId="46F94E17" w14:textId="7E2D48F5" w:rsidR="009520B4" w:rsidRPr="00C56CC7" w:rsidRDefault="009520B4" w:rsidP="00895F48">
      <w:pPr>
        <w:pStyle w:val="FootnoteText"/>
      </w:pPr>
      <w:r w:rsidRPr="00C56CC7">
        <w:rPr>
          <w:rStyle w:val="FootnoteReference"/>
        </w:rPr>
        <w:footnoteRef/>
      </w:r>
      <w:r w:rsidRPr="00C56CC7">
        <w:t xml:space="preserve"> Subscriber Identity Modules (SIMs) are removable components of mobile phones and devices that enable the cell phone to access subscribed services by authenticating the user of the cell phone to the network.  SIMs also store personal information, including text messages, contact lists and service-related information.  </w:t>
      </w:r>
      <w:r w:rsidRPr="00C56CC7">
        <w:rPr>
          <w:i/>
        </w:rPr>
        <w:t xml:space="preserve">See </w:t>
      </w:r>
      <w:r w:rsidRPr="00C56CC7">
        <w:t xml:space="preserve">Wayne Jansen &amp; Rick Ayers, </w:t>
      </w:r>
      <w:r w:rsidRPr="00C56CC7">
        <w:rPr>
          <w:i/>
        </w:rPr>
        <w:t>Forensic Software Tools for Cell Phone Subscriber Identity Modules</w:t>
      </w:r>
      <w:r w:rsidRPr="00C56CC7">
        <w:t>, National Institute of Standards and Technology, http://csrc.nist.gov/groups/SNS/mobile_security/documents/mobile_forensics/pp-SIM-tools-final.pdf (last visited Nov. 9, 2016).</w:t>
      </w:r>
    </w:p>
  </w:footnote>
  <w:footnote w:id="21">
    <w:p w14:paraId="6535A185" w14:textId="36B4BEFA" w:rsidR="009520B4" w:rsidRPr="00C56CC7" w:rsidRDefault="009520B4" w:rsidP="00895F48">
      <w:pPr>
        <w:pStyle w:val="FootnoteText"/>
        <w:rPr>
          <w:i/>
        </w:rPr>
      </w:pPr>
      <w:r w:rsidRPr="00C56CC7">
        <w:rPr>
          <w:rStyle w:val="FootnoteReference"/>
        </w:rPr>
        <w:footnoteRef/>
      </w:r>
      <w:r w:rsidRPr="00C56CC7">
        <w:rPr>
          <w:i/>
        </w:rPr>
        <w:t xml:space="preserve"> </w:t>
      </w:r>
      <w:r w:rsidRPr="00C56CC7">
        <w:t xml:space="preserve">In a denial-of-service (DoS) attack, an attacker attempts to prevent users from accessing information or services by targeting computers, specific websites or services, or network connections. The most common type of DoS attack occurs when an attacker “floods” a network with information, overloading the server with requests to view a webpage.  As a result, the server will be unable to process requests, and a legitimate user will be unable to access the site.  </w:t>
      </w:r>
      <w:r w:rsidRPr="00C56CC7">
        <w:rPr>
          <w:i/>
        </w:rPr>
        <w:t xml:space="preserve">See </w:t>
      </w:r>
      <w:r w:rsidRPr="00C56CC7">
        <w:t xml:space="preserve">United States Computer Emergency Readiness Team, </w:t>
      </w:r>
      <w:r w:rsidRPr="00C56CC7">
        <w:rPr>
          <w:i/>
        </w:rPr>
        <w:t>Security Tip:</w:t>
      </w:r>
      <w:r w:rsidRPr="00C56CC7">
        <w:t xml:space="preserve"> </w:t>
      </w:r>
      <w:r w:rsidRPr="00C56CC7">
        <w:rPr>
          <w:i/>
        </w:rPr>
        <w:t>Understanding Denial of Service Attacks</w:t>
      </w:r>
      <w:r w:rsidRPr="00C56CC7">
        <w:t xml:space="preserve">, https://www.us-cert.gov/ncas/tips/ST04-015 (last visited Nov. 9, 2016).  In a distributed denial-of-service (DDoS) attack, an attacker may take control of other users’ computers through security vulnerabilities.  The attacker can then force the computers to send large amounts of data to a website or email address.  The attacker “distributes” these attacks among multiple computers, which work in tandem to overload the server.  </w:t>
      </w:r>
      <w:r w:rsidRPr="00C56CC7">
        <w:rPr>
          <w:i/>
        </w:rPr>
        <w:t>See id.</w:t>
      </w:r>
    </w:p>
  </w:footnote>
  <w:footnote w:id="22">
    <w:p w14:paraId="55824B00" w14:textId="2099864B" w:rsidR="009520B4" w:rsidRPr="00C56CC7" w:rsidRDefault="009520B4" w:rsidP="00895F48">
      <w:pPr>
        <w:pStyle w:val="FootnoteText"/>
      </w:pPr>
      <w:r w:rsidRPr="00C56CC7">
        <w:rPr>
          <w:rStyle w:val="FootnoteReference"/>
        </w:rPr>
        <w:footnoteRef/>
      </w:r>
      <w:r w:rsidRPr="00C56CC7">
        <w:t xml:space="preserve"> This may include the use of multiple layers of defense, starting with front-end applications or hardware to block certain types of traffic; key completion indicators; blackholing or sinkholing; intrusion prevention systems; firewalls, routers, and switches; upstream filtering; and DoS defense systems.  </w:t>
      </w:r>
      <w:r w:rsidRPr="00C56CC7">
        <w:rPr>
          <w:i/>
        </w:rPr>
        <w:t>See</w:t>
      </w:r>
      <w:r w:rsidRPr="00C56CC7">
        <w:t xml:space="preserve"> George Kousiouris, Key Completion Indicators: Minimizing the Effect of DoS Attacks on Elastic Cloud-based Applications Based on Application-level Markov Chain Checkpoints, 622, 623 (2014),  https://files.ifi.uzh.ch/stiller/CLOSER%202014/CLOSER/CLOSER/Cloud%20Computing%20Enabling%20Technology/Short%20Papers/CLOSER_2014_118_CR.pdf; </w:t>
      </w:r>
      <w:r w:rsidRPr="00C56CC7">
        <w:rPr>
          <w:i/>
        </w:rPr>
        <w:t>see also</w:t>
      </w:r>
      <w:r w:rsidRPr="00C56CC7">
        <w:t xml:space="preserve"> Charalampos Patrikakis et al., </w:t>
      </w:r>
      <w:r w:rsidRPr="00C56CC7">
        <w:rPr>
          <w:i/>
        </w:rPr>
        <w:t>Distributed Denial of Service Attacks</w:t>
      </w:r>
      <w:r w:rsidRPr="00C56CC7">
        <w:t xml:space="preserve">, 7 The Internet Protocol Journal 4 (Dec. 2014), http://www.cisco.com/c/en/us/about/press/internet-protocol-journal/back-issues/table-contents-30/dos-attacks.html;  Valter Popeskic, How to Prevent or Stop DoS Attacks? (Oct. 16, 2012), https://howdoesinternetwork.com/2012/prevent-stop-dos-attacks. </w:t>
      </w:r>
    </w:p>
  </w:footnote>
  <w:footnote w:id="23">
    <w:p w14:paraId="0284171F" w14:textId="3CC1A910" w:rsidR="009520B4" w:rsidRPr="00C56CC7" w:rsidRDefault="009520B4" w:rsidP="00895F48">
      <w:pPr>
        <w:spacing w:after="120"/>
        <w:rPr>
          <w:rFonts w:cs="Times New Roman"/>
          <w:sz w:val="20"/>
          <w:szCs w:val="20"/>
        </w:rPr>
      </w:pPr>
      <w:r w:rsidRPr="00C56CC7">
        <w:rPr>
          <w:rStyle w:val="FootnoteReference"/>
          <w:rFonts w:cs="Times New Roman"/>
          <w:szCs w:val="20"/>
        </w:rPr>
        <w:footnoteRef/>
      </w:r>
      <w:r w:rsidRPr="00C56CC7">
        <w:rPr>
          <w:rFonts w:cs="Times New Roman"/>
          <w:sz w:val="20"/>
          <w:szCs w:val="20"/>
        </w:rPr>
        <w:t xml:space="preserve"> </w:t>
      </w:r>
      <w:r w:rsidRPr="00C56CC7">
        <w:rPr>
          <w:rFonts w:cs="Times New Roman"/>
          <w:i/>
          <w:sz w:val="20"/>
          <w:szCs w:val="20"/>
        </w:rPr>
        <w:t xml:space="preserve">See </w:t>
      </w:r>
      <w:r w:rsidRPr="00C56CC7">
        <w:rPr>
          <w:rFonts w:cs="Times New Roman"/>
          <w:sz w:val="20"/>
          <w:szCs w:val="20"/>
        </w:rPr>
        <w:t>Communications Security, Reliability, and Interoperability Council (CSRIC), Working Group 21: Cyber Security Best Practices Final Report at 35 (2011), https://transition.fcc.gov/pshs/docs/csric/WG2A-Cyber-Security-Best-Practices-Final-Report.pdf.</w:t>
      </w:r>
    </w:p>
  </w:footnote>
  <w:footnote w:id="24">
    <w:p w14:paraId="2077A4C1" w14:textId="007634DB" w:rsidR="009520B4" w:rsidRPr="00C56CC7" w:rsidRDefault="009520B4" w:rsidP="00895F48">
      <w:pPr>
        <w:pStyle w:val="FootnoteText"/>
      </w:pPr>
      <w:r w:rsidRPr="00C56CC7">
        <w:rPr>
          <w:rStyle w:val="FootnoteReference"/>
        </w:rPr>
        <w:footnoteRef/>
      </w:r>
      <w:r w:rsidRPr="00C56CC7">
        <w:t xml:space="preserve"> </w:t>
      </w:r>
      <w:r w:rsidRPr="00C56CC7">
        <w:rPr>
          <w:i/>
        </w:rPr>
        <w:t>See</w:t>
      </w:r>
      <w:r w:rsidRPr="00C56CC7">
        <w:t>,</w:t>
      </w:r>
      <w:r w:rsidRPr="00C56CC7">
        <w:rPr>
          <w:i/>
        </w:rPr>
        <w:t xml:space="preserve"> e.g.</w:t>
      </w:r>
      <w:r w:rsidRPr="00C56CC7">
        <w:t xml:space="preserve">, </w:t>
      </w:r>
      <w:r w:rsidRPr="00C56CC7">
        <w:rPr>
          <w:i/>
        </w:rPr>
        <w:t>Protect Myself from Cyber Attacks</w:t>
      </w:r>
      <w:r w:rsidRPr="00C56CC7">
        <w:t>, Department of Homeland Security (Aug. 8, 2016), https://www.dhs.gov/how-do-i/protect-myself-cyber-attacks (“Keep your operating system, browser, anti-virus and other critical software up to date. Security updates and patches are available for free from major companies.”);</w:t>
      </w:r>
      <w:r w:rsidRPr="00C56CC7">
        <w:rPr>
          <w:i/>
        </w:rPr>
        <w:t xml:space="preserve"> </w:t>
      </w:r>
      <w:r w:rsidRPr="00C56CC7">
        <w:t xml:space="preserve">Frontier Communications, </w:t>
      </w:r>
      <w:r w:rsidRPr="00C56CC7">
        <w:rPr>
          <w:i/>
        </w:rPr>
        <w:t xml:space="preserve">Frontier Communications Encourages Hyper Vigilance When It Comes to Anything Cyber </w:t>
      </w:r>
      <w:r w:rsidRPr="00C56CC7">
        <w:t xml:space="preserve">(Oct. 3, 2013), http://investor.frontier.com/releasedetail.cfm?ReleaseID=794772 (“Keep your operating system, browser, anti-virus and other critical software up to date. Security updates and patches are available for free from major companies.”); </w:t>
      </w:r>
      <w:r w:rsidRPr="00C56CC7">
        <w:rPr>
          <w:i/>
        </w:rPr>
        <w:t xml:space="preserve">Ten Steps to Smartphone Security, </w:t>
      </w:r>
      <w:r w:rsidRPr="00C56CC7">
        <w:t xml:space="preserve">Federal Communications Commission, https://www.fcc.gov/sites/default/files/smartphone_master_document.pdf (“Accept updates and patches to your smartphone’s software.”), https://www.fcc.gov/sites/default/files/smartphone_master_document.pdf (last visited Oct. 24, 2016); </w:t>
      </w:r>
      <w:r w:rsidRPr="00C56CC7">
        <w:rPr>
          <w:i/>
        </w:rPr>
        <w:t>Stop. Think. Connect. Cyber Tips</w:t>
      </w:r>
      <w:r w:rsidRPr="00C56CC7">
        <w:t>, Department of Homeland Security (Oct. 15, 2015), http://www.dhs.gov/stopthinkconnect-cyber-tips (“Keep your operating system, browser, and other critical software optimized by installing updates.”).</w:t>
      </w:r>
    </w:p>
  </w:footnote>
  <w:footnote w:id="25">
    <w:p w14:paraId="28F84534" w14:textId="5EFD3B74" w:rsidR="009520B4" w:rsidRPr="00C56CC7" w:rsidRDefault="009520B4" w:rsidP="00895F48">
      <w:pPr>
        <w:pStyle w:val="FootnoteText"/>
      </w:pPr>
      <w:r w:rsidRPr="00C56CC7">
        <w:rPr>
          <w:rStyle w:val="FootnoteReference"/>
        </w:rPr>
        <w:footnoteRef/>
      </w:r>
      <w:r w:rsidRPr="00C56CC7">
        <w:t xml:space="preserve"> In May 2016, in an effort to better understand, and ultimately to improve, the security of mobile devices, the Commission’s Wireless Telecommunications Bureau Chief, Jon Wilkins, sent a letter to six mobile carriers seeking information on their processes for reviewing and releasing security updates for mobile devices.  </w:t>
      </w:r>
      <w:r w:rsidRPr="00C56CC7">
        <w:rPr>
          <w:i/>
        </w:rPr>
        <w:t xml:space="preserve">See </w:t>
      </w:r>
      <w:r w:rsidRPr="00C56CC7">
        <w:t>Letter from Jon Wilkins, Chief, Wireless Telecommunications, to Carriers at 1 (May 9, 2016), https://transition.fcc.gov/Daily_Releases/Daily_Business/2016/db0509/DOC-339256A2.pdf</w:t>
      </w:r>
      <w:r w:rsidRPr="00C56CC7">
        <w:rPr>
          <w:rStyle w:val="Hyperlink"/>
          <w:color w:val="auto"/>
          <w:u w:val="none"/>
        </w:rPr>
        <w:t>.</w:t>
      </w:r>
      <w:r w:rsidRPr="00C56CC7">
        <w:t xml:space="preserve">  At the same time that the Wireless Telecommunications Bureau issued letters to mobile carriers, the FTC issued Section 6(b) Orders to eight mobile device manufacturers requiring them to provide the agency with information on how each manufacturer issues security updates to address vulnerabilities in smartphones, tablets, and other mobile devices.</w:t>
      </w:r>
      <w:r w:rsidRPr="00C56CC7">
        <w:rPr>
          <w:i/>
        </w:rPr>
        <w:t xml:space="preserve">  See</w:t>
      </w:r>
      <w:r w:rsidRPr="00C56CC7">
        <w:t xml:space="preserve"> Press Release, FTC, FTC to Study Mobile Device Industry’s Security Update Practices (May 9, 2016) https://www.ftc.gov/news-events/press-releases/2016/05/ftc-study-mobile-device-industrys-security-update-practices.   </w:t>
      </w:r>
    </w:p>
  </w:footnote>
  <w:footnote w:id="26">
    <w:p w14:paraId="57839223" w14:textId="77777777" w:rsidR="009520B4" w:rsidRPr="00C56CC7" w:rsidRDefault="009520B4" w:rsidP="00895F48">
      <w:pPr>
        <w:pStyle w:val="FootnoteText"/>
      </w:pPr>
      <w:r w:rsidRPr="00C56CC7">
        <w:rPr>
          <w:rStyle w:val="FootnoteReference"/>
        </w:rPr>
        <w:footnoteRef/>
      </w:r>
      <w:r w:rsidRPr="00C56CC7">
        <w:t xml:space="preserve"> The term “software” is used generally in this context.  Many different approaches may be used to store and manage operations configuration of a radio frequency transmitter.  These may include configurations based on using Read-only-Memories (ROM), field programmable ROM, firmware used to boot devices, BIOS control, software drivers loaded on system start, sensor based controls, network management systems, external database controls, service provider controls, user interface controls, </w:t>
      </w:r>
      <w:r w:rsidRPr="00C56CC7">
        <w:rPr>
          <w:i/>
        </w:rPr>
        <w:t>etc</w:t>
      </w:r>
      <w:r w:rsidRPr="00C56CC7">
        <w:t xml:space="preserve">.   </w:t>
      </w:r>
    </w:p>
  </w:footnote>
  <w:footnote w:id="27">
    <w:p w14:paraId="6D8A3608" w14:textId="33DEA98F" w:rsidR="009520B4" w:rsidRPr="00C56CC7" w:rsidRDefault="009520B4" w:rsidP="00895F48">
      <w:pPr>
        <w:pStyle w:val="FootnoteText"/>
      </w:pPr>
      <w:r w:rsidRPr="00C56CC7">
        <w:rPr>
          <w:rStyle w:val="FootnoteReference"/>
        </w:rPr>
        <w:footnoteRef/>
      </w:r>
      <w:r w:rsidRPr="00C56CC7">
        <w:rPr>
          <w:rStyle w:val="reference-text"/>
        </w:rPr>
        <w:t xml:space="preserve"> </w:t>
      </w:r>
      <w:r w:rsidRPr="00C56CC7">
        <w:rPr>
          <w:rStyle w:val="reference-text"/>
          <w:i/>
        </w:rPr>
        <w:t xml:space="preserve">See </w:t>
      </w:r>
      <w:r w:rsidRPr="00C56CC7">
        <w:rPr>
          <w:rStyle w:val="reference-text"/>
        </w:rPr>
        <w:t xml:space="preserve">Nimmy Reichenberg, </w:t>
      </w:r>
      <w:r w:rsidRPr="00C56CC7">
        <w:rPr>
          <w:i/>
        </w:rPr>
        <w:t>I</w:t>
      </w:r>
      <w:r w:rsidRPr="00C56CC7">
        <w:rPr>
          <w:rStyle w:val="reference-text"/>
          <w:i/>
        </w:rPr>
        <w:t>mproving Security via Proper Network Segmentation</w:t>
      </w:r>
      <w:r w:rsidRPr="00C56CC7">
        <w:rPr>
          <w:rStyle w:val="reference-text"/>
        </w:rPr>
        <w:t xml:space="preserve">, SecurityWeek (Mar. 20, 2014), </w:t>
      </w:r>
      <w:r w:rsidRPr="00C56CC7">
        <w:t>http://www.securityweek.com/improving-security-proper-network-segmentation</w:t>
      </w:r>
      <w:r w:rsidRPr="00C56CC7">
        <w:rPr>
          <w:rStyle w:val="reference-text"/>
        </w:rPr>
        <w:t xml:space="preserve">. </w:t>
      </w:r>
    </w:p>
  </w:footnote>
  <w:footnote w:id="28">
    <w:p w14:paraId="60421016" w14:textId="77777777" w:rsidR="009520B4" w:rsidRPr="00C56CC7" w:rsidRDefault="009520B4" w:rsidP="009520B4">
      <w:pPr>
        <w:pStyle w:val="FootnoteText"/>
      </w:pPr>
      <w:r w:rsidRPr="00C56CC7">
        <w:rPr>
          <w:rStyle w:val="FootnoteReference"/>
        </w:rPr>
        <w:footnoteRef/>
      </w:r>
      <w:r w:rsidRPr="00C56CC7">
        <w:t xml:space="preserve"> The Access Class is a value between 0 and 16 that can be used to prioritize a handset’s ability to establish a connection with the network.  Conceptually, the higher the value, the higher the probability of establishing the connection.  A successful connection would provide dial tone to the user.    </w:t>
      </w:r>
    </w:p>
  </w:footnote>
  <w:footnote w:id="29">
    <w:p w14:paraId="61700CD5" w14:textId="48F59447" w:rsidR="009520B4" w:rsidRPr="00C56CC7" w:rsidRDefault="009520B4">
      <w:pPr>
        <w:pStyle w:val="FootnoteText"/>
      </w:pPr>
      <w:r w:rsidRPr="00C56CC7">
        <w:rPr>
          <w:rStyle w:val="FootnoteReference"/>
        </w:rPr>
        <w:footnoteRef/>
      </w:r>
      <w:r w:rsidRPr="00C56CC7">
        <w:t xml:space="preserve"> </w:t>
      </w:r>
      <w:r w:rsidR="005B0BE9" w:rsidRPr="005B0BE9">
        <w:rPr>
          <w:i/>
        </w:rPr>
        <w:t xml:space="preserve">See </w:t>
      </w:r>
      <w:r w:rsidR="005B0BE9" w:rsidRPr="005B0BE9">
        <w:t>Nicole Perlroth, Hackers Used New Weapons to Disrupt Major Websites Across U.S., The New York Times (Oct. 21, 2016), http://www.nytimes.com/2016/10/22/business/internet-problems-attack.html.</w:t>
      </w:r>
    </w:p>
  </w:footnote>
  <w:footnote w:id="30">
    <w:p w14:paraId="22A9365A" w14:textId="3CEF3F07" w:rsidR="009520B4" w:rsidRPr="00C56CC7" w:rsidRDefault="009520B4" w:rsidP="00895F48">
      <w:pPr>
        <w:pStyle w:val="FootnoteText"/>
        <w:rPr>
          <w:i/>
        </w:rPr>
      </w:pPr>
      <w:r w:rsidRPr="00C56CC7">
        <w:rPr>
          <w:rStyle w:val="FootnoteReference"/>
        </w:rPr>
        <w:footnoteRef/>
      </w:r>
      <w:r w:rsidRPr="00C56CC7">
        <w:t xml:space="preserve"> NIST, in a series of publications, addresses the subject of supply chain risk management (SCRM) issues.  </w:t>
      </w:r>
      <w:r w:rsidR="00962B16" w:rsidRPr="00C56CC7">
        <w:t xml:space="preserve">They include: </w:t>
      </w:r>
      <w:r w:rsidRPr="00C56CC7">
        <w:t xml:space="preserve">NIST Special Publication 800-30, Revision 1, </w:t>
      </w:r>
      <w:r w:rsidRPr="00C56CC7">
        <w:rPr>
          <w:i/>
        </w:rPr>
        <w:t>Guide for Conducting Risk Assessments</w:t>
      </w:r>
      <w:r w:rsidRPr="00C56CC7">
        <w:t>,</w:t>
      </w:r>
      <w:r w:rsidRPr="00C56CC7">
        <w:rPr>
          <w:i/>
        </w:rPr>
        <w:t xml:space="preserve"> </w:t>
      </w:r>
      <w:r w:rsidRPr="00C56CC7">
        <w:t xml:space="preserve">to integrate SCRM into the risk assessment process (NIST SP 800-30 Rev. 1); NIST Special Publication 800-37, Revision 1, </w:t>
      </w:r>
      <w:r w:rsidRPr="00C56CC7">
        <w:rPr>
          <w:i/>
        </w:rPr>
        <w:t xml:space="preserve">Guide for Applying the Risk Management Framework to Federal Information Systems </w:t>
      </w:r>
      <w:r w:rsidRPr="00C56CC7">
        <w:t xml:space="preserve">(NIST SP 800-37 Rev. 1); NIST Special Publication 800-39, </w:t>
      </w:r>
      <w:r w:rsidRPr="00C56CC7">
        <w:rPr>
          <w:i/>
        </w:rPr>
        <w:t>Managing Information Security Risk: Organization, Mission, and. Information System View</w:t>
      </w:r>
      <w:r w:rsidRPr="00C56CC7">
        <w:t>,</w:t>
      </w:r>
      <w:r w:rsidRPr="00C56CC7">
        <w:rPr>
          <w:i/>
        </w:rPr>
        <w:t xml:space="preserve"> </w:t>
      </w:r>
      <w:r w:rsidRPr="00C56CC7">
        <w:t xml:space="preserve">helping to integrate SCRM into the risk management tiers and risk management process (NIST SP 800-39); NIST 800-53 Revision 4, </w:t>
      </w:r>
      <w:r w:rsidRPr="00C56CC7">
        <w:rPr>
          <w:i/>
        </w:rPr>
        <w:t>Security and Privacy Controls for Federal Information Systems and Organizations</w:t>
      </w:r>
      <w:r w:rsidRPr="00C56CC7">
        <w:t>,</w:t>
      </w:r>
      <w:r w:rsidRPr="00C56CC7">
        <w:rPr>
          <w:i/>
        </w:rPr>
        <w:t xml:space="preserve"> </w:t>
      </w:r>
      <w:r w:rsidRPr="00C56CC7">
        <w:t xml:space="preserve">providing guidance on information security controls for enhancing and tailoring to the SCRM context (NIST SP 800-53 Rev. 4); NIST Special Publication 800-53A Revision 4, </w:t>
      </w:r>
      <w:r w:rsidRPr="00C56CC7">
        <w:rPr>
          <w:i/>
        </w:rPr>
        <w:t>Guide for Assessing the Security Controls in Federal Information Systems and Organizations, Building Effective Security Assessment Plans</w:t>
      </w:r>
      <w:r w:rsidRPr="00C56CC7">
        <w:t>,</w:t>
      </w:r>
      <w:r w:rsidRPr="00C56CC7">
        <w:rPr>
          <w:i/>
        </w:rPr>
        <w:t xml:space="preserve"> </w:t>
      </w:r>
      <w:r w:rsidRPr="00C56CC7">
        <w:t xml:space="preserve">which enables the assessment techniques applicable to SCRM controls (NIST SP 800-53A Rev. 4); and NIST Special Publication 800-161, which refines the multi-tiered risk management approach of NIST SP 800-39 by providing SCRM guidance at the Organization, Mission, and Information System Tiers, and also contains an enhanced overlay of special SCRM controls, building on NIST SP 800-53 Rev. 4. </w:t>
      </w:r>
    </w:p>
  </w:footnote>
  <w:footnote w:id="31">
    <w:p w14:paraId="447E9F02" w14:textId="1229D2E8" w:rsidR="009520B4" w:rsidRPr="00C56CC7" w:rsidRDefault="009520B4" w:rsidP="00895F48">
      <w:pPr>
        <w:pStyle w:val="FootnoteText"/>
      </w:pPr>
      <w:r w:rsidRPr="00C56CC7">
        <w:rPr>
          <w:rStyle w:val="FootnoteReference"/>
        </w:rPr>
        <w:footnoteRef/>
      </w:r>
      <w:r w:rsidRPr="00C56CC7">
        <w:t xml:space="preserve"> National Institute of Standards and Technology, </w:t>
      </w:r>
      <w:r w:rsidRPr="00C56CC7">
        <w:rPr>
          <w:i/>
        </w:rPr>
        <w:t>Cybersecurity Framework</w:t>
      </w:r>
      <w:r w:rsidRPr="00C56CC7">
        <w:t xml:space="preserve">, </w:t>
      </w:r>
      <w:r w:rsidR="00895F48" w:rsidRPr="00C56CC7">
        <w:t>https://www.nist.gov/cyberframework</w:t>
      </w:r>
      <w:r w:rsidRPr="00C56CC7">
        <w:t xml:space="preserve"> (last visited Nov. 8, 2016); Press Release, Office of the Press Secretary, Statement by the President on the Report of the Commission on Enhancing National Cybersecurity (Dec. 2, 2016), https://www.whitehouse.gov/the-press-office/2016/12/02/statement-president-report-commission-enhancing-national-cybersecurity (supporting the recommendation of the nonpartisan Commission on Enhancing National Cybersecurity to expand </w:t>
      </w:r>
      <w:r w:rsidR="00FF388A" w:rsidRPr="00C56CC7">
        <w:t>the use of the NIST CSF</w:t>
      </w:r>
      <w:r w:rsidRPr="00C56CC7">
        <w:t xml:space="preserve"> “in the Federal government, the private sector, and abroad”). </w:t>
      </w:r>
      <w:r w:rsidR="00FF388A" w:rsidRPr="00C56CC7">
        <w:t xml:space="preserve"> </w:t>
      </w:r>
      <w:r w:rsidRPr="00C56CC7">
        <w:rPr>
          <w:i/>
        </w:rPr>
        <w:t xml:space="preserve">See generally </w:t>
      </w:r>
      <w:r w:rsidRPr="00C56CC7">
        <w:t xml:space="preserve">National Institute of Standards and Technology, Framework for Improving Critical Infrastructure Cybersecurity (2014), https://www.nist.gov/sites/default/files/documents/cyberframework/cybersecurity-framework-021214.pdf. </w:t>
      </w:r>
    </w:p>
  </w:footnote>
  <w:footnote w:id="32">
    <w:p w14:paraId="48A6FAE0" w14:textId="61F956E5" w:rsidR="009520B4" w:rsidRPr="00C56CC7" w:rsidRDefault="009520B4" w:rsidP="00895F48">
      <w:pPr>
        <w:pStyle w:val="FootnoteText"/>
      </w:pPr>
      <w:r w:rsidRPr="00C56CC7">
        <w:rPr>
          <w:rStyle w:val="FootnoteReference"/>
        </w:rPr>
        <w:footnoteRef/>
      </w:r>
      <w:r w:rsidRPr="00C56CC7">
        <w:t xml:space="preserve"> National Institute of Standards and Technology, </w:t>
      </w:r>
      <w:r w:rsidRPr="00C56CC7">
        <w:rPr>
          <w:i/>
        </w:rPr>
        <w:t>Framework for Improving Critical Infrastructure Cybersecurity</w:t>
      </w:r>
      <w:r w:rsidRPr="00C56CC7">
        <w:t xml:space="preserve"> at 8-9 (2014), https://www.nist.gov/sites/default/files/documents/cyberframework/cybersecurity-framework-021214.pdf. </w:t>
      </w:r>
    </w:p>
  </w:footnote>
  <w:footnote w:id="33">
    <w:p w14:paraId="48F33379" w14:textId="4C5FC6DA" w:rsidR="009520B4" w:rsidRPr="00C56CC7" w:rsidRDefault="009520B4" w:rsidP="00895F48">
      <w:pPr>
        <w:pStyle w:val="FootnoteText"/>
      </w:pPr>
      <w:r w:rsidRPr="00C56CC7">
        <w:rPr>
          <w:rStyle w:val="FootnoteReference"/>
        </w:rPr>
        <w:footnoteRef/>
      </w:r>
      <w:r w:rsidRPr="00C56CC7">
        <w:t xml:space="preserve"> </w:t>
      </w:r>
      <w:r w:rsidRPr="00C56CC7">
        <w:rPr>
          <w:i/>
        </w:rPr>
        <w:t xml:space="preserve">See </w:t>
      </w:r>
      <w:r w:rsidRPr="00C56CC7">
        <w:t>Broadband Internet Technical Advisory Group</w:t>
      </w:r>
      <w:r w:rsidR="00895F48" w:rsidRPr="00C56CC7">
        <w:t xml:space="preserve"> (BITAG)</w:t>
      </w:r>
      <w:r w:rsidRPr="00C56CC7">
        <w:t xml:space="preserve">, Internet of Things (IoT) Security and Privacy Recommendations: A Broadband Internet Technical Advisory Group Technical Working Group Report at 22 (2016), https://www.bitag.org/documents/BITAG_Report_-_Internet_of_Things_(IoT)_Security_and_Privacy_Recommendations.pdf (BITAG Report).  The BITAG </w:t>
      </w:r>
      <w:r w:rsidR="00FF388A" w:rsidRPr="00C56CC7">
        <w:t>R</w:t>
      </w:r>
      <w:r w:rsidRPr="00C56CC7">
        <w:t xml:space="preserve">eport maintains that IoT devices should support recent best practices for IP addressing and the use of the Domain Name System, and support the most recent version of the Internet Protocol, IPv6.  </w:t>
      </w:r>
    </w:p>
  </w:footnote>
  <w:footnote w:id="34">
    <w:p w14:paraId="70487245" w14:textId="67DE4A74" w:rsidR="009520B4" w:rsidRPr="00C56CC7" w:rsidRDefault="009520B4" w:rsidP="00895F48">
      <w:pPr>
        <w:pStyle w:val="FootnoteText"/>
      </w:pPr>
      <w:r w:rsidRPr="00C56CC7">
        <w:rPr>
          <w:rStyle w:val="FootnoteReference"/>
        </w:rPr>
        <w:footnoteRef/>
      </w:r>
      <w:r w:rsidRPr="00C56CC7">
        <w:t xml:space="preserve"> Public safety professionals need immediate access to critical information from the wide variety of systems technology available (</w:t>
      </w:r>
      <w:r w:rsidRPr="00C56CC7">
        <w:rPr>
          <w:i/>
        </w:rPr>
        <w:t>e.g.</w:t>
      </w:r>
      <w:r w:rsidRPr="00C56CC7">
        <w:t xml:space="preserve">, portable computers, tablets and smartphones) to make the best possible decisions and protect themselves and the public. </w:t>
      </w:r>
      <w:r w:rsidR="00FF388A" w:rsidRPr="00C56CC7">
        <w:t xml:space="preserve"> </w:t>
      </w:r>
      <w:r w:rsidRPr="00C56CC7">
        <w:t xml:space="preserve">Work continues to be done with the purpose of resolving these access and security issues, often referred to as Identity, Credential, and Access Management (ICAM). </w:t>
      </w:r>
      <w:r w:rsidR="00FF388A" w:rsidRPr="00C56CC7">
        <w:t xml:space="preserve"> </w:t>
      </w:r>
      <w:r w:rsidRPr="00C56CC7">
        <w:rPr>
          <w:i/>
        </w:rPr>
        <w:t xml:space="preserve">See </w:t>
      </w:r>
      <w:r w:rsidRPr="00C56CC7">
        <w:t xml:space="preserve">First Responder Network Authority, http://www.firstnet.gov/newsroom/blog/psac-completes-icam-and-local-control-task-teams (last visited Oct. 19, 2016). </w:t>
      </w:r>
      <w:r w:rsidR="00FF388A" w:rsidRPr="00C56CC7">
        <w:t xml:space="preserve"> </w:t>
      </w:r>
      <w:r w:rsidRPr="00C56CC7">
        <w:t xml:space="preserve">Several public safety network initiatives, such as FirstNet and NENA’s NG911 project, continue to work towards an interoperable ICAM solution for next generation public safety networks. </w:t>
      </w:r>
      <w:r w:rsidR="00FF388A" w:rsidRPr="00C56CC7">
        <w:t xml:space="preserve"> </w:t>
      </w:r>
      <w:r w:rsidRPr="00C56CC7">
        <w:rPr>
          <w:i/>
        </w:rPr>
        <w:t xml:space="preserve">See generally </w:t>
      </w:r>
      <w:r w:rsidRPr="00C56CC7">
        <w:t xml:space="preserve">Identity, Credential, and Access Management, Recommended Principles and Actions Report (2015), </w:t>
      </w:r>
      <w:r w:rsidRPr="00C56CC7">
        <w:rPr>
          <w:rStyle w:val="HTMLCite"/>
          <w:i w:val="0"/>
        </w:rPr>
        <w:t>https://www.ise.gov/sites/default/files/ICAM_Summit_Report.pdf</w:t>
      </w:r>
      <w:r w:rsidRPr="00C56CC7">
        <w:rPr>
          <w:rStyle w:val="HTMLCite"/>
        </w:rPr>
        <w:t xml:space="preserve">. </w:t>
      </w:r>
      <w:r w:rsidRPr="00C56CC7">
        <w:rPr>
          <w:i/>
        </w:rPr>
        <w:t xml:space="preserve"> </w:t>
      </w:r>
    </w:p>
  </w:footnote>
  <w:footnote w:id="35">
    <w:p w14:paraId="2654AB51" w14:textId="55DB2446" w:rsidR="009520B4" w:rsidRPr="00C56CC7" w:rsidRDefault="009520B4" w:rsidP="00895F48">
      <w:pPr>
        <w:pStyle w:val="FootnoteText"/>
        <w:rPr>
          <w:i/>
        </w:rPr>
      </w:pPr>
      <w:r w:rsidRPr="00C56CC7">
        <w:rPr>
          <w:rStyle w:val="FootnoteReference"/>
        </w:rPr>
        <w:footnoteRef/>
      </w:r>
      <w:r w:rsidRPr="00C56CC7">
        <w:t xml:space="preserve"> 47 CFR §</w:t>
      </w:r>
      <w:r w:rsidR="00FF388A" w:rsidRPr="00C56CC7">
        <w:t xml:space="preserve"> </w:t>
      </w:r>
      <w:r w:rsidRPr="00C56CC7">
        <w:t xml:space="preserve">1.1200 </w:t>
      </w:r>
      <w:r w:rsidRPr="00C56CC7">
        <w:rPr>
          <w:i/>
        </w:rPr>
        <w:t>et seq.</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BC99B" w14:textId="77777777" w:rsidR="001D6F07" w:rsidRDefault="001D6F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BCD4" w14:textId="00BDA9C8" w:rsidR="009520B4" w:rsidRPr="00C77876" w:rsidRDefault="009520B4" w:rsidP="00B36A19">
    <w:pPr>
      <w:pStyle w:val="Header"/>
    </w:pPr>
    <w:r>
      <w:tab/>
    </w:r>
    <w:r w:rsidRPr="00B36A19">
      <w:t>Federal Communications Commission</w:t>
    </w:r>
    <w:r w:rsidRPr="00B36A19">
      <w:tab/>
      <w:t>DA 16-</w:t>
    </w:r>
    <w:r w:rsidR="00993750">
      <w:t>1282</w:t>
    </w:r>
  </w:p>
  <w:p w14:paraId="0720C984" w14:textId="77777777" w:rsidR="009520B4" w:rsidRDefault="009520B4">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14:anchorId="382A8734" wp14:editId="52919B33">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32E0" id="Rectangle 1"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14:paraId="0FDF7EC9" w14:textId="77777777" w:rsidR="009520B4" w:rsidRDefault="009520B4">
    <w:pPr>
      <w:spacing w:after="389" w:line="100" w:lineRule="exact"/>
      <w:rPr>
        <w:sz w:val="1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5732B" w14:textId="2947D5C6" w:rsidR="009520B4" w:rsidRDefault="009520B4" w:rsidP="00B36A19">
    <w:pPr>
      <w:pStyle w:val="Header"/>
    </w:pPr>
    <w:r>
      <w:rPr>
        <w:noProof/>
      </w:rPr>
      <mc:AlternateContent>
        <mc:Choice Requires="wps">
          <w:drawing>
            <wp:anchor distT="0" distB="0" distL="114300" distR="114300" simplePos="0" relativeHeight="251658241" behindDoc="1" locked="0" layoutInCell="0" allowOverlap="1" wp14:anchorId="36FBCE0B" wp14:editId="751C3FA7">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D7735" id="Rectangle 3" o:spid="_x0000_s1026" style="position:absolute;margin-left:.6pt;margin-top:12.65pt;width:468pt;height:.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ab/>
      <w:t>Federal Communications Commission</w:t>
    </w:r>
    <w:r>
      <w:tab/>
    </w:r>
    <w:r>
      <w:rPr>
        <w:spacing w:val="-2"/>
      </w:rPr>
      <w:t>DA 16-</w:t>
    </w:r>
    <w:r w:rsidR="00993750">
      <w:rPr>
        <w:spacing w:val="-2"/>
      </w:rPr>
      <w:t>1282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3A28B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1CE3E26"/>
    <w:multiLevelType w:val="hybridMultilevel"/>
    <w:tmpl w:val="E6D07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4502CC"/>
    <w:multiLevelType w:val="hybridMultilevel"/>
    <w:tmpl w:val="3F3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95A2DA3C"/>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F66F1F"/>
    <w:multiLevelType w:val="hybridMultilevel"/>
    <w:tmpl w:val="703C0BE4"/>
    <w:lvl w:ilvl="0" w:tplc="3244DD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53AD4F97"/>
    <w:multiLevelType w:val="hybridMultilevel"/>
    <w:tmpl w:val="A0E6FE24"/>
    <w:lvl w:ilvl="0" w:tplc="EC8427DC">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nsid w:val="5DD86CB5"/>
    <w:multiLevelType w:val="hybridMultilevel"/>
    <w:tmpl w:val="5A04A068"/>
    <w:lvl w:ilvl="0" w:tplc="387A01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3"/>
  </w:num>
  <w:num w:numId="2">
    <w:abstractNumId w:val="1"/>
  </w:num>
  <w:num w:numId="3">
    <w:abstractNumId w:val="14"/>
  </w:num>
  <w:num w:numId="4">
    <w:abstractNumId w:val="8"/>
  </w:num>
  <w:num w:numId="5">
    <w:abstractNumId w:val="0"/>
  </w:num>
  <w:num w:numId="6">
    <w:abstractNumId w:val="11"/>
  </w:num>
  <w:num w:numId="7">
    <w:abstractNumId w:val="12"/>
    <w:lvlOverride w:ilvl="0">
      <w:startOverride w:val="1"/>
    </w:lvlOverride>
  </w:num>
  <w:num w:numId="8">
    <w:abstractNumId w:val="7"/>
  </w:num>
  <w:num w:numId="9">
    <w:abstractNumId w:val="5"/>
  </w:num>
  <w:num w:numId="10">
    <w:abstractNumId w:val="10"/>
  </w:num>
  <w:num w:numId="11">
    <w:abstractNumId w:val="6"/>
  </w:num>
  <w:num w:numId="12">
    <w:abstractNumId w:val="2"/>
  </w:num>
  <w:num w:numId="13">
    <w:abstractNumId w:val="13"/>
    <w:lvlOverride w:ilvl="0">
      <w:startOverride w:val="1"/>
    </w:lvlOverride>
  </w:num>
  <w:num w:numId="14">
    <w:abstractNumId w:val="9"/>
  </w:num>
  <w:num w:numId="15">
    <w:abstractNumId w:val="4"/>
  </w:num>
  <w:num w:numId="16">
    <w:abstractNumId w:val="13"/>
  </w:num>
  <w:num w:numId="17">
    <w:abstractNumId w:val="13"/>
  </w:num>
  <w:num w:numId="18">
    <w:abstractNumId w:val="3"/>
  </w:num>
  <w:num w:numId="19">
    <w:abstractNumId w:val="13"/>
  </w:num>
  <w:num w:numId="20">
    <w:abstractNumId w:val="13"/>
    <w:lvlOverride w:ilvl="0">
      <w:startOverride w:val="1"/>
    </w:lvlOverride>
  </w:num>
  <w:num w:numId="21">
    <w:abstractNumId w:val="13"/>
  </w:num>
  <w:num w:numId="22">
    <w:abstractNumId w:val="7"/>
  </w:num>
  <w:num w:numId="23">
    <w:abstractNumId w:val="7"/>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7"/>
  </w:num>
  <w:num w:numId="34">
    <w:abstractNumId w:val="7"/>
  </w:num>
  <w:num w:numId="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FB"/>
    <w:rsid w:val="000004B2"/>
    <w:rsid w:val="00000577"/>
    <w:rsid w:val="00001441"/>
    <w:rsid w:val="00004B4E"/>
    <w:rsid w:val="00005AFB"/>
    <w:rsid w:val="00006C7C"/>
    <w:rsid w:val="00011BAC"/>
    <w:rsid w:val="00011E6C"/>
    <w:rsid w:val="00015214"/>
    <w:rsid w:val="000156A4"/>
    <w:rsid w:val="000167C2"/>
    <w:rsid w:val="00016ED8"/>
    <w:rsid w:val="00017A19"/>
    <w:rsid w:val="00017F81"/>
    <w:rsid w:val="000202FA"/>
    <w:rsid w:val="00020851"/>
    <w:rsid w:val="00020CC6"/>
    <w:rsid w:val="00020CD1"/>
    <w:rsid w:val="00021A01"/>
    <w:rsid w:val="00022E44"/>
    <w:rsid w:val="0002313E"/>
    <w:rsid w:val="00023E84"/>
    <w:rsid w:val="000240B2"/>
    <w:rsid w:val="0002415B"/>
    <w:rsid w:val="00024824"/>
    <w:rsid w:val="00024CD0"/>
    <w:rsid w:val="000255BA"/>
    <w:rsid w:val="00025F7B"/>
    <w:rsid w:val="00026B34"/>
    <w:rsid w:val="000279A8"/>
    <w:rsid w:val="0003083C"/>
    <w:rsid w:val="00031994"/>
    <w:rsid w:val="00032753"/>
    <w:rsid w:val="00034C3C"/>
    <w:rsid w:val="00035E4E"/>
    <w:rsid w:val="00036038"/>
    <w:rsid w:val="00036039"/>
    <w:rsid w:val="000364C5"/>
    <w:rsid w:val="00037913"/>
    <w:rsid w:val="00037F90"/>
    <w:rsid w:val="00042937"/>
    <w:rsid w:val="000438BA"/>
    <w:rsid w:val="00044236"/>
    <w:rsid w:val="00044FA0"/>
    <w:rsid w:val="00045071"/>
    <w:rsid w:val="00045967"/>
    <w:rsid w:val="0004597D"/>
    <w:rsid w:val="00045BFE"/>
    <w:rsid w:val="00047806"/>
    <w:rsid w:val="00047E9D"/>
    <w:rsid w:val="0005101D"/>
    <w:rsid w:val="000521EF"/>
    <w:rsid w:val="00052976"/>
    <w:rsid w:val="000529F7"/>
    <w:rsid w:val="00053979"/>
    <w:rsid w:val="00054EBC"/>
    <w:rsid w:val="00055A25"/>
    <w:rsid w:val="00056D46"/>
    <w:rsid w:val="00060963"/>
    <w:rsid w:val="00062180"/>
    <w:rsid w:val="00062377"/>
    <w:rsid w:val="0006257F"/>
    <w:rsid w:val="00063366"/>
    <w:rsid w:val="0006455E"/>
    <w:rsid w:val="000660AE"/>
    <w:rsid w:val="00066340"/>
    <w:rsid w:val="000664DD"/>
    <w:rsid w:val="000664F9"/>
    <w:rsid w:val="00067BFC"/>
    <w:rsid w:val="00070077"/>
    <w:rsid w:val="00075082"/>
    <w:rsid w:val="00075D72"/>
    <w:rsid w:val="0007696A"/>
    <w:rsid w:val="00077365"/>
    <w:rsid w:val="00077CDD"/>
    <w:rsid w:val="000812BD"/>
    <w:rsid w:val="000819A7"/>
    <w:rsid w:val="00081B30"/>
    <w:rsid w:val="00081C87"/>
    <w:rsid w:val="000824D3"/>
    <w:rsid w:val="00083208"/>
    <w:rsid w:val="00084206"/>
    <w:rsid w:val="0008468D"/>
    <w:rsid w:val="000855BE"/>
    <w:rsid w:val="00085863"/>
    <w:rsid w:val="00086A28"/>
    <w:rsid w:val="00087183"/>
    <w:rsid w:val="000875BF"/>
    <w:rsid w:val="00090819"/>
    <w:rsid w:val="00091A7F"/>
    <w:rsid w:val="000921AD"/>
    <w:rsid w:val="000923B1"/>
    <w:rsid w:val="000928B6"/>
    <w:rsid w:val="0009352B"/>
    <w:rsid w:val="00093B22"/>
    <w:rsid w:val="00093DEC"/>
    <w:rsid w:val="000956B5"/>
    <w:rsid w:val="0009619D"/>
    <w:rsid w:val="00096D22"/>
    <w:rsid w:val="00096D8C"/>
    <w:rsid w:val="000A00A0"/>
    <w:rsid w:val="000A04E8"/>
    <w:rsid w:val="000A0A54"/>
    <w:rsid w:val="000A1464"/>
    <w:rsid w:val="000A158E"/>
    <w:rsid w:val="000A2375"/>
    <w:rsid w:val="000A2452"/>
    <w:rsid w:val="000A297E"/>
    <w:rsid w:val="000A2C12"/>
    <w:rsid w:val="000A3EF3"/>
    <w:rsid w:val="000A47C4"/>
    <w:rsid w:val="000A7294"/>
    <w:rsid w:val="000B17DE"/>
    <w:rsid w:val="000B21F0"/>
    <w:rsid w:val="000B2B84"/>
    <w:rsid w:val="000B2DC9"/>
    <w:rsid w:val="000B32D3"/>
    <w:rsid w:val="000B5D08"/>
    <w:rsid w:val="000B7708"/>
    <w:rsid w:val="000B7EFF"/>
    <w:rsid w:val="000C0576"/>
    <w:rsid w:val="000C0850"/>
    <w:rsid w:val="000C0B65"/>
    <w:rsid w:val="000C3A2A"/>
    <w:rsid w:val="000C4145"/>
    <w:rsid w:val="000C52D5"/>
    <w:rsid w:val="000C58A4"/>
    <w:rsid w:val="000C5E25"/>
    <w:rsid w:val="000C5EC8"/>
    <w:rsid w:val="000C668E"/>
    <w:rsid w:val="000D27E5"/>
    <w:rsid w:val="000D4AAC"/>
    <w:rsid w:val="000D4DE0"/>
    <w:rsid w:val="000D55FF"/>
    <w:rsid w:val="000D7B85"/>
    <w:rsid w:val="000E05FE"/>
    <w:rsid w:val="000E097A"/>
    <w:rsid w:val="000E140B"/>
    <w:rsid w:val="000E1F0D"/>
    <w:rsid w:val="000E2B6F"/>
    <w:rsid w:val="000E2DDB"/>
    <w:rsid w:val="000E3D42"/>
    <w:rsid w:val="000E5775"/>
    <w:rsid w:val="000E61B1"/>
    <w:rsid w:val="000E7579"/>
    <w:rsid w:val="000E79C5"/>
    <w:rsid w:val="000F0777"/>
    <w:rsid w:val="000F0FF8"/>
    <w:rsid w:val="000F13A1"/>
    <w:rsid w:val="000F2F01"/>
    <w:rsid w:val="000F46C8"/>
    <w:rsid w:val="000F4A1F"/>
    <w:rsid w:val="000F52DB"/>
    <w:rsid w:val="000F6E9B"/>
    <w:rsid w:val="0010009C"/>
    <w:rsid w:val="001006D9"/>
    <w:rsid w:val="00100A17"/>
    <w:rsid w:val="00100C1C"/>
    <w:rsid w:val="0010200E"/>
    <w:rsid w:val="001027D8"/>
    <w:rsid w:val="00102C7F"/>
    <w:rsid w:val="00104439"/>
    <w:rsid w:val="00105DC5"/>
    <w:rsid w:val="00106560"/>
    <w:rsid w:val="00107308"/>
    <w:rsid w:val="00110197"/>
    <w:rsid w:val="001126FF"/>
    <w:rsid w:val="00113E40"/>
    <w:rsid w:val="00114159"/>
    <w:rsid w:val="001152B3"/>
    <w:rsid w:val="0011694B"/>
    <w:rsid w:val="00117BC5"/>
    <w:rsid w:val="00117FAC"/>
    <w:rsid w:val="001201B1"/>
    <w:rsid w:val="00122BD5"/>
    <w:rsid w:val="001240F0"/>
    <w:rsid w:val="001252FE"/>
    <w:rsid w:val="001259B1"/>
    <w:rsid w:val="00125AFF"/>
    <w:rsid w:val="001264BE"/>
    <w:rsid w:val="001279F0"/>
    <w:rsid w:val="00130428"/>
    <w:rsid w:val="0013127F"/>
    <w:rsid w:val="001315CB"/>
    <w:rsid w:val="00131A95"/>
    <w:rsid w:val="00133EB3"/>
    <w:rsid w:val="00133F79"/>
    <w:rsid w:val="001342FF"/>
    <w:rsid w:val="00134A39"/>
    <w:rsid w:val="00134FB8"/>
    <w:rsid w:val="0013539A"/>
    <w:rsid w:val="00136E2F"/>
    <w:rsid w:val="00137BB9"/>
    <w:rsid w:val="00137C85"/>
    <w:rsid w:val="001412A8"/>
    <w:rsid w:val="001416D6"/>
    <w:rsid w:val="001426D2"/>
    <w:rsid w:val="00142E39"/>
    <w:rsid w:val="00143186"/>
    <w:rsid w:val="00143519"/>
    <w:rsid w:val="00143533"/>
    <w:rsid w:val="0014420C"/>
    <w:rsid w:val="00146508"/>
    <w:rsid w:val="0015020E"/>
    <w:rsid w:val="0015058E"/>
    <w:rsid w:val="001505E6"/>
    <w:rsid w:val="0015131B"/>
    <w:rsid w:val="00152329"/>
    <w:rsid w:val="00152C7F"/>
    <w:rsid w:val="00152DEF"/>
    <w:rsid w:val="0015368A"/>
    <w:rsid w:val="00153E22"/>
    <w:rsid w:val="0015511F"/>
    <w:rsid w:val="00157018"/>
    <w:rsid w:val="00161243"/>
    <w:rsid w:val="00161A37"/>
    <w:rsid w:val="00161C3A"/>
    <w:rsid w:val="00162AB3"/>
    <w:rsid w:val="00163762"/>
    <w:rsid w:val="00167594"/>
    <w:rsid w:val="0016795F"/>
    <w:rsid w:val="00167B84"/>
    <w:rsid w:val="00170CE0"/>
    <w:rsid w:val="00171150"/>
    <w:rsid w:val="001713B3"/>
    <w:rsid w:val="00172250"/>
    <w:rsid w:val="0017270F"/>
    <w:rsid w:val="00174490"/>
    <w:rsid w:val="001745CC"/>
    <w:rsid w:val="00174E3B"/>
    <w:rsid w:val="00176914"/>
    <w:rsid w:val="001774C4"/>
    <w:rsid w:val="00181851"/>
    <w:rsid w:val="00182DA2"/>
    <w:rsid w:val="00187A63"/>
    <w:rsid w:val="00187B0C"/>
    <w:rsid w:val="00187B8D"/>
    <w:rsid w:val="00190BC9"/>
    <w:rsid w:val="001920A3"/>
    <w:rsid w:val="00192682"/>
    <w:rsid w:val="001939FB"/>
    <w:rsid w:val="00194A66"/>
    <w:rsid w:val="00194AE8"/>
    <w:rsid w:val="001977D5"/>
    <w:rsid w:val="001A05AE"/>
    <w:rsid w:val="001A0C30"/>
    <w:rsid w:val="001A0DD8"/>
    <w:rsid w:val="001A12C2"/>
    <w:rsid w:val="001A2634"/>
    <w:rsid w:val="001A268A"/>
    <w:rsid w:val="001A33E2"/>
    <w:rsid w:val="001A43C5"/>
    <w:rsid w:val="001A4737"/>
    <w:rsid w:val="001A4C0A"/>
    <w:rsid w:val="001A5C4C"/>
    <w:rsid w:val="001A5E08"/>
    <w:rsid w:val="001A65A2"/>
    <w:rsid w:val="001A6DCC"/>
    <w:rsid w:val="001A7114"/>
    <w:rsid w:val="001B2BFF"/>
    <w:rsid w:val="001B2DB0"/>
    <w:rsid w:val="001B2FB1"/>
    <w:rsid w:val="001B3637"/>
    <w:rsid w:val="001B5066"/>
    <w:rsid w:val="001B5902"/>
    <w:rsid w:val="001B6E0D"/>
    <w:rsid w:val="001B74C4"/>
    <w:rsid w:val="001C0FA4"/>
    <w:rsid w:val="001C0FDD"/>
    <w:rsid w:val="001C126B"/>
    <w:rsid w:val="001C1DF8"/>
    <w:rsid w:val="001C2A9D"/>
    <w:rsid w:val="001C637F"/>
    <w:rsid w:val="001C68D8"/>
    <w:rsid w:val="001C6CB8"/>
    <w:rsid w:val="001C733A"/>
    <w:rsid w:val="001D1C4D"/>
    <w:rsid w:val="001D203D"/>
    <w:rsid w:val="001D271D"/>
    <w:rsid w:val="001D43D1"/>
    <w:rsid w:val="001D4777"/>
    <w:rsid w:val="001D62BD"/>
    <w:rsid w:val="001D6BCF"/>
    <w:rsid w:val="001D6F07"/>
    <w:rsid w:val="001E01CA"/>
    <w:rsid w:val="001E0B81"/>
    <w:rsid w:val="001E180B"/>
    <w:rsid w:val="001E28D7"/>
    <w:rsid w:val="001E2EEE"/>
    <w:rsid w:val="001E39A2"/>
    <w:rsid w:val="001E3A05"/>
    <w:rsid w:val="001E4ACF"/>
    <w:rsid w:val="001E5421"/>
    <w:rsid w:val="001E56B5"/>
    <w:rsid w:val="001E5A70"/>
    <w:rsid w:val="001E728F"/>
    <w:rsid w:val="001F049E"/>
    <w:rsid w:val="001F0830"/>
    <w:rsid w:val="001F17BE"/>
    <w:rsid w:val="001F1C84"/>
    <w:rsid w:val="001F379F"/>
    <w:rsid w:val="001F4983"/>
    <w:rsid w:val="001F5726"/>
    <w:rsid w:val="001F5AC9"/>
    <w:rsid w:val="001F6CC3"/>
    <w:rsid w:val="001F7A1C"/>
    <w:rsid w:val="00200C93"/>
    <w:rsid w:val="00203974"/>
    <w:rsid w:val="00204DEE"/>
    <w:rsid w:val="00205099"/>
    <w:rsid w:val="0020631D"/>
    <w:rsid w:val="00206DEF"/>
    <w:rsid w:val="00210B88"/>
    <w:rsid w:val="00211FC3"/>
    <w:rsid w:val="00212076"/>
    <w:rsid w:val="00214045"/>
    <w:rsid w:val="002147AE"/>
    <w:rsid w:val="0021503F"/>
    <w:rsid w:val="00215D9A"/>
    <w:rsid w:val="00215E87"/>
    <w:rsid w:val="00216237"/>
    <w:rsid w:val="00216AE9"/>
    <w:rsid w:val="00216BA5"/>
    <w:rsid w:val="002206B7"/>
    <w:rsid w:val="0022092F"/>
    <w:rsid w:val="00220999"/>
    <w:rsid w:val="00221462"/>
    <w:rsid w:val="0022177F"/>
    <w:rsid w:val="00222843"/>
    <w:rsid w:val="00222AFE"/>
    <w:rsid w:val="00223534"/>
    <w:rsid w:val="0023036B"/>
    <w:rsid w:val="0023254D"/>
    <w:rsid w:val="00232F2B"/>
    <w:rsid w:val="00233E54"/>
    <w:rsid w:val="00234A82"/>
    <w:rsid w:val="00241D00"/>
    <w:rsid w:val="0024320F"/>
    <w:rsid w:val="00244933"/>
    <w:rsid w:val="00245AB6"/>
    <w:rsid w:val="00245F4C"/>
    <w:rsid w:val="002466C5"/>
    <w:rsid w:val="00246D11"/>
    <w:rsid w:val="0024766E"/>
    <w:rsid w:val="00250226"/>
    <w:rsid w:val="002508EF"/>
    <w:rsid w:val="00251022"/>
    <w:rsid w:val="00252069"/>
    <w:rsid w:val="00252695"/>
    <w:rsid w:val="0025300B"/>
    <w:rsid w:val="00253026"/>
    <w:rsid w:val="002546F0"/>
    <w:rsid w:val="00254F99"/>
    <w:rsid w:val="00256056"/>
    <w:rsid w:val="002564FF"/>
    <w:rsid w:val="0026095E"/>
    <w:rsid w:val="00260D0B"/>
    <w:rsid w:val="00261AC6"/>
    <w:rsid w:val="00261BA0"/>
    <w:rsid w:val="00261D65"/>
    <w:rsid w:val="00262096"/>
    <w:rsid w:val="0026491D"/>
    <w:rsid w:val="00265C81"/>
    <w:rsid w:val="002701E2"/>
    <w:rsid w:val="00270842"/>
    <w:rsid w:val="00271416"/>
    <w:rsid w:val="0027144F"/>
    <w:rsid w:val="0027146C"/>
    <w:rsid w:val="00271D56"/>
    <w:rsid w:val="00274B51"/>
    <w:rsid w:val="00274F5A"/>
    <w:rsid w:val="002751A1"/>
    <w:rsid w:val="00275A88"/>
    <w:rsid w:val="00275CF5"/>
    <w:rsid w:val="002771EB"/>
    <w:rsid w:val="00277325"/>
    <w:rsid w:val="00281792"/>
    <w:rsid w:val="002826CF"/>
    <w:rsid w:val="00282ADF"/>
    <w:rsid w:val="0028301F"/>
    <w:rsid w:val="0028333D"/>
    <w:rsid w:val="00283439"/>
    <w:rsid w:val="0028454C"/>
    <w:rsid w:val="00285017"/>
    <w:rsid w:val="002853DF"/>
    <w:rsid w:val="00285EFD"/>
    <w:rsid w:val="002879C7"/>
    <w:rsid w:val="00290178"/>
    <w:rsid w:val="00290596"/>
    <w:rsid w:val="002906A8"/>
    <w:rsid w:val="002909FB"/>
    <w:rsid w:val="00291485"/>
    <w:rsid w:val="00291FAC"/>
    <w:rsid w:val="002928E1"/>
    <w:rsid w:val="0029439D"/>
    <w:rsid w:val="002943AB"/>
    <w:rsid w:val="00295082"/>
    <w:rsid w:val="00295BC4"/>
    <w:rsid w:val="002974ED"/>
    <w:rsid w:val="0029766F"/>
    <w:rsid w:val="00297BE4"/>
    <w:rsid w:val="002A0189"/>
    <w:rsid w:val="002A1633"/>
    <w:rsid w:val="002A1892"/>
    <w:rsid w:val="002A21D8"/>
    <w:rsid w:val="002A2D2E"/>
    <w:rsid w:val="002A334F"/>
    <w:rsid w:val="002A4475"/>
    <w:rsid w:val="002A722F"/>
    <w:rsid w:val="002A73AE"/>
    <w:rsid w:val="002B0301"/>
    <w:rsid w:val="002B0A4C"/>
    <w:rsid w:val="002B1620"/>
    <w:rsid w:val="002B204E"/>
    <w:rsid w:val="002B269C"/>
    <w:rsid w:val="002B2C8E"/>
    <w:rsid w:val="002B37D4"/>
    <w:rsid w:val="002B3ABF"/>
    <w:rsid w:val="002B4743"/>
    <w:rsid w:val="002B4B59"/>
    <w:rsid w:val="002B66B3"/>
    <w:rsid w:val="002C00E8"/>
    <w:rsid w:val="002C0A27"/>
    <w:rsid w:val="002C1468"/>
    <w:rsid w:val="002C1EB5"/>
    <w:rsid w:val="002C3D68"/>
    <w:rsid w:val="002C5535"/>
    <w:rsid w:val="002C55C8"/>
    <w:rsid w:val="002C5953"/>
    <w:rsid w:val="002C72C9"/>
    <w:rsid w:val="002D1658"/>
    <w:rsid w:val="002D17A1"/>
    <w:rsid w:val="002D32F4"/>
    <w:rsid w:val="002D390D"/>
    <w:rsid w:val="002D3C70"/>
    <w:rsid w:val="002D4613"/>
    <w:rsid w:val="002D492E"/>
    <w:rsid w:val="002D7C2F"/>
    <w:rsid w:val="002E0F98"/>
    <w:rsid w:val="002E1902"/>
    <w:rsid w:val="002E2A1D"/>
    <w:rsid w:val="002E2DB2"/>
    <w:rsid w:val="002E3F0B"/>
    <w:rsid w:val="002E6037"/>
    <w:rsid w:val="002E6E35"/>
    <w:rsid w:val="002E7741"/>
    <w:rsid w:val="002F3483"/>
    <w:rsid w:val="002F4AF8"/>
    <w:rsid w:val="002F629C"/>
    <w:rsid w:val="002F7DBB"/>
    <w:rsid w:val="00300DFB"/>
    <w:rsid w:val="003020C0"/>
    <w:rsid w:val="003022CA"/>
    <w:rsid w:val="003026EB"/>
    <w:rsid w:val="00302C95"/>
    <w:rsid w:val="00303E01"/>
    <w:rsid w:val="00305402"/>
    <w:rsid w:val="00305769"/>
    <w:rsid w:val="00306855"/>
    <w:rsid w:val="00310DFF"/>
    <w:rsid w:val="003117B0"/>
    <w:rsid w:val="003123F2"/>
    <w:rsid w:val="0031368A"/>
    <w:rsid w:val="00313E0A"/>
    <w:rsid w:val="003143F5"/>
    <w:rsid w:val="00315036"/>
    <w:rsid w:val="0031606C"/>
    <w:rsid w:val="0031653E"/>
    <w:rsid w:val="00316721"/>
    <w:rsid w:val="003174AB"/>
    <w:rsid w:val="003208BF"/>
    <w:rsid w:val="00321362"/>
    <w:rsid w:val="00323554"/>
    <w:rsid w:val="003251DB"/>
    <w:rsid w:val="0032602A"/>
    <w:rsid w:val="003264B0"/>
    <w:rsid w:val="003267D3"/>
    <w:rsid w:val="00327421"/>
    <w:rsid w:val="00331BAF"/>
    <w:rsid w:val="00332387"/>
    <w:rsid w:val="003325CF"/>
    <w:rsid w:val="00332713"/>
    <w:rsid w:val="00336D5A"/>
    <w:rsid w:val="00337040"/>
    <w:rsid w:val="00337A49"/>
    <w:rsid w:val="0034005F"/>
    <w:rsid w:val="00340276"/>
    <w:rsid w:val="0034139D"/>
    <w:rsid w:val="00341A30"/>
    <w:rsid w:val="0034214F"/>
    <w:rsid w:val="0034291D"/>
    <w:rsid w:val="003433B6"/>
    <w:rsid w:val="00343749"/>
    <w:rsid w:val="00343DC3"/>
    <w:rsid w:val="0034430F"/>
    <w:rsid w:val="00345139"/>
    <w:rsid w:val="00345F07"/>
    <w:rsid w:val="00346C0F"/>
    <w:rsid w:val="0034721E"/>
    <w:rsid w:val="003479D8"/>
    <w:rsid w:val="00350644"/>
    <w:rsid w:val="00350664"/>
    <w:rsid w:val="003509F9"/>
    <w:rsid w:val="00350C7E"/>
    <w:rsid w:val="003511BA"/>
    <w:rsid w:val="003513A2"/>
    <w:rsid w:val="00352995"/>
    <w:rsid w:val="00353054"/>
    <w:rsid w:val="0035312E"/>
    <w:rsid w:val="00354BE7"/>
    <w:rsid w:val="00355801"/>
    <w:rsid w:val="00355ED3"/>
    <w:rsid w:val="00356DEF"/>
    <w:rsid w:val="003574FA"/>
    <w:rsid w:val="0036021F"/>
    <w:rsid w:val="00360F14"/>
    <w:rsid w:val="003618E8"/>
    <w:rsid w:val="003620FA"/>
    <w:rsid w:val="00363343"/>
    <w:rsid w:val="00365218"/>
    <w:rsid w:val="003657D6"/>
    <w:rsid w:val="003660ED"/>
    <w:rsid w:val="00366556"/>
    <w:rsid w:val="00366A16"/>
    <w:rsid w:val="00370C19"/>
    <w:rsid w:val="0037233B"/>
    <w:rsid w:val="00372943"/>
    <w:rsid w:val="003738A0"/>
    <w:rsid w:val="00373CA9"/>
    <w:rsid w:val="003762C3"/>
    <w:rsid w:val="00377604"/>
    <w:rsid w:val="00377C5E"/>
    <w:rsid w:val="003804D4"/>
    <w:rsid w:val="003806A3"/>
    <w:rsid w:val="0038078D"/>
    <w:rsid w:val="00380C58"/>
    <w:rsid w:val="0038146B"/>
    <w:rsid w:val="003822BF"/>
    <w:rsid w:val="003825E8"/>
    <w:rsid w:val="003829F1"/>
    <w:rsid w:val="00382FB6"/>
    <w:rsid w:val="003833DE"/>
    <w:rsid w:val="003837A0"/>
    <w:rsid w:val="003855ED"/>
    <w:rsid w:val="003860B7"/>
    <w:rsid w:val="003877B9"/>
    <w:rsid w:val="0038785F"/>
    <w:rsid w:val="00390BA7"/>
    <w:rsid w:val="003924F8"/>
    <w:rsid w:val="003933B4"/>
    <w:rsid w:val="00394E6C"/>
    <w:rsid w:val="003954A5"/>
    <w:rsid w:val="00395A89"/>
    <w:rsid w:val="0039644C"/>
    <w:rsid w:val="00396AF0"/>
    <w:rsid w:val="00397FA1"/>
    <w:rsid w:val="003A0C86"/>
    <w:rsid w:val="003A1EBE"/>
    <w:rsid w:val="003A2544"/>
    <w:rsid w:val="003A3F30"/>
    <w:rsid w:val="003A47D4"/>
    <w:rsid w:val="003A6586"/>
    <w:rsid w:val="003A6725"/>
    <w:rsid w:val="003A6C43"/>
    <w:rsid w:val="003A7041"/>
    <w:rsid w:val="003A76AD"/>
    <w:rsid w:val="003A7E46"/>
    <w:rsid w:val="003B0550"/>
    <w:rsid w:val="003B1782"/>
    <w:rsid w:val="003B17EB"/>
    <w:rsid w:val="003B3ED7"/>
    <w:rsid w:val="003B5AA9"/>
    <w:rsid w:val="003B5FA9"/>
    <w:rsid w:val="003B62BB"/>
    <w:rsid w:val="003B694F"/>
    <w:rsid w:val="003B7219"/>
    <w:rsid w:val="003B7B44"/>
    <w:rsid w:val="003C08B6"/>
    <w:rsid w:val="003C1035"/>
    <w:rsid w:val="003C2636"/>
    <w:rsid w:val="003C3469"/>
    <w:rsid w:val="003C39BC"/>
    <w:rsid w:val="003C438E"/>
    <w:rsid w:val="003C457F"/>
    <w:rsid w:val="003C4F6B"/>
    <w:rsid w:val="003C641D"/>
    <w:rsid w:val="003C7060"/>
    <w:rsid w:val="003C7FF1"/>
    <w:rsid w:val="003D0059"/>
    <w:rsid w:val="003D0C70"/>
    <w:rsid w:val="003D1078"/>
    <w:rsid w:val="003D178B"/>
    <w:rsid w:val="003D2250"/>
    <w:rsid w:val="003D2F2D"/>
    <w:rsid w:val="003D441D"/>
    <w:rsid w:val="003D4C6D"/>
    <w:rsid w:val="003D53CF"/>
    <w:rsid w:val="003D68FD"/>
    <w:rsid w:val="003D6AE1"/>
    <w:rsid w:val="003D7060"/>
    <w:rsid w:val="003D77AC"/>
    <w:rsid w:val="003D7B8F"/>
    <w:rsid w:val="003E001F"/>
    <w:rsid w:val="003E0826"/>
    <w:rsid w:val="003E1CE6"/>
    <w:rsid w:val="003E1E74"/>
    <w:rsid w:val="003E25E6"/>
    <w:rsid w:val="003E3242"/>
    <w:rsid w:val="003E3706"/>
    <w:rsid w:val="003E39EC"/>
    <w:rsid w:val="003E3C20"/>
    <w:rsid w:val="003E42DF"/>
    <w:rsid w:val="003E5137"/>
    <w:rsid w:val="003E566A"/>
    <w:rsid w:val="003E575F"/>
    <w:rsid w:val="003E5F76"/>
    <w:rsid w:val="003E66D3"/>
    <w:rsid w:val="003E6B9B"/>
    <w:rsid w:val="003E77A7"/>
    <w:rsid w:val="003E79A2"/>
    <w:rsid w:val="003F0512"/>
    <w:rsid w:val="003F171C"/>
    <w:rsid w:val="003F25F3"/>
    <w:rsid w:val="003F3529"/>
    <w:rsid w:val="003F3851"/>
    <w:rsid w:val="003F4656"/>
    <w:rsid w:val="0040024E"/>
    <w:rsid w:val="00400445"/>
    <w:rsid w:val="00400537"/>
    <w:rsid w:val="00401C37"/>
    <w:rsid w:val="00402DC6"/>
    <w:rsid w:val="0040402E"/>
    <w:rsid w:val="00404A46"/>
    <w:rsid w:val="00405143"/>
    <w:rsid w:val="0040708B"/>
    <w:rsid w:val="0041010A"/>
    <w:rsid w:val="00410CAE"/>
    <w:rsid w:val="004112BA"/>
    <w:rsid w:val="00411B22"/>
    <w:rsid w:val="00412FC5"/>
    <w:rsid w:val="00414553"/>
    <w:rsid w:val="00417A80"/>
    <w:rsid w:val="00417DF0"/>
    <w:rsid w:val="00420994"/>
    <w:rsid w:val="00422276"/>
    <w:rsid w:val="00422C52"/>
    <w:rsid w:val="004242F1"/>
    <w:rsid w:val="00424A6F"/>
    <w:rsid w:val="004255A5"/>
    <w:rsid w:val="00425798"/>
    <w:rsid w:val="00427910"/>
    <w:rsid w:val="004318AF"/>
    <w:rsid w:val="00431F2A"/>
    <w:rsid w:val="00433DBD"/>
    <w:rsid w:val="0043460D"/>
    <w:rsid w:val="004351C2"/>
    <w:rsid w:val="00435640"/>
    <w:rsid w:val="00435845"/>
    <w:rsid w:val="0044023F"/>
    <w:rsid w:val="004419F5"/>
    <w:rsid w:val="004420BD"/>
    <w:rsid w:val="00442638"/>
    <w:rsid w:val="004429B9"/>
    <w:rsid w:val="00442D32"/>
    <w:rsid w:val="00442DE4"/>
    <w:rsid w:val="004435E3"/>
    <w:rsid w:val="004436E6"/>
    <w:rsid w:val="004436E8"/>
    <w:rsid w:val="0044463B"/>
    <w:rsid w:val="00444DE0"/>
    <w:rsid w:val="004459BD"/>
    <w:rsid w:val="00445A00"/>
    <w:rsid w:val="00446CFE"/>
    <w:rsid w:val="0044741F"/>
    <w:rsid w:val="00447867"/>
    <w:rsid w:val="00450CA1"/>
    <w:rsid w:val="0045150B"/>
    <w:rsid w:val="00451B0F"/>
    <w:rsid w:val="00451E9F"/>
    <w:rsid w:val="004529F7"/>
    <w:rsid w:val="00452AD3"/>
    <w:rsid w:val="0045405B"/>
    <w:rsid w:val="004541C2"/>
    <w:rsid w:val="004541F7"/>
    <w:rsid w:val="004552CA"/>
    <w:rsid w:val="00456794"/>
    <w:rsid w:val="004570AC"/>
    <w:rsid w:val="004573E8"/>
    <w:rsid w:val="00457635"/>
    <w:rsid w:val="00460BE2"/>
    <w:rsid w:val="00465A44"/>
    <w:rsid w:val="004662B0"/>
    <w:rsid w:val="00466608"/>
    <w:rsid w:val="00470268"/>
    <w:rsid w:val="004703FD"/>
    <w:rsid w:val="00471409"/>
    <w:rsid w:val="00471472"/>
    <w:rsid w:val="00472454"/>
    <w:rsid w:val="00473AA2"/>
    <w:rsid w:val="00473CDD"/>
    <w:rsid w:val="00473F44"/>
    <w:rsid w:val="004759A8"/>
    <w:rsid w:val="00477171"/>
    <w:rsid w:val="004811C7"/>
    <w:rsid w:val="00482FCD"/>
    <w:rsid w:val="00483455"/>
    <w:rsid w:val="004837E8"/>
    <w:rsid w:val="00483A7E"/>
    <w:rsid w:val="00483C0E"/>
    <w:rsid w:val="0048455D"/>
    <w:rsid w:val="00485821"/>
    <w:rsid w:val="0048655C"/>
    <w:rsid w:val="00487078"/>
    <w:rsid w:val="00487AC1"/>
    <w:rsid w:val="00487AC5"/>
    <w:rsid w:val="00487EFE"/>
    <w:rsid w:val="00490756"/>
    <w:rsid w:val="0049206A"/>
    <w:rsid w:val="00492DA3"/>
    <w:rsid w:val="0049320F"/>
    <w:rsid w:val="00493316"/>
    <w:rsid w:val="00495074"/>
    <w:rsid w:val="00495A44"/>
    <w:rsid w:val="0049768A"/>
    <w:rsid w:val="00497784"/>
    <w:rsid w:val="00497D2B"/>
    <w:rsid w:val="004A0151"/>
    <w:rsid w:val="004A05F5"/>
    <w:rsid w:val="004A17D6"/>
    <w:rsid w:val="004A1A4A"/>
    <w:rsid w:val="004A232C"/>
    <w:rsid w:val="004A4895"/>
    <w:rsid w:val="004A4A57"/>
    <w:rsid w:val="004A53DB"/>
    <w:rsid w:val="004A7C4D"/>
    <w:rsid w:val="004B11FA"/>
    <w:rsid w:val="004B1B5C"/>
    <w:rsid w:val="004B625A"/>
    <w:rsid w:val="004B7207"/>
    <w:rsid w:val="004C0648"/>
    <w:rsid w:val="004C0AC6"/>
    <w:rsid w:val="004C1301"/>
    <w:rsid w:val="004C19A1"/>
    <w:rsid w:val="004C1A0E"/>
    <w:rsid w:val="004C2EE3"/>
    <w:rsid w:val="004C2FEF"/>
    <w:rsid w:val="004C3CC9"/>
    <w:rsid w:val="004C4076"/>
    <w:rsid w:val="004C4EB2"/>
    <w:rsid w:val="004C55B5"/>
    <w:rsid w:val="004C6549"/>
    <w:rsid w:val="004D1C10"/>
    <w:rsid w:val="004D33F5"/>
    <w:rsid w:val="004D52F5"/>
    <w:rsid w:val="004D58D4"/>
    <w:rsid w:val="004D7DF9"/>
    <w:rsid w:val="004E02BA"/>
    <w:rsid w:val="004E136F"/>
    <w:rsid w:val="004E2BE8"/>
    <w:rsid w:val="004E469B"/>
    <w:rsid w:val="004E4A22"/>
    <w:rsid w:val="004E5832"/>
    <w:rsid w:val="004E5D6A"/>
    <w:rsid w:val="004E6F96"/>
    <w:rsid w:val="004E6FD9"/>
    <w:rsid w:val="004E7117"/>
    <w:rsid w:val="004E71B2"/>
    <w:rsid w:val="004E73F8"/>
    <w:rsid w:val="004F0ECB"/>
    <w:rsid w:val="004F12A9"/>
    <w:rsid w:val="004F2E6D"/>
    <w:rsid w:val="004F3362"/>
    <w:rsid w:val="004F352A"/>
    <w:rsid w:val="004F4669"/>
    <w:rsid w:val="004F6AB6"/>
    <w:rsid w:val="004F734B"/>
    <w:rsid w:val="005013A3"/>
    <w:rsid w:val="0050191F"/>
    <w:rsid w:val="005020E1"/>
    <w:rsid w:val="00503CAF"/>
    <w:rsid w:val="0050688D"/>
    <w:rsid w:val="00506FBE"/>
    <w:rsid w:val="00510775"/>
    <w:rsid w:val="00510BCE"/>
    <w:rsid w:val="00510C9B"/>
    <w:rsid w:val="00511012"/>
    <w:rsid w:val="005118D6"/>
    <w:rsid w:val="00511968"/>
    <w:rsid w:val="005119CA"/>
    <w:rsid w:val="005137C1"/>
    <w:rsid w:val="00513AFC"/>
    <w:rsid w:val="00513EB5"/>
    <w:rsid w:val="0051415E"/>
    <w:rsid w:val="0051461C"/>
    <w:rsid w:val="00514B4C"/>
    <w:rsid w:val="00517BD1"/>
    <w:rsid w:val="00520831"/>
    <w:rsid w:val="00520914"/>
    <w:rsid w:val="00520FE0"/>
    <w:rsid w:val="00521BFD"/>
    <w:rsid w:val="005222D1"/>
    <w:rsid w:val="005223CE"/>
    <w:rsid w:val="0052262D"/>
    <w:rsid w:val="00522D0C"/>
    <w:rsid w:val="005230C1"/>
    <w:rsid w:val="0052398D"/>
    <w:rsid w:val="00524AE7"/>
    <w:rsid w:val="00530671"/>
    <w:rsid w:val="005310C1"/>
    <w:rsid w:val="0053155F"/>
    <w:rsid w:val="00531DB8"/>
    <w:rsid w:val="00532628"/>
    <w:rsid w:val="00533381"/>
    <w:rsid w:val="005334D7"/>
    <w:rsid w:val="005342B5"/>
    <w:rsid w:val="00534D41"/>
    <w:rsid w:val="00535EFD"/>
    <w:rsid w:val="00536989"/>
    <w:rsid w:val="00540A44"/>
    <w:rsid w:val="00541074"/>
    <w:rsid w:val="005416EE"/>
    <w:rsid w:val="00544072"/>
    <w:rsid w:val="00544B96"/>
    <w:rsid w:val="00544BE4"/>
    <w:rsid w:val="00545ACD"/>
    <w:rsid w:val="00546ABE"/>
    <w:rsid w:val="00550704"/>
    <w:rsid w:val="00552342"/>
    <w:rsid w:val="00553D85"/>
    <w:rsid w:val="00555484"/>
    <w:rsid w:val="0055598E"/>
    <w:rsid w:val="0055614C"/>
    <w:rsid w:val="00560046"/>
    <w:rsid w:val="0056172E"/>
    <w:rsid w:val="005621C6"/>
    <w:rsid w:val="00562769"/>
    <w:rsid w:val="00564771"/>
    <w:rsid w:val="00564D8F"/>
    <w:rsid w:val="00565787"/>
    <w:rsid w:val="00567639"/>
    <w:rsid w:val="00571D82"/>
    <w:rsid w:val="00572427"/>
    <w:rsid w:val="00573CC3"/>
    <w:rsid w:val="00574663"/>
    <w:rsid w:val="0057689C"/>
    <w:rsid w:val="00577DB5"/>
    <w:rsid w:val="00580009"/>
    <w:rsid w:val="005832C2"/>
    <w:rsid w:val="005836F3"/>
    <w:rsid w:val="00583B4D"/>
    <w:rsid w:val="00584CCD"/>
    <w:rsid w:val="0058545F"/>
    <w:rsid w:val="00585D4B"/>
    <w:rsid w:val="00586200"/>
    <w:rsid w:val="00586D9D"/>
    <w:rsid w:val="00590CF5"/>
    <w:rsid w:val="00590FF7"/>
    <w:rsid w:val="0059198B"/>
    <w:rsid w:val="005919A7"/>
    <w:rsid w:val="00592291"/>
    <w:rsid w:val="005928CE"/>
    <w:rsid w:val="00594596"/>
    <w:rsid w:val="005945DB"/>
    <w:rsid w:val="00594B5E"/>
    <w:rsid w:val="0059693F"/>
    <w:rsid w:val="00596F2D"/>
    <w:rsid w:val="0059788A"/>
    <w:rsid w:val="005A006F"/>
    <w:rsid w:val="005A0088"/>
    <w:rsid w:val="005A015C"/>
    <w:rsid w:val="005A25F3"/>
    <w:rsid w:val="005A275E"/>
    <w:rsid w:val="005A3E30"/>
    <w:rsid w:val="005A3EDA"/>
    <w:rsid w:val="005A3F38"/>
    <w:rsid w:val="005A4C25"/>
    <w:rsid w:val="005A61EF"/>
    <w:rsid w:val="005A74E2"/>
    <w:rsid w:val="005B0BE9"/>
    <w:rsid w:val="005B12BE"/>
    <w:rsid w:val="005B3295"/>
    <w:rsid w:val="005B4B47"/>
    <w:rsid w:val="005B5A39"/>
    <w:rsid w:val="005B635D"/>
    <w:rsid w:val="005B6CA6"/>
    <w:rsid w:val="005B77B8"/>
    <w:rsid w:val="005C0091"/>
    <w:rsid w:val="005C137F"/>
    <w:rsid w:val="005C1BFE"/>
    <w:rsid w:val="005C3AF1"/>
    <w:rsid w:val="005C3F86"/>
    <w:rsid w:val="005C4124"/>
    <w:rsid w:val="005C479D"/>
    <w:rsid w:val="005C4BBD"/>
    <w:rsid w:val="005C69EF"/>
    <w:rsid w:val="005C7396"/>
    <w:rsid w:val="005C7572"/>
    <w:rsid w:val="005C76BA"/>
    <w:rsid w:val="005D004E"/>
    <w:rsid w:val="005D10C6"/>
    <w:rsid w:val="005D175B"/>
    <w:rsid w:val="005D1E19"/>
    <w:rsid w:val="005D284B"/>
    <w:rsid w:val="005D3A91"/>
    <w:rsid w:val="005D4E18"/>
    <w:rsid w:val="005D57DA"/>
    <w:rsid w:val="005D7FFE"/>
    <w:rsid w:val="005E14C2"/>
    <w:rsid w:val="005E1E25"/>
    <w:rsid w:val="005E3085"/>
    <w:rsid w:val="005E3397"/>
    <w:rsid w:val="005E36DC"/>
    <w:rsid w:val="005E3B1E"/>
    <w:rsid w:val="005E3F7C"/>
    <w:rsid w:val="005E3FE2"/>
    <w:rsid w:val="005E5AF8"/>
    <w:rsid w:val="005E6330"/>
    <w:rsid w:val="005E660A"/>
    <w:rsid w:val="005E71CF"/>
    <w:rsid w:val="005E7B60"/>
    <w:rsid w:val="005E7F39"/>
    <w:rsid w:val="005F0250"/>
    <w:rsid w:val="005F1226"/>
    <w:rsid w:val="005F2CAB"/>
    <w:rsid w:val="005F2CD1"/>
    <w:rsid w:val="005F2EFA"/>
    <w:rsid w:val="005F41C1"/>
    <w:rsid w:val="005F425A"/>
    <w:rsid w:val="005F4366"/>
    <w:rsid w:val="005F451E"/>
    <w:rsid w:val="005F53A1"/>
    <w:rsid w:val="005F6048"/>
    <w:rsid w:val="005F6139"/>
    <w:rsid w:val="005F6E97"/>
    <w:rsid w:val="005F7146"/>
    <w:rsid w:val="0060231D"/>
    <w:rsid w:val="006033CB"/>
    <w:rsid w:val="006038AC"/>
    <w:rsid w:val="006060E3"/>
    <w:rsid w:val="0060698E"/>
    <w:rsid w:val="006071BE"/>
    <w:rsid w:val="00607BA5"/>
    <w:rsid w:val="00607CC4"/>
    <w:rsid w:val="0061180A"/>
    <w:rsid w:val="00614555"/>
    <w:rsid w:val="00614BC0"/>
    <w:rsid w:val="00614E26"/>
    <w:rsid w:val="006150C6"/>
    <w:rsid w:val="00615117"/>
    <w:rsid w:val="00616A9A"/>
    <w:rsid w:val="006170D9"/>
    <w:rsid w:val="0061715D"/>
    <w:rsid w:val="00617A69"/>
    <w:rsid w:val="00617BEE"/>
    <w:rsid w:val="0062023B"/>
    <w:rsid w:val="00620825"/>
    <w:rsid w:val="00621C36"/>
    <w:rsid w:val="00623930"/>
    <w:rsid w:val="006239D5"/>
    <w:rsid w:val="00625F27"/>
    <w:rsid w:val="00626196"/>
    <w:rsid w:val="00626EB6"/>
    <w:rsid w:val="00630EBF"/>
    <w:rsid w:val="00630F67"/>
    <w:rsid w:val="00631E82"/>
    <w:rsid w:val="0063338D"/>
    <w:rsid w:val="00634EC7"/>
    <w:rsid w:val="00644444"/>
    <w:rsid w:val="00645DF0"/>
    <w:rsid w:val="0064657C"/>
    <w:rsid w:val="00646C10"/>
    <w:rsid w:val="00650315"/>
    <w:rsid w:val="00650791"/>
    <w:rsid w:val="006508D0"/>
    <w:rsid w:val="006509E2"/>
    <w:rsid w:val="00650DE0"/>
    <w:rsid w:val="006519D2"/>
    <w:rsid w:val="0065248C"/>
    <w:rsid w:val="00653DE7"/>
    <w:rsid w:val="00654D58"/>
    <w:rsid w:val="00655D03"/>
    <w:rsid w:val="00656735"/>
    <w:rsid w:val="0066004E"/>
    <w:rsid w:val="006621F9"/>
    <w:rsid w:val="00663172"/>
    <w:rsid w:val="00666DC4"/>
    <w:rsid w:val="00667886"/>
    <w:rsid w:val="0067086C"/>
    <w:rsid w:val="00670D78"/>
    <w:rsid w:val="00671BCF"/>
    <w:rsid w:val="00673B2D"/>
    <w:rsid w:val="00674D4F"/>
    <w:rsid w:val="00674FE3"/>
    <w:rsid w:val="006765AE"/>
    <w:rsid w:val="00677E44"/>
    <w:rsid w:val="006807F4"/>
    <w:rsid w:val="00680937"/>
    <w:rsid w:val="00680BE1"/>
    <w:rsid w:val="00680E7F"/>
    <w:rsid w:val="006815D2"/>
    <w:rsid w:val="006825AB"/>
    <w:rsid w:val="006827F8"/>
    <w:rsid w:val="00683388"/>
    <w:rsid w:val="00683F84"/>
    <w:rsid w:val="00684E74"/>
    <w:rsid w:val="00685E51"/>
    <w:rsid w:val="0068705C"/>
    <w:rsid w:val="00691021"/>
    <w:rsid w:val="00692352"/>
    <w:rsid w:val="00693134"/>
    <w:rsid w:val="00693EC0"/>
    <w:rsid w:val="006946B0"/>
    <w:rsid w:val="006957F8"/>
    <w:rsid w:val="00695F50"/>
    <w:rsid w:val="006A275A"/>
    <w:rsid w:val="006A285A"/>
    <w:rsid w:val="006A2C2E"/>
    <w:rsid w:val="006A4483"/>
    <w:rsid w:val="006A51E1"/>
    <w:rsid w:val="006A5431"/>
    <w:rsid w:val="006A597C"/>
    <w:rsid w:val="006A6A81"/>
    <w:rsid w:val="006A7774"/>
    <w:rsid w:val="006B194D"/>
    <w:rsid w:val="006B2DCD"/>
    <w:rsid w:val="006B319B"/>
    <w:rsid w:val="006B31A5"/>
    <w:rsid w:val="006B3560"/>
    <w:rsid w:val="006B6BE3"/>
    <w:rsid w:val="006B774B"/>
    <w:rsid w:val="006C05E6"/>
    <w:rsid w:val="006C0F99"/>
    <w:rsid w:val="006C10D1"/>
    <w:rsid w:val="006C1499"/>
    <w:rsid w:val="006C1991"/>
    <w:rsid w:val="006C1B05"/>
    <w:rsid w:val="006C295E"/>
    <w:rsid w:val="006C37A1"/>
    <w:rsid w:val="006C3A86"/>
    <w:rsid w:val="006C428F"/>
    <w:rsid w:val="006C4A1A"/>
    <w:rsid w:val="006C4D63"/>
    <w:rsid w:val="006C531C"/>
    <w:rsid w:val="006C5476"/>
    <w:rsid w:val="006C57B1"/>
    <w:rsid w:val="006C60F0"/>
    <w:rsid w:val="006C7293"/>
    <w:rsid w:val="006D0C57"/>
    <w:rsid w:val="006D1016"/>
    <w:rsid w:val="006D179A"/>
    <w:rsid w:val="006D20E2"/>
    <w:rsid w:val="006D2CF6"/>
    <w:rsid w:val="006D306D"/>
    <w:rsid w:val="006D4412"/>
    <w:rsid w:val="006D6362"/>
    <w:rsid w:val="006D67BB"/>
    <w:rsid w:val="006D692F"/>
    <w:rsid w:val="006D6B2B"/>
    <w:rsid w:val="006D6E53"/>
    <w:rsid w:val="006D7A62"/>
    <w:rsid w:val="006E00DD"/>
    <w:rsid w:val="006E03BE"/>
    <w:rsid w:val="006E0E9E"/>
    <w:rsid w:val="006E1872"/>
    <w:rsid w:val="006E1FF7"/>
    <w:rsid w:val="006E2357"/>
    <w:rsid w:val="006E4018"/>
    <w:rsid w:val="006E5780"/>
    <w:rsid w:val="006E6C3A"/>
    <w:rsid w:val="006E7227"/>
    <w:rsid w:val="006E777E"/>
    <w:rsid w:val="006E7D2B"/>
    <w:rsid w:val="006F095E"/>
    <w:rsid w:val="006F1397"/>
    <w:rsid w:val="006F147B"/>
    <w:rsid w:val="006F1F1E"/>
    <w:rsid w:val="006F20A3"/>
    <w:rsid w:val="006F415E"/>
    <w:rsid w:val="006F49D2"/>
    <w:rsid w:val="006F5AC3"/>
    <w:rsid w:val="006F62F8"/>
    <w:rsid w:val="006F6C4D"/>
    <w:rsid w:val="006F6E6A"/>
    <w:rsid w:val="006F7393"/>
    <w:rsid w:val="00700929"/>
    <w:rsid w:val="00701588"/>
    <w:rsid w:val="0070224F"/>
    <w:rsid w:val="007049DC"/>
    <w:rsid w:val="00707358"/>
    <w:rsid w:val="007077FE"/>
    <w:rsid w:val="007105B8"/>
    <w:rsid w:val="007108D4"/>
    <w:rsid w:val="007112FE"/>
    <w:rsid w:val="007115F7"/>
    <w:rsid w:val="00711D70"/>
    <w:rsid w:val="007121BA"/>
    <w:rsid w:val="007122F9"/>
    <w:rsid w:val="007124D7"/>
    <w:rsid w:val="0071636E"/>
    <w:rsid w:val="00716C2B"/>
    <w:rsid w:val="007176DF"/>
    <w:rsid w:val="00720245"/>
    <w:rsid w:val="00720511"/>
    <w:rsid w:val="007217A5"/>
    <w:rsid w:val="0072218E"/>
    <w:rsid w:val="00722E3C"/>
    <w:rsid w:val="00723E59"/>
    <w:rsid w:val="00724D40"/>
    <w:rsid w:val="007258F0"/>
    <w:rsid w:val="00725C17"/>
    <w:rsid w:val="00727B81"/>
    <w:rsid w:val="0073105A"/>
    <w:rsid w:val="007311A4"/>
    <w:rsid w:val="00733AC0"/>
    <w:rsid w:val="00733CD0"/>
    <w:rsid w:val="00733F57"/>
    <w:rsid w:val="0073454F"/>
    <w:rsid w:val="0073512A"/>
    <w:rsid w:val="00736F86"/>
    <w:rsid w:val="00737CE6"/>
    <w:rsid w:val="00742BAE"/>
    <w:rsid w:val="00742D4D"/>
    <w:rsid w:val="0074329C"/>
    <w:rsid w:val="00744CCB"/>
    <w:rsid w:val="007478A7"/>
    <w:rsid w:val="00747BC2"/>
    <w:rsid w:val="00750DD3"/>
    <w:rsid w:val="007517AA"/>
    <w:rsid w:val="00752EBA"/>
    <w:rsid w:val="007534F5"/>
    <w:rsid w:val="00754F7D"/>
    <w:rsid w:val="00755139"/>
    <w:rsid w:val="00757B06"/>
    <w:rsid w:val="00757B9E"/>
    <w:rsid w:val="00760AD2"/>
    <w:rsid w:val="00761E0E"/>
    <w:rsid w:val="0076269F"/>
    <w:rsid w:val="00763D28"/>
    <w:rsid w:val="0076546E"/>
    <w:rsid w:val="007655C9"/>
    <w:rsid w:val="007656D2"/>
    <w:rsid w:val="00765981"/>
    <w:rsid w:val="0076730E"/>
    <w:rsid w:val="00767B9C"/>
    <w:rsid w:val="00770D70"/>
    <w:rsid w:val="007718B2"/>
    <w:rsid w:val="007719F4"/>
    <w:rsid w:val="0077209D"/>
    <w:rsid w:val="00774497"/>
    <w:rsid w:val="0077497C"/>
    <w:rsid w:val="00774ADC"/>
    <w:rsid w:val="0077531C"/>
    <w:rsid w:val="007754AB"/>
    <w:rsid w:val="00776BCC"/>
    <w:rsid w:val="00777791"/>
    <w:rsid w:val="007838F5"/>
    <w:rsid w:val="007840C3"/>
    <w:rsid w:val="007840D1"/>
    <w:rsid w:val="007842EB"/>
    <w:rsid w:val="00785689"/>
    <w:rsid w:val="0078588A"/>
    <w:rsid w:val="00785D9A"/>
    <w:rsid w:val="00790F34"/>
    <w:rsid w:val="00791D18"/>
    <w:rsid w:val="00792C4B"/>
    <w:rsid w:val="0079493E"/>
    <w:rsid w:val="00794A22"/>
    <w:rsid w:val="00794ABB"/>
    <w:rsid w:val="00794BB1"/>
    <w:rsid w:val="00794F20"/>
    <w:rsid w:val="00795C8D"/>
    <w:rsid w:val="00795FD2"/>
    <w:rsid w:val="0079754B"/>
    <w:rsid w:val="007978F9"/>
    <w:rsid w:val="00797927"/>
    <w:rsid w:val="007A0C4A"/>
    <w:rsid w:val="007A1C6F"/>
    <w:rsid w:val="007A1E6D"/>
    <w:rsid w:val="007A2086"/>
    <w:rsid w:val="007A33A7"/>
    <w:rsid w:val="007A58FB"/>
    <w:rsid w:val="007A62BE"/>
    <w:rsid w:val="007A6E39"/>
    <w:rsid w:val="007A7F1E"/>
    <w:rsid w:val="007B0A03"/>
    <w:rsid w:val="007B0BAF"/>
    <w:rsid w:val="007B0EB2"/>
    <w:rsid w:val="007B1113"/>
    <w:rsid w:val="007B13E5"/>
    <w:rsid w:val="007B176E"/>
    <w:rsid w:val="007B2097"/>
    <w:rsid w:val="007B2DB0"/>
    <w:rsid w:val="007B4083"/>
    <w:rsid w:val="007B4E24"/>
    <w:rsid w:val="007B56C2"/>
    <w:rsid w:val="007B5BD0"/>
    <w:rsid w:val="007B6037"/>
    <w:rsid w:val="007B64D9"/>
    <w:rsid w:val="007B7E16"/>
    <w:rsid w:val="007C2704"/>
    <w:rsid w:val="007C2D69"/>
    <w:rsid w:val="007C3C4A"/>
    <w:rsid w:val="007C3F74"/>
    <w:rsid w:val="007C4F0C"/>
    <w:rsid w:val="007C6136"/>
    <w:rsid w:val="007C6A69"/>
    <w:rsid w:val="007C7EE9"/>
    <w:rsid w:val="007D125D"/>
    <w:rsid w:val="007D2262"/>
    <w:rsid w:val="007D2826"/>
    <w:rsid w:val="007D2E7A"/>
    <w:rsid w:val="007D3F95"/>
    <w:rsid w:val="007D5B2B"/>
    <w:rsid w:val="007D6AD8"/>
    <w:rsid w:val="007D6B2D"/>
    <w:rsid w:val="007D7139"/>
    <w:rsid w:val="007D74CD"/>
    <w:rsid w:val="007D7994"/>
    <w:rsid w:val="007E0935"/>
    <w:rsid w:val="007E14DC"/>
    <w:rsid w:val="007E539D"/>
    <w:rsid w:val="007E5690"/>
    <w:rsid w:val="007E6BA4"/>
    <w:rsid w:val="007E763D"/>
    <w:rsid w:val="007F0089"/>
    <w:rsid w:val="007F2770"/>
    <w:rsid w:val="007F2838"/>
    <w:rsid w:val="007F3618"/>
    <w:rsid w:val="007F402F"/>
    <w:rsid w:val="007F4437"/>
    <w:rsid w:val="007F5FFD"/>
    <w:rsid w:val="007F735F"/>
    <w:rsid w:val="007F7869"/>
    <w:rsid w:val="007F7DE4"/>
    <w:rsid w:val="008009ED"/>
    <w:rsid w:val="00801F3D"/>
    <w:rsid w:val="00804224"/>
    <w:rsid w:val="00805D26"/>
    <w:rsid w:val="00805F01"/>
    <w:rsid w:val="00806418"/>
    <w:rsid w:val="00806749"/>
    <w:rsid w:val="00806AA3"/>
    <w:rsid w:val="00806DED"/>
    <w:rsid w:val="008104FB"/>
    <w:rsid w:val="00810B6F"/>
    <w:rsid w:val="008126AB"/>
    <w:rsid w:val="00812BAD"/>
    <w:rsid w:val="00813831"/>
    <w:rsid w:val="00814046"/>
    <w:rsid w:val="00814F94"/>
    <w:rsid w:val="00815356"/>
    <w:rsid w:val="00815FA1"/>
    <w:rsid w:val="008162BF"/>
    <w:rsid w:val="00817487"/>
    <w:rsid w:val="00820F3A"/>
    <w:rsid w:val="008221E6"/>
    <w:rsid w:val="00822CE0"/>
    <w:rsid w:val="00822DE7"/>
    <w:rsid w:val="0082382E"/>
    <w:rsid w:val="00823D77"/>
    <w:rsid w:val="008255C1"/>
    <w:rsid w:val="00825C9F"/>
    <w:rsid w:val="00826AE8"/>
    <w:rsid w:val="00830211"/>
    <w:rsid w:val="0083073A"/>
    <w:rsid w:val="0083078A"/>
    <w:rsid w:val="00831F1E"/>
    <w:rsid w:val="0083228F"/>
    <w:rsid w:val="008332CB"/>
    <w:rsid w:val="008338EE"/>
    <w:rsid w:val="00833F34"/>
    <w:rsid w:val="0083453C"/>
    <w:rsid w:val="00834CDD"/>
    <w:rsid w:val="00836CDF"/>
    <w:rsid w:val="008373F9"/>
    <w:rsid w:val="00840BA1"/>
    <w:rsid w:val="008413A9"/>
    <w:rsid w:val="00841AB1"/>
    <w:rsid w:val="00842EE1"/>
    <w:rsid w:val="008433B9"/>
    <w:rsid w:val="008434A0"/>
    <w:rsid w:val="008438F9"/>
    <w:rsid w:val="008441E2"/>
    <w:rsid w:val="00844E6C"/>
    <w:rsid w:val="0084636D"/>
    <w:rsid w:val="008463C3"/>
    <w:rsid w:val="008465C4"/>
    <w:rsid w:val="00846DC3"/>
    <w:rsid w:val="008479C2"/>
    <w:rsid w:val="00847C64"/>
    <w:rsid w:val="00847FE8"/>
    <w:rsid w:val="0085440A"/>
    <w:rsid w:val="008545D0"/>
    <w:rsid w:val="00854C7E"/>
    <w:rsid w:val="00854F16"/>
    <w:rsid w:val="00856175"/>
    <w:rsid w:val="00860FB0"/>
    <w:rsid w:val="008625C9"/>
    <w:rsid w:val="00862DE9"/>
    <w:rsid w:val="00863CE1"/>
    <w:rsid w:val="0086455D"/>
    <w:rsid w:val="00864F67"/>
    <w:rsid w:val="00865921"/>
    <w:rsid w:val="008661CD"/>
    <w:rsid w:val="00867088"/>
    <w:rsid w:val="00867F86"/>
    <w:rsid w:val="0087045A"/>
    <w:rsid w:val="00870EA4"/>
    <w:rsid w:val="00870ED4"/>
    <w:rsid w:val="00873245"/>
    <w:rsid w:val="008738FA"/>
    <w:rsid w:val="0087412E"/>
    <w:rsid w:val="00874DD4"/>
    <w:rsid w:val="00875699"/>
    <w:rsid w:val="0087595A"/>
    <w:rsid w:val="00877377"/>
    <w:rsid w:val="00877D44"/>
    <w:rsid w:val="00877E14"/>
    <w:rsid w:val="00880546"/>
    <w:rsid w:val="00880976"/>
    <w:rsid w:val="008840A5"/>
    <w:rsid w:val="00884B6B"/>
    <w:rsid w:val="00886B39"/>
    <w:rsid w:val="00886D69"/>
    <w:rsid w:val="008908C4"/>
    <w:rsid w:val="00890D99"/>
    <w:rsid w:val="00891066"/>
    <w:rsid w:val="00892AC3"/>
    <w:rsid w:val="0089345D"/>
    <w:rsid w:val="00893E43"/>
    <w:rsid w:val="008941DA"/>
    <w:rsid w:val="0089479B"/>
    <w:rsid w:val="008955B3"/>
    <w:rsid w:val="00895B6B"/>
    <w:rsid w:val="00895C0C"/>
    <w:rsid w:val="00895F48"/>
    <w:rsid w:val="00896621"/>
    <w:rsid w:val="00897566"/>
    <w:rsid w:val="00897CF6"/>
    <w:rsid w:val="008A0517"/>
    <w:rsid w:val="008A0593"/>
    <w:rsid w:val="008A0ECB"/>
    <w:rsid w:val="008A28A1"/>
    <w:rsid w:val="008A3AEA"/>
    <w:rsid w:val="008A41D9"/>
    <w:rsid w:val="008A62D7"/>
    <w:rsid w:val="008A6424"/>
    <w:rsid w:val="008A71E4"/>
    <w:rsid w:val="008A7D69"/>
    <w:rsid w:val="008B157D"/>
    <w:rsid w:val="008B163E"/>
    <w:rsid w:val="008B24F5"/>
    <w:rsid w:val="008B2941"/>
    <w:rsid w:val="008B5D62"/>
    <w:rsid w:val="008B73D0"/>
    <w:rsid w:val="008B7B6F"/>
    <w:rsid w:val="008C1171"/>
    <w:rsid w:val="008C17BF"/>
    <w:rsid w:val="008C2FAB"/>
    <w:rsid w:val="008C3790"/>
    <w:rsid w:val="008C380F"/>
    <w:rsid w:val="008C3899"/>
    <w:rsid w:val="008C42FD"/>
    <w:rsid w:val="008C68D1"/>
    <w:rsid w:val="008C68F1"/>
    <w:rsid w:val="008C7413"/>
    <w:rsid w:val="008C7B02"/>
    <w:rsid w:val="008D0D36"/>
    <w:rsid w:val="008D322D"/>
    <w:rsid w:val="008D3493"/>
    <w:rsid w:val="008D4CFB"/>
    <w:rsid w:val="008D5180"/>
    <w:rsid w:val="008D5AD2"/>
    <w:rsid w:val="008D5FA4"/>
    <w:rsid w:val="008D641C"/>
    <w:rsid w:val="008D6442"/>
    <w:rsid w:val="008D74FB"/>
    <w:rsid w:val="008E0049"/>
    <w:rsid w:val="008E2025"/>
    <w:rsid w:val="008E2D8A"/>
    <w:rsid w:val="008E2F41"/>
    <w:rsid w:val="008E31E6"/>
    <w:rsid w:val="008E4C17"/>
    <w:rsid w:val="008E57A9"/>
    <w:rsid w:val="008E58D6"/>
    <w:rsid w:val="008E5CD3"/>
    <w:rsid w:val="008E6413"/>
    <w:rsid w:val="008E6514"/>
    <w:rsid w:val="008E6865"/>
    <w:rsid w:val="008E70EC"/>
    <w:rsid w:val="008F0354"/>
    <w:rsid w:val="008F0E88"/>
    <w:rsid w:val="008F2063"/>
    <w:rsid w:val="008F2480"/>
    <w:rsid w:val="008F26E6"/>
    <w:rsid w:val="008F2CD1"/>
    <w:rsid w:val="008F37A6"/>
    <w:rsid w:val="008F3C76"/>
    <w:rsid w:val="008F5C39"/>
    <w:rsid w:val="008F69B7"/>
    <w:rsid w:val="008F6FB1"/>
    <w:rsid w:val="00903451"/>
    <w:rsid w:val="009043DC"/>
    <w:rsid w:val="00905FFA"/>
    <w:rsid w:val="00910497"/>
    <w:rsid w:val="00911BA5"/>
    <w:rsid w:val="00911C74"/>
    <w:rsid w:val="00912BA4"/>
    <w:rsid w:val="0091342E"/>
    <w:rsid w:val="009145E8"/>
    <w:rsid w:val="00914647"/>
    <w:rsid w:val="00915279"/>
    <w:rsid w:val="009164A1"/>
    <w:rsid w:val="00917982"/>
    <w:rsid w:val="00917AB4"/>
    <w:rsid w:val="00917B24"/>
    <w:rsid w:val="0092031B"/>
    <w:rsid w:val="0092056D"/>
    <w:rsid w:val="00921803"/>
    <w:rsid w:val="0092259A"/>
    <w:rsid w:val="00922D21"/>
    <w:rsid w:val="00922F55"/>
    <w:rsid w:val="00926503"/>
    <w:rsid w:val="00926802"/>
    <w:rsid w:val="009273D8"/>
    <w:rsid w:val="00930FE6"/>
    <w:rsid w:val="00931C3D"/>
    <w:rsid w:val="00931D5E"/>
    <w:rsid w:val="0093390E"/>
    <w:rsid w:val="00933DA8"/>
    <w:rsid w:val="009340E6"/>
    <w:rsid w:val="00934AA3"/>
    <w:rsid w:val="0093502C"/>
    <w:rsid w:val="009352F8"/>
    <w:rsid w:val="009355C3"/>
    <w:rsid w:val="009369CD"/>
    <w:rsid w:val="00940D6A"/>
    <w:rsid w:val="00941C15"/>
    <w:rsid w:val="00942EF2"/>
    <w:rsid w:val="00943185"/>
    <w:rsid w:val="009434F0"/>
    <w:rsid w:val="009439C5"/>
    <w:rsid w:val="0094464A"/>
    <w:rsid w:val="00945683"/>
    <w:rsid w:val="00946781"/>
    <w:rsid w:val="00946D99"/>
    <w:rsid w:val="0094705C"/>
    <w:rsid w:val="00947FD1"/>
    <w:rsid w:val="009509FA"/>
    <w:rsid w:val="00951B49"/>
    <w:rsid w:val="009520B4"/>
    <w:rsid w:val="009544F9"/>
    <w:rsid w:val="00954605"/>
    <w:rsid w:val="009604E1"/>
    <w:rsid w:val="00962B16"/>
    <w:rsid w:val="0096379E"/>
    <w:rsid w:val="00963944"/>
    <w:rsid w:val="00966DB4"/>
    <w:rsid w:val="009726D8"/>
    <w:rsid w:val="00972E31"/>
    <w:rsid w:val="009735FE"/>
    <w:rsid w:val="00974822"/>
    <w:rsid w:val="00974BB7"/>
    <w:rsid w:val="009753CB"/>
    <w:rsid w:val="00975999"/>
    <w:rsid w:val="00977CEF"/>
    <w:rsid w:val="0098105E"/>
    <w:rsid w:val="00981675"/>
    <w:rsid w:val="009816C3"/>
    <w:rsid w:val="00985257"/>
    <w:rsid w:val="00985A11"/>
    <w:rsid w:val="00986DE3"/>
    <w:rsid w:val="009871FF"/>
    <w:rsid w:val="00987328"/>
    <w:rsid w:val="00987AFA"/>
    <w:rsid w:val="00987DAB"/>
    <w:rsid w:val="00987F71"/>
    <w:rsid w:val="00991066"/>
    <w:rsid w:val="009910C4"/>
    <w:rsid w:val="00991F8A"/>
    <w:rsid w:val="0099363D"/>
    <w:rsid w:val="00993750"/>
    <w:rsid w:val="00995588"/>
    <w:rsid w:val="00996B99"/>
    <w:rsid w:val="00996F5F"/>
    <w:rsid w:val="00997E21"/>
    <w:rsid w:val="009A0032"/>
    <w:rsid w:val="009A0FF6"/>
    <w:rsid w:val="009A15E7"/>
    <w:rsid w:val="009A27C2"/>
    <w:rsid w:val="009A3C9A"/>
    <w:rsid w:val="009A6F2A"/>
    <w:rsid w:val="009A7F7A"/>
    <w:rsid w:val="009B2587"/>
    <w:rsid w:val="009B3585"/>
    <w:rsid w:val="009B35A5"/>
    <w:rsid w:val="009B3956"/>
    <w:rsid w:val="009B5DF5"/>
    <w:rsid w:val="009B614F"/>
    <w:rsid w:val="009B66C2"/>
    <w:rsid w:val="009B70A0"/>
    <w:rsid w:val="009C10CA"/>
    <w:rsid w:val="009C21A4"/>
    <w:rsid w:val="009C235A"/>
    <w:rsid w:val="009C26E8"/>
    <w:rsid w:val="009C2C14"/>
    <w:rsid w:val="009C2E43"/>
    <w:rsid w:val="009C393E"/>
    <w:rsid w:val="009C4394"/>
    <w:rsid w:val="009C5617"/>
    <w:rsid w:val="009C737F"/>
    <w:rsid w:val="009D0992"/>
    <w:rsid w:val="009D09CF"/>
    <w:rsid w:val="009D15CB"/>
    <w:rsid w:val="009D2312"/>
    <w:rsid w:val="009D259C"/>
    <w:rsid w:val="009D2A14"/>
    <w:rsid w:val="009D30E8"/>
    <w:rsid w:val="009D3B6D"/>
    <w:rsid w:val="009D509C"/>
    <w:rsid w:val="009D54F7"/>
    <w:rsid w:val="009D5860"/>
    <w:rsid w:val="009D63F0"/>
    <w:rsid w:val="009D79AA"/>
    <w:rsid w:val="009D7E26"/>
    <w:rsid w:val="009E1372"/>
    <w:rsid w:val="009E2CE9"/>
    <w:rsid w:val="009E3E51"/>
    <w:rsid w:val="009E4A34"/>
    <w:rsid w:val="009E521A"/>
    <w:rsid w:val="009E6AA8"/>
    <w:rsid w:val="009E6B66"/>
    <w:rsid w:val="009E711C"/>
    <w:rsid w:val="009E7367"/>
    <w:rsid w:val="009F0980"/>
    <w:rsid w:val="009F0CB9"/>
    <w:rsid w:val="009F1A8F"/>
    <w:rsid w:val="009F20D6"/>
    <w:rsid w:val="009F226E"/>
    <w:rsid w:val="009F35E4"/>
    <w:rsid w:val="009F3C4C"/>
    <w:rsid w:val="009F575A"/>
    <w:rsid w:val="009F5A1E"/>
    <w:rsid w:val="009F7005"/>
    <w:rsid w:val="009F700F"/>
    <w:rsid w:val="009F76DB"/>
    <w:rsid w:val="009F7AAA"/>
    <w:rsid w:val="00A01FCA"/>
    <w:rsid w:val="00A022D8"/>
    <w:rsid w:val="00A04319"/>
    <w:rsid w:val="00A049BE"/>
    <w:rsid w:val="00A04A61"/>
    <w:rsid w:val="00A0566B"/>
    <w:rsid w:val="00A065C1"/>
    <w:rsid w:val="00A0778E"/>
    <w:rsid w:val="00A100F8"/>
    <w:rsid w:val="00A11E04"/>
    <w:rsid w:val="00A123C6"/>
    <w:rsid w:val="00A135D9"/>
    <w:rsid w:val="00A147D4"/>
    <w:rsid w:val="00A1481C"/>
    <w:rsid w:val="00A16833"/>
    <w:rsid w:val="00A17A87"/>
    <w:rsid w:val="00A20064"/>
    <w:rsid w:val="00A20D96"/>
    <w:rsid w:val="00A20F85"/>
    <w:rsid w:val="00A216A4"/>
    <w:rsid w:val="00A238A0"/>
    <w:rsid w:val="00A24796"/>
    <w:rsid w:val="00A255A6"/>
    <w:rsid w:val="00A25D59"/>
    <w:rsid w:val="00A25E66"/>
    <w:rsid w:val="00A265E4"/>
    <w:rsid w:val="00A26759"/>
    <w:rsid w:val="00A273DC"/>
    <w:rsid w:val="00A27E56"/>
    <w:rsid w:val="00A3027F"/>
    <w:rsid w:val="00A3070A"/>
    <w:rsid w:val="00A309E1"/>
    <w:rsid w:val="00A30FDC"/>
    <w:rsid w:val="00A311A6"/>
    <w:rsid w:val="00A316FC"/>
    <w:rsid w:val="00A32C3B"/>
    <w:rsid w:val="00A3349A"/>
    <w:rsid w:val="00A343C7"/>
    <w:rsid w:val="00A3491E"/>
    <w:rsid w:val="00A3605C"/>
    <w:rsid w:val="00A369C3"/>
    <w:rsid w:val="00A40127"/>
    <w:rsid w:val="00A409F2"/>
    <w:rsid w:val="00A40CF8"/>
    <w:rsid w:val="00A4355B"/>
    <w:rsid w:val="00A45F4F"/>
    <w:rsid w:val="00A46980"/>
    <w:rsid w:val="00A46CB2"/>
    <w:rsid w:val="00A46E31"/>
    <w:rsid w:val="00A47A80"/>
    <w:rsid w:val="00A50041"/>
    <w:rsid w:val="00A5241C"/>
    <w:rsid w:val="00A5400E"/>
    <w:rsid w:val="00A55A24"/>
    <w:rsid w:val="00A55A40"/>
    <w:rsid w:val="00A56065"/>
    <w:rsid w:val="00A600A9"/>
    <w:rsid w:val="00A61F0E"/>
    <w:rsid w:val="00A6233B"/>
    <w:rsid w:val="00A625AC"/>
    <w:rsid w:val="00A63158"/>
    <w:rsid w:val="00A63E43"/>
    <w:rsid w:val="00A64140"/>
    <w:rsid w:val="00A6554C"/>
    <w:rsid w:val="00A676B5"/>
    <w:rsid w:val="00A67D1C"/>
    <w:rsid w:val="00A70397"/>
    <w:rsid w:val="00A705DA"/>
    <w:rsid w:val="00A71866"/>
    <w:rsid w:val="00A71ECE"/>
    <w:rsid w:val="00A7205B"/>
    <w:rsid w:val="00A720AD"/>
    <w:rsid w:val="00A76662"/>
    <w:rsid w:val="00A76FBF"/>
    <w:rsid w:val="00A77FAB"/>
    <w:rsid w:val="00A80E33"/>
    <w:rsid w:val="00A819B0"/>
    <w:rsid w:val="00A82E48"/>
    <w:rsid w:val="00A833F3"/>
    <w:rsid w:val="00A854FE"/>
    <w:rsid w:val="00A85642"/>
    <w:rsid w:val="00A8652B"/>
    <w:rsid w:val="00A87B8F"/>
    <w:rsid w:val="00A87DB3"/>
    <w:rsid w:val="00A90747"/>
    <w:rsid w:val="00A908EF"/>
    <w:rsid w:val="00A9204D"/>
    <w:rsid w:val="00A92723"/>
    <w:rsid w:val="00A92D05"/>
    <w:rsid w:val="00A9329A"/>
    <w:rsid w:val="00A93B5F"/>
    <w:rsid w:val="00A947A9"/>
    <w:rsid w:val="00AA1FA2"/>
    <w:rsid w:val="00AA2017"/>
    <w:rsid w:val="00AA30E9"/>
    <w:rsid w:val="00AA3EC7"/>
    <w:rsid w:val="00AA4CDB"/>
    <w:rsid w:val="00AA55B7"/>
    <w:rsid w:val="00AA5703"/>
    <w:rsid w:val="00AA5B9E"/>
    <w:rsid w:val="00AA7A06"/>
    <w:rsid w:val="00AB06B6"/>
    <w:rsid w:val="00AB06F8"/>
    <w:rsid w:val="00AB0EBA"/>
    <w:rsid w:val="00AB1089"/>
    <w:rsid w:val="00AB142C"/>
    <w:rsid w:val="00AB2407"/>
    <w:rsid w:val="00AB24C9"/>
    <w:rsid w:val="00AB4818"/>
    <w:rsid w:val="00AB4CCB"/>
    <w:rsid w:val="00AB53DF"/>
    <w:rsid w:val="00AB560C"/>
    <w:rsid w:val="00AB5B52"/>
    <w:rsid w:val="00AB6FED"/>
    <w:rsid w:val="00AB7245"/>
    <w:rsid w:val="00AB7418"/>
    <w:rsid w:val="00AB750B"/>
    <w:rsid w:val="00AB77F2"/>
    <w:rsid w:val="00AC0588"/>
    <w:rsid w:val="00AC144F"/>
    <w:rsid w:val="00AC18CF"/>
    <w:rsid w:val="00AC47B8"/>
    <w:rsid w:val="00AC5B55"/>
    <w:rsid w:val="00AC65D4"/>
    <w:rsid w:val="00AC66A6"/>
    <w:rsid w:val="00AC6B95"/>
    <w:rsid w:val="00AC7023"/>
    <w:rsid w:val="00AD0AD7"/>
    <w:rsid w:val="00AD0F04"/>
    <w:rsid w:val="00AD1529"/>
    <w:rsid w:val="00AD19F4"/>
    <w:rsid w:val="00AD28ED"/>
    <w:rsid w:val="00AD3813"/>
    <w:rsid w:val="00AD52D5"/>
    <w:rsid w:val="00AD5F47"/>
    <w:rsid w:val="00AD7E96"/>
    <w:rsid w:val="00AD7F72"/>
    <w:rsid w:val="00AE0C60"/>
    <w:rsid w:val="00AE1132"/>
    <w:rsid w:val="00AE13A0"/>
    <w:rsid w:val="00AE1D7D"/>
    <w:rsid w:val="00AE2351"/>
    <w:rsid w:val="00AE37F9"/>
    <w:rsid w:val="00AE642F"/>
    <w:rsid w:val="00AE6889"/>
    <w:rsid w:val="00AE6989"/>
    <w:rsid w:val="00AE775C"/>
    <w:rsid w:val="00AE78CA"/>
    <w:rsid w:val="00AF0F5D"/>
    <w:rsid w:val="00AF1938"/>
    <w:rsid w:val="00AF2815"/>
    <w:rsid w:val="00AF2862"/>
    <w:rsid w:val="00AF4CA3"/>
    <w:rsid w:val="00AF590E"/>
    <w:rsid w:val="00AF66B2"/>
    <w:rsid w:val="00AF68EE"/>
    <w:rsid w:val="00AF716B"/>
    <w:rsid w:val="00AF7AE3"/>
    <w:rsid w:val="00B000F1"/>
    <w:rsid w:val="00B02299"/>
    <w:rsid w:val="00B03C68"/>
    <w:rsid w:val="00B05FAE"/>
    <w:rsid w:val="00B06C15"/>
    <w:rsid w:val="00B07E5C"/>
    <w:rsid w:val="00B07E99"/>
    <w:rsid w:val="00B115D5"/>
    <w:rsid w:val="00B11899"/>
    <w:rsid w:val="00B11CCB"/>
    <w:rsid w:val="00B125AC"/>
    <w:rsid w:val="00B136D9"/>
    <w:rsid w:val="00B13E17"/>
    <w:rsid w:val="00B147C6"/>
    <w:rsid w:val="00B148E0"/>
    <w:rsid w:val="00B14998"/>
    <w:rsid w:val="00B149BC"/>
    <w:rsid w:val="00B150E5"/>
    <w:rsid w:val="00B1714E"/>
    <w:rsid w:val="00B17744"/>
    <w:rsid w:val="00B17967"/>
    <w:rsid w:val="00B17D9E"/>
    <w:rsid w:val="00B2142A"/>
    <w:rsid w:val="00B22AE6"/>
    <w:rsid w:val="00B249C0"/>
    <w:rsid w:val="00B24F53"/>
    <w:rsid w:val="00B250FB"/>
    <w:rsid w:val="00B269D3"/>
    <w:rsid w:val="00B26C94"/>
    <w:rsid w:val="00B2765B"/>
    <w:rsid w:val="00B2799E"/>
    <w:rsid w:val="00B31A2D"/>
    <w:rsid w:val="00B321BE"/>
    <w:rsid w:val="00B32796"/>
    <w:rsid w:val="00B32EE2"/>
    <w:rsid w:val="00B337D1"/>
    <w:rsid w:val="00B33C40"/>
    <w:rsid w:val="00B34ADA"/>
    <w:rsid w:val="00B34BF3"/>
    <w:rsid w:val="00B3547B"/>
    <w:rsid w:val="00B35E5C"/>
    <w:rsid w:val="00B36A19"/>
    <w:rsid w:val="00B42679"/>
    <w:rsid w:val="00B42E12"/>
    <w:rsid w:val="00B43D66"/>
    <w:rsid w:val="00B44042"/>
    <w:rsid w:val="00B44468"/>
    <w:rsid w:val="00B46931"/>
    <w:rsid w:val="00B4711A"/>
    <w:rsid w:val="00B47689"/>
    <w:rsid w:val="00B50131"/>
    <w:rsid w:val="00B5235C"/>
    <w:rsid w:val="00B535A9"/>
    <w:rsid w:val="00B537EA"/>
    <w:rsid w:val="00B540EB"/>
    <w:rsid w:val="00B54B78"/>
    <w:rsid w:val="00B559EB"/>
    <w:rsid w:val="00B57741"/>
    <w:rsid w:val="00B60348"/>
    <w:rsid w:val="00B61238"/>
    <w:rsid w:val="00B61D67"/>
    <w:rsid w:val="00B62017"/>
    <w:rsid w:val="00B62EA1"/>
    <w:rsid w:val="00B6458A"/>
    <w:rsid w:val="00B66979"/>
    <w:rsid w:val="00B669BA"/>
    <w:rsid w:val="00B66D1A"/>
    <w:rsid w:val="00B67DC2"/>
    <w:rsid w:val="00B72892"/>
    <w:rsid w:val="00B73ABF"/>
    <w:rsid w:val="00B74143"/>
    <w:rsid w:val="00B75A53"/>
    <w:rsid w:val="00B75F07"/>
    <w:rsid w:val="00B76113"/>
    <w:rsid w:val="00B80F9E"/>
    <w:rsid w:val="00B811F7"/>
    <w:rsid w:val="00B81F72"/>
    <w:rsid w:val="00B83196"/>
    <w:rsid w:val="00B834AC"/>
    <w:rsid w:val="00B83C3C"/>
    <w:rsid w:val="00B84CFC"/>
    <w:rsid w:val="00B85581"/>
    <w:rsid w:val="00B856AE"/>
    <w:rsid w:val="00B86E18"/>
    <w:rsid w:val="00B86E67"/>
    <w:rsid w:val="00B873A0"/>
    <w:rsid w:val="00B90786"/>
    <w:rsid w:val="00B90CE9"/>
    <w:rsid w:val="00B917E5"/>
    <w:rsid w:val="00B92725"/>
    <w:rsid w:val="00B92F9B"/>
    <w:rsid w:val="00B93445"/>
    <w:rsid w:val="00B93A47"/>
    <w:rsid w:val="00B96977"/>
    <w:rsid w:val="00B97627"/>
    <w:rsid w:val="00BA003C"/>
    <w:rsid w:val="00BA249F"/>
    <w:rsid w:val="00BA33F4"/>
    <w:rsid w:val="00BA483E"/>
    <w:rsid w:val="00BA515B"/>
    <w:rsid w:val="00BA546E"/>
    <w:rsid w:val="00BA57DE"/>
    <w:rsid w:val="00BA5DC6"/>
    <w:rsid w:val="00BA6196"/>
    <w:rsid w:val="00BA6690"/>
    <w:rsid w:val="00BA66B0"/>
    <w:rsid w:val="00BA6F93"/>
    <w:rsid w:val="00BB2AB4"/>
    <w:rsid w:val="00BB55E2"/>
    <w:rsid w:val="00BB575E"/>
    <w:rsid w:val="00BB7092"/>
    <w:rsid w:val="00BB7B66"/>
    <w:rsid w:val="00BC0247"/>
    <w:rsid w:val="00BC1034"/>
    <w:rsid w:val="00BC250A"/>
    <w:rsid w:val="00BC4FE2"/>
    <w:rsid w:val="00BC54AA"/>
    <w:rsid w:val="00BC5FEE"/>
    <w:rsid w:val="00BC6D8C"/>
    <w:rsid w:val="00BC7228"/>
    <w:rsid w:val="00BC73E6"/>
    <w:rsid w:val="00BC7B2A"/>
    <w:rsid w:val="00BC7C26"/>
    <w:rsid w:val="00BC7E60"/>
    <w:rsid w:val="00BD095E"/>
    <w:rsid w:val="00BD2368"/>
    <w:rsid w:val="00BD3A7E"/>
    <w:rsid w:val="00BD3EF4"/>
    <w:rsid w:val="00BD42F6"/>
    <w:rsid w:val="00BD443D"/>
    <w:rsid w:val="00BD458C"/>
    <w:rsid w:val="00BD46E4"/>
    <w:rsid w:val="00BD52B3"/>
    <w:rsid w:val="00BD70BF"/>
    <w:rsid w:val="00BD7FB3"/>
    <w:rsid w:val="00BE4E76"/>
    <w:rsid w:val="00BE6C11"/>
    <w:rsid w:val="00BE71E5"/>
    <w:rsid w:val="00BF01D5"/>
    <w:rsid w:val="00BF30D6"/>
    <w:rsid w:val="00BF34FD"/>
    <w:rsid w:val="00BF521E"/>
    <w:rsid w:val="00BF55DD"/>
    <w:rsid w:val="00BF5CAC"/>
    <w:rsid w:val="00BF5DC5"/>
    <w:rsid w:val="00BF64CD"/>
    <w:rsid w:val="00BF7BDE"/>
    <w:rsid w:val="00BF7F8A"/>
    <w:rsid w:val="00C00778"/>
    <w:rsid w:val="00C012C5"/>
    <w:rsid w:val="00C016CB"/>
    <w:rsid w:val="00C04199"/>
    <w:rsid w:val="00C06113"/>
    <w:rsid w:val="00C079A6"/>
    <w:rsid w:val="00C07B06"/>
    <w:rsid w:val="00C1167C"/>
    <w:rsid w:val="00C13005"/>
    <w:rsid w:val="00C1493F"/>
    <w:rsid w:val="00C15138"/>
    <w:rsid w:val="00C154D3"/>
    <w:rsid w:val="00C16526"/>
    <w:rsid w:val="00C16FC6"/>
    <w:rsid w:val="00C17615"/>
    <w:rsid w:val="00C2006E"/>
    <w:rsid w:val="00C21F26"/>
    <w:rsid w:val="00C23795"/>
    <w:rsid w:val="00C248C4"/>
    <w:rsid w:val="00C253A6"/>
    <w:rsid w:val="00C2657C"/>
    <w:rsid w:val="00C2690E"/>
    <w:rsid w:val="00C26EEC"/>
    <w:rsid w:val="00C27CD2"/>
    <w:rsid w:val="00C315B2"/>
    <w:rsid w:val="00C31A74"/>
    <w:rsid w:val="00C3246E"/>
    <w:rsid w:val="00C33FFE"/>
    <w:rsid w:val="00C34006"/>
    <w:rsid w:val="00C34292"/>
    <w:rsid w:val="00C34B90"/>
    <w:rsid w:val="00C35998"/>
    <w:rsid w:val="00C36A85"/>
    <w:rsid w:val="00C37716"/>
    <w:rsid w:val="00C37929"/>
    <w:rsid w:val="00C379C3"/>
    <w:rsid w:val="00C40CAF"/>
    <w:rsid w:val="00C411A0"/>
    <w:rsid w:val="00C41A8E"/>
    <w:rsid w:val="00C4251E"/>
    <w:rsid w:val="00C426B1"/>
    <w:rsid w:val="00C4617F"/>
    <w:rsid w:val="00C464E7"/>
    <w:rsid w:val="00C46F3C"/>
    <w:rsid w:val="00C4735D"/>
    <w:rsid w:val="00C50E9C"/>
    <w:rsid w:val="00C50F9B"/>
    <w:rsid w:val="00C51262"/>
    <w:rsid w:val="00C51A3E"/>
    <w:rsid w:val="00C52876"/>
    <w:rsid w:val="00C52973"/>
    <w:rsid w:val="00C53338"/>
    <w:rsid w:val="00C543DA"/>
    <w:rsid w:val="00C555D9"/>
    <w:rsid w:val="00C55B09"/>
    <w:rsid w:val="00C569D9"/>
    <w:rsid w:val="00C56C36"/>
    <w:rsid w:val="00C56CC7"/>
    <w:rsid w:val="00C57141"/>
    <w:rsid w:val="00C57ACE"/>
    <w:rsid w:val="00C60697"/>
    <w:rsid w:val="00C61D93"/>
    <w:rsid w:val="00C62329"/>
    <w:rsid w:val="00C63A58"/>
    <w:rsid w:val="00C63C09"/>
    <w:rsid w:val="00C63C81"/>
    <w:rsid w:val="00C64454"/>
    <w:rsid w:val="00C6496F"/>
    <w:rsid w:val="00C65CE4"/>
    <w:rsid w:val="00C66160"/>
    <w:rsid w:val="00C71CFD"/>
    <w:rsid w:val="00C71E44"/>
    <w:rsid w:val="00C721AC"/>
    <w:rsid w:val="00C73878"/>
    <w:rsid w:val="00C7396E"/>
    <w:rsid w:val="00C75906"/>
    <w:rsid w:val="00C7596E"/>
    <w:rsid w:val="00C75F15"/>
    <w:rsid w:val="00C769A1"/>
    <w:rsid w:val="00C77876"/>
    <w:rsid w:val="00C80B63"/>
    <w:rsid w:val="00C811BC"/>
    <w:rsid w:val="00C8260A"/>
    <w:rsid w:val="00C82DBB"/>
    <w:rsid w:val="00C84689"/>
    <w:rsid w:val="00C855D9"/>
    <w:rsid w:val="00C8583B"/>
    <w:rsid w:val="00C860DD"/>
    <w:rsid w:val="00C86193"/>
    <w:rsid w:val="00C87131"/>
    <w:rsid w:val="00C872CA"/>
    <w:rsid w:val="00C875C2"/>
    <w:rsid w:val="00C879C1"/>
    <w:rsid w:val="00C87E33"/>
    <w:rsid w:val="00C87F2F"/>
    <w:rsid w:val="00C90D6A"/>
    <w:rsid w:val="00C90E31"/>
    <w:rsid w:val="00C91FB9"/>
    <w:rsid w:val="00C922D0"/>
    <w:rsid w:val="00C92B2B"/>
    <w:rsid w:val="00C9324D"/>
    <w:rsid w:val="00C944F6"/>
    <w:rsid w:val="00C949A3"/>
    <w:rsid w:val="00C95973"/>
    <w:rsid w:val="00C95B11"/>
    <w:rsid w:val="00C95BED"/>
    <w:rsid w:val="00C95D02"/>
    <w:rsid w:val="00C978CB"/>
    <w:rsid w:val="00C97EA3"/>
    <w:rsid w:val="00CA247E"/>
    <w:rsid w:val="00CA3BF5"/>
    <w:rsid w:val="00CA4004"/>
    <w:rsid w:val="00CA41EF"/>
    <w:rsid w:val="00CA4458"/>
    <w:rsid w:val="00CA51C1"/>
    <w:rsid w:val="00CA640E"/>
    <w:rsid w:val="00CA72F8"/>
    <w:rsid w:val="00CA7AE5"/>
    <w:rsid w:val="00CA7DD2"/>
    <w:rsid w:val="00CB1D57"/>
    <w:rsid w:val="00CB35ED"/>
    <w:rsid w:val="00CB534F"/>
    <w:rsid w:val="00CB6A6B"/>
    <w:rsid w:val="00CC0455"/>
    <w:rsid w:val="00CC0CA8"/>
    <w:rsid w:val="00CC17CA"/>
    <w:rsid w:val="00CC1F09"/>
    <w:rsid w:val="00CC45F9"/>
    <w:rsid w:val="00CC72B6"/>
    <w:rsid w:val="00CD1522"/>
    <w:rsid w:val="00CD180A"/>
    <w:rsid w:val="00CD2314"/>
    <w:rsid w:val="00CD347A"/>
    <w:rsid w:val="00CD4B3F"/>
    <w:rsid w:val="00CD542D"/>
    <w:rsid w:val="00CD5C6E"/>
    <w:rsid w:val="00CD6370"/>
    <w:rsid w:val="00CD6464"/>
    <w:rsid w:val="00CD6E65"/>
    <w:rsid w:val="00CD6F67"/>
    <w:rsid w:val="00CD7E60"/>
    <w:rsid w:val="00CE4BCE"/>
    <w:rsid w:val="00CE6370"/>
    <w:rsid w:val="00CE67CD"/>
    <w:rsid w:val="00CE75AC"/>
    <w:rsid w:val="00CE77FB"/>
    <w:rsid w:val="00CF0B39"/>
    <w:rsid w:val="00CF148D"/>
    <w:rsid w:val="00CF1923"/>
    <w:rsid w:val="00CF1B5C"/>
    <w:rsid w:val="00CF2B2D"/>
    <w:rsid w:val="00CF2DCD"/>
    <w:rsid w:val="00CF3292"/>
    <w:rsid w:val="00CF566D"/>
    <w:rsid w:val="00CF5ABF"/>
    <w:rsid w:val="00CF6033"/>
    <w:rsid w:val="00CF62BC"/>
    <w:rsid w:val="00CF7C42"/>
    <w:rsid w:val="00CF7C76"/>
    <w:rsid w:val="00D00309"/>
    <w:rsid w:val="00D004B1"/>
    <w:rsid w:val="00D009E7"/>
    <w:rsid w:val="00D01AC0"/>
    <w:rsid w:val="00D01ED5"/>
    <w:rsid w:val="00D0218D"/>
    <w:rsid w:val="00D02605"/>
    <w:rsid w:val="00D0301F"/>
    <w:rsid w:val="00D0390F"/>
    <w:rsid w:val="00D0394E"/>
    <w:rsid w:val="00D03F39"/>
    <w:rsid w:val="00D0613F"/>
    <w:rsid w:val="00D06F40"/>
    <w:rsid w:val="00D138B1"/>
    <w:rsid w:val="00D167BE"/>
    <w:rsid w:val="00D16C7D"/>
    <w:rsid w:val="00D233A2"/>
    <w:rsid w:val="00D252A7"/>
    <w:rsid w:val="00D258CF"/>
    <w:rsid w:val="00D25FB5"/>
    <w:rsid w:val="00D27338"/>
    <w:rsid w:val="00D30417"/>
    <w:rsid w:val="00D318E7"/>
    <w:rsid w:val="00D32579"/>
    <w:rsid w:val="00D33795"/>
    <w:rsid w:val="00D34B42"/>
    <w:rsid w:val="00D372AB"/>
    <w:rsid w:val="00D3742C"/>
    <w:rsid w:val="00D375EA"/>
    <w:rsid w:val="00D40A45"/>
    <w:rsid w:val="00D415B8"/>
    <w:rsid w:val="00D4196D"/>
    <w:rsid w:val="00D4213A"/>
    <w:rsid w:val="00D4313C"/>
    <w:rsid w:val="00D431D4"/>
    <w:rsid w:val="00D4321E"/>
    <w:rsid w:val="00D43A7F"/>
    <w:rsid w:val="00D43DEB"/>
    <w:rsid w:val="00D43FD4"/>
    <w:rsid w:val="00D44198"/>
    <w:rsid w:val="00D44223"/>
    <w:rsid w:val="00D45148"/>
    <w:rsid w:val="00D45227"/>
    <w:rsid w:val="00D46452"/>
    <w:rsid w:val="00D47ACB"/>
    <w:rsid w:val="00D508BB"/>
    <w:rsid w:val="00D50996"/>
    <w:rsid w:val="00D51240"/>
    <w:rsid w:val="00D52C87"/>
    <w:rsid w:val="00D544A4"/>
    <w:rsid w:val="00D5477E"/>
    <w:rsid w:val="00D5574B"/>
    <w:rsid w:val="00D55B17"/>
    <w:rsid w:val="00D55C13"/>
    <w:rsid w:val="00D5698F"/>
    <w:rsid w:val="00D56D8F"/>
    <w:rsid w:val="00D6046A"/>
    <w:rsid w:val="00D6055E"/>
    <w:rsid w:val="00D61616"/>
    <w:rsid w:val="00D61E38"/>
    <w:rsid w:val="00D6201B"/>
    <w:rsid w:val="00D626DE"/>
    <w:rsid w:val="00D6290B"/>
    <w:rsid w:val="00D62BFC"/>
    <w:rsid w:val="00D634D2"/>
    <w:rsid w:val="00D636F9"/>
    <w:rsid w:val="00D638F6"/>
    <w:rsid w:val="00D6391D"/>
    <w:rsid w:val="00D65916"/>
    <w:rsid w:val="00D66650"/>
    <w:rsid w:val="00D66D24"/>
    <w:rsid w:val="00D670C5"/>
    <w:rsid w:val="00D675AF"/>
    <w:rsid w:val="00D70F71"/>
    <w:rsid w:val="00D71AE0"/>
    <w:rsid w:val="00D726FB"/>
    <w:rsid w:val="00D7314B"/>
    <w:rsid w:val="00D7405D"/>
    <w:rsid w:val="00D74B0B"/>
    <w:rsid w:val="00D75117"/>
    <w:rsid w:val="00D75971"/>
    <w:rsid w:val="00D76153"/>
    <w:rsid w:val="00D81A16"/>
    <w:rsid w:val="00D82420"/>
    <w:rsid w:val="00D82EFD"/>
    <w:rsid w:val="00D83B19"/>
    <w:rsid w:val="00D84425"/>
    <w:rsid w:val="00D84805"/>
    <w:rsid w:val="00D85470"/>
    <w:rsid w:val="00D869B3"/>
    <w:rsid w:val="00D915E2"/>
    <w:rsid w:val="00D91930"/>
    <w:rsid w:val="00D919D5"/>
    <w:rsid w:val="00D92E3F"/>
    <w:rsid w:val="00D92F0A"/>
    <w:rsid w:val="00D94C94"/>
    <w:rsid w:val="00D95079"/>
    <w:rsid w:val="00D951DB"/>
    <w:rsid w:val="00D96A9B"/>
    <w:rsid w:val="00D96F8C"/>
    <w:rsid w:val="00D97441"/>
    <w:rsid w:val="00D978F2"/>
    <w:rsid w:val="00DA1875"/>
    <w:rsid w:val="00DA2529"/>
    <w:rsid w:val="00DA2578"/>
    <w:rsid w:val="00DA2B13"/>
    <w:rsid w:val="00DA2D10"/>
    <w:rsid w:val="00DA2DF4"/>
    <w:rsid w:val="00DA3560"/>
    <w:rsid w:val="00DA6CD3"/>
    <w:rsid w:val="00DA74B6"/>
    <w:rsid w:val="00DA7F92"/>
    <w:rsid w:val="00DB0A62"/>
    <w:rsid w:val="00DB130A"/>
    <w:rsid w:val="00DB2EBB"/>
    <w:rsid w:val="00DB3093"/>
    <w:rsid w:val="00DB3E7D"/>
    <w:rsid w:val="00DB43C2"/>
    <w:rsid w:val="00DB517D"/>
    <w:rsid w:val="00DB6160"/>
    <w:rsid w:val="00DB73BE"/>
    <w:rsid w:val="00DB758A"/>
    <w:rsid w:val="00DB76AE"/>
    <w:rsid w:val="00DC016A"/>
    <w:rsid w:val="00DC02CD"/>
    <w:rsid w:val="00DC10A1"/>
    <w:rsid w:val="00DC2657"/>
    <w:rsid w:val="00DC36B2"/>
    <w:rsid w:val="00DC4961"/>
    <w:rsid w:val="00DC5FD2"/>
    <w:rsid w:val="00DC616C"/>
    <w:rsid w:val="00DC655F"/>
    <w:rsid w:val="00DC73C2"/>
    <w:rsid w:val="00DC7616"/>
    <w:rsid w:val="00DD06B9"/>
    <w:rsid w:val="00DD0B59"/>
    <w:rsid w:val="00DD12BA"/>
    <w:rsid w:val="00DD2021"/>
    <w:rsid w:val="00DD211F"/>
    <w:rsid w:val="00DD21EF"/>
    <w:rsid w:val="00DD4E3B"/>
    <w:rsid w:val="00DD5FFF"/>
    <w:rsid w:val="00DD68A8"/>
    <w:rsid w:val="00DD7EBD"/>
    <w:rsid w:val="00DE15F9"/>
    <w:rsid w:val="00DE28C5"/>
    <w:rsid w:val="00DE3BBF"/>
    <w:rsid w:val="00DE3D53"/>
    <w:rsid w:val="00DE5204"/>
    <w:rsid w:val="00DE72C5"/>
    <w:rsid w:val="00DF053C"/>
    <w:rsid w:val="00DF29C4"/>
    <w:rsid w:val="00DF3509"/>
    <w:rsid w:val="00DF390C"/>
    <w:rsid w:val="00DF5959"/>
    <w:rsid w:val="00DF5D7D"/>
    <w:rsid w:val="00DF62B6"/>
    <w:rsid w:val="00DF6506"/>
    <w:rsid w:val="00DF7170"/>
    <w:rsid w:val="00DF74DA"/>
    <w:rsid w:val="00DF7C69"/>
    <w:rsid w:val="00E02CC6"/>
    <w:rsid w:val="00E02EEC"/>
    <w:rsid w:val="00E03C25"/>
    <w:rsid w:val="00E03FB1"/>
    <w:rsid w:val="00E040D6"/>
    <w:rsid w:val="00E04769"/>
    <w:rsid w:val="00E04ABA"/>
    <w:rsid w:val="00E04B43"/>
    <w:rsid w:val="00E07225"/>
    <w:rsid w:val="00E07FEE"/>
    <w:rsid w:val="00E10142"/>
    <w:rsid w:val="00E10A34"/>
    <w:rsid w:val="00E13068"/>
    <w:rsid w:val="00E13369"/>
    <w:rsid w:val="00E1445D"/>
    <w:rsid w:val="00E1487F"/>
    <w:rsid w:val="00E15010"/>
    <w:rsid w:val="00E16F7F"/>
    <w:rsid w:val="00E1743C"/>
    <w:rsid w:val="00E17539"/>
    <w:rsid w:val="00E2052A"/>
    <w:rsid w:val="00E20723"/>
    <w:rsid w:val="00E20993"/>
    <w:rsid w:val="00E218EF"/>
    <w:rsid w:val="00E22DF0"/>
    <w:rsid w:val="00E23336"/>
    <w:rsid w:val="00E253AE"/>
    <w:rsid w:val="00E25BFC"/>
    <w:rsid w:val="00E25E91"/>
    <w:rsid w:val="00E2613C"/>
    <w:rsid w:val="00E2644F"/>
    <w:rsid w:val="00E270F3"/>
    <w:rsid w:val="00E3267E"/>
    <w:rsid w:val="00E33677"/>
    <w:rsid w:val="00E3405C"/>
    <w:rsid w:val="00E36179"/>
    <w:rsid w:val="00E37634"/>
    <w:rsid w:val="00E37C20"/>
    <w:rsid w:val="00E40D93"/>
    <w:rsid w:val="00E40F45"/>
    <w:rsid w:val="00E4166E"/>
    <w:rsid w:val="00E4378A"/>
    <w:rsid w:val="00E44CF6"/>
    <w:rsid w:val="00E452E0"/>
    <w:rsid w:val="00E45A83"/>
    <w:rsid w:val="00E4625D"/>
    <w:rsid w:val="00E47762"/>
    <w:rsid w:val="00E50190"/>
    <w:rsid w:val="00E51BF2"/>
    <w:rsid w:val="00E52BA6"/>
    <w:rsid w:val="00E53222"/>
    <w:rsid w:val="00E53F3F"/>
    <w:rsid w:val="00E5409F"/>
    <w:rsid w:val="00E54656"/>
    <w:rsid w:val="00E55EA1"/>
    <w:rsid w:val="00E56030"/>
    <w:rsid w:val="00E56D8C"/>
    <w:rsid w:val="00E5754B"/>
    <w:rsid w:val="00E605EB"/>
    <w:rsid w:val="00E60723"/>
    <w:rsid w:val="00E60A1E"/>
    <w:rsid w:val="00E60AEE"/>
    <w:rsid w:val="00E640A3"/>
    <w:rsid w:val="00E669CE"/>
    <w:rsid w:val="00E6701B"/>
    <w:rsid w:val="00E6718C"/>
    <w:rsid w:val="00E67B25"/>
    <w:rsid w:val="00E72953"/>
    <w:rsid w:val="00E745EF"/>
    <w:rsid w:val="00E746CE"/>
    <w:rsid w:val="00E74F01"/>
    <w:rsid w:val="00E75201"/>
    <w:rsid w:val="00E75D51"/>
    <w:rsid w:val="00E76BD7"/>
    <w:rsid w:val="00E77147"/>
    <w:rsid w:val="00E772CD"/>
    <w:rsid w:val="00E81547"/>
    <w:rsid w:val="00E81FD6"/>
    <w:rsid w:val="00E8266B"/>
    <w:rsid w:val="00E83D93"/>
    <w:rsid w:val="00E848C1"/>
    <w:rsid w:val="00E84BAD"/>
    <w:rsid w:val="00E85629"/>
    <w:rsid w:val="00E86473"/>
    <w:rsid w:val="00E90F66"/>
    <w:rsid w:val="00E91066"/>
    <w:rsid w:val="00E91C18"/>
    <w:rsid w:val="00E92AB3"/>
    <w:rsid w:val="00E945C2"/>
    <w:rsid w:val="00E95886"/>
    <w:rsid w:val="00E97AC9"/>
    <w:rsid w:val="00EA0081"/>
    <w:rsid w:val="00EA05FB"/>
    <w:rsid w:val="00EA1645"/>
    <w:rsid w:val="00EA2479"/>
    <w:rsid w:val="00EA338D"/>
    <w:rsid w:val="00EA4898"/>
    <w:rsid w:val="00EB00F3"/>
    <w:rsid w:val="00EB0A9C"/>
    <w:rsid w:val="00EB1601"/>
    <w:rsid w:val="00EB1C73"/>
    <w:rsid w:val="00EB1EB3"/>
    <w:rsid w:val="00EB2DA9"/>
    <w:rsid w:val="00EB39B8"/>
    <w:rsid w:val="00EB4096"/>
    <w:rsid w:val="00EC0D39"/>
    <w:rsid w:val="00EC18AD"/>
    <w:rsid w:val="00EC18BA"/>
    <w:rsid w:val="00EC284F"/>
    <w:rsid w:val="00EC31B0"/>
    <w:rsid w:val="00EC45D4"/>
    <w:rsid w:val="00EC6CA9"/>
    <w:rsid w:val="00EC7829"/>
    <w:rsid w:val="00ED0C4E"/>
    <w:rsid w:val="00ED1DBF"/>
    <w:rsid w:val="00ED21D8"/>
    <w:rsid w:val="00ED2E30"/>
    <w:rsid w:val="00ED4632"/>
    <w:rsid w:val="00ED57BA"/>
    <w:rsid w:val="00ED58C4"/>
    <w:rsid w:val="00ED607D"/>
    <w:rsid w:val="00ED60D9"/>
    <w:rsid w:val="00ED6D66"/>
    <w:rsid w:val="00ED719D"/>
    <w:rsid w:val="00ED7AF1"/>
    <w:rsid w:val="00EE0A02"/>
    <w:rsid w:val="00EE0D6C"/>
    <w:rsid w:val="00EE1368"/>
    <w:rsid w:val="00EE2D6F"/>
    <w:rsid w:val="00EE5403"/>
    <w:rsid w:val="00EE58C3"/>
    <w:rsid w:val="00EE5D7B"/>
    <w:rsid w:val="00EE6488"/>
    <w:rsid w:val="00EE71B9"/>
    <w:rsid w:val="00EF0183"/>
    <w:rsid w:val="00EF0BFB"/>
    <w:rsid w:val="00EF0C24"/>
    <w:rsid w:val="00EF0FD4"/>
    <w:rsid w:val="00EF1F3D"/>
    <w:rsid w:val="00EF2C41"/>
    <w:rsid w:val="00EF590F"/>
    <w:rsid w:val="00EF736A"/>
    <w:rsid w:val="00EF7558"/>
    <w:rsid w:val="00F0006C"/>
    <w:rsid w:val="00F00C27"/>
    <w:rsid w:val="00F01373"/>
    <w:rsid w:val="00F021FA"/>
    <w:rsid w:val="00F02519"/>
    <w:rsid w:val="00F04C06"/>
    <w:rsid w:val="00F04C95"/>
    <w:rsid w:val="00F06252"/>
    <w:rsid w:val="00F06501"/>
    <w:rsid w:val="00F07101"/>
    <w:rsid w:val="00F10272"/>
    <w:rsid w:val="00F113F8"/>
    <w:rsid w:val="00F1159C"/>
    <w:rsid w:val="00F1246B"/>
    <w:rsid w:val="00F125E2"/>
    <w:rsid w:val="00F12CC9"/>
    <w:rsid w:val="00F15645"/>
    <w:rsid w:val="00F15F34"/>
    <w:rsid w:val="00F169FC"/>
    <w:rsid w:val="00F20D6A"/>
    <w:rsid w:val="00F21C32"/>
    <w:rsid w:val="00F2310A"/>
    <w:rsid w:val="00F23DC2"/>
    <w:rsid w:val="00F246B8"/>
    <w:rsid w:val="00F24A82"/>
    <w:rsid w:val="00F24E6B"/>
    <w:rsid w:val="00F25958"/>
    <w:rsid w:val="00F26A67"/>
    <w:rsid w:val="00F270B0"/>
    <w:rsid w:val="00F27D2C"/>
    <w:rsid w:val="00F3053A"/>
    <w:rsid w:val="00F31804"/>
    <w:rsid w:val="00F31842"/>
    <w:rsid w:val="00F329F8"/>
    <w:rsid w:val="00F32A88"/>
    <w:rsid w:val="00F32F99"/>
    <w:rsid w:val="00F33437"/>
    <w:rsid w:val="00F33AD9"/>
    <w:rsid w:val="00F35217"/>
    <w:rsid w:val="00F36390"/>
    <w:rsid w:val="00F36D92"/>
    <w:rsid w:val="00F36F79"/>
    <w:rsid w:val="00F41588"/>
    <w:rsid w:val="00F41CD7"/>
    <w:rsid w:val="00F46C65"/>
    <w:rsid w:val="00F46D31"/>
    <w:rsid w:val="00F50D26"/>
    <w:rsid w:val="00F51ABF"/>
    <w:rsid w:val="00F52588"/>
    <w:rsid w:val="00F5375B"/>
    <w:rsid w:val="00F548FB"/>
    <w:rsid w:val="00F54922"/>
    <w:rsid w:val="00F5502C"/>
    <w:rsid w:val="00F55148"/>
    <w:rsid w:val="00F55EB0"/>
    <w:rsid w:val="00F55F46"/>
    <w:rsid w:val="00F56411"/>
    <w:rsid w:val="00F567AB"/>
    <w:rsid w:val="00F56B7E"/>
    <w:rsid w:val="00F6033A"/>
    <w:rsid w:val="00F60377"/>
    <w:rsid w:val="00F616FF"/>
    <w:rsid w:val="00F62756"/>
    <w:rsid w:val="00F62E97"/>
    <w:rsid w:val="00F634B5"/>
    <w:rsid w:val="00F64209"/>
    <w:rsid w:val="00F64E1D"/>
    <w:rsid w:val="00F65056"/>
    <w:rsid w:val="00F66217"/>
    <w:rsid w:val="00F67A1C"/>
    <w:rsid w:val="00F70440"/>
    <w:rsid w:val="00F70F58"/>
    <w:rsid w:val="00F7207D"/>
    <w:rsid w:val="00F7286F"/>
    <w:rsid w:val="00F72A26"/>
    <w:rsid w:val="00F72A55"/>
    <w:rsid w:val="00F72F48"/>
    <w:rsid w:val="00F747AE"/>
    <w:rsid w:val="00F7593D"/>
    <w:rsid w:val="00F76686"/>
    <w:rsid w:val="00F77BB4"/>
    <w:rsid w:val="00F77DBE"/>
    <w:rsid w:val="00F81433"/>
    <w:rsid w:val="00F8211F"/>
    <w:rsid w:val="00F8346B"/>
    <w:rsid w:val="00F84322"/>
    <w:rsid w:val="00F8554F"/>
    <w:rsid w:val="00F85E21"/>
    <w:rsid w:val="00F85F86"/>
    <w:rsid w:val="00F86EAC"/>
    <w:rsid w:val="00F90435"/>
    <w:rsid w:val="00F90814"/>
    <w:rsid w:val="00F9189C"/>
    <w:rsid w:val="00F92802"/>
    <w:rsid w:val="00F9339F"/>
    <w:rsid w:val="00F936D6"/>
    <w:rsid w:val="00F93BF5"/>
    <w:rsid w:val="00F93EFB"/>
    <w:rsid w:val="00FA041B"/>
    <w:rsid w:val="00FA0FC4"/>
    <w:rsid w:val="00FA1269"/>
    <w:rsid w:val="00FA2ACC"/>
    <w:rsid w:val="00FA2BC5"/>
    <w:rsid w:val="00FA2C20"/>
    <w:rsid w:val="00FA4D71"/>
    <w:rsid w:val="00FA52C9"/>
    <w:rsid w:val="00FA5964"/>
    <w:rsid w:val="00FA5A95"/>
    <w:rsid w:val="00FA5A98"/>
    <w:rsid w:val="00FA7864"/>
    <w:rsid w:val="00FB0C67"/>
    <w:rsid w:val="00FB1E51"/>
    <w:rsid w:val="00FB354C"/>
    <w:rsid w:val="00FB37DA"/>
    <w:rsid w:val="00FB3819"/>
    <w:rsid w:val="00FB4001"/>
    <w:rsid w:val="00FB4389"/>
    <w:rsid w:val="00FB486A"/>
    <w:rsid w:val="00FB5525"/>
    <w:rsid w:val="00FB6B71"/>
    <w:rsid w:val="00FB6D4D"/>
    <w:rsid w:val="00FB6F2F"/>
    <w:rsid w:val="00FC2AAD"/>
    <w:rsid w:val="00FC303C"/>
    <w:rsid w:val="00FC35C6"/>
    <w:rsid w:val="00FC44D4"/>
    <w:rsid w:val="00FC4E73"/>
    <w:rsid w:val="00FC51E9"/>
    <w:rsid w:val="00FC7A3A"/>
    <w:rsid w:val="00FD0158"/>
    <w:rsid w:val="00FD04EA"/>
    <w:rsid w:val="00FD22CE"/>
    <w:rsid w:val="00FD4195"/>
    <w:rsid w:val="00FD6059"/>
    <w:rsid w:val="00FD6585"/>
    <w:rsid w:val="00FD70EF"/>
    <w:rsid w:val="00FD7A79"/>
    <w:rsid w:val="00FE1132"/>
    <w:rsid w:val="00FE2205"/>
    <w:rsid w:val="00FE5443"/>
    <w:rsid w:val="00FE61D6"/>
    <w:rsid w:val="00FE62A0"/>
    <w:rsid w:val="00FE64FC"/>
    <w:rsid w:val="00FE6A33"/>
    <w:rsid w:val="00FE70DC"/>
    <w:rsid w:val="00FE7246"/>
    <w:rsid w:val="00FE7DE9"/>
    <w:rsid w:val="00FE7E76"/>
    <w:rsid w:val="00FF0C09"/>
    <w:rsid w:val="00FF21D7"/>
    <w:rsid w:val="00FF2A82"/>
    <w:rsid w:val="00FF2FAF"/>
    <w:rsid w:val="00FF36A5"/>
    <w:rsid w:val="00FF388A"/>
    <w:rsid w:val="00FF3AF7"/>
    <w:rsid w:val="00FF563F"/>
    <w:rsid w:val="00FF6E81"/>
    <w:rsid w:val="0E1DAB68"/>
    <w:rsid w:val="1D9D78A3"/>
    <w:rsid w:val="2462E4EC"/>
    <w:rsid w:val="473CAD8E"/>
    <w:rsid w:val="50E8226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6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40A45"/>
    <w:rPr>
      <w:rFonts w:eastAsiaTheme="minorHAnsi" w:cstheme="minorBidi"/>
      <w:sz w:val="24"/>
      <w:szCs w:val="24"/>
    </w:rPr>
  </w:style>
  <w:style w:type="paragraph" w:styleId="Heading1">
    <w:name w:val="heading 1"/>
    <w:basedOn w:val="Normal"/>
    <w:next w:val="ParaNum"/>
    <w:link w:val="Heading1Char"/>
    <w:qFormat/>
    <w:rsid w:val="00987DAB"/>
    <w:pPr>
      <w:keepNext/>
      <w:numPr>
        <w:numId w:val="8"/>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C34B90"/>
    <w:pPr>
      <w:keepNext/>
      <w:numPr>
        <w:ilvl w:val="1"/>
        <w:numId w:val="8"/>
      </w:numPr>
      <w:spacing w:after="120"/>
      <w:outlineLvl w:val="1"/>
    </w:pPr>
    <w:rPr>
      <w:rFonts w:cs="Times New Roman"/>
      <w:b/>
    </w:rPr>
  </w:style>
  <w:style w:type="paragraph" w:styleId="Heading3">
    <w:name w:val="heading 3"/>
    <w:basedOn w:val="Normal"/>
    <w:next w:val="ParaNum"/>
    <w:link w:val="Heading3Char"/>
    <w:qFormat/>
    <w:rsid w:val="00987DAB"/>
    <w:pPr>
      <w:keepNext/>
      <w:numPr>
        <w:ilvl w:val="2"/>
        <w:numId w:val="8"/>
      </w:numPr>
      <w:tabs>
        <w:tab w:val="left" w:pos="2160"/>
      </w:tabs>
      <w:spacing w:after="120"/>
      <w:outlineLvl w:val="2"/>
    </w:pPr>
    <w:rPr>
      <w:b/>
    </w:rPr>
  </w:style>
  <w:style w:type="paragraph" w:styleId="Heading4">
    <w:name w:val="heading 4"/>
    <w:basedOn w:val="Normal"/>
    <w:next w:val="ParaNum"/>
    <w:link w:val="Heading4Char"/>
    <w:qFormat/>
    <w:rsid w:val="00987DAB"/>
    <w:pPr>
      <w:keepNext/>
      <w:numPr>
        <w:ilvl w:val="3"/>
        <w:numId w:val="8"/>
      </w:numPr>
      <w:tabs>
        <w:tab w:val="left" w:pos="2880"/>
      </w:tabs>
      <w:spacing w:after="120"/>
      <w:outlineLvl w:val="3"/>
    </w:pPr>
    <w:rPr>
      <w:b/>
    </w:rPr>
  </w:style>
  <w:style w:type="paragraph" w:styleId="Heading5">
    <w:name w:val="heading 5"/>
    <w:basedOn w:val="Normal"/>
    <w:next w:val="ParaNum"/>
    <w:link w:val="Heading5Char"/>
    <w:qFormat/>
    <w:rsid w:val="00987DAB"/>
    <w:pPr>
      <w:keepNext/>
      <w:numPr>
        <w:ilvl w:val="4"/>
        <w:numId w:val="8"/>
      </w:numPr>
      <w:tabs>
        <w:tab w:val="left" w:pos="3600"/>
      </w:tabs>
      <w:suppressAutoHyphens/>
      <w:spacing w:after="120"/>
      <w:outlineLvl w:val="4"/>
    </w:pPr>
    <w:rPr>
      <w:b/>
    </w:rPr>
  </w:style>
  <w:style w:type="paragraph" w:styleId="Heading6">
    <w:name w:val="heading 6"/>
    <w:aliases w:val="Heading 6 Char2,Heading 6 Char1 Char,Heading 6 Char Char Char,Heading 6 Char Char1,Heading 6 Char1,Heading 6 Char Char,h6"/>
    <w:basedOn w:val="Normal"/>
    <w:next w:val="ParaNum"/>
    <w:link w:val="Heading6Char"/>
    <w:qFormat/>
    <w:rsid w:val="00987DAB"/>
    <w:pPr>
      <w:numPr>
        <w:ilvl w:val="5"/>
        <w:numId w:val="8"/>
      </w:numPr>
      <w:tabs>
        <w:tab w:val="left" w:pos="4320"/>
      </w:tabs>
      <w:spacing w:after="120"/>
      <w:outlineLvl w:val="5"/>
    </w:pPr>
    <w:rPr>
      <w:b/>
    </w:rPr>
  </w:style>
  <w:style w:type="paragraph" w:styleId="Heading7">
    <w:name w:val="heading 7"/>
    <w:basedOn w:val="Normal"/>
    <w:next w:val="ParaNum"/>
    <w:link w:val="Heading7Char"/>
    <w:qFormat/>
    <w:rsid w:val="00987DAB"/>
    <w:pPr>
      <w:numPr>
        <w:ilvl w:val="6"/>
        <w:numId w:val="8"/>
      </w:numPr>
      <w:tabs>
        <w:tab w:val="left" w:pos="5040"/>
      </w:tabs>
      <w:spacing w:after="120"/>
      <w:ind w:left="5040" w:hanging="720"/>
      <w:outlineLvl w:val="6"/>
    </w:pPr>
    <w:rPr>
      <w:b/>
    </w:rPr>
  </w:style>
  <w:style w:type="paragraph" w:styleId="Heading8">
    <w:name w:val="heading 8"/>
    <w:basedOn w:val="Normal"/>
    <w:next w:val="ParaNum"/>
    <w:link w:val="Heading8Char"/>
    <w:qFormat/>
    <w:rsid w:val="00987DAB"/>
    <w:pPr>
      <w:numPr>
        <w:ilvl w:val="7"/>
        <w:numId w:val="8"/>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987DAB"/>
    <w:pPr>
      <w:numPr>
        <w:ilvl w:val="8"/>
        <w:numId w:val="8"/>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40A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0A45"/>
  </w:style>
  <w:style w:type="paragraph" w:customStyle="1" w:styleId="ParaNum">
    <w:name w:val="ParaNum"/>
    <w:basedOn w:val="Normal"/>
    <w:link w:val="ParaNumChar"/>
    <w:rsid w:val="00987DAB"/>
    <w:pPr>
      <w:numPr>
        <w:numId w:val="1"/>
      </w:numPr>
      <w:spacing w:after="120"/>
    </w:pPr>
  </w:style>
  <w:style w:type="paragraph" w:styleId="EndnoteText">
    <w:name w:val="endnote text"/>
    <w:basedOn w:val="Normal"/>
    <w:link w:val="EndnoteTextChar"/>
    <w:semiHidden/>
    <w:rsid w:val="00987DAB"/>
    <w:rPr>
      <w:sz w:val="20"/>
    </w:rPr>
  </w:style>
  <w:style w:type="character" w:styleId="EndnoteReference">
    <w:name w:val="endnote reference"/>
    <w:semiHidden/>
    <w:rsid w:val="00987DAB"/>
    <w:rPr>
      <w:vertAlign w:val="superscript"/>
    </w:rPr>
  </w:style>
  <w:style w:type="paragraph" w:styleId="FootnoteText">
    <w:name w:val="footnote text"/>
    <w:aliases w:val="Footnote Text Char2 Char,Footnote Text Char1 Char Char,Footnote Text Char Char Char Char,Footnote Text Char1 Char2 Char Char Char,Footnote Text Char1 Char Char Char Char Char Char,ALTS FOOTNOTE,fn,Footnote Text Char1,f,ALTS FOOTNOT,FOOT"/>
    <w:link w:val="FootnoteTextChar"/>
    <w:rsid w:val="00987DAB"/>
    <w:pPr>
      <w:spacing w:after="120"/>
    </w:pPr>
  </w:style>
  <w:style w:type="character" w:styleId="FootnoteReference">
    <w:name w:val="footnote reference"/>
    <w:aliases w:val="Appel note de bas de p,Style 12,(NECG) Footnote Reference,Style 13,Style 124,fr,o,Style 3,FR,Style 17,Style 6,Footnote Reference/,Style 4,Style 7,Footnote Reference1,Style 34,Style 9"/>
    <w:uiPriority w:val="99"/>
    <w:rsid w:val="00987DAB"/>
    <w:rPr>
      <w:rFonts w:ascii="Times New Roman" w:hAnsi="Times New Roman"/>
      <w:dstrike w:val="0"/>
      <w:color w:val="auto"/>
      <w:sz w:val="20"/>
      <w:vertAlign w:val="superscript"/>
    </w:rPr>
  </w:style>
  <w:style w:type="paragraph" w:styleId="TOC1">
    <w:name w:val="toc 1"/>
    <w:basedOn w:val="Normal"/>
    <w:next w:val="Normal"/>
    <w:rsid w:val="00987DAB"/>
    <w:pPr>
      <w:tabs>
        <w:tab w:val="left" w:pos="360"/>
        <w:tab w:val="right" w:leader="dot" w:pos="9360"/>
      </w:tabs>
      <w:suppressAutoHyphens/>
      <w:ind w:left="360" w:right="720" w:hanging="360"/>
    </w:pPr>
    <w:rPr>
      <w:caps/>
      <w:noProof/>
    </w:rPr>
  </w:style>
  <w:style w:type="paragraph" w:styleId="TOC2">
    <w:name w:val="toc 2"/>
    <w:basedOn w:val="Normal"/>
    <w:next w:val="Normal"/>
    <w:rsid w:val="00987DAB"/>
    <w:pPr>
      <w:tabs>
        <w:tab w:val="left" w:pos="720"/>
        <w:tab w:val="right" w:leader="dot" w:pos="9360"/>
      </w:tabs>
      <w:suppressAutoHyphens/>
      <w:ind w:left="720" w:right="720" w:hanging="360"/>
    </w:pPr>
    <w:rPr>
      <w:noProof/>
    </w:rPr>
  </w:style>
  <w:style w:type="paragraph" w:styleId="TOC3">
    <w:name w:val="toc 3"/>
    <w:basedOn w:val="Normal"/>
    <w:next w:val="Normal"/>
    <w:rsid w:val="00987DAB"/>
    <w:pPr>
      <w:tabs>
        <w:tab w:val="left" w:pos="1080"/>
        <w:tab w:val="right" w:leader="dot" w:pos="9360"/>
      </w:tabs>
      <w:suppressAutoHyphens/>
      <w:ind w:left="1080" w:right="720" w:hanging="360"/>
    </w:pPr>
    <w:rPr>
      <w:noProof/>
    </w:rPr>
  </w:style>
  <w:style w:type="paragraph" w:styleId="TOC4">
    <w:name w:val="toc 4"/>
    <w:basedOn w:val="Normal"/>
    <w:next w:val="Normal"/>
    <w:autoRedefine/>
    <w:rsid w:val="00987DAB"/>
    <w:pPr>
      <w:tabs>
        <w:tab w:val="left" w:pos="1440"/>
        <w:tab w:val="right" w:leader="dot" w:pos="9360"/>
      </w:tabs>
      <w:suppressAutoHyphens/>
      <w:ind w:left="1440" w:right="720" w:hanging="360"/>
    </w:pPr>
    <w:rPr>
      <w:noProof/>
    </w:rPr>
  </w:style>
  <w:style w:type="paragraph" w:styleId="TOC5">
    <w:name w:val="toc 5"/>
    <w:basedOn w:val="Normal"/>
    <w:next w:val="Normal"/>
    <w:autoRedefine/>
    <w:rsid w:val="00987DA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87DA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87DA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87DA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87DA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87DAB"/>
    <w:pPr>
      <w:tabs>
        <w:tab w:val="right" w:pos="9360"/>
      </w:tabs>
      <w:suppressAutoHyphens/>
    </w:pPr>
  </w:style>
  <w:style w:type="character" w:customStyle="1" w:styleId="EquationCaption">
    <w:name w:val="_Equation Caption"/>
    <w:rsid w:val="00987DAB"/>
  </w:style>
  <w:style w:type="paragraph" w:styleId="Header">
    <w:name w:val="header"/>
    <w:basedOn w:val="Normal"/>
    <w:link w:val="HeaderChar"/>
    <w:autoRedefine/>
    <w:rsid w:val="00B36A19"/>
    <w:pPr>
      <w:tabs>
        <w:tab w:val="center" w:pos="4680"/>
        <w:tab w:val="right" w:pos="9360"/>
      </w:tabs>
    </w:pPr>
    <w:rPr>
      <w:rFonts w:cs="Times New Roman"/>
      <w:b/>
    </w:rPr>
  </w:style>
  <w:style w:type="paragraph" w:styleId="Footer">
    <w:name w:val="footer"/>
    <w:basedOn w:val="Normal"/>
    <w:link w:val="FooterChar"/>
    <w:rsid w:val="00987DAB"/>
    <w:pPr>
      <w:tabs>
        <w:tab w:val="center" w:pos="4320"/>
        <w:tab w:val="right" w:pos="8640"/>
      </w:tabs>
    </w:pPr>
  </w:style>
  <w:style w:type="character" w:styleId="PageNumber">
    <w:name w:val="page number"/>
    <w:basedOn w:val="DefaultParagraphFont"/>
    <w:rsid w:val="00987DAB"/>
  </w:style>
  <w:style w:type="paragraph" w:styleId="BlockText">
    <w:name w:val="Block Text"/>
    <w:basedOn w:val="Normal"/>
    <w:rsid w:val="00987DAB"/>
    <w:pPr>
      <w:spacing w:after="240"/>
      <w:ind w:left="1440" w:right="1440"/>
    </w:pPr>
  </w:style>
  <w:style w:type="paragraph" w:customStyle="1" w:styleId="Paratitle">
    <w:name w:val="Para title"/>
    <w:basedOn w:val="Normal"/>
    <w:rsid w:val="00987DAB"/>
    <w:pPr>
      <w:tabs>
        <w:tab w:val="center" w:pos="9270"/>
      </w:tabs>
      <w:spacing w:after="240"/>
    </w:pPr>
    <w:rPr>
      <w:spacing w:val="-2"/>
    </w:rPr>
  </w:style>
  <w:style w:type="paragraph" w:customStyle="1" w:styleId="Bullet">
    <w:name w:val="Bullet"/>
    <w:basedOn w:val="Normal"/>
    <w:rsid w:val="00987DAB"/>
    <w:pPr>
      <w:tabs>
        <w:tab w:val="left" w:pos="2160"/>
      </w:tabs>
      <w:spacing w:after="220"/>
      <w:ind w:left="2160" w:hanging="720"/>
    </w:pPr>
  </w:style>
  <w:style w:type="paragraph" w:customStyle="1" w:styleId="TableFormat">
    <w:name w:val="TableFormat"/>
    <w:basedOn w:val="Bullet"/>
    <w:rsid w:val="00987DAB"/>
    <w:pPr>
      <w:tabs>
        <w:tab w:val="clear" w:pos="2160"/>
        <w:tab w:val="left" w:pos="5040"/>
      </w:tabs>
      <w:ind w:left="5040" w:hanging="3600"/>
    </w:pPr>
  </w:style>
  <w:style w:type="paragraph" w:customStyle="1" w:styleId="TOCTitle">
    <w:name w:val="TOC Title"/>
    <w:basedOn w:val="Normal"/>
    <w:rsid w:val="00987DA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87DAB"/>
    <w:pPr>
      <w:jc w:val="center"/>
    </w:pPr>
    <w:rPr>
      <w:rFonts w:ascii="Times New Roman Bold" w:hAnsi="Times New Roman Bold"/>
      <w:b/>
      <w:bCs/>
      <w:caps/>
    </w:rPr>
  </w:style>
  <w:style w:type="character" w:styleId="Hyperlink">
    <w:name w:val="Hyperlink"/>
    <w:rsid w:val="00987DAB"/>
    <w:rPr>
      <w:color w:val="0000FF"/>
      <w:u w:val="single"/>
    </w:rPr>
  </w:style>
  <w:style w:type="character" w:customStyle="1" w:styleId="Heading1Char">
    <w:name w:val="Heading 1 Char"/>
    <w:link w:val="Heading1"/>
    <w:rsid w:val="00F548FB"/>
    <w:rPr>
      <w:rFonts w:ascii="Times New Roman Bold" w:hAnsi="Times New Roman Bold"/>
      <w:b/>
      <w:caps/>
      <w:snapToGrid w:val="0"/>
      <w:kern w:val="28"/>
      <w:sz w:val="22"/>
    </w:rPr>
  </w:style>
  <w:style w:type="character" w:customStyle="1" w:styleId="Heading2Char">
    <w:name w:val="Heading 2 Char"/>
    <w:link w:val="Heading2"/>
    <w:rsid w:val="00C34B90"/>
    <w:rPr>
      <w:rFonts w:eastAsiaTheme="minorHAnsi"/>
      <w:b/>
      <w:sz w:val="22"/>
      <w:szCs w:val="22"/>
    </w:rPr>
  </w:style>
  <w:style w:type="character" w:customStyle="1" w:styleId="Heading3Char">
    <w:name w:val="Heading 3 Char"/>
    <w:link w:val="Heading3"/>
    <w:rsid w:val="00F548FB"/>
    <w:rPr>
      <w:b/>
      <w:snapToGrid w:val="0"/>
      <w:kern w:val="28"/>
      <w:sz w:val="22"/>
    </w:rPr>
  </w:style>
  <w:style w:type="character" w:customStyle="1" w:styleId="Heading4Char">
    <w:name w:val="Heading 4 Char"/>
    <w:link w:val="Heading4"/>
    <w:rsid w:val="00F548FB"/>
    <w:rPr>
      <w:b/>
      <w:snapToGrid w:val="0"/>
      <w:kern w:val="28"/>
      <w:sz w:val="22"/>
    </w:rPr>
  </w:style>
  <w:style w:type="character" w:customStyle="1" w:styleId="Heading5Char">
    <w:name w:val="Heading 5 Char"/>
    <w:link w:val="Heading5"/>
    <w:rsid w:val="00F548FB"/>
    <w:rPr>
      <w:b/>
      <w:snapToGrid w:val="0"/>
      <w:kern w:val="28"/>
      <w:sz w:val="22"/>
    </w:rPr>
  </w:style>
  <w:style w:type="character" w:customStyle="1" w:styleId="Heading6Char">
    <w:name w:val="Heading 6 Char"/>
    <w:aliases w:val="Heading 6 Char2 Char,Heading 6 Char1 Char Char,Heading 6 Char Char Char Char,Heading 6 Char Char1 Char,Heading 6 Char1 Char1,Heading 6 Char Char Char1,h6 Char"/>
    <w:link w:val="Heading6"/>
    <w:rsid w:val="00F548FB"/>
    <w:rPr>
      <w:b/>
      <w:snapToGrid w:val="0"/>
      <w:kern w:val="28"/>
      <w:sz w:val="22"/>
    </w:rPr>
  </w:style>
  <w:style w:type="character" w:customStyle="1" w:styleId="Heading7Char">
    <w:name w:val="Heading 7 Char"/>
    <w:link w:val="Heading7"/>
    <w:rsid w:val="00F548FB"/>
    <w:rPr>
      <w:b/>
      <w:snapToGrid w:val="0"/>
      <w:kern w:val="28"/>
      <w:sz w:val="22"/>
    </w:rPr>
  </w:style>
  <w:style w:type="character" w:customStyle="1" w:styleId="Heading8Char">
    <w:name w:val="Heading 8 Char"/>
    <w:link w:val="Heading8"/>
    <w:rsid w:val="00F548FB"/>
    <w:rPr>
      <w:b/>
      <w:snapToGrid w:val="0"/>
      <w:kern w:val="28"/>
      <w:sz w:val="22"/>
    </w:rPr>
  </w:style>
  <w:style w:type="character" w:customStyle="1" w:styleId="Heading9Char">
    <w:name w:val="Heading 9 Char"/>
    <w:aliases w:val="Topic Char,table Char,t Char,9 Char,Heading 9.table Char,Titre 9 Char"/>
    <w:link w:val="Heading9"/>
    <w:rsid w:val="00F548FB"/>
    <w:rPr>
      <w:b/>
      <w:snapToGrid w:val="0"/>
      <w:kern w:val="28"/>
      <w:sz w:val="22"/>
    </w:rPr>
  </w:style>
  <w:style w:type="character" w:customStyle="1" w:styleId="EndnoteTextChar">
    <w:name w:val="Endnote Text Char"/>
    <w:link w:val="EndnoteText"/>
    <w:semiHidden/>
    <w:rsid w:val="00F548FB"/>
    <w:rPr>
      <w:snapToGrid w:val="0"/>
      <w:kern w:val="28"/>
    </w:rPr>
  </w:style>
  <w:style w:type="character" w:customStyle="1" w:styleId="FootnoteTextChar">
    <w:name w:val="Footnote Text Char"/>
    <w:aliases w:val="Footnote Text Char2 Char Char,Footnote Text Char1 Char Char Char,Footnote Text Char Char Char Char Char,Footnote Text Char1 Char2 Char Char Char Char,Footnote Text Char1 Char Char Char Char Char Char Char,ALTS FOOTNOTE Char,fn Char"/>
    <w:link w:val="FootnoteText"/>
    <w:rsid w:val="00F548FB"/>
  </w:style>
  <w:style w:type="character" w:customStyle="1" w:styleId="HeaderChar">
    <w:name w:val="Header Char"/>
    <w:link w:val="Header"/>
    <w:rsid w:val="00B36A19"/>
    <w:rPr>
      <w:rFonts w:eastAsiaTheme="minorHAnsi"/>
      <w:b/>
      <w:sz w:val="22"/>
      <w:szCs w:val="22"/>
    </w:rPr>
  </w:style>
  <w:style w:type="character" w:customStyle="1" w:styleId="FooterChar">
    <w:name w:val="Footer Char"/>
    <w:link w:val="Footer"/>
    <w:rsid w:val="00F548FB"/>
    <w:rPr>
      <w:snapToGrid w:val="0"/>
      <w:kern w:val="28"/>
      <w:sz w:val="22"/>
    </w:rPr>
  </w:style>
  <w:style w:type="paragraph" w:styleId="Title">
    <w:name w:val="Title"/>
    <w:basedOn w:val="Normal"/>
    <w:next w:val="Heading1"/>
    <w:link w:val="TitleChar"/>
    <w:qFormat/>
    <w:rsid w:val="00F548FB"/>
    <w:pPr>
      <w:jc w:val="center"/>
      <w:outlineLvl w:val="0"/>
    </w:pPr>
    <w:rPr>
      <w:b/>
      <w:snapToGrid w:val="0"/>
    </w:rPr>
  </w:style>
  <w:style w:type="character" w:customStyle="1" w:styleId="TitleChar">
    <w:name w:val="Title Char"/>
    <w:link w:val="Title"/>
    <w:rsid w:val="00F548FB"/>
    <w:rPr>
      <w:b/>
      <w:kern w:val="28"/>
      <w:sz w:val="22"/>
    </w:rPr>
  </w:style>
  <w:style w:type="paragraph" w:styleId="ListParagraph">
    <w:name w:val="List Paragraph"/>
    <w:basedOn w:val="Normal"/>
    <w:uiPriority w:val="34"/>
    <w:qFormat/>
    <w:rsid w:val="00F548FB"/>
    <w:pPr>
      <w:ind w:left="720"/>
      <w:contextualSpacing/>
    </w:pPr>
    <w:rPr>
      <w:snapToGrid w:val="0"/>
    </w:rPr>
  </w:style>
  <w:style w:type="character" w:customStyle="1" w:styleId="ParaNumChar">
    <w:name w:val="ParaNum Char"/>
    <w:link w:val="ParaNum"/>
    <w:rsid w:val="004C6549"/>
    <w:rPr>
      <w:snapToGrid w:val="0"/>
      <w:kern w:val="28"/>
      <w:sz w:val="22"/>
    </w:rPr>
  </w:style>
  <w:style w:type="character" w:styleId="CommentReference">
    <w:name w:val="annotation reference"/>
    <w:uiPriority w:val="99"/>
    <w:unhideWhenUsed/>
    <w:rsid w:val="00F548FB"/>
    <w:rPr>
      <w:sz w:val="16"/>
      <w:szCs w:val="16"/>
    </w:rPr>
  </w:style>
  <w:style w:type="paragraph" w:styleId="CommentText">
    <w:name w:val="annotation text"/>
    <w:basedOn w:val="Normal"/>
    <w:link w:val="CommentTextChar"/>
    <w:uiPriority w:val="99"/>
    <w:unhideWhenUsed/>
    <w:rsid w:val="00F548FB"/>
    <w:rPr>
      <w:rFonts w:ascii="Calibri" w:eastAsia="Calibri" w:hAnsi="Calibri"/>
      <w:sz w:val="20"/>
    </w:rPr>
  </w:style>
  <w:style w:type="character" w:customStyle="1" w:styleId="CommentTextChar">
    <w:name w:val="Comment Text Char"/>
    <w:link w:val="CommentText"/>
    <w:uiPriority w:val="99"/>
    <w:rsid w:val="00F548FB"/>
    <w:rPr>
      <w:rFonts w:ascii="Calibri" w:eastAsia="Calibri" w:hAnsi="Calibri"/>
      <w:snapToGrid w:val="0"/>
      <w:kern w:val="28"/>
    </w:rPr>
  </w:style>
  <w:style w:type="paragraph" w:styleId="BalloonText">
    <w:name w:val="Balloon Text"/>
    <w:basedOn w:val="Normal"/>
    <w:link w:val="BalloonTextChar"/>
    <w:uiPriority w:val="99"/>
    <w:unhideWhenUsed/>
    <w:rsid w:val="00F548FB"/>
    <w:rPr>
      <w:rFonts w:ascii="Segoe UI" w:eastAsia="Calibri" w:hAnsi="Segoe UI" w:cs="Segoe UI"/>
      <w:sz w:val="18"/>
      <w:szCs w:val="18"/>
    </w:rPr>
  </w:style>
  <w:style w:type="character" w:customStyle="1" w:styleId="BalloonTextChar">
    <w:name w:val="Balloon Text Char"/>
    <w:link w:val="BalloonText"/>
    <w:uiPriority w:val="99"/>
    <w:rsid w:val="00F548FB"/>
    <w:rPr>
      <w:rFonts w:ascii="Segoe UI" w:eastAsia="Calibri" w:hAnsi="Segoe UI" w:cs="Segoe UI"/>
      <w:snapToGrid w:val="0"/>
      <w:kern w:val="28"/>
      <w:sz w:val="18"/>
      <w:szCs w:val="18"/>
    </w:rPr>
  </w:style>
  <w:style w:type="paragraph" w:styleId="CommentSubject">
    <w:name w:val="annotation subject"/>
    <w:basedOn w:val="CommentText"/>
    <w:next w:val="CommentText"/>
    <w:link w:val="CommentSubjectChar"/>
    <w:uiPriority w:val="99"/>
    <w:unhideWhenUsed/>
    <w:rsid w:val="00F548FB"/>
    <w:rPr>
      <w:b/>
      <w:bCs/>
    </w:rPr>
  </w:style>
  <w:style w:type="character" w:customStyle="1" w:styleId="CommentSubjectChar">
    <w:name w:val="Comment Subject Char"/>
    <w:link w:val="CommentSubject"/>
    <w:uiPriority w:val="99"/>
    <w:rsid w:val="00F548FB"/>
    <w:rPr>
      <w:rFonts w:ascii="Calibri" w:eastAsia="Calibri" w:hAnsi="Calibri"/>
      <w:b/>
      <w:bCs/>
      <w:snapToGrid w:val="0"/>
      <w:kern w:val="28"/>
    </w:rPr>
  </w:style>
  <w:style w:type="paragraph" w:styleId="ListBullet3">
    <w:name w:val="List Bullet 3"/>
    <w:basedOn w:val="Normal"/>
    <w:uiPriority w:val="99"/>
    <w:unhideWhenUsed/>
    <w:rsid w:val="00F548FB"/>
    <w:pPr>
      <w:numPr>
        <w:numId w:val="5"/>
      </w:numPr>
      <w:contextualSpacing/>
    </w:pPr>
    <w:rPr>
      <w:snapToGrid w:val="0"/>
    </w:rPr>
  </w:style>
  <w:style w:type="paragraph" w:styleId="ListBullet4">
    <w:name w:val="List Bullet 4"/>
    <w:basedOn w:val="Normal"/>
    <w:uiPriority w:val="99"/>
    <w:unhideWhenUsed/>
    <w:rsid w:val="00F548FB"/>
    <w:pPr>
      <w:tabs>
        <w:tab w:val="num" w:pos="1440"/>
      </w:tabs>
      <w:ind w:left="1440" w:hanging="360"/>
      <w:contextualSpacing/>
    </w:pPr>
    <w:rPr>
      <w:snapToGrid w:val="0"/>
    </w:rPr>
  </w:style>
  <w:style w:type="paragraph" w:styleId="BodyText">
    <w:name w:val="Body Text"/>
    <w:basedOn w:val="Normal"/>
    <w:link w:val="BodyTextChar"/>
    <w:uiPriority w:val="99"/>
    <w:unhideWhenUsed/>
    <w:rsid w:val="00F548FB"/>
    <w:pPr>
      <w:spacing w:after="120"/>
    </w:pPr>
    <w:rPr>
      <w:snapToGrid w:val="0"/>
    </w:rPr>
  </w:style>
  <w:style w:type="character" w:customStyle="1" w:styleId="BodyTextChar">
    <w:name w:val="Body Text Char"/>
    <w:link w:val="BodyText"/>
    <w:uiPriority w:val="99"/>
    <w:rsid w:val="00F548FB"/>
    <w:rPr>
      <w:kern w:val="28"/>
      <w:sz w:val="22"/>
    </w:rPr>
  </w:style>
  <w:style w:type="paragraph" w:customStyle="1" w:styleId="Byline">
    <w:name w:val="Byline"/>
    <w:basedOn w:val="BodyText"/>
    <w:rsid w:val="00F548FB"/>
  </w:style>
  <w:style w:type="paragraph" w:styleId="BodyTextIndent">
    <w:name w:val="Body Text Indent"/>
    <w:basedOn w:val="Normal"/>
    <w:link w:val="BodyTextIndentChar"/>
    <w:uiPriority w:val="99"/>
    <w:unhideWhenUsed/>
    <w:rsid w:val="00F548FB"/>
    <w:pPr>
      <w:spacing w:after="120"/>
      <w:ind w:left="360"/>
    </w:pPr>
    <w:rPr>
      <w:snapToGrid w:val="0"/>
    </w:rPr>
  </w:style>
  <w:style w:type="character" w:customStyle="1" w:styleId="BodyTextIndentChar">
    <w:name w:val="Body Text Indent Char"/>
    <w:link w:val="BodyTextIndent"/>
    <w:uiPriority w:val="99"/>
    <w:rsid w:val="00F548FB"/>
    <w:rPr>
      <w:kern w:val="28"/>
      <w:sz w:val="22"/>
    </w:rPr>
  </w:style>
  <w:style w:type="paragraph" w:styleId="BodyTextFirstIndent2">
    <w:name w:val="Body Text First Indent 2"/>
    <w:basedOn w:val="BodyTextIndent"/>
    <w:link w:val="BodyTextFirstIndent2Char"/>
    <w:uiPriority w:val="99"/>
    <w:unhideWhenUsed/>
    <w:rsid w:val="00F548FB"/>
    <w:pPr>
      <w:spacing w:after="0"/>
      <w:ind w:firstLine="360"/>
    </w:pPr>
  </w:style>
  <w:style w:type="character" w:customStyle="1" w:styleId="BodyTextFirstIndent2Char">
    <w:name w:val="Body Text First Indent 2 Char"/>
    <w:link w:val="BodyTextFirstIndent2"/>
    <w:uiPriority w:val="99"/>
    <w:rsid w:val="00F548FB"/>
    <w:rPr>
      <w:kern w:val="28"/>
      <w:sz w:val="22"/>
    </w:rPr>
  </w:style>
  <w:style w:type="character" w:customStyle="1" w:styleId="apple-converted-space">
    <w:name w:val="apple-converted-space"/>
    <w:rsid w:val="00F548FB"/>
  </w:style>
  <w:style w:type="character" w:customStyle="1" w:styleId="Heading4Char1">
    <w:name w:val="Heading 4 Char1"/>
    <w:aliases w:val="Heading 4 Char1 Char Char,Heading 4 Char2 Char Char1 Char,Heading 4 Char Char1 Char Char1 Char,Heading 4 Char1 Char Char Char Char1 Char,Heading 4 Char Char Char Char Char Char1 Char,Heading 4 Char1 Char1 Char Char1 Char"/>
    <w:rsid w:val="00F548FB"/>
    <w:rPr>
      <w:rFonts w:ascii="Times New Roman" w:eastAsia="Times New Roman" w:hAnsi="Times New Roman" w:cs="Times New Roman"/>
      <w:b/>
      <w:snapToGrid w:val="0"/>
      <w:kern w:val="28"/>
      <w:szCs w:val="20"/>
    </w:rPr>
  </w:style>
  <w:style w:type="paragraph" w:customStyle="1" w:styleId="Default">
    <w:name w:val="Default"/>
    <w:rsid w:val="00F548FB"/>
    <w:pPr>
      <w:autoSpaceDE w:val="0"/>
      <w:autoSpaceDN w:val="0"/>
      <w:adjustRightInd w:val="0"/>
    </w:pPr>
    <w:rPr>
      <w:color w:val="000000"/>
      <w:sz w:val="24"/>
      <w:szCs w:val="24"/>
    </w:rPr>
  </w:style>
  <w:style w:type="paragraph" w:styleId="NormalWeb">
    <w:name w:val="Normal (Web)"/>
    <w:basedOn w:val="Normal"/>
    <w:uiPriority w:val="99"/>
    <w:unhideWhenUsed/>
    <w:rsid w:val="00F548FB"/>
    <w:pPr>
      <w:spacing w:before="100" w:beforeAutospacing="1" w:after="100" w:afterAutospacing="1"/>
    </w:pPr>
  </w:style>
  <w:style w:type="paragraph" w:customStyle="1" w:styleId="fp-1">
    <w:name w:val="fp-1"/>
    <w:basedOn w:val="Normal"/>
    <w:rsid w:val="00F548FB"/>
    <w:pPr>
      <w:spacing w:before="100" w:beforeAutospacing="1" w:after="100" w:afterAutospacing="1"/>
    </w:pPr>
  </w:style>
  <w:style w:type="character" w:styleId="FollowedHyperlink">
    <w:name w:val="FollowedHyperlink"/>
    <w:uiPriority w:val="99"/>
    <w:unhideWhenUsed/>
    <w:rsid w:val="00F548FB"/>
    <w:rPr>
      <w:color w:val="800080"/>
      <w:u w:val="single"/>
    </w:rPr>
  </w:style>
  <w:style w:type="paragraph" w:styleId="Revision">
    <w:name w:val="Revision"/>
    <w:hidden/>
    <w:uiPriority w:val="99"/>
    <w:semiHidden/>
    <w:rsid w:val="00F548FB"/>
    <w:rPr>
      <w:snapToGrid w:val="0"/>
      <w:kern w:val="28"/>
      <w:sz w:val="22"/>
    </w:rPr>
  </w:style>
  <w:style w:type="paragraph" w:styleId="NoSpacing">
    <w:name w:val="No Spacing"/>
    <w:uiPriority w:val="1"/>
    <w:qFormat/>
    <w:rsid w:val="00F548FB"/>
    <w:pPr>
      <w:widowControl w:val="0"/>
    </w:pPr>
    <w:rPr>
      <w:snapToGrid w:val="0"/>
      <w:kern w:val="28"/>
      <w:sz w:val="22"/>
    </w:rPr>
  </w:style>
  <w:style w:type="table" w:styleId="TableGrid">
    <w:name w:val="Table Grid"/>
    <w:basedOn w:val="TableNormal"/>
    <w:uiPriority w:val="39"/>
    <w:rsid w:val="00F548F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italic">
    <w:name w:val="contentitalic"/>
    <w:rsid w:val="00F548FB"/>
  </w:style>
  <w:style w:type="character" w:customStyle="1" w:styleId="enumbell">
    <w:name w:val="enumbell"/>
    <w:rsid w:val="00F548FB"/>
  </w:style>
  <w:style w:type="character" w:customStyle="1" w:styleId="ptext-2">
    <w:name w:val="ptext-2"/>
    <w:rsid w:val="00F548FB"/>
  </w:style>
  <w:style w:type="character" w:customStyle="1" w:styleId="ptext-3">
    <w:name w:val="ptext-3"/>
    <w:rsid w:val="00F548FB"/>
  </w:style>
  <w:style w:type="character" w:customStyle="1" w:styleId="tgc">
    <w:name w:val="_tgc"/>
    <w:rsid w:val="00F548FB"/>
  </w:style>
  <w:style w:type="paragraph" w:styleId="DocumentMap">
    <w:name w:val="Document Map"/>
    <w:basedOn w:val="Normal"/>
    <w:link w:val="DocumentMapChar"/>
    <w:rsid w:val="00C52973"/>
    <w:rPr>
      <w:rFonts w:ascii="Lucida Grande" w:hAnsi="Lucida Grande" w:cs="Lucida Grande"/>
    </w:rPr>
  </w:style>
  <w:style w:type="character" w:customStyle="1" w:styleId="DocumentMapChar">
    <w:name w:val="Document Map Char"/>
    <w:basedOn w:val="DefaultParagraphFont"/>
    <w:link w:val="DocumentMap"/>
    <w:rsid w:val="00C52973"/>
    <w:rPr>
      <w:rFonts w:ascii="Lucida Grande" w:hAnsi="Lucida Grande" w:cs="Lucida Grande"/>
      <w:snapToGrid w:val="0"/>
      <w:kern w:val="28"/>
      <w:sz w:val="24"/>
      <w:szCs w:val="24"/>
    </w:rPr>
  </w:style>
  <w:style w:type="character" w:styleId="HTMLCite">
    <w:name w:val="HTML Cite"/>
    <w:basedOn w:val="DefaultParagraphFont"/>
    <w:uiPriority w:val="99"/>
    <w:unhideWhenUsed/>
    <w:rsid w:val="002D17A1"/>
    <w:rPr>
      <w:i/>
      <w:iCs/>
    </w:rPr>
  </w:style>
  <w:style w:type="character" w:customStyle="1" w:styleId="reference-accessdate">
    <w:name w:val="reference-accessdate"/>
    <w:basedOn w:val="DefaultParagraphFont"/>
    <w:rsid w:val="00AB06B6"/>
  </w:style>
  <w:style w:type="character" w:customStyle="1" w:styleId="nowrap">
    <w:name w:val="nowrap"/>
    <w:basedOn w:val="DefaultParagraphFont"/>
    <w:rsid w:val="00152C7F"/>
  </w:style>
  <w:style w:type="character" w:customStyle="1" w:styleId="reference-text">
    <w:name w:val="reference-text"/>
    <w:basedOn w:val="DefaultParagraphFont"/>
    <w:rsid w:val="00487AC1"/>
  </w:style>
  <w:style w:type="character" w:styleId="Emphasis">
    <w:name w:val="Emphasis"/>
    <w:basedOn w:val="DefaultParagraphFont"/>
    <w:uiPriority w:val="20"/>
    <w:qFormat/>
    <w:rsid w:val="002A334F"/>
    <w:rPr>
      <w:i/>
      <w:iCs/>
    </w:rPr>
  </w:style>
  <w:style w:type="character" w:customStyle="1" w:styleId="wffiletext">
    <w:name w:val="wf_file_text"/>
    <w:basedOn w:val="DefaultParagraphFont"/>
    <w:rsid w:val="003825E8"/>
  </w:style>
  <w:style w:type="character" w:customStyle="1" w:styleId="term1">
    <w:name w:val="term1"/>
    <w:basedOn w:val="DefaultParagraphFont"/>
    <w:rsid w:val="005F2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9262">
      <w:bodyDiv w:val="1"/>
      <w:marLeft w:val="0"/>
      <w:marRight w:val="0"/>
      <w:marTop w:val="0"/>
      <w:marBottom w:val="0"/>
      <w:divBdr>
        <w:top w:val="none" w:sz="0" w:space="0" w:color="auto"/>
        <w:left w:val="none" w:sz="0" w:space="0" w:color="auto"/>
        <w:bottom w:val="none" w:sz="0" w:space="0" w:color="auto"/>
        <w:right w:val="none" w:sz="0" w:space="0" w:color="auto"/>
      </w:divBdr>
    </w:div>
    <w:div w:id="76829424">
      <w:bodyDiv w:val="1"/>
      <w:marLeft w:val="0"/>
      <w:marRight w:val="0"/>
      <w:marTop w:val="0"/>
      <w:marBottom w:val="0"/>
      <w:divBdr>
        <w:top w:val="none" w:sz="0" w:space="0" w:color="auto"/>
        <w:left w:val="none" w:sz="0" w:space="0" w:color="auto"/>
        <w:bottom w:val="none" w:sz="0" w:space="0" w:color="auto"/>
        <w:right w:val="none" w:sz="0" w:space="0" w:color="auto"/>
      </w:divBdr>
    </w:div>
    <w:div w:id="77948012">
      <w:bodyDiv w:val="1"/>
      <w:marLeft w:val="0"/>
      <w:marRight w:val="0"/>
      <w:marTop w:val="0"/>
      <w:marBottom w:val="0"/>
      <w:divBdr>
        <w:top w:val="none" w:sz="0" w:space="0" w:color="auto"/>
        <w:left w:val="none" w:sz="0" w:space="0" w:color="auto"/>
        <w:bottom w:val="none" w:sz="0" w:space="0" w:color="auto"/>
        <w:right w:val="none" w:sz="0" w:space="0" w:color="auto"/>
      </w:divBdr>
    </w:div>
    <w:div w:id="120074116">
      <w:bodyDiv w:val="1"/>
      <w:marLeft w:val="0"/>
      <w:marRight w:val="0"/>
      <w:marTop w:val="0"/>
      <w:marBottom w:val="0"/>
      <w:divBdr>
        <w:top w:val="none" w:sz="0" w:space="0" w:color="auto"/>
        <w:left w:val="none" w:sz="0" w:space="0" w:color="auto"/>
        <w:bottom w:val="none" w:sz="0" w:space="0" w:color="auto"/>
        <w:right w:val="none" w:sz="0" w:space="0" w:color="auto"/>
      </w:divBdr>
    </w:div>
    <w:div w:id="207882659">
      <w:bodyDiv w:val="1"/>
      <w:marLeft w:val="0"/>
      <w:marRight w:val="0"/>
      <w:marTop w:val="0"/>
      <w:marBottom w:val="0"/>
      <w:divBdr>
        <w:top w:val="none" w:sz="0" w:space="0" w:color="auto"/>
        <w:left w:val="none" w:sz="0" w:space="0" w:color="auto"/>
        <w:bottom w:val="none" w:sz="0" w:space="0" w:color="auto"/>
        <w:right w:val="none" w:sz="0" w:space="0" w:color="auto"/>
      </w:divBdr>
    </w:div>
    <w:div w:id="210264409">
      <w:bodyDiv w:val="1"/>
      <w:marLeft w:val="0"/>
      <w:marRight w:val="0"/>
      <w:marTop w:val="0"/>
      <w:marBottom w:val="0"/>
      <w:divBdr>
        <w:top w:val="none" w:sz="0" w:space="0" w:color="auto"/>
        <w:left w:val="none" w:sz="0" w:space="0" w:color="auto"/>
        <w:bottom w:val="none" w:sz="0" w:space="0" w:color="auto"/>
        <w:right w:val="none" w:sz="0" w:space="0" w:color="auto"/>
      </w:divBdr>
    </w:div>
    <w:div w:id="228731449">
      <w:bodyDiv w:val="1"/>
      <w:marLeft w:val="0"/>
      <w:marRight w:val="0"/>
      <w:marTop w:val="0"/>
      <w:marBottom w:val="0"/>
      <w:divBdr>
        <w:top w:val="none" w:sz="0" w:space="0" w:color="auto"/>
        <w:left w:val="none" w:sz="0" w:space="0" w:color="auto"/>
        <w:bottom w:val="none" w:sz="0" w:space="0" w:color="auto"/>
        <w:right w:val="none" w:sz="0" w:space="0" w:color="auto"/>
      </w:divBdr>
    </w:div>
    <w:div w:id="322005639">
      <w:bodyDiv w:val="1"/>
      <w:marLeft w:val="0"/>
      <w:marRight w:val="0"/>
      <w:marTop w:val="0"/>
      <w:marBottom w:val="0"/>
      <w:divBdr>
        <w:top w:val="none" w:sz="0" w:space="0" w:color="auto"/>
        <w:left w:val="none" w:sz="0" w:space="0" w:color="auto"/>
        <w:bottom w:val="none" w:sz="0" w:space="0" w:color="auto"/>
        <w:right w:val="none" w:sz="0" w:space="0" w:color="auto"/>
      </w:divBdr>
    </w:div>
    <w:div w:id="501243481">
      <w:bodyDiv w:val="1"/>
      <w:marLeft w:val="0"/>
      <w:marRight w:val="0"/>
      <w:marTop w:val="0"/>
      <w:marBottom w:val="0"/>
      <w:divBdr>
        <w:top w:val="none" w:sz="0" w:space="0" w:color="auto"/>
        <w:left w:val="none" w:sz="0" w:space="0" w:color="auto"/>
        <w:bottom w:val="none" w:sz="0" w:space="0" w:color="auto"/>
        <w:right w:val="none" w:sz="0" w:space="0" w:color="auto"/>
      </w:divBdr>
    </w:div>
    <w:div w:id="576132225">
      <w:bodyDiv w:val="1"/>
      <w:marLeft w:val="0"/>
      <w:marRight w:val="0"/>
      <w:marTop w:val="0"/>
      <w:marBottom w:val="0"/>
      <w:divBdr>
        <w:top w:val="none" w:sz="0" w:space="0" w:color="auto"/>
        <w:left w:val="none" w:sz="0" w:space="0" w:color="auto"/>
        <w:bottom w:val="none" w:sz="0" w:space="0" w:color="auto"/>
        <w:right w:val="none" w:sz="0" w:space="0" w:color="auto"/>
      </w:divBdr>
    </w:div>
    <w:div w:id="639843470">
      <w:bodyDiv w:val="1"/>
      <w:marLeft w:val="0"/>
      <w:marRight w:val="0"/>
      <w:marTop w:val="0"/>
      <w:marBottom w:val="0"/>
      <w:divBdr>
        <w:top w:val="none" w:sz="0" w:space="0" w:color="auto"/>
        <w:left w:val="none" w:sz="0" w:space="0" w:color="auto"/>
        <w:bottom w:val="none" w:sz="0" w:space="0" w:color="auto"/>
        <w:right w:val="none" w:sz="0" w:space="0" w:color="auto"/>
      </w:divBdr>
      <w:divsChild>
        <w:div w:id="884440242">
          <w:marLeft w:val="0"/>
          <w:marRight w:val="0"/>
          <w:marTop w:val="0"/>
          <w:marBottom w:val="0"/>
          <w:divBdr>
            <w:top w:val="none" w:sz="0" w:space="0" w:color="auto"/>
            <w:left w:val="none" w:sz="0" w:space="0" w:color="auto"/>
            <w:bottom w:val="none" w:sz="0" w:space="0" w:color="auto"/>
            <w:right w:val="none" w:sz="0" w:space="0" w:color="auto"/>
          </w:divBdr>
        </w:div>
        <w:div w:id="1820340152">
          <w:marLeft w:val="0"/>
          <w:marRight w:val="0"/>
          <w:marTop w:val="0"/>
          <w:marBottom w:val="0"/>
          <w:divBdr>
            <w:top w:val="none" w:sz="0" w:space="0" w:color="auto"/>
            <w:left w:val="none" w:sz="0" w:space="0" w:color="auto"/>
            <w:bottom w:val="none" w:sz="0" w:space="0" w:color="auto"/>
            <w:right w:val="none" w:sz="0" w:space="0" w:color="auto"/>
          </w:divBdr>
        </w:div>
        <w:div w:id="1105267359">
          <w:marLeft w:val="0"/>
          <w:marRight w:val="0"/>
          <w:marTop w:val="0"/>
          <w:marBottom w:val="0"/>
          <w:divBdr>
            <w:top w:val="none" w:sz="0" w:space="0" w:color="auto"/>
            <w:left w:val="none" w:sz="0" w:space="0" w:color="auto"/>
            <w:bottom w:val="none" w:sz="0" w:space="0" w:color="auto"/>
            <w:right w:val="none" w:sz="0" w:space="0" w:color="auto"/>
          </w:divBdr>
        </w:div>
        <w:div w:id="1917785402">
          <w:marLeft w:val="0"/>
          <w:marRight w:val="0"/>
          <w:marTop w:val="0"/>
          <w:marBottom w:val="0"/>
          <w:divBdr>
            <w:top w:val="none" w:sz="0" w:space="0" w:color="auto"/>
            <w:left w:val="none" w:sz="0" w:space="0" w:color="auto"/>
            <w:bottom w:val="none" w:sz="0" w:space="0" w:color="auto"/>
            <w:right w:val="none" w:sz="0" w:space="0" w:color="auto"/>
          </w:divBdr>
        </w:div>
        <w:div w:id="1717663049">
          <w:marLeft w:val="0"/>
          <w:marRight w:val="0"/>
          <w:marTop w:val="0"/>
          <w:marBottom w:val="0"/>
          <w:divBdr>
            <w:top w:val="none" w:sz="0" w:space="0" w:color="auto"/>
            <w:left w:val="none" w:sz="0" w:space="0" w:color="auto"/>
            <w:bottom w:val="none" w:sz="0" w:space="0" w:color="auto"/>
            <w:right w:val="none" w:sz="0" w:space="0" w:color="auto"/>
          </w:divBdr>
        </w:div>
      </w:divsChild>
    </w:div>
    <w:div w:id="664210765">
      <w:bodyDiv w:val="1"/>
      <w:marLeft w:val="0"/>
      <w:marRight w:val="0"/>
      <w:marTop w:val="0"/>
      <w:marBottom w:val="0"/>
      <w:divBdr>
        <w:top w:val="none" w:sz="0" w:space="0" w:color="auto"/>
        <w:left w:val="none" w:sz="0" w:space="0" w:color="auto"/>
        <w:bottom w:val="none" w:sz="0" w:space="0" w:color="auto"/>
        <w:right w:val="none" w:sz="0" w:space="0" w:color="auto"/>
      </w:divBdr>
    </w:div>
    <w:div w:id="675111479">
      <w:bodyDiv w:val="1"/>
      <w:marLeft w:val="0"/>
      <w:marRight w:val="0"/>
      <w:marTop w:val="0"/>
      <w:marBottom w:val="0"/>
      <w:divBdr>
        <w:top w:val="none" w:sz="0" w:space="0" w:color="auto"/>
        <w:left w:val="none" w:sz="0" w:space="0" w:color="auto"/>
        <w:bottom w:val="none" w:sz="0" w:space="0" w:color="auto"/>
        <w:right w:val="none" w:sz="0" w:space="0" w:color="auto"/>
      </w:divBdr>
    </w:div>
    <w:div w:id="728462915">
      <w:bodyDiv w:val="1"/>
      <w:marLeft w:val="0"/>
      <w:marRight w:val="0"/>
      <w:marTop w:val="0"/>
      <w:marBottom w:val="0"/>
      <w:divBdr>
        <w:top w:val="none" w:sz="0" w:space="0" w:color="auto"/>
        <w:left w:val="none" w:sz="0" w:space="0" w:color="auto"/>
        <w:bottom w:val="none" w:sz="0" w:space="0" w:color="auto"/>
        <w:right w:val="none" w:sz="0" w:space="0" w:color="auto"/>
      </w:divBdr>
    </w:div>
    <w:div w:id="780221549">
      <w:bodyDiv w:val="1"/>
      <w:marLeft w:val="0"/>
      <w:marRight w:val="0"/>
      <w:marTop w:val="0"/>
      <w:marBottom w:val="0"/>
      <w:divBdr>
        <w:top w:val="none" w:sz="0" w:space="0" w:color="auto"/>
        <w:left w:val="none" w:sz="0" w:space="0" w:color="auto"/>
        <w:bottom w:val="none" w:sz="0" w:space="0" w:color="auto"/>
        <w:right w:val="none" w:sz="0" w:space="0" w:color="auto"/>
      </w:divBdr>
    </w:div>
    <w:div w:id="809058991">
      <w:bodyDiv w:val="1"/>
      <w:marLeft w:val="0"/>
      <w:marRight w:val="0"/>
      <w:marTop w:val="0"/>
      <w:marBottom w:val="0"/>
      <w:divBdr>
        <w:top w:val="none" w:sz="0" w:space="0" w:color="auto"/>
        <w:left w:val="none" w:sz="0" w:space="0" w:color="auto"/>
        <w:bottom w:val="none" w:sz="0" w:space="0" w:color="auto"/>
        <w:right w:val="none" w:sz="0" w:space="0" w:color="auto"/>
      </w:divBdr>
      <w:divsChild>
        <w:div w:id="1914660164">
          <w:marLeft w:val="0"/>
          <w:marRight w:val="0"/>
          <w:marTop w:val="0"/>
          <w:marBottom w:val="0"/>
          <w:divBdr>
            <w:top w:val="none" w:sz="0" w:space="0" w:color="auto"/>
            <w:left w:val="none" w:sz="0" w:space="0" w:color="auto"/>
            <w:bottom w:val="none" w:sz="0" w:space="0" w:color="auto"/>
            <w:right w:val="none" w:sz="0" w:space="0" w:color="auto"/>
          </w:divBdr>
        </w:div>
        <w:div w:id="2042317769">
          <w:marLeft w:val="0"/>
          <w:marRight w:val="0"/>
          <w:marTop w:val="0"/>
          <w:marBottom w:val="0"/>
          <w:divBdr>
            <w:top w:val="none" w:sz="0" w:space="0" w:color="auto"/>
            <w:left w:val="none" w:sz="0" w:space="0" w:color="auto"/>
            <w:bottom w:val="none" w:sz="0" w:space="0" w:color="auto"/>
            <w:right w:val="none" w:sz="0" w:space="0" w:color="auto"/>
          </w:divBdr>
        </w:div>
        <w:div w:id="1781949828">
          <w:marLeft w:val="0"/>
          <w:marRight w:val="0"/>
          <w:marTop w:val="0"/>
          <w:marBottom w:val="0"/>
          <w:divBdr>
            <w:top w:val="none" w:sz="0" w:space="0" w:color="auto"/>
            <w:left w:val="none" w:sz="0" w:space="0" w:color="auto"/>
            <w:bottom w:val="none" w:sz="0" w:space="0" w:color="auto"/>
            <w:right w:val="none" w:sz="0" w:space="0" w:color="auto"/>
          </w:divBdr>
        </w:div>
        <w:div w:id="400831420">
          <w:marLeft w:val="0"/>
          <w:marRight w:val="0"/>
          <w:marTop w:val="0"/>
          <w:marBottom w:val="0"/>
          <w:divBdr>
            <w:top w:val="none" w:sz="0" w:space="0" w:color="auto"/>
            <w:left w:val="none" w:sz="0" w:space="0" w:color="auto"/>
            <w:bottom w:val="none" w:sz="0" w:space="0" w:color="auto"/>
            <w:right w:val="none" w:sz="0" w:space="0" w:color="auto"/>
          </w:divBdr>
        </w:div>
        <w:div w:id="1410424590">
          <w:marLeft w:val="0"/>
          <w:marRight w:val="0"/>
          <w:marTop w:val="0"/>
          <w:marBottom w:val="0"/>
          <w:divBdr>
            <w:top w:val="none" w:sz="0" w:space="0" w:color="auto"/>
            <w:left w:val="none" w:sz="0" w:space="0" w:color="auto"/>
            <w:bottom w:val="none" w:sz="0" w:space="0" w:color="auto"/>
            <w:right w:val="none" w:sz="0" w:space="0" w:color="auto"/>
          </w:divBdr>
        </w:div>
        <w:div w:id="876048724">
          <w:marLeft w:val="0"/>
          <w:marRight w:val="0"/>
          <w:marTop w:val="0"/>
          <w:marBottom w:val="0"/>
          <w:divBdr>
            <w:top w:val="none" w:sz="0" w:space="0" w:color="auto"/>
            <w:left w:val="none" w:sz="0" w:space="0" w:color="auto"/>
            <w:bottom w:val="none" w:sz="0" w:space="0" w:color="auto"/>
            <w:right w:val="none" w:sz="0" w:space="0" w:color="auto"/>
          </w:divBdr>
        </w:div>
        <w:div w:id="1406488621">
          <w:marLeft w:val="0"/>
          <w:marRight w:val="0"/>
          <w:marTop w:val="0"/>
          <w:marBottom w:val="0"/>
          <w:divBdr>
            <w:top w:val="none" w:sz="0" w:space="0" w:color="auto"/>
            <w:left w:val="none" w:sz="0" w:space="0" w:color="auto"/>
            <w:bottom w:val="none" w:sz="0" w:space="0" w:color="auto"/>
            <w:right w:val="none" w:sz="0" w:space="0" w:color="auto"/>
          </w:divBdr>
        </w:div>
        <w:div w:id="1595430733">
          <w:marLeft w:val="0"/>
          <w:marRight w:val="0"/>
          <w:marTop w:val="0"/>
          <w:marBottom w:val="0"/>
          <w:divBdr>
            <w:top w:val="none" w:sz="0" w:space="0" w:color="auto"/>
            <w:left w:val="none" w:sz="0" w:space="0" w:color="auto"/>
            <w:bottom w:val="none" w:sz="0" w:space="0" w:color="auto"/>
            <w:right w:val="none" w:sz="0" w:space="0" w:color="auto"/>
          </w:divBdr>
        </w:div>
        <w:div w:id="1363628572">
          <w:marLeft w:val="0"/>
          <w:marRight w:val="0"/>
          <w:marTop w:val="0"/>
          <w:marBottom w:val="0"/>
          <w:divBdr>
            <w:top w:val="none" w:sz="0" w:space="0" w:color="auto"/>
            <w:left w:val="none" w:sz="0" w:space="0" w:color="auto"/>
            <w:bottom w:val="none" w:sz="0" w:space="0" w:color="auto"/>
            <w:right w:val="none" w:sz="0" w:space="0" w:color="auto"/>
          </w:divBdr>
        </w:div>
        <w:div w:id="418525504">
          <w:marLeft w:val="0"/>
          <w:marRight w:val="0"/>
          <w:marTop w:val="0"/>
          <w:marBottom w:val="0"/>
          <w:divBdr>
            <w:top w:val="none" w:sz="0" w:space="0" w:color="auto"/>
            <w:left w:val="none" w:sz="0" w:space="0" w:color="auto"/>
            <w:bottom w:val="none" w:sz="0" w:space="0" w:color="auto"/>
            <w:right w:val="none" w:sz="0" w:space="0" w:color="auto"/>
          </w:divBdr>
        </w:div>
        <w:div w:id="2065788667">
          <w:marLeft w:val="0"/>
          <w:marRight w:val="0"/>
          <w:marTop w:val="0"/>
          <w:marBottom w:val="0"/>
          <w:divBdr>
            <w:top w:val="none" w:sz="0" w:space="0" w:color="auto"/>
            <w:left w:val="none" w:sz="0" w:space="0" w:color="auto"/>
            <w:bottom w:val="none" w:sz="0" w:space="0" w:color="auto"/>
            <w:right w:val="none" w:sz="0" w:space="0" w:color="auto"/>
          </w:divBdr>
        </w:div>
        <w:div w:id="813571826">
          <w:marLeft w:val="0"/>
          <w:marRight w:val="0"/>
          <w:marTop w:val="0"/>
          <w:marBottom w:val="0"/>
          <w:divBdr>
            <w:top w:val="none" w:sz="0" w:space="0" w:color="auto"/>
            <w:left w:val="none" w:sz="0" w:space="0" w:color="auto"/>
            <w:bottom w:val="none" w:sz="0" w:space="0" w:color="auto"/>
            <w:right w:val="none" w:sz="0" w:space="0" w:color="auto"/>
          </w:divBdr>
        </w:div>
        <w:div w:id="985091193">
          <w:marLeft w:val="0"/>
          <w:marRight w:val="0"/>
          <w:marTop w:val="0"/>
          <w:marBottom w:val="0"/>
          <w:divBdr>
            <w:top w:val="none" w:sz="0" w:space="0" w:color="auto"/>
            <w:left w:val="none" w:sz="0" w:space="0" w:color="auto"/>
            <w:bottom w:val="none" w:sz="0" w:space="0" w:color="auto"/>
            <w:right w:val="none" w:sz="0" w:space="0" w:color="auto"/>
          </w:divBdr>
        </w:div>
        <w:div w:id="1787772796">
          <w:marLeft w:val="0"/>
          <w:marRight w:val="0"/>
          <w:marTop w:val="0"/>
          <w:marBottom w:val="0"/>
          <w:divBdr>
            <w:top w:val="none" w:sz="0" w:space="0" w:color="auto"/>
            <w:left w:val="none" w:sz="0" w:space="0" w:color="auto"/>
            <w:bottom w:val="none" w:sz="0" w:space="0" w:color="auto"/>
            <w:right w:val="none" w:sz="0" w:space="0" w:color="auto"/>
          </w:divBdr>
        </w:div>
        <w:div w:id="468132991">
          <w:marLeft w:val="0"/>
          <w:marRight w:val="0"/>
          <w:marTop w:val="0"/>
          <w:marBottom w:val="0"/>
          <w:divBdr>
            <w:top w:val="none" w:sz="0" w:space="0" w:color="auto"/>
            <w:left w:val="none" w:sz="0" w:space="0" w:color="auto"/>
            <w:bottom w:val="none" w:sz="0" w:space="0" w:color="auto"/>
            <w:right w:val="none" w:sz="0" w:space="0" w:color="auto"/>
          </w:divBdr>
        </w:div>
        <w:div w:id="643319337">
          <w:marLeft w:val="0"/>
          <w:marRight w:val="0"/>
          <w:marTop w:val="0"/>
          <w:marBottom w:val="0"/>
          <w:divBdr>
            <w:top w:val="none" w:sz="0" w:space="0" w:color="auto"/>
            <w:left w:val="none" w:sz="0" w:space="0" w:color="auto"/>
            <w:bottom w:val="none" w:sz="0" w:space="0" w:color="auto"/>
            <w:right w:val="none" w:sz="0" w:space="0" w:color="auto"/>
          </w:divBdr>
        </w:div>
        <w:div w:id="1059592407">
          <w:marLeft w:val="0"/>
          <w:marRight w:val="0"/>
          <w:marTop w:val="0"/>
          <w:marBottom w:val="0"/>
          <w:divBdr>
            <w:top w:val="none" w:sz="0" w:space="0" w:color="auto"/>
            <w:left w:val="none" w:sz="0" w:space="0" w:color="auto"/>
            <w:bottom w:val="none" w:sz="0" w:space="0" w:color="auto"/>
            <w:right w:val="none" w:sz="0" w:space="0" w:color="auto"/>
          </w:divBdr>
        </w:div>
        <w:div w:id="14158799">
          <w:marLeft w:val="0"/>
          <w:marRight w:val="0"/>
          <w:marTop w:val="0"/>
          <w:marBottom w:val="0"/>
          <w:divBdr>
            <w:top w:val="none" w:sz="0" w:space="0" w:color="auto"/>
            <w:left w:val="none" w:sz="0" w:space="0" w:color="auto"/>
            <w:bottom w:val="none" w:sz="0" w:space="0" w:color="auto"/>
            <w:right w:val="none" w:sz="0" w:space="0" w:color="auto"/>
          </w:divBdr>
        </w:div>
        <w:div w:id="69085620">
          <w:marLeft w:val="0"/>
          <w:marRight w:val="0"/>
          <w:marTop w:val="0"/>
          <w:marBottom w:val="0"/>
          <w:divBdr>
            <w:top w:val="none" w:sz="0" w:space="0" w:color="auto"/>
            <w:left w:val="none" w:sz="0" w:space="0" w:color="auto"/>
            <w:bottom w:val="none" w:sz="0" w:space="0" w:color="auto"/>
            <w:right w:val="none" w:sz="0" w:space="0" w:color="auto"/>
          </w:divBdr>
        </w:div>
        <w:div w:id="1907111081">
          <w:marLeft w:val="0"/>
          <w:marRight w:val="0"/>
          <w:marTop w:val="0"/>
          <w:marBottom w:val="0"/>
          <w:divBdr>
            <w:top w:val="none" w:sz="0" w:space="0" w:color="auto"/>
            <w:left w:val="none" w:sz="0" w:space="0" w:color="auto"/>
            <w:bottom w:val="none" w:sz="0" w:space="0" w:color="auto"/>
            <w:right w:val="none" w:sz="0" w:space="0" w:color="auto"/>
          </w:divBdr>
        </w:div>
        <w:div w:id="1318877503">
          <w:marLeft w:val="0"/>
          <w:marRight w:val="0"/>
          <w:marTop w:val="0"/>
          <w:marBottom w:val="0"/>
          <w:divBdr>
            <w:top w:val="none" w:sz="0" w:space="0" w:color="auto"/>
            <w:left w:val="none" w:sz="0" w:space="0" w:color="auto"/>
            <w:bottom w:val="none" w:sz="0" w:space="0" w:color="auto"/>
            <w:right w:val="none" w:sz="0" w:space="0" w:color="auto"/>
          </w:divBdr>
        </w:div>
        <w:div w:id="506166851">
          <w:marLeft w:val="0"/>
          <w:marRight w:val="0"/>
          <w:marTop w:val="0"/>
          <w:marBottom w:val="0"/>
          <w:divBdr>
            <w:top w:val="none" w:sz="0" w:space="0" w:color="auto"/>
            <w:left w:val="none" w:sz="0" w:space="0" w:color="auto"/>
            <w:bottom w:val="none" w:sz="0" w:space="0" w:color="auto"/>
            <w:right w:val="none" w:sz="0" w:space="0" w:color="auto"/>
          </w:divBdr>
        </w:div>
        <w:div w:id="1942449215">
          <w:marLeft w:val="0"/>
          <w:marRight w:val="0"/>
          <w:marTop w:val="0"/>
          <w:marBottom w:val="0"/>
          <w:divBdr>
            <w:top w:val="none" w:sz="0" w:space="0" w:color="auto"/>
            <w:left w:val="none" w:sz="0" w:space="0" w:color="auto"/>
            <w:bottom w:val="none" w:sz="0" w:space="0" w:color="auto"/>
            <w:right w:val="none" w:sz="0" w:space="0" w:color="auto"/>
          </w:divBdr>
        </w:div>
        <w:div w:id="1374697123">
          <w:marLeft w:val="0"/>
          <w:marRight w:val="0"/>
          <w:marTop w:val="0"/>
          <w:marBottom w:val="0"/>
          <w:divBdr>
            <w:top w:val="none" w:sz="0" w:space="0" w:color="auto"/>
            <w:left w:val="none" w:sz="0" w:space="0" w:color="auto"/>
            <w:bottom w:val="none" w:sz="0" w:space="0" w:color="auto"/>
            <w:right w:val="none" w:sz="0" w:space="0" w:color="auto"/>
          </w:divBdr>
        </w:div>
        <w:div w:id="688793937">
          <w:marLeft w:val="0"/>
          <w:marRight w:val="0"/>
          <w:marTop w:val="0"/>
          <w:marBottom w:val="0"/>
          <w:divBdr>
            <w:top w:val="none" w:sz="0" w:space="0" w:color="auto"/>
            <w:left w:val="none" w:sz="0" w:space="0" w:color="auto"/>
            <w:bottom w:val="none" w:sz="0" w:space="0" w:color="auto"/>
            <w:right w:val="none" w:sz="0" w:space="0" w:color="auto"/>
          </w:divBdr>
        </w:div>
        <w:div w:id="691227698">
          <w:marLeft w:val="0"/>
          <w:marRight w:val="0"/>
          <w:marTop w:val="0"/>
          <w:marBottom w:val="0"/>
          <w:divBdr>
            <w:top w:val="none" w:sz="0" w:space="0" w:color="auto"/>
            <w:left w:val="none" w:sz="0" w:space="0" w:color="auto"/>
            <w:bottom w:val="none" w:sz="0" w:space="0" w:color="auto"/>
            <w:right w:val="none" w:sz="0" w:space="0" w:color="auto"/>
          </w:divBdr>
        </w:div>
        <w:div w:id="649749567">
          <w:marLeft w:val="0"/>
          <w:marRight w:val="0"/>
          <w:marTop w:val="0"/>
          <w:marBottom w:val="0"/>
          <w:divBdr>
            <w:top w:val="none" w:sz="0" w:space="0" w:color="auto"/>
            <w:left w:val="none" w:sz="0" w:space="0" w:color="auto"/>
            <w:bottom w:val="none" w:sz="0" w:space="0" w:color="auto"/>
            <w:right w:val="none" w:sz="0" w:space="0" w:color="auto"/>
          </w:divBdr>
        </w:div>
        <w:div w:id="1745683985">
          <w:marLeft w:val="0"/>
          <w:marRight w:val="0"/>
          <w:marTop w:val="0"/>
          <w:marBottom w:val="0"/>
          <w:divBdr>
            <w:top w:val="none" w:sz="0" w:space="0" w:color="auto"/>
            <w:left w:val="none" w:sz="0" w:space="0" w:color="auto"/>
            <w:bottom w:val="none" w:sz="0" w:space="0" w:color="auto"/>
            <w:right w:val="none" w:sz="0" w:space="0" w:color="auto"/>
          </w:divBdr>
        </w:div>
        <w:div w:id="1058436440">
          <w:marLeft w:val="0"/>
          <w:marRight w:val="0"/>
          <w:marTop w:val="0"/>
          <w:marBottom w:val="0"/>
          <w:divBdr>
            <w:top w:val="none" w:sz="0" w:space="0" w:color="auto"/>
            <w:left w:val="none" w:sz="0" w:space="0" w:color="auto"/>
            <w:bottom w:val="none" w:sz="0" w:space="0" w:color="auto"/>
            <w:right w:val="none" w:sz="0" w:space="0" w:color="auto"/>
          </w:divBdr>
        </w:div>
        <w:div w:id="1424109376">
          <w:marLeft w:val="0"/>
          <w:marRight w:val="0"/>
          <w:marTop w:val="0"/>
          <w:marBottom w:val="0"/>
          <w:divBdr>
            <w:top w:val="none" w:sz="0" w:space="0" w:color="auto"/>
            <w:left w:val="none" w:sz="0" w:space="0" w:color="auto"/>
            <w:bottom w:val="none" w:sz="0" w:space="0" w:color="auto"/>
            <w:right w:val="none" w:sz="0" w:space="0" w:color="auto"/>
          </w:divBdr>
        </w:div>
      </w:divsChild>
    </w:div>
    <w:div w:id="1011369318">
      <w:bodyDiv w:val="1"/>
      <w:marLeft w:val="0"/>
      <w:marRight w:val="0"/>
      <w:marTop w:val="0"/>
      <w:marBottom w:val="0"/>
      <w:divBdr>
        <w:top w:val="none" w:sz="0" w:space="0" w:color="auto"/>
        <w:left w:val="none" w:sz="0" w:space="0" w:color="auto"/>
        <w:bottom w:val="none" w:sz="0" w:space="0" w:color="auto"/>
        <w:right w:val="none" w:sz="0" w:space="0" w:color="auto"/>
      </w:divBdr>
    </w:div>
    <w:div w:id="1022366673">
      <w:bodyDiv w:val="1"/>
      <w:marLeft w:val="0"/>
      <w:marRight w:val="0"/>
      <w:marTop w:val="0"/>
      <w:marBottom w:val="0"/>
      <w:divBdr>
        <w:top w:val="none" w:sz="0" w:space="0" w:color="auto"/>
        <w:left w:val="none" w:sz="0" w:space="0" w:color="auto"/>
        <w:bottom w:val="none" w:sz="0" w:space="0" w:color="auto"/>
        <w:right w:val="none" w:sz="0" w:space="0" w:color="auto"/>
      </w:divBdr>
    </w:div>
    <w:div w:id="1069841588">
      <w:bodyDiv w:val="1"/>
      <w:marLeft w:val="0"/>
      <w:marRight w:val="0"/>
      <w:marTop w:val="0"/>
      <w:marBottom w:val="0"/>
      <w:divBdr>
        <w:top w:val="none" w:sz="0" w:space="0" w:color="auto"/>
        <w:left w:val="none" w:sz="0" w:space="0" w:color="auto"/>
        <w:bottom w:val="none" w:sz="0" w:space="0" w:color="auto"/>
        <w:right w:val="none" w:sz="0" w:space="0" w:color="auto"/>
      </w:divBdr>
    </w:div>
    <w:div w:id="1112242622">
      <w:bodyDiv w:val="1"/>
      <w:marLeft w:val="0"/>
      <w:marRight w:val="0"/>
      <w:marTop w:val="0"/>
      <w:marBottom w:val="0"/>
      <w:divBdr>
        <w:top w:val="none" w:sz="0" w:space="0" w:color="auto"/>
        <w:left w:val="none" w:sz="0" w:space="0" w:color="auto"/>
        <w:bottom w:val="none" w:sz="0" w:space="0" w:color="auto"/>
        <w:right w:val="none" w:sz="0" w:space="0" w:color="auto"/>
      </w:divBdr>
    </w:div>
    <w:div w:id="1148522556">
      <w:bodyDiv w:val="1"/>
      <w:marLeft w:val="0"/>
      <w:marRight w:val="0"/>
      <w:marTop w:val="0"/>
      <w:marBottom w:val="0"/>
      <w:divBdr>
        <w:top w:val="none" w:sz="0" w:space="0" w:color="auto"/>
        <w:left w:val="none" w:sz="0" w:space="0" w:color="auto"/>
        <w:bottom w:val="none" w:sz="0" w:space="0" w:color="auto"/>
        <w:right w:val="none" w:sz="0" w:space="0" w:color="auto"/>
      </w:divBdr>
    </w:div>
    <w:div w:id="1156336930">
      <w:bodyDiv w:val="1"/>
      <w:marLeft w:val="0"/>
      <w:marRight w:val="0"/>
      <w:marTop w:val="0"/>
      <w:marBottom w:val="0"/>
      <w:divBdr>
        <w:top w:val="none" w:sz="0" w:space="0" w:color="auto"/>
        <w:left w:val="none" w:sz="0" w:space="0" w:color="auto"/>
        <w:bottom w:val="none" w:sz="0" w:space="0" w:color="auto"/>
        <w:right w:val="none" w:sz="0" w:space="0" w:color="auto"/>
      </w:divBdr>
    </w:div>
    <w:div w:id="1277249515">
      <w:bodyDiv w:val="1"/>
      <w:marLeft w:val="0"/>
      <w:marRight w:val="0"/>
      <w:marTop w:val="0"/>
      <w:marBottom w:val="0"/>
      <w:divBdr>
        <w:top w:val="none" w:sz="0" w:space="0" w:color="auto"/>
        <w:left w:val="none" w:sz="0" w:space="0" w:color="auto"/>
        <w:bottom w:val="none" w:sz="0" w:space="0" w:color="auto"/>
        <w:right w:val="none" w:sz="0" w:space="0" w:color="auto"/>
      </w:divBdr>
    </w:div>
    <w:div w:id="1304852686">
      <w:bodyDiv w:val="1"/>
      <w:marLeft w:val="0"/>
      <w:marRight w:val="0"/>
      <w:marTop w:val="0"/>
      <w:marBottom w:val="0"/>
      <w:divBdr>
        <w:top w:val="none" w:sz="0" w:space="0" w:color="auto"/>
        <w:left w:val="none" w:sz="0" w:space="0" w:color="auto"/>
        <w:bottom w:val="none" w:sz="0" w:space="0" w:color="auto"/>
        <w:right w:val="none" w:sz="0" w:space="0" w:color="auto"/>
      </w:divBdr>
    </w:div>
    <w:div w:id="1357849523">
      <w:bodyDiv w:val="1"/>
      <w:marLeft w:val="0"/>
      <w:marRight w:val="0"/>
      <w:marTop w:val="0"/>
      <w:marBottom w:val="0"/>
      <w:divBdr>
        <w:top w:val="none" w:sz="0" w:space="0" w:color="auto"/>
        <w:left w:val="none" w:sz="0" w:space="0" w:color="auto"/>
        <w:bottom w:val="none" w:sz="0" w:space="0" w:color="auto"/>
        <w:right w:val="none" w:sz="0" w:space="0" w:color="auto"/>
      </w:divBdr>
    </w:div>
    <w:div w:id="1372731803">
      <w:bodyDiv w:val="1"/>
      <w:marLeft w:val="0"/>
      <w:marRight w:val="0"/>
      <w:marTop w:val="0"/>
      <w:marBottom w:val="0"/>
      <w:divBdr>
        <w:top w:val="none" w:sz="0" w:space="0" w:color="auto"/>
        <w:left w:val="none" w:sz="0" w:space="0" w:color="auto"/>
        <w:bottom w:val="none" w:sz="0" w:space="0" w:color="auto"/>
        <w:right w:val="none" w:sz="0" w:space="0" w:color="auto"/>
      </w:divBdr>
      <w:divsChild>
        <w:div w:id="720710569">
          <w:marLeft w:val="0"/>
          <w:marRight w:val="0"/>
          <w:marTop w:val="0"/>
          <w:marBottom w:val="0"/>
          <w:divBdr>
            <w:top w:val="none" w:sz="0" w:space="0" w:color="auto"/>
            <w:left w:val="none" w:sz="0" w:space="0" w:color="auto"/>
            <w:bottom w:val="none" w:sz="0" w:space="0" w:color="auto"/>
            <w:right w:val="none" w:sz="0" w:space="0" w:color="auto"/>
          </w:divBdr>
        </w:div>
        <w:div w:id="268244732">
          <w:marLeft w:val="0"/>
          <w:marRight w:val="0"/>
          <w:marTop w:val="0"/>
          <w:marBottom w:val="0"/>
          <w:divBdr>
            <w:top w:val="none" w:sz="0" w:space="0" w:color="auto"/>
            <w:left w:val="none" w:sz="0" w:space="0" w:color="auto"/>
            <w:bottom w:val="none" w:sz="0" w:space="0" w:color="auto"/>
            <w:right w:val="none" w:sz="0" w:space="0" w:color="auto"/>
          </w:divBdr>
        </w:div>
      </w:divsChild>
    </w:div>
    <w:div w:id="1390572698">
      <w:bodyDiv w:val="1"/>
      <w:marLeft w:val="0"/>
      <w:marRight w:val="0"/>
      <w:marTop w:val="0"/>
      <w:marBottom w:val="0"/>
      <w:divBdr>
        <w:top w:val="none" w:sz="0" w:space="0" w:color="auto"/>
        <w:left w:val="none" w:sz="0" w:space="0" w:color="auto"/>
        <w:bottom w:val="none" w:sz="0" w:space="0" w:color="auto"/>
        <w:right w:val="none" w:sz="0" w:space="0" w:color="auto"/>
      </w:divBdr>
    </w:div>
    <w:div w:id="1481651461">
      <w:bodyDiv w:val="1"/>
      <w:marLeft w:val="0"/>
      <w:marRight w:val="0"/>
      <w:marTop w:val="0"/>
      <w:marBottom w:val="0"/>
      <w:divBdr>
        <w:top w:val="none" w:sz="0" w:space="0" w:color="auto"/>
        <w:left w:val="none" w:sz="0" w:space="0" w:color="auto"/>
        <w:bottom w:val="none" w:sz="0" w:space="0" w:color="auto"/>
        <w:right w:val="none" w:sz="0" w:space="0" w:color="auto"/>
      </w:divBdr>
    </w:div>
    <w:div w:id="1511794129">
      <w:bodyDiv w:val="1"/>
      <w:marLeft w:val="0"/>
      <w:marRight w:val="0"/>
      <w:marTop w:val="0"/>
      <w:marBottom w:val="0"/>
      <w:divBdr>
        <w:top w:val="none" w:sz="0" w:space="0" w:color="auto"/>
        <w:left w:val="none" w:sz="0" w:space="0" w:color="auto"/>
        <w:bottom w:val="none" w:sz="0" w:space="0" w:color="auto"/>
        <w:right w:val="none" w:sz="0" w:space="0" w:color="auto"/>
      </w:divBdr>
    </w:div>
    <w:div w:id="1667394166">
      <w:bodyDiv w:val="1"/>
      <w:marLeft w:val="0"/>
      <w:marRight w:val="0"/>
      <w:marTop w:val="0"/>
      <w:marBottom w:val="0"/>
      <w:divBdr>
        <w:top w:val="none" w:sz="0" w:space="0" w:color="auto"/>
        <w:left w:val="none" w:sz="0" w:space="0" w:color="auto"/>
        <w:bottom w:val="none" w:sz="0" w:space="0" w:color="auto"/>
        <w:right w:val="none" w:sz="0" w:space="0" w:color="auto"/>
      </w:divBdr>
    </w:div>
    <w:div w:id="1698845300">
      <w:bodyDiv w:val="1"/>
      <w:marLeft w:val="0"/>
      <w:marRight w:val="0"/>
      <w:marTop w:val="0"/>
      <w:marBottom w:val="0"/>
      <w:divBdr>
        <w:top w:val="none" w:sz="0" w:space="0" w:color="auto"/>
        <w:left w:val="none" w:sz="0" w:space="0" w:color="auto"/>
        <w:bottom w:val="none" w:sz="0" w:space="0" w:color="auto"/>
        <w:right w:val="none" w:sz="0" w:space="0" w:color="auto"/>
      </w:divBdr>
    </w:div>
    <w:div w:id="1707027784">
      <w:bodyDiv w:val="1"/>
      <w:marLeft w:val="0"/>
      <w:marRight w:val="0"/>
      <w:marTop w:val="0"/>
      <w:marBottom w:val="0"/>
      <w:divBdr>
        <w:top w:val="none" w:sz="0" w:space="0" w:color="auto"/>
        <w:left w:val="none" w:sz="0" w:space="0" w:color="auto"/>
        <w:bottom w:val="none" w:sz="0" w:space="0" w:color="auto"/>
        <w:right w:val="none" w:sz="0" w:space="0" w:color="auto"/>
      </w:divBdr>
      <w:divsChild>
        <w:div w:id="82145147">
          <w:marLeft w:val="0"/>
          <w:marRight w:val="0"/>
          <w:marTop w:val="0"/>
          <w:marBottom w:val="0"/>
          <w:divBdr>
            <w:top w:val="none" w:sz="0" w:space="0" w:color="auto"/>
            <w:left w:val="none" w:sz="0" w:space="0" w:color="auto"/>
            <w:bottom w:val="none" w:sz="0" w:space="0" w:color="auto"/>
            <w:right w:val="none" w:sz="0" w:space="0" w:color="auto"/>
          </w:divBdr>
        </w:div>
        <w:div w:id="1787038656">
          <w:marLeft w:val="0"/>
          <w:marRight w:val="0"/>
          <w:marTop w:val="0"/>
          <w:marBottom w:val="0"/>
          <w:divBdr>
            <w:top w:val="none" w:sz="0" w:space="0" w:color="auto"/>
            <w:left w:val="none" w:sz="0" w:space="0" w:color="auto"/>
            <w:bottom w:val="none" w:sz="0" w:space="0" w:color="auto"/>
            <w:right w:val="none" w:sz="0" w:space="0" w:color="auto"/>
          </w:divBdr>
        </w:div>
        <w:div w:id="1483934242">
          <w:marLeft w:val="0"/>
          <w:marRight w:val="0"/>
          <w:marTop w:val="0"/>
          <w:marBottom w:val="0"/>
          <w:divBdr>
            <w:top w:val="none" w:sz="0" w:space="0" w:color="auto"/>
            <w:left w:val="none" w:sz="0" w:space="0" w:color="auto"/>
            <w:bottom w:val="none" w:sz="0" w:space="0" w:color="auto"/>
            <w:right w:val="none" w:sz="0" w:space="0" w:color="auto"/>
          </w:divBdr>
        </w:div>
        <w:div w:id="1203009811">
          <w:marLeft w:val="0"/>
          <w:marRight w:val="0"/>
          <w:marTop w:val="0"/>
          <w:marBottom w:val="0"/>
          <w:divBdr>
            <w:top w:val="none" w:sz="0" w:space="0" w:color="auto"/>
            <w:left w:val="none" w:sz="0" w:space="0" w:color="auto"/>
            <w:bottom w:val="none" w:sz="0" w:space="0" w:color="auto"/>
            <w:right w:val="none" w:sz="0" w:space="0" w:color="auto"/>
          </w:divBdr>
        </w:div>
        <w:div w:id="31735812">
          <w:marLeft w:val="0"/>
          <w:marRight w:val="0"/>
          <w:marTop w:val="0"/>
          <w:marBottom w:val="0"/>
          <w:divBdr>
            <w:top w:val="none" w:sz="0" w:space="0" w:color="auto"/>
            <w:left w:val="none" w:sz="0" w:space="0" w:color="auto"/>
            <w:bottom w:val="none" w:sz="0" w:space="0" w:color="auto"/>
            <w:right w:val="none" w:sz="0" w:space="0" w:color="auto"/>
          </w:divBdr>
        </w:div>
        <w:div w:id="79258240">
          <w:marLeft w:val="0"/>
          <w:marRight w:val="0"/>
          <w:marTop w:val="0"/>
          <w:marBottom w:val="0"/>
          <w:divBdr>
            <w:top w:val="none" w:sz="0" w:space="0" w:color="auto"/>
            <w:left w:val="none" w:sz="0" w:space="0" w:color="auto"/>
            <w:bottom w:val="none" w:sz="0" w:space="0" w:color="auto"/>
            <w:right w:val="none" w:sz="0" w:space="0" w:color="auto"/>
          </w:divBdr>
        </w:div>
        <w:div w:id="1550799482">
          <w:marLeft w:val="0"/>
          <w:marRight w:val="0"/>
          <w:marTop w:val="0"/>
          <w:marBottom w:val="0"/>
          <w:divBdr>
            <w:top w:val="none" w:sz="0" w:space="0" w:color="auto"/>
            <w:left w:val="none" w:sz="0" w:space="0" w:color="auto"/>
            <w:bottom w:val="none" w:sz="0" w:space="0" w:color="auto"/>
            <w:right w:val="none" w:sz="0" w:space="0" w:color="auto"/>
          </w:divBdr>
        </w:div>
        <w:div w:id="778644140">
          <w:marLeft w:val="0"/>
          <w:marRight w:val="0"/>
          <w:marTop w:val="0"/>
          <w:marBottom w:val="0"/>
          <w:divBdr>
            <w:top w:val="none" w:sz="0" w:space="0" w:color="auto"/>
            <w:left w:val="none" w:sz="0" w:space="0" w:color="auto"/>
            <w:bottom w:val="none" w:sz="0" w:space="0" w:color="auto"/>
            <w:right w:val="none" w:sz="0" w:space="0" w:color="auto"/>
          </w:divBdr>
        </w:div>
        <w:div w:id="224217247">
          <w:marLeft w:val="0"/>
          <w:marRight w:val="0"/>
          <w:marTop w:val="0"/>
          <w:marBottom w:val="0"/>
          <w:divBdr>
            <w:top w:val="none" w:sz="0" w:space="0" w:color="auto"/>
            <w:left w:val="none" w:sz="0" w:space="0" w:color="auto"/>
            <w:bottom w:val="none" w:sz="0" w:space="0" w:color="auto"/>
            <w:right w:val="none" w:sz="0" w:space="0" w:color="auto"/>
          </w:divBdr>
        </w:div>
        <w:div w:id="477305697">
          <w:marLeft w:val="0"/>
          <w:marRight w:val="0"/>
          <w:marTop w:val="0"/>
          <w:marBottom w:val="0"/>
          <w:divBdr>
            <w:top w:val="none" w:sz="0" w:space="0" w:color="auto"/>
            <w:left w:val="none" w:sz="0" w:space="0" w:color="auto"/>
            <w:bottom w:val="none" w:sz="0" w:space="0" w:color="auto"/>
            <w:right w:val="none" w:sz="0" w:space="0" w:color="auto"/>
          </w:divBdr>
        </w:div>
      </w:divsChild>
    </w:div>
    <w:div w:id="1755516588">
      <w:bodyDiv w:val="1"/>
      <w:marLeft w:val="0"/>
      <w:marRight w:val="0"/>
      <w:marTop w:val="0"/>
      <w:marBottom w:val="0"/>
      <w:divBdr>
        <w:top w:val="none" w:sz="0" w:space="0" w:color="auto"/>
        <w:left w:val="none" w:sz="0" w:space="0" w:color="auto"/>
        <w:bottom w:val="none" w:sz="0" w:space="0" w:color="auto"/>
        <w:right w:val="none" w:sz="0" w:space="0" w:color="auto"/>
      </w:divBdr>
    </w:div>
    <w:div w:id="1764761104">
      <w:bodyDiv w:val="1"/>
      <w:marLeft w:val="0"/>
      <w:marRight w:val="0"/>
      <w:marTop w:val="0"/>
      <w:marBottom w:val="0"/>
      <w:divBdr>
        <w:top w:val="none" w:sz="0" w:space="0" w:color="auto"/>
        <w:left w:val="none" w:sz="0" w:space="0" w:color="auto"/>
        <w:bottom w:val="none" w:sz="0" w:space="0" w:color="auto"/>
        <w:right w:val="none" w:sz="0" w:space="0" w:color="auto"/>
      </w:divBdr>
    </w:div>
    <w:div w:id="1947613298">
      <w:bodyDiv w:val="1"/>
      <w:marLeft w:val="0"/>
      <w:marRight w:val="0"/>
      <w:marTop w:val="0"/>
      <w:marBottom w:val="0"/>
      <w:divBdr>
        <w:top w:val="none" w:sz="0" w:space="0" w:color="auto"/>
        <w:left w:val="none" w:sz="0" w:space="0" w:color="auto"/>
        <w:bottom w:val="none" w:sz="0" w:space="0" w:color="auto"/>
        <w:right w:val="none" w:sz="0" w:space="0" w:color="auto"/>
      </w:divBdr>
    </w:div>
    <w:div w:id="1966428657">
      <w:bodyDiv w:val="1"/>
      <w:marLeft w:val="0"/>
      <w:marRight w:val="0"/>
      <w:marTop w:val="0"/>
      <w:marBottom w:val="0"/>
      <w:divBdr>
        <w:top w:val="none" w:sz="0" w:space="0" w:color="auto"/>
        <w:left w:val="none" w:sz="0" w:space="0" w:color="auto"/>
        <w:bottom w:val="none" w:sz="0" w:space="0" w:color="auto"/>
        <w:right w:val="none" w:sz="0" w:space="0" w:color="auto"/>
      </w:divBdr>
    </w:div>
    <w:div w:id="1974796449">
      <w:bodyDiv w:val="1"/>
      <w:marLeft w:val="0"/>
      <w:marRight w:val="0"/>
      <w:marTop w:val="0"/>
      <w:marBottom w:val="0"/>
      <w:divBdr>
        <w:top w:val="none" w:sz="0" w:space="0" w:color="auto"/>
        <w:left w:val="none" w:sz="0" w:space="0" w:color="auto"/>
        <w:bottom w:val="none" w:sz="0" w:space="0" w:color="auto"/>
        <w:right w:val="none" w:sz="0" w:space="0" w:color="auto"/>
      </w:divBdr>
    </w:div>
    <w:div w:id="2005736473">
      <w:bodyDiv w:val="1"/>
      <w:marLeft w:val="0"/>
      <w:marRight w:val="0"/>
      <w:marTop w:val="0"/>
      <w:marBottom w:val="0"/>
      <w:divBdr>
        <w:top w:val="none" w:sz="0" w:space="0" w:color="auto"/>
        <w:left w:val="none" w:sz="0" w:space="0" w:color="auto"/>
        <w:bottom w:val="none" w:sz="0" w:space="0" w:color="auto"/>
        <w:right w:val="none" w:sz="0" w:space="0" w:color="auto"/>
      </w:divBdr>
    </w:div>
    <w:div w:id="2088380902">
      <w:bodyDiv w:val="1"/>
      <w:marLeft w:val="0"/>
      <w:marRight w:val="0"/>
      <w:marTop w:val="0"/>
      <w:marBottom w:val="0"/>
      <w:divBdr>
        <w:top w:val="none" w:sz="0" w:space="0" w:color="auto"/>
        <w:left w:val="none" w:sz="0" w:space="0" w:color="auto"/>
        <w:bottom w:val="none" w:sz="0" w:space="0" w:color="auto"/>
        <w:right w:val="none" w:sz="0" w:space="0" w:color="auto"/>
      </w:divBdr>
    </w:div>
    <w:div w:id="2114393366">
      <w:bodyDiv w:val="1"/>
      <w:marLeft w:val="0"/>
      <w:marRight w:val="0"/>
      <w:marTop w:val="0"/>
      <w:marBottom w:val="0"/>
      <w:divBdr>
        <w:top w:val="none" w:sz="0" w:space="0" w:color="auto"/>
        <w:left w:val="none" w:sz="0" w:space="0" w:color="auto"/>
        <w:bottom w:val="none" w:sz="0" w:space="0" w:color="auto"/>
        <w:right w:val="none" w:sz="0" w:space="0" w:color="auto"/>
      </w:divBdr>
    </w:div>
    <w:div w:id="212429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fjallfoss.fcc.gov/ecfs2/" TargetMode="External"/><Relationship Id="rId8" Type="http://schemas.openxmlformats.org/officeDocument/2006/relationships/hyperlink" Target="mailto:dana.zelman@fcc.gov"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5737</Words>
  <Characters>32707</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38368</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2016-12-26T15:29:00Z</dcterms:created>
  <dcterms:modified xsi:type="dcterms:W3CDTF">2016-12-26T15:29:00Z</dcterms:modified>
  <cp:category> </cp:category>
  <cp:contentStatus> </cp:contentStatus>
</cp:coreProperties>
</file>