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14:paraId="2A4B4E30" w14:textId="77777777">
        <w:trPr>
          <w:cantSplit/>
        </w:trPr>
        <w:tc>
          <w:tcPr>
            <w:tcW w:w="6580" w:type="dxa"/>
            <w:vAlign w:val="center"/>
          </w:tcPr>
          <w:p w14:paraId="1786442D" w14:textId="77777777"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14:paraId="14F230EA" w14:textId="77777777" w:rsidR="000069D4" w:rsidRDefault="0084378E" w:rsidP="0084378E">
            <w:pPr>
              <w:shd w:val="solid" w:color="FFFFFF" w:fill="FFFFFF"/>
              <w:spacing w:before="0" w:line="240" w:lineRule="atLeast"/>
              <w:jc w:val="right"/>
            </w:pPr>
            <w:bookmarkStart w:id="1" w:name="ditulogo"/>
            <w:bookmarkEnd w:id="1"/>
            <w:r w:rsidRPr="00F21593">
              <w:rPr>
                <w:rFonts w:ascii="Verdana" w:hAnsi="Verdana"/>
                <w:noProof/>
                <w:color w:val="FFFFFF"/>
                <w:sz w:val="26"/>
                <w:szCs w:val="26"/>
                <w:lang w:val="en-US"/>
              </w:rPr>
              <w:drawing>
                <wp:inline distT="0" distB="0" distL="0" distR="0" wp14:anchorId="6FADC6AF" wp14:editId="78AC0B4D">
                  <wp:extent cx="1765300" cy="742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0069D4" w:rsidRPr="0051782D" w14:paraId="68199792" w14:textId="77777777">
        <w:trPr>
          <w:cantSplit/>
        </w:trPr>
        <w:tc>
          <w:tcPr>
            <w:tcW w:w="6580" w:type="dxa"/>
            <w:tcBorders>
              <w:bottom w:val="single" w:sz="12" w:space="0" w:color="auto"/>
            </w:tcBorders>
          </w:tcPr>
          <w:p w14:paraId="26033E5D"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14:paraId="657C2EBB"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5095D55" w14:textId="77777777">
        <w:trPr>
          <w:cantSplit/>
        </w:trPr>
        <w:tc>
          <w:tcPr>
            <w:tcW w:w="6580" w:type="dxa"/>
            <w:tcBorders>
              <w:top w:val="single" w:sz="12" w:space="0" w:color="auto"/>
            </w:tcBorders>
          </w:tcPr>
          <w:p w14:paraId="38D89B80"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14:paraId="68D240B5" w14:textId="77777777" w:rsidR="000069D4" w:rsidRPr="00710D66" w:rsidRDefault="000069D4" w:rsidP="00A5173C">
            <w:pPr>
              <w:shd w:val="solid" w:color="FFFFFF" w:fill="FFFFFF"/>
              <w:spacing w:before="0" w:after="48" w:line="240" w:lineRule="atLeast"/>
              <w:rPr>
                <w:lang w:val="en-US"/>
              </w:rPr>
            </w:pPr>
          </w:p>
        </w:tc>
      </w:tr>
      <w:tr w:rsidR="000069D4" w:rsidRPr="00923FAB" w14:paraId="6BB9C6CD" w14:textId="77777777">
        <w:trPr>
          <w:cantSplit/>
        </w:trPr>
        <w:tc>
          <w:tcPr>
            <w:tcW w:w="6580" w:type="dxa"/>
            <w:vMerge w:val="restart"/>
          </w:tcPr>
          <w:p w14:paraId="334E7034" w14:textId="77777777" w:rsidR="000069D4" w:rsidRDefault="0084378E" w:rsidP="0084378E">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r>
            <w:r w:rsidR="004F18C5" w:rsidRPr="00F462CF">
              <w:rPr>
                <w:rFonts w:ascii="Verdana" w:hAnsi="Verdana"/>
                <w:sz w:val="20"/>
              </w:rPr>
              <w:t>18 January 2016</w:t>
            </w:r>
          </w:p>
          <w:p w14:paraId="63334B10" w14:textId="77777777" w:rsidR="0084378E" w:rsidRPr="00982084" w:rsidRDefault="0084378E" w:rsidP="0084378E">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4F18C5" w:rsidRPr="00885B4A">
              <w:rPr>
                <w:rFonts w:ascii="Verdana" w:hAnsi="Verdana"/>
                <w:sz w:val="20"/>
              </w:rPr>
              <w:t>Radiated disturbances from PLT and wired telecommunication systems</w:t>
            </w:r>
          </w:p>
        </w:tc>
        <w:tc>
          <w:tcPr>
            <w:tcW w:w="3451" w:type="dxa"/>
          </w:tcPr>
          <w:p w14:paraId="41D38C4A" w14:textId="77777777" w:rsidR="000069D4" w:rsidRPr="00923FAB" w:rsidRDefault="004F18C5" w:rsidP="00923FAB">
            <w:pPr>
              <w:shd w:val="solid" w:color="FFFFFF" w:fill="FFFFFF"/>
              <w:spacing w:before="0" w:line="240" w:lineRule="atLeast"/>
              <w:rPr>
                <w:rFonts w:ascii="Verdana" w:hAnsi="Verdana"/>
                <w:sz w:val="20"/>
                <w:lang w:val="es-ES_tradnl" w:eastAsia="zh-CN"/>
              </w:rPr>
            </w:pPr>
            <w:r w:rsidRPr="00870001">
              <w:rPr>
                <w:rFonts w:ascii="Verdana" w:hAnsi="Verdana"/>
                <w:b/>
                <w:sz w:val="20"/>
                <w:lang w:val="es-ES_tradnl" w:eastAsia="zh-CN"/>
              </w:rPr>
              <w:t>Document 6/</w:t>
            </w:r>
            <w:r w:rsidR="00923FAB">
              <w:rPr>
                <w:rFonts w:ascii="Verdana" w:hAnsi="Verdana"/>
                <w:b/>
                <w:sz w:val="20"/>
                <w:lang w:val="es-ES_tradnl" w:eastAsia="zh-CN"/>
              </w:rPr>
              <w:t>7</w:t>
            </w:r>
            <w:r w:rsidRPr="00870001">
              <w:rPr>
                <w:rFonts w:ascii="Verdana" w:hAnsi="Verdana"/>
                <w:b/>
                <w:sz w:val="20"/>
                <w:lang w:val="es-ES_tradnl" w:eastAsia="zh-CN"/>
              </w:rPr>
              <w:t>-E</w:t>
            </w:r>
            <w:r w:rsidRPr="00870001">
              <w:rPr>
                <w:rFonts w:ascii="Verdana" w:hAnsi="Verdana"/>
                <w:b/>
                <w:sz w:val="20"/>
                <w:lang w:val="es-ES_tradnl" w:eastAsia="zh-CN"/>
              </w:rPr>
              <w:br/>
              <w:t>Document 6A/</w:t>
            </w:r>
            <w:r w:rsidR="00923FAB">
              <w:rPr>
                <w:rFonts w:ascii="Verdana" w:hAnsi="Verdana"/>
                <w:b/>
                <w:sz w:val="20"/>
                <w:lang w:val="es-ES_tradnl" w:eastAsia="zh-CN"/>
              </w:rPr>
              <w:t>23</w:t>
            </w:r>
            <w:r w:rsidRPr="00870001">
              <w:rPr>
                <w:rFonts w:ascii="Verdana" w:hAnsi="Verdana"/>
                <w:b/>
                <w:sz w:val="20"/>
                <w:lang w:val="es-ES_tradnl" w:eastAsia="zh-CN"/>
              </w:rPr>
              <w:t>-E</w:t>
            </w:r>
          </w:p>
        </w:tc>
      </w:tr>
      <w:tr w:rsidR="000069D4" w14:paraId="7CAFE310" w14:textId="77777777">
        <w:trPr>
          <w:cantSplit/>
        </w:trPr>
        <w:tc>
          <w:tcPr>
            <w:tcW w:w="6580" w:type="dxa"/>
            <w:vMerge/>
          </w:tcPr>
          <w:p w14:paraId="510C9118" w14:textId="77777777" w:rsidR="000069D4" w:rsidRPr="00923FAB" w:rsidRDefault="000069D4" w:rsidP="00A5173C">
            <w:pPr>
              <w:spacing w:before="60"/>
              <w:jc w:val="center"/>
              <w:rPr>
                <w:b/>
                <w:smallCaps/>
                <w:sz w:val="32"/>
                <w:lang w:val="es-ES_tradnl" w:eastAsia="zh-CN"/>
              </w:rPr>
            </w:pPr>
            <w:bookmarkStart w:id="4" w:name="ddate" w:colFirst="1" w:colLast="1"/>
            <w:bookmarkEnd w:id="3"/>
          </w:p>
        </w:tc>
        <w:tc>
          <w:tcPr>
            <w:tcW w:w="3451" w:type="dxa"/>
          </w:tcPr>
          <w:p w14:paraId="6A2731D7" w14:textId="77777777" w:rsidR="000069D4" w:rsidRPr="0084378E" w:rsidRDefault="004F18C5" w:rsidP="00923FAB">
            <w:pPr>
              <w:shd w:val="solid" w:color="FFFFFF" w:fill="FFFFFF"/>
              <w:spacing w:before="0" w:line="240" w:lineRule="atLeast"/>
              <w:rPr>
                <w:rFonts w:ascii="Verdana" w:hAnsi="Verdana"/>
                <w:sz w:val="20"/>
                <w:lang w:eastAsia="zh-CN"/>
              </w:rPr>
            </w:pPr>
            <w:r w:rsidRPr="00F462CF">
              <w:rPr>
                <w:rFonts w:ascii="Verdana" w:hAnsi="Verdana"/>
                <w:b/>
                <w:sz w:val="20"/>
                <w:lang w:eastAsia="zh-CN"/>
              </w:rPr>
              <w:t>1</w:t>
            </w:r>
            <w:r w:rsidR="00923FAB">
              <w:rPr>
                <w:rFonts w:ascii="Verdana" w:hAnsi="Verdana"/>
                <w:b/>
                <w:sz w:val="20"/>
                <w:lang w:eastAsia="zh-CN"/>
              </w:rPr>
              <w:t>9</w:t>
            </w:r>
            <w:r w:rsidRPr="00F462CF">
              <w:rPr>
                <w:rFonts w:ascii="Verdana" w:hAnsi="Verdana"/>
                <w:b/>
                <w:sz w:val="20"/>
                <w:lang w:eastAsia="zh-CN"/>
              </w:rPr>
              <w:t xml:space="preserve"> January 2016</w:t>
            </w:r>
          </w:p>
        </w:tc>
      </w:tr>
      <w:tr w:rsidR="000069D4" w14:paraId="7AA7C159" w14:textId="77777777">
        <w:trPr>
          <w:cantSplit/>
        </w:trPr>
        <w:tc>
          <w:tcPr>
            <w:tcW w:w="6580" w:type="dxa"/>
            <w:vMerge/>
          </w:tcPr>
          <w:p w14:paraId="02A6D47A" w14:textId="77777777" w:rsidR="000069D4" w:rsidRDefault="000069D4" w:rsidP="00A5173C">
            <w:pPr>
              <w:spacing w:before="60"/>
              <w:jc w:val="center"/>
              <w:rPr>
                <w:b/>
                <w:smallCaps/>
                <w:sz w:val="32"/>
                <w:lang w:eastAsia="zh-CN"/>
              </w:rPr>
            </w:pPr>
            <w:bookmarkStart w:id="5" w:name="dorlang" w:colFirst="1" w:colLast="1"/>
            <w:bookmarkEnd w:id="4"/>
          </w:p>
        </w:tc>
        <w:tc>
          <w:tcPr>
            <w:tcW w:w="3451" w:type="dxa"/>
          </w:tcPr>
          <w:p w14:paraId="553202F1" w14:textId="77777777" w:rsidR="000069D4" w:rsidRPr="0084378E" w:rsidRDefault="0084378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031A3B8D" w14:textId="77777777">
        <w:trPr>
          <w:cantSplit/>
        </w:trPr>
        <w:tc>
          <w:tcPr>
            <w:tcW w:w="10031" w:type="dxa"/>
            <w:gridSpan w:val="2"/>
          </w:tcPr>
          <w:p w14:paraId="10B17676" w14:textId="77777777" w:rsidR="000069D4" w:rsidRDefault="004F18C5" w:rsidP="0084378E">
            <w:pPr>
              <w:pStyle w:val="Source"/>
              <w:rPr>
                <w:lang w:eastAsia="zh-CN"/>
              </w:rPr>
            </w:pPr>
            <w:bookmarkStart w:id="6" w:name="dsource" w:colFirst="0" w:colLast="0"/>
            <w:bookmarkEnd w:id="5"/>
            <w:r>
              <w:t>Study Group 6 Rapporteur on PLT Issues</w:t>
            </w:r>
          </w:p>
        </w:tc>
      </w:tr>
      <w:tr w:rsidR="000069D4" w14:paraId="4EFF90F8" w14:textId="77777777">
        <w:trPr>
          <w:cantSplit/>
        </w:trPr>
        <w:tc>
          <w:tcPr>
            <w:tcW w:w="10031" w:type="dxa"/>
            <w:gridSpan w:val="2"/>
          </w:tcPr>
          <w:p w14:paraId="206B49EB" w14:textId="77777777" w:rsidR="000069D4" w:rsidRDefault="00BC31E0" w:rsidP="00A5173C">
            <w:pPr>
              <w:pStyle w:val="Title1"/>
              <w:rPr>
                <w:lang w:eastAsia="zh-CN"/>
              </w:rPr>
            </w:pPr>
            <w:bookmarkStart w:id="7" w:name="drec" w:colFirst="0" w:colLast="0"/>
            <w:bookmarkEnd w:id="6"/>
            <w:r w:rsidRPr="00885B4A">
              <w:t>Report on Recent Developments Concerning PLT</w:t>
            </w:r>
            <w:r w:rsidRPr="00885B4A">
              <w:rPr>
                <w:rStyle w:val="FootnoteReference"/>
              </w:rPr>
              <w:footnoteReference w:id="1"/>
            </w:r>
            <w:r w:rsidRPr="00885B4A">
              <w:t xml:space="preserve"> </w:t>
            </w:r>
            <w:r w:rsidRPr="00885B4A">
              <w:br/>
              <w:t>and wired Telecommunication systems</w:t>
            </w:r>
          </w:p>
        </w:tc>
      </w:tr>
      <w:tr w:rsidR="000069D4" w14:paraId="0AE2DF3A" w14:textId="77777777">
        <w:trPr>
          <w:cantSplit/>
        </w:trPr>
        <w:tc>
          <w:tcPr>
            <w:tcW w:w="10031" w:type="dxa"/>
            <w:gridSpan w:val="2"/>
          </w:tcPr>
          <w:p w14:paraId="3D694758" w14:textId="77777777" w:rsidR="000069D4" w:rsidRDefault="00BC31E0" w:rsidP="00BC31E0">
            <w:pPr>
              <w:pStyle w:val="Title3"/>
              <w:rPr>
                <w:lang w:eastAsia="zh-CN"/>
              </w:rPr>
            </w:pPr>
            <w:bookmarkStart w:id="8" w:name="dtitle1" w:colFirst="0" w:colLast="0"/>
            <w:bookmarkEnd w:id="7"/>
            <w:r w:rsidRPr="00885B4A">
              <w:t>(Question ITU-R 221/1)</w:t>
            </w:r>
          </w:p>
        </w:tc>
      </w:tr>
    </w:tbl>
    <w:p w14:paraId="3C9A68E5" w14:textId="77777777" w:rsidR="00A6620C" w:rsidRPr="00885B4A" w:rsidRDefault="00A6620C" w:rsidP="00A6620C">
      <w:pPr>
        <w:pStyle w:val="Heading1"/>
      </w:pPr>
      <w:bookmarkStart w:id="9" w:name="dbreak"/>
      <w:bookmarkEnd w:id="8"/>
      <w:bookmarkEnd w:id="9"/>
      <w:r w:rsidRPr="00885B4A">
        <w:t>1</w:t>
      </w:r>
      <w:r w:rsidRPr="00885B4A">
        <w:tab/>
        <w:t>Introduction</w:t>
      </w:r>
    </w:p>
    <w:p w14:paraId="0AB6F535" w14:textId="77777777" w:rsidR="00A6620C" w:rsidRDefault="00A6620C" w:rsidP="00A6620C">
      <w:pPr>
        <w:tabs>
          <w:tab w:val="left" w:pos="5490"/>
        </w:tabs>
        <w:rPr>
          <w:lang w:eastAsia="zh-CN"/>
        </w:rPr>
      </w:pPr>
      <w:r>
        <w:rPr>
          <w:lang w:eastAsia="zh-CN"/>
        </w:rPr>
        <w:t xml:space="preserve">This Report covers developments on relevant issues since the </w:t>
      </w:r>
      <w:r w:rsidRPr="00C275EB">
        <w:rPr>
          <w:lang w:eastAsia="zh-CN"/>
        </w:rPr>
        <w:t xml:space="preserve">seventh meeting of Radiocommunication Study Group 6 (Geneva, </w:t>
      </w:r>
      <w:r w:rsidR="0098481E">
        <w:rPr>
          <w:lang w:eastAsia="zh-CN"/>
        </w:rPr>
        <w:t xml:space="preserve">24 </w:t>
      </w:r>
      <w:r w:rsidR="00B7767F">
        <w:rPr>
          <w:lang w:eastAsia="zh-CN"/>
        </w:rPr>
        <w:t>July</w:t>
      </w:r>
      <w:r w:rsidRPr="00C275EB">
        <w:rPr>
          <w:lang w:eastAsia="zh-CN"/>
        </w:rPr>
        <w:t xml:space="preserve"> 2015)</w:t>
      </w:r>
      <w:r>
        <w:rPr>
          <w:lang w:eastAsia="zh-CN"/>
        </w:rPr>
        <w:t>, notably:</w:t>
      </w:r>
    </w:p>
    <w:p w14:paraId="27E9A7D4" w14:textId="77777777" w:rsidR="00A6620C" w:rsidRPr="00FB75B3" w:rsidRDefault="00A6620C" w:rsidP="00A6620C">
      <w:pPr>
        <w:pStyle w:val="enumlev1"/>
        <w:numPr>
          <w:ilvl w:val="0"/>
          <w:numId w:val="3"/>
        </w:numPr>
        <w:ind w:left="714" w:hanging="692"/>
        <w:rPr>
          <w:lang w:eastAsia="zh-CN"/>
        </w:rPr>
      </w:pPr>
      <w:r w:rsidRPr="00FB75B3">
        <w:t>f</w:t>
      </w:r>
      <w:r w:rsidRPr="00FB75B3">
        <w:rPr>
          <w:lang w:eastAsia="zh-CN"/>
        </w:rPr>
        <w:t xml:space="preserve">urther developments in CENELEC </w:t>
      </w:r>
      <w:r w:rsidR="00E20E0D">
        <w:rPr>
          <w:lang w:eastAsia="zh-CN"/>
        </w:rPr>
        <w:t xml:space="preserve">on standards for PLT devices </w:t>
      </w:r>
      <w:r w:rsidRPr="00FB75B3">
        <w:rPr>
          <w:lang w:eastAsia="zh-CN"/>
        </w:rPr>
        <w:t xml:space="preserve">following on from the concerns brought to the attention of Working Party 6A and Study Group 6 </w:t>
      </w:r>
      <w:r w:rsidRPr="00FB75B3">
        <w:t>in p</w:t>
      </w:r>
      <w:r>
        <w:t>revious R</w:t>
      </w:r>
      <w:r w:rsidRPr="00FB75B3">
        <w:t xml:space="preserve">eports of the Rapporteur (see Section 3 of Document </w:t>
      </w:r>
      <w:hyperlink r:id="rId8" w:history="1">
        <w:r w:rsidRPr="00FB75B3">
          <w:rPr>
            <w:rStyle w:val="Hyperlink"/>
          </w:rPr>
          <w:t>6/272 – 6A/479</w:t>
        </w:r>
      </w:hyperlink>
      <w:r w:rsidRPr="00FB75B3">
        <w:t xml:space="preserve">, Section 2 of Document </w:t>
      </w:r>
      <w:hyperlink r:id="rId9" w:history="1">
        <w:r w:rsidRPr="00FB75B3">
          <w:rPr>
            <w:rStyle w:val="Hyperlink"/>
          </w:rPr>
          <w:t>6/327 – 6A/541</w:t>
        </w:r>
      </w:hyperlink>
      <w:r w:rsidRPr="00FB75B3">
        <w:t>)</w:t>
      </w:r>
      <w:r w:rsidR="00E20E0D">
        <w:t xml:space="preserve">, </w:t>
      </w:r>
      <w:r w:rsidRPr="00FB75B3">
        <w:t xml:space="preserve">Document </w:t>
      </w:r>
      <w:hyperlink r:id="rId10" w:history="1">
        <w:r w:rsidRPr="00FB75B3">
          <w:rPr>
            <w:rStyle w:val="Hyperlink"/>
            <w:bCs/>
          </w:rPr>
          <w:t>6/327(Add.1)</w:t>
        </w:r>
      </w:hyperlink>
      <w:r w:rsidR="00E20E0D">
        <w:t xml:space="preserve"> and </w:t>
      </w:r>
      <w:r w:rsidR="006B534E">
        <w:t xml:space="preserve">Section 2 of </w:t>
      </w:r>
      <w:r w:rsidR="00E20E0D" w:rsidRPr="00FB75B3">
        <w:t xml:space="preserve">Document </w:t>
      </w:r>
      <w:hyperlink r:id="rId11" w:history="1">
        <w:r w:rsidR="00E20E0D">
          <w:rPr>
            <w:rStyle w:val="Hyperlink"/>
          </w:rPr>
          <w:t>6/397</w:t>
        </w:r>
        <w:r w:rsidR="00E20E0D" w:rsidRPr="00FB75B3">
          <w:rPr>
            <w:rStyle w:val="Hyperlink"/>
          </w:rPr>
          <w:t>– 6A/</w:t>
        </w:r>
        <w:r w:rsidR="006B534E">
          <w:rPr>
            <w:rStyle w:val="Hyperlink"/>
          </w:rPr>
          <w:t>631</w:t>
        </w:r>
      </w:hyperlink>
      <w:r w:rsidR="00E20E0D" w:rsidRPr="00FB75B3">
        <w:t>)</w:t>
      </w:r>
      <w:r>
        <w:t>;</w:t>
      </w:r>
    </w:p>
    <w:p w14:paraId="49D844FC" w14:textId="77777777" w:rsidR="00A6620C" w:rsidRDefault="006B534E" w:rsidP="00A6620C">
      <w:pPr>
        <w:pStyle w:val="enumlev1"/>
        <w:numPr>
          <w:ilvl w:val="0"/>
          <w:numId w:val="2"/>
        </w:numPr>
        <w:ind w:left="714" w:hanging="692"/>
      </w:pPr>
      <w:r>
        <w:t>EMC consideration</w:t>
      </w:r>
      <w:r w:rsidR="00E0376F">
        <w:t>s</w:t>
      </w:r>
      <w:r>
        <w:t xml:space="preserve"> on </w:t>
      </w:r>
      <w:r w:rsidR="00E0376F">
        <w:t xml:space="preserve">electronic and electrical equipment relevant to </w:t>
      </w:r>
      <w:r>
        <w:t>Wireless Power Transfer (WPT)</w:t>
      </w:r>
      <w:r w:rsidR="00A6620C">
        <w:t>;</w:t>
      </w:r>
    </w:p>
    <w:p w14:paraId="08DB50A4" w14:textId="77777777" w:rsidR="00A6620C" w:rsidRDefault="006B534E" w:rsidP="00A6620C">
      <w:pPr>
        <w:pStyle w:val="enumlev1"/>
        <w:numPr>
          <w:ilvl w:val="0"/>
          <w:numId w:val="2"/>
        </w:numPr>
        <w:ind w:left="714" w:hanging="692"/>
      </w:pPr>
      <w:r>
        <w:t xml:space="preserve">considerations on the greater diversity of sources of </w:t>
      </w:r>
      <w:r w:rsidR="00E0376F">
        <w:t xml:space="preserve">electromagnetic interference (EMI) now being encountered because of conducted and radiated </w:t>
      </w:r>
      <w:r>
        <w:t xml:space="preserve">RF </w:t>
      </w:r>
      <w:r w:rsidR="00E0376F">
        <w:t>emissions</w:t>
      </w:r>
      <w:r>
        <w:t>.</w:t>
      </w:r>
    </w:p>
    <w:p w14:paraId="60B155EE" w14:textId="77777777" w:rsidR="00B7767F" w:rsidRDefault="00B7767F" w:rsidP="00B7767F">
      <w:r>
        <w:rPr>
          <w:lang w:eastAsia="zh-CN"/>
        </w:rPr>
        <w:t xml:space="preserve">As noted in </w:t>
      </w:r>
      <w:r w:rsidRPr="00FB75B3">
        <w:t xml:space="preserve">Document </w:t>
      </w:r>
      <w:hyperlink r:id="rId12" w:history="1">
        <w:r>
          <w:rPr>
            <w:rStyle w:val="Hyperlink"/>
          </w:rPr>
          <w:t>6/397</w:t>
        </w:r>
        <w:r w:rsidRPr="00FB75B3">
          <w:rPr>
            <w:rStyle w:val="Hyperlink"/>
          </w:rPr>
          <w:t>– 6A/</w:t>
        </w:r>
        <w:r>
          <w:rPr>
            <w:rStyle w:val="Hyperlink"/>
          </w:rPr>
          <w:t>631</w:t>
        </w:r>
      </w:hyperlink>
      <w:r w:rsidR="00E0376F">
        <w:t xml:space="preserve">, </w:t>
      </w:r>
      <w:r>
        <w:t xml:space="preserve">a more constructive working relationship between </w:t>
      </w:r>
      <w:r w:rsidRPr="00B7767F">
        <w:t>ITU</w:t>
      </w:r>
      <w:r>
        <w:t>-R and CENELEC has been put in place</w:t>
      </w:r>
      <w:r w:rsidR="00E0376F">
        <w:t>,</w:t>
      </w:r>
      <w:r>
        <w:t xml:space="preserve"> under which ITU-R is invited to send a representative to the meetings of CLC/TC 210. The </w:t>
      </w:r>
      <w:r w:rsidR="006C5E3B">
        <w:t>SG6 Rapporteur has attended the</w:t>
      </w:r>
      <w:r>
        <w:t xml:space="preserve"> two TC 210 meetings held in 2015 </w:t>
      </w:r>
      <w:r w:rsidR="00AB4D71">
        <w:t>(Dublin</w:t>
      </w:r>
      <w:r w:rsidR="00B727D9">
        <w:t>,</w:t>
      </w:r>
      <w:r w:rsidR="00AB4D71">
        <w:t xml:space="preserve"> </w:t>
      </w:r>
      <w:r w:rsidR="00B727D9">
        <w:t xml:space="preserve">19 – 20 May, </w:t>
      </w:r>
      <w:r w:rsidR="00AB4D71">
        <w:t>and Brussels</w:t>
      </w:r>
      <w:r w:rsidR="00B727D9">
        <w:t>,</w:t>
      </w:r>
      <w:r w:rsidR="00AB4D71">
        <w:t xml:space="preserve"> 9 – 10 December) </w:t>
      </w:r>
      <w:r>
        <w:t>in his parallel capacity of Rapporteur of the Working Party 1A Rapporteur Group on the coexistence of wired telecommunication with radiocommunication systems</w:t>
      </w:r>
      <w:r w:rsidR="00E0376F">
        <w:t>. Further</w:t>
      </w:r>
      <w:r>
        <w:t xml:space="preserve"> </w:t>
      </w:r>
      <w:r w:rsidR="00E0376F">
        <w:t>c</w:t>
      </w:r>
      <w:r>
        <w:t xml:space="preserve">onsideration </w:t>
      </w:r>
      <w:r w:rsidR="00E0376F">
        <w:t xml:space="preserve">will be given on </w:t>
      </w:r>
      <w:r>
        <w:t xml:space="preserve">how best to organize this </w:t>
      </w:r>
      <w:r w:rsidR="00E0376F">
        <w:t xml:space="preserve">activity following additional consultations with </w:t>
      </w:r>
      <w:r>
        <w:t>Study Group Chairmen and Counsellors.</w:t>
      </w:r>
    </w:p>
    <w:p w14:paraId="0E3A67B3" w14:textId="77777777" w:rsidR="00E0376F" w:rsidRDefault="00E0376F">
      <w:pPr>
        <w:tabs>
          <w:tab w:val="clear" w:pos="1134"/>
          <w:tab w:val="clear" w:pos="1871"/>
          <w:tab w:val="clear" w:pos="2268"/>
        </w:tabs>
        <w:overflowPunct/>
        <w:autoSpaceDE/>
        <w:autoSpaceDN/>
        <w:adjustRightInd/>
        <w:spacing w:before="0"/>
        <w:textAlignment w:val="auto"/>
      </w:pPr>
      <w:r>
        <w:br w:type="page"/>
      </w:r>
    </w:p>
    <w:p w14:paraId="71A90881" w14:textId="77777777" w:rsidR="00A6620C" w:rsidRDefault="00A6620C" w:rsidP="00A6620C">
      <w:pPr>
        <w:pStyle w:val="Heading1"/>
      </w:pPr>
      <w:r w:rsidRPr="00885B4A">
        <w:lastRenderedPageBreak/>
        <w:t>2</w:t>
      </w:r>
      <w:r w:rsidRPr="00885B4A">
        <w:tab/>
      </w:r>
      <w:r w:rsidR="004A1E7F">
        <w:t>Developments in CENELEC concerning the EN 50561 standard on PLT apparatus</w:t>
      </w:r>
    </w:p>
    <w:p w14:paraId="7CB82BD4" w14:textId="77777777" w:rsidR="00B727D9" w:rsidRDefault="00B727D9" w:rsidP="00B7767F">
      <w:r>
        <w:t xml:space="preserve">Sections 2.3 and 2.4 of </w:t>
      </w:r>
      <w:r w:rsidRPr="00FB75B3">
        <w:t xml:space="preserve">Document </w:t>
      </w:r>
      <w:hyperlink r:id="rId13" w:history="1">
        <w:r>
          <w:rPr>
            <w:rStyle w:val="Hyperlink"/>
          </w:rPr>
          <w:t>6/397</w:t>
        </w:r>
        <w:r w:rsidRPr="00FB75B3">
          <w:rPr>
            <w:rStyle w:val="Hyperlink"/>
          </w:rPr>
          <w:t>– 6A/</w:t>
        </w:r>
        <w:r>
          <w:rPr>
            <w:rStyle w:val="Hyperlink"/>
          </w:rPr>
          <w:t>631</w:t>
        </w:r>
      </w:hyperlink>
      <w:r>
        <w:t xml:space="preserve"> outlined the developments that took place during the May 2015 meeting of the CENELEC CLC/TC 210 group concerning PLT and </w:t>
      </w:r>
      <w:r w:rsidR="00743E06">
        <w:t xml:space="preserve">set out the </w:t>
      </w:r>
      <w:r>
        <w:rPr>
          <w:lang w:eastAsia="zh-CN"/>
        </w:rPr>
        <w:t xml:space="preserve">implications on </w:t>
      </w:r>
      <w:r w:rsidRPr="00D40F85">
        <w:t>sound</w:t>
      </w:r>
      <w:r>
        <w:rPr>
          <w:lang w:eastAsia="zh-CN"/>
        </w:rPr>
        <w:t xml:space="preserve"> broadcasting in the HF band</w:t>
      </w:r>
      <w:r w:rsidR="00743E06">
        <w:rPr>
          <w:lang w:eastAsia="zh-CN"/>
        </w:rPr>
        <w:t>s</w:t>
      </w:r>
      <w:r>
        <w:rPr>
          <w:lang w:eastAsia="zh-CN"/>
        </w:rPr>
        <w:t xml:space="preserve"> and Bands II and III</w:t>
      </w:r>
      <w:r>
        <w:t xml:space="preserve">. </w:t>
      </w:r>
    </w:p>
    <w:p w14:paraId="407664AB" w14:textId="77777777" w:rsidR="00B7767F" w:rsidRDefault="00B727D9" w:rsidP="00B7767F">
      <w:r>
        <w:t>The main issue then was the continuing</w:t>
      </w:r>
      <w:r w:rsidR="00743E06">
        <w:t xml:space="preserve"> work by CENELEC on</w:t>
      </w:r>
      <w:r>
        <w:t xml:space="preserve"> </w:t>
      </w:r>
      <w:r w:rsidR="00F03C3F">
        <w:t xml:space="preserve">the </w:t>
      </w:r>
      <w:r>
        <w:t xml:space="preserve">EN 50561 </w:t>
      </w:r>
      <w:r w:rsidR="00743E06">
        <w:t xml:space="preserve">family of </w:t>
      </w:r>
      <w:r>
        <w:t>standard</w:t>
      </w:r>
      <w:r w:rsidR="00743E06">
        <w:t>s</w:t>
      </w:r>
      <w:r>
        <w:t xml:space="preserve"> on PLT equipment. This activity continued during the December </w:t>
      </w:r>
      <w:r w:rsidR="00743E06">
        <w:t xml:space="preserve">2015 </w:t>
      </w:r>
      <w:r>
        <w:t>meeting of CL</w:t>
      </w:r>
      <w:r w:rsidR="00B619EB">
        <w:t>C</w:t>
      </w:r>
      <w:r>
        <w:t>/TC 210.</w:t>
      </w:r>
    </w:p>
    <w:p w14:paraId="1900C951" w14:textId="77777777" w:rsidR="00B727D9" w:rsidRPr="00B7767F" w:rsidRDefault="00B727D9" w:rsidP="00B7767F">
      <w:r>
        <w:t>The EN 50561 standard is organized as three parts:</w:t>
      </w:r>
    </w:p>
    <w:p w14:paraId="4E37F00F" w14:textId="77777777" w:rsidR="00A6620C" w:rsidRDefault="00A6620C" w:rsidP="00A6620C">
      <w:pPr>
        <w:pStyle w:val="enumlev1"/>
        <w:numPr>
          <w:ilvl w:val="0"/>
          <w:numId w:val="4"/>
        </w:numPr>
        <w:ind w:left="672" w:hanging="644"/>
      </w:pPr>
      <w:r>
        <w:t xml:space="preserve">Part 1 covers PLT apparatus for in-home networking operating below 30 MHz – this part is already in force (see: </w:t>
      </w:r>
      <w:hyperlink r:id="rId14" w:history="1">
        <w:r w:rsidRPr="00FB75B3">
          <w:rPr>
            <w:rStyle w:val="Hyperlink"/>
          </w:rPr>
          <w:t>EN 50561-1:2013</w:t>
        </w:r>
      </w:hyperlink>
      <w:r>
        <w:t>);</w:t>
      </w:r>
    </w:p>
    <w:p w14:paraId="53013BCD" w14:textId="77777777" w:rsidR="00A6620C" w:rsidRDefault="00A6620C" w:rsidP="00A6620C">
      <w:pPr>
        <w:pStyle w:val="enumlev1"/>
        <w:numPr>
          <w:ilvl w:val="0"/>
          <w:numId w:val="4"/>
        </w:numPr>
        <w:ind w:left="672" w:hanging="644"/>
      </w:pPr>
      <w:r>
        <w:t>Part 2 covers Access PLT – the final draft is now being prepared for voting by National Committees</w:t>
      </w:r>
      <w:r>
        <w:rPr>
          <w:rStyle w:val="FootnoteReference"/>
        </w:rPr>
        <w:footnoteReference w:id="2"/>
      </w:r>
      <w:r>
        <w:t>;</w:t>
      </w:r>
    </w:p>
    <w:p w14:paraId="716004D5" w14:textId="77777777" w:rsidR="00A6620C" w:rsidRDefault="00A6620C" w:rsidP="00A6620C">
      <w:pPr>
        <w:pStyle w:val="enumlev1"/>
        <w:numPr>
          <w:ilvl w:val="0"/>
          <w:numId w:val="4"/>
        </w:numPr>
        <w:ind w:left="672" w:hanging="644"/>
      </w:pPr>
      <w:r>
        <w:t xml:space="preserve">Part 3 covers PLT apparatus for in-home networking operating above 30 MHz – the final draft </w:t>
      </w:r>
      <w:r w:rsidR="00743E06">
        <w:t xml:space="preserve">has been approved through the </w:t>
      </w:r>
      <w:r w:rsidR="00D40F85">
        <w:t>National Committee</w:t>
      </w:r>
      <w:r w:rsidR="00743E06">
        <w:t xml:space="preserve"> voting procedure</w:t>
      </w:r>
      <w:r w:rsidR="00D40F85">
        <w:t>.</w:t>
      </w:r>
    </w:p>
    <w:p w14:paraId="0BA645A9" w14:textId="77777777" w:rsidR="00A6620C" w:rsidRDefault="00A6620C" w:rsidP="00A6620C">
      <w:pPr>
        <w:pStyle w:val="Heading2"/>
      </w:pPr>
      <w:r>
        <w:t>2.1</w:t>
      </w:r>
      <w:r>
        <w:tab/>
      </w:r>
      <w:r w:rsidR="00B7767F">
        <w:t xml:space="preserve">Developments on </w:t>
      </w:r>
      <w:r>
        <w:t xml:space="preserve">Part </w:t>
      </w:r>
      <w:r w:rsidR="00B7767F">
        <w:t>1</w:t>
      </w:r>
      <w:r>
        <w:t xml:space="preserve"> </w:t>
      </w:r>
      <w:r w:rsidR="00B7767F">
        <w:t xml:space="preserve">of </w:t>
      </w:r>
      <w:r>
        <w:t>EN 50561</w:t>
      </w:r>
      <w:r w:rsidR="00E0376F">
        <w:t xml:space="preserve"> (EN 50561-1)</w:t>
      </w:r>
    </w:p>
    <w:p w14:paraId="04CB15A0" w14:textId="77777777" w:rsidR="00743E06" w:rsidRDefault="00B7767F" w:rsidP="00B7767F">
      <w:r>
        <w:t xml:space="preserve">Part 1 of EN 50561 has been in force for Members </w:t>
      </w:r>
      <w:r w:rsidR="0051797B">
        <w:t xml:space="preserve">States </w:t>
      </w:r>
      <w:r>
        <w:t xml:space="preserve">of the European Union </w:t>
      </w:r>
      <w:r w:rsidR="0051797B">
        <w:t xml:space="preserve">(EU) </w:t>
      </w:r>
      <w:r>
        <w:t xml:space="preserve">since citation in the Official Journal of the European Union on 25 February 2014. Part 1 was offered to CISPR/I but was not adopted for consideration as a future IEC/CISPR standard. </w:t>
      </w:r>
    </w:p>
    <w:p w14:paraId="7E095B8F" w14:textId="77777777" w:rsidR="00B7767F" w:rsidRDefault="00B7767F" w:rsidP="00B7767F">
      <w:pPr>
        <w:rPr>
          <w:lang w:eastAsia="zh-CN"/>
        </w:rPr>
      </w:pPr>
      <w:r>
        <w:t xml:space="preserve">A new CENELEC work item has approved in order to update the present base references to </w:t>
      </w:r>
      <w:r w:rsidRPr="00DE21C2">
        <w:t>CISPR 22</w:t>
      </w:r>
      <w:r w:rsidRPr="00DE21C2">
        <w:rPr>
          <w:rStyle w:val="FootnoteReference"/>
        </w:rPr>
        <w:footnoteReference w:id="3"/>
      </w:r>
      <w:r>
        <w:rPr>
          <w:lang w:eastAsia="zh-CN"/>
        </w:rPr>
        <w:t xml:space="preserve"> to CISPR 32, entitled </w:t>
      </w:r>
      <w:r w:rsidRPr="00ED7A27">
        <w:rPr>
          <w:i/>
          <w:lang w:eastAsia="zh-CN"/>
        </w:rPr>
        <w:t>“Electromagnetic compatibility of multimedia eq</w:t>
      </w:r>
      <w:r w:rsidR="00743E06">
        <w:rPr>
          <w:i/>
          <w:lang w:eastAsia="zh-CN"/>
        </w:rPr>
        <w:t>uipment – Emission requirements”</w:t>
      </w:r>
      <w:r w:rsidR="00743E06" w:rsidRPr="00743E06">
        <w:rPr>
          <w:lang w:eastAsia="zh-CN"/>
        </w:rPr>
        <w:t>.</w:t>
      </w:r>
      <w:r w:rsidR="00743E06">
        <w:rPr>
          <w:lang w:eastAsia="zh-CN"/>
        </w:rPr>
        <w:t xml:space="preserve"> </w:t>
      </w:r>
      <w:r w:rsidRPr="00743E06">
        <w:rPr>
          <w:lang w:eastAsia="zh-CN"/>
        </w:rPr>
        <w:t>Th</w:t>
      </w:r>
      <w:r>
        <w:rPr>
          <w:lang w:eastAsia="zh-CN"/>
        </w:rPr>
        <w:t>e objective for deve</w:t>
      </w:r>
      <w:r w:rsidR="00D40F85">
        <w:rPr>
          <w:lang w:eastAsia="zh-CN"/>
        </w:rPr>
        <w:t>loping CISPR 32 wa</w:t>
      </w:r>
      <w:r>
        <w:rPr>
          <w:lang w:eastAsia="zh-CN"/>
        </w:rPr>
        <w:t xml:space="preserve">s to take account of the increasing convergence between information technology and broadcast/multi-media equipment. </w:t>
      </w:r>
      <w:r w:rsidR="00D40F85">
        <w:rPr>
          <w:lang w:eastAsia="zh-CN"/>
        </w:rPr>
        <w:t>T</w:t>
      </w:r>
      <w:r>
        <w:rPr>
          <w:lang w:eastAsia="zh-CN"/>
        </w:rPr>
        <w:t>he requirements of CISPR 32 are predominantly based on CISPR 22 and the structure remains substantially the same at present. However, major changes are planned in subsequent editions.</w:t>
      </w:r>
    </w:p>
    <w:p w14:paraId="480A853E" w14:textId="77777777" w:rsidR="00B7767F" w:rsidRDefault="00B7767F" w:rsidP="00B7767F">
      <w:pPr>
        <w:rPr>
          <w:lang w:eastAsia="zh-CN"/>
        </w:rPr>
      </w:pPr>
      <w:r>
        <w:rPr>
          <w:lang w:eastAsia="zh-CN"/>
        </w:rPr>
        <w:t>CISPR 32 defines two equipment classes depending on product intended environment:</w:t>
      </w:r>
    </w:p>
    <w:p w14:paraId="56A684F2" w14:textId="77777777" w:rsidR="00B7767F" w:rsidRDefault="00B7767F" w:rsidP="00B7767F">
      <w:pPr>
        <w:pStyle w:val="enumlev1"/>
        <w:numPr>
          <w:ilvl w:val="0"/>
          <w:numId w:val="2"/>
        </w:numPr>
        <w:ind w:left="714" w:hanging="692"/>
      </w:pPr>
      <w:r>
        <w:t xml:space="preserve">Class A: equipment for installation in non-residential environments; </w:t>
      </w:r>
    </w:p>
    <w:p w14:paraId="4D47278F" w14:textId="77777777" w:rsidR="00B7767F" w:rsidRDefault="00B7767F" w:rsidP="00B7767F">
      <w:pPr>
        <w:pStyle w:val="enumlev1"/>
        <w:numPr>
          <w:ilvl w:val="0"/>
          <w:numId w:val="2"/>
        </w:numPr>
        <w:ind w:left="714" w:hanging="692"/>
      </w:pPr>
      <w:r>
        <w:t xml:space="preserve">Class B: equipment for installation in residential environments. </w:t>
      </w:r>
    </w:p>
    <w:p w14:paraId="3DC56527" w14:textId="77777777" w:rsidR="00B7767F" w:rsidRDefault="00B7767F" w:rsidP="00B7767F">
      <w:pPr>
        <w:rPr>
          <w:lang w:eastAsia="zh-CN"/>
        </w:rPr>
      </w:pPr>
      <w:r>
        <w:rPr>
          <w:lang w:eastAsia="zh-CN"/>
        </w:rPr>
        <w:t xml:space="preserve">Broadcast receiving equipment is categorized as Class B only. </w:t>
      </w:r>
      <w:r w:rsidR="00743E06">
        <w:rPr>
          <w:lang w:eastAsia="zh-CN"/>
        </w:rPr>
        <w:t xml:space="preserve">It should be noted that </w:t>
      </w:r>
      <w:r>
        <w:rPr>
          <w:lang w:eastAsia="zh-CN"/>
        </w:rPr>
        <w:t xml:space="preserve">Class A equipment may not offer protection to broadcasting services in a residential environment. </w:t>
      </w:r>
    </w:p>
    <w:p w14:paraId="58C65897" w14:textId="77777777" w:rsidR="00EB5786" w:rsidRDefault="00131B50" w:rsidP="00566063">
      <w:r>
        <w:t xml:space="preserve">A possible new </w:t>
      </w:r>
      <w:r w:rsidR="00CC2E1B">
        <w:t xml:space="preserve">work item </w:t>
      </w:r>
      <w:r>
        <w:t xml:space="preserve">may arise with EN 50561-1 in respect of whether or how to include </w:t>
      </w:r>
      <w:r w:rsidR="00CC2E1B">
        <w:t>M</w:t>
      </w:r>
      <w:r w:rsidR="00420B7D">
        <w:t>ultiple Input/Multiple Output (M</w:t>
      </w:r>
      <w:r w:rsidR="00CC2E1B">
        <w:t>IMO</w:t>
      </w:r>
      <w:r w:rsidR="00420B7D">
        <w:t>)</w:t>
      </w:r>
      <w:r>
        <w:t xml:space="preserve"> operation. </w:t>
      </w:r>
      <w:r w:rsidR="00420B7D">
        <w:t xml:space="preserve">The interest in MIMO operation for PLT equipment results from a perceived need to provide a diversity of </w:t>
      </w:r>
      <w:r w:rsidR="00566063">
        <w:t xml:space="preserve">communication paths over </w:t>
      </w:r>
      <w:r w:rsidR="001720C3">
        <w:t xml:space="preserve">the </w:t>
      </w:r>
      <w:r w:rsidR="00566063">
        <w:t>mains wiring</w:t>
      </w:r>
      <w:r w:rsidR="001720C3">
        <w:t>,</w:t>
      </w:r>
      <w:r w:rsidR="00566063">
        <w:t xml:space="preserve"> by using the Live-Earth and Neutral-Earth wire pairs as well as the Live-Neutral pair</w:t>
      </w:r>
      <w:r w:rsidR="00743E06">
        <w:t>. This is considered necessary in ord</w:t>
      </w:r>
      <w:r w:rsidR="00566063">
        <w:t xml:space="preserve">er to maintain reliability of throughput over the all the variations in mains wiring and loading found in homes and business premises. </w:t>
      </w:r>
      <w:r w:rsidR="00EB5786">
        <w:t xml:space="preserve">However, this is not a particularly new point; a </w:t>
      </w:r>
      <w:r w:rsidR="00566063">
        <w:t>submission to Working Party 6A from</w:t>
      </w:r>
      <w:r w:rsidR="002A54A2">
        <w:t xml:space="preserve"> the </w:t>
      </w:r>
      <w:hyperlink r:id="rId15" w:history="1">
        <w:r w:rsidR="002A54A2" w:rsidRPr="002A54A2">
          <w:rPr>
            <w:rStyle w:val="Hyperlink"/>
          </w:rPr>
          <w:t>BBC</w:t>
        </w:r>
      </w:hyperlink>
      <w:r w:rsidR="002A54A2">
        <w:t xml:space="preserve"> </w:t>
      </w:r>
      <w:r w:rsidR="00EB5786">
        <w:t xml:space="preserve">in 2011 </w:t>
      </w:r>
      <w:r w:rsidR="00566063">
        <w:t xml:space="preserve">noted </w:t>
      </w:r>
      <w:r w:rsidR="00EB5786">
        <w:t xml:space="preserve">considerable </w:t>
      </w:r>
      <w:r w:rsidR="00566063">
        <w:t>variability in the performance of PLT connections under test</w:t>
      </w:r>
      <w:r w:rsidR="002A54A2">
        <w:t xml:space="preserve"> in real world conditions</w:t>
      </w:r>
      <w:r w:rsidR="00566063">
        <w:t>.</w:t>
      </w:r>
    </w:p>
    <w:p w14:paraId="4C418760" w14:textId="77777777" w:rsidR="00CC2E1B" w:rsidRDefault="001720C3" w:rsidP="00566063">
      <w:r>
        <w:lastRenderedPageBreak/>
        <w:t xml:space="preserve">CENELEC is coming under </w:t>
      </w:r>
      <w:r w:rsidR="00566063">
        <w:t xml:space="preserve">pressure from some manufacturers </w:t>
      </w:r>
      <w:r>
        <w:t xml:space="preserve">who intend </w:t>
      </w:r>
      <w:r w:rsidR="00566063">
        <w:t>to include MIMO operation in their products</w:t>
      </w:r>
      <w:r>
        <w:t xml:space="preserve">. This </w:t>
      </w:r>
      <w:r w:rsidR="00566063">
        <w:t>would appear to reflect a view that EN 50561-1 is worthless without the inclusion of MIMO. The question of MIMO is examined further in Section 2.4.</w:t>
      </w:r>
      <w:r w:rsidR="00CC2E1B">
        <w:t xml:space="preserve"> </w:t>
      </w:r>
    </w:p>
    <w:p w14:paraId="08F344A5" w14:textId="77777777" w:rsidR="00A6620C" w:rsidRDefault="00A6620C" w:rsidP="00A6620C">
      <w:pPr>
        <w:pStyle w:val="Heading2"/>
      </w:pPr>
      <w:r>
        <w:t>2.2</w:t>
      </w:r>
      <w:r>
        <w:tab/>
        <w:t xml:space="preserve">Developments </w:t>
      </w:r>
      <w:r w:rsidR="00B7767F">
        <w:t>on Part 2 of EN 50561</w:t>
      </w:r>
      <w:r w:rsidR="00E0376F">
        <w:t xml:space="preserve"> (EN 50561-2)</w:t>
      </w:r>
    </w:p>
    <w:p w14:paraId="779D2E74" w14:textId="77777777" w:rsidR="0051797B" w:rsidRDefault="00CC2E1B" w:rsidP="0051797B">
      <w:pPr>
        <w:rPr>
          <w:lang w:eastAsia="zh-CN"/>
        </w:rPr>
      </w:pPr>
      <w:r>
        <w:t>The final draft of Part 2</w:t>
      </w:r>
      <w:r w:rsidR="00784685">
        <w:t xml:space="preserve"> of the standard</w:t>
      </w:r>
      <w:r w:rsidR="00B7767F">
        <w:t xml:space="preserve"> EN 50561</w:t>
      </w:r>
      <w:r w:rsidR="00784685">
        <w:t xml:space="preserve"> </w:t>
      </w:r>
      <w:r w:rsidR="0051797B">
        <w:t xml:space="preserve">covering PLT access networks </w:t>
      </w:r>
      <w:r w:rsidR="00784685">
        <w:t xml:space="preserve">has been approved for circulation and was passed for editorial review on 22 September 2015 </w:t>
      </w:r>
      <w:r w:rsidR="002E0FE2">
        <w:t xml:space="preserve">prior to invoking the CENELEC voting procedure. Considerations on the eventual outcome of the vote were provided in Section </w:t>
      </w:r>
      <w:r w:rsidR="00C11DB6">
        <w:rPr>
          <w:lang w:eastAsia="zh-CN"/>
        </w:rPr>
        <w:t>2.4.2</w:t>
      </w:r>
      <w:r w:rsidR="002E0FE2">
        <w:rPr>
          <w:lang w:eastAsia="zh-CN"/>
        </w:rPr>
        <w:t xml:space="preserve"> of </w:t>
      </w:r>
      <w:r w:rsidR="002E0FE2" w:rsidRPr="00FB75B3">
        <w:t xml:space="preserve">Document </w:t>
      </w:r>
      <w:hyperlink r:id="rId16" w:history="1">
        <w:r w:rsidR="002E0FE2">
          <w:rPr>
            <w:rStyle w:val="Hyperlink"/>
          </w:rPr>
          <w:t>6/397</w:t>
        </w:r>
        <w:r w:rsidR="002E0FE2" w:rsidRPr="00FB75B3">
          <w:rPr>
            <w:rStyle w:val="Hyperlink"/>
          </w:rPr>
          <w:t>– 6A/</w:t>
        </w:r>
        <w:r w:rsidR="002E0FE2">
          <w:rPr>
            <w:rStyle w:val="Hyperlink"/>
          </w:rPr>
          <w:t>631</w:t>
        </w:r>
      </w:hyperlink>
      <w:r w:rsidR="002E0FE2">
        <w:t xml:space="preserve">. </w:t>
      </w:r>
      <w:r w:rsidR="0051797B">
        <w:rPr>
          <w:lang w:eastAsia="zh-CN"/>
        </w:rPr>
        <w:t xml:space="preserve">It should be noted that the EU Commission is still interested in PLT for access networking, even though enthusiasm is waning elsewhere in recognition that there are better means of providing broadband access, such as cable and G.fast. </w:t>
      </w:r>
    </w:p>
    <w:p w14:paraId="640C010A" w14:textId="77777777" w:rsidR="00A6620C" w:rsidRDefault="00A6620C" w:rsidP="00A6620C">
      <w:pPr>
        <w:pStyle w:val="Heading2"/>
      </w:pPr>
      <w:r>
        <w:t>2.3</w:t>
      </w:r>
      <w:r>
        <w:tab/>
        <w:t xml:space="preserve">Developments </w:t>
      </w:r>
      <w:r w:rsidR="00B7767F">
        <w:t>on Part 3 of EN 50561</w:t>
      </w:r>
      <w:r w:rsidR="00E0376F">
        <w:t xml:space="preserve"> (EN 50561-3)</w:t>
      </w:r>
    </w:p>
    <w:p w14:paraId="3B90C1DD" w14:textId="77777777" w:rsidR="00C11DB6" w:rsidRDefault="00CC2E1B" w:rsidP="00A6620C">
      <w:pPr>
        <w:rPr>
          <w:lang w:eastAsia="zh-CN"/>
        </w:rPr>
      </w:pPr>
      <w:r>
        <w:rPr>
          <w:lang w:eastAsia="zh-CN"/>
        </w:rPr>
        <w:t xml:space="preserve">Part 3 </w:t>
      </w:r>
      <w:r w:rsidR="00784685">
        <w:rPr>
          <w:lang w:eastAsia="zh-CN"/>
        </w:rPr>
        <w:t xml:space="preserve">of the EN 50561 standard covering </w:t>
      </w:r>
      <w:r w:rsidR="00603A7B">
        <w:rPr>
          <w:lang w:eastAsia="zh-CN"/>
        </w:rPr>
        <w:t>PLT operating in the range 30-</w:t>
      </w:r>
      <w:r>
        <w:rPr>
          <w:lang w:eastAsia="zh-CN"/>
        </w:rPr>
        <w:t>87.5 MHz</w:t>
      </w:r>
      <w:r w:rsidR="00784685">
        <w:rPr>
          <w:lang w:eastAsia="zh-CN"/>
        </w:rPr>
        <w:t xml:space="preserve"> has passed the formal voting procedure in CENELEC </w:t>
      </w:r>
      <w:r>
        <w:rPr>
          <w:lang w:eastAsia="zh-CN"/>
        </w:rPr>
        <w:t>- The final version incorporate</w:t>
      </w:r>
      <w:r w:rsidR="00CC27BD">
        <w:rPr>
          <w:lang w:eastAsia="zh-CN"/>
        </w:rPr>
        <w:t>s</w:t>
      </w:r>
      <w:r>
        <w:rPr>
          <w:lang w:eastAsia="zh-CN"/>
        </w:rPr>
        <w:t xml:space="preserve"> </w:t>
      </w:r>
      <w:r w:rsidR="00B619EB">
        <w:rPr>
          <w:lang w:eastAsia="zh-CN"/>
        </w:rPr>
        <w:t>measurements</w:t>
      </w:r>
      <w:r w:rsidR="00F430AC">
        <w:rPr>
          <w:lang w:eastAsia="zh-CN"/>
        </w:rPr>
        <w:t xml:space="preserve"> of conduc</w:t>
      </w:r>
      <w:r w:rsidR="00603A7B">
        <w:rPr>
          <w:lang w:eastAsia="zh-CN"/>
        </w:rPr>
        <w:t>ted emissions in the range 30-</w:t>
      </w:r>
      <w:r w:rsidR="00F430AC">
        <w:rPr>
          <w:lang w:eastAsia="zh-CN"/>
        </w:rPr>
        <w:t xml:space="preserve">120 MHz and </w:t>
      </w:r>
      <w:r w:rsidR="00CC27BD">
        <w:rPr>
          <w:lang w:eastAsia="zh-CN"/>
        </w:rPr>
        <w:t xml:space="preserve">sets a </w:t>
      </w:r>
      <w:r w:rsidR="0073017E">
        <w:rPr>
          <w:lang w:eastAsia="zh-CN"/>
        </w:rPr>
        <w:t xml:space="preserve">PSD spectrum mask, which together serve to </w:t>
      </w:r>
      <w:r w:rsidR="00CC27BD">
        <w:rPr>
          <w:lang w:eastAsia="zh-CN"/>
        </w:rPr>
        <w:t xml:space="preserve">provide better compatibility in respect of VHF sound broadcasting and </w:t>
      </w:r>
      <w:r w:rsidR="00D12416">
        <w:rPr>
          <w:lang w:eastAsia="zh-CN"/>
        </w:rPr>
        <w:t xml:space="preserve">the </w:t>
      </w:r>
      <w:r w:rsidR="00D12416" w:rsidRPr="003215DB">
        <w:t>G.fast</w:t>
      </w:r>
      <w:r w:rsidR="00D12416" w:rsidRPr="003215DB">
        <w:rPr>
          <w:rStyle w:val="FootnoteReference"/>
          <w:lang w:eastAsia="zh-CN"/>
        </w:rPr>
        <w:footnoteReference w:id="4"/>
      </w:r>
      <w:r w:rsidR="00D12416" w:rsidRPr="003215DB">
        <w:t xml:space="preserve"> </w:t>
      </w:r>
      <w:r w:rsidR="00D12416">
        <w:t>wired broadband link system developed in ITU-T Study Group 15. As</w:t>
      </w:r>
      <w:r w:rsidR="00F430AC">
        <w:rPr>
          <w:lang w:eastAsia="zh-CN"/>
        </w:rPr>
        <w:t xml:space="preserve"> with Part 1, a revision will be necessary in order to replace the references to CISPR 22 with reference to CISPR 32. </w:t>
      </w:r>
      <w:r w:rsidR="00C11DB6">
        <w:t xml:space="preserve">Considerations on the eventual outcome of the vote were provided in Section </w:t>
      </w:r>
      <w:r w:rsidR="00C11DB6">
        <w:rPr>
          <w:lang w:eastAsia="zh-CN"/>
        </w:rPr>
        <w:t xml:space="preserve">2.4.1 of </w:t>
      </w:r>
      <w:r w:rsidR="00C11DB6" w:rsidRPr="00FB75B3">
        <w:t xml:space="preserve">Document </w:t>
      </w:r>
      <w:hyperlink r:id="rId17" w:history="1">
        <w:r w:rsidR="00C11DB6">
          <w:rPr>
            <w:rStyle w:val="Hyperlink"/>
          </w:rPr>
          <w:t>6/397</w:t>
        </w:r>
        <w:r w:rsidR="006C5E3B">
          <w:rPr>
            <w:rStyle w:val="Hyperlink"/>
          </w:rPr>
          <w:t xml:space="preserve"> </w:t>
        </w:r>
        <w:r w:rsidR="00C11DB6" w:rsidRPr="00FB75B3">
          <w:rPr>
            <w:rStyle w:val="Hyperlink"/>
          </w:rPr>
          <w:t>– 6A/</w:t>
        </w:r>
        <w:r w:rsidR="00C11DB6">
          <w:rPr>
            <w:rStyle w:val="Hyperlink"/>
          </w:rPr>
          <w:t>631</w:t>
        </w:r>
      </w:hyperlink>
      <w:r w:rsidR="00C11DB6">
        <w:t>.</w:t>
      </w:r>
      <w:r w:rsidR="0051797B">
        <w:t xml:space="preserve"> A contentious point</w:t>
      </w:r>
      <w:r w:rsidR="00CC27BD">
        <w:t>,</w:t>
      </w:r>
      <w:r w:rsidR="0051797B">
        <w:t xml:space="preserve"> also noted in relation to Part</w:t>
      </w:r>
      <w:r w:rsidR="00CC27BD">
        <w:t xml:space="preserve">s 1 </w:t>
      </w:r>
      <w:r w:rsidR="00D32FF6">
        <w:t>and 2</w:t>
      </w:r>
      <w:r w:rsidR="00CC27BD">
        <w:t>,</w:t>
      </w:r>
      <w:r w:rsidR="0051797B">
        <w:t xml:space="preserve"> was whether or how MIMO operation should be included</w:t>
      </w:r>
      <w:r w:rsidR="0073017E">
        <w:t xml:space="preserve"> in a future revision</w:t>
      </w:r>
      <w:r w:rsidR="0051797B">
        <w:t>.</w:t>
      </w:r>
    </w:p>
    <w:p w14:paraId="3B69FDF9" w14:textId="77777777" w:rsidR="009666C0" w:rsidRDefault="009666C0" w:rsidP="009666C0">
      <w:pPr>
        <w:pStyle w:val="Heading2"/>
      </w:pPr>
      <w:r>
        <w:t>2.4</w:t>
      </w:r>
      <w:r>
        <w:tab/>
        <w:t>Considerations on MIMO operation</w:t>
      </w:r>
    </w:p>
    <w:p w14:paraId="6C410642" w14:textId="77777777" w:rsidR="00D12416" w:rsidRDefault="00D12416" w:rsidP="00A6620C">
      <w:pPr>
        <w:rPr>
          <w:lang w:eastAsia="zh-CN"/>
        </w:rPr>
      </w:pPr>
      <w:r>
        <w:rPr>
          <w:lang w:eastAsia="zh-CN"/>
        </w:rPr>
        <w:t xml:space="preserve">The question of whether or how to include MIMO operation in </w:t>
      </w:r>
      <w:r w:rsidR="00CC27BD">
        <w:rPr>
          <w:lang w:eastAsia="zh-CN"/>
        </w:rPr>
        <w:t xml:space="preserve">EN </w:t>
      </w:r>
      <w:r>
        <w:rPr>
          <w:lang w:eastAsia="zh-CN"/>
        </w:rPr>
        <w:t xml:space="preserve">50561-1 is proving highly controversial as MIMO is perceived as potentially more disturbing. </w:t>
      </w:r>
      <w:r w:rsidR="001720C3">
        <w:rPr>
          <w:lang w:eastAsia="zh-CN"/>
        </w:rPr>
        <w:t>The test methods and limits of EN</w:t>
      </w:r>
      <w:r w:rsidR="00CC27BD">
        <w:rPr>
          <w:lang w:eastAsia="zh-CN"/>
        </w:rPr>
        <w:t xml:space="preserve"> </w:t>
      </w:r>
      <w:r w:rsidR="001720C3">
        <w:rPr>
          <w:lang w:eastAsia="zh-CN"/>
        </w:rPr>
        <w:t>50561 do not explicitly reference MIMO</w:t>
      </w:r>
      <w:r w:rsidR="00CC27BD">
        <w:rPr>
          <w:lang w:eastAsia="zh-CN"/>
        </w:rPr>
        <w:t>,</w:t>
      </w:r>
      <w:r w:rsidR="001720C3">
        <w:rPr>
          <w:lang w:eastAsia="zh-CN"/>
        </w:rPr>
        <w:t xml:space="preserve"> and the expectation is that disturbances will be higher with MIMO operation, This expectation is supported by </w:t>
      </w:r>
      <w:r>
        <w:rPr>
          <w:lang w:eastAsia="zh-CN"/>
        </w:rPr>
        <w:t xml:space="preserve">evidence and studies previously presented to CENELEC, and other fora, such as Annex 2 to </w:t>
      </w:r>
      <w:r w:rsidRPr="00FB75B3">
        <w:t xml:space="preserve">Document </w:t>
      </w:r>
      <w:hyperlink r:id="rId18" w:history="1">
        <w:r w:rsidRPr="00FB75B3">
          <w:rPr>
            <w:rStyle w:val="Hyperlink"/>
            <w:bCs/>
          </w:rPr>
          <w:t>6/327(Add.1)</w:t>
        </w:r>
      </w:hyperlink>
      <w:r>
        <w:rPr>
          <w:lang w:eastAsia="zh-CN"/>
        </w:rPr>
        <w:t xml:space="preserve">. A new work item has been approved in CENELEC in order to progress the MIMO issue, but no work has yet taken place in TC 210 WG11, </w:t>
      </w:r>
      <w:r w:rsidR="000961E2">
        <w:rPr>
          <w:lang w:eastAsia="zh-CN"/>
        </w:rPr>
        <w:t xml:space="preserve">the responsible working group. </w:t>
      </w:r>
    </w:p>
    <w:p w14:paraId="1599F2C9" w14:textId="77777777" w:rsidR="000961E2" w:rsidRDefault="000961E2" w:rsidP="00A6620C">
      <w:pPr>
        <w:rPr>
          <w:lang w:eastAsia="zh-CN"/>
        </w:rPr>
      </w:pPr>
      <w:r>
        <w:rPr>
          <w:lang w:eastAsia="zh-CN"/>
        </w:rPr>
        <w:t>Irrespective of the above concerns, there are other difficulties with MIMO operation to contend with because of the different regulations for low voltage mains wiring in Europe and around the world</w:t>
      </w:r>
      <w:r w:rsidR="00CC27BD">
        <w:rPr>
          <w:lang w:eastAsia="zh-CN"/>
        </w:rPr>
        <w:t xml:space="preserve">. In particular, different regulations apply in respect of </w:t>
      </w:r>
      <w:r>
        <w:rPr>
          <w:lang w:eastAsia="zh-CN"/>
        </w:rPr>
        <w:t xml:space="preserve">bonding the protective earth and neutral wires. Some countries allow the bonding of the </w:t>
      </w:r>
      <w:r w:rsidR="00CC27BD">
        <w:rPr>
          <w:lang w:eastAsia="zh-CN"/>
        </w:rPr>
        <w:t xml:space="preserve">protective </w:t>
      </w:r>
      <w:r>
        <w:rPr>
          <w:lang w:eastAsia="zh-CN"/>
        </w:rPr>
        <w:t xml:space="preserve">earth and neutral in homes and buildings, </w:t>
      </w:r>
      <w:r w:rsidR="00CC27BD">
        <w:rPr>
          <w:lang w:eastAsia="zh-CN"/>
        </w:rPr>
        <w:t xml:space="preserve">while </w:t>
      </w:r>
      <w:r>
        <w:rPr>
          <w:lang w:eastAsia="zh-CN"/>
        </w:rPr>
        <w:t xml:space="preserve">others prohibit this and only allow bonding within electricity sub-stations. In addition some countries allow socket outlets </w:t>
      </w:r>
      <w:r w:rsidR="00CC27BD">
        <w:rPr>
          <w:lang w:eastAsia="zh-CN"/>
        </w:rPr>
        <w:t xml:space="preserve">on different phases to be installed in close proximity to each other </w:t>
      </w:r>
      <w:r>
        <w:rPr>
          <w:lang w:eastAsia="zh-CN"/>
        </w:rPr>
        <w:t xml:space="preserve">within domestic premises, </w:t>
      </w:r>
      <w:r w:rsidR="00CC27BD">
        <w:rPr>
          <w:lang w:eastAsia="zh-CN"/>
        </w:rPr>
        <w:t xml:space="preserve">while others </w:t>
      </w:r>
      <w:r>
        <w:rPr>
          <w:lang w:eastAsia="zh-CN"/>
        </w:rPr>
        <w:t>prohibit this</w:t>
      </w:r>
      <w:r w:rsidR="00CC27BD">
        <w:rPr>
          <w:lang w:eastAsia="zh-CN"/>
        </w:rPr>
        <w:t>. Mo</w:t>
      </w:r>
      <w:r>
        <w:rPr>
          <w:lang w:eastAsia="zh-CN"/>
        </w:rPr>
        <w:t>reover some countries use bi-phase supplies and other three-phase. All th</w:t>
      </w:r>
      <w:r w:rsidR="00CC27BD">
        <w:rPr>
          <w:lang w:eastAsia="zh-CN"/>
        </w:rPr>
        <w:t>ese</w:t>
      </w:r>
      <w:r>
        <w:rPr>
          <w:lang w:eastAsia="zh-CN"/>
        </w:rPr>
        <w:t xml:space="preserve"> vari</w:t>
      </w:r>
      <w:r w:rsidR="00AB4D71">
        <w:rPr>
          <w:lang w:eastAsia="zh-CN"/>
        </w:rPr>
        <w:t>ations would affect how MIMO would actually operate how test methods</w:t>
      </w:r>
      <w:r>
        <w:rPr>
          <w:lang w:eastAsia="zh-CN"/>
        </w:rPr>
        <w:t xml:space="preserve"> </w:t>
      </w:r>
      <w:r w:rsidR="00AB4D71">
        <w:rPr>
          <w:lang w:eastAsia="zh-CN"/>
        </w:rPr>
        <w:t xml:space="preserve">should be </w:t>
      </w:r>
      <w:r w:rsidR="00CC27BD">
        <w:rPr>
          <w:lang w:eastAsia="zh-CN"/>
        </w:rPr>
        <w:t xml:space="preserve">set and </w:t>
      </w:r>
      <w:r w:rsidR="00AB4D71">
        <w:rPr>
          <w:lang w:eastAsia="zh-CN"/>
        </w:rPr>
        <w:t>applied.</w:t>
      </w:r>
    </w:p>
    <w:p w14:paraId="4E03D692" w14:textId="77777777" w:rsidR="002D122B" w:rsidRDefault="002D122B" w:rsidP="00A6620C">
      <w:pPr>
        <w:rPr>
          <w:lang w:eastAsia="zh-CN"/>
        </w:rPr>
      </w:pPr>
      <w:r>
        <w:rPr>
          <w:lang w:eastAsia="zh-CN"/>
        </w:rPr>
        <w:t>One view on MIMO is that its use is definit</w:t>
      </w:r>
      <w:r w:rsidR="001720C3">
        <w:rPr>
          <w:lang w:eastAsia="zh-CN"/>
        </w:rPr>
        <w:t>ely</w:t>
      </w:r>
      <w:r>
        <w:rPr>
          <w:lang w:eastAsia="zh-CN"/>
        </w:rPr>
        <w:t xml:space="preserve"> not covered in EN 50561</w:t>
      </w:r>
      <w:r w:rsidR="00BC5105">
        <w:rPr>
          <w:lang w:eastAsia="zh-CN"/>
        </w:rPr>
        <w:t xml:space="preserve"> and that attempts incorporate MIMO </w:t>
      </w:r>
      <w:r w:rsidR="00B564D7">
        <w:rPr>
          <w:lang w:eastAsia="zh-CN"/>
        </w:rPr>
        <w:t xml:space="preserve">without defining appropriate test methods and limits are </w:t>
      </w:r>
      <w:r w:rsidR="00BC5105">
        <w:rPr>
          <w:lang w:eastAsia="zh-CN"/>
        </w:rPr>
        <w:t>an abuse of procedures</w:t>
      </w:r>
      <w:r>
        <w:rPr>
          <w:lang w:eastAsia="zh-CN"/>
        </w:rPr>
        <w:t>. Various instance</w:t>
      </w:r>
      <w:r w:rsidR="001720C3">
        <w:rPr>
          <w:lang w:eastAsia="zh-CN"/>
        </w:rPr>
        <w:t>s</w:t>
      </w:r>
      <w:r>
        <w:rPr>
          <w:lang w:eastAsia="zh-CN"/>
        </w:rPr>
        <w:t xml:space="preserve"> of abuse of Part 1 have been observed where MIMO operation has been incorporated by going down the route</w:t>
      </w:r>
      <w:r w:rsidR="00CC27BD">
        <w:rPr>
          <w:lang w:eastAsia="zh-CN"/>
        </w:rPr>
        <w:t xml:space="preserve"> (</w:t>
      </w:r>
      <w:r>
        <w:rPr>
          <w:lang w:eastAsia="zh-CN"/>
        </w:rPr>
        <w:t>which exists in EU procedures</w:t>
      </w:r>
      <w:r w:rsidR="00CC27BD">
        <w:rPr>
          <w:lang w:eastAsia="zh-CN"/>
        </w:rPr>
        <w:t>)</w:t>
      </w:r>
      <w:r>
        <w:rPr>
          <w:lang w:eastAsia="zh-CN"/>
        </w:rPr>
        <w:t xml:space="preserve"> of establishing a TF (Technical File) which is then submitted to technical </w:t>
      </w:r>
      <w:r w:rsidR="001720C3">
        <w:rPr>
          <w:lang w:eastAsia="zh-CN"/>
        </w:rPr>
        <w:t xml:space="preserve">certification </w:t>
      </w:r>
      <w:r>
        <w:rPr>
          <w:lang w:eastAsia="zh-CN"/>
        </w:rPr>
        <w:t xml:space="preserve">bodies. </w:t>
      </w:r>
    </w:p>
    <w:p w14:paraId="044B78CF" w14:textId="77777777" w:rsidR="002D122B" w:rsidRDefault="002D122B" w:rsidP="00A6620C">
      <w:pPr>
        <w:rPr>
          <w:lang w:eastAsia="zh-CN"/>
        </w:rPr>
      </w:pPr>
      <w:r>
        <w:rPr>
          <w:lang w:eastAsia="zh-CN"/>
        </w:rPr>
        <w:lastRenderedPageBreak/>
        <w:t xml:space="preserve">Another view is that because the present suite of EN 50561 standards are silent on MIMO operation there is nothing </w:t>
      </w:r>
      <w:r w:rsidR="00D170A5">
        <w:rPr>
          <w:lang w:eastAsia="zh-CN"/>
        </w:rPr>
        <w:t xml:space="preserve">to rule out MIMO operation and thereby </w:t>
      </w:r>
      <w:r>
        <w:rPr>
          <w:lang w:eastAsia="zh-CN"/>
        </w:rPr>
        <w:t xml:space="preserve">prevent the current standard </w:t>
      </w:r>
      <w:r w:rsidR="00F60306">
        <w:rPr>
          <w:lang w:eastAsia="zh-CN"/>
        </w:rPr>
        <w:t xml:space="preserve">from </w:t>
      </w:r>
      <w:r>
        <w:rPr>
          <w:lang w:eastAsia="zh-CN"/>
        </w:rPr>
        <w:t>being interpreted as covering MIMO</w:t>
      </w:r>
      <w:r w:rsidR="00F60306">
        <w:rPr>
          <w:lang w:eastAsia="zh-CN"/>
        </w:rPr>
        <w:t xml:space="preserve"> operation.</w:t>
      </w:r>
      <w:r w:rsidR="00D170A5">
        <w:rPr>
          <w:lang w:eastAsia="zh-CN"/>
        </w:rPr>
        <w:t xml:space="preserve"> There are other problems over interpretation as well, in that it can be claimed that PLT equipment can pass CIPSR 22/EN</w:t>
      </w:r>
      <w:r w:rsidR="00F60306">
        <w:rPr>
          <w:lang w:eastAsia="zh-CN"/>
        </w:rPr>
        <w:t xml:space="preserve"> </w:t>
      </w:r>
      <w:r w:rsidR="00D32FF6">
        <w:rPr>
          <w:lang w:eastAsia="zh-CN"/>
        </w:rPr>
        <w:t>55022 by</w:t>
      </w:r>
      <w:r w:rsidR="00D170A5">
        <w:rPr>
          <w:lang w:eastAsia="zh-CN"/>
        </w:rPr>
        <w:t xml:space="preserve"> treating the mains </w:t>
      </w:r>
      <w:r w:rsidR="00F60306">
        <w:rPr>
          <w:lang w:eastAsia="zh-CN"/>
        </w:rPr>
        <w:t xml:space="preserve">connection </w:t>
      </w:r>
      <w:r w:rsidR="00D170A5">
        <w:rPr>
          <w:lang w:eastAsia="zh-CN"/>
        </w:rPr>
        <w:t xml:space="preserve">as the signal port </w:t>
      </w:r>
      <w:r w:rsidR="00F60306">
        <w:rPr>
          <w:lang w:eastAsia="zh-CN"/>
        </w:rPr>
        <w:t xml:space="preserve">while </w:t>
      </w:r>
      <w:r w:rsidR="00D170A5">
        <w:rPr>
          <w:lang w:eastAsia="zh-CN"/>
        </w:rPr>
        <w:t xml:space="preserve">with the modem in operation and measuring disturbances on the mains port </w:t>
      </w:r>
      <w:r w:rsidR="00F60306">
        <w:rPr>
          <w:lang w:eastAsia="zh-CN"/>
        </w:rPr>
        <w:t xml:space="preserve">only while the </w:t>
      </w:r>
      <w:r w:rsidR="00D170A5">
        <w:rPr>
          <w:lang w:eastAsia="zh-CN"/>
        </w:rPr>
        <w:t xml:space="preserve">modem </w:t>
      </w:r>
      <w:r w:rsidR="00F60306">
        <w:rPr>
          <w:lang w:eastAsia="zh-CN"/>
        </w:rPr>
        <w:t xml:space="preserve">is </w:t>
      </w:r>
      <w:r w:rsidR="00D170A5">
        <w:rPr>
          <w:lang w:eastAsia="zh-CN"/>
        </w:rPr>
        <w:t xml:space="preserve">inoperative. </w:t>
      </w:r>
    </w:p>
    <w:p w14:paraId="5E66418A" w14:textId="77777777" w:rsidR="00BC5105" w:rsidRDefault="00BC5105" w:rsidP="00A6620C">
      <w:pPr>
        <w:rPr>
          <w:lang w:eastAsia="zh-CN"/>
        </w:rPr>
      </w:pPr>
      <w:r>
        <w:rPr>
          <w:lang w:eastAsia="zh-CN"/>
        </w:rPr>
        <w:t>The CLC/TC 210 group examined various ways of resolving the problems presented by MIMO operation including:</w:t>
      </w:r>
    </w:p>
    <w:p w14:paraId="13ED28A5" w14:textId="77777777" w:rsidR="00BC5105" w:rsidRDefault="00BC5105" w:rsidP="00BC5105">
      <w:pPr>
        <w:pStyle w:val="enumlev1"/>
        <w:numPr>
          <w:ilvl w:val="0"/>
          <w:numId w:val="2"/>
        </w:numPr>
        <w:ind w:left="714" w:hanging="692"/>
      </w:pPr>
      <w:r>
        <w:rPr>
          <w:lang w:eastAsia="zh-CN"/>
        </w:rPr>
        <w:t xml:space="preserve">to develop an information or interpretation sheet explaining that </w:t>
      </w:r>
      <w:r w:rsidR="00B564D7">
        <w:rPr>
          <w:lang w:eastAsia="zh-CN"/>
        </w:rPr>
        <w:t xml:space="preserve">the present editions of </w:t>
      </w:r>
      <w:r>
        <w:rPr>
          <w:lang w:eastAsia="zh-CN"/>
        </w:rPr>
        <w:t xml:space="preserve">EN 50561 do not </w:t>
      </w:r>
      <w:r w:rsidR="00B564D7">
        <w:rPr>
          <w:lang w:eastAsia="zh-CN"/>
        </w:rPr>
        <w:t xml:space="preserve">make provisions for </w:t>
      </w:r>
      <w:r>
        <w:rPr>
          <w:lang w:eastAsia="zh-CN"/>
        </w:rPr>
        <w:t>MIMO operation</w:t>
      </w:r>
      <w:r>
        <w:t xml:space="preserve">; </w:t>
      </w:r>
    </w:p>
    <w:p w14:paraId="0C3D0FCC" w14:textId="77777777" w:rsidR="00B564D7" w:rsidRDefault="00B564D7" w:rsidP="00BC5105">
      <w:pPr>
        <w:pStyle w:val="enumlev1"/>
        <w:numPr>
          <w:ilvl w:val="0"/>
          <w:numId w:val="2"/>
        </w:numPr>
        <w:ind w:left="714" w:hanging="692"/>
      </w:pPr>
      <w:r>
        <w:rPr>
          <w:lang w:eastAsia="zh-CN"/>
        </w:rPr>
        <w:t>to inform notifying bodies and manufacturers directly that there must be a proper assessment of MIMO operation before treating it as part of EN 50561;</w:t>
      </w:r>
    </w:p>
    <w:p w14:paraId="1D93AE06" w14:textId="77777777" w:rsidR="00B14917" w:rsidRPr="00B619EB" w:rsidRDefault="00B14917" w:rsidP="00BC5105">
      <w:pPr>
        <w:pStyle w:val="enumlev1"/>
        <w:numPr>
          <w:ilvl w:val="0"/>
          <w:numId w:val="2"/>
        </w:numPr>
        <w:ind w:left="714" w:hanging="692"/>
      </w:pPr>
      <w:r w:rsidRPr="00B619EB">
        <w:rPr>
          <w:lang w:eastAsia="zh-CN"/>
        </w:rPr>
        <w:t>to modify texts in order to clarify the test method rather than producing new standards;</w:t>
      </w:r>
    </w:p>
    <w:p w14:paraId="4587D666" w14:textId="77777777" w:rsidR="00B564D7" w:rsidRDefault="00B564D7" w:rsidP="00BC5105">
      <w:pPr>
        <w:pStyle w:val="enumlev1"/>
        <w:numPr>
          <w:ilvl w:val="0"/>
          <w:numId w:val="2"/>
        </w:numPr>
        <w:ind w:left="714" w:hanging="692"/>
      </w:pPr>
      <w:r>
        <w:rPr>
          <w:lang w:eastAsia="zh-CN"/>
        </w:rPr>
        <w:t>to generate a Technical Report on MIMO before taking any further action with respect to EN 50561 (NB: this proposal had also been discussed during the May 2015 CL/TC 210 meeting</w:t>
      </w:r>
    </w:p>
    <w:p w14:paraId="0738E611" w14:textId="77777777" w:rsidR="00A37734" w:rsidRDefault="00B564D7" w:rsidP="00B564D7">
      <w:pPr>
        <w:pStyle w:val="enumlev1"/>
        <w:numPr>
          <w:ilvl w:val="0"/>
          <w:numId w:val="2"/>
        </w:numPr>
        <w:ind w:left="714" w:hanging="692"/>
        <w:rPr>
          <w:lang w:eastAsia="zh-CN"/>
        </w:rPr>
      </w:pPr>
      <w:r>
        <w:t xml:space="preserve">to send all relevant parties the simple statement that </w:t>
      </w:r>
      <w:r w:rsidR="00A37734">
        <w:rPr>
          <w:lang w:eastAsia="zh-CN"/>
        </w:rPr>
        <w:t>MIMO is not included in EN 50561 and that claiming to apply the standard in such a way does not guarantee protection for radio services under CISPR 22 or CIS</w:t>
      </w:r>
      <w:r w:rsidR="001720C3">
        <w:rPr>
          <w:lang w:eastAsia="zh-CN"/>
        </w:rPr>
        <w:t>P</w:t>
      </w:r>
      <w:r w:rsidR="00A37734">
        <w:rPr>
          <w:lang w:eastAsia="zh-CN"/>
        </w:rPr>
        <w:t xml:space="preserve">R 32. </w:t>
      </w:r>
    </w:p>
    <w:p w14:paraId="2CDED9F1" w14:textId="77777777" w:rsidR="00AB75C6" w:rsidRDefault="00B564D7" w:rsidP="00AB75C6">
      <w:pPr>
        <w:pStyle w:val="enumlev1"/>
        <w:ind w:left="22" w:firstLine="0"/>
        <w:rPr>
          <w:lang w:eastAsia="zh-CN"/>
        </w:rPr>
      </w:pPr>
      <w:r>
        <w:rPr>
          <w:lang w:eastAsia="zh-CN"/>
        </w:rPr>
        <w:t>The last idea would go directly to the concerns previously expressed in ITU-R about the impact of PLT on radio services.</w:t>
      </w:r>
      <w:r w:rsidR="00AB75C6">
        <w:rPr>
          <w:lang w:eastAsia="zh-CN"/>
        </w:rPr>
        <w:t xml:space="preserve"> </w:t>
      </w:r>
      <w:r>
        <w:rPr>
          <w:lang w:eastAsia="zh-CN"/>
        </w:rPr>
        <w:t>However, there was no firm consensus on how to resolve the MIMO issue</w:t>
      </w:r>
      <w:r w:rsidR="00AB75C6">
        <w:rPr>
          <w:lang w:eastAsia="zh-CN"/>
        </w:rPr>
        <w:t xml:space="preserve">. A particular problem identified with PLT was that circulating information on MIMO would not provide an adequate solution because, in practice, many of the PLT modems on the European market do not use or claim to use EN 50561-1 and its 30 MHz limit. Some PLT equipment on the European market relies instead on an industry specification using MIMO and operating up to </w:t>
      </w:r>
      <w:r w:rsidR="00603A7B">
        <w:rPr>
          <w:lang w:eastAsia="zh-CN"/>
        </w:rPr>
        <w:br/>
      </w:r>
      <w:r w:rsidR="00AB75C6">
        <w:rPr>
          <w:lang w:eastAsia="zh-CN"/>
        </w:rPr>
        <w:t>68 MHz. This may be on the basis of a historic draft text on PLT developed in CISPR.</w:t>
      </w:r>
    </w:p>
    <w:p w14:paraId="7C5BBC21" w14:textId="77777777" w:rsidR="00300B86" w:rsidRPr="00300B86" w:rsidRDefault="00B14917" w:rsidP="00300B86">
      <w:pPr>
        <w:rPr>
          <w:lang w:eastAsia="zh-CN"/>
        </w:rPr>
      </w:pPr>
      <w:r w:rsidRPr="00300B86">
        <w:rPr>
          <w:lang w:eastAsia="zh-CN"/>
        </w:rPr>
        <w:t xml:space="preserve">It was eventually decided to produce a proposal for a new work item for MIMO operation under EN 50561-1, EN 50561-2 and EN 50561-3. An alternative could be to develop new Parts 4, 5 &amp; 6 covering MIMO use separately. </w:t>
      </w:r>
      <w:r w:rsidR="00AB75C6" w:rsidRPr="00300B86">
        <w:rPr>
          <w:lang w:eastAsia="zh-CN"/>
        </w:rPr>
        <w:t>The situation now is that discussion on the MIMO will continue in TC 210/WG11 working-group</w:t>
      </w:r>
      <w:r w:rsidR="00615182" w:rsidRPr="00300B86">
        <w:rPr>
          <w:lang w:eastAsia="zh-CN"/>
        </w:rPr>
        <w:t xml:space="preserve">. </w:t>
      </w:r>
    </w:p>
    <w:p w14:paraId="664D2610" w14:textId="77777777" w:rsidR="00B14917" w:rsidRDefault="00615182" w:rsidP="00300B86">
      <w:pPr>
        <w:rPr>
          <w:lang w:eastAsia="zh-CN"/>
        </w:rPr>
      </w:pPr>
      <w:r>
        <w:rPr>
          <w:lang w:eastAsia="zh-CN"/>
        </w:rPr>
        <w:t xml:space="preserve">The CLC/TC 210 </w:t>
      </w:r>
      <w:r w:rsidR="00F60306">
        <w:rPr>
          <w:lang w:eastAsia="zh-CN"/>
        </w:rPr>
        <w:t xml:space="preserve">group </w:t>
      </w:r>
      <w:r>
        <w:rPr>
          <w:lang w:eastAsia="zh-CN"/>
        </w:rPr>
        <w:t xml:space="preserve">also considered other </w:t>
      </w:r>
      <w:r w:rsidR="00F60306">
        <w:rPr>
          <w:lang w:eastAsia="zh-CN"/>
        </w:rPr>
        <w:t xml:space="preserve">EMI </w:t>
      </w:r>
      <w:r>
        <w:rPr>
          <w:lang w:eastAsia="zh-CN"/>
        </w:rPr>
        <w:t>problems from a wide range of electronic and electrical equipment</w:t>
      </w:r>
      <w:r w:rsidR="0053694C">
        <w:rPr>
          <w:lang w:eastAsia="zh-CN"/>
        </w:rPr>
        <w:t xml:space="preserve"> where access to markets is a concern. </w:t>
      </w:r>
      <w:r w:rsidR="00300B86">
        <w:rPr>
          <w:lang w:eastAsia="zh-CN"/>
        </w:rPr>
        <w:t>T</w:t>
      </w:r>
      <w:r>
        <w:rPr>
          <w:lang w:eastAsia="zh-CN"/>
        </w:rPr>
        <w:t>he extensive discussion on controlling the market in PLT equipment</w:t>
      </w:r>
      <w:r w:rsidR="00300B86">
        <w:rPr>
          <w:lang w:eastAsia="zh-CN"/>
        </w:rPr>
        <w:t>,</w:t>
      </w:r>
      <w:r>
        <w:rPr>
          <w:lang w:eastAsia="zh-CN"/>
        </w:rPr>
        <w:t xml:space="preserve"> </w:t>
      </w:r>
      <w:r w:rsidR="00300B86">
        <w:rPr>
          <w:lang w:eastAsia="zh-CN"/>
        </w:rPr>
        <w:t xml:space="preserve">considering the potential for non-compliance with MIMO, </w:t>
      </w:r>
      <w:r>
        <w:rPr>
          <w:lang w:eastAsia="zh-CN"/>
        </w:rPr>
        <w:t xml:space="preserve">proved useful in linking into to a more general consideration of the role of market surveillance and legislation in dealing with </w:t>
      </w:r>
      <w:r w:rsidR="0053694C">
        <w:rPr>
          <w:lang w:eastAsia="zh-CN"/>
        </w:rPr>
        <w:t xml:space="preserve">EMI and </w:t>
      </w:r>
      <w:r>
        <w:rPr>
          <w:lang w:eastAsia="zh-CN"/>
        </w:rPr>
        <w:t>non-compliant equipment</w:t>
      </w:r>
      <w:r w:rsidR="0073017E">
        <w:rPr>
          <w:lang w:eastAsia="zh-CN"/>
        </w:rPr>
        <w:t xml:space="preserve"> (see Section 4)</w:t>
      </w:r>
      <w:r w:rsidR="0053694C">
        <w:rPr>
          <w:lang w:eastAsia="zh-CN"/>
        </w:rPr>
        <w:t>.</w:t>
      </w:r>
      <w:r w:rsidR="00A37734">
        <w:rPr>
          <w:lang w:eastAsia="zh-CN"/>
        </w:rPr>
        <w:t xml:space="preserve"> </w:t>
      </w:r>
    </w:p>
    <w:p w14:paraId="38BA1931" w14:textId="77777777" w:rsidR="00AB4D71" w:rsidRDefault="00AB4D71" w:rsidP="00AB4D71">
      <w:pPr>
        <w:pStyle w:val="Heading1"/>
      </w:pPr>
      <w:r>
        <w:t>3</w:t>
      </w:r>
      <w:r w:rsidRPr="00E35783">
        <w:tab/>
      </w:r>
      <w:r w:rsidR="00F60306">
        <w:t xml:space="preserve">Increasing </w:t>
      </w:r>
      <w:r>
        <w:t>EMI</w:t>
      </w:r>
      <w:r w:rsidR="00F60306">
        <w:t xml:space="preserve"> observed </w:t>
      </w:r>
      <w:r>
        <w:t>in the VLF and LF bands</w:t>
      </w:r>
    </w:p>
    <w:p w14:paraId="56653D6C" w14:textId="77777777" w:rsidR="00AB4D71" w:rsidRDefault="00B727D9" w:rsidP="00AB4D71">
      <w:r>
        <w:t>The Brussels meeting of the CLC/TC 210 group also addressed several issue</w:t>
      </w:r>
      <w:r w:rsidR="00F60306">
        <w:t>s</w:t>
      </w:r>
      <w:r>
        <w:t xml:space="preserve"> of mutual concern </w:t>
      </w:r>
      <w:r w:rsidR="00F60306">
        <w:t xml:space="preserve">as a result of the </w:t>
      </w:r>
      <w:r w:rsidR="008D2CD7">
        <w:t>increas</w:t>
      </w:r>
      <w:r w:rsidR="00F60306">
        <w:t xml:space="preserve">ing number of instances of </w:t>
      </w:r>
      <w:r>
        <w:t xml:space="preserve">EMI </w:t>
      </w:r>
      <w:r w:rsidR="00F60306">
        <w:t xml:space="preserve">now being observed </w:t>
      </w:r>
      <w:r>
        <w:t xml:space="preserve">in the </w:t>
      </w:r>
      <w:r w:rsidR="008D2CD7">
        <w:t xml:space="preserve">frequency </w:t>
      </w:r>
      <w:r w:rsidR="00664C2B">
        <w:br/>
      </w:r>
      <w:r w:rsidR="00603A7B">
        <w:t>range 2-</w:t>
      </w:r>
      <w:r w:rsidR="008D2CD7">
        <w:t>150 kHz</w:t>
      </w:r>
      <w:r w:rsidR="00F60306">
        <w:t xml:space="preserve">. These involve </w:t>
      </w:r>
      <w:r w:rsidR="008D2CD7">
        <w:t xml:space="preserve">a wide variety of equipment and devices </w:t>
      </w:r>
      <w:r w:rsidR="00F60306">
        <w:t xml:space="preserve">and </w:t>
      </w:r>
      <w:r w:rsidR="008D2CD7">
        <w:t>causes</w:t>
      </w:r>
      <w:r w:rsidR="004228A0">
        <w:t xml:space="preserve">, as detailed in </w:t>
      </w:r>
      <w:r w:rsidR="00D32FF6">
        <w:t>the third</w:t>
      </w:r>
      <w:r w:rsidR="004228A0">
        <w:t xml:space="preserve"> edition of the CLC/SC205A Study Report on </w:t>
      </w:r>
      <w:r w:rsidR="004228A0" w:rsidRPr="004228A0">
        <w:rPr>
          <w:i/>
        </w:rPr>
        <w:t>Electromagnetic Interference between Electrical Equipment/Systems in the Frequency Range below 150 kHz.</w:t>
      </w:r>
      <w:r w:rsidR="004228A0">
        <w:t xml:space="preserve"> </w:t>
      </w:r>
      <w:r w:rsidR="008D2CD7">
        <w:t xml:space="preserve">This </w:t>
      </w:r>
      <w:r w:rsidR="004228A0">
        <w:t xml:space="preserve">situation </w:t>
      </w:r>
      <w:r w:rsidR="008D2CD7">
        <w:t xml:space="preserve">is of particular concern to Working Party 6A because the Region 1 LF broadcasting band is immediately above this frequency range. Other important radiocommunication and radiodetermination services operating within and above this frequency range are also at risk of suffering interference. The wide ranging </w:t>
      </w:r>
      <w:r w:rsidR="008D2CD7">
        <w:lastRenderedPageBreak/>
        <w:t xml:space="preserve">nature of the interference and the mechanisms involved will </w:t>
      </w:r>
      <w:r w:rsidR="00795CED">
        <w:t xml:space="preserve">also </w:t>
      </w:r>
      <w:r w:rsidR="008D2CD7">
        <w:t>add to concerns previously express</w:t>
      </w:r>
      <w:r w:rsidR="00146B76">
        <w:t>ed</w:t>
      </w:r>
      <w:r w:rsidR="008D2CD7">
        <w:t xml:space="preserve"> </w:t>
      </w:r>
      <w:r w:rsidR="00146B76">
        <w:t>in</w:t>
      </w:r>
      <w:r w:rsidR="008D2CD7">
        <w:t xml:space="preserve"> Working Party 6A in respect of </w:t>
      </w:r>
      <w:r w:rsidR="004228A0">
        <w:t>WPT</w:t>
      </w:r>
      <w:r w:rsidR="00795CED">
        <w:t xml:space="preserve"> (s</w:t>
      </w:r>
      <w:r w:rsidR="00146B76">
        <w:t xml:space="preserve">ee Section 3.2.4 of Document </w:t>
      </w:r>
      <w:hyperlink r:id="rId19" w:history="1">
        <w:r w:rsidR="00146B76" w:rsidRPr="00146B76">
          <w:rPr>
            <w:rStyle w:val="Hyperlink"/>
          </w:rPr>
          <w:t>6A/652</w:t>
        </w:r>
      </w:hyperlink>
      <w:r w:rsidR="00146B76">
        <w:t>)</w:t>
      </w:r>
      <w:r w:rsidR="006C5E3B">
        <w:t>.</w:t>
      </w:r>
      <w:r w:rsidR="008D2CD7">
        <w:t xml:space="preserve"> </w:t>
      </w:r>
    </w:p>
    <w:p w14:paraId="04F24329" w14:textId="77777777" w:rsidR="00A54B91" w:rsidRPr="00FB75B3" w:rsidRDefault="00A54B91" w:rsidP="00A54B91">
      <w:r>
        <w:t xml:space="preserve">The information contained in </w:t>
      </w:r>
      <w:r w:rsidR="00E31EB7">
        <w:t xml:space="preserve">the </w:t>
      </w:r>
      <w:r w:rsidR="004228A0">
        <w:t xml:space="preserve">CLC/SC205A Study Report </w:t>
      </w:r>
      <w:r>
        <w:t xml:space="preserve">supports the concerns expressed in the previous Report </w:t>
      </w:r>
      <w:r w:rsidR="004228A0">
        <w:t>of th</w:t>
      </w:r>
      <w:r>
        <w:t xml:space="preserve">e Rapporteur (see Section 5 of </w:t>
      </w:r>
      <w:r w:rsidRPr="00FB75B3">
        <w:t xml:space="preserve">Document </w:t>
      </w:r>
      <w:hyperlink r:id="rId20" w:history="1">
        <w:r>
          <w:rPr>
            <w:rStyle w:val="Hyperlink"/>
          </w:rPr>
          <w:t>6/397</w:t>
        </w:r>
        <w:r w:rsidR="006C5E3B">
          <w:rPr>
            <w:rStyle w:val="Hyperlink"/>
          </w:rPr>
          <w:t xml:space="preserve"> </w:t>
        </w:r>
        <w:r w:rsidRPr="00FB75B3">
          <w:rPr>
            <w:rStyle w:val="Hyperlink"/>
          </w:rPr>
          <w:t>– 6A/</w:t>
        </w:r>
        <w:r>
          <w:rPr>
            <w:rStyle w:val="Hyperlink"/>
          </w:rPr>
          <w:t>631</w:t>
        </w:r>
      </w:hyperlink>
      <w:r w:rsidRPr="00FB75B3">
        <w:t>)</w:t>
      </w:r>
      <w:r>
        <w:t xml:space="preserve"> that </w:t>
      </w:r>
      <w:r w:rsidR="004228A0">
        <w:t>more attention needs to be given in respect of</w:t>
      </w:r>
      <w:r w:rsidR="00F557D7">
        <w:t xml:space="preserve"> </w:t>
      </w:r>
      <w:r w:rsidRPr="00A54B91">
        <w:rPr>
          <w:i/>
        </w:rPr>
        <w:t xml:space="preserve">“…the </w:t>
      </w:r>
      <w:r w:rsidRPr="00A54B91">
        <w:rPr>
          <w:i/>
          <w:lang w:eastAsia="zh-CN"/>
        </w:rPr>
        <w:t>impact of leakage of radio frequency energy from an increasing number of disparate sources, in order to ensure that extraneous noise in the environment, particularly within domestic and business premises, does not as degrade the reception of broadcasting services”</w:t>
      </w:r>
      <w:r>
        <w:rPr>
          <w:lang w:eastAsia="zh-CN"/>
        </w:rPr>
        <w:t>.</w:t>
      </w:r>
    </w:p>
    <w:p w14:paraId="5D073716" w14:textId="77777777" w:rsidR="00866D07" w:rsidRDefault="00A54B91" w:rsidP="00866D07">
      <w:pPr>
        <w:rPr>
          <w:lang w:eastAsia="zh-CN"/>
        </w:rPr>
      </w:pPr>
      <w:r>
        <w:t>In fact</w:t>
      </w:r>
      <w:r w:rsidR="00F557D7">
        <w:t>,</w:t>
      </w:r>
      <w:r>
        <w:t xml:space="preserve"> the situation appears to be far worse than the limited number of interference sources and the range of radio services at risk from increasing EMI</w:t>
      </w:r>
      <w:r w:rsidR="00F557D7">
        <w:t xml:space="preserve"> that was previously considered in </w:t>
      </w:r>
      <w:r w:rsidR="00E31EB7">
        <w:t xml:space="preserve">ITU-R </w:t>
      </w:r>
      <w:r w:rsidR="00F557D7">
        <w:t>Study Group</w:t>
      </w:r>
      <w:r w:rsidR="00E31EB7">
        <w:t>s.</w:t>
      </w:r>
      <w:r w:rsidR="00F557D7">
        <w:t xml:space="preserve"> </w:t>
      </w:r>
      <w:r w:rsidR="00866D07">
        <w:rPr>
          <w:lang w:eastAsia="zh-CN"/>
        </w:rPr>
        <w:t>The CENELEC Study Report provides man</w:t>
      </w:r>
      <w:r w:rsidR="00F557D7">
        <w:rPr>
          <w:lang w:eastAsia="zh-CN"/>
        </w:rPr>
        <w:t>y</w:t>
      </w:r>
      <w:r w:rsidR="00866D07">
        <w:rPr>
          <w:lang w:eastAsia="zh-CN"/>
        </w:rPr>
        <w:t xml:space="preserve"> examples of EMI from all sorts of electronic and electr</w:t>
      </w:r>
      <w:r w:rsidR="00603A7B">
        <w:rPr>
          <w:lang w:eastAsia="zh-CN"/>
        </w:rPr>
        <w:t>ical equipment in the range 2-</w:t>
      </w:r>
      <w:r w:rsidR="00866D07">
        <w:rPr>
          <w:lang w:eastAsia="zh-CN"/>
        </w:rPr>
        <w:t xml:space="preserve">150 kHz and also gives examples of harmonics </w:t>
      </w:r>
      <w:r w:rsidR="00F557D7">
        <w:rPr>
          <w:lang w:eastAsia="zh-CN"/>
        </w:rPr>
        <w:t xml:space="preserve">affecting </w:t>
      </w:r>
      <w:r w:rsidR="00866D07">
        <w:rPr>
          <w:lang w:eastAsia="zh-CN"/>
        </w:rPr>
        <w:t xml:space="preserve">higher frequency ranges. </w:t>
      </w:r>
    </w:p>
    <w:p w14:paraId="78D933DC" w14:textId="77777777" w:rsidR="0010225B" w:rsidRPr="00497C36" w:rsidRDefault="00866D07" w:rsidP="0010225B">
      <w:r>
        <w:rPr>
          <w:lang w:eastAsia="zh-CN"/>
        </w:rPr>
        <w:t xml:space="preserve">Many examples of interfering equipment involve the increasing application of high frequency switching techniques in power inverters, converters and chargers which has led to a shift in non-intentional emissions from classical harmonics below 2 kHz to higher frequencies in the </w:t>
      </w:r>
      <w:r w:rsidR="00664C2B">
        <w:rPr>
          <w:lang w:eastAsia="zh-CN"/>
        </w:rPr>
        <w:br/>
      </w:r>
      <w:r>
        <w:rPr>
          <w:lang w:eastAsia="zh-CN"/>
        </w:rPr>
        <w:t xml:space="preserve">range 2 kHz to 150 kHz. This includes many </w:t>
      </w:r>
      <w:r w:rsidR="00F557D7">
        <w:rPr>
          <w:lang w:eastAsia="zh-CN"/>
        </w:rPr>
        <w:t xml:space="preserve">new types of equipment, now in common use, </w:t>
      </w:r>
      <w:r>
        <w:rPr>
          <w:lang w:eastAsia="zh-CN"/>
        </w:rPr>
        <w:t>such as inverters used in conjunction with solar panel array</w:t>
      </w:r>
      <w:r w:rsidR="00F557D7">
        <w:rPr>
          <w:lang w:eastAsia="zh-CN"/>
        </w:rPr>
        <w:t>s</w:t>
      </w:r>
      <w:r>
        <w:rPr>
          <w:lang w:eastAsia="zh-CN"/>
        </w:rPr>
        <w:t xml:space="preserve">, where power levels range from </w:t>
      </w:r>
      <w:r w:rsidR="00F557D7">
        <w:rPr>
          <w:lang w:eastAsia="zh-CN"/>
        </w:rPr>
        <w:t>1</w:t>
      </w:r>
      <w:r>
        <w:rPr>
          <w:lang w:eastAsia="zh-CN"/>
        </w:rPr>
        <w:t xml:space="preserve"> to 100 kVA. Small </w:t>
      </w:r>
      <w:r w:rsidR="0010225B">
        <w:rPr>
          <w:lang w:eastAsia="zh-CN"/>
        </w:rPr>
        <w:t>converters</w:t>
      </w:r>
      <w:r>
        <w:rPr>
          <w:lang w:eastAsia="zh-CN"/>
        </w:rPr>
        <w:t xml:space="preserve"> and power supplies for d</w:t>
      </w:r>
      <w:r w:rsidR="0010225B">
        <w:rPr>
          <w:lang w:eastAsia="zh-CN"/>
        </w:rPr>
        <w:t>o</w:t>
      </w:r>
      <w:r>
        <w:rPr>
          <w:lang w:eastAsia="zh-CN"/>
        </w:rPr>
        <w:t>mestic electronic equipment and house</w:t>
      </w:r>
      <w:r w:rsidR="00F557D7">
        <w:rPr>
          <w:lang w:eastAsia="zh-CN"/>
        </w:rPr>
        <w:t>hold</w:t>
      </w:r>
      <w:r>
        <w:rPr>
          <w:lang w:eastAsia="zh-CN"/>
        </w:rPr>
        <w:t xml:space="preserve"> appliances f</w:t>
      </w:r>
      <w:r w:rsidR="00F557D7">
        <w:rPr>
          <w:lang w:eastAsia="zh-CN"/>
        </w:rPr>
        <w:t>ro</w:t>
      </w:r>
      <w:r>
        <w:rPr>
          <w:lang w:eastAsia="zh-CN"/>
        </w:rPr>
        <w:t xml:space="preserve">m induction cookers to washing machines are also involved. </w:t>
      </w:r>
      <w:r w:rsidR="0010225B">
        <w:rPr>
          <w:lang w:eastAsia="zh-CN"/>
        </w:rPr>
        <w:t>Not only is there</w:t>
      </w:r>
      <w:r>
        <w:rPr>
          <w:lang w:eastAsia="zh-CN"/>
        </w:rPr>
        <w:t xml:space="preserve"> a risk to a wide range of radio services f</w:t>
      </w:r>
      <w:r w:rsidR="00181F14">
        <w:rPr>
          <w:lang w:eastAsia="zh-CN"/>
        </w:rPr>
        <w:t>ro</w:t>
      </w:r>
      <w:r>
        <w:rPr>
          <w:lang w:eastAsia="zh-CN"/>
        </w:rPr>
        <w:t>m both conducted and radiated emission</w:t>
      </w:r>
      <w:r w:rsidR="00181F14">
        <w:rPr>
          <w:lang w:eastAsia="zh-CN"/>
        </w:rPr>
        <w:t>s</w:t>
      </w:r>
      <w:r w:rsidR="0010225B">
        <w:rPr>
          <w:lang w:eastAsia="zh-CN"/>
        </w:rPr>
        <w:t xml:space="preserve">, but </w:t>
      </w:r>
      <w:r w:rsidR="00181F14">
        <w:rPr>
          <w:lang w:eastAsia="zh-CN"/>
        </w:rPr>
        <w:t>emissions of RF</w:t>
      </w:r>
      <w:r w:rsidR="0010225B">
        <w:rPr>
          <w:lang w:eastAsia="zh-CN"/>
        </w:rPr>
        <w:t xml:space="preserve"> noise can affect the control circuits of a wide range of electronic equipment connected to the mains. </w:t>
      </w:r>
      <w:r w:rsidR="0010225B">
        <w:t>A whole range of equipment malfunctions have been observed</w:t>
      </w:r>
      <w:r w:rsidR="00181F14">
        <w:t>,</w:t>
      </w:r>
      <w:r w:rsidR="0010225B">
        <w:t xml:space="preserve"> including uncommanded starting or stopping, incorrect or suspended data output or displays, incorrect time signalling from electronic or radio clocks, </w:t>
      </w:r>
      <w:r w:rsidR="00181F14">
        <w:t xml:space="preserve">and </w:t>
      </w:r>
      <w:r w:rsidR="0010225B">
        <w:t>false alarm activations</w:t>
      </w:r>
      <w:r w:rsidR="00181F14">
        <w:t>/</w:t>
      </w:r>
      <w:r w:rsidR="0010225B">
        <w:t>displays</w:t>
      </w:r>
      <w:r w:rsidR="00603A7B">
        <w:t>.</w:t>
      </w:r>
    </w:p>
    <w:p w14:paraId="3FA77C34" w14:textId="77777777" w:rsidR="00CE246D" w:rsidRDefault="00181F14" w:rsidP="0010225B">
      <w:pPr>
        <w:rPr>
          <w:rFonts w:cs="Calibri"/>
          <w:szCs w:val="24"/>
          <w:lang w:val="en-US" w:eastAsia="ar-SA"/>
        </w:rPr>
      </w:pPr>
      <w:r>
        <w:rPr>
          <w:lang w:eastAsia="zh-CN"/>
        </w:rPr>
        <w:t xml:space="preserve">Of </w:t>
      </w:r>
      <w:r w:rsidR="0010225B">
        <w:rPr>
          <w:lang w:eastAsia="zh-CN"/>
        </w:rPr>
        <w:t xml:space="preserve">particular concern is the impact on the </w:t>
      </w:r>
      <w:r w:rsidR="000C6B1D">
        <w:rPr>
          <w:lang w:eastAsia="zh-CN"/>
        </w:rPr>
        <w:t xml:space="preserve">narrow band PLT equipment used for automatic meter reading under the Smart Grid project (see Report ITU-R </w:t>
      </w:r>
      <w:hyperlink r:id="rId21" w:history="1">
        <w:r w:rsidR="000C6B1D" w:rsidRPr="000C6B1D">
          <w:rPr>
            <w:rStyle w:val="Hyperlink"/>
            <w:lang w:eastAsia="zh-CN"/>
          </w:rPr>
          <w:t>SM.2351</w:t>
        </w:r>
      </w:hyperlink>
      <w:r w:rsidR="000C6B1D">
        <w:rPr>
          <w:lang w:eastAsia="zh-CN"/>
        </w:rPr>
        <w:t>). Both CENELEC and ITU-T Study Group 15 have developed standards for narrow-band PLT for use with Smart</w:t>
      </w:r>
      <w:r>
        <w:rPr>
          <w:lang w:eastAsia="zh-CN"/>
        </w:rPr>
        <w:t xml:space="preserve"> </w:t>
      </w:r>
      <w:r w:rsidR="000C6B1D">
        <w:rPr>
          <w:lang w:eastAsia="zh-CN"/>
        </w:rPr>
        <w:t xml:space="preserve">Grid. For this application ITU-T Study Group 15 has been working in conjunction with the </w:t>
      </w:r>
      <w:r w:rsidR="00CE246D" w:rsidRPr="00CE246D">
        <w:rPr>
          <w:lang w:eastAsia="zh-CN"/>
        </w:rPr>
        <w:t>IEC TC57 WG20</w:t>
      </w:r>
      <w:r w:rsidR="00CE246D">
        <w:rPr>
          <w:lang w:eastAsia="zh-CN"/>
        </w:rPr>
        <w:t xml:space="preserve"> group and has developed the </w:t>
      </w:r>
      <w:r w:rsidR="000C6B1D" w:rsidRPr="0017299B">
        <w:rPr>
          <w:rFonts w:cs="Calibri"/>
          <w:szCs w:val="24"/>
          <w:lang w:val="en-US" w:eastAsia="ar-SA"/>
        </w:rPr>
        <w:t xml:space="preserve">ITU-T </w:t>
      </w:r>
      <w:r w:rsidR="000C6B1D" w:rsidRPr="0017299B">
        <w:rPr>
          <w:rFonts w:cs="Calibri"/>
          <w:b/>
          <w:szCs w:val="24"/>
          <w:lang w:val="en-US" w:eastAsia="ar-SA"/>
        </w:rPr>
        <w:t>G.990x</w:t>
      </w:r>
      <w:r w:rsidR="00CE246D">
        <w:rPr>
          <w:rFonts w:cs="Calibri"/>
          <w:b/>
          <w:szCs w:val="24"/>
          <w:lang w:val="en-US" w:eastAsia="ar-SA"/>
        </w:rPr>
        <w:t xml:space="preserve"> </w:t>
      </w:r>
      <w:r w:rsidR="00CE246D">
        <w:rPr>
          <w:rFonts w:cs="Calibri"/>
          <w:szCs w:val="24"/>
          <w:lang w:val="en-US" w:eastAsia="ar-SA"/>
        </w:rPr>
        <w:t>family of Recommendations</w:t>
      </w:r>
      <w:r w:rsidR="000C6B1D" w:rsidRPr="0017299B">
        <w:rPr>
          <w:rFonts w:cs="Calibri"/>
          <w:szCs w:val="24"/>
          <w:lang w:val="en-US" w:eastAsia="ar-SA"/>
        </w:rPr>
        <w:t xml:space="preserve"> </w:t>
      </w:r>
      <w:r w:rsidR="00CE246D">
        <w:rPr>
          <w:rFonts w:cs="Calibri"/>
          <w:szCs w:val="24"/>
          <w:lang w:val="en-US" w:eastAsia="ar-SA"/>
        </w:rPr>
        <w:t>(</w:t>
      </w:r>
      <w:r w:rsidR="000C6B1D" w:rsidRPr="0017299B">
        <w:rPr>
          <w:rFonts w:cs="Calibri"/>
          <w:szCs w:val="24"/>
          <w:lang w:val="en-US" w:eastAsia="ar-SA"/>
        </w:rPr>
        <w:t xml:space="preserve">i.e. </w:t>
      </w:r>
      <w:hyperlink r:id="rId22" w:history="1">
        <w:r w:rsidR="000C6B1D" w:rsidRPr="0017299B">
          <w:rPr>
            <w:rStyle w:val="Hyperlink"/>
            <w:rFonts w:cs="Calibri"/>
            <w:bCs/>
            <w:szCs w:val="24"/>
            <w:lang w:val="en-US" w:eastAsia="ar-SA"/>
          </w:rPr>
          <w:t>G.9901</w:t>
        </w:r>
      </w:hyperlink>
      <w:r w:rsidR="000C6B1D" w:rsidRPr="0017299B">
        <w:rPr>
          <w:rFonts w:cs="Calibri"/>
          <w:szCs w:val="24"/>
          <w:lang w:val="en-US" w:eastAsia="ar-SA"/>
        </w:rPr>
        <w:t xml:space="preserve">, </w:t>
      </w:r>
      <w:hyperlink r:id="rId23" w:history="1">
        <w:r w:rsidR="000C6B1D" w:rsidRPr="0017299B">
          <w:rPr>
            <w:rStyle w:val="Hyperlink"/>
            <w:rFonts w:cs="Calibri"/>
            <w:bCs/>
            <w:szCs w:val="24"/>
            <w:lang w:val="en-US" w:eastAsia="ar-SA"/>
          </w:rPr>
          <w:t>G.9902</w:t>
        </w:r>
      </w:hyperlink>
      <w:r w:rsidR="000C6B1D" w:rsidRPr="0017299B">
        <w:rPr>
          <w:rFonts w:cs="Calibri"/>
          <w:szCs w:val="24"/>
          <w:lang w:val="en-US" w:eastAsia="ar-SA"/>
        </w:rPr>
        <w:t xml:space="preserve">, </w:t>
      </w:r>
      <w:hyperlink r:id="rId24" w:history="1">
        <w:r w:rsidR="000C6B1D" w:rsidRPr="0017299B">
          <w:rPr>
            <w:rStyle w:val="Hyperlink"/>
            <w:rFonts w:cs="Calibri"/>
            <w:bCs/>
            <w:szCs w:val="24"/>
            <w:lang w:val="en-US" w:eastAsia="ar-SA"/>
          </w:rPr>
          <w:t>G.9903</w:t>
        </w:r>
      </w:hyperlink>
      <w:r w:rsidR="000C6B1D" w:rsidRPr="0017299B">
        <w:rPr>
          <w:rFonts w:cs="Calibri"/>
          <w:szCs w:val="24"/>
          <w:lang w:val="en-US" w:eastAsia="ar-SA"/>
        </w:rPr>
        <w:t xml:space="preserve">, </w:t>
      </w:r>
      <w:hyperlink r:id="rId25" w:history="1">
        <w:r w:rsidR="000C6B1D" w:rsidRPr="0017299B">
          <w:rPr>
            <w:rStyle w:val="Hyperlink"/>
            <w:rFonts w:cs="Calibri"/>
            <w:bCs/>
            <w:szCs w:val="24"/>
            <w:lang w:val="en-US" w:eastAsia="ar-SA"/>
          </w:rPr>
          <w:t>G.9904</w:t>
        </w:r>
      </w:hyperlink>
      <w:r w:rsidR="00CE246D">
        <w:rPr>
          <w:rFonts w:cs="Calibri"/>
          <w:szCs w:val="24"/>
          <w:lang w:val="en-US" w:eastAsia="ar-SA"/>
        </w:rPr>
        <w:t xml:space="preserve">). The CENELEC Study Report confirms concerns expressed in the ITU-T and IEC groups that excessive </w:t>
      </w:r>
      <w:r>
        <w:rPr>
          <w:rFonts w:cs="Calibri"/>
          <w:szCs w:val="24"/>
          <w:lang w:val="en-US" w:eastAsia="ar-SA"/>
        </w:rPr>
        <w:t>RF</w:t>
      </w:r>
      <w:r w:rsidR="00CE246D">
        <w:rPr>
          <w:rFonts w:cs="Calibri"/>
          <w:szCs w:val="24"/>
          <w:lang w:val="en-US" w:eastAsia="ar-SA"/>
        </w:rPr>
        <w:t xml:space="preserve"> noise on mains wiring could disrupt the operation of Smart</w:t>
      </w:r>
      <w:r>
        <w:rPr>
          <w:rFonts w:cs="Calibri"/>
          <w:szCs w:val="24"/>
          <w:lang w:val="en-US" w:eastAsia="ar-SA"/>
        </w:rPr>
        <w:t xml:space="preserve"> </w:t>
      </w:r>
      <w:r w:rsidR="00CE246D">
        <w:rPr>
          <w:rFonts w:cs="Calibri"/>
          <w:szCs w:val="24"/>
          <w:lang w:val="en-US" w:eastAsia="ar-SA"/>
        </w:rPr>
        <w:t>Grid metering</w:t>
      </w:r>
      <w:r>
        <w:rPr>
          <w:rFonts w:cs="Calibri"/>
          <w:szCs w:val="24"/>
          <w:lang w:val="en-US" w:eastAsia="ar-SA"/>
        </w:rPr>
        <w:t xml:space="preserve">. The CENELEC Study Report cites </w:t>
      </w:r>
      <w:r w:rsidR="00CE246D">
        <w:rPr>
          <w:rFonts w:cs="Calibri"/>
          <w:szCs w:val="24"/>
          <w:lang w:val="en-US" w:eastAsia="ar-SA"/>
        </w:rPr>
        <w:t>examples of loss of communications affecting 40%</w:t>
      </w:r>
      <w:r>
        <w:rPr>
          <w:rFonts w:cs="Calibri"/>
          <w:szCs w:val="24"/>
          <w:lang w:val="en-US" w:eastAsia="ar-SA"/>
        </w:rPr>
        <w:t>,</w:t>
      </w:r>
      <w:r w:rsidR="00CE246D">
        <w:rPr>
          <w:rFonts w:cs="Calibri"/>
          <w:szCs w:val="24"/>
          <w:lang w:val="en-US" w:eastAsia="ar-SA"/>
        </w:rPr>
        <w:t xml:space="preserve"> </w:t>
      </w:r>
      <w:r>
        <w:rPr>
          <w:rFonts w:cs="Calibri"/>
          <w:szCs w:val="24"/>
          <w:lang w:val="en-US" w:eastAsia="ar-SA"/>
        </w:rPr>
        <w:t>and</w:t>
      </w:r>
      <w:r w:rsidR="00CE246D">
        <w:rPr>
          <w:rFonts w:cs="Calibri"/>
          <w:szCs w:val="24"/>
          <w:lang w:val="en-US" w:eastAsia="ar-SA"/>
        </w:rPr>
        <w:t xml:space="preserve"> more</w:t>
      </w:r>
      <w:r>
        <w:rPr>
          <w:rFonts w:cs="Calibri"/>
          <w:szCs w:val="24"/>
          <w:lang w:val="en-US" w:eastAsia="ar-SA"/>
        </w:rPr>
        <w:t>,</w:t>
      </w:r>
      <w:r w:rsidR="00CE246D">
        <w:rPr>
          <w:rFonts w:cs="Calibri"/>
          <w:szCs w:val="24"/>
          <w:lang w:val="en-US" w:eastAsia="ar-SA"/>
        </w:rPr>
        <w:t xml:space="preserve"> of automatic meters in an area affected by a single item of faulty equipment. Table 1 shows the frequency bands used by narrow-band PLT equipment used in automatic metering systems.</w:t>
      </w:r>
    </w:p>
    <w:p w14:paraId="1754A558" w14:textId="77777777" w:rsidR="000C6B1D" w:rsidRPr="00E56F22" w:rsidRDefault="000C6B1D" w:rsidP="000C6B1D">
      <w:pPr>
        <w:pStyle w:val="TableNo"/>
      </w:pPr>
      <w:r w:rsidRPr="00E56F22">
        <w:t>TABLE 1</w:t>
      </w:r>
    </w:p>
    <w:p w14:paraId="2557DB44" w14:textId="77777777" w:rsidR="000C6B1D" w:rsidRPr="00D26808" w:rsidRDefault="000C6B1D" w:rsidP="000C6B1D">
      <w:pPr>
        <w:pStyle w:val="Tabletitle"/>
        <w:rPr>
          <w:bCs/>
        </w:rPr>
      </w:pPr>
      <w:r w:rsidRPr="00E56F22">
        <w:t xml:space="preserve">Frequency bands for narrowband PLT </w:t>
      </w:r>
      <w:r w:rsidR="00181F14">
        <w:t>for Smart Grid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55"/>
        <w:gridCol w:w="2238"/>
        <w:gridCol w:w="3319"/>
      </w:tblGrid>
      <w:tr w:rsidR="000C6B1D" w:rsidRPr="00A857F3" w14:paraId="45EF2C6C" w14:textId="77777777" w:rsidTr="00DF0BC0">
        <w:trPr>
          <w:jc w:val="center"/>
        </w:trPr>
        <w:tc>
          <w:tcPr>
            <w:tcW w:w="2555" w:type="dxa"/>
            <w:shd w:val="clear" w:color="auto" w:fill="auto"/>
            <w:vAlign w:val="center"/>
          </w:tcPr>
          <w:p w14:paraId="36837F51" w14:textId="77777777" w:rsidR="000C6B1D" w:rsidRPr="00A857F3" w:rsidRDefault="000C6B1D" w:rsidP="00DF0BC0">
            <w:pPr>
              <w:pStyle w:val="TableContents"/>
              <w:snapToGrid w:val="0"/>
              <w:jc w:val="center"/>
              <w:rPr>
                <w:b/>
                <w:bCs/>
                <w:color w:val="000000"/>
                <w:sz w:val="20"/>
                <w:szCs w:val="20"/>
              </w:rPr>
            </w:pPr>
            <w:r w:rsidRPr="00A857F3">
              <w:rPr>
                <w:b/>
                <w:bCs/>
                <w:color w:val="000000"/>
                <w:sz w:val="20"/>
                <w:szCs w:val="20"/>
              </w:rPr>
              <w:t>Band</w:t>
            </w:r>
          </w:p>
        </w:tc>
        <w:tc>
          <w:tcPr>
            <w:tcW w:w="2238" w:type="dxa"/>
            <w:shd w:val="clear" w:color="auto" w:fill="auto"/>
            <w:vAlign w:val="center"/>
          </w:tcPr>
          <w:p w14:paraId="6DB8286E" w14:textId="77777777" w:rsidR="000C6B1D" w:rsidRPr="00A857F3" w:rsidRDefault="000C6B1D" w:rsidP="00DF0BC0">
            <w:pPr>
              <w:pStyle w:val="Tabletext0"/>
              <w:snapToGrid w:val="0"/>
              <w:jc w:val="center"/>
              <w:rPr>
                <w:b/>
                <w:bCs/>
                <w:color w:val="000000"/>
                <w:sz w:val="20"/>
                <w:szCs w:val="20"/>
              </w:rPr>
            </w:pPr>
            <w:r w:rsidRPr="00A857F3">
              <w:rPr>
                <w:b/>
                <w:bCs/>
                <w:color w:val="000000"/>
                <w:sz w:val="20"/>
                <w:szCs w:val="20"/>
              </w:rPr>
              <w:t>F</w:t>
            </w:r>
            <w:r w:rsidRPr="00A857F3">
              <w:rPr>
                <w:b/>
                <w:bCs/>
                <w:color w:val="000000"/>
                <w:sz w:val="20"/>
                <w:szCs w:val="20"/>
                <w:vertAlign w:val="subscript"/>
              </w:rPr>
              <w:t xml:space="preserve">START </w:t>
            </w:r>
            <w:r w:rsidRPr="00A857F3">
              <w:rPr>
                <w:b/>
                <w:bCs/>
                <w:color w:val="000000"/>
                <w:sz w:val="20"/>
                <w:szCs w:val="20"/>
              </w:rPr>
              <w:t>(kHz)</w:t>
            </w:r>
          </w:p>
        </w:tc>
        <w:tc>
          <w:tcPr>
            <w:tcW w:w="3319" w:type="dxa"/>
            <w:shd w:val="clear" w:color="auto" w:fill="auto"/>
            <w:vAlign w:val="center"/>
          </w:tcPr>
          <w:p w14:paraId="4CF3F447" w14:textId="77777777" w:rsidR="000C6B1D" w:rsidRPr="00A857F3" w:rsidRDefault="000C6B1D" w:rsidP="00DF0BC0">
            <w:pPr>
              <w:pStyle w:val="Tabletext0"/>
              <w:snapToGrid w:val="0"/>
              <w:jc w:val="center"/>
              <w:rPr>
                <w:b/>
                <w:bCs/>
                <w:color w:val="000000"/>
                <w:sz w:val="20"/>
                <w:szCs w:val="20"/>
              </w:rPr>
            </w:pPr>
            <w:r w:rsidRPr="00A857F3">
              <w:rPr>
                <w:b/>
                <w:bCs/>
                <w:color w:val="000000"/>
                <w:sz w:val="20"/>
                <w:szCs w:val="20"/>
              </w:rPr>
              <w:t>F</w:t>
            </w:r>
            <w:r w:rsidRPr="00A857F3">
              <w:rPr>
                <w:b/>
                <w:bCs/>
                <w:color w:val="000000"/>
                <w:sz w:val="20"/>
                <w:szCs w:val="20"/>
                <w:vertAlign w:val="subscript"/>
              </w:rPr>
              <w:t xml:space="preserve">END </w:t>
            </w:r>
            <w:r w:rsidRPr="00A857F3">
              <w:rPr>
                <w:b/>
                <w:bCs/>
                <w:color w:val="000000"/>
                <w:sz w:val="20"/>
                <w:szCs w:val="20"/>
              </w:rPr>
              <w:t>(kHz)</w:t>
            </w:r>
          </w:p>
        </w:tc>
      </w:tr>
      <w:tr w:rsidR="000C6B1D" w:rsidRPr="00A857F3" w14:paraId="5ED01717" w14:textId="77777777" w:rsidTr="00DF0BC0">
        <w:trPr>
          <w:jc w:val="center"/>
        </w:trPr>
        <w:tc>
          <w:tcPr>
            <w:tcW w:w="2555" w:type="dxa"/>
            <w:shd w:val="clear" w:color="auto" w:fill="auto"/>
            <w:vAlign w:val="center"/>
          </w:tcPr>
          <w:p w14:paraId="038802E8" w14:textId="77777777" w:rsidR="000C6B1D" w:rsidRPr="00A857F3" w:rsidRDefault="000C6B1D" w:rsidP="00DF0BC0">
            <w:pPr>
              <w:pStyle w:val="TableContents"/>
              <w:tabs>
                <w:tab w:val="left" w:pos="622"/>
              </w:tabs>
              <w:snapToGrid w:val="0"/>
              <w:rPr>
                <w:color w:val="000000"/>
                <w:sz w:val="20"/>
                <w:szCs w:val="20"/>
              </w:rPr>
            </w:pPr>
            <w:r w:rsidRPr="00A857F3">
              <w:rPr>
                <w:color w:val="000000"/>
                <w:sz w:val="20"/>
                <w:szCs w:val="20"/>
              </w:rPr>
              <w:tab/>
              <w:t>CENELEC-A</w:t>
            </w:r>
          </w:p>
        </w:tc>
        <w:tc>
          <w:tcPr>
            <w:tcW w:w="2238" w:type="dxa"/>
            <w:shd w:val="clear" w:color="auto" w:fill="auto"/>
            <w:vAlign w:val="center"/>
          </w:tcPr>
          <w:p w14:paraId="13E41F54" w14:textId="77777777" w:rsidR="000C6B1D" w:rsidRPr="00A857F3" w:rsidRDefault="000C6B1D" w:rsidP="00DF0BC0">
            <w:pPr>
              <w:pStyle w:val="TableContents"/>
              <w:snapToGrid w:val="0"/>
              <w:jc w:val="center"/>
              <w:rPr>
                <w:color w:val="000000"/>
                <w:sz w:val="20"/>
                <w:szCs w:val="20"/>
              </w:rPr>
            </w:pPr>
            <w:r w:rsidRPr="00A857F3">
              <w:rPr>
                <w:color w:val="000000"/>
                <w:sz w:val="20"/>
                <w:szCs w:val="20"/>
              </w:rPr>
              <w:t>35.9375</w:t>
            </w:r>
          </w:p>
        </w:tc>
        <w:tc>
          <w:tcPr>
            <w:tcW w:w="3319" w:type="dxa"/>
            <w:shd w:val="clear" w:color="auto" w:fill="auto"/>
            <w:vAlign w:val="center"/>
          </w:tcPr>
          <w:p w14:paraId="319290F7" w14:textId="77777777" w:rsidR="000C6B1D" w:rsidRPr="00A857F3" w:rsidRDefault="000C6B1D" w:rsidP="00DF0BC0">
            <w:pPr>
              <w:pStyle w:val="TableContents"/>
              <w:snapToGrid w:val="0"/>
              <w:jc w:val="center"/>
              <w:rPr>
                <w:color w:val="000000"/>
                <w:sz w:val="20"/>
                <w:szCs w:val="20"/>
              </w:rPr>
            </w:pPr>
            <w:r w:rsidRPr="00A857F3">
              <w:rPr>
                <w:color w:val="000000"/>
                <w:sz w:val="20"/>
                <w:szCs w:val="20"/>
              </w:rPr>
              <w:t>90.625</w:t>
            </w:r>
          </w:p>
        </w:tc>
      </w:tr>
      <w:tr w:rsidR="000C6B1D" w:rsidRPr="00A857F3" w14:paraId="3165BE11" w14:textId="77777777" w:rsidTr="00DF0BC0">
        <w:trPr>
          <w:jc w:val="center"/>
        </w:trPr>
        <w:tc>
          <w:tcPr>
            <w:tcW w:w="2555" w:type="dxa"/>
            <w:shd w:val="clear" w:color="auto" w:fill="auto"/>
            <w:vAlign w:val="center"/>
          </w:tcPr>
          <w:p w14:paraId="7012B282" w14:textId="77777777" w:rsidR="000C6B1D" w:rsidRPr="00A857F3" w:rsidRDefault="000C6B1D" w:rsidP="00DF0BC0">
            <w:pPr>
              <w:pStyle w:val="TableContents"/>
              <w:tabs>
                <w:tab w:val="left" w:pos="622"/>
              </w:tabs>
              <w:snapToGrid w:val="0"/>
              <w:rPr>
                <w:color w:val="000000"/>
                <w:sz w:val="20"/>
                <w:szCs w:val="20"/>
              </w:rPr>
            </w:pPr>
            <w:r w:rsidRPr="00A857F3">
              <w:rPr>
                <w:color w:val="000000"/>
                <w:sz w:val="20"/>
                <w:szCs w:val="20"/>
              </w:rPr>
              <w:tab/>
              <w:t>CENELEC-B</w:t>
            </w:r>
          </w:p>
        </w:tc>
        <w:tc>
          <w:tcPr>
            <w:tcW w:w="2238" w:type="dxa"/>
            <w:shd w:val="clear" w:color="auto" w:fill="auto"/>
            <w:vAlign w:val="center"/>
          </w:tcPr>
          <w:p w14:paraId="1857074F" w14:textId="77777777" w:rsidR="000C6B1D" w:rsidRPr="00A857F3" w:rsidRDefault="000C6B1D" w:rsidP="00DF0BC0">
            <w:pPr>
              <w:pStyle w:val="TableContents"/>
              <w:snapToGrid w:val="0"/>
              <w:jc w:val="center"/>
              <w:rPr>
                <w:color w:val="000000"/>
                <w:sz w:val="20"/>
                <w:szCs w:val="20"/>
              </w:rPr>
            </w:pPr>
            <w:r w:rsidRPr="00A857F3">
              <w:rPr>
                <w:color w:val="000000"/>
                <w:sz w:val="20"/>
                <w:szCs w:val="20"/>
              </w:rPr>
              <w:t>98.4375</w:t>
            </w:r>
          </w:p>
        </w:tc>
        <w:tc>
          <w:tcPr>
            <w:tcW w:w="3319" w:type="dxa"/>
            <w:shd w:val="clear" w:color="auto" w:fill="auto"/>
            <w:vAlign w:val="center"/>
          </w:tcPr>
          <w:p w14:paraId="5DC032B2" w14:textId="77777777" w:rsidR="000C6B1D" w:rsidRPr="00A857F3" w:rsidRDefault="000C6B1D" w:rsidP="00DF0BC0">
            <w:pPr>
              <w:pStyle w:val="TableContents"/>
              <w:snapToGrid w:val="0"/>
              <w:jc w:val="center"/>
              <w:rPr>
                <w:color w:val="000000"/>
                <w:sz w:val="20"/>
                <w:szCs w:val="20"/>
              </w:rPr>
            </w:pPr>
            <w:r w:rsidRPr="00A857F3">
              <w:rPr>
                <w:color w:val="000000"/>
                <w:sz w:val="20"/>
                <w:szCs w:val="20"/>
              </w:rPr>
              <w:t>123.4375</w:t>
            </w:r>
          </w:p>
        </w:tc>
      </w:tr>
      <w:tr w:rsidR="000C6B1D" w:rsidRPr="00A857F3" w14:paraId="76B594CD" w14:textId="77777777" w:rsidTr="00DF0BC0">
        <w:trPr>
          <w:jc w:val="center"/>
        </w:trPr>
        <w:tc>
          <w:tcPr>
            <w:tcW w:w="2555" w:type="dxa"/>
            <w:shd w:val="clear" w:color="auto" w:fill="auto"/>
            <w:vAlign w:val="center"/>
          </w:tcPr>
          <w:p w14:paraId="27395F21" w14:textId="77777777" w:rsidR="000C6B1D" w:rsidRPr="00A857F3" w:rsidRDefault="000C6B1D" w:rsidP="00DF0BC0">
            <w:pPr>
              <w:pStyle w:val="TableContents"/>
              <w:tabs>
                <w:tab w:val="left" w:pos="622"/>
              </w:tabs>
              <w:snapToGrid w:val="0"/>
              <w:rPr>
                <w:color w:val="000000"/>
                <w:sz w:val="20"/>
                <w:szCs w:val="20"/>
              </w:rPr>
            </w:pPr>
            <w:r w:rsidRPr="00A857F3">
              <w:rPr>
                <w:color w:val="000000"/>
                <w:sz w:val="20"/>
                <w:szCs w:val="20"/>
              </w:rPr>
              <w:tab/>
              <w:t>CENELEC-C</w:t>
            </w:r>
            <w:r w:rsidR="00911971">
              <w:rPr>
                <w:color w:val="000000"/>
                <w:sz w:val="20"/>
                <w:szCs w:val="20"/>
              </w:rPr>
              <w:t>/</w:t>
            </w:r>
            <w:r w:rsidRPr="00A857F3">
              <w:rPr>
                <w:color w:val="000000"/>
                <w:sz w:val="20"/>
                <w:szCs w:val="20"/>
              </w:rPr>
              <w:t>D</w:t>
            </w:r>
          </w:p>
        </w:tc>
        <w:tc>
          <w:tcPr>
            <w:tcW w:w="2238" w:type="dxa"/>
            <w:shd w:val="clear" w:color="auto" w:fill="auto"/>
            <w:vAlign w:val="center"/>
          </w:tcPr>
          <w:p w14:paraId="5F033D5E" w14:textId="77777777" w:rsidR="000C6B1D" w:rsidRPr="00A857F3" w:rsidRDefault="000C6B1D" w:rsidP="00DF0BC0">
            <w:pPr>
              <w:pStyle w:val="TableContents"/>
              <w:snapToGrid w:val="0"/>
              <w:jc w:val="center"/>
              <w:rPr>
                <w:color w:val="000000"/>
                <w:sz w:val="20"/>
                <w:szCs w:val="20"/>
              </w:rPr>
            </w:pPr>
            <w:r w:rsidRPr="00A857F3">
              <w:rPr>
                <w:color w:val="000000"/>
                <w:sz w:val="20"/>
                <w:szCs w:val="20"/>
              </w:rPr>
              <w:t>125</w:t>
            </w:r>
          </w:p>
        </w:tc>
        <w:tc>
          <w:tcPr>
            <w:tcW w:w="3319" w:type="dxa"/>
            <w:shd w:val="clear" w:color="auto" w:fill="auto"/>
            <w:vAlign w:val="center"/>
          </w:tcPr>
          <w:p w14:paraId="1A562AD3" w14:textId="77777777" w:rsidR="000C6B1D" w:rsidRPr="00A857F3" w:rsidRDefault="000C6B1D" w:rsidP="00DF0BC0">
            <w:pPr>
              <w:pStyle w:val="TableContents"/>
              <w:snapToGrid w:val="0"/>
              <w:jc w:val="center"/>
              <w:rPr>
                <w:color w:val="000000"/>
                <w:sz w:val="20"/>
                <w:szCs w:val="20"/>
              </w:rPr>
            </w:pPr>
            <w:r w:rsidRPr="00A857F3">
              <w:rPr>
                <w:color w:val="000000"/>
                <w:sz w:val="20"/>
                <w:szCs w:val="20"/>
              </w:rPr>
              <w:t>143.75</w:t>
            </w:r>
          </w:p>
        </w:tc>
      </w:tr>
      <w:tr w:rsidR="000C6B1D" w:rsidRPr="00A857F3" w14:paraId="6FB980D9" w14:textId="77777777" w:rsidTr="00DF0BC0">
        <w:trPr>
          <w:jc w:val="center"/>
        </w:trPr>
        <w:tc>
          <w:tcPr>
            <w:tcW w:w="2555" w:type="dxa"/>
            <w:shd w:val="clear" w:color="auto" w:fill="auto"/>
            <w:vAlign w:val="center"/>
          </w:tcPr>
          <w:p w14:paraId="2F1A667F" w14:textId="77777777" w:rsidR="000C6B1D" w:rsidRPr="00A857F3" w:rsidRDefault="000C6B1D" w:rsidP="00DF0BC0">
            <w:pPr>
              <w:pStyle w:val="TableContents"/>
              <w:snapToGrid w:val="0"/>
              <w:jc w:val="center"/>
              <w:rPr>
                <w:color w:val="000000"/>
                <w:sz w:val="20"/>
                <w:szCs w:val="20"/>
              </w:rPr>
            </w:pPr>
            <w:r w:rsidRPr="00A857F3">
              <w:rPr>
                <w:color w:val="000000"/>
                <w:sz w:val="20"/>
                <w:szCs w:val="20"/>
              </w:rPr>
              <w:t>FCC-1</w:t>
            </w:r>
          </w:p>
        </w:tc>
        <w:tc>
          <w:tcPr>
            <w:tcW w:w="2238" w:type="dxa"/>
            <w:shd w:val="clear" w:color="auto" w:fill="auto"/>
            <w:vAlign w:val="center"/>
          </w:tcPr>
          <w:p w14:paraId="22DAF0E1" w14:textId="77777777" w:rsidR="000C6B1D" w:rsidRPr="00A857F3" w:rsidRDefault="000C6B1D" w:rsidP="00DF0BC0">
            <w:pPr>
              <w:pStyle w:val="TableContents"/>
              <w:snapToGrid w:val="0"/>
              <w:jc w:val="center"/>
              <w:rPr>
                <w:color w:val="000000"/>
                <w:sz w:val="20"/>
                <w:szCs w:val="20"/>
              </w:rPr>
            </w:pPr>
            <w:r w:rsidRPr="00A857F3">
              <w:rPr>
                <w:color w:val="000000"/>
                <w:sz w:val="20"/>
                <w:szCs w:val="20"/>
              </w:rPr>
              <w:t>34.375</w:t>
            </w:r>
          </w:p>
        </w:tc>
        <w:tc>
          <w:tcPr>
            <w:tcW w:w="3319" w:type="dxa"/>
            <w:shd w:val="clear" w:color="auto" w:fill="auto"/>
            <w:vAlign w:val="center"/>
          </w:tcPr>
          <w:p w14:paraId="445799F1" w14:textId="77777777" w:rsidR="000C6B1D" w:rsidRPr="00A857F3" w:rsidRDefault="000C6B1D" w:rsidP="00DF0BC0">
            <w:pPr>
              <w:pStyle w:val="TableContents"/>
              <w:snapToGrid w:val="0"/>
              <w:jc w:val="center"/>
              <w:rPr>
                <w:color w:val="000000"/>
                <w:sz w:val="20"/>
                <w:szCs w:val="20"/>
              </w:rPr>
            </w:pPr>
            <w:r w:rsidRPr="00A857F3">
              <w:rPr>
                <w:color w:val="000000"/>
                <w:sz w:val="20"/>
                <w:szCs w:val="20"/>
              </w:rPr>
              <w:t>137.5</w:t>
            </w:r>
          </w:p>
        </w:tc>
      </w:tr>
      <w:tr w:rsidR="000C6B1D" w:rsidRPr="00A857F3" w14:paraId="200A9984" w14:textId="77777777" w:rsidTr="00DF0BC0">
        <w:trPr>
          <w:jc w:val="center"/>
        </w:trPr>
        <w:tc>
          <w:tcPr>
            <w:tcW w:w="2555" w:type="dxa"/>
            <w:shd w:val="clear" w:color="auto" w:fill="auto"/>
            <w:vAlign w:val="center"/>
          </w:tcPr>
          <w:p w14:paraId="3A90FDEB" w14:textId="77777777" w:rsidR="000C6B1D" w:rsidRPr="00A857F3" w:rsidRDefault="000C6B1D" w:rsidP="00DF0BC0">
            <w:pPr>
              <w:pStyle w:val="TableContents"/>
              <w:snapToGrid w:val="0"/>
              <w:jc w:val="center"/>
              <w:rPr>
                <w:color w:val="000000"/>
                <w:sz w:val="20"/>
                <w:szCs w:val="20"/>
              </w:rPr>
            </w:pPr>
            <w:r w:rsidRPr="00A857F3">
              <w:rPr>
                <w:color w:val="000000"/>
                <w:sz w:val="20"/>
                <w:szCs w:val="20"/>
              </w:rPr>
              <w:t>FCC-1</w:t>
            </w:r>
          </w:p>
        </w:tc>
        <w:tc>
          <w:tcPr>
            <w:tcW w:w="2238" w:type="dxa"/>
            <w:shd w:val="clear" w:color="auto" w:fill="auto"/>
            <w:vAlign w:val="center"/>
          </w:tcPr>
          <w:p w14:paraId="6769E83A" w14:textId="77777777" w:rsidR="000C6B1D" w:rsidRPr="00A857F3" w:rsidRDefault="000C6B1D" w:rsidP="00DF0BC0">
            <w:pPr>
              <w:pStyle w:val="TableContents"/>
              <w:snapToGrid w:val="0"/>
              <w:jc w:val="center"/>
              <w:rPr>
                <w:color w:val="000000"/>
                <w:sz w:val="20"/>
                <w:szCs w:val="20"/>
              </w:rPr>
            </w:pPr>
            <w:r w:rsidRPr="00A857F3">
              <w:rPr>
                <w:color w:val="000000"/>
                <w:sz w:val="20"/>
                <w:szCs w:val="20"/>
              </w:rPr>
              <w:t>150</w:t>
            </w:r>
          </w:p>
        </w:tc>
        <w:tc>
          <w:tcPr>
            <w:tcW w:w="3319" w:type="dxa"/>
            <w:shd w:val="clear" w:color="auto" w:fill="auto"/>
            <w:vAlign w:val="center"/>
          </w:tcPr>
          <w:p w14:paraId="64FEDA53" w14:textId="77777777" w:rsidR="000C6B1D" w:rsidRPr="00A857F3" w:rsidRDefault="000C6B1D" w:rsidP="00DF0BC0">
            <w:pPr>
              <w:pStyle w:val="TableContents"/>
              <w:snapToGrid w:val="0"/>
              <w:jc w:val="center"/>
              <w:rPr>
                <w:color w:val="000000"/>
                <w:sz w:val="20"/>
                <w:szCs w:val="20"/>
              </w:rPr>
            </w:pPr>
            <w:r w:rsidRPr="00A857F3">
              <w:rPr>
                <w:color w:val="000000"/>
                <w:sz w:val="20"/>
                <w:szCs w:val="20"/>
              </w:rPr>
              <w:t>478.125</w:t>
            </w:r>
          </w:p>
        </w:tc>
      </w:tr>
    </w:tbl>
    <w:p w14:paraId="51B01DFD" w14:textId="77777777" w:rsidR="006F274D" w:rsidRDefault="0010225B" w:rsidP="006F274D">
      <w:pPr>
        <w:rPr>
          <w:lang w:eastAsia="zh-CN"/>
        </w:rPr>
      </w:pPr>
      <w:r>
        <w:lastRenderedPageBreak/>
        <w:t>Another</w:t>
      </w:r>
      <w:r w:rsidR="006F274D">
        <w:t xml:space="preserve"> major concern </w:t>
      </w:r>
      <w:r w:rsidR="00DF0BC0">
        <w:t>with</w:t>
      </w:r>
      <w:r w:rsidR="00603A7B">
        <w:t xml:space="preserve"> EMI in the frequency range 2-</w:t>
      </w:r>
      <w:r w:rsidR="00DF0BC0">
        <w:t xml:space="preserve">150 kHz </w:t>
      </w:r>
      <w:r w:rsidR="006F274D">
        <w:t xml:space="preserve">is the impact </w:t>
      </w:r>
      <w:r w:rsidR="00181F14">
        <w:t xml:space="preserve">on the </w:t>
      </w:r>
      <w:r w:rsidR="006F274D">
        <w:rPr>
          <w:lang w:eastAsia="zh-CN"/>
        </w:rPr>
        <w:t>standard frequency and time signal service</w:t>
      </w:r>
      <w:r w:rsidR="00181F14">
        <w:rPr>
          <w:lang w:eastAsia="zh-CN"/>
        </w:rPr>
        <w:t xml:space="preserve">; note that </w:t>
      </w:r>
      <w:r w:rsidR="006F274D">
        <w:rPr>
          <w:lang w:eastAsia="zh-CN"/>
        </w:rPr>
        <w:t xml:space="preserve">RR </w:t>
      </w:r>
      <w:r w:rsidR="006F274D" w:rsidRPr="00603A7B">
        <w:rPr>
          <w:lang w:eastAsia="zh-CN"/>
        </w:rPr>
        <w:t>No.</w:t>
      </w:r>
      <w:r w:rsidR="006F274D" w:rsidRPr="00603A7B">
        <w:rPr>
          <w:b/>
          <w:bCs/>
          <w:lang w:eastAsia="zh-CN"/>
        </w:rPr>
        <w:t xml:space="preserve"> 5.56</w:t>
      </w:r>
      <w:r w:rsidR="00181F14">
        <w:rPr>
          <w:lang w:eastAsia="zh-CN"/>
        </w:rPr>
        <w:t xml:space="preserve"> </w:t>
      </w:r>
      <w:r w:rsidR="006F274D">
        <w:rPr>
          <w:lang w:eastAsia="zh-CN"/>
        </w:rPr>
        <w:t>provides for specific protection from harmful interference to the transmissions of standard frequency and time signals operating in the VLF and LF bands. The protected frequency bands for the standard frequency and time signal service are</w:t>
      </w:r>
      <w:r w:rsidR="00911971">
        <w:rPr>
          <w:lang w:eastAsia="zh-CN"/>
        </w:rPr>
        <w:t xml:space="preserve"> shown in Table 2.</w:t>
      </w:r>
    </w:p>
    <w:p w14:paraId="6C7B6639" w14:textId="77777777" w:rsidR="00911971" w:rsidRPr="00911971" w:rsidRDefault="00911971" w:rsidP="00911971">
      <w:pPr>
        <w:pStyle w:val="TableNo"/>
      </w:pPr>
      <w:r w:rsidRPr="00911971">
        <w:t>TABLE</w:t>
      </w:r>
      <w:r w:rsidRPr="00E56F22">
        <w:t xml:space="preserve"> </w:t>
      </w:r>
      <w:r>
        <w:t>2</w:t>
      </w:r>
    </w:p>
    <w:p w14:paraId="550D8773" w14:textId="77777777" w:rsidR="006F274D" w:rsidRPr="00911971" w:rsidRDefault="00911971" w:rsidP="00911971">
      <w:pPr>
        <w:pStyle w:val="Tabletitle"/>
        <w:rPr>
          <w:bCs/>
        </w:rPr>
      </w:pPr>
      <w:r w:rsidRPr="00911971">
        <w:t>Frequency</w:t>
      </w:r>
      <w:r>
        <w:t xml:space="preserve"> bands for the standard frequency and time signal service</w:t>
      </w:r>
    </w:p>
    <w:tbl>
      <w:tblPr>
        <w:tblStyle w:val="TableGrid"/>
        <w:tblW w:w="0" w:type="auto"/>
        <w:jc w:val="center"/>
        <w:tblLook w:val="04A0" w:firstRow="1" w:lastRow="0" w:firstColumn="1" w:lastColumn="0" w:noHBand="0" w:noVBand="1"/>
      </w:tblPr>
      <w:tblGrid>
        <w:gridCol w:w="2079"/>
        <w:gridCol w:w="5490"/>
      </w:tblGrid>
      <w:tr w:rsidR="006F274D" w14:paraId="6F0A14B0" w14:textId="77777777" w:rsidTr="00DF0BC0">
        <w:trPr>
          <w:cantSplit/>
          <w:jc w:val="center"/>
        </w:trPr>
        <w:tc>
          <w:tcPr>
            <w:tcW w:w="2079" w:type="dxa"/>
            <w:vAlign w:val="center"/>
          </w:tcPr>
          <w:p w14:paraId="0312329A" w14:textId="77777777" w:rsidR="006F274D" w:rsidRPr="00911971" w:rsidRDefault="006F274D" w:rsidP="00664C2B">
            <w:pPr>
              <w:pStyle w:val="Tablehead"/>
            </w:pPr>
            <w:r w:rsidRPr="00911971">
              <w:t>Frequency (kHz)</w:t>
            </w:r>
          </w:p>
        </w:tc>
        <w:tc>
          <w:tcPr>
            <w:tcW w:w="5490" w:type="dxa"/>
            <w:vAlign w:val="center"/>
          </w:tcPr>
          <w:p w14:paraId="6C2C0008" w14:textId="77777777" w:rsidR="006F274D" w:rsidRPr="00911971" w:rsidRDefault="006F274D" w:rsidP="00664C2B">
            <w:pPr>
              <w:pStyle w:val="Tablehead"/>
            </w:pPr>
            <w:r w:rsidRPr="00911971">
              <w:t>Area of use</w:t>
            </w:r>
          </w:p>
        </w:tc>
      </w:tr>
      <w:tr w:rsidR="006F274D" w14:paraId="6CCEC533" w14:textId="77777777" w:rsidTr="00DF0BC0">
        <w:trPr>
          <w:cantSplit/>
          <w:jc w:val="center"/>
        </w:trPr>
        <w:tc>
          <w:tcPr>
            <w:tcW w:w="2079" w:type="dxa"/>
            <w:vAlign w:val="center"/>
          </w:tcPr>
          <w:p w14:paraId="70C8965A" w14:textId="77777777" w:rsidR="006F274D" w:rsidRPr="00603A7B" w:rsidRDefault="00664C2B" w:rsidP="00603A7B">
            <w:pPr>
              <w:pStyle w:val="Tabletext0"/>
              <w:rPr>
                <w:sz w:val="20"/>
                <w:szCs w:val="20"/>
              </w:rPr>
            </w:pPr>
            <w:r w:rsidRPr="00603A7B">
              <w:rPr>
                <w:sz w:val="20"/>
                <w:szCs w:val="20"/>
              </w:rPr>
              <w:t>14-</w:t>
            </w:r>
            <w:r w:rsidR="006F274D" w:rsidRPr="00603A7B">
              <w:rPr>
                <w:sz w:val="20"/>
                <w:szCs w:val="20"/>
              </w:rPr>
              <w:t>19.95 kHz</w:t>
            </w:r>
          </w:p>
        </w:tc>
        <w:tc>
          <w:tcPr>
            <w:tcW w:w="5490" w:type="dxa"/>
            <w:vMerge w:val="restart"/>
            <w:vAlign w:val="center"/>
          </w:tcPr>
          <w:p w14:paraId="5A3CE29F" w14:textId="77777777" w:rsidR="006F274D" w:rsidRPr="00603A7B" w:rsidRDefault="006F274D" w:rsidP="00603A7B">
            <w:pPr>
              <w:pStyle w:val="Tabletext0"/>
              <w:rPr>
                <w:sz w:val="20"/>
                <w:szCs w:val="20"/>
              </w:rPr>
            </w:pPr>
            <w:r w:rsidRPr="00603A7B">
              <w:rPr>
                <w:sz w:val="20"/>
                <w:szCs w:val="20"/>
              </w:rPr>
              <w:t>Regions 1,</w:t>
            </w:r>
            <w:r w:rsidR="00181F14" w:rsidRPr="00603A7B">
              <w:rPr>
                <w:sz w:val="20"/>
                <w:szCs w:val="20"/>
              </w:rPr>
              <w:t xml:space="preserve"> </w:t>
            </w:r>
            <w:r w:rsidRPr="00603A7B">
              <w:rPr>
                <w:sz w:val="20"/>
                <w:szCs w:val="20"/>
              </w:rPr>
              <w:t>2 &amp;3</w:t>
            </w:r>
          </w:p>
        </w:tc>
      </w:tr>
      <w:tr w:rsidR="006F274D" w14:paraId="54912ADC" w14:textId="77777777" w:rsidTr="00DF0BC0">
        <w:trPr>
          <w:cantSplit/>
          <w:jc w:val="center"/>
        </w:trPr>
        <w:tc>
          <w:tcPr>
            <w:tcW w:w="2079" w:type="dxa"/>
            <w:vAlign w:val="center"/>
          </w:tcPr>
          <w:p w14:paraId="537034C1" w14:textId="77777777" w:rsidR="006F274D" w:rsidRPr="00603A7B" w:rsidRDefault="00664C2B" w:rsidP="00603A7B">
            <w:pPr>
              <w:pStyle w:val="Tabletext0"/>
              <w:rPr>
                <w:sz w:val="20"/>
                <w:szCs w:val="20"/>
              </w:rPr>
            </w:pPr>
            <w:r w:rsidRPr="00603A7B">
              <w:rPr>
                <w:sz w:val="20"/>
                <w:szCs w:val="20"/>
              </w:rPr>
              <w:t>20.05-</w:t>
            </w:r>
            <w:r w:rsidR="006F274D" w:rsidRPr="00603A7B">
              <w:rPr>
                <w:sz w:val="20"/>
                <w:szCs w:val="20"/>
              </w:rPr>
              <w:t>70 kHz</w:t>
            </w:r>
          </w:p>
        </w:tc>
        <w:tc>
          <w:tcPr>
            <w:tcW w:w="5490" w:type="dxa"/>
            <w:vMerge/>
            <w:vAlign w:val="center"/>
          </w:tcPr>
          <w:p w14:paraId="12A4BA71" w14:textId="77777777" w:rsidR="006F274D" w:rsidRPr="00603A7B" w:rsidRDefault="006F274D" w:rsidP="00603A7B">
            <w:pPr>
              <w:pStyle w:val="Tabletext0"/>
              <w:rPr>
                <w:sz w:val="20"/>
                <w:szCs w:val="20"/>
              </w:rPr>
            </w:pPr>
          </w:p>
        </w:tc>
      </w:tr>
      <w:tr w:rsidR="006F274D" w14:paraId="63DD5014" w14:textId="77777777" w:rsidTr="00DF0BC0">
        <w:trPr>
          <w:cantSplit/>
          <w:jc w:val="center"/>
        </w:trPr>
        <w:tc>
          <w:tcPr>
            <w:tcW w:w="2079" w:type="dxa"/>
            <w:vAlign w:val="center"/>
          </w:tcPr>
          <w:p w14:paraId="60262165" w14:textId="77777777" w:rsidR="006F274D" w:rsidRPr="00603A7B" w:rsidRDefault="00664C2B" w:rsidP="00603A7B">
            <w:pPr>
              <w:pStyle w:val="Tabletext0"/>
              <w:rPr>
                <w:sz w:val="20"/>
                <w:szCs w:val="20"/>
              </w:rPr>
            </w:pPr>
            <w:r w:rsidRPr="00603A7B">
              <w:rPr>
                <w:sz w:val="20"/>
                <w:szCs w:val="20"/>
              </w:rPr>
              <w:t>72-</w:t>
            </w:r>
            <w:r w:rsidR="006F274D" w:rsidRPr="00603A7B">
              <w:rPr>
                <w:sz w:val="20"/>
                <w:szCs w:val="20"/>
              </w:rPr>
              <w:t>84 kHz</w:t>
            </w:r>
          </w:p>
        </w:tc>
        <w:tc>
          <w:tcPr>
            <w:tcW w:w="5490" w:type="dxa"/>
            <w:vMerge w:val="restart"/>
            <w:vAlign w:val="center"/>
          </w:tcPr>
          <w:p w14:paraId="31DC19FA" w14:textId="77777777" w:rsidR="006F274D" w:rsidRPr="00603A7B" w:rsidRDefault="006F274D" w:rsidP="00603A7B">
            <w:pPr>
              <w:pStyle w:val="Tabletext0"/>
              <w:rPr>
                <w:sz w:val="20"/>
                <w:szCs w:val="20"/>
              </w:rPr>
            </w:pPr>
            <w:r w:rsidRPr="00603A7B">
              <w:rPr>
                <w:sz w:val="20"/>
                <w:szCs w:val="20"/>
              </w:rPr>
              <w:t>Region 1</w:t>
            </w:r>
          </w:p>
        </w:tc>
      </w:tr>
      <w:tr w:rsidR="006F274D" w14:paraId="415D0581" w14:textId="77777777" w:rsidTr="00DF0BC0">
        <w:trPr>
          <w:cantSplit/>
          <w:jc w:val="center"/>
        </w:trPr>
        <w:tc>
          <w:tcPr>
            <w:tcW w:w="2079" w:type="dxa"/>
            <w:vAlign w:val="center"/>
          </w:tcPr>
          <w:p w14:paraId="3C55FB50" w14:textId="77777777" w:rsidR="006F274D" w:rsidRPr="00603A7B" w:rsidRDefault="00664C2B" w:rsidP="00603A7B">
            <w:pPr>
              <w:pStyle w:val="Tabletext0"/>
              <w:rPr>
                <w:sz w:val="20"/>
                <w:szCs w:val="20"/>
              </w:rPr>
            </w:pPr>
            <w:r w:rsidRPr="00603A7B">
              <w:rPr>
                <w:sz w:val="20"/>
                <w:szCs w:val="20"/>
              </w:rPr>
              <w:t>86-</w:t>
            </w:r>
            <w:r w:rsidR="006F274D" w:rsidRPr="00603A7B">
              <w:rPr>
                <w:sz w:val="20"/>
                <w:szCs w:val="20"/>
              </w:rPr>
              <w:t>90 kHz</w:t>
            </w:r>
          </w:p>
        </w:tc>
        <w:tc>
          <w:tcPr>
            <w:tcW w:w="5490" w:type="dxa"/>
            <w:vMerge/>
            <w:vAlign w:val="center"/>
          </w:tcPr>
          <w:p w14:paraId="4997030E" w14:textId="77777777" w:rsidR="006F274D" w:rsidRPr="00603A7B" w:rsidRDefault="006F274D" w:rsidP="00603A7B">
            <w:pPr>
              <w:pStyle w:val="Tabletext0"/>
              <w:rPr>
                <w:sz w:val="20"/>
                <w:szCs w:val="20"/>
              </w:rPr>
            </w:pPr>
          </w:p>
        </w:tc>
      </w:tr>
      <w:tr w:rsidR="006F274D" w14:paraId="54801944" w14:textId="77777777" w:rsidTr="00DF0BC0">
        <w:trPr>
          <w:cantSplit/>
          <w:jc w:val="center"/>
        </w:trPr>
        <w:tc>
          <w:tcPr>
            <w:tcW w:w="2079" w:type="dxa"/>
            <w:vAlign w:val="center"/>
          </w:tcPr>
          <w:p w14:paraId="28A90267" w14:textId="77777777" w:rsidR="006F274D" w:rsidRPr="00603A7B" w:rsidRDefault="006F274D" w:rsidP="00603A7B">
            <w:pPr>
              <w:pStyle w:val="Tabletext0"/>
              <w:rPr>
                <w:sz w:val="20"/>
                <w:szCs w:val="20"/>
              </w:rPr>
            </w:pPr>
            <w:r w:rsidRPr="00603A7B">
              <w:rPr>
                <w:sz w:val="20"/>
                <w:szCs w:val="20"/>
              </w:rPr>
              <w:t>25 kHz</w:t>
            </w:r>
          </w:p>
        </w:tc>
        <w:tc>
          <w:tcPr>
            <w:tcW w:w="5490" w:type="dxa"/>
            <w:vMerge w:val="restart"/>
            <w:vAlign w:val="center"/>
          </w:tcPr>
          <w:p w14:paraId="76CDE967" w14:textId="77777777" w:rsidR="006F274D" w:rsidRPr="00603A7B" w:rsidRDefault="006F274D" w:rsidP="00603A7B">
            <w:pPr>
              <w:pStyle w:val="Tabletext0"/>
              <w:rPr>
                <w:sz w:val="20"/>
                <w:szCs w:val="20"/>
              </w:rPr>
            </w:pPr>
            <w:r w:rsidRPr="00603A7B">
              <w:rPr>
                <w:sz w:val="20"/>
                <w:szCs w:val="20"/>
              </w:rPr>
              <w:t>Armenia, Azerbaijan, Belarus, the Russian Federation, Georgia, Kazakhstan, Kyrgyzstan, Tajikistan, Turkmenistan</w:t>
            </w:r>
          </w:p>
        </w:tc>
      </w:tr>
      <w:tr w:rsidR="006F274D" w14:paraId="3A98B12B" w14:textId="77777777" w:rsidTr="00DF0BC0">
        <w:trPr>
          <w:jc w:val="center"/>
        </w:trPr>
        <w:tc>
          <w:tcPr>
            <w:tcW w:w="2079" w:type="dxa"/>
          </w:tcPr>
          <w:p w14:paraId="5156217D" w14:textId="77777777" w:rsidR="006F274D" w:rsidRPr="00603A7B" w:rsidRDefault="006F274D" w:rsidP="00911971">
            <w:pPr>
              <w:pStyle w:val="TableContents"/>
              <w:rPr>
                <w:sz w:val="20"/>
                <w:szCs w:val="20"/>
              </w:rPr>
            </w:pPr>
            <w:r w:rsidRPr="00603A7B">
              <w:rPr>
                <w:sz w:val="20"/>
                <w:szCs w:val="20"/>
              </w:rPr>
              <w:t>50 kHz</w:t>
            </w:r>
          </w:p>
        </w:tc>
        <w:tc>
          <w:tcPr>
            <w:tcW w:w="5490" w:type="dxa"/>
            <w:vMerge/>
          </w:tcPr>
          <w:p w14:paraId="704FA5CE" w14:textId="77777777" w:rsidR="006F274D" w:rsidRDefault="006F274D" w:rsidP="00911971">
            <w:pPr>
              <w:pStyle w:val="TableContents"/>
            </w:pPr>
          </w:p>
        </w:tc>
      </w:tr>
    </w:tbl>
    <w:p w14:paraId="0ED196AA" w14:textId="77777777" w:rsidR="00911971" w:rsidRDefault="00911971" w:rsidP="00911971">
      <w:pPr>
        <w:rPr>
          <w:lang w:eastAsia="zh-CN"/>
        </w:rPr>
      </w:pPr>
      <w:r>
        <w:rPr>
          <w:lang w:eastAsia="zh-CN"/>
        </w:rPr>
        <w:t>The continuing importance of the VLF and LF bands for radio services is evidenced by several changes to the Table of Frequency Allocations made by WRC-12 relating to the scientific research, meteor</w:t>
      </w:r>
      <w:r w:rsidR="00B619EB">
        <w:rPr>
          <w:lang w:eastAsia="zh-CN"/>
        </w:rPr>
        <w:t>o</w:t>
      </w:r>
      <w:r>
        <w:rPr>
          <w:lang w:eastAsia="zh-CN"/>
        </w:rPr>
        <w:t xml:space="preserve">logical aids, radionavigation, amateur and maritime mobile services (see RR Nos. </w:t>
      </w:r>
      <w:r w:rsidRPr="00603A7B">
        <w:rPr>
          <w:b/>
          <w:bCs/>
          <w:lang w:eastAsia="zh-CN"/>
        </w:rPr>
        <w:t>5.54A</w:t>
      </w:r>
      <w:r>
        <w:rPr>
          <w:lang w:eastAsia="zh-CN"/>
        </w:rPr>
        <w:t xml:space="preserve">, </w:t>
      </w:r>
      <w:r w:rsidRPr="00603A7B">
        <w:rPr>
          <w:b/>
          <w:bCs/>
          <w:lang w:eastAsia="zh-CN"/>
        </w:rPr>
        <w:t>5.54B</w:t>
      </w:r>
      <w:r>
        <w:rPr>
          <w:lang w:eastAsia="zh-CN"/>
        </w:rPr>
        <w:t xml:space="preserve">, </w:t>
      </w:r>
      <w:r w:rsidRPr="00603A7B">
        <w:rPr>
          <w:b/>
          <w:bCs/>
          <w:lang w:eastAsia="zh-CN"/>
        </w:rPr>
        <w:t>5.54C</w:t>
      </w:r>
      <w:r>
        <w:rPr>
          <w:lang w:eastAsia="zh-CN"/>
        </w:rPr>
        <w:t xml:space="preserve">, </w:t>
      </w:r>
      <w:r w:rsidRPr="00603A7B">
        <w:rPr>
          <w:b/>
          <w:bCs/>
          <w:lang w:eastAsia="zh-CN"/>
        </w:rPr>
        <w:t>5.67B</w:t>
      </w:r>
      <w:r>
        <w:rPr>
          <w:lang w:eastAsia="zh-CN"/>
        </w:rPr>
        <w:t xml:space="preserve">, </w:t>
      </w:r>
      <w:r w:rsidRPr="00603A7B">
        <w:rPr>
          <w:b/>
          <w:bCs/>
          <w:lang w:eastAsia="zh-CN"/>
        </w:rPr>
        <w:t>5.77</w:t>
      </w:r>
      <w:r>
        <w:rPr>
          <w:lang w:eastAsia="zh-CN"/>
        </w:rPr>
        <w:t xml:space="preserve">. </w:t>
      </w:r>
      <w:r w:rsidRPr="00603A7B">
        <w:rPr>
          <w:b/>
          <w:bCs/>
          <w:lang w:eastAsia="zh-CN"/>
        </w:rPr>
        <w:t>5.80A</w:t>
      </w:r>
      <w:r>
        <w:rPr>
          <w:lang w:eastAsia="zh-CN"/>
        </w:rPr>
        <w:t xml:space="preserve">, </w:t>
      </w:r>
      <w:r w:rsidRPr="00603A7B">
        <w:rPr>
          <w:b/>
          <w:bCs/>
          <w:lang w:eastAsia="zh-CN"/>
        </w:rPr>
        <w:t>5.80B</w:t>
      </w:r>
      <w:r>
        <w:rPr>
          <w:lang w:eastAsia="zh-CN"/>
        </w:rPr>
        <w:t xml:space="preserve"> and </w:t>
      </w:r>
      <w:r w:rsidRPr="00603A7B">
        <w:rPr>
          <w:b/>
          <w:bCs/>
          <w:lang w:eastAsia="zh-CN"/>
        </w:rPr>
        <w:t>5.82</w:t>
      </w:r>
      <w:r>
        <w:rPr>
          <w:lang w:eastAsia="zh-CN"/>
        </w:rPr>
        <w:t>).</w:t>
      </w:r>
    </w:p>
    <w:p w14:paraId="198DBBA5" w14:textId="77777777" w:rsidR="00B938B8" w:rsidRDefault="0010225B" w:rsidP="00B938B8">
      <w:pPr>
        <w:rPr>
          <w:lang w:eastAsia="zh-CN"/>
        </w:rPr>
      </w:pPr>
      <w:r>
        <w:t>A potent source o</w:t>
      </w:r>
      <w:r w:rsidR="00603A7B">
        <w:t>f RF emissions in the range 2-</w:t>
      </w:r>
      <w:r>
        <w:t xml:space="preserve">150 kHz turns out to be compact fluorescent lamps and LED lamps. </w:t>
      </w:r>
      <w:r w:rsidR="00B938B8">
        <w:t>RF e</w:t>
      </w:r>
      <w:r w:rsidR="00B938B8">
        <w:rPr>
          <w:lang w:eastAsia="zh-CN"/>
        </w:rPr>
        <w:t xml:space="preserve">missions far above the general EN 55015/55011 limits and EN 50065 spurious emission limits have been observed. </w:t>
      </w:r>
    </w:p>
    <w:p w14:paraId="6D647225" w14:textId="77777777" w:rsidR="00CE246D" w:rsidRDefault="00CE246D" w:rsidP="0010225B">
      <w:pPr>
        <w:rPr>
          <w:lang w:eastAsia="zh-CN"/>
        </w:rPr>
      </w:pPr>
      <w:r>
        <w:rPr>
          <w:rFonts w:cs="Calibri"/>
          <w:szCs w:val="24"/>
          <w:lang w:val="en-US" w:eastAsia="ar-SA"/>
        </w:rPr>
        <w:t xml:space="preserve">Although most of the extreme cases of interference noted in the </w:t>
      </w:r>
      <w:r w:rsidR="00181F14">
        <w:rPr>
          <w:rFonts w:cs="Calibri"/>
          <w:szCs w:val="24"/>
          <w:lang w:val="en-US" w:eastAsia="ar-SA"/>
        </w:rPr>
        <w:t xml:space="preserve">CENELEC Study </w:t>
      </w:r>
      <w:r>
        <w:rPr>
          <w:rFonts w:cs="Calibri"/>
          <w:szCs w:val="24"/>
          <w:lang w:val="en-US" w:eastAsia="ar-SA"/>
        </w:rPr>
        <w:t>Report result from faulty equipment o</w:t>
      </w:r>
      <w:r>
        <w:rPr>
          <w:lang w:eastAsia="zh-CN"/>
        </w:rPr>
        <w:t>r equipment that has come to market without the RF filtering or power factor correction components installed</w:t>
      </w:r>
      <w:r w:rsidR="00181F14">
        <w:rPr>
          <w:lang w:eastAsia="zh-CN"/>
        </w:rPr>
        <w:t xml:space="preserve"> (</w:t>
      </w:r>
      <w:r>
        <w:rPr>
          <w:lang w:eastAsia="zh-CN"/>
        </w:rPr>
        <w:t>as would be demanded if in com</w:t>
      </w:r>
      <w:r w:rsidR="00181F14">
        <w:rPr>
          <w:lang w:eastAsia="zh-CN"/>
        </w:rPr>
        <w:t xml:space="preserve">pliance with a claimed standard), </w:t>
      </w:r>
      <w:r>
        <w:rPr>
          <w:lang w:eastAsia="zh-CN"/>
        </w:rPr>
        <w:t>ageing effects have</w:t>
      </w:r>
      <w:r w:rsidR="00181F14">
        <w:rPr>
          <w:lang w:eastAsia="zh-CN"/>
        </w:rPr>
        <w:t xml:space="preserve"> now</w:t>
      </w:r>
      <w:r>
        <w:rPr>
          <w:lang w:eastAsia="zh-CN"/>
        </w:rPr>
        <w:t xml:space="preserve"> been identified as a major source of EMI, with </w:t>
      </w:r>
      <w:r w:rsidR="00181F14">
        <w:rPr>
          <w:lang w:eastAsia="zh-CN"/>
        </w:rPr>
        <w:t xml:space="preserve">observed </w:t>
      </w:r>
      <w:r>
        <w:rPr>
          <w:lang w:eastAsia="zh-CN"/>
        </w:rPr>
        <w:t>instance</w:t>
      </w:r>
      <w:r w:rsidR="00181F14">
        <w:rPr>
          <w:lang w:eastAsia="zh-CN"/>
        </w:rPr>
        <w:t>s of EMI</w:t>
      </w:r>
      <w:r>
        <w:rPr>
          <w:lang w:eastAsia="zh-CN"/>
        </w:rPr>
        <w:t xml:space="preserve"> increasing </w:t>
      </w:r>
      <w:r w:rsidR="00181F14">
        <w:rPr>
          <w:lang w:eastAsia="zh-CN"/>
        </w:rPr>
        <w:t xml:space="preserve">significantly </w:t>
      </w:r>
      <w:r>
        <w:rPr>
          <w:lang w:eastAsia="zh-CN"/>
        </w:rPr>
        <w:t xml:space="preserve">when compared with previous editions of the Study Report. </w:t>
      </w:r>
    </w:p>
    <w:p w14:paraId="417BE10A" w14:textId="77777777" w:rsidR="00B938B8" w:rsidRDefault="00911971" w:rsidP="00B938B8">
      <w:r>
        <w:rPr>
          <w:lang w:eastAsia="zh-CN"/>
        </w:rPr>
        <w:t xml:space="preserve">Ageing particularly affects </w:t>
      </w:r>
      <w:r w:rsidR="00B938B8">
        <w:rPr>
          <w:lang w:eastAsia="zh-CN"/>
        </w:rPr>
        <w:t>electrolytic capacitors used</w:t>
      </w:r>
      <w:r w:rsidR="0010225B">
        <w:t xml:space="preserve"> in rectifier </w:t>
      </w:r>
      <w:r w:rsidR="00B938B8">
        <w:t xml:space="preserve">and power factor correction </w:t>
      </w:r>
      <w:r w:rsidR="0010225B">
        <w:t>circuits</w:t>
      </w:r>
      <w:r w:rsidR="00B938B8">
        <w:t>. The ageing problem can be seen as twofold, as ageing of electronic components causes</w:t>
      </w:r>
    </w:p>
    <w:p w14:paraId="4875102D" w14:textId="77777777" w:rsidR="00B938B8" w:rsidRDefault="00B938B8" w:rsidP="00B938B8">
      <w:pPr>
        <w:pStyle w:val="enumlev1"/>
        <w:numPr>
          <w:ilvl w:val="0"/>
          <w:numId w:val="2"/>
        </w:numPr>
        <w:ind w:left="714" w:hanging="692"/>
      </w:pPr>
      <w:r>
        <w:t xml:space="preserve">increased RF emissions from concerned </w:t>
      </w:r>
      <w:r w:rsidR="00181F14">
        <w:t xml:space="preserve">electronic and </w:t>
      </w:r>
      <w:r>
        <w:t>electrical equipment, resulting in an increased potential for EMI to other electrical equipment.</w:t>
      </w:r>
    </w:p>
    <w:p w14:paraId="4DFA7C7E" w14:textId="77777777" w:rsidR="00B938B8" w:rsidRDefault="00B938B8" w:rsidP="00B938B8">
      <w:pPr>
        <w:pStyle w:val="enumlev1"/>
        <w:numPr>
          <w:ilvl w:val="0"/>
          <w:numId w:val="2"/>
        </w:numPr>
        <w:ind w:left="714" w:hanging="692"/>
      </w:pPr>
      <w:r>
        <w:t xml:space="preserve">thermal stress to other electronic </w:t>
      </w:r>
      <w:r w:rsidR="00181F14">
        <w:t xml:space="preserve">and electrical </w:t>
      </w:r>
      <w:r>
        <w:t>equipment</w:t>
      </w:r>
      <w:r w:rsidR="006E03AD">
        <w:t xml:space="preserve"> caused by RF voltages superimposed on mains wiring, resulting </w:t>
      </w:r>
      <w:r>
        <w:t>in a reduction of lifetime of such equipment</w:t>
      </w:r>
      <w:r w:rsidR="006E03AD">
        <w:t xml:space="preserve"> and often additional RF emissions from the deteriorating equipment</w:t>
      </w:r>
    </w:p>
    <w:p w14:paraId="1D86C811" w14:textId="77777777" w:rsidR="00B938B8" w:rsidRDefault="006E03AD" w:rsidP="0010225B">
      <w:r>
        <w:t xml:space="preserve">Thus, there </w:t>
      </w:r>
      <w:r w:rsidR="00B938B8">
        <w:t xml:space="preserve">is a vicious circle in the ageing process </w:t>
      </w:r>
      <w:r>
        <w:t>by</w:t>
      </w:r>
      <w:r w:rsidR="00B938B8">
        <w:t xml:space="preserve"> which </w:t>
      </w:r>
      <w:r>
        <w:t xml:space="preserve">superimposed </w:t>
      </w:r>
      <w:r w:rsidR="00B938B8">
        <w:t xml:space="preserve">RF </w:t>
      </w:r>
      <w:r>
        <w:t xml:space="preserve">voltages </w:t>
      </w:r>
      <w:r w:rsidR="00B938B8">
        <w:t>on mains lines promote internal degradation and failure of electrolytic capacitors</w:t>
      </w:r>
      <w:r>
        <w:t xml:space="preserve">, accompanied by </w:t>
      </w:r>
      <w:r w:rsidR="00B938B8">
        <w:t xml:space="preserve">heating of these components as a result of the progressive degradation. </w:t>
      </w:r>
      <w:r w:rsidR="0010225B">
        <w:t>Thermal stress</w:t>
      </w:r>
      <w:r w:rsidR="00B938B8">
        <w:t xml:space="preserve"> then leads to overheating of the</w:t>
      </w:r>
      <w:r>
        <w:t>se</w:t>
      </w:r>
      <w:r w:rsidR="00B938B8">
        <w:t xml:space="preserve"> components and the equipment as a whole, contributing further to dry-out and failure of electrolytic capacitors. Thus EMI from increas</w:t>
      </w:r>
      <w:r>
        <w:t>ing</w:t>
      </w:r>
      <w:r w:rsidR="00B938B8">
        <w:t xml:space="preserve"> levels of RF </w:t>
      </w:r>
      <w:r>
        <w:t xml:space="preserve">voltages </w:t>
      </w:r>
      <w:r w:rsidR="00B938B8">
        <w:t xml:space="preserve">on mains wiring directly induces degradation </w:t>
      </w:r>
      <w:r>
        <w:t>i</w:t>
      </w:r>
      <w:r w:rsidR="00B938B8">
        <w:t>n other equipment</w:t>
      </w:r>
      <w:r>
        <w:t xml:space="preserve">. This then results in further </w:t>
      </w:r>
      <w:r w:rsidR="00B938B8">
        <w:t xml:space="preserve">increases in </w:t>
      </w:r>
      <w:r>
        <w:t xml:space="preserve">levels of superimposed </w:t>
      </w:r>
      <w:r w:rsidR="00B938B8">
        <w:t xml:space="preserve">RF </w:t>
      </w:r>
      <w:r>
        <w:t>voltages</w:t>
      </w:r>
      <w:r w:rsidR="00B938B8">
        <w:t xml:space="preserve"> </w:t>
      </w:r>
      <w:r>
        <w:t xml:space="preserve">on the mains wiring, </w:t>
      </w:r>
      <w:r w:rsidR="00B938B8">
        <w:t>resulting in further degradation and higher level</w:t>
      </w:r>
      <w:r>
        <w:t>s</w:t>
      </w:r>
      <w:r w:rsidR="00B938B8">
        <w:t xml:space="preserve"> of RF emissions and so on</w:t>
      </w:r>
      <w:r>
        <w:t xml:space="preserve"> and so forth</w:t>
      </w:r>
      <w:r w:rsidR="00B938B8">
        <w:t xml:space="preserve">. </w:t>
      </w:r>
    </w:p>
    <w:p w14:paraId="56B5E2EE" w14:textId="77777777" w:rsidR="00C12B77" w:rsidRDefault="00C12B77" w:rsidP="00C12B77">
      <w:r>
        <w:lastRenderedPageBreak/>
        <w:t xml:space="preserve">RF voltages </w:t>
      </w:r>
      <w:r w:rsidR="006E03AD">
        <w:t xml:space="preserve">superimposed </w:t>
      </w:r>
      <w:r>
        <w:t xml:space="preserve">on mains wiring </w:t>
      </w:r>
      <w:r w:rsidR="006E03AD">
        <w:t xml:space="preserve">therefore </w:t>
      </w:r>
      <w:r w:rsidR="00452913">
        <w:t xml:space="preserve">constitute </w:t>
      </w:r>
      <w:r>
        <w:t xml:space="preserve">a significant </w:t>
      </w:r>
      <w:r w:rsidR="00452913">
        <w:t xml:space="preserve">driver of thermal stress, which </w:t>
      </w:r>
      <w:r>
        <w:t xml:space="preserve">subsequently </w:t>
      </w:r>
      <w:r w:rsidR="00452913">
        <w:t xml:space="preserve">has a significant adverse impact </w:t>
      </w:r>
      <w:r>
        <w:t xml:space="preserve">on the lifetime of electronic equipment, </w:t>
      </w:r>
      <w:r w:rsidR="00452913">
        <w:t xml:space="preserve">containing </w:t>
      </w:r>
      <w:r>
        <w:t>rectif</w:t>
      </w:r>
      <w:r w:rsidR="00452913">
        <w:t xml:space="preserve">ier and power conversion circuitry using </w:t>
      </w:r>
      <w:r>
        <w:t>electrolytic capacitors</w:t>
      </w:r>
      <w:r w:rsidR="00452913">
        <w:t>, i.e., just about everything</w:t>
      </w:r>
      <w:r>
        <w:t xml:space="preserve">. It has been observed that a temperature increase at the DC-link capacitors in the rectifier circuits of equipment under test can amount up to </w:t>
      </w:r>
      <w:r w:rsidR="00452913">
        <w:t xml:space="preserve">a </w:t>
      </w:r>
      <w:r>
        <w:t>1</w:t>
      </w:r>
      <w:r>
        <w:sym w:font="Symbol" w:char="F0B0"/>
      </w:r>
      <w:r>
        <w:t xml:space="preserve"> Kelvin </w:t>
      </w:r>
      <w:r w:rsidR="00452913">
        <w:t xml:space="preserve">temperature rise </w:t>
      </w:r>
      <w:r>
        <w:t xml:space="preserve">per percent of </w:t>
      </w:r>
      <w:r w:rsidR="00452913">
        <w:t xml:space="preserve">the superimposed </w:t>
      </w:r>
      <w:r>
        <w:t>RF voltage component</w:t>
      </w:r>
      <w:r w:rsidR="00452913">
        <w:t>, as</w:t>
      </w:r>
      <w:r>
        <w:t xml:space="preserve"> compared to measurements </w:t>
      </w:r>
      <w:r w:rsidR="00452913">
        <w:t xml:space="preserve">taken </w:t>
      </w:r>
      <w:r>
        <w:t xml:space="preserve">with </w:t>
      </w:r>
      <w:r w:rsidR="00452913">
        <w:t xml:space="preserve">a pure </w:t>
      </w:r>
      <w:r>
        <w:t xml:space="preserve">sinusoidal </w:t>
      </w:r>
      <w:r w:rsidR="00452913">
        <w:t>mains frequency voltage</w:t>
      </w:r>
      <w:r>
        <w:t xml:space="preserve">. Besides the additional heating, audible noise has been observed in various </w:t>
      </w:r>
      <w:r w:rsidR="00B619EB">
        <w:t xml:space="preserve">examples of </w:t>
      </w:r>
      <w:r>
        <w:t>equipment under test, even at RF voltage levels of around 1 %.</w:t>
      </w:r>
    </w:p>
    <w:p w14:paraId="1ACFAB7D" w14:textId="77777777" w:rsidR="00C12B77" w:rsidRDefault="00C12B77" w:rsidP="00C12B77">
      <w:r>
        <w:t xml:space="preserve">Examples of compact fluorescent and LED lamps under test have shown temperatures measured at different points rising to ~ 74° C. Because of the different mounting conditions and air streams at the ceiling, the temperature increase may be even higher under real conditions. </w:t>
      </w:r>
    </w:p>
    <w:p w14:paraId="2BF2AAE2" w14:textId="77777777" w:rsidR="00B938B8" w:rsidRDefault="00834ABB" w:rsidP="0010225B">
      <w:r>
        <w:t>From the above observation</w:t>
      </w:r>
      <w:r w:rsidR="00452913">
        <w:t>s</w:t>
      </w:r>
      <w:r>
        <w:t xml:space="preserve"> on the design of electrical power converters and induction units and </w:t>
      </w:r>
      <w:r w:rsidR="008236FA">
        <w:t xml:space="preserve">the </w:t>
      </w:r>
      <w:r w:rsidR="00452913">
        <w:t xml:space="preserve">adverse impact of attendant </w:t>
      </w:r>
      <w:r>
        <w:t xml:space="preserve">thermal stress, it must be expected that WPT equipment will pose a risk of </w:t>
      </w:r>
      <w:r w:rsidR="00B619EB">
        <w:t>interference</w:t>
      </w:r>
      <w:r>
        <w:t xml:space="preserve"> to radio services and other electronic and electrical equipment connected to main</w:t>
      </w:r>
      <w:r w:rsidR="006C0061">
        <w:t>s</w:t>
      </w:r>
      <w:r>
        <w:t xml:space="preserve"> wiring including, rather </w:t>
      </w:r>
      <w:r w:rsidR="00B619EB">
        <w:t>ironically</w:t>
      </w:r>
      <w:r>
        <w:t xml:space="preserve">, PLT equipment. This is because WPT equipment of any size from small mobile phone chargers to high power electric vehicle chargers poses </w:t>
      </w:r>
      <w:r w:rsidR="00F714A7">
        <w:t xml:space="preserve">a </w:t>
      </w:r>
      <w:r>
        <w:t>risk of interference</w:t>
      </w:r>
      <w:r w:rsidR="00452913">
        <w:t xml:space="preserve"> to a wide range of electronic and electrical equipment, many of which will be incorporate electronic communications f</w:t>
      </w:r>
      <w:r w:rsidR="00F714A7">
        <w:t>u</w:t>
      </w:r>
      <w:r w:rsidR="00452913">
        <w:t>nction</w:t>
      </w:r>
      <w:r w:rsidR="00F714A7">
        <w:t xml:space="preserve">s. The risk of EMI will not be confined to </w:t>
      </w:r>
      <w:r>
        <w:t>radio services operating near the frequency ranges proposed</w:t>
      </w:r>
      <w:r w:rsidR="00F714A7">
        <w:t xml:space="preserve"> for WPT</w:t>
      </w:r>
      <w:r w:rsidR="00D577FF">
        <w:t>.</w:t>
      </w:r>
    </w:p>
    <w:p w14:paraId="17927D17" w14:textId="77777777" w:rsidR="00834ABB" w:rsidRDefault="00B14917" w:rsidP="0010225B">
      <w:r w:rsidRPr="00B14917">
        <w:t xml:space="preserve">The CLC/TC 210 group recognized that there are areas of common interest between ITU and CENELEC in developing standards for WPT equipment. In particular it was suggested that ITU provides a technical analysis of why the frequencies </w:t>
      </w:r>
      <w:r>
        <w:t xml:space="preserve">proposed </w:t>
      </w:r>
      <w:r w:rsidRPr="00B14917">
        <w:t>in the preliminary draft ne</w:t>
      </w:r>
      <w:r>
        <w:t>w Recommendation ITU-R SM.[WPT], being developed by Working Party 1A</w:t>
      </w:r>
      <w:r w:rsidR="00F714A7">
        <w:t>,</w:t>
      </w:r>
      <w:r>
        <w:t xml:space="preserve"> </w:t>
      </w:r>
      <w:r w:rsidRPr="00B14917">
        <w:t>are considered suitable, taking account of the constraints of the physical coupling mechanisms involved and transfer efficiency considerations.</w:t>
      </w:r>
    </w:p>
    <w:p w14:paraId="69D59ECA" w14:textId="77777777" w:rsidR="00B14917" w:rsidRDefault="00B14917" w:rsidP="00B14917">
      <w:pPr>
        <w:pStyle w:val="Heading1"/>
      </w:pPr>
      <w:r>
        <w:t>4</w:t>
      </w:r>
      <w:r w:rsidRPr="00E35783">
        <w:tab/>
      </w:r>
      <w:r>
        <w:t>Considerations on market surveillance</w:t>
      </w:r>
    </w:p>
    <w:p w14:paraId="43399781" w14:textId="77777777" w:rsidR="007B17C9" w:rsidRDefault="007B17C9" w:rsidP="00B14917">
      <w:pPr>
        <w:rPr>
          <w:lang w:eastAsia="zh-CN"/>
        </w:rPr>
      </w:pPr>
      <w:r>
        <w:rPr>
          <w:lang w:eastAsia="zh-CN"/>
        </w:rPr>
        <w:t>As a result of the extensive discussions on EMI from a variety of electronic and electrical equipment and the particular problems with PLT equipment</w:t>
      </w:r>
      <w:r w:rsidR="00F714A7">
        <w:rPr>
          <w:lang w:eastAsia="zh-CN"/>
        </w:rPr>
        <w:t>,</w:t>
      </w:r>
      <w:r>
        <w:rPr>
          <w:lang w:eastAsia="zh-CN"/>
        </w:rPr>
        <w:t xml:space="preserve"> the CLC/TC 210 group noted several concerns with the effectiveness of the present EU legislative and market surveillance regime for preventing non-compliant equipment </w:t>
      </w:r>
      <w:r w:rsidR="00D92015">
        <w:rPr>
          <w:lang w:eastAsia="zh-CN"/>
        </w:rPr>
        <w:t xml:space="preserve">from </w:t>
      </w:r>
      <w:r>
        <w:rPr>
          <w:lang w:eastAsia="zh-CN"/>
        </w:rPr>
        <w:t>reac</w:t>
      </w:r>
      <w:r w:rsidR="00D92015">
        <w:rPr>
          <w:lang w:eastAsia="zh-CN"/>
        </w:rPr>
        <w:t>hing</w:t>
      </w:r>
      <w:r>
        <w:rPr>
          <w:lang w:eastAsia="zh-CN"/>
        </w:rPr>
        <w:t xml:space="preserve"> the marke</w:t>
      </w:r>
      <w:r w:rsidR="00D92015">
        <w:rPr>
          <w:lang w:eastAsia="zh-CN"/>
        </w:rPr>
        <w:t>t or remain</w:t>
      </w:r>
      <w:r w:rsidR="00F714A7">
        <w:rPr>
          <w:lang w:eastAsia="zh-CN"/>
        </w:rPr>
        <w:t>ing</w:t>
      </w:r>
      <w:r w:rsidR="00D92015">
        <w:rPr>
          <w:lang w:eastAsia="zh-CN"/>
        </w:rPr>
        <w:t xml:space="preserve"> in operation after it</w:t>
      </w:r>
      <w:r>
        <w:rPr>
          <w:lang w:eastAsia="zh-CN"/>
        </w:rPr>
        <w:t xml:space="preserve"> deterio</w:t>
      </w:r>
      <w:r w:rsidR="00D92015">
        <w:rPr>
          <w:lang w:eastAsia="zh-CN"/>
        </w:rPr>
        <w:t>r</w:t>
      </w:r>
      <w:r>
        <w:rPr>
          <w:lang w:eastAsia="zh-CN"/>
        </w:rPr>
        <w:t>ates to the extent that it produces EMI in violation of the applicable standards.</w:t>
      </w:r>
    </w:p>
    <w:p w14:paraId="13760DD4" w14:textId="77777777" w:rsidR="00B619EB" w:rsidRDefault="00B14917" w:rsidP="00B14917">
      <w:pPr>
        <w:rPr>
          <w:lang w:eastAsia="zh-CN"/>
        </w:rPr>
      </w:pPr>
      <w:r>
        <w:rPr>
          <w:lang w:eastAsia="zh-CN"/>
        </w:rPr>
        <w:t xml:space="preserve">Part of the problem is that in 2001 the </w:t>
      </w:r>
      <w:r w:rsidR="00B619EB">
        <w:rPr>
          <w:lang w:eastAsia="zh-CN"/>
        </w:rPr>
        <w:t>European</w:t>
      </w:r>
      <w:r>
        <w:rPr>
          <w:lang w:eastAsia="zh-CN"/>
        </w:rPr>
        <w:t xml:space="preserve"> Commission issued an advice to be relaxed on PLT. Since then, CISPR 22 and the CENELEC mirror standard EN 55022 have changed and now provide for more stringent EMC limits applicable to PLT. During the transition period </w:t>
      </w:r>
      <w:r w:rsidR="00F714A7">
        <w:rPr>
          <w:lang w:eastAsia="zh-CN"/>
        </w:rPr>
        <w:t xml:space="preserve">manufacturers are allowed to </w:t>
      </w:r>
      <w:r>
        <w:rPr>
          <w:lang w:eastAsia="zh-CN"/>
        </w:rPr>
        <w:t>use ancient</w:t>
      </w:r>
      <w:r w:rsidR="00D577FF">
        <w:rPr>
          <w:lang w:eastAsia="zh-CN"/>
        </w:rPr>
        <w:t xml:space="preserve"> standards and draft standards.</w:t>
      </w:r>
    </w:p>
    <w:p w14:paraId="32FD28F3" w14:textId="77777777" w:rsidR="00B14917" w:rsidRDefault="00B14917" w:rsidP="00B14917">
      <w:pPr>
        <w:rPr>
          <w:lang w:eastAsia="zh-CN"/>
        </w:rPr>
      </w:pPr>
      <w:r>
        <w:rPr>
          <w:lang w:eastAsia="zh-CN"/>
        </w:rPr>
        <w:t xml:space="preserve">It </w:t>
      </w:r>
      <w:r w:rsidR="007B17C9">
        <w:rPr>
          <w:lang w:eastAsia="zh-CN"/>
        </w:rPr>
        <w:t xml:space="preserve">was </w:t>
      </w:r>
      <w:r>
        <w:rPr>
          <w:lang w:eastAsia="zh-CN"/>
        </w:rPr>
        <w:t>noted that, in practice, there are no effective legal tool</w:t>
      </w:r>
      <w:r w:rsidR="007B17C9">
        <w:rPr>
          <w:lang w:eastAsia="zh-CN"/>
        </w:rPr>
        <w:t>s</w:t>
      </w:r>
      <w:r>
        <w:rPr>
          <w:lang w:eastAsia="zh-CN"/>
        </w:rPr>
        <w:t xml:space="preserve"> to remove non-com</w:t>
      </w:r>
      <w:r w:rsidR="007B17C9">
        <w:rPr>
          <w:lang w:eastAsia="zh-CN"/>
        </w:rPr>
        <w:t xml:space="preserve">pliant equipment from the </w:t>
      </w:r>
      <w:r w:rsidR="00F714A7">
        <w:rPr>
          <w:lang w:eastAsia="zh-CN"/>
        </w:rPr>
        <w:t xml:space="preserve">EU </w:t>
      </w:r>
      <w:r w:rsidR="007B17C9">
        <w:rPr>
          <w:lang w:eastAsia="zh-CN"/>
        </w:rPr>
        <w:t xml:space="preserve">market. A major defect </w:t>
      </w:r>
      <w:r w:rsidR="00F714A7">
        <w:rPr>
          <w:lang w:eastAsia="zh-CN"/>
        </w:rPr>
        <w:t xml:space="preserve">in the present regime </w:t>
      </w:r>
      <w:r w:rsidR="007B17C9">
        <w:rPr>
          <w:lang w:eastAsia="zh-CN"/>
        </w:rPr>
        <w:t xml:space="preserve">is that if manufacturers </w:t>
      </w:r>
      <w:r>
        <w:rPr>
          <w:lang w:eastAsia="zh-CN"/>
        </w:rPr>
        <w:t xml:space="preserve">do not claim to meet the requirements for a harmonized standard then </w:t>
      </w:r>
      <w:r w:rsidR="007B17C9">
        <w:rPr>
          <w:lang w:eastAsia="zh-CN"/>
        </w:rPr>
        <w:t xml:space="preserve">they </w:t>
      </w:r>
      <w:r>
        <w:rPr>
          <w:lang w:eastAsia="zh-CN"/>
        </w:rPr>
        <w:t xml:space="preserve">cannot be accused of violating the standard. </w:t>
      </w:r>
      <w:r w:rsidR="007B17C9">
        <w:rPr>
          <w:lang w:eastAsia="zh-CN"/>
        </w:rPr>
        <w:t xml:space="preserve">However, even in the case where a manufacturer claims in a CE marking declaration </w:t>
      </w:r>
      <w:r w:rsidR="00F714A7">
        <w:rPr>
          <w:lang w:eastAsia="zh-CN"/>
        </w:rPr>
        <w:t xml:space="preserve">to </w:t>
      </w:r>
      <w:r w:rsidR="007B17C9">
        <w:rPr>
          <w:lang w:eastAsia="zh-CN"/>
        </w:rPr>
        <w:t xml:space="preserve">meet </w:t>
      </w:r>
      <w:r w:rsidR="00F714A7">
        <w:rPr>
          <w:lang w:eastAsia="zh-CN"/>
        </w:rPr>
        <w:t xml:space="preserve">the </w:t>
      </w:r>
      <w:r w:rsidR="007B17C9">
        <w:rPr>
          <w:lang w:eastAsia="zh-CN"/>
        </w:rPr>
        <w:t>essential requirements</w:t>
      </w:r>
      <w:r w:rsidR="006753DB">
        <w:rPr>
          <w:lang w:eastAsia="zh-CN"/>
        </w:rPr>
        <w:t xml:space="preserve"> </w:t>
      </w:r>
      <w:r w:rsidR="00F714A7">
        <w:rPr>
          <w:lang w:eastAsia="zh-CN"/>
        </w:rPr>
        <w:t xml:space="preserve">of an EMC standard, but does not, </w:t>
      </w:r>
      <w:r w:rsidR="006753DB">
        <w:rPr>
          <w:lang w:eastAsia="zh-CN"/>
        </w:rPr>
        <w:t>the course of action in dealing with the violation i</w:t>
      </w:r>
      <w:r w:rsidR="00F714A7">
        <w:rPr>
          <w:lang w:eastAsia="zh-CN"/>
        </w:rPr>
        <w:t>s</w:t>
      </w:r>
      <w:r w:rsidR="006753DB">
        <w:rPr>
          <w:lang w:eastAsia="zh-CN"/>
        </w:rPr>
        <w:t xml:space="preserve"> far from clear. It may be that the determination of violation is a matter </w:t>
      </w:r>
      <w:r w:rsidR="006C0061">
        <w:rPr>
          <w:lang w:eastAsia="zh-CN"/>
        </w:rPr>
        <w:t xml:space="preserve">only </w:t>
      </w:r>
      <w:r w:rsidR="006753DB">
        <w:rPr>
          <w:lang w:eastAsia="zh-CN"/>
        </w:rPr>
        <w:t>for courts to decide</w:t>
      </w:r>
      <w:r w:rsidR="00F714A7">
        <w:rPr>
          <w:lang w:eastAsia="zh-CN"/>
        </w:rPr>
        <w:t>,</w:t>
      </w:r>
      <w:r w:rsidR="006753DB">
        <w:rPr>
          <w:lang w:eastAsia="zh-CN"/>
        </w:rPr>
        <w:t xml:space="preserve"> rather </w:t>
      </w:r>
      <w:r w:rsidR="00F714A7">
        <w:rPr>
          <w:lang w:eastAsia="zh-CN"/>
        </w:rPr>
        <w:t xml:space="preserve">than being a matter where national authorities are </w:t>
      </w:r>
      <w:r w:rsidR="006753DB">
        <w:rPr>
          <w:lang w:eastAsia="zh-CN"/>
        </w:rPr>
        <w:t>able to take immediate direct action</w:t>
      </w:r>
      <w:r w:rsidR="007B17C9">
        <w:rPr>
          <w:lang w:eastAsia="zh-CN"/>
        </w:rPr>
        <w:t>.</w:t>
      </w:r>
    </w:p>
    <w:p w14:paraId="3518CF30" w14:textId="77777777" w:rsidR="00D92015" w:rsidRDefault="006753DB" w:rsidP="00D92015">
      <w:pPr>
        <w:rPr>
          <w:lang w:eastAsia="zh-CN"/>
        </w:rPr>
      </w:pPr>
      <w:r>
        <w:rPr>
          <w:lang w:eastAsia="zh-CN"/>
        </w:rPr>
        <w:t xml:space="preserve">There was some discussion on how to bring the concerns on poor and ineffective market surveillance to the attention of EU </w:t>
      </w:r>
      <w:r w:rsidR="00B14917">
        <w:rPr>
          <w:lang w:eastAsia="zh-CN"/>
        </w:rPr>
        <w:t xml:space="preserve">Commission </w:t>
      </w:r>
      <w:r>
        <w:rPr>
          <w:lang w:eastAsia="zh-CN"/>
        </w:rPr>
        <w:t>and industry in general</w:t>
      </w:r>
      <w:r w:rsidR="00D92015">
        <w:rPr>
          <w:lang w:eastAsia="zh-CN"/>
        </w:rPr>
        <w:t>, aspects of which ha</w:t>
      </w:r>
      <w:r w:rsidR="00F714A7">
        <w:rPr>
          <w:lang w:eastAsia="zh-CN"/>
        </w:rPr>
        <w:t xml:space="preserve">ve become increasingly evident over the last </w:t>
      </w:r>
      <w:r w:rsidR="00D92015">
        <w:rPr>
          <w:lang w:eastAsia="zh-CN"/>
        </w:rPr>
        <w:t>10 years</w:t>
      </w:r>
      <w:r>
        <w:rPr>
          <w:lang w:eastAsia="zh-CN"/>
        </w:rPr>
        <w:t xml:space="preserve">. There were views in favour of taking some </w:t>
      </w:r>
      <w:r>
        <w:rPr>
          <w:lang w:eastAsia="zh-CN"/>
        </w:rPr>
        <w:lastRenderedPageBreak/>
        <w:t>urgent action in order to highlight the problem</w:t>
      </w:r>
      <w:r w:rsidR="000D1465">
        <w:rPr>
          <w:lang w:eastAsia="zh-CN"/>
        </w:rPr>
        <w:t>,</w:t>
      </w:r>
      <w:r>
        <w:rPr>
          <w:lang w:eastAsia="zh-CN"/>
        </w:rPr>
        <w:t xml:space="preserve"> through some sort of campaign</w:t>
      </w:r>
      <w:r w:rsidR="000D1465">
        <w:rPr>
          <w:lang w:eastAsia="zh-CN"/>
        </w:rPr>
        <w:t>,</w:t>
      </w:r>
      <w:r>
        <w:rPr>
          <w:lang w:eastAsia="zh-CN"/>
        </w:rPr>
        <w:t xml:space="preserve"> so as to ensure that the whole industry is not discredited. However, it was concluded that the scope </w:t>
      </w:r>
      <w:r w:rsidR="000D1465">
        <w:rPr>
          <w:lang w:eastAsia="zh-CN"/>
        </w:rPr>
        <w:t>f</w:t>
      </w:r>
      <w:r>
        <w:rPr>
          <w:lang w:eastAsia="zh-CN"/>
        </w:rPr>
        <w:t xml:space="preserve">or action by CENELEC alone </w:t>
      </w:r>
      <w:r w:rsidR="000D1465">
        <w:rPr>
          <w:lang w:eastAsia="zh-CN"/>
        </w:rPr>
        <w:t>is</w:t>
      </w:r>
      <w:r>
        <w:rPr>
          <w:lang w:eastAsia="zh-CN"/>
        </w:rPr>
        <w:t xml:space="preserve"> rather limited; the aim should be to encourage industry to make use of standards, not to penalize them</w:t>
      </w:r>
      <w:r w:rsidR="00D92015">
        <w:rPr>
          <w:lang w:eastAsia="zh-CN"/>
        </w:rPr>
        <w:t>. It was concluded that the main task of CENELEC is to make good standards, even if they are not used; it was acknowledged to be difficult to help the situation where EU enforcement and market surveillance is not effective.</w:t>
      </w:r>
    </w:p>
    <w:p w14:paraId="13D14745" w14:textId="77777777" w:rsidR="00D92015" w:rsidRPr="00885B4A" w:rsidRDefault="00D92015" w:rsidP="00D92015">
      <w:pPr>
        <w:pStyle w:val="Heading1"/>
      </w:pPr>
      <w:r>
        <w:t>5</w:t>
      </w:r>
      <w:r w:rsidRPr="00885B4A">
        <w:tab/>
      </w:r>
      <w:r>
        <w:t>Conclusions and r</w:t>
      </w:r>
      <w:r w:rsidRPr="00885B4A">
        <w:t>ecommended actions</w:t>
      </w:r>
    </w:p>
    <w:p w14:paraId="5EA7EBF2" w14:textId="77777777" w:rsidR="00177DA9" w:rsidRDefault="00D92015" w:rsidP="00D92015">
      <w:r w:rsidRPr="00885B4A">
        <w:t xml:space="preserve">This Report has concentrated </w:t>
      </w:r>
      <w:r>
        <w:t xml:space="preserve">on </w:t>
      </w:r>
      <w:r w:rsidR="00670488">
        <w:t xml:space="preserve">recent activities in </w:t>
      </w:r>
      <w:r w:rsidR="00B619EB">
        <w:t>CENELEC and</w:t>
      </w:r>
      <w:r w:rsidR="00670488">
        <w:t xml:space="preserve"> has shown that the improved arrangements for engagement with CENELEC that were initiated by </w:t>
      </w:r>
      <w:r w:rsidR="006C0061">
        <w:t xml:space="preserve">the </w:t>
      </w:r>
      <w:r w:rsidR="00670488">
        <w:t>concerns raised in</w:t>
      </w:r>
      <w:r w:rsidR="00177DA9">
        <w:t xml:space="preserve"> </w:t>
      </w:r>
      <w:r w:rsidR="00670488">
        <w:t>S</w:t>
      </w:r>
      <w:r w:rsidR="00177DA9">
        <w:t>t</w:t>
      </w:r>
      <w:r w:rsidR="00670488">
        <w:t xml:space="preserve">udy Group 6 </w:t>
      </w:r>
      <w:r w:rsidR="000D1465">
        <w:t xml:space="preserve">a year ago </w:t>
      </w:r>
      <w:r w:rsidR="00670488">
        <w:t xml:space="preserve">are paying dividends. </w:t>
      </w:r>
    </w:p>
    <w:p w14:paraId="6B13807F" w14:textId="77777777" w:rsidR="00177DA9" w:rsidRDefault="00670488" w:rsidP="00D92015">
      <w:r>
        <w:t xml:space="preserve">Although there are </w:t>
      </w:r>
      <w:r w:rsidR="00177DA9">
        <w:t xml:space="preserve">continuing </w:t>
      </w:r>
      <w:r>
        <w:t xml:space="preserve">concerns on the PLT work in CENELEC and the </w:t>
      </w:r>
      <w:r w:rsidR="00177DA9">
        <w:t xml:space="preserve">potential for increased interference with MIMO operation, there is </w:t>
      </w:r>
      <w:r w:rsidR="000D1465">
        <w:t xml:space="preserve">a growing </w:t>
      </w:r>
      <w:r w:rsidR="00177DA9">
        <w:t xml:space="preserve">recognition now of areas of common interest in minimising the amount of RF noise being injected into the environment through conducted and radiated emissions from a wide range of electronic and electrical equipment. </w:t>
      </w:r>
    </w:p>
    <w:p w14:paraId="66358351" w14:textId="77777777" w:rsidR="00177DA9" w:rsidRDefault="00177DA9" w:rsidP="00D92015">
      <w:r>
        <w:t xml:space="preserve">Such concerns have </w:t>
      </w:r>
      <w:r w:rsidR="000D1465">
        <w:t xml:space="preserve">already </w:t>
      </w:r>
      <w:r>
        <w:t>been expressed in both Study Groups 1 and 6</w:t>
      </w:r>
      <w:r w:rsidR="000D1465">
        <w:t>, albeit in rather abstract terms</w:t>
      </w:r>
      <w:r>
        <w:t>. The CLC/SC205A Study Report</w:t>
      </w:r>
      <w:r w:rsidR="000D1465">
        <w:t xml:space="preserve"> on increasing EMI in th</w:t>
      </w:r>
      <w:r w:rsidR="00603A7B">
        <w:t>e range 2-</w:t>
      </w:r>
      <w:r w:rsidR="000D1465">
        <w:t xml:space="preserve">150 kHz </w:t>
      </w:r>
      <w:r>
        <w:t>shows just how pervasive and disruptive EMI f</w:t>
      </w:r>
      <w:r w:rsidR="000D1465">
        <w:t>ro</w:t>
      </w:r>
      <w:r>
        <w:t xml:space="preserve">m excessive RF noise can be. </w:t>
      </w:r>
    </w:p>
    <w:p w14:paraId="2DFBABF2" w14:textId="77777777" w:rsidR="00AE5C89" w:rsidRDefault="00177DA9" w:rsidP="00D92015">
      <w:r>
        <w:t xml:space="preserve">The main concern of Study Group 6 is the impact on the reception of broadcast transmissions. However, ITU as a whole needs to be concerned about the wide range of malfunctions and disruption that can occur to all types of telecommunication </w:t>
      </w:r>
      <w:r w:rsidR="000D1465">
        <w:t xml:space="preserve">and radiocommunication </w:t>
      </w:r>
      <w:r w:rsidR="00AE5C89">
        <w:t xml:space="preserve">equipment </w:t>
      </w:r>
      <w:r w:rsidR="000D1465">
        <w:t xml:space="preserve">as a result of increasing EMI </w:t>
      </w:r>
      <w:r w:rsidR="00AE5C89">
        <w:t xml:space="preserve">from a wide range of electronic and electrical equipment. Awareness also </w:t>
      </w:r>
      <w:r w:rsidR="00B619EB">
        <w:t>needs to</w:t>
      </w:r>
      <w:r w:rsidR="00AE5C89">
        <w:t xml:space="preserve"> be raised outside ITU on the implications of allowing excessive RF noise to permeate the environment. In a world where the main means of ensuring freedom from EMI is the development of effective and appropriate standards, effective legislative regimes and market surveillance are also essential. </w:t>
      </w:r>
    </w:p>
    <w:p w14:paraId="2B001D82" w14:textId="77777777" w:rsidR="00AE5C89" w:rsidRDefault="00BF2A30" w:rsidP="00D92015">
      <w:r>
        <w:t xml:space="preserve">In ITU-R, there is a growing reliance on the expectation that equipment will operate in accordance with effective standards when developing solutions for ensuring </w:t>
      </w:r>
      <w:r w:rsidR="00AE5C89">
        <w:t xml:space="preserve">co-existence between various systems and applications. If the standards, manufacturing quality and market access arrangements </w:t>
      </w:r>
      <w:r w:rsidR="000844D4">
        <w:t xml:space="preserve">for electronic and electrical equipment </w:t>
      </w:r>
      <w:r w:rsidR="00AE5C89">
        <w:t xml:space="preserve">do not meet the required compatibility requirements </w:t>
      </w:r>
      <w:r>
        <w:t xml:space="preserve">in real world use </w:t>
      </w:r>
      <w:r w:rsidR="00AE5C89">
        <w:t xml:space="preserve">then </w:t>
      </w:r>
      <w:r w:rsidR="000844D4">
        <w:t xml:space="preserve">many of the </w:t>
      </w:r>
      <w:r>
        <w:t xml:space="preserve">means of </w:t>
      </w:r>
      <w:r w:rsidR="000844D4">
        <w:t>communication underpinning modern society will become increasingly unreliable.</w:t>
      </w:r>
    </w:p>
    <w:p w14:paraId="3E78DFB7" w14:textId="77777777" w:rsidR="00D92015" w:rsidRPr="00246148" w:rsidRDefault="00D92015" w:rsidP="00D92015">
      <w:r w:rsidRPr="00885B4A">
        <w:t xml:space="preserve">The issues where Working Party 6A, or Study Group 6 as a whole, may wish offer further comments or advice on </w:t>
      </w:r>
      <w:r w:rsidR="000844D4">
        <w:t xml:space="preserve">the pervasive effects of </w:t>
      </w:r>
      <w:r w:rsidR="0022346D">
        <w:t>RF interference</w:t>
      </w:r>
      <w:r w:rsidRPr="00885B4A">
        <w:t>, while respecting the lead role of Working Party 1A in</w:t>
      </w:r>
      <w:r>
        <w:t> </w:t>
      </w:r>
      <w:r w:rsidRPr="00885B4A">
        <w:t xml:space="preserve">ITU-R on </w:t>
      </w:r>
      <w:r>
        <w:t xml:space="preserve">co-existence </w:t>
      </w:r>
      <w:r w:rsidRPr="00885B4A">
        <w:t>issues, are:</w:t>
      </w:r>
    </w:p>
    <w:p w14:paraId="3E2B4101" w14:textId="77777777" w:rsidR="00D92015" w:rsidRDefault="00D92015" w:rsidP="00D92015">
      <w:pPr>
        <w:pStyle w:val="enumlev1"/>
        <w:numPr>
          <w:ilvl w:val="0"/>
          <w:numId w:val="10"/>
        </w:numPr>
        <w:tabs>
          <w:tab w:val="clear" w:pos="1134"/>
          <w:tab w:val="left" w:pos="770"/>
        </w:tabs>
        <w:ind w:left="770" w:hanging="770"/>
      </w:pPr>
      <w:r>
        <w:t>To maintain vigilance in respect of the activities of S</w:t>
      </w:r>
      <w:r w:rsidR="00BF2A30">
        <w:t xml:space="preserve">tandards </w:t>
      </w:r>
      <w:r>
        <w:t>D</w:t>
      </w:r>
      <w:r w:rsidR="00BF2A30">
        <w:t xml:space="preserve">eveloping </w:t>
      </w:r>
      <w:r>
        <w:t>O</w:t>
      </w:r>
      <w:r w:rsidR="00BF2A30">
        <w:t xml:space="preserve">rganizations </w:t>
      </w:r>
      <w:r>
        <w:t>s and industry alliances outside ITU in order to ensure that the efforts of ITU-T and ITU-R to achieve interference free operation of wired telecommunication systems and broadcasting systems are not undermined by conflicting standards developed elsewhere.</w:t>
      </w:r>
    </w:p>
    <w:p w14:paraId="1C698ED2" w14:textId="77777777" w:rsidR="00D92015" w:rsidRDefault="00D92015" w:rsidP="00D92015">
      <w:pPr>
        <w:pStyle w:val="enumlev1"/>
        <w:numPr>
          <w:ilvl w:val="0"/>
          <w:numId w:val="10"/>
        </w:numPr>
        <w:tabs>
          <w:tab w:val="clear" w:pos="1134"/>
          <w:tab w:val="left" w:pos="770"/>
        </w:tabs>
        <w:ind w:left="770" w:hanging="770"/>
        <w:rPr>
          <w:lang w:eastAsia="zh-CN"/>
        </w:rPr>
      </w:pPr>
      <w:r>
        <w:rPr>
          <w:lang w:eastAsia="zh-CN"/>
        </w:rPr>
        <w:t xml:space="preserve">To maintain interest and support studies </w:t>
      </w:r>
      <w:r w:rsidR="00BF2A30">
        <w:rPr>
          <w:lang w:eastAsia="zh-CN"/>
        </w:rPr>
        <w:t xml:space="preserve">on </w:t>
      </w:r>
      <w:r w:rsidR="000844D4">
        <w:rPr>
          <w:lang w:eastAsia="zh-CN"/>
        </w:rPr>
        <w:t xml:space="preserve">the design and performance of electronic and electrical equipment </w:t>
      </w:r>
      <w:r w:rsidR="00BF2A30">
        <w:rPr>
          <w:lang w:eastAsia="zh-CN"/>
        </w:rPr>
        <w:t xml:space="preserve">in respect of minimizing EMI, so as </w:t>
      </w:r>
      <w:r>
        <w:rPr>
          <w:lang w:eastAsia="zh-CN"/>
        </w:rPr>
        <w:t xml:space="preserve">to ensure that extraneous </w:t>
      </w:r>
      <w:r w:rsidR="00BF2A30">
        <w:rPr>
          <w:lang w:eastAsia="zh-CN"/>
        </w:rPr>
        <w:t xml:space="preserve">RF </w:t>
      </w:r>
      <w:r>
        <w:rPr>
          <w:lang w:eastAsia="zh-CN"/>
        </w:rPr>
        <w:t xml:space="preserve">noise in the environment does not degrade the </w:t>
      </w:r>
      <w:r w:rsidR="00BF2A30">
        <w:rPr>
          <w:lang w:eastAsia="zh-CN"/>
        </w:rPr>
        <w:t xml:space="preserve">viability </w:t>
      </w:r>
      <w:r w:rsidR="000844D4">
        <w:rPr>
          <w:lang w:eastAsia="zh-CN"/>
        </w:rPr>
        <w:t xml:space="preserve">of </w:t>
      </w:r>
      <w:r w:rsidR="00BF2A30">
        <w:rPr>
          <w:lang w:eastAsia="zh-CN"/>
        </w:rPr>
        <w:t>broadcasting services</w:t>
      </w:r>
      <w:r w:rsidR="00B619EB">
        <w:rPr>
          <w:lang w:eastAsia="zh-CN"/>
        </w:rPr>
        <w:t>;</w:t>
      </w:r>
    </w:p>
    <w:p w14:paraId="1898BE65" w14:textId="77777777" w:rsidR="00D92015" w:rsidRDefault="00D92015" w:rsidP="00D92015">
      <w:pPr>
        <w:pStyle w:val="enumlev1"/>
        <w:numPr>
          <w:ilvl w:val="0"/>
          <w:numId w:val="10"/>
        </w:numPr>
        <w:tabs>
          <w:tab w:val="clear" w:pos="1134"/>
          <w:tab w:val="left" w:pos="770"/>
        </w:tabs>
        <w:ind w:left="770" w:hanging="770"/>
        <w:rPr>
          <w:lang w:eastAsia="zh-CN"/>
        </w:rPr>
      </w:pPr>
      <w:r>
        <w:rPr>
          <w:lang w:eastAsia="zh-CN"/>
        </w:rPr>
        <w:t xml:space="preserve">To communicate information within ITU, as appropriate, on </w:t>
      </w:r>
      <w:r w:rsidR="0022346D">
        <w:rPr>
          <w:lang w:eastAsia="zh-CN"/>
        </w:rPr>
        <w:t xml:space="preserve">particular </w:t>
      </w:r>
      <w:r>
        <w:rPr>
          <w:lang w:eastAsia="zh-CN"/>
        </w:rPr>
        <w:t>instances of interference caused to broadcasting reception by any equipment or systems subject to product or immunity standards</w:t>
      </w:r>
      <w:r w:rsidR="00BF2A30">
        <w:rPr>
          <w:lang w:eastAsia="zh-CN"/>
        </w:rPr>
        <w:t>.</w:t>
      </w:r>
    </w:p>
    <w:p w14:paraId="36CCF3B2" w14:textId="77777777" w:rsidR="002A03F6" w:rsidRDefault="00D92015" w:rsidP="00603A7B">
      <w:pPr>
        <w:spacing w:before="0"/>
        <w:jc w:val="center"/>
      </w:pPr>
      <w:r w:rsidRPr="00885B4A">
        <w:t>______________</w:t>
      </w:r>
    </w:p>
    <w:sectPr w:rsidR="002A03F6" w:rsidSect="00D02712">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DCA77" w14:textId="77777777" w:rsidR="00BB47E8" w:rsidRDefault="00BB47E8">
      <w:r>
        <w:separator/>
      </w:r>
    </w:p>
  </w:endnote>
  <w:endnote w:type="continuationSeparator" w:id="0">
    <w:p w14:paraId="65B44562" w14:textId="77777777" w:rsidR="00BB47E8" w:rsidRDefault="00BB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728FA" w14:textId="2AA13BAC" w:rsidR="00DF0BC0" w:rsidRPr="002F7CB3" w:rsidRDefault="00317813">
    <w:pPr>
      <w:pStyle w:val="Footer"/>
      <w:rPr>
        <w:lang w:val="en-US"/>
      </w:rPr>
    </w:pPr>
    <w:r>
      <w:fldChar w:fldCharType="begin"/>
    </w:r>
    <w:r>
      <w:instrText xml:space="preserve"> FILENAME \p \* MERGEFORMAT </w:instrText>
    </w:r>
    <w:r>
      <w:fldChar w:fldCharType="separate"/>
    </w:r>
    <w:r w:rsidR="00873B7E" w:rsidRPr="00873B7E">
      <w:rPr>
        <w:lang w:val="en-US"/>
      </w:rPr>
      <w:t>M</w:t>
    </w:r>
    <w:r w:rsidR="00873B7E">
      <w:t>:\BRSGD\TEXT2016\SG06\000\007e.docx</w:t>
    </w:r>
    <w:r>
      <w:fldChar w:fldCharType="end"/>
    </w:r>
    <w:r w:rsidR="00923FAB">
      <w:t xml:space="preserve"> </w:t>
    </w:r>
    <w:r w:rsidR="00DF0BC0" w:rsidRPr="002F7CB3">
      <w:rPr>
        <w:lang w:val="en-US"/>
      </w:rPr>
      <w:tab/>
    </w:r>
    <w:r w:rsidR="00DF0BC0">
      <w:fldChar w:fldCharType="begin"/>
    </w:r>
    <w:r w:rsidR="00DF0BC0">
      <w:instrText xml:space="preserve"> savedate \@ dd.MM.yy </w:instrText>
    </w:r>
    <w:r w:rsidR="00DF0BC0">
      <w:fldChar w:fldCharType="separate"/>
    </w:r>
    <w:r>
      <w:t>20.01.16</w:t>
    </w:r>
    <w:r w:rsidR="00DF0BC0">
      <w:fldChar w:fldCharType="end"/>
    </w:r>
    <w:r w:rsidR="00DF0BC0" w:rsidRPr="002F7CB3">
      <w:rPr>
        <w:lang w:val="en-US"/>
      </w:rPr>
      <w:tab/>
    </w:r>
    <w:r w:rsidR="00DF0BC0">
      <w:fldChar w:fldCharType="begin"/>
    </w:r>
    <w:r w:rsidR="00DF0BC0">
      <w:instrText xml:space="preserve"> printdate \@ dd.MM.yy </w:instrText>
    </w:r>
    <w:r w:rsidR="00DF0BC0">
      <w:fldChar w:fldCharType="separate"/>
    </w:r>
    <w:r w:rsidR="00873B7E">
      <w:t>19.01.16</w:t>
    </w:r>
    <w:r w:rsidR="00DF0BC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0EEDC" w14:textId="7E5632F1" w:rsidR="00DF0BC0" w:rsidRPr="002F7CB3" w:rsidRDefault="00317813" w:rsidP="00E6257C">
    <w:pPr>
      <w:pStyle w:val="Footer"/>
      <w:rPr>
        <w:lang w:val="en-US"/>
      </w:rPr>
    </w:pPr>
    <w:r>
      <w:fldChar w:fldCharType="begin"/>
    </w:r>
    <w:r>
      <w:instrText xml:space="preserve"> FILENAME</w:instrText>
    </w:r>
    <w:r>
      <w:instrText xml:space="preserve"> \p \* MERGEFORMAT </w:instrText>
    </w:r>
    <w:r>
      <w:fldChar w:fldCharType="separate"/>
    </w:r>
    <w:r w:rsidR="00873B7E" w:rsidRPr="00873B7E">
      <w:rPr>
        <w:lang w:val="en-US"/>
      </w:rPr>
      <w:t>M</w:t>
    </w:r>
    <w:r w:rsidR="00873B7E">
      <w:t>:\BRSGD\TEXT2016\SG06\000\007e.docx</w:t>
    </w:r>
    <w:r>
      <w:fldChar w:fldCharType="end"/>
    </w:r>
    <w:r w:rsidR="00923FAB">
      <w:t xml:space="preserve"> </w:t>
    </w:r>
    <w:r w:rsidR="00DF0BC0" w:rsidRPr="002F7CB3">
      <w:rPr>
        <w:lang w:val="en-US"/>
      </w:rPr>
      <w:tab/>
    </w:r>
    <w:r w:rsidR="00DF0BC0">
      <w:fldChar w:fldCharType="begin"/>
    </w:r>
    <w:r w:rsidR="00DF0BC0">
      <w:instrText xml:space="preserve"> savedate \@ dd.MM.yy </w:instrText>
    </w:r>
    <w:r w:rsidR="00DF0BC0">
      <w:fldChar w:fldCharType="separate"/>
    </w:r>
    <w:r>
      <w:t>20.01.16</w:t>
    </w:r>
    <w:r w:rsidR="00DF0BC0">
      <w:fldChar w:fldCharType="end"/>
    </w:r>
    <w:r w:rsidR="00DF0BC0" w:rsidRPr="002F7CB3">
      <w:rPr>
        <w:lang w:val="en-US"/>
      </w:rPr>
      <w:tab/>
    </w:r>
    <w:r w:rsidR="00DF0BC0">
      <w:fldChar w:fldCharType="begin"/>
    </w:r>
    <w:r w:rsidR="00DF0BC0">
      <w:instrText xml:space="preserve"> printdate \@ dd.MM.yy </w:instrText>
    </w:r>
    <w:r w:rsidR="00DF0BC0">
      <w:fldChar w:fldCharType="separate"/>
    </w:r>
    <w:r w:rsidR="00873B7E">
      <w:t>19.01.16</w:t>
    </w:r>
    <w:r w:rsidR="00DF0BC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4649E" w14:textId="77777777" w:rsidR="00BB47E8" w:rsidRDefault="00BB47E8">
      <w:r>
        <w:t>____________________</w:t>
      </w:r>
    </w:p>
  </w:footnote>
  <w:footnote w:type="continuationSeparator" w:id="0">
    <w:p w14:paraId="0817C2EA" w14:textId="77777777" w:rsidR="00BB47E8" w:rsidRDefault="00BB47E8">
      <w:r>
        <w:continuationSeparator/>
      </w:r>
    </w:p>
  </w:footnote>
  <w:footnote w:id="1">
    <w:p w14:paraId="2E284A9C" w14:textId="77777777" w:rsidR="00DF0BC0" w:rsidRPr="007E11AE" w:rsidRDefault="00DF0BC0" w:rsidP="00603A7B">
      <w:pPr>
        <w:pStyle w:val="FootnoteText"/>
      </w:pPr>
      <w:r>
        <w:rPr>
          <w:rStyle w:val="FootnoteReference"/>
        </w:rPr>
        <w:footnoteRef/>
      </w:r>
      <w:r w:rsidRPr="00756B37">
        <w:rPr>
          <w:sz w:val="20"/>
        </w:rPr>
        <w:t xml:space="preserve"> </w:t>
      </w:r>
      <w:r w:rsidRPr="00756B37">
        <w:rPr>
          <w:sz w:val="20"/>
        </w:rPr>
        <w:tab/>
      </w:r>
      <w:r w:rsidRPr="007E11AE">
        <w:t>The term PLT – Power Line Teleco</w:t>
      </w:r>
      <w:r>
        <w:t>mmunications – is used in this R</w:t>
      </w:r>
      <w:r w:rsidRPr="007E11AE">
        <w:t>eport in order to align with previous work in Study Group 6 and its Working Parties. However the term PLC – Powerlin</w:t>
      </w:r>
      <w:r w:rsidR="00603A7B">
        <w:t>e</w:t>
      </w:r>
      <w:r w:rsidRPr="007E11AE">
        <w:t xml:space="preserve"> Communications is also used extensively and interchangeably in ITU-T and ITU-R and in other organizations and fora.</w:t>
      </w:r>
    </w:p>
  </w:footnote>
  <w:footnote w:id="2">
    <w:p w14:paraId="5AC3067B" w14:textId="77777777" w:rsidR="00DF0BC0" w:rsidRDefault="00DF0BC0" w:rsidP="00A6620C">
      <w:pPr>
        <w:pStyle w:val="FootnoteText"/>
      </w:pPr>
      <w:r>
        <w:rPr>
          <w:rStyle w:val="FootnoteReference"/>
        </w:rPr>
        <w:footnoteRef/>
      </w:r>
      <w:r>
        <w:tab/>
        <w:t>The national bodies voting in CENELEC.</w:t>
      </w:r>
    </w:p>
  </w:footnote>
  <w:footnote w:id="3">
    <w:p w14:paraId="06DC854A" w14:textId="77777777" w:rsidR="00DF0BC0" w:rsidRDefault="00DF0BC0" w:rsidP="00B7767F">
      <w:pPr>
        <w:pStyle w:val="FootnoteText"/>
      </w:pPr>
      <w:r>
        <w:rPr>
          <w:rStyle w:val="FootnoteReference"/>
        </w:rPr>
        <w:footnoteRef/>
      </w:r>
      <w:r>
        <w:t xml:space="preserve"> </w:t>
      </w:r>
      <w:r>
        <w:tab/>
      </w:r>
      <w:r w:rsidRPr="00CE7489">
        <w:t xml:space="preserve">The IEC CISPR 22 </w:t>
      </w:r>
      <w:r>
        <w:t xml:space="preserve">(edition 6) </w:t>
      </w:r>
      <w:r w:rsidRPr="00CE7489">
        <w:t>standard</w:t>
      </w:r>
      <w:r>
        <w:t>:</w:t>
      </w:r>
      <w:r w:rsidRPr="00CE7489">
        <w:t xml:space="preserve"> </w:t>
      </w:r>
      <w:r w:rsidRPr="00CE7489">
        <w:rPr>
          <w:i/>
        </w:rPr>
        <w:t>“Information technology equipment – Radio disturbance characteristics – Limits and methods of measurement”</w:t>
      </w:r>
      <w:r>
        <w:rPr>
          <w:i/>
        </w:rPr>
        <w:t>.</w:t>
      </w:r>
    </w:p>
  </w:footnote>
  <w:footnote w:id="4">
    <w:p w14:paraId="54F20AE0" w14:textId="77777777" w:rsidR="00DF0BC0" w:rsidRDefault="00DF0BC0" w:rsidP="00D12416">
      <w:pPr>
        <w:pStyle w:val="FootnoteText"/>
      </w:pPr>
      <w:r>
        <w:rPr>
          <w:rStyle w:val="FootnoteReference"/>
        </w:rPr>
        <w:footnoteRef/>
      </w:r>
      <w:r>
        <w:tab/>
        <w:t>The G.fast system is defined through Recommendations ITU G.</w:t>
      </w:r>
      <w:hyperlink r:id="rId1" w:history="1">
        <w:r w:rsidRPr="009758ED">
          <w:rPr>
            <w:rStyle w:val="Hyperlink"/>
          </w:rPr>
          <w:t>9700</w:t>
        </w:r>
      </w:hyperlink>
      <w:r>
        <w:t xml:space="preserve"> and </w:t>
      </w:r>
      <w:hyperlink r:id="rId2" w:history="1">
        <w:r w:rsidRPr="009758ED">
          <w:rPr>
            <w:rStyle w:val="Hyperlink"/>
          </w:rPr>
          <w:t>9701</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9D852" w14:textId="6E0DC706" w:rsidR="00DF0BC0" w:rsidRDefault="00DF0BC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17813">
      <w:rPr>
        <w:rStyle w:val="PageNumber"/>
        <w:noProof/>
      </w:rPr>
      <w:t>2</w:t>
    </w:r>
    <w:r>
      <w:rPr>
        <w:rStyle w:val="PageNumber"/>
      </w:rPr>
      <w:fldChar w:fldCharType="end"/>
    </w:r>
    <w:r>
      <w:rPr>
        <w:rStyle w:val="PageNumber"/>
      </w:rPr>
      <w:t xml:space="preserve"> -</w:t>
    </w:r>
  </w:p>
  <w:p w14:paraId="752CB720" w14:textId="77777777" w:rsidR="00DF0BC0" w:rsidRDefault="00DF0BC0" w:rsidP="00923FAB">
    <w:pPr>
      <w:pStyle w:val="Header"/>
      <w:rPr>
        <w:lang w:val="en-US"/>
      </w:rPr>
    </w:pPr>
    <w:r>
      <w:rPr>
        <w:lang w:val="en-US"/>
      </w:rPr>
      <w:t>6/</w:t>
    </w:r>
    <w:r w:rsidR="00923FAB">
      <w:rPr>
        <w:lang w:val="en-US"/>
      </w:rPr>
      <w:t>7</w:t>
    </w:r>
    <w:r>
      <w:rPr>
        <w:lang w:val="en-US"/>
      </w:rPr>
      <w:t>-E</w:t>
    </w:r>
    <w:r>
      <w:rPr>
        <w:lang w:val="en-US"/>
      </w:rPr>
      <w:br/>
      <w:t>6A/</w:t>
    </w:r>
    <w:r w:rsidR="00923FAB">
      <w:rPr>
        <w:lang w:val="en-US"/>
      </w:rPr>
      <w:t>23</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28A5"/>
    <w:multiLevelType w:val="hybridMultilevel"/>
    <w:tmpl w:val="1E980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43D14"/>
    <w:multiLevelType w:val="hybridMultilevel"/>
    <w:tmpl w:val="CC264F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D0B03"/>
    <w:multiLevelType w:val="hybridMultilevel"/>
    <w:tmpl w:val="3A8ED9BC"/>
    <w:lvl w:ilvl="0" w:tplc="10084E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11214"/>
    <w:multiLevelType w:val="hybridMultilevel"/>
    <w:tmpl w:val="5EAA065A"/>
    <w:lvl w:ilvl="0" w:tplc="66AA2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A94ACB"/>
    <w:multiLevelType w:val="hybridMultilevel"/>
    <w:tmpl w:val="1C60049E"/>
    <w:lvl w:ilvl="0" w:tplc="10084E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8766F"/>
    <w:multiLevelType w:val="hybridMultilevel"/>
    <w:tmpl w:val="78A83B4C"/>
    <w:lvl w:ilvl="0" w:tplc="E138C9E2">
      <w:start w:val="4"/>
      <w:numFmt w:val="bullet"/>
      <w:lvlText w:val="−"/>
      <w:lvlJc w:val="left"/>
      <w:pPr>
        <w:ind w:left="186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46FC4"/>
    <w:multiLevelType w:val="hybridMultilevel"/>
    <w:tmpl w:val="257A1918"/>
    <w:lvl w:ilvl="0" w:tplc="10084E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493AF9"/>
    <w:multiLevelType w:val="hybridMultilevel"/>
    <w:tmpl w:val="84F8C5B6"/>
    <w:lvl w:ilvl="0" w:tplc="4DC02F98">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471053"/>
    <w:multiLevelType w:val="hybridMultilevel"/>
    <w:tmpl w:val="FA1CAC6A"/>
    <w:lvl w:ilvl="0" w:tplc="10084E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282C6A"/>
    <w:multiLevelType w:val="hybridMultilevel"/>
    <w:tmpl w:val="5CF8F532"/>
    <w:lvl w:ilvl="0" w:tplc="10084E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8"/>
  </w:num>
  <w:num w:numId="5">
    <w:abstractNumId w:val="1"/>
  </w:num>
  <w:num w:numId="6">
    <w:abstractNumId w:val="7"/>
  </w:num>
  <w:num w:numId="7">
    <w:abstractNumId w:val="0"/>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s-ES_tradnl" w:vendorID="64" w:dllVersion="131078" w:nlCheck="1" w:checkStyle="0"/>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8E"/>
    <w:rsid w:val="000069D4"/>
    <w:rsid w:val="00013194"/>
    <w:rsid w:val="000174AD"/>
    <w:rsid w:val="00030F95"/>
    <w:rsid w:val="000844D4"/>
    <w:rsid w:val="000961E2"/>
    <w:rsid w:val="000A7D55"/>
    <w:rsid w:val="000C2E8E"/>
    <w:rsid w:val="000C6B1D"/>
    <w:rsid w:val="000D1465"/>
    <w:rsid w:val="000E0E7C"/>
    <w:rsid w:val="000F1B4B"/>
    <w:rsid w:val="0010225B"/>
    <w:rsid w:val="0012744F"/>
    <w:rsid w:val="00131B50"/>
    <w:rsid w:val="00146B76"/>
    <w:rsid w:val="0015692A"/>
    <w:rsid w:val="00156F66"/>
    <w:rsid w:val="00163271"/>
    <w:rsid w:val="001720C3"/>
    <w:rsid w:val="00177DA9"/>
    <w:rsid w:val="00181F14"/>
    <w:rsid w:val="00182528"/>
    <w:rsid w:val="0018500B"/>
    <w:rsid w:val="00196A19"/>
    <w:rsid w:val="001E48E5"/>
    <w:rsid w:val="00202DC1"/>
    <w:rsid w:val="002116EE"/>
    <w:rsid w:val="0022346D"/>
    <w:rsid w:val="002309D8"/>
    <w:rsid w:val="002A03F6"/>
    <w:rsid w:val="002A54A2"/>
    <w:rsid w:val="002A7FE2"/>
    <w:rsid w:val="002B06A0"/>
    <w:rsid w:val="002D122B"/>
    <w:rsid w:val="002E0FE2"/>
    <w:rsid w:val="002E1B4F"/>
    <w:rsid w:val="002F2E67"/>
    <w:rsid w:val="002F7CB3"/>
    <w:rsid w:val="00300B86"/>
    <w:rsid w:val="00315546"/>
    <w:rsid w:val="00317813"/>
    <w:rsid w:val="00330567"/>
    <w:rsid w:val="00346073"/>
    <w:rsid w:val="003652CC"/>
    <w:rsid w:val="00386A9D"/>
    <w:rsid w:val="00391081"/>
    <w:rsid w:val="003B2789"/>
    <w:rsid w:val="003C1032"/>
    <w:rsid w:val="003C13CE"/>
    <w:rsid w:val="003E2518"/>
    <w:rsid w:val="003E7CEF"/>
    <w:rsid w:val="004129DD"/>
    <w:rsid w:val="00420B7D"/>
    <w:rsid w:val="004228A0"/>
    <w:rsid w:val="00452913"/>
    <w:rsid w:val="00497C36"/>
    <w:rsid w:val="004A1E7F"/>
    <w:rsid w:val="004B1EF7"/>
    <w:rsid w:val="004B3FAD"/>
    <w:rsid w:val="004C6FA2"/>
    <w:rsid w:val="004F18C5"/>
    <w:rsid w:val="00501DCA"/>
    <w:rsid w:val="00513A47"/>
    <w:rsid w:val="0051797B"/>
    <w:rsid w:val="0053694C"/>
    <w:rsid w:val="005408DF"/>
    <w:rsid w:val="00550974"/>
    <w:rsid w:val="00566063"/>
    <w:rsid w:val="00573344"/>
    <w:rsid w:val="00583F9B"/>
    <w:rsid w:val="005E2C09"/>
    <w:rsid w:val="005E5C10"/>
    <w:rsid w:val="005F2C78"/>
    <w:rsid w:val="00603A7B"/>
    <w:rsid w:val="00606BEA"/>
    <w:rsid w:val="006144E4"/>
    <w:rsid w:val="00615182"/>
    <w:rsid w:val="00650299"/>
    <w:rsid w:val="00655FC5"/>
    <w:rsid w:val="00664C2B"/>
    <w:rsid w:val="00670488"/>
    <w:rsid w:val="00673C33"/>
    <w:rsid w:val="006753DB"/>
    <w:rsid w:val="006B534E"/>
    <w:rsid w:val="006C0061"/>
    <w:rsid w:val="006C5E3B"/>
    <w:rsid w:val="006E03AD"/>
    <w:rsid w:val="006F274D"/>
    <w:rsid w:val="0073017E"/>
    <w:rsid w:val="00735D8A"/>
    <w:rsid w:val="00740297"/>
    <w:rsid w:val="00743E06"/>
    <w:rsid w:val="00784685"/>
    <w:rsid w:val="00795CED"/>
    <w:rsid w:val="007B17C9"/>
    <w:rsid w:val="007E3300"/>
    <w:rsid w:val="00814E0A"/>
    <w:rsid w:val="00822581"/>
    <w:rsid w:val="008236FA"/>
    <w:rsid w:val="008309DD"/>
    <w:rsid w:val="0083227A"/>
    <w:rsid w:val="00834ABB"/>
    <w:rsid w:val="0084378E"/>
    <w:rsid w:val="00866900"/>
    <w:rsid w:val="00866D07"/>
    <w:rsid w:val="00873B7E"/>
    <w:rsid w:val="00881BA1"/>
    <w:rsid w:val="008C26B8"/>
    <w:rsid w:val="008C6B8F"/>
    <w:rsid w:val="008D2CD7"/>
    <w:rsid w:val="008F208F"/>
    <w:rsid w:val="00911971"/>
    <w:rsid w:val="00912419"/>
    <w:rsid w:val="00923FAB"/>
    <w:rsid w:val="00926DED"/>
    <w:rsid w:val="009666C0"/>
    <w:rsid w:val="00982084"/>
    <w:rsid w:val="0098481E"/>
    <w:rsid w:val="00995963"/>
    <w:rsid w:val="009B61EB"/>
    <w:rsid w:val="009C2064"/>
    <w:rsid w:val="009D1697"/>
    <w:rsid w:val="009E0409"/>
    <w:rsid w:val="009F3A46"/>
    <w:rsid w:val="00A014F8"/>
    <w:rsid w:val="00A37734"/>
    <w:rsid w:val="00A40F6B"/>
    <w:rsid w:val="00A5173C"/>
    <w:rsid w:val="00A54B91"/>
    <w:rsid w:val="00A61AEF"/>
    <w:rsid w:val="00A6620C"/>
    <w:rsid w:val="00AB4D71"/>
    <w:rsid w:val="00AB75C6"/>
    <w:rsid w:val="00AD2345"/>
    <w:rsid w:val="00AE5C89"/>
    <w:rsid w:val="00AF173A"/>
    <w:rsid w:val="00B066A4"/>
    <w:rsid w:val="00B07A13"/>
    <w:rsid w:val="00B14917"/>
    <w:rsid w:val="00B4279B"/>
    <w:rsid w:val="00B45FC9"/>
    <w:rsid w:val="00B564D7"/>
    <w:rsid w:val="00B619EB"/>
    <w:rsid w:val="00B727D9"/>
    <w:rsid w:val="00B7767F"/>
    <w:rsid w:val="00B81138"/>
    <w:rsid w:val="00B938B8"/>
    <w:rsid w:val="00BB47E8"/>
    <w:rsid w:val="00BC31E0"/>
    <w:rsid w:val="00BC5105"/>
    <w:rsid w:val="00BC5E26"/>
    <w:rsid w:val="00BC7CCF"/>
    <w:rsid w:val="00BD3682"/>
    <w:rsid w:val="00BE470B"/>
    <w:rsid w:val="00BF2A30"/>
    <w:rsid w:val="00BF33D8"/>
    <w:rsid w:val="00C11DB6"/>
    <w:rsid w:val="00C12529"/>
    <w:rsid w:val="00C12B77"/>
    <w:rsid w:val="00C2216C"/>
    <w:rsid w:val="00C363E8"/>
    <w:rsid w:val="00C57A91"/>
    <w:rsid w:val="00C61494"/>
    <w:rsid w:val="00C722A5"/>
    <w:rsid w:val="00CC01C2"/>
    <w:rsid w:val="00CC27BD"/>
    <w:rsid w:val="00CC2E1B"/>
    <w:rsid w:val="00CC45B1"/>
    <w:rsid w:val="00CE246D"/>
    <w:rsid w:val="00CF07B9"/>
    <w:rsid w:val="00CF21F2"/>
    <w:rsid w:val="00D02712"/>
    <w:rsid w:val="00D12416"/>
    <w:rsid w:val="00D170A5"/>
    <w:rsid w:val="00D214D0"/>
    <w:rsid w:val="00D32FF6"/>
    <w:rsid w:val="00D40F85"/>
    <w:rsid w:val="00D50862"/>
    <w:rsid w:val="00D577FF"/>
    <w:rsid w:val="00D6546B"/>
    <w:rsid w:val="00D92015"/>
    <w:rsid w:val="00D97C83"/>
    <w:rsid w:val="00DB0BB6"/>
    <w:rsid w:val="00DC17D3"/>
    <w:rsid w:val="00DD4BED"/>
    <w:rsid w:val="00DE39F0"/>
    <w:rsid w:val="00DF0AF3"/>
    <w:rsid w:val="00DF0BC0"/>
    <w:rsid w:val="00DF7E9F"/>
    <w:rsid w:val="00E0376F"/>
    <w:rsid w:val="00E03B28"/>
    <w:rsid w:val="00E20E0D"/>
    <w:rsid w:val="00E27D7E"/>
    <w:rsid w:val="00E31EB7"/>
    <w:rsid w:val="00E42E13"/>
    <w:rsid w:val="00E56D5C"/>
    <w:rsid w:val="00E6257C"/>
    <w:rsid w:val="00E63C59"/>
    <w:rsid w:val="00EB5786"/>
    <w:rsid w:val="00ED7A27"/>
    <w:rsid w:val="00F03C3F"/>
    <w:rsid w:val="00F430AC"/>
    <w:rsid w:val="00F557D7"/>
    <w:rsid w:val="00F60306"/>
    <w:rsid w:val="00F714A7"/>
    <w:rsid w:val="00FA124A"/>
    <w:rsid w:val="00FC08DD"/>
    <w:rsid w:val="00FC2316"/>
    <w:rsid w:val="00FC2CFD"/>
    <w:rsid w:val="00FF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86B7CA"/>
  <w15:docId w15:val="{C079F61F-478D-4B6E-9A34-F5128565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locked/>
    <w:rsid w:val="00A6620C"/>
    <w:rPr>
      <w:rFonts w:ascii="Times New Roman" w:hAnsi="Times New Roman"/>
      <w:b/>
      <w:sz w:val="28"/>
      <w:lang w:val="en-GB" w:eastAsia="en-US"/>
    </w:rPr>
  </w:style>
  <w:style w:type="paragraph" w:styleId="ListParagraph">
    <w:name w:val="List Paragraph"/>
    <w:basedOn w:val="Normal"/>
    <w:uiPriority w:val="34"/>
    <w:qFormat/>
    <w:rsid w:val="00A6620C"/>
    <w:pPr>
      <w:ind w:left="720"/>
      <w:contextualSpacing/>
    </w:pPr>
  </w:style>
  <w:style w:type="character" w:customStyle="1" w:styleId="enumlev1Char">
    <w:name w:val="enumlev1 Char"/>
    <w:basedOn w:val="DefaultParagraphFont"/>
    <w:link w:val="enumlev1"/>
    <w:uiPriority w:val="99"/>
    <w:locked/>
    <w:rsid w:val="00A6620C"/>
    <w:rPr>
      <w:rFonts w:ascii="Times New Roman" w:hAnsi="Times New Roman"/>
      <w:sz w:val="24"/>
      <w:lang w:val="en-GB" w:eastAsia="en-US"/>
    </w:rPr>
  </w:style>
  <w:style w:type="character" w:styleId="Hyperlink">
    <w:name w:val="Hyperlink"/>
    <w:basedOn w:val="DefaultParagraphFont"/>
    <w:uiPriority w:val="99"/>
    <w:rsid w:val="00A6620C"/>
    <w:rPr>
      <w:rFonts w:cs="Times New Roman"/>
      <w:color w:val="0000FF"/>
      <w:u w:val="single"/>
    </w:rPr>
  </w:style>
  <w:style w:type="character" w:customStyle="1" w:styleId="Heading2Char">
    <w:name w:val="Heading 2 Char"/>
    <w:basedOn w:val="DefaultParagraphFont"/>
    <w:link w:val="Heading2"/>
    <w:uiPriority w:val="99"/>
    <w:rsid w:val="00A6620C"/>
    <w:rPr>
      <w:rFonts w:ascii="Times New Roman" w:hAnsi="Times New Roman"/>
      <w:b/>
      <w:sz w:val="24"/>
      <w:lang w:val="en-GB" w:eastAsia="en-US"/>
    </w:rPr>
  </w:style>
  <w:style w:type="character" w:customStyle="1" w:styleId="normaltextrun">
    <w:name w:val="normaltextrun"/>
    <w:basedOn w:val="DefaultParagraphFont"/>
    <w:rsid w:val="00BC5E26"/>
  </w:style>
  <w:style w:type="character" w:styleId="FollowedHyperlink">
    <w:name w:val="FollowedHyperlink"/>
    <w:basedOn w:val="DefaultParagraphFont"/>
    <w:semiHidden/>
    <w:unhideWhenUsed/>
    <w:rsid w:val="006B534E"/>
    <w:rPr>
      <w:color w:val="800080" w:themeColor="followedHyperlink"/>
      <w:u w:val="single"/>
    </w:rPr>
  </w:style>
  <w:style w:type="table" w:styleId="TableGrid">
    <w:name w:val="Table Grid"/>
    <w:basedOn w:val="TableNormal"/>
    <w:rsid w:val="00365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1E48E5"/>
    <w:pPr>
      <w:widowControl w:val="0"/>
      <w:suppressLineNumbers/>
      <w:tabs>
        <w:tab w:val="clear" w:pos="1134"/>
        <w:tab w:val="clear" w:pos="1871"/>
        <w:tab w:val="clear" w:pos="2268"/>
      </w:tabs>
      <w:suppressAutoHyphens/>
      <w:overflowPunct/>
      <w:autoSpaceDE/>
      <w:autoSpaceDN/>
      <w:adjustRightInd/>
      <w:spacing w:before="0"/>
      <w:textAlignment w:val="auto"/>
    </w:pPr>
    <w:rPr>
      <w:rFonts w:eastAsia="SimSun" w:cs="Mangal"/>
      <w:kern w:val="1"/>
      <w:szCs w:val="24"/>
      <w:lang w:eastAsia="hi-IN" w:bidi="hi-IN"/>
    </w:rPr>
  </w:style>
  <w:style w:type="paragraph" w:customStyle="1" w:styleId="Tabletext0">
    <w:name w:val="Table text"/>
    <w:basedOn w:val="Normal"/>
    <w:rsid w:val="001E48E5"/>
    <w:pPr>
      <w:keepNext/>
      <w:widowControl w:val="0"/>
      <w:tabs>
        <w:tab w:val="clear" w:pos="1134"/>
        <w:tab w:val="clear" w:pos="1871"/>
        <w:tab w:val="clear" w:pos="2268"/>
        <w:tab w:val="left" w:pos="794"/>
        <w:tab w:val="left" w:pos="1191"/>
        <w:tab w:val="left" w:pos="1588"/>
        <w:tab w:val="left" w:pos="1985"/>
      </w:tabs>
      <w:suppressAutoHyphens/>
      <w:overflowPunct/>
      <w:autoSpaceDE/>
      <w:autoSpaceDN/>
      <w:adjustRightInd/>
      <w:spacing w:before="60" w:after="60"/>
      <w:textAlignment w:val="auto"/>
    </w:pPr>
    <w:rPr>
      <w:rFonts w:eastAsia="SimSun" w:cs="Mangal"/>
      <w:kern w:val="1"/>
      <w:sz w:val="22"/>
      <w:szCs w:val="24"/>
      <w:lang w:val="en-US" w:eastAsia="hi-IN" w:bidi="hi-IN"/>
    </w:rPr>
  </w:style>
  <w:style w:type="paragraph" w:styleId="BalloonText">
    <w:name w:val="Balloon Text"/>
    <w:basedOn w:val="Normal"/>
    <w:link w:val="BalloonTextChar"/>
    <w:semiHidden/>
    <w:unhideWhenUsed/>
    <w:rsid w:val="009848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98481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938544">
      <w:bodyDiv w:val="1"/>
      <w:marLeft w:val="0"/>
      <w:marRight w:val="0"/>
      <w:marTop w:val="0"/>
      <w:marBottom w:val="0"/>
      <w:divBdr>
        <w:top w:val="none" w:sz="0" w:space="0" w:color="auto"/>
        <w:left w:val="none" w:sz="0" w:space="0" w:color="auto"/>
        <w:bottom w:val="none" w:sz="0" w:space="0" w:color="auto"/>
        <w:right w:val="none" w:sz="0" w:space="0" w:color="auto"/>
      </w:divBdr>
      <w:divsChild>
        <w:div w:id="1314916421">
          <w:marLeft w:val="0"/>
          <w:marRight w:val="0"/>
          <w:marTop w:val="0"/>
          <w:marBottom w:val="0"/>
          <w:divBdr>
            <w:top w:val="none" w:sz="0" w:space="0" w:color="auto"/>
            <w:left w:val="none" w:sz="0" w:space="0" w:color="auto"/>
            <w:bottom w:val="none" w:sz="0" w:space="0" w:color="auto"/>
            <w:right w:val="none" w:sz="0" w:space="0" w:color="auto"/>
          </w:divBdr>
        </w:div>
        <w:div w:id="1127357837">
          <w:marLeft w:val="0"/>
          <w:marRight w:val="0"/>
          <w:marTop w:val="0"/>
          <w:marBottom w:val="0"/>
          <w:divBdr>
            <w:top w:val="none" w:sz="0" w:space="0" w:color="auto"/>
            <w:left w:val="none" w:sz="0" w:space="0" w:color="auto"/>
            <w:bottom w:val="none" w:sz="0" w:space="0" w:color="auto"/>
            <w:right w:val="none" w:sz="0" w:space="0" w:color="auto"/>
          </w:divBdr>
        </w:div>
        <w:div w:id="977953737">
          <w:marLeft w:val="0"/>
          <w:marRight w:val="0"/>
          <w:marTop w:val="0"/>
          <w:marBottom w:val="0"/>
          <w:divBdr>
            <w:top w:val="none" w:sz="0" w:space="0" w:color="auto"/>
            <w:left w:val="none" w:sz="0" w:space="0" w:color="auto"/>
            <w:bottom w:val="none" w:sz="0" w:space="0" w:color="auto"/>
            <w:right w:val="none" w:sz="0" w:space="0" w:color="auto"/>
          </w:divBdr>
        </w:div>
        <w:div w:id="1099066404">
          <w:marLeft w:val="0"/>
          <w:marRight w:val="0"/>
          <w:marTop w:val="0"/>
          <w:marBottom w:val="0"/>
          <w:divBdr>
            <w:top w:val="none" w:sz="0" w:space="0" w:color="auto"/>
            <w:left w:val="none" w:sz="0" w:space="0" w:color="auto"/>
            <w:bottom w:val="none" w:sz="0" w:space="0" w:color="auto"/>
            <w:right w:val="none" w:sz="0" w:space="0" w:color="auto"/>
          </w:divBdr>
        </w:div>
        <w:div w:id="1373117959">
          <w:marLeft w:val="0"/>
          <w:marRight w:val="0"/>
          <w:marTop w:val="0"/>
          <w:marBottom w:val="0"/>
          <w:divBdr>
            <w:top w:val="none" w:sz="0" w:space="0" w:color="auto"/>
            <w:left w:val="none" w:sz="0" w:space="0" w:color="auto"/>
            <w:bottom w:val="none" w:sz="0" w:space="0" w:color="auto"/>
            <w:right w:val="none" w:sz="0" w:space="0" w:color="auto"/>
          </w:divBdr>
        </w:div>
        <w:div w:id="2090928640">
          <w:marLeft w:val="0"/>
          <w:marRight w:val="0"/>
          <w:marTop w:val="0"/>
          <w:marBottom w:val="0"/>
          <w:divBdr>
            <w:top w:val="none" w:sz="0" w:space="0" w:color="auto"/>
            <w:left w:val="none" w:sz="0" w:space="0" w:color="auto"/>
            <w:bottom w:val="none" w:sz="0" w:space="0" w:color="auto"/>
            <w:right w:val="none" w:sz="0" w:space="0" w:color="auto"/>
          </w:divBdr>
        </w:div>
        <w:div w:id="1021278678">
          <w:marLeft w:val="0"/>
          <w:marRight w:val="0"/>
          <w:marTop w:val="0"/>
          <w:marBottom w:val="0"/>
          <w:divBdr>
            <w:top w:val="none" w:sz="0" w:space="0" w:color="auto"/>
            <w:left w:val="none" w:sz="0" w:space="0" w:color="auto"/>
            <w:bottom w:val="none" w:sz="0" w:space="0" w:color="auto"/>
            <w:right w:val="none" w:sz="0" w:space="0" w:color="auto"/>
          </w:divBdr>
        </w:div>
        <w:div w:id="707993426">
          <w:marLeft w:val="0"/>
          <w:marRight w:val="0"/>
          <w:marTop w:val="0"/>
          <w:marBottom w:val="0"/>
          <w:divBdr>
            <w:top w:val="none" w:sz="0" w:space="0" w:color="auto"/>
            <w:left w:val="none" w:sz="0" w:space="0" w:color="auto"/>
            <w:bottom w:val="none" w:sz="0" w:space="0" w:color="auto"/>
            <w:right w:val="none" w:sz="0" w:space="0" w:color="auto"/>
          </w:divBdr>
        </w:div>
        <w:div w:id="464469444">
          <w:marLeft w:val="0"/>
          <w:marRight w:val="0"/>
          <w:marTop w:val="0"/>
          <w:marBottom w:val="0"/>
          <w:divBdr>
            <w:top w:val="none" w:sz="0" w:space="0" w:color="auto"/>
            <w:left w:val="none" w:sz="0" w:space="0" w:color="auto"/>
            <w:bottom w:val="none" w:sz="0" w:space="0" w:color="auto"/>
            <w:right w:val="none" w:sz="0" w:space="0" w:color="auto"/>
          </w:divBdr>
        </w:div>
      </w:divsChild>
    </w:div>
    <w:div w:id="804198959">
      <w:bodyDiv w:val="1"/>
      <w:marLeft w:val="0"/>
      <w:marRight w:val="0"/>
      <w:marTop w:val="0"/>
      <w:marBottom w:val="0"/>
      <w:divBdr>
        <w:top w:val="none" w:sz="0" w:space="0" w:color="auto"/>
        <w:left w:val="none" w:sz="0" w:space="0" w:color="auto"/>
        <w:bottom w:val="none" w:sz="0" w:space="0" w:color="auto"/>
        <w:right w:val="none" w:sz="0" w:space="0" w:color="auto"/>
      </w:divBdr>
      <w:divsChild>
        <w:div w:id="1888251901">
          <w:marLeft w:val="0"/>
          <w:marRight w:val="0"/>
          <w:marTop w:val="0"/>
          <w:marBottom w:val="0"/>
          <w:divBdr>
            <w:top w:val="none" w:sz="0" w:space="0" w:color="auto"/>
            <w:left w:val="none" w:sz="0" w:space="0" w:color="auto"/>
            <w:bottom w:val="none" w:sz="0" w:space="0" w:color="auto"/>
            <w:right w:val="none" w:sz="0" w:space="0" w:color="auto"/>
          </w:divBdr>
        </w:div>
        <w:div w:id="1402172708">
          <w:marLeft w:val="0"/>
          <w:marRight w:val="0"/>
          <w:marTop w:val="0"/>
          <w:marBottom w:val="0"/>
          <w:divBdr>
            <w:top w:val="none" w:sz="0" w:space="0" w:color="auto"/>
            <w:left w:val="none" w:sz="0" w:space="0" w:color="auto"/>
            <w:bottom w:val="none" w:sz="0" w:space="0" w:color="auto"/>
            <w:right w:val="none" w:sz="0" w:space="0" w:color="auto"/>
          </w:divBdr>
        </w:div>
        <w:div w:id="141431373">
          <w:marLeft w:val="0"/>
          <w:marRight w:val="0"/>
          <w:marTop w:val="0"/>
          <w:marBottom w:val="0"/>
          <w:divBdr>
            <w:top w:val="none" w:sz="0" w:space="0" w:color="auto"/>
            <w:left w:val="none" w:sz="0" w:space="0" w:color="auto"/>
            <w:bottom w:val="none" w:sz="0" w:space="0" w:color="auto"/>
            <w:right w:val="none" w:sz="0" w:space="0" w:color="auto"/>
          </w:divBdr>
        </w:div>
        <w:div w:id="296493186">
          <w:marLeft w:val="0"/>
          <w:marRight w:val="0"/>
          <w:marTop w:val="0"/>
          <w:marBottom w:val="0"/>
          <w:divBdr>
            <w:top w:val="none" w:sz="0" w:space="0" w:color="auto"/>
            <w:left w:val="none" w:sz="0" w:space="0" w:color="auto"/>
            <w:bottom w:val="none" w:sz="0" w:space="0" w:color="auto"/>
            <w:right w:val="none" w:sz="0" w:space="0" w:color="auto"/>
          </w:divBdr>
        </w:div>
        <w:div w:id="948001150">
          <w:marLeft w:val="0"/>
          <w:marRight w:val="0"/>
          <w:marTop w:val="0"/>
          <w:marBottom w:val="0"/>
          <w:divBdr>
            <w:top w:val="none" w:sz="0" w:space="0" w:color="auto"/>
            <w:left w:val="none" w:sz="0" w:space="0" w:color="auto"/>
            <w:bottom w:val="none" w:sz="0" w:space="0" w:color="auto"/>
            <w:right w:val="none" w:sz="0" w:space="0" w:color="auto"/>
          </w:divBdr>
        </w:div>
        <w:div w:id="1295328663">
          <w:marLeft w:val="0"/>
          <w:marRight w:val="0"/>
          <w:marTop w:val="0"/>
          <w:marBottom w:val="0"/>
          <w:divBdr>
            <w:top w:val="none" w:sz="0" w:space="0" w:color="auto"/>
            <w:left w:val="none" w:sz="0" w:space="0" w:color="auto"/>
            <w:bottom w:val="none" w:sz="0" w:space="0" w:color="auto"/>
            <w:right w:val="none" w:sz="0" w:space="0" w:color="auto"/>
          </w:divBdr>
        </w:div>
        <w:div w:id="696589060">
          <w:marLeft w:val="0"/>
          <w:marRight w:val="0"/>
          <w:marTop w:val="0"/>
          <w:marBottom w:val="0"/>
          <w:divBdr>
            <w:top w:val="none" w:sz="0" w:space="0" w:color="auto"/>
            <w:left w:val="none" w:sz="0" w:space="0" w:color="auto"/>
            <w:bottom w:val="none" w:sz="0" w:space="0" w:color="auto"/>
            <w:right w:val="none" w:sz="0" w:space="0" w:color="auto"/>
          </w:divBdr>
        </w:div>
        <w:div w:id="1831092019">
          <w:marLeft w:val="0"/>
          <w:marRight w:val="0"/>
          <w:marTop w:val="0"/>
          <w:marBottom w:val="0"/>
          <w:divBdr>
            <w:top w:val="none" w:sz="0" w:space="0" w:color="auto"/>
            <w:left w:val="none" w:sz="0" w:space="0" w:color="auto"/>
            <w:bottom w:val="none" w:sz="0" w:space="0" w:color="auto"/>
            <w:right w:val="none" w:sz="0" w:space="0" w:color="auto"/>
          </w:divBdr>
        </w:div>
      </w:divsChild>
    </w:div>
    <w:div w:id="1326325707">
      <w:bodyDiv w:val="1"/>
      <w:marLeft w:val="0"/>
      <w:marRight w:val="0"/>
      <w:marTop w:val="0"/>
      <w:marBottom w:val="0"/>
      <w:divBdr>
        <w:top w:val="none" w:sz="0" w:space="0" w:color="auto"/>
        <w:left w:val="none" w:sz="0" w:space="0" w:color="auto"/>
        <w:bottom w:val="none" w:sz="0" w:space="0" w:color="auto"/>
        <w:right w:val="none" w:sz="0" w:space="0" w:color="auto"/>
      </w:divBdr>
      <w:divsChild>
        <w:div w:id="1469739369">
          <w:marLeft w:val="0"/>
          <w:marRight w:val="0"/>
          <w:marTop w:val="0"/>
          <w:marBottom w:val="0"/>
          <w:divBdr>
            <w:top w:val="none" w:sz="0" w:space="0" w:color="auto"/>
            <w:left w:val="none" w:sz="0" w:space="0" w:color="auto"/>
            <w:bottom w:val="none" w:sz="0" w:space="0" w:color="auto"/>
            <w:right w:val="none" w:sz="0" w:space="0" w:color="auto"/>
          </w:divBdr>
        </w:div>
        <w:div w:id="1621961267">
          <w:marLeft w:val="0"/>
          <w:marRight w:val="0"/>
          <w:marTop w:val="0"/>
          <w:marBottom w:val="0"/>
          <w:divBdr>
            <w:top w:val="none" w:sz="0" w:space="0" w:color="auto"/>
            <w:left w:val="none" w:sz="0" w:space="0" w:color="auto"/>
            <w:bottom w:val="none" w:sz="0" w:space="0" w:color="auto"/>
            <w:right w:val="none" w:sz="0" w:space="0" w:color="auto"/>
          </w:divBdr>
        </w:div>
        <w:div w:id="1933732360">
          <w:marLeft w:val="0"/>
          <w:marRight w:val="0"/>
          <w:marTop w:val="0"/>
          <w:marBottom w:val="0"/>
          <w:divBdr>
            <w:top w:val="none" w:sz="0" w:space="0" w:color="auto"/>
            <w:left w:val="none" w:sz="0" w:space="0" w:color="auto"/>
            <w:bottom w:val="none" w:sz="0" w:space="0" w:color="auto"/>
            <w:right w:val="none" w:sz="0" w:space="0" w:color="auto"/>
          </w:divBdr>
        </w:div>
        <w:div w:id="1416626473">
          <w:marLeft w:val="0"/>
          <w:marRight w:val="0"/>
          <w:marTop w:val="0"/>
          <w:marBottom w:val="0"/>
          <w:divBdr>
            <w:top w:val="none" w:sz="0" w:space="0" w:color="auto"/>
            <w:left w:val="none" w:sz="0" w:space="0" w:color="auto"/>
            <w:bottom w:val="none" w:sz="0" w:space="0" w:color="auto"/>
            <w:right w:val="none" w:sz="0" w:space="0" w:color="auto"/>
          </w:divBdr>
        </w:div>
        <w:div w:id="487210693">
          <w:marLeft w:val="0"/>
          <w:marRight w:val="0"/>
          <w:marTop w:val="0"/>
          <w:marBottom w:val="0"/>
          <w:divBdr>
            <w:top w:val="none" w:sz="0" w:space="0" w:color="auto"/>
            <w:left w:val="none" w:sz="0" w:space="0" w:color="auto"/>
            <w:bottom w:val="none" w:sz="0" w:space="0" w:color="auto"/>
            <w:right w:val="none" w:sz="0" w:space="0" w:color="auto"/>
          </w:divBdr>
        </w:div>
        <w:div w:id="628753810">
          <w:marLeft w:val="0"/>
          <w:marRight w:val="0"/>
          <w:marTop w:val="0"/>
          <w:marBottom w:val="0"/>
          <w:divBdr>
            <w:top w:val="none" w:sz="0" w:space="0" w:color="auto"/>
            <w:left w:val="none" w:sz="0" w:space="0" w:color="auto"/>
            <w:bottom w:val="none" w:sz="0" w:space="0" w:color="auto"/>
            <w:right w:val="none" w:sz="0" w:space="0" w:color="auto"/>
          </w:divBdr>
        </w:div>
        <w:div w:id="941105094">
          <w:marLeft w:val="0"/>
          <w:marRight w:val="0"/>
          <w:marTop w:val="0"/>
          <w:marBottom w:val="0"/>
          <w:divBdr>
            <w:top w:val="none" w:sz="0" w:space="0" w:color="auto"/>
            <w:left w:val="none" w:sz="0" w:space="0" w:color="auto"/>
            <w:bottom w:val="none" w:sz="0" w:space="0" w:color="auto"/>
            <w:right w:val="none" w:sz="0" w:space="0" w:color="auto"/>
          </w:divBdr>
        </w:div>
        <w:div w:id="127359740">
          <w:marLeft w:val="0"/>
          <w:marRight w:val="0"/>
          <w:marTop w:val="0"/>
          <w:marBottom w:val="0"/>
          <w:divBdr>
            <w:top w:val="none" w:sz="0" w:space="0" w:color="auto"/>
            <w:left w:val="none" w:sz="0" w:space="0" w:color="auto"/>
            <w:bottom w:val="none" w:sz="0" w:space="0" w:color="auto"/>
            <w:right w:val="none" w:sz="0" w:space="0" w:color="auto"/>
          </w:divBdr>
        </w:div>
        <w:div w:id="129596631">
          <w:marLeft w:val="0"/>
          <w:marRight w:val="0"/>
          <w:marTop w:val="0"/>
          <w:marBottom w:val="0"/>
          <w:divBdr>
            <w:top w:val="none" w:sz="0" w:space="0" w:color="auto"/>
            <w:left w:val="none" w:sz="0" w:space="0" w:color="auto"/>
            <w:bottom w:val="none" w:sz="0" w:space="0" w:color="auto"/>
            <w:right w:val="none" w:sz="0" w:space="0" w:color="auto"/>
          </w:divBdr>
        </w:div>
        <w:div w:id="1752968217">
          <w:marLeft w:val="0"/>
          <w:marRight w:val="0"/>
          <w:marTop w:val="0"/>
          <w:marBottom w:val="0"/>
          <w:divBdr>
            <w:top w:val="none" w:sz="0" w:space="0" w:color="auto"/>
            <w:left w:val="none" w:sz="0" w:space="0" w:color="auto"/>
            <w:bottom w:val="none" w:sz="0" w:space="0" w:color="auto"/>
            <w:right w:val="none" w:sz="0" w:space="0" w:color="auto"/>
          </w:divBdr>
        </w:div>
        <w:div w:id="1346442711">
          <w:marLeft w:val="0"/>
          <w:marRight w:val="0"/>
          <w:marTop w:val="0"/>
          <w:marBottom w:val="0"/>
          <w:divBdr>
            <w:top w:val="none" w:sz="0" w:space="0" w:color="auto"/>
            <w:left w:val="none" w:sz="0" w:space="0" w:color="auto"/>
            <w:bottom w:val="none" w:sz="0" w:space="0" w:color="auto"/>
            <w:right w:val="none" w:sz="0" w:space="0" w:color="auto"/>
          </w:divBdr>
        </w:div>
        <w:div w:id="1677347397">
          <w:marLeft w:val="0"/>
          <w:marRight w:val="0"/>
          <w:marTop w:val="0"/>
          <w:marBottom w:val="0"/>
          <w:divBdr>
            <w:top w:val="none" w:sz="0" w:space="0" w:color="auto"/>
            <w:left w:val="none" w:sz="0" w:space="0" w:color="auto"/>
            <w:bottom w:val="none" w:sz="0" w:space="0" w:color="auto"/>
            <w:right w:val="none" w:sz="0" w:space="0" w:color="auto"/>
          </w:divBdr>
        </w:div>
      </w:divsChild>
    </w:div>
    <w:div w:id="166527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272/en" TargetMode="External"/><Relationship Id="rId13" Type="http://schemas.openxmlformats.org/officeDocument/2006/relationships/hyperlink" Target="http://www.itu.int/md/R12-SG06-C-0397/en" TargetMode="External"/><Relationship Id="rId18" Type="http://schemas.openxmlformats.org/officeDocument/2006/relationships/hyperlink" Target="http://www.itu.int/md/R12-SG06-C-0327/e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itu.int/pub/R-REP-SM.2351-2015" TargetMode="External"/><Relationship Id="rId7" Type="http://schemas.openxmlformats.org/officeDocument/2006/relationships/image" Target="media/image1.png"/><Relationship Id="rId12" Type="http://schemas.openxmlformats.org/officeDocument/2006/relationships/hyperlink" Target="http://www.itu.int/md/R12-SG06-C-0397/en" TargetMode="External"/><Relationship Id="rId17" Type="http://schemas.openxmlformats.org/officeDocument/2006/relationships/hyperlink" Target="http://www.itu.int/md/R12-SG06-C-0397/en" TargetMode="External"/><Relationship Id="rId25" Type="http://schemas.openxmlformats.org/officeDocument/2006/relationships/hyperlink" Target="http://www.itu.int/rec/T-REC-G/recommendation.asp?lang=en&amp;parent=T-REC-G.9904" TargetMode="External"/><Relationship Id="rId2" Type="http://schemas.openxmlformats.org/officeDocument/2006/relationships/styles" Target="styles.xml"/><Relationship Id="rId16" Type="http://schemas.openxmlformats.org/officeDocument/2006/relationships/hyperlink" Target="http://www.itu.int/md/R12-SG06-C-0397/en" TargetMode="External"/><Relationship Id="rId20" Type="http://schemas.openxmlformats.org/officeDocument/2006/relationships/hyperlink" Target="http://www.itu.int/md/R12-SG06-C-0397/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2-SG06-C-0397/en" TargetMode="External"/><Relationship Id="rId24" Type="http://schemas.openxmlformats.org/officeDocument/2006/relationships/hyperlink" Target="http://www.itu.int/rec/T-REC-G/recommendation.asp?lang=en&amp;parent=T-REC-G.9903" TargetMode="External"/><Relationship Id="rId5" Type="http://schemas.openxmlformats.org/officeDocument/2006/relationships/footnotes" Target="footnotes.xml"/><Relationship Id="rId15" Type="http://schemas.openxmlformats.org/officeDocument/2006/relationships/hyperlink" Target="http://www.itu.int/md/R07-WP6A-C-0478/en" TargetMode="External"/><Relationship Id="rId23" Type="http://schemas.openxmlformats.org/officeDocument/2006/relationships/hyperlink" Target="http://www.itu.int/rec/T-REC-G/recommendation.asp?lang=en&amp;parent=T-REC-G.9902" TargetMode="External"/><Relationship Id="rId28" Type="http://schemas.openxmlformats.org/officeDocument/2006/relationships/footer" Target="footer2.xml"/><Relationship Id="rId10" Type="http://schemas.openxmlformats.org/officeDocument/2006/relationships/hyperlink" Target="http://www.itu.int/md/R12-SG06-C-0327/en" TargetMode="External"/><Relationship Id="rId19" Type="http://schemas.openxmlformats.org/officeDocument/2006/relationships/hyperlink" Target="http://www.itu.int/md/R12-WP6A-C-0652/en" TargetMode="External"/><Relationship Id="rId4" Type="http://schemas.openxmlformats.org/officeDocument/2006/relationships/webSettings" Target="webSettings.xml"/><Relationship Id="rId9" Type="http://schemas.openxmlformats.org/officeDocument/2006/relationships/hyperlink" Target="http://www.itu.int/md/R12-SG06-C-0327/en" TargetMode="External"/><Relationship Id="rId14" Type="http://schemas.openxmlformats.org/officeDocument/2006/relationships/hyperlink" Target="http://www.cenelec.eu/dyn/www/f?p=104:110:651683583081801::::FSP_ORG_ID,FSP_PROJECT,FSP_LANG_ID:1258289,46262,25" TargetMode="External"/><Relationship Id="rId22" Type="http://schemas.openxmlformats.org/officeDocument/2006/relationships/hyperlink" Target="http://www.itu.int/rec/T-REC-G/recommendation.asp?lang=en&amp;parent=T-REC-G.9901"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rec/T-REC-G.9701/en" TargetMode="External"/><Relationship Id="rId1" Type="http://schemas.openxmlformats.org/officeDocument/2006/relationships/hyperlink" Target="http://www.itu.int/rec/T-REC-G.970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0</TotalTime>
  <Pages>8</Pages>
  <Words>4085</Words>
  <Characters>23288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MJ Lynch &amp; Associates LLC</cp:lastModifiedBy>
  <cp:revision>2</cp:revision>
  <cp:lastPrinted>2016-01-19T08:18:00Z</cp:lastPrinted>
  <dcterms:created xsi:type="dcterms:W3CDTF">2016-01-20T13:41:00Z</dcterms:created>
  <dcterms:modified xsi:type="dcterms:W3CDTF">2016-01-20T13:41:00Z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