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2E6963" w:rsidTr="008F1130">
        <w:trPr>
          <w:cantSplit/>
        </w:trPr>
        <w:tc>
          <w:tcPr>
            <w:tcW w:w="6628" w:type="dxa"/>
            <w:gridSpan w:val="2"/>
          </w:tcPr>
          <w:p w:rsidR="00CE0DBE" w:rsidRPr="006F3D93" w:rsidRDefault="002E6963" w:rsidP="008F1130">
            <w:pPr>
              <w:rPr>
                <w:sz w:val="32"/>
                <w:szCs w:val="32"/>
              </w:rPr>
            </w:pPr>
            <w:bookmarkStart w:id="0" w:name="_GoBack"/>
            <w:bookmarkEnd w:id="0"/>
            <w:r w:rsidRPr="006F3D93">
              <w:rPr>
                <w:b/>
                <w:bCs/>
                <w:sz w:val="32"/>
                <w:szCs w:val="32"/>
              </w:rPr>
              <w:t>Telecommunication</w:t>
            </w:r>
            <w:r w:rsidR="00F03622">
              <w:rPr>
                <w:b/>
                <w:bCs/>
                <w:sz w:val="32"/>
                <w:szCs w:val="32"/>
              </w:rPr>
              <w:br/>
            </w:r>
            <w:r w:rsidRPr="006F3D93">
              <w:rPr>
                <w:b/>
                <w:bCs/>
                <w:sz w:val="32"/>
                <w:szCs w:val="32"/>
              </w:rPr>
              <w:t xml:space="preserve">Development </w:t>
            </w:r>
            <w:r w:rsidR="00CE0DBE" w:rsidRPr="006F3D93">
              <w:rPr>
                <w:b/>
                <w:bCs/>
                <w:sz w:val="32"/>
                <w:szCs w:val="32"/>
              </w:rPr>
              <w:t>Sector</w:t>
            </w:r>
          </w:p>
          <w:p w:rsidR="002E6963" w:rsidRPr="00844A56" w:rsidRDefault="00163091" w:rsidP="008F1130">
            <w:pPr>
              <w:spacing w:before="40" w:after="40"/>
              <w:rPr>
                <w:rFonts w:ascii="Verdana" w:hAnsi="Verdana"/>
                <w:sz w:val="28"/>
                <w:szCs w:val="28"/>
              </w:rPr>
            </w:pPr>
            <w:r w:rsidRPr="00844A56">
              <w:rPr>
                <w:b/>
                <w:bCs/>
                <w:sz w:val="28"/>
                <w:szCs w:val="28"/>
              </w:rPr>
              <w:t>Study Groups</w:t>
            </w:r>
          </w:p>
        </w:tc>
        <w:tc>
          <w:tcPr>
            <w:tcW w:w="3260" w:type="dxa"/>
          </w:tcPr>
          <w:p w:rsidR="002E6963" w:rsidRPr="008F1130" w:rsidRDefault="00D90B23" w:rsidP="008F1130">
            <w:pPr>
              <w:spacing w:before="0" w:after="80"/>
              <w:jc w:val="right"/>
            </w:pPr>
            <w:r>
              <w:rPr>
                <w:noProof/>
                <w:lang w:eastAsia="en-GB"/>
              </w:rPr>
              <w:drawing>
                <wp:inline distT="0" distB="0" distL="0" distR="0" wp14:anchorId="2F91DFCA" wp14:editId="0A431184">
                  <wp:extent cx="1247775" cy="9353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inline>
              </w:drawing>
            </w:r>
          </w:p>
        </w:tc>
      </w:tr>
      <w:tr w:rsidR="008F1130" w:rsidRPr="00997358" w:rsidTr="008F1130">
        <w:trPr>
          <w:cantSplit/>
          <w:trHeight w:val="170"/>
        </w:trPr>
        <w:tc>
          <w:tcPr>
            <w:tcW w:w="9888" w:type="dxa"/>
            <w:gridSpan w:val="3"/>
            <w:vAlign w:val="center"/>
          </w:tcPr>
          <w:p w:rsidR="008F1130" w:rsidRPr="008F1130" w:rsidRDefault="008F1130" w:rsidP="008F1130">
            <w:pPr>
              <w:spacing w:before="0"/>
              <w:rPr>
                <w:b/>
                <w:bCs/>
                <w:szCs w:val="24"/>
              </w:rPr>
            </w:pPr>
            <w:r w:rsidRPr="008F1130">
              <w:rPr>
                <w:b/>
                <w:bCs/>
                <w:szCs w:val="24"/>
              </w:rPr>
              <w:t>INTERNATIONAL TELECOMMUNICATION UNION</w:t>
            </w:r>
          </w:p>
        </w:tc>
      </w:tr>
      <w:tr w:rsidR="00F23A9F" w:rsidRPr="00997358" w:rsidTr="005B7EC3">
        <w:trPr>
          <w:cantSplit/>
        </w:trPr>
        <w:tc>
          <w:tcPr>
            <w:tcW w:w="9888" w:type="dxa"/>
            <w:gridSpan w:val="3"/>
            <w:vAlign w:val="center"/>
          </w:tcPr>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A703C4" w:rsidRPr="00747393" w:rsidTr="005B7EC3">
              <w:trPr>
                <w:cantSplit/>
              </w:trPr>
              <w:tc>
                <w:tcPr>
                  <w:tcW w:w="9888" w:type="dxa"/>
                  <w:vAlign w:val="center"/>
                </w:tcPr>
                <w:p w:rsidR="00A703C4" w:rsidRPr="00747393" w:rsidRDefault="005B7EC3" w:rsidP="00A703C4">
                  <w:pPr>
                    <w:rPr>
                      <w:b/>
                      <w:bCs/>
                      <w:sz w:val="26"/>
                      <w:szCs w:val="26"/>
                    </w:rPr>
                  </w:pPr>
                  <w:bookmarkStart w:id="1" w:name="Meeting"/>
                  <w:bookmarkEnd w:id="1"/>
                  <w:r>
                    <w:rPr>
                      <w:b/>
                      <w:bCs/>
                      <w:sz w:val="26"/>
                      <w:szCs w:val="26"/>
                    </w:rPr>
                    <w:t>Second</w:t>
                  </w:r>
                  <w:r w:rsidRPr="00C60A41">
                    <w:rPr>
                      <w:b/>
                      <w:bCs/>
                      <w:sz w:val="26"/>
                      <w:szCs w:val="26"/>
                    </w:rPr>
                    <w:t xml:space="preserve"> Meeting of ITU-D Study Group </w:t>
                  </w:r>
                  <w:r>
                    <w:rPr>
                      <w:b/>
                      <w:bCs/>
                      <w:sz w:val="26"/>
                      <w:szCs w:val="26"/>
                    </w:rPr>
                    <w:t>1</w:t>
                  </w:r>
                </w:p>
              </w:tc>
            </w:tr>
            <w:tr w:rsidR="00A703C4" w:rsidRPr="00747393" w:rsidTr="00696ECB">
              <w:trPr>
                <w:cantSplit/>
              </w:trPr>
              <w:tc>
                <w:tcPr>
                  <w:tcW w:w="9888" w:type="dxa"/>
                  <w:tcBorders>
                    <w:bottom w:val="single" w:sz="12" w:space="0" w:color="auto"/>
                  </w:tcBorders>
                  <w:vAlign w:val="center"/>
                </w:tcPr>
                <w:p w:rsidR="00A703C4" w:rsidRPr="00747393" w:rsidRDefault="005B7EC3" w:rsidP="005B7EC3">
                  <w:pPr>
                    <w:spacing w:before="0"/>
                    <w:rPr>
                      <w:b/>
                      <w:bCs/>
                      <w:szCs w:val="24"/>
                    </w:rPr>
                  </w:pPr>
                  <w:r w:rsidRPr="00C60A41">
                    <w:rPr>
                      <w:b/>
                      <w:bCs/>
                      <w:szCs w:val="24"/>
                    </w:rPr>
                    <w:t xml:space="preserve">Geneva, </w:t>
                  </w:r>
                  <w:r>
                    <w:rPr>
                      <w:b/>
                      <w:bCs/>
                      <w:szCs w:val="24"/>
                    </w:rPr>
                    <w:t xml:space="preserve">14 – </w:t>
                  </w:r>
                  <w:r w:rsidRPr="00C60A41">
                    <w:rPr>
                      <w:b/>
                      <w:bCs/>
                      <w:szCs w:val="24"/>
                    </w:rPr>
                    <w:t>1</w:t>
                  </w:r>
                  <w:r>
                    <w:rPr>
                      <w:b/>
                      <w:bCs/>
                      <w:szCs w:val="24"/>
                    </w:rPr>
                    <w:t>8</w:t>
                  </w:r>
                  <w:r w:rsidRPr="00C60A41">
                    <w:rPr>
                      <w:b/>
                      <w:bCs/>
                      <w:szCs w:val="24"/>
                    </w:rPr>
                    <w:t xml:space="preserve"> September 20</w:t>
                  </w:r>
                  <w:r>
                    <w:rPr>
                      <w:b/>
                      <w:bCs/>
                      <w:szCs w:val="24"/>
                    </w:rPr>
                    <w:t>15</w:t>
                  </w:r>
                </w:p>
              </w:tc>
            </w:tr>
          </w:tbl>
          <w:p w:rsidR="00F23A9F" w:rsidRPr="00747393" w:rsidRDefault="00F23A9F" w:rsidP="00F23A9F">
            <w:pPr>
              <w:rPr>
                <w:b/>
                <w:bCs/>
                <w:sz w:val="26"/>
                <w:szCs w:val="26"/>
              </w:rPr>
            </w:pPr>
          </w:p>
        </w:tc>
      </w:tr>
      <w:tr w:rsidR="002E6963" w:rsidRPr="00997358" w:rsidTr="008F1130">
        <w:trPr>
          <w:cantSplit/>
        </w:trPr>
        <w:tc>
          <w:tcPr>
            <w:tcW w:w="6628" w:type="dxa"/>
            <w:gridSpan w:val="2"/>
          </w:tcPr>
          <w:p w:rsidR="002E6963" w:rsidRPr="00997358" w:rsidRDefault="002E6963" w:rsidP="008F1130">
            <w:pPr>
              <w:spacing w:before="0"/>
              <w:rPr>
                <w:rFonts w:cs="Arial"/>
                <w:b/>
                <w:bCs/>
                <w:sz w:val="20"/>
              </w:rPr>
            </w:pPr>
            <w:bookmarkStart w:id="2" w:name="PlaceDate"/>
            <w:bookmarkEnd w:id="2"/>
          </w:p>
        </w:tc>
        <w:tc>
          <w:tcPr>
            <w:tcW w:w="3260" w:type="dxa"/>
          </w:tcPr>
          <w:p w:rsidR="002E6963" w:rsidRPr="00997358" w:rsidRDefault="002E6963" w:rsidP="008F1130">
            <w:pPr>
              <w:spacing w:before="0"/>
              <w:rPr>
                <w:b/>
                <w:bCs/>
                <w:sz w:val="20"/>
              </w:rPr>
            </w:pPr>
          </w:p>
        </w:tc>
      </w:tr>
      <w:tr w:rsidR="005E7047" w:rsidRPr="00002716" w:rsidTr="008F1130">
        <w:trPr>
          <w:cantSplit/>
        </w:trPr>
        <w:tc>
          <w:tcPr>
            <w:tcW w:w="6628" w:type="dxa"/>
            <w:gridSpan w:val="2"/>
            <w:vMerge w:val="restart"/>
          </w:tcPr>
          <w:p w:rsidR="005E7047" w:rsidRPr="002E6963" w:rsidRDefault="005E7047" w:rsidP="008F1130">
            <w:pPr>
              <w:pStyle w:val="Committee"/>
              <w:rPr>
                <w:b w:val="0"/>
              </w:rPr>
            </w:pPr>
          </w:p>
        </w:tc>
        <w:tc>
          <w:tcPr>
            <w:tcW w:w="3260" w:type="dxa"/>
          </w:tcPr>
          <w:p w:rsidR="005E7047" w:rsidRPr="00002716" w:rsidRDefault="00002716" w:rsidP="00E2184F">
            <w:pPr>
              <w:spacing w:before="0"/>
              <w:rPr>
                <w:bCs/>
                <w:lang w:val="en-US"/>
              </w:rPr>
            </w:pPr>
            <w:r w:rsidRPr="00002716">
              <w:rPr>
                <w:b/>
                <w:bCs/>
                <w:lang w:val="en-US"/>
              </w:rPr>
              <w:t xml:space="preserve">Document </w:t>
            </w:r>
            <w:bookmarkStart w:id="3" w:name="DocRef1"/>
            <w:bookmarkEnd w:id="3"/>
            <w:r w:rsidR="009F217F">
              <w:rPr>
                <w:b/>
                <w:bCs/>
                <w:lang w:val="en-US"/>
              </w:rPr>
              <w:fldChar w:fldCharType="begin"/>
            </w:r>
            <w:r w:rsidR="009F217F">
              <w:rPr>
                <w:b/>
                <w:bCs/>
                <w:lang w:val="en-US"/>
              </w:rPr>
              <w:instrText xml:space="preserve"> HYPERLINK "http://www.itu.int/md/D14-SG01-C-0117/" </w:instrText>
            </w:r>
            <w:r w:rsidR="009F217F">
              <w:rPr>
                <w:b/>
                <w:bCs/>
                <w:lang w:val="en-US"/>
              </w:rPr>
              <w:fldChar w:fldCharType="separate"/>
            </w:r>
            <w:r w:rsidR="00F23A9F" w:rsidRPr="009F217F">
              <w:rPr>
                <w:rStyle w:val="Hyperlink"/>
                <w:b/>
                <w:bCs/>
                <w:lang w:val="en-US"/>
              </w:rPr>
              <w:t>1</w:t>
            </w:r>
            <w:r w:rsidR="005C7C98" w:rsidRPr="009F217F">
              <w:rPr>
                <w:rStyle w:val="Hyperlink"/>
                <w:b/>
                <w:bCs/>
                <w:lang w:val="en-US"/>
              </w:rPr>
              <w:t>/</w:t>
            </w:r>
            <w:bookmarkStart w:id="4" w:name="DocNo1"/>
            <w:bookmarkEnd w:id="4"/>
            <w:r w:rsidR="00F23A9F" w:rsidRPr="009F217F">
              <w:rPr>
                <w:rStyle w:val="Hyperlink"/>
                <w:b/>
                <w:bCs/>
                <w:lang w:val="en-US"/>
              </w:rPr>
              <w:t>117-E</w:t>
            </w:r>
            <w:r w:rsidR="009F217F">
              <w:rPr>
                <w:b/>
                <w:bCs/>
                <w:lang w:val="en-US"/>
              </w:rPr>
              <w:fldChar w:fldCharType="end"/>
            </w:r>
          </w:p>
        </w:tc>
      </w:tr>
      <w:tr w:rsidR="005E7047" w:rsidTr="008F1130">
        <w:trPr>
          <w:cantSplit/>
        </w:trPr>
        <w:tc>
          <w:tcPr>
            <w:tcW w:w="6628" w:type="dxa"/>
            <w:gridSpan w:val="2"/>
            <w:vMerge/>
          </w:tcPr>
          <w:p w:rsidR="005E7047" w:rsidRPr="00002716" w:rsidRDefault="005E7047" w:rsidP="008F1130">
            <w:pPr>
              <w:spacing w:after="120"/>
              <w:rPr>
                <w:b/>
                <w:bCs/>
                <w:smallCaps/>
                <w:lang w:val="en-US"/>
              </w:rPr>
            </w:pPr>
          </w:p>
        </w:tc>
        <w:tc>
          <w:tcPr>
            <w:tcW w:w="3260" w:type="dxa"/>
          </w:tcPr>
          <w:p w:rsidR="005E7047" w:rsidRPr="00EC6F80" w:rsidRDefault="00F23A9F" w:rsidP="008F1130">
            <w:pPr>
              <w:spacing w:before="0"/>
              <w:rPr>
                <w:b/>
              </w:rPr>
            </w:pPr>
            <w:bookmarkStart w:id="5" w:name="CreationDate"/>
            <w:bookmarkEnd w:id="5"/>
            <w:r>
              <w:rPr>
                <w:b/>
              </w:rPr>
              <w:t>23 June 2015</w:t>
            </w:r>
          </w:p>
        </w:tc>
      </w:tr>
      <w:tr w:rsidR="005E7047" w:rsidTr="008F1130">
        <w:trPr>
          <w:cantSplit/>
        </w:trPr>
        <w:tc>
          <w:tcPr>
            <w:tcW w:w="6628" w:type="dxa"/>
            <w:gridSpan w:val="2"/>
            <w:vMerge/>
          </w:tcPr>
          <w:p w:rsidR="005E7047" w:rsidRDefault="005E7047" w:rsidP="008F1130">
            <w:pPr>
              <w:spacing w:after="120"/>
              <w:rPr>
                <w:b/>
                <w:bCs/>
                <w:smallCaps/>
              </w:rPr>
            </w:pPr>
          </w:p>
        </w:tc>
        <w:tc>
          <w:tcPr>
            <w:tcW w:w="3260" w:type="dxa"/>
          </w:tcPr>
          <w:p w:rsidR="005E7047" w:rsidRPr="00D34008" w:rsidRDefault="005E7047" w:rsidP="0030071A">
            <w:pPr>
              <w:spacing w:before="0" w:after="240"/>
            </w:pPr>
            <w:r>
              <w:rPr>
                <w:b/>
              </w:rPr>
              <w:t xml:space="preserve">Original: </w:t>
            </w:r>
            <w:bookmarkStart w:id="6" w:name="Original"/>
            <w:bookmarkEnd w:id="6"/>
            <w:r w:rsidR="00F23A9F">
              <w:rPr>
                <w:b/>
              </w:rPr>
              <w:t>English</w:t>
            </w:r>
          </w:p>
        </w:tc>
      </w:tr>
      <w:tr w:rsidR="006F1381" w:rsidTr="008F1130">
        <w:trPr>
          <w:cantSplit/>
        </w:trPr>
        <w:tc>
          <w:tcPr>
            <w:tcW w:w="2092" w:type="dxa"/>
          </w:tcPr>
          <w:p w:rsidR="006F1381" w:rsidRPr="009F3EB2" w:rsidRDefault="006F1381" w:rsidP="006F1381">
            <w:pPr>
              <w:pStyle w:val="Source"/>
            </w:pPr>
            <w:bookmarkStart w:id="7" w:name="QShort"/>
            <w:bookmarkEnd w:id="7"/>
            <w:r w:rsidRPr="00C60A41">
              <w:rPr>
                <w:szCs w:val="24"/>
              </w:rPr>
              <w:t xml:space="preserve">Question </w:t>
            </w:r>
            <w:r>
              <w:rPr>
                <w:szCs w:val="24"/>
              </w:rPr>
              <w:t>7</w:t>
            </w:r>
            <w:r w:rsidRPr="00C60A41">
              <w:rPr>
                <w:szCs w:val="24"/>
              </w:rPr>
              <w:t>/1:</w:t>
            </w:r>
          </w:p>
        </w:tc>
        <w:tc>
          <w:tcPr>
            <w:tcW w:w="7796" w:type="dxa"/>
            <w:gridSpan w:val="2"/>
          </w:tcPr>
          <w:p w:rsidR="006F1381" w:rsidRPr="0038365A" w:rsidRDefault="006F1381" w:rsidP="006F1381">
            <w:pPr>
              <w:pStyle w:val="Source"/>
              <w:rPr>
                <w:b w:val="0"/>
                <w:bCs/>
                <w:szCs w:val="24"/>
              </w:rPr>
            </w:pPr>
            <w:r>
              <w:t>Access to telecommunication/ICT services by persons with disabilities and with specific needs</w:t>
            </w:r>
          </w:p>
        </w:tc>
      </w:tr>
      <w:tr w:rsidR="006F1381" w:rsidTr="008F1130">
        <w:trPr>
          <w:cantSplit/>
        </w:trPr>
        <w:tc>
          <w:tcPr>
            <w:tcW w:w="2092" w:type="dxa"/>
          </w:tcPr>
          <w:p w:rsidR="006F1381" w:rsidRPr="009F3EB2" w:rsidRDefault="006F1381" w:rsidP="006F1381">
            <w:pPr>
              <w:pStyle w:val="Source"/>
            </w:pPr>
            <w:r w:rsidRPr="009F3EB2">
              <w:t>SOURCE:</w:t>
            </w:r>
          </w:p>
        </w:tc>
        <w:tc>
          <w:tcPr>
            <w:tcW w:w="7796" w:type="dxa"/>
            <w:gridSpan w:val="2"/>
          </w:tcPr>
          <w:p w:rsidR="006F1381" w:rsidRPr="0038365A" w:rsidRDefault="006F1381" w:rsidP="006F1381">
            <w:pPr>
              <w:pStyle w:val="Source"/>
              <w:rPr>
                <w:b w:val="0"/>
                <w:bCs/>
              </w:rPr>
            </w:pPr>
            <w:r>
              <w:rPr>
                <w:b w:val="0"/>
                <w:bCs/>
                <w:szCs w:val="24"/>
              </w:rPr>
              <w:t>G3ict</w:t>
            </w:r>
          </w:p>
        </w:tc>
      </w:tr>
      <w:tr w:rsidR="006F1381" w:rsidTr="008F1130">
        <w:trPr>
          <w:cantSplit/>
        </w:trPr>
        <w:tc>
          <w:tcPr>
            <w:tcW w:w="2092" w:type="dxa"/>
          </w:tcPr>
          <w:p w:rsidR="006F1381" w:rsidRPr="001A163D" w:rsidRDefault="006F1381" w:rsidP="006F1381">
            <w:pPr>
              <w:pStyle w:val="Source"/>
              <w:spacing w:after="120"/>
            </w:pPr>
            <w:r w:rsidRPr="001A163D">
              <w:t>TITLE:</w:t>
            </w:r>
          </w:p>
        </w:tc>
        <w:tc>
          <w:tcPr>
            <w:tcW w:w="7796" w:type="dxa"/>
            <w:gridSpan w:val="2"/>
          </w:tcPr>
          <w:p w:rsidR="006F1381" w:rsidRPr="00BD79F0" w:rsidRDefault="006F1381" w:rsidP="006F1381">
            <w:pPr>
              <w:pStyle w:val="Title1"/>
              <w:spacing w:before="120" w:after="120"/>
              <w:rPr>
                <w:b w:val="0"/>
                <w:bCs/>
                <w:szCs w:val="18"/>
                <w:highlight w:val="yellow"/>
              </w:rPr>
            </w:pPr>
            <w:r w:rsidRPr="001C219C">
              <w:rPr>
                <w:b w:val="0"/>
                <w:bCs/>
                <w:szCs w:val="24"/>
              </w:rPr>
              <w:t>Protection in Spectrum Management for Assistive Listening Devices (ALDs) for persons with disabilities and medical Short Range Devices (SRDs</w:t>
            </w:r>
            <w:r>
              <w:rPr>
                <w:b w:val="0"/>
                <w:bCs/>
                <w:szCs w:val="24"/>
              </w:rPr>
              <w:t>)</w:t>
            </w:r>
          </w:p>
        </w:tc>
      </w:tr>
      <w:tr w:rsidR="00947A35" w:rsidRPr="002E6963" w:rsidTr="008F1130">
        <w:trPr>
          <w:cantSplit/>
        </w:trPr>
        <w:tc>
          <w:tcPr>
            <w:tcW w:w="9888" w:type="dxa"/>
            <w:gridSpan w:val="3"/>
          </w:tcPr>
          <w:p w:rsidR="00947A35" w:rsidRPr="00947A35" w:rsidRDefault="00846BCA" w:rsidP="00C819D9">
            <w:pPr>
              <w:pStyle w:val="Title1"/>
              <w:spacing w:before="120" w:after="120"/>
              <w:rPr>
                <w:szCs w:val="18"/>
              </w:rPr>
            </w:pPr>
            <w:r>
              <w:rPr>
                <w:szCs w:val="18"/>
              </w:rPr>
              <w:t>Reference to Document</w:t>
            </w:r>
            <w:r w:rsidR="0091574C">
              <w:rPr>
                <w:szCs w:val="18"/>
              </w:rPr>
              <w:t>:</w:t>
            </w:r>
            <w:r>
              <w:rPr>
                <w:szCs w:val="18"/>
              </w:rPr>
              <w:t xml:space="preserve"> </w:t>
            </w:r>
            <w:bookmarkStart w:id="8" w:name="RefDoc"/>
            <w:bookmarkEnd w:id="8"/>
            <w:r w:rsidR="00554846">
              <w:fldChar w:fldCharType="begin"/>
            </w:r>
            <w:r w:rsidR="00554846">
              <w:instrText xml:space="preserve"> HYPERLINK "http://www.itu.int/md/D14-SG01.RGQ-C-0101/" </w:instrText>
            </w:r>
            <w:r w:rsidR="00554846">
              <w:fldChar w:fldCharType="separate"/>
            </w:r>
            <w:r w:rsidR="00554846">
              <w:rPr>
                <w:rStyle w:val="Hyperlink"/>
                <w:bCs/>
                <w:szCs w:val="24"/>
                <w:lang w:val="es-ES_tradnl"/>
              </w:rPr>
              <w:t>SG1RGQ/101</w:t>
            </w:r>
            <w:r w:rsidR="00554846">
              <w:rPr>
                <w:rStyle w:val="Hyperlink"/>
                <w:bCs/>
                <w:szCs w:val="24"/>
                <w:lang w:val="es-ES_tradnl"/>
              </w:rPr>
              <w:fldChar w:fldCharType="end"/>
            </w:r>
          </w:p>
        </w:tc>
      </w:tr>
      <w:tr w:rsidR="003E3A45" w:rsidRPr="002E6963" w:rsidTr="008F1130">
        <w:trPr>
          <w:cantSplit/>
        </w:trPr>
        <w:tc>
          <w:tcPr>
            <w:tcW w:w="2092" w:type="dxa"/>
          </w:tcPr>
          <w:p w:rsidR="003E3A45" w:rsidRPr="002548C3" w:rsidRDefault="003E3A45" w:rsidP="003E3A45">
            <w:pPr>
              <w:pStyle w:val="Source"/>
              <w:spacing w:after="120"/>
              <w:rPr>
                <w:rFonts w:cs="Times New Roman Bold"/>
                <w:szCs w:val="18"/>
              </w:rPr>
            </w:pPr>
            <w:r w:rsidRPr="002548C3">
              <w:rPr>
                <w:rFonts w:cs="Times New Roman Bold"/>
                <w:szCs w:val="18"/>
              </w:rPr>
              <w:t>Action required:</w:t>
            </w:r>
          </w:p>
        </w:tc>
        <w:tc>
          <w:tcPr>
            <w:tcW w:w="7796" w:type="dxa"/>
            <w:gridSpan w:val="2"/>
          </w:tcPr>
          <w:p w:rsidR="003E3A45" w:rsidRPr="00037F91" w:rsidRDefault="003E3A45" w:rsidP="003E3A45">
            <w:pPr>
              <w:pStyle w:val="Title1"/>
              <w:spacing w:before="120" w:after="120"/>
              <w:rPr>
                <w:b w:val="0"/>
                <w:bCs/>
                <w:szCs w:val="24"/>
              </w:rPr>
            </w:pPr>
            <w:r>
              <w:rPr>
                <w:b w:val="0"/>
                <w:bCs/>
                <w:szCs w:val="24"/>
              </w:rPr>
              <w:t>Participants are invited to consider the document.</w:t>
            </w:r>
          </w:p>
        </w:tc>
      </w:tr>
      <w:tr w:rsidR="00E76394" w:rsidRPr="002E6963" w:rsidTr="008F1130">
        <w:trPr>
          <w:cantSplit/>
        </w:trPr>
        <w:tc>
          <w:tcPr>
            <w:tcW w:w="2092" w:type="dxa"/>
          </w:tcPr>
          <w:p w:rsidR="00E76394" w:rsidRPr="002548C3" w:rsidRDefault="00E76394" w:rsidP="003E3A45">
            <w:pPr>
              <w:pStyle w:val="Source"/>
              <w:spacing w:after="120"/>
              <w:rPr>
                <w:rFonts w:cs="Times New Roman Bold"/>
                <w:szCs w:val="18"/>
              </w:rPr>
            </w:pPr>
            <w:r w:rsidRPr="009757D8">
              <w:rPr>
                <w:rFonts w:cs="Times New Roman Bold"/>
                <w:b w:val="0"/>
                <w:bCs/>
                <w:i/>
                <w:iCs/>
                <w:szCs w:val="18"/>
              </w:rPr>
              <w:t>Keywords:</w:t>
            </w:r>
          </w:p>
        </w:tc>
        <w:tc>
          <w:tcPr>
            <w:tcW w:w="7796" w:type="dxa"/>
            <w:gridSpan w:val="2"/>
          </w:tcPr>
          <w:p w:rsidR="00E76394" w:rsidRDefault="00E76394" w:rsidP="003E3A45">
            <w:pPr>
              <w:pStyle w:val="Title1"/>
              <w:spacing w:before="120" w:after="120"/>
              <w:rPr>
                <w:b w:val="0"/>
                <w:bCs/>
                <w:szCs w:val="24"/>
              </w:rPr>
            </w:pPr>
            <w:r w:rsidRPr="009757D8">
              <w:rPr>
                <w:b w:val="0"/>
                <w:bCs/>
                <w:i/>
                <w:iCs/>
                <w:szCs w:val="24"/>
              </w:rPr>
              <w:t>Spectrum management, Assistive listening devices</w:t>
            </w:r>
          </w:p>
        </w:tc>
      </w:tr>
    </w:tbl>
    <w:p w:rsidR="00B46350" w:rsidRDefault="00B46350" w:rsidP="00B46350">
      <w:pPr>
        <w:spacing w:before="0"/>
      </w:pPr>
    </w:p>
    <w:tbl>
      <w:tblPr>
        <w:tblStyle w:val="TableGrid"/>
        <w:tblW w:w="0" w:type="auto"/>
        <w:tblLook w:val="04A0" w:firstRow="1" w:lastRow="0" w:firstColumn="1" w:lastColumn="0" w:noHBand="0" w:noVBand="1"/>
        <w:tblCaption w:val="Abstract"/>
        <w:tblDescription w:val="Abstract"/>
      </w:tblPr>
      <w:tblGrid>
        <w:gridCol w:w="9855"/>
      </w:tblGrid>
      <w:tr w:rsidR="005D7761" w:rsidTr="00502ABF">
        <w:tc>
          <w:tcPr>
            <w:tcW w:w="9855" w:type="dxa"/>
          </w:tcPr>
          <w:p w:rsidR="003E3A45" w:rsidRDefault="003E3A45" w:rsidP="003E3A45">
            <w:pPr>
              <w:overflowPunct/>
              <w:autoSpaceDE/>
              <w:autoSpaceDN/>
              <w:adjustRightInd/>
              <w:textAlignment w:val="auto"/>
            </w:pPr>
            <w:r w:rsidRPr="005E777F">
              <w:rPr>
                <w:rFonts w:cs="Times New Roman Bold"/>
                <w:b/>
                <w:szCs w:val="18"/>
              </w:rPr>
              <w:t>Abstract:</w:t>
            </w:r>
          </w:p>
          <w:p w:rsidR="005D7761" w:rsidRDefault="003E3A45" w:rsidP="003E3A45">
            <w:pPr>
              <w:pStyle w:val="Normalaftertitle"/>
              <w:spacing w:before="120" w:after="120"/>
            </w:pPr>
            <w:r w:rsidRPr="001C219C">
              <w:t>Clarification of the need for Protection in Spectrum Management for Assistive Listening Devices (ALDs) for persons with disabilities and medical Short Range Devices (SRDs</w:t>
            </w:r>
            <w:r>
              <w:t>) With spectrum management that is only just beginning in the developing world.  It is necessary to make everyone aware that certain spectrums can become overloaded especially those that are short range devices ( SDLs) and that can subsequently cause malfunctions by interference and even stop working due to blockage to their use</w:t>
            </w:r>
            <w:proofErr w:type="gramStart"/>
            <w:r>
              <w:t xml:space="preserve">. </w:t>
            </w:r>
            <w:proofErr w:type="gramEnd"/>
            <w:r>
              <w:t>This can cause hardship to persons with disabilities who use ALDs (assistive listening devices) like hearing aids and can even cause dangerous situations for those who depend on certain medical devices.  Further study is required and this is an overview to explain the problems more completely.</w:t>
            </w:r>
            <w:bookmarkStart w:id="9" w:name="Abstract"/>
            <w:bookmarkEnd w:id="9"/>
          </w:p>
          <w:p w:rsidR="00C819D9" w:rsidRPr="00C819D9" w:rsidRDefault="00C819D9" w:rsidP="00F85513">
            <w:pPr>
              <w:spacing w:after="120"/>
            </w:pPr>
            <w:r>
              <w:t xml:space="preserve">This document was prepared for the Q7/1 meeting in April 2015 (document </w:t>
            </w:r>
            <w:hyperlink r:id="rId9" w:history="1">
              <w:r w:rsidRPr="00C819D9">
                <w:rPr>
                  <w:rStyle w:val="Hyperlink"/>
                </w:rPr>
                <w:t>SG1RGQ/101</w:t>
              </w:r>
            </w:hyperlink>
            <w:r>
              <w:t>).</w:t>
            </w:r>
          </w:p>
        </w:tc>
      </w:tr>
    </w:tbl>
    <w:p w:rsidR="002E6963" w:rsidRDefault="002E6963" w:rsidP="004A320E">
      <w:pPr>
        <w:tabs>
          <w:tab w:val="clear" w:pos="794"/>
          <w:tab w:val="clear" w:pos="1191"/>
          <w:tab w:val="clear" w:pos="1588"/>
          <w:tab w:val="clear" w:pos="1985"/>
        </w:tabs>
        <w:overflowPunct/>
        <w:autoSpaceDE/>
        <w:autoSpaceDN/>
        <w:adjustRightInd/>
        <w:textAlignment w:val="auto"/>
      </w:pPr>
      <w:r>
        <w:br w:type="page"/>
      </w:r>
    </w:p>
    <w:p w:rsidR="00554846" w:rsidRPr="00925AF2" w:rsidRDefault="00554846" w:rsidP="00554846">
      <w:pPr>
        <w:tabs>
          <w:tab w:val="clear" w:pos="794"/>
          <w:tab w:val="clear" w:pos="1191"/>
          <w:tab w:val="clear" w:pos="1588"/>
          <w:tab w:val="clear" w:pos="1985"/>
        </w:tabs>
        <w:overflowPunct/>
        <w:autoSpaceDE/>
        <w:autoSpaceDN/>
        <w:adjustRightInd/>
        <w:textAlignment w:val="auto"/>
        <w:rPr>
          <w:rFonts w:eastAsiaTheme="minorHAnsi"/>
          <w:szCs w:val="24"/>
          <w:lang w:eastAsia="ja-JP"/>
        </w:rPr>
      </w:pPr>
      <w:bookmarkStart w:id="10" w:name="Proposal"/>
      <w:bookmarkEnd w:id="10"/>
      <w:r w:rsidRPr="00925AF2">
        <w:rPr>
          <w:rFonts w:eastAsiaTheme="minorHAnsi"/>
          <w:szCs w:val="24"/>
          <w:lang w:eastAsia="ja-JP"/>
        </w:rPr>
        <w:lastRenderedPageBreak/>
        <w:t>Historically</w:t>
      </w:r>
      <w:r>
        <w:rPr>
          <w:rFonts w:eastAsiaTheme="minorHAnsi"/>
          <w:szCs w:val="24"/>
          <w:lang w:eastAsia="ja-JP"/>
        </w:rPr>
        <w:t>, ITU-R only considers p</w:t>
      </w:r>
      <w:r w:rsidRPr="00925AF2">
        <w:rPr>
          <w:rFonts w:eastAsiaTheme="minorHAnsi"/>
          <w:szCs w:val="24"/>
          <w:lang w:eastAsia="ja-JP"/>
        </w:rPr>
        <w:t>rimary services when considering compatibility between other services</w:t>
      </w:r>
      <w:proofErr w:type="gramStart"/>
      <w:r w:rsidRPr="00925AF2">
        <w:rPr>
          <w:rFonts w:eastAsiaTheme="minorHAnsi"/>
          <w:szCs w:val="24"/>
          <w:lang w:eastAsia="ja-JP"/>
        </w:rPr>
        <w:t xml:space="preserve">. </w:t>
      </w:r>
      <w:proofErr w:type="gramEnd"/>
      <w:r w:rsidRPr="00925AF2">
        <w:rPr>
          <w:rFonts w:eastAsiaTheme="minorHAnsi"/>
          <w:szCs w:val="24"/>
          <w:lang w:eastAsia="ja-JP"/>
        </w:rPr>
        <w:t>Primary Services are services such as Maritime, Aeronautical, Broadcast and Satellite</w:t>
      </w:r>
      <w:r>
        <w:rPr>
          <w:rFonts w:eastAsiaTheme="minorHAnsi"/>
          <w:szCs w:val="24"/>
          <w:lang w:eastAsia="ja-JP"/>
        </w:rPr>
        <w:t>,</w:t>
      </w:r>
      <w:r w:rsidRPr="00925AF2">
        <w:rPr>
          <w:rFonts w:eastAsiaTheme="minorHAnsi"/>
          <w:szCs w:val="24"/>
          <w:lang w:eastAsia="ja-JP"/>
        </w:rPr>
        <w:t xml:space="preserve"> and including other fixed and mobile services.</w:t>
      </w:r>
    </w:p>
    <w:p w:rsidR="00554846" w:rsidRPr="00925AF2" w:rsidRDefault="00554846" w:rsidP="00554846">
      <w:p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925AF2">
        <w:rPr>
          <w:rFonts w:eastAsiaTheme="minorHAnsi"/>
          <w:szCs w:val="24"/>
          <w:lang w:eastAsia="ja-JP"/>
        </w:rPr>
        <w:t>Since the 1990s</w:t>
      </w:r>
      <w:r>
        <w:rPr>
          <w:rFonts w:eastAsiaTheme="minorHAnsi"/>
          <w:szCs w:val="24"/>
          <w:lang w:eastAsia="ja-JP"/>
        </w:rPr>
        <w:t>,</w:t>
      </w:r>
      <w:r w:rsidRPr="00925AF2">
        <w:rPr>
          <w:rFonts w:eastAsiaTheme="minorHAnsi"/>
          <w:szCs w:val="24"/>
          <w:lang w:eastAsia="ja-JP"/>
        </w:rPr>
        <w:t xml:space="preserve"> there has been a new kid on the block: Called Short Range Devices (SRDs) that operate unlicensed. </w:t>
      </w:r>
      <w:r>
        <w:rPr>
          <w:rFonts w:eastAsiaTheme="minorHAnsi"/>
          <w:szCs w:val="24"/>
          <w:lang w:eastAsia="ja-JP"/>
        </w:rPr>
        <w:t xml:space="preserve"> </w:t>
      </w:r>
      <w:r w:rsidRPr="00925AF2">
        <w:rPr>
          <w:rFonts w:eastAsiaTheme="minorHAnsi"/>
          <w:szCs w:val="24"/>
          <w:lang w:eastAsia="ja-JP"/>
        </w:rPr>
        <w:t>These devices are not protected</w:t>
      </w:r>
      <w:proofErr w:type="gramStart"/>
      <w:r w:rsidRPr="00925AF2">
        <w:rPr>
          <w:rFonts w:eastAsiaTheme="minorHAnsi"/>
          <w:szCs w:val="24"/>
          <w:lang w:eastAsia="ja-JP"/>
        </w:rPr>
        <w:t xml:space="preserve">. </w:t>
      </w:r>
      <w:proofErr w:type="gramEnd"/>
      <w:r w:rsidRPr="00925AF2">
        <w:rPr>
          <w:rFonts w:eastAsiaTheme="minorHAnsi"/>
          <w:szCs w:val="24"/>
          <w:lang w:eastAsia="ja-JP"/>
        </w:rPr>
        <w:t>This includes Assistive Listening devices (ALDs) as well as blue tooth and medical devices.</w:t>
      </w:r>
    </w:p>
    <w:p w:rsidR="00554846" w:rsidRPr="00925AF2" w:rsidRDefault="00554846" w:rsidP="00554846">
      <w:p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925AF2">
        <w:rPr>
          <w:rFonts w:eastAsiaTheme="minorHAnsi"/>
          <w:szCs w:val="24"/>
          <w:lang w:eastAsia="ja-JP"/>
        </w:rPr>
        <w:t xml:space="preserve">Such examples include hearing aids, assistive hearing systems used in schools, cochlear ear implants, mobile medical </w:t>
      </w:r>
      <w:proofErr w:type="gramStart"/>
      <w:r w:rsidRPr="00925AF2">
        <w:rPr>
          <w:rFonts w:eastAsiaTheme="minorHAnsi"/>
          <w:szCs w:val="24"/>
          <w:lang w:eastAsia="ja-JP"/>
        </w:rPr>
        <w:t>tracking</w:t>
      </w:r>
      <w:proofErr w:type="gramEnd"/>
      <w:r w:rsidRPr="00925AF2">
        <w:rPr>
          <w:rFonts w:eastAsiaTheme="minorHAnsi"/>
          <w:szCs w:val="24"/>
          <w:lang w:eastAsia="ja-JP"/>
        </w:rPr>
        <w:t xml:space="preserve"> or monitoring devices (insulin pumps)</w:t>
      </w:r>
      <w:r>
        <w:rPr>
          <w:rFonts w:eastAsiaTheme="minorHAnsi"/>
          <w:szCs w:val="24"/>
          <w:lang w:eastAsia="ja-JP"/>
        </w:rPr>
        <w:t>,</w:t>
      </w:r>
      <w:r w:rsidRPr="00925AF2">
        <w:rPr>
          <w:rFonts w:eastAsiaTheme="minorHAnsi"/>
          <w:szCs w:val="24"/>
          <w:lang w:eastAsia="ja-JP"/>
        </w:rPr>
        <w:t xml:space="preserve"> as well as Bluetooth connections and even some remote control devices. </w:t>
      </w:r>
    </w:p>
    <w:p w:rsidR="00554846" w:rsidRPr="00925AF2" w:rsidRDefault="00554846" w:rsidP="00554846">
      <w:p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925AF2">
        <w:rPr>
          <w:rFonts w:eastAsiaTheme="minorHAnsi"/>
          <w:szCs w:val="24"/>
          <w:lang w:eastAsia="ja-JP"/>
        </w:rPr>
        <w:t>Within ITU-R many refer publicly to SRDs as “gadgets”, and in this context not worthy of consideration or recognized in any protected status at the international level</w:t>
      </w:r>
      <w:proofErr w:type="gramStart"/>
      <w:r w:rsidRPr="00925AF2">
        <w:rPr>
          <w:rFonts w:eastAsiaTheme="minorHAnsi"/>
          <w:szCs w:val="24"/>
          <w:lang w:eastAsia="ja-JP"/>
        </w:rPr>
        <w:t xml:space="preserve">. </w:t>
      </w:r>
      <w:proofErr w:type="gramEnd"/>
      <w:r w:rsidRPr="00925AF2">
        <w:rPr>
          <w:rFonts w:eastAsiaTheme="minorHAnsi"/>
          <w:szCs w:val="24"/>
          <w:lang w:eastAsia="ja-JP"/>
        </w:rPr>
        <w:t xml:space="preserve">But these “gadgets” have a great influence on improving or even saving the lives of those with disabilities, in addition to those previously mentioned: social alarms and medical devices including remote monitoring have a direct impact on citizens </w:t>
      </w:r>
    </w:p>
    <w:p w:rsidR="00554846" w:rsidRPr="00925AF2" w:rsidRDefault="00554846" w:rsidP="00554846">
      <w:p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925AF2">
        <w:rPr>
          <w:rFonts w:eastAsiaTheme="minorHAnsi"/>
          <w:szCs w:val="24"/>
          <w:lang w:eastAsia="ja-JP"/>
        </w:rPr>
        <w:t>Without appropriate criteria to protect these devices in the radio regulations, these devices could be adversely affected</w:t>
      </w:r>
      <w:proofErr w:type="gramStart"/>
      <w:r w:rsidRPr="00925AF2">
        <w:rPr>
          <w:rFonts w:eastAsiaTheme="minorHAnsi"/>
          <w:szCs w:val="24"/>
          <w:lang w:eastAsia="ja-JP"/>
        </w:rPr>
        <w:t xml:space="preserve">. </w:t>
      </w:r>
      <w:proofErr w:type="gramEnd"/>
      <w:r w:rsidRPr="00925AF2">
        <w:rPr>
          <w:rFonts w:eastAsiaTheme="minorHAnsi"/>
          <w:szCs w:val="24"/>
          <w:lang w:eastAsia="ja-JP"/>
        </w:rPr>
        <w:t>They could even stop working causing results that could endanger peoples’ lives especially in the case of medical devices and ALDs that aid persons with hearing impairments.</w:t>
      </w:r>
    </w:p>
    <w:p w:rsidR="00554846" w:rsidRPr="00925AF2" w:rsidRDefault="00554846" w:rsidP="00554846">
      <w:p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925AF2">
        <w:rPr>
          <w:rFonts w:eastAsiaTheme="minorHAnsi"/>
          <w:szCs w:val="24"/>
          <w:lang w:eastAsia="ja-JP"/>
        </w:rPr>
        <w:t>The problems:</w:t>
      </w:r>
    </w:p>
    <w:p w:rsidR="00554846" w:rsidRPr="00EB075F" w:rsidRDefault="00554846" w:rsidP="00554846">
      <w:pPr>
        <w:pStyle w:val="ListParagraph"/>
        <w:numPr>
          <w:ilvl w:val="0"/>
          <w:numId w:val="1"/>
        </w:num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EB075F">
        <w:rPr>
          <w:rFonts w:eastAsiaTheme="minorHAnsi"/>
          <w:szCs w:val="24"/>
          <w:u w:val="single"/>
          <w:lang w:eastAsia="ja-JP"/>
        </w:rPr>
        <w:t>The mobile user equipment</w:t>
      </w:r>
      <w:r w:rsidRPr="00EB075F">
        <w:rPr>
          <w:rFonts w:eastAsiaTheme="minorHAnsi"/>
          <w:szCs w:val="24"/>
          <w:lang w:eastAsia="ja-JP"/>
        </w:rPr>
        <w:t xml:space="preserve"> (UE) is likely to come into close physical contact with an ALD/SRD user or school classroom, or even be used by a person with an ALD/SRD, and the most susceptible ALD/SRDs will be those operating on the 2.4GHz band.  The UE could also cause interference to ALD/SRDs using other frequencies or via the Bluetooth link used by many ALD/SRDs</w:t>
      </w:r>
    </w:p>
    <w:p w:rsidR="00554846" w:rsidRPr="00EB075F" w:rsidRDefault="00554846" w:rsidP="00554846">
      <w:pPr>
        <w:pStyle w:val="ListParagraph"/>
        <w:numPr>
          <w:ilvl w:val="0"/>
          <w:numId w:val="1"/>
        </w:num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EB075F">
        <w:rPr>
          <w:rFonts w:eastAsiaTheme="minorHAnsi"/>
          <w:szCs w:val="24"/>
          <w:u w:val="single"/>
          <w:lang w:eastAsia="ja-JP"/>
        </w:rPr>
        <w:t>A second problem for 2.4GHz equipment</w:t>
      </w:r>
      <w:r w:rsidRPr="00EB075F">
        <w:rPr>
          <w:rFonts w:eastAsiaTheme="minorHAnsi"/>
          <w:szCs w:val="24"/>
          <w:lang w:eastAsia="ja-JP"/>
        </w:rPr>
        <w:t xml:space="preserve"> will be the unwanted energy from the UE appearing in the receiver reception bandwidth and the possibility of transmitter intermodulation. </w:t>
      </w:r>
    </w:p>
    <w:p w:rsidR="00554846" w:rsidRPr="00925AF2" w:rsidRDefault="00554846" w:rsidP="00554846">
      <w:pPr>
        <w:pStyle w:val="ListParagraph"/>
        <w:numPr>
          <w:ilvl w:val="0"/>
          <w:numId w:val="1"/>
        </w:num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EB075F">
        <w:rPr>
          <w:rFonts w:eastAsiaTheme="minorHAnsi"/>
          <w:szCs w:val="24"/>
          <w:u w:val="single"/>
          <w:lang w:eastAsia="ja-JP"/>
        </w:rPr>
        <w:t>The third problem is congestion</w:t>
      </w:r>
      <w:r w:rsidRPr="00EB075F">
        <w:rPr>
          <w:rFonts w:eastAsiaTheme="minorHAnsi"/>
          <w:szCs w:val="24"/>
          <w:lang w:eastAsia="ja-JP"/>
        </w:rPr>
        <w:t xml:space="preserve">:  </w:t>
      </w:r>
      <w:r w:rsidRPr="00925AF2">
        <w:rPr>
          <w:rFonts w:eastAsiaTheme="minorHAnsi"/>
          <w:szCs w:val="24"/>
          <w:lang w:eastAsia="ja-JP"/>
        </w:rPr>
        <w:t>Currently most, if not all SRDs in this band, use a protocol that allows them to share spectrum and on a voluntary basis which works well if it is respected.</w:t>
      </w:r>
      <w:r w:rsidRPr="00EB075F">
        <w:rPr>
          <w:rFonts w:eastAsiaTheme="minorHAnsi"/>
          <w:szCs w:val="24"/>
          <w:lang w:eastAsia="ja-JP"/>
        </w:rPr>
        <w:t xml:space="preserve">  </w:t>
      </w:r>
      <w:r w:rsidRPr="00925AF2">
        <w:rPr>
          <w:rFonts w:eastAsiaTheme="minorHAnsi"/>
          <w:szCs w:val="24"/>
          <w:lang w:eastAsia="ja-JP"/>
        </w:rPr>
        <w:t>However, if the lower channels are unusable due to interference from mobile phones, the remaining spectrum will have to satisfy all the traffic previously spread out on all channels.</w:t>
      </w:r>
    </w:p>
    <w:p w:rsidR="00554846" w:rsidRPr="00925AF2" w:rsidRDefault="00554846" w:rsidP="00554846">
      <w:p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925AF2">
        <w:rPr>
          <w:rFonts w:eastAsiaTheme="minorHAnsi"/>
          <w:szCs w:val="24"/>
          <w:lang w:eastAsia="ja-JP"/>
        </w:rPr>
        <w:t>Considering schools, many devices are in use at the same time</w:t>
      </w:r>
      <w:proofErr w:type="gramStart"/>
      <w:r w:rsidRPr="00925AF2">
        <w:rPr>
          <w:rFonts w:eastAsiaTheme="minorHAnsi"/>
          <w:szCs w:val="24"/>
          <w:lang w:eastAsia="ja-JP"/>
        </w:rPr>
        <w:t xml:space="preserve">. </w:t>
      </w:r>
      <w:proofErr w:type="gramEnd"/>
      <w:r w:rsidRPr="00925AF2">
        <w:rPr>
          <w:rFonts w:eastAsiaTheme="minorHAnsi"/>
          <w:szCs w:val="24"/>
          <w:lang w:eastAsia="ja-JP"/>
        </w:rPr>
        <w:t xml:space="preserve">For example WIFI, radio microphones, AV equipment, and Bluetooth would be in use simultaneously. </w:t>
      </w:r>
      <w:r>
        <w:rPr>
          <w:rFonts w:eastAsiaTheme="minorHAnsi"/>
          <w:szCs w:val="24"/>
          <w:lang w:eastAsia="ja-JP"/>
        </w:rPr>
        <w:t xml:space="preserve"> </w:t>
      </w:r>
      <w:r w:rsidRPr="00925AF2">
        <w:rPr>
          <w:rFonts w:eastAsiaTheme="minorHAnsi"/>
          <w:szCs w:val="24"/>
          <w:lang w:eastAsia="ja-JP"/>
        </w:rPr>
        <w:t>This could also include alarm systems and M2M which are all in use in addition to the ALDs connecting the teacher to the pupil directly and cochlear implant systems that are becoming more widespread.  Add any medical devices and you begin to get the picture of congestion</w:t>
      </w:r>
      <w:proofErr w:type="gramStart"/>
      <w:r w:rsidRPr="00925AF2">
        <w:rPr>
          <w:rFonts w:eastAsiaTheme="minorHAnsi"/>
          <w:szCs w:val="24"/>
          <w:lang w:eastAsia="ja-JP"/>
        </w:rPr>
        <w:t xml:space="preserve">. </w:t>
      </w:r>
      <w:proofErr w:type="gramEnd"/>
      <w:r w:rsidRPr="00925AF2">
        <w:rPr>
          <w:rFonts w:eastAsiaTheme="minorHAnsi"/>
          <w:szCs w:val="24"/>
          <w:lang w:eastAsia="ja-JP"/>
        </w:rPr>
        <w:t>Then someone walking by the class room using the mobile phone and you would have every possibility of encountering severe blockage.</w:t>
      </w:r>
    </w:p>
    <w:p w:rsidR="00554846" w:rsidRPr="00925AF2" w:rsidRDefault="00554846" w:rsidP="00554846">
      <w:p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925AF2">
        <w:rPr>
          <w:rFonts w:eastAsiaTheme="minorHAnsi"/>
          <w:szCs w:val="24"/>
          <w:lang w:eastAsia="ja-JP"/>
        </w:rPr>
        <w:t>Another situation common in many schools and educational establishments is that mobile network transmitters were unwittingly placed on school buildings</w:t>
      </w:r>
      <w:proofErr w:type="gramStart"/>
      <w:r w:rsidRPr="00925AF2">
        <w:rPr>
          <w:rFonts w:eastAsiaTheme="minorHAnsi"/>
          <w:szCs w:val="24"/>
          <w:lang w:eastAsia="ja-JP"/>
        </w:rPr>
        <w:t xml:space="preserve">. </w:t>
      </w:r>
      <w:proofErr w:type="gramEnd"/>
      <w:r w:rsidRPr="00925AF2">
        <w:rPr>
          <w:rFonts w:eastAsiaTheme="minorHAnsi"/>
          <w:szCs w:val="24"/>
          <w:lang w:eastAsia="ja-JP"/>
        </w:rPr>
        <w:t>If the 2.3-2.4GHz band transmitters</w:t>
      </w:r>
      <w:r w:rsidRPr="00925AF2">
        <w:rPr>
          <w:rFonts w:eastAsiaTheme="minorHAnsi"/>
          <w:b/>
          <w:bCs/>
          <w:szCs w:val="24"/>
          <w:lang w:val="en-US" w:eastAsia="ja-JP"/>
        </w:rPr>
        <w:t xml:space="preserve"> </w:t>
      </w:r>
      <w:r w:rsidRPr="00925AF2">
        <w:rPr>
          <w:rFonts w:eastAsiaTheme="minorHAnsi"/>
          <w:szCs w:val="24"/>
          <w:lang w:eastAsia="ja-JP"/>
        </w:rPr>
        <w:t>are mounted on the school, both base station and UE interference will be a probability.</w:t>
      </w:r>
    </w:p>
    <w:p w:rsidR="00554846" w:rsidRPr="00925AF2" w:rsidRDefault="00554846" w:rsidP="00554846">
      <w:r w:rsidRPr="00925AF2">
        <w:rPr>
          <w:rFonts w:eastAsiaTheme="minorHAnsi"/>
          <w:szCs w:val="24"/>
          <w:lang w:eastAsia="ja-JP"/>
        </w:rPr>
        <w:t>The only practical way forward following the requirements of the UNCRPD (the UN Convention of the Rights of Persons with Disabilities) appears to be the establishment of protected spectrum and status for disability and medical devices</w:t>
      </w:r>
      <w:proofErr w:type="gramStart"/>
      <w:r w:rsidRPr="00925AF2">
        <w:rPr>
          <w:rFonts w:eastAsiaTheme="minorHAnsi"/>
          <w:szCs w:val="24"/>
          <w:lang w:eastAsia="ja-JP"/>
        </w:rPr>
        <w:t xml:space="preserve">. </w:t>
      </w:r>
      <w:proofErr w:type="gramEnd"/>
      <w:r w:rsidRPr="00925AF2">
        <w:rPr>
          <w:rFonts w:eastAsiaTheme="minorHAnsi"/>
          <w:szCs w:val="24"/>
          <w:lang w:eastAsia="ja-JP"/>
        </w:rPr>
        <w:t>This outcome would have equal benefit for the many who use also use SRDs.</w:t>
      </w:r>
    </w:p>
    <w:p w:rsidR="00554846" w:rsidRPr="00C86600" w:rsidRDefault="00554846" w:rsidP="00554846">
      <w:pPr>
        <w:tabs>
          <w:tab w:val="clear" w:pos="794"/>
          <w:tab w:val="clear" w:pos="1191"/>
          <w:tab w:val="clear" w:pos="1588"/>
          <w:tab w:val="clear" w:pos="1985"/>
        </w:tabs>
        <w:spacing w:before="0"/>
        <w:jc w:val="center"/>
      </w:pPr>
      <w:r>
        <w:t>_______________</w:t>
      </w:r>
    </w:p>
    <w:sectPr w:rsidR="00554846" w:rsidRPr="00C86600" w:rsidSect="00CC4B75">
      <w:headerReference w:type="default" r:id="rId10"/>
      <w:footerReference w:type="default" r:id="rId11"/>
      <w:footerReference w:type="first" r:id="rId12"/>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D43" w:rsidRDefault="00DB2D43">
      <w:r>
        <w:separator/>
      </w:r>
    </w:p>
  </w:endnote>
  <w:endnote w:type="continuationSeparator" w:id="0">
    <w:p w:rsidR="00DB2D43" w:rsidRDefault="00DB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B7" w:rsidRPr="0015685A" w:rsidRDefault="00B152B7" w:rsidP="0015685A">
    <w:pPr>
      <w:pStyle w:val="Footer"/>
      <w:rPr>
        <w:caps w:val="0"/>
        <w:sz w:val="18"/>
        <w:szCs w:val="18"/>
        <w:lang w:val="en-US"/>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Pr>
        <w:caps w:val="0"/>
        <w:sz w:val="18"/>
        <w:szCs w:val="18"/>
        <w:lang w:val="en-US"/>
      </w:rPr>
      <w:t>P:\STG\6StudyPeriod\2015\SG1_Mtg\Contributions\117E.docx</w:t>
    </w:r>
    <w:r w:rsidRPr="003125C3">
      <w:rPr>
        <w:caps w:val="0"/>
        <w:sz w:val="18"/>
        <w:szCs w:val="18"/>
        <w:lang w:val="en-US"/>
      </w:rPr>
      <w:fldChar w:fldCharType="end"/>
    </w:r>
    <w:r w:rsidRPr="003125C3">
      <w:rPr>
        <w:caps w:val="0"/>
        <w:sz w:val="18"/>
        <w:szCs w:val="18"/>
        <w:lang w:val="en-US"/>
      </w:rPr>
      <w:tab/>
    </w:r>
    <w:r>
      <w:rPr>
        <w:caps w:val="0"/>
        <w:sz w:val="18"/>
        <w:szCs w:val="18"/>
        <w:lang w:val="en-US"/>
      </w:rPr>
      <w:tab/>
    </w:r>
    <w:r w:rsidRPr="00DE773C">
      <w:rPr>
        <w:caps w:val="0"/>
        <w:sz w:val="18"/>
        <w:szCs w:val="18"/>
        <w:lang w:val="en-US"/>
      </w:rPr>
      <w:t>23.06.2015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17233" w:rsidRPr="00CB110F" w:rsidTr="00696ECB">
      <w:tc>
        <w:tcPr>
          <w:tcW w:w="1526" w:type="dxa"/>
          <w:tcBorders>
            <w:top w:val="single" w:sz="4" w:space="0" w:color="000000" w:themeColor="text1"/>
          </w:tcBorders>
        </w:tcPr>
        <w:p w:rsidR="00D17233" w:rsidRPr="00BA0009" w:rsidRDefault="00D17233" w:rsidP="00696ECB">
          <w:pPr>
            <w:pStyle w:val="FirstFooter"/>
            <w:tabs>
              <w:tab w:val="left" w:pos="1559"/>
              <w:tab w:val="left" w:pos="3828"/>
            </w:tabs>
            <w:rPr>
              <w:sz w:val="18"/>
              <w:szCs w:val="18"/>
            </w:rPr>
          </w:pPr>
          <w:r w:rsidRPr="00BA0009">
            <w:rPr>
              <w:sz w:val="18"/>
              <w:szCs w:val="18"/>
              <w:lang w:val="en-US"/>
            </w:rPr>
            <w:t>Contact:</w:t>
          </w:r>
        </w:p>
      </w:tc>
      <w:tc>
        <w:tcPr>
          <w:tcW w:w="2410" w:type="dxa"/>
          <w:tcBorders>
            <w:top w:val="single" w:sz="4" w:space="0" w:color="000000" w:themeColor="text1"/>
          </w:tcBorders>
        </w:tcPr>
        <w:p w:rsidR="00D17233" w:rsidRPr="00CB110F" w:rsidRDefault="00D17233" w:rsidP="00696ECB">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000000" w:themeColor="text1"/>
          </w:tcBorders>
        </w:tcPr>
        <w:p w:rsidR="00D17233" w:rsidRPr="00682EE7" w:rsidRDefault="00D17233" w:rsidP="00696ECB">
          <w:pPr>
            <w:pStyle w:val="FirstFooter"/>
            <w:tabs>
              <w:tab w:val="left" w:pos="2302"/>
            </w:tabs>
            <w:rPr>
              <w:sz w:val="18"/>
              <w:szCs w:val="18"/>
              <w:lang w:val="en-US"/>
            </w:rPr>
          </w:pPr>
          <w:r w:rsidRPr="00524500">
            <w:rPr>
              <w:sz w:val="18"/>
              <w:szCs w:val="18"/>
              <w:lang w:val="en-US"/>
            </w:rPr>
            <w:t xml:space="preserve">Ms Andrea Saks, </w:t>
          </w:r>
          <w:r w:rsidRPr="00682EE7">
            <w:rPr>
              <w:sz w:val="18"/>
              <w:szCs w:val="18"/>
              <w:lang w:val="en-US"/>
            </w:rPr>
            <w:t>Global Initiative for Inclusive Information and Communication Technologies</w:t>
          </w:r>
          <w:r>
            <w:rPr>
              <w:sz w:val="18"/>
              <w:szCs w:val="18"/>
              <w:lang w:val="en-US"/>
            </w:rPr>
            <w:t xml:space="preserve"> (</w:t>
          </w:r>
          <w:r w:rsidRPr="00682EE7">
            <w:rPr>
              <w:sz w:val="18"/>
              <w:szCs w:val="18"/>
              <w:lang w:val="en-US"/>
            </w:rPr>
            <w:t>G3ict</w:t>
          </w:r>
          <w:r>
            <w:rPr>
              <w:sz w:val="18"/>
              <w:szCs w:val="18"/>
              <w:lang w:val="en-US"/>
            </w:rPr>
            <w:t>)</w:t>
          </w:r>
        </w:p>
      </w:tc>
    </w:tr>
    <w:tr w:rsidR="00D17233" w:rsidRPr="00CB110F" w:rsidTr="00696ECB">
      <w:tc>
        <w:tcPr>
          <w:tcW w:w="1526" w:type="dxa"/>
        </w:tcPr>
        <w:p w:rsidR="00D17233" w:rsidRPr="00CB110F" w:rsidRDefault="00D17233" w:rsidP="00696ECB">
          <w:pPr>
            <w:pStyle w:val="FirstFooter"/>
            <w:tabs>
              <w:tab w:val="left" w:pos="1559"/>
              <w:tab w:val="left" w:pos="3828"/>
            </w:tabs>
            <w:rPr>
              <w:sz w:val="20"/>
              <w:lang w:val="en-US"/>
            </w:rPr>
          </w:pPr>
        </w:p>
      </w:tc>
      <w:tc>
        <w:tcPr>
          <w:tcW w:w="2410" w:type="dxa"/>
        </w:tcPr>
        <w:p w:rsidR="00D17233" w:rsidRPr="00CB110F" w:rsidRDefault="00D17233" w:rsidP="00696ECB">
          <w:pPr>
            <w:pStyle w:val="FirstFooter"/>
            <w:tabs>
              <w:tab w:val="left" w:pos="2302"/>
            </w:tabs>
            <w:rPr>
              <w:sz w:val="18"/>
              <w:szCs w:val="18"/>
              <w:lang w:val="en-US"/>
            </w:rPr>
          </w:pPr>
          <w:r w:rsidRPr="00CB110F">
            <w:rPr>
              <w:sz w:val="18"/>
              <w:szCs w:val="18"/>
              <w:lang w:val="en-US"/>
            </w:rPr>
            <w:t>Phone number:</w:t>
          </w:r>
        </w:p>
      </w:tc>
      <w:tc>
        <w:tcPr>
          <w:tcW w:w="5919" w:type="dxa"/>
        </w:tcPr>
        <w:p w:rsidR="00D17233" w:rsidRPr="00524500" w:rsidRDefault="00D17233" w:rsidP="00696ECB">
          <w:pPr>
            <w:pStyle w:val="FirstFooter"/>
            <w:tabs>
              <w:tab w:val="left" w:pos="2302"/>
            </w:tabs>
            <w:rPr>
              <w:sz w:val="18"/>
              <w:szCs w:val="18"/>
              <w:lang w:val="en-US"/>
            </w:rPr>
          </w:pPr>
          <w:r>
            <w:rPr>
              <w:sz w:val="18"/>
              <w:szCs w:val="18"/>
              <w:lang w:val="en-US"/>
            </w:rPr>
            <w:t>+</w:t>
          </w:r>
          <w:r w:rsidRPr="00524500">
            <w:rPr>
              <w:sz w:val="18"/>
              <w:szCs w:val="18"/>
              <w:lang w:val="en-US"/>
            </w:rPr>
            <w:t>44 1241 820 623 (text), +44 1242 820 800 (voice)</w:t>
          </w:r>
        </w:p>
      </w:tc>
    </w:tr>
    <w:tr w:rsidR="00D17233" w:rsidRPr="00CB110F" w:rsidTr="00696ECB">
      <w:tc>
        <w:tcPr>
          <w:tcW w:w="1526" w:type="dxa"/>
        </w:tcPr>
        <w:p w:rsidR="00D17233" w:rsidRPr="00CB110F" w:rsidRDefault="00D17233" w:rsidP="00696ECB">
          <w:pPr>
            <w:pStyle w:val="FirstFooter"/>
            <w:tabs>
              <w:tab w:val="left" w:pos="1559"/>
              <w:tab w:val="left" w:pos="3828"/>
            </w:tabs>
            <w:rPr>
              <w:sz w:val="20"/>
              <w:lang w:val="en-US"/>
            </w:rPr>
          </w:pPr>
        </w:p>
      </w:tc>
      <w:tc>
        <w:tcPr>
          <w:tcW w:w="2410" w:type="dxa"/>
        </w:tcPr>
        <w:p w:rsidR="00D17233" w:rsidRPr="00CB110F" w:rsidRDefault="00D17233" w:rsidP="00696ECB">
          <w:pPr>
            <w:pStyle w:val="FirstFooter"/>
            <w:tabs>
              <w:tab w:val="left" w:pos="2302"/>
            </w:tabs>
            <w:rPr>
              <w:sz w:val="18"/>
              <w:szCs w:val="18"/>
              <w:lang w:val="en-US"/>
            </w:rPr>
          </w:pPr>
          <w:r w:rsidRPr="00CB110F">
            <w:rPr>
              <w:sz w:val="18"/>
              <w:szCs w:val="18"/>
              <w:lang w:val="en-US"/>
            </w:rPr>
            <w:t>E-mail:</w:t>
          </w:r>
        </w:p>
      </w:tc>
      <w:tc>
        <w:tcPr>
          <w:tcW w:w="5919" w:type="dxa"/>
        </w:tcPr>
        <w:p w:rsidR="00D17233" w:rsidRPr="00524500" w:rsidRDefault="00DB2D43" w:rsidP="00696ECB">
          <w:pPr>
            <w:pStyle w:val="FirstFooter"/>
            <w:tabs>
              <w:tab w:val="left" w:pos="2302"/>
            </w:tabs>
            <w:rPr>
              <w:sz w:val="18"/>
              <w:szCs w:val="18"/>
              <w:highlight w:val="yellow"/>
              <w:lang w:val="en-US"/>
            </w:rPr>
          </w:pPr>
          <w:hyperlink r:id="rId1" w:history="1">
            <w:r w:rsidR="00D17233" w:rsidRPr="00524500">
              <w:rPr>
                <w:rStyle w:val="Hyperlink"/>
                <w:color w:val="0000FF"/>
                <w:sz w:val="18"/>
                <w:szCs w:val="18"/>
                <w:lang w:val="en-GB"/>
              </w:rPr>
              <w:t>andrea@andreasaks.onmicrosoft.com</w:t>
            </w:r>
          </w:hyperlink>
          <w:r w:rsidR="00D17233" w:rsidRPr="00524500">
            <w:rPr>
              <w:sz w:val="18"/>
              <w:szCs w:val="18"/>
              <w:lang w:val="en-GB"/>
            </w:rPr>
            <w:t xml:space="preserve">, </w:t>
          </w:r>
          <w:hyperlink r:id="rId2" w:history="1">
            <w:r w:rsidR="00D17233" w:rsidRPr="00524500">
              <w:rPr>
                <w:rStyle w:val="Hyperlink"/>
                <w:color w:val="0000FF"/>
                <w:sz w:val="18"/>
                <w:szCs w:val="18"/>
                <w:lang w:val="en-GB"/>
              </w:rPr>
              <w:t>andrea.saks@ties.itu.int</w:t>
            </w:r>
          </w:hyperlink>
        </w:p>
      </w:tc>
    </w:tr>
  </w:tbl>
  <w:p w:rsidR="003A5AFE" w:rsidRPr="00CB110F" w:rsidRDefault="003A5AFE" w:rsidP="00D17233">
    <w:pPr>
      <w:pStyle w:val="Footer"/>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D43" w:rsidRDefault="00DB2D43">
      <w:r>
        <w:t>____________________</w:t>
      </w:r>
    </w:p>
  </w:footnote>
  <w:footnote w:type="continuationSeparator" w:id="0">
    <w:p w:rsidR="00DB2D43" w:rsidRDefault="00DB2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005791" w:rsidRDefault="002E6963" w:rsidP="008F3582">
    <w:pPr>
      <w:pStyle w:val="Header"/>
      <w:tabs>
        <w:tab w:val="center" w:pos="4820"/>
        <w:tab w:val="right" w:pos="9639"/>
      </w:tabs>
      <w:jc w:val="left"/>
      <w:rPr>
        <w:rStyle w:val="PageNumber"/>
      </w:rPr>
    </w:pPr>
    <w:r>
      <w:tab/>
    </w:r>
    <w:r w:rsidR="00E97753" w:rsidRPr="00E5018B">
      <w:rPr>
        <w:rFonts w:eastAsia="SimHei" w:cs="Simplified Arabic"/>
        <w:bCs/>
        <w:smallCaps/>
        <w:spacing w:val="24"/>
        <w:sz w:val="22"/>
        <w:szCs w:val="22"/>
        <w:lang w:val="en-US" w:eastAsia="zh-CN"/>
      </w:rPr>
      <w:t>ITU-D</w:t>
    </w:r>
    <w:r w:rsidR="00E97753" w:rsidRPr="008F3582">
      <w:rPr>
        <w:rFonts w:eastAsia="SimHei" w:cs="Simplified Arabic"/>
        <w:bCs/>
        <w:smallCaps/>
        <w:spacing w:val="24"/>
        <w:sz w:val="22"/>
        <w:szCs w:val="22"/>
        <w:lang w:val="en-US" w:eastAsia="zh-CN"/>
      </w:rPr>
      <w:t>/</w:t>
    </w:r>
    <w:bookmarkStart w:id="11" w:name="DocRef2"/>
    <w:bookmarkEnd w:id="11"/>
    <w:r w:rsidR="00F23A9F">
      <w:rPr>
        <w:rFonts w:eastAsia="SimHei" w:cs="Simplified Arabic"/>
        <w:bCs/>
        <w:smallCaps/>
        <w:spacing w:val="24"/>
        <w:sz w:val="22"/>
        <w:szCs w:val="22"/>
        <w:lang w:val="en-US" w:eastAsia="zh-CN"/>
      </w:rPr>
      <w:t>1</w:t>
    </w:r>
    <w:r w:rsidR="00E97753" w:rsidRPr="008F3582">
      <w:rPr>
        <w:rFonts w:eastAsia="SimHei" w:cs="Simplified Arabic"/>
        <w:bCs/>
        <w:smallCaps/>
        <w:spacing w:val="24"/>
        <w:sz w:val="22"/>
        <w:szCs w:val="22"/>
        <w:lang w:val="en-US" w:eastAsia="zh-CN"/>
      </w:rPr>
      <w:t>/</w:t>
    </w:r>
    <w:bookmarkStart w:id="12" w:name="DocNo2"/>
    <w:bookmarkEnd w:id="12"/>
    <w:r w:rsidR="00F23A9F">
      <w:rPr>
        <w:rFonts w:eastAsia="SimHei" w:cs="Simplified Arabic"/>
        <w:bCs/>
        <w:smallCaps/>
        <w:spacing w:val="24"/>
        <w:sz w:val="22"/>
        <w:szCs w:val="22"/>
        <w:lang w:val="en-US" w:eastAsia="zh-CN"/>
      </w:rPr>
      <w:t>117-E</w:t>
    </w:r>
    <w:r w:rsidR="00E97753" w:rsidRPr="00E13479">
      <w:rPr>
        <w:sz w:val="24"/>
        <w:szCs w:val="24"/>
        <w:lang w:val="en-GB"/>
      </w:rPr>
      <w:tab/>
    </w:r>
    <w:r w:rsidR="00E97753" w:rsidRPr="00E5018B">
      <w:rPr>
        <w:rFonts w:eastAsia="SimHei" w:cs="Simplified Arabic"/>
        <w:bCs/>
        <w:smallCaps/>
        <w:spacing w:val="24"/>
        <w:sz w:val="22"/>
        <w:szCs w:val="22"/>
        <w:lang w:val="en-US" w:eastAsia="zh-CN"/>
      </w:rPr>
      <w:t xml:space="preserve">Page </w:t>
    </w:r>
    <w:sdt>
      <w:sdtPr>
        <w:rPr>
          <w:rFonts w:eastAsia="SimHei" w:cs="Simplified Arabic"/>
          <w:bCs/>
          <w:smallCaps/>
          <w:spacing w:val="24"/>
          <w:sz w:val="22"/>
          <w:szCs w:val="22"/>
          <w:lang w:val="en-US" w:eastAsia="zh-CN"/>
        </w:rPr>
        <w:id w:val="637703110"/>
        <w:docPartObj>
          <w:docPartGallery w:val="Page Numbers (Top of Page)"/>
          <w:docPartUnique/>
        </w:docPartObj>
      </w:sdtPr>
      <w:sdtEndPr/>
      <w:sdtContent>
        <w:r w:rsidR="00E97753" w:rsidRPr="00E5018B">
          <w:rPr>
            <w:rFonts w:eastAsia="SimHei" w:cs="Simplified Arabic"/>
            <w:bCs/>
            <w:smallCaps/>
            <w:spacing w:val="24"/>
            <w:sz w:val="22"/>
            <w:szCs w:val="22"/>
            <w:lang w:val="en-US" w:eastAsia="zh-CN"/>
          </w:rPr>
          <w:fldChar w:fldCharType="begin"/>
        </w:r>
        <w:r w:rsidR="00E97753" w:rsidRPr="00E5018B">
          <w:rPr>
            <w:rFonts w:eastAsia="SimHei" w:cs="Simplified Arabic"/>
            <w:bCs/>
            <w:smallCaps/>
            <w:spacing w:val="24"/>
            <w:sz w:val="22"/>
            <w:szCs w:val="22"/>
            <w:lang w:val="en-US" w:eastAsia="zh-CN"/>
          </w:rPr>
          <w:instrText xml:space="preserve"> PAGE   \* MERGEFORMAT </w:instrText>
        </w:r>
        <w:r w:rsidR="00E97753" w:rsidRPr="00E5018B">
          <w:rPr>
            <w:rFonts w:eastAsia="SimHei" w:cs="Simplified Arabic"/>
            <w:bCs/>
            <w:smallCaps/>
            <w:spacing w:val="24"/>
            <w:sz w:val="22"/>
            <w:szCs w:val="22"/>
            <w:lang w:val="en-US" w:eastAsia="zh-CN"/>
          </w:rPr>
          <w:fldChar w:fldCharType="separate"/>
        </w:r>
        <w:r w:rsidR="00D43B9D">
          <w:rPr>
            <w:rFonts w:eastAsia="SimHei" w:cs="Simplified Arabic"/>
            <w:bCs/>
            <w:smallCaps/>
            <w:noProof/>
            <w:spacing w:val="24"/>
            <w:sz w:val="22"/>
            <w:szCs w:val="22"/>
            <w:lang w:val="en-US" w:eastAsia="zh-CN"/>
          </w:rPr>
          <w:t>2</w:t>
        </w:r>
        <w:r w:rsidR="00E97753"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85389"/>
    <w:multiLevelType w:val="hybridMultilevel"/>
    <w:tmpl w:val="ED3CD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D0"/>
    <w:rsid w:val="00002716"/>
    <w:rsid w:val="00005791"/>
    <w:rsid w:val="0001798F"/>
    <w:rsid w:val="0002520B"/>
    <w:rsid w:val="000350F9"/>
    <w:rsid w:val="00037A9E"/>
    <w:rsid w:val="00037F91"/>
    <w:rsid w:val="000539F1"/>
    <w:rsid w:val="00055A2A"/>
    <w:rsid w:val="000615C1"/>
    <w:rsid w:val="00073C63"/>
    <w:rsid w:val="0009225C"/>
    <w:rsid w:val="000A17C4"/>
    <w:rsid w:val="000B2352"/>
    <w:rsid w:val="000C7B84"/>
    <w:rsid w:val="000D261B"/>
    <w:rsid w:val="000D58A3"/>
    <w:rsid w:val="000E3ED4"/>
    <w:rsid w:val="000E3F9C"/>
    <w:rsid w:val="000F1550"/>
    <w:rsid w:val="000F6644"/>
    <w:rsid w:val="00100833"/>
    <w:rsid w:val="00102F72"/>
    <w:rsid w:val="00113EE8"/>
    <w:rsid w:val="0011455A"/>
    <w:rsid w:val="00114A65"/>
    <w:rsid w:val="00141699"/>
    <w:rsid w:val="00142DD0"/>
    <w:rsid w:val="00147000"/>
    <w:rsid w:val="0015685A"/>
    <w:rsid w:val="001620C4"/>
    <w:rsid w:val="00163091"/>
    <w:rsid w:val="001645CB"/>
    <w:rsid w:val="00166305"/>
    <w:rsid w:val="001703C6"/>
    <w:rsid w:val="00173781"/>
    <w:rsid w:val="00175CAE"/>
    <w:rsid w:val="001828DB"/>
    <w:rsid w:val="001850FE"/>
    <w:rsid w:val="00185135"/>
    <w:rsid w:val="0019037C"/>
    <w:rsid w:val="001905A9"/>
    <w:rsid w:val="00191273"/>
    <w:rsid w:val="001942A7"/>
    <w:rsid w:val="0019587B"/>
    <w:rsid w:val="001A163D"/>
    <w:rsid w:val="001A441E"/>
    <w:rsid w:val="001A6733"/>
    <w:rsid w:val="001A6799"/>
    <w:rsid w:val="001B357F"/>
    <w:rsid w:val="001C3702"/>
    <w:rsid w:val="001C465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5618"/>
    <w:rsid w:val="002715FD"/>
    <w:rsid w:val="00285B33"/>
    <w:rsid w:val="002C1EC7"/>
    <w:rsid w:val="002C7EA3"/>
    <w:rsid w:val="002D20AE"/>
    <w:rsid w:val="002D6C61"/>
    <w:rsid w:val="002E2104"/>
    <w:rsid w:val="002E6963"/>
    <w:rsid w:val="002F05D8"/>
    <w:rsid w:val="002F2DE0"/>
    <w:rsid w:val="002F5E25"/>
    <w:rsid w:val="0030071A"/>
    <w:rsid w:val="003125C3"/>
    <w:rsid w:val="00312AE6"/>
    <w:rsid w:val="00317D1A"/>
    <w:rsid w:val="003211FF"/>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E3A45"/>
    <w:rsid w:val="003F2DD8"/>
    <w:rsid w:val="003F50B2"/>
    <w:rsid w:val="00401BFF"/>
    <w:rsid w:val="00404424"/>
    <w:rsid w:val="004122C5"/>
    <w:rsid w:val="00413B78"/>
    <w:rsid w:val="00416DDE"/>
    <w:rsid w:val="0044411E"/>
    <w:rsid w:val="00453435"/>
    <w:rsid w:val="00466398"/>
    <w:rsid w:val="0049128B"/>
    <w:rsid w:val="00493B49"/>
    <w:rsid w:val="00495501"/>
    <w:rsid w:val="004A070A"/>
    <w:rsid w:val="004A320E"/>
    <w:rsid w:val="004A4E9C"/>
    <w:rsid w:val="004B1A3C"/>
    <w:rsid w:val="004D2CC3"/>
    <w:rsid w:val="004D35CB"/>
    <w:rsid w:val="004E20E5"/>
    <w:rsid w:val="004E64EA"/>
    <w:rsid w:val="004E7828"/>
    <w:rsid w:val="004F46AA"/>
    <w:rsid w:val="004F6A70"/>
    <w:rsid w:val="004F7F78"/>
    <w:rsid w:val="00502ABF"/>
    <w:rsid w:val="00504DB0"/>
    <w:rsid w:val="0051033E"/>
    <w:rsid w:val="0054420E"/>
    <w:rsid w:val="00544D1B"/>
    <w:rsid w:val="00545DC0"/>
    <w:rsid w:val="00545F6C"/>
    <w:rsid w:val="00554846"/>
    <w:rsid w:val="0055720C"/>
    <w:rsid w:val="0056423B"/>
    <w:rsid w:val="00573424"/>
    <w:rsid w:val="0057402F"/>
    <w:rsid w:val="005849D6"/>
    <w:rsid w:val="00585367"/>
    <w:rsid w:val="0058737E"/>
    <w:rsid w:val="00592518"/>
    <w:rsid w:val="00592E87"/>
    <w:rsid w:val="00594C4D"/>
    <w:rsid w:val="005A33B0"/>
    <w:rsid w:val="005B7EC3"/>
    <w:rsid w:val="005C2DC2"/>
    <w:rsid w:val="005C304A"/>
    <w:rsid w:val="005C7C98"/>
    <w:rsid w:val="005D57C8"/>
    <w:rsid w:val="005D7761"/>
    <w:rsid w:val="005E0278"/>
    <w:rsid w:val="005E3CA0"/>
    <w:rsid w:val="005E44B1"/>
    <w:rsid w:val="005E67B0"/>
    <w:rsid w:val="005E7047"/>
    <w:rsid w:val="005E777F"/>
    <w:rsid w:val="005F1CA7"/>
    <w:rsid w:val="005F43DD"/>
    <w:rsid w:val="005F51A9"/>
    <w:rsid w:val="005F7416"/>
    <w:rsid w:val="00600C11"/>
    <w:rsid w:val="00606B89"/>
    <w:rsid w:val="00625FB8"/>
    <w:rsid w:val="006261BD"/>
    <w:rsid w:val="0064734E"/>
    <w:rsid w:val="00650137"/>
    <w:rsid w:val="006509D7"/>
    <w:rsid w:val="00651CE8"/>
    <w:rsid w:val="0065521B"/>
    <w:rsid w:val="00671EF6"/>
    <w:rsid w:val="0067205B"/>
    <w:rsid w:val="006748F8"/>
    <w:rsid w:val="00680489"/>
    <w:rsid w:val="00690BB2"/>
    <w:rsid w:val="006A12E3"/>
    <w:rsid w:val="006A3FE8"/>
    <w:rsid w:val="006A7710"/>
    <w:rsid w:val="006A7A61"/>
    <w:rsid w:val="006B1E59"/>
    <w:rsid w:val="006B2FFB"/>
    <w:rsid w:val="006C10A2"/>
    <w:rsid w:val="006C1F18"/>
    <w:rsid w:val="006D40D5"/>
    <w:rsid w:val="006E3645"/>
    <w:rsid w:val="006F009A"/>
    <w:rsid w:val="006F1381"/>
    <w:rsid w:val="006F3D93"/>
    <w:rsid w:val="007019B1"/>
    <w:rsid w:val="00721657"/>
    <w:rsid w:val="00727B1A"/>
    <w:rsid w:val="00752258"/>
    <w:rsid w:val="00762880"/>
    <w:rsid w:val="00772290"/>
    <w:rsid w:val="00777265"/>
    <w:rsid w:val="007805E7"/>
    <w:rsid w:val="0078222A"/>
    <w:rsid w:val="00787D48"/>
    <w:rsid w:val="007A4E50"/>
    <w:rsid w:val="007A579D"/>
    <w:rsid w:val="007B18A7"/>
    <w:rsid w:val="007B250E"/>
    <w:rsid w:val="007C27FC"/>
    <w:rsid w:val="007C51FF"/>
    <w:rsid w:val="007C6D17"/>
    <w:rsid w:val="007D50E4"/>
    <w:rsid w:val="0080098E"/>
    <w:rsid w:val="008028CE"/>
    <w:rsid w:val="0080332E"/>
    <w:rsid w:val="008141E0"/>
    <w:rsid w:val="00816EE1"/>
    <w:rsid w:val="00816F88"/>
    <w:rsid w:val="00820BEE"/>
    <w:rsid w:val="00822323"/>
    <w:rsid w:val="00830E23"/>
    <w:rsid w:val="00833024"/>
    <w:rsid w:val="00844A56"/>
    <w:rsid w:val="00846BCA"/>
    <w:rsid w:val="00852081"/>
    <w:rsid w:val="00874DFD"/>
    <w:rsid w:val="00883086"/>
    <w:rsid w:val="008876E8"/>
    <w:rsid w:val="008879FD"/>
    <w:rsid w:val="00894C37"/>
    <w:rsid w:val="008A00EA"/>
    <w:rsid w:val="008A3F93"/>
    <w:rsid w:val="008A6236"/>
    <w:rsid w:val="008A6E1C"/>
    <w:rsid w:val="008A72FD"/>
    <w:rsid w:val="008B0A24"/>
    <w:rsid w:val="008B2EDF"/>
    <w:rsid w:val="008B54CB"/>
    <w:rsid w:val="008B5A3D"/>
    <w:rsid w:val="008C4010"/>
    <w:rsid w:val="008C4FDF"/>
    <w:rsid w:val="008C6B1F"/>
    <w:rsid w:val="008D5E4F"/>
    <w:rsid w:val="008F1130"/>
    <w:rsid w:val="008F14F5"/>
    <w:rsid w:val="008F3582"/>
    <w:rsid w:val="008F71C1"/>
    <w:rsid w:val="00902D41"/>
    <w:rsid w:val="00914004"/>
    <w:rsid w:val="0091574C"/>
    <w:rsid w:val="00922EC1"/>
    <w:rsid w:val="009301F1"/>
    <w:rsid w:val="009359B8"/>
    <w:rsid w:val="009431F8"/>
    <w:rsid w:val="00947A35"/>
    <w:rsid w:val="00965D3C"/>
    <w:rsid w:val="00966CB5"/>
    <w:rsid w:val="00975786"/>
    <w:rsid w:val="009757D8"/>
    <w:rsid w:val="00981181"/>
    <w:rsid w:val="00981CB7"/>
    <w:rsid w:val="00983E1F"/>
    <w:rsid w:val="00993F46"/>
    <w:rsid w:val="00997358"/>
    <w:rsid w:val="009A452B"/>
    <w:rsid w:val="009A4AAE"/>
    <w:rsid w:val="009B050C"/>
    <w:rsid w:val="009B087F"/>
    <w:rsid w:val="009C110B"/>
    <w:rsid w:val="009C5441"/>
    <w:rsid w:val="009D119F"/>
    <w:rsid w:val="009D4F12"/>
    <w:rsid w:val="009E1ED5"/>
    <w:rsid w:val="009F217F"/>
    <w:rsid w:val="009F3940"/>
    <w:rsid w:val="009F3EB2"/>
    <w:rsid w:val="009F6EB1"/>
    <w:rsid w:val="00A20267"/>
    <w:rsid w:val="00A3158C"/>
    <w:rsid w:val="00A33E32"/>
    <w:rsid w:val="00A53E7C"/>
    <w:rsid w:val="00A60087"/>
    <w:rsid w:val="00A703C4"/>
    <w:rsid w:val="00A705E8"/>
    <w:rsid w:val="00A77450"/>
    <w:rsid w:val="00A9208C"/>
    <w:rsid w:val="00A9392C"/>
    <w:rsid w:val="00A9462B"/>
    <w:rsid w:val="00A97D59"/>
    <w:rsid w:val="00AA217E"/>
    <w:rsid w:val="00AA3E09"/>
    <w:rsid w:val="00AA4BEF"/>
    <w:rsid w:val="00AB4962"/>
    <w:rsid w:val="00AB740F"/>
    <w:rsid w:val="00AC7221"/>
    <w:rsid w:val="00AE5961"/>
    <w:rsid w:val="00AE7610"/>
    <w:rsid w:val="00AF4971"/>
    <w:rsid w:val="00B01046"/>
    <w:rsid w:val="00B152B7"/>
    <w:rsid w:val="00B310F9"/>
    <w:rsid w:val="00B34A57"/>
    <w:rsid w:val="00B37866"/>
    <w:rsid w:val="00B412FB"/>
    <w:rsid w:val="00B4576B"/>
    <w:rsid w:val="00B46350"/>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77C5"/>
    <w:rsid w:val="00C34EC3"/>
    <w:rsid w:val="00C4038C"/>
    <w:rsid w:val="00C41CC5"/>
    <w:rsid w:val="00C42BA2"/>
    <w:rsid w:val="00C44066"/>
    <w:rsid w:val="00C44E13"/>
    <w:rsid w:val="00C5324F"/>
    <w:rsid w:val="00C60A41"/>
    <w:rsid w:val="00C62DE8"/>
    <w:rsid w:val="00C62DFB"/>
    <w:rsid w:val="00C66F4D"/>
    <w:rsid w:val="00C819D9"/>
    <w:rsid w:val="00C86600"/>
    <w:rsid w:val="00C87BCA"/>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227E"/>
    <w:rsid w:val="00CF600E"/>
    <w:rsid w:val="00CF72E5"/>
    <w:rsid w:val="00D01F54"/>
    <w:rsid w:val="00D10FC7"/>
    <w:rsid w:val="00D17233"/>
    <w:rsid w:val="00D20E99"/>
    <w:rsid w:val="00D21C83"/>
    <w:rsid w:val="00D35BDD"/>
    <w:rsid w:val="00D43B9D"/>
    <w:rsid w:val="00D44F1E"/>
    <w:rsid w:val="00D534E7"/>
    <w:rsid w:val="00D63006"/>
    <w:rsid w:val="00D6524C"/>
    <w:rsid w:val="00D72301"/>
    <w:rsid w:val="00D90B23"/>
    <w:rsid w:val="00D91B97"/>
    <w:rsid w:val="00D9320D"/>
    <w:rsid w:val="00D93ACC"/>
    <w:rsid w:val="00D93C08"/>
    <w:rsid w:val="00D95DAC"/>
    <w:rsid w:val="00DB1171"/>
    <w:rsid w:val="00DB1519"/>
    <w:rsid w:val="00DB2840"/>
    <w:rsid w:val="00DB2D43"/>
    <w:rsid w:val="00DD66B4"/>
    <w:rsid w:val="00DE1972"/>
    <w:rsid w:val="00DE27AB"/>
    <w:rsid w:val="00DF2AB3"/>
    <w:rsid w:val="00DF7250"/>
    <w:rsid w:val="00E00CAA"/>
    <w:rsid w:val="00E03EBF"/>
    <w:rsid w:val="00E05209"/>
    <w:rsid w:val="00E2184F"/>
    <w:rsid w:val="00E2258E"/>
    <w:rsid w:val="00E260C2"/>
    <w:rsid w:val="00E32596"/>
    <w:rsid w:val="00E368F7"/>
    <w:rsid w:val="00E36EB8"/>
    <w:rsid w:val="00E37FB8"/>
    <w:rsid w:val="00E40B07"/>
    <w:rsid w:val="00E42326"/>
    <w:rsid w:val="00E43544"/>
    <w:rsid w:val="00E44D89"/>
    <w:rsid w:val="00E477EA"/>
    <w:rsid w:val="00E63B14"/>
    <w:rsid w:val="00E76394"/>
    <w:rsid w:val="00E83810"/>
    <w:rsid w:val="00E86933"/>
    <w:rsid w:val="00E94BAB"/>
    <w:rsid w:val="00E97298"/>
    <w:rsid w:val="00E97753"/>
    <w:rsid w:val="00EA7DE7"/>
    <w:rsid w:val="00EB6384"/>
    <w:rsid w:val="00EB7A8A"/>
    <w:rsid w:val="00EC6F80"/>
    <w:rsid w:val="00ED1AFE"/>
    <w:rsid w:val="00EE3A64"/>
    <w:rsid w:val="00EE5942"/>
    <w:rsid w:val="00EF01CF"/>
    <w:rsid w:val="00F03590"/>
    <w:rsid w:val="00F03622"/>
    <w:rsid w:val="00F077FD"/>
    <w:rsid w:val="00F204F3"/>
    <w:rsid w:val="00F238B3"/>
    <w:rsid w:val="00F23A9F"/>
    <w:rsid w:val="00F25586"/>
    <w:rsid w:val="00F2651D"/>
    <w:rsid w:val="00F27362"/>
    <w:rsid w:val="00F31498"/>
    <w:rsid w:val="00F32FEF"/>
    <w:rsid w:val="00F42E13"/>
    <w:rsid w:val="00F42F1C"/>
    <w:rsid w:val="00F43B44"/>
    <w:rsid w:val="00F440E5"/>
    <w:rsid w:val="00F448F6"/>
    <w:rsid w:val="00F52741"/>
    <w:rsid w:val="00F53D8A"/>
    <w:rsid w:val="00F626F7"/>
    <w:rsid w:val="00F85513"/>
    <w:rsid w:val="00F9211C"/>
    <w:rsid w:val="00FA095D"/>
    <w:rsid w:val="00FA6C8B"/>
    <w:rsid w:val="00FB4139"/>
    <w:rsid w:val="00FB476E"/>
    <w:rsid w:val="00FC0D90"/>
    <w:rsid w:val="00FC7D8C"/>
    <w:rsid w:val="00FD3980"/>
    <w:rsid w:val="00FD431E"/>
    <w:rsid w:val="00FD5A2C"/>
    <w:rsid w:val="00FE0D47"/>
    <w:rsid w:val="00FE1D5C"/>
    <w:rsid w:val="00FE2F8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4FB28A-EC89-449F-B9A9-51A06B51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character" w:styleId="FollowedHyperlink">
    <w:name w:val="FollowedHyperlink"/>
    <w:basedOn w:val="DefaultParagraphFont"/>
    <w:semiHidden/>
    <w:unhideWhenUsed/>
    <w:rsid w:val="00554846"/>
    <w:rPr>
      <w:color w:val="800080" w:themeColor="followedHyperlink"/>
      <w:u w:val="single"/>
    </w:rPr>
  </w:style>
  <w:style w:type="paragraph" w:styleId="ListParagraph">
    <w:name w:val="List Paragraph"/>
    <w:basedOn w:val="Normal"/>
    <w:uiPriority w:val="34"/>
    <w:qFormat/>
    <w:rsid w:val="00554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D14-SG01.RGQ-C-0101/"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ndrea.saks@ties.itu.int" TargetMode="External"/><Relationship Id="rId1" Type="http://schemas.openxmlformats.org/officeDocument/2006/relationships/hyperlink" Target="mailto:asaks@waitros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STG\2015\STG-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573F-5D1A-4427-A703-56ED4DDE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STG-en</Template>
  <TotalTime>1</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Andrea Saks</cp:lastModifiedBy>
  <cp:revision>2</cp:revision>
  <cp:lastPrinted>2014-11-04T09:22:00Z</cp:lastPrinted>
  <dcterms:created xsi:type="dcterms:W3CDTF">2015-09-02T14:00:00Z</dcterms:created>
  <dcterms:modified xsi:type="dcterms:W3CDTF">2015-09-02T14:00:00Z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