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450610" w:rsidP="00450610">
            <w:pPr>
              <w:shd w:val="solid" w:color="FFFFFF" w:fill="FFFFFF"/>
              <w:spacing w:before="0" w:line="240" w:lineRule="atLeast"/>
              <w:jc w:val="right"/>
            </w:pPr>
            <w:bookmarkStart w:id="0" w:name="ditulogo"/>
            <w:bookmarkEnd w:id="0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09E93243" wp14:editId="5239EA3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163271" w:rsidRDefault="0016327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C27CE">
        <w:trPr>
          <w:cantSplit/>
        </w:trPr>
        <w:tc>
          <w:tcPr>
            <w:tcW w:w="6580" w:type="dxa"/>
            <w:vMerge w:val="restart"/>
          </w:tcPr>
          <w:p w:rsidR="00450610" w:rsidRPr="00982084" w:rsidRDefault="00450610" w:rsidP="006F103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450610">
              <w:rPr>
                <w:rFonts w:ascii="Verdana" w:hAnsi="Verdana"/>
                <w:sz w:val="20"/>
              </w:rPr>
              <w:t>Source:</w:t>
            </w:r>
            <w:r w:rsidRPr="00450610">
              <w:rPr>
                <w:rFonts w:ascii="Verdana" w:hAnsi="Verdana"/>
                <w:sz w:val="20"/>
              </w:rPr>
              <w:tab/>
              <w:t xml:space="preserve">Document </w:t>
            </w:r>
            <w:r w:rsidR="006F1032">
              <w:rPr>
                <w:rFonts w:ascii="Verdana" w:hAnsi="Verdana"/>
                <w:sz w:val="20"/>
              </w:rPr>
              <w:t>1A/TEMP/92 (edited)</w:t>
            </w:r>
          </w:p>
        </w:tc>
        <w:tc>
          <w:tcPr>
            <w:tcW w:w="3451" w:type="dxa"/>
          </w:tcPr>
          <w:p w:rsidR="000069D4" w:rsidRPr="0091524C" w:rsidRDefault="000069D4" w:rsidP="006F103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91524C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450610" w:rsidRDefault="006F103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22</w:t>
            </w:r>
            <w:r w:rsidR="00450610">
              <w:rPr>
                <w:rFonts w:ascii="Verdana" w:hAnsi="Verdana"/>
                <w:b/>
                <w:sz w:val="20"/>
                <w:lang w:eastAsia="zh-CN"/>
              </w:rPr>
              <w:t xml:space="preserve"> June 2015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450610" w:rsidRDefault="0045061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50610" w:rsidP="00C31937">
            <w:pPr>
              <w:pStyle w:val="Source"/>
              <w:spacing w:before="72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Working </w:t>
            </w:r>
            <w:r w:rsidR="00C31937">
              <w:rPr>
                <w:lang w:val="en-US" w:eastAsia="zh-CN"/>
              </w:rPr>
              <w:t>Party</w:t>
            </w:r>
            <w:r>
              <w:rPr>
                <w:lang w:val="en-US" w:eastAsia="zh-CN"/>
              </w:rPr>
              <w:t xml:space="preserve"> 1A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50610" w:rsidP="00450610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liaison statement to </w:t>
            </w:r>
            <w:r>
              <w:rPr>
                <w:lang w:eastAsia="ja-JP"/>
              </w:rPr>
              <w:t xml:space="preserve">THE INSTITUTE OF ELECTRICAL </w:t>
            </w:r>
            <w:r>
              <w:rPr>
                <w:lang w:eastAsia="ja-JP"/>
              </w:rPr>
              <w:br/>
              <w:t xml:space="preserve">AND </w:t>
            </w:r>
            <w:r w:rsidRPr="00450610">
              <w:t>ELECTRONICS</w:t>
            </w:r>
            <w:r>
              <w:rPr>
                <w:lang w:eastAsia="ja-JP"/>
              </w:rPr>
              <w:t xml:space="preserve"> ENGINEERS (IEEE) ON THE </w:t>
            </w:r>
            <w:r>
              <w:rPr>
                <w:lang w:eastAsia="ja-JP"/>
              </w:rPr>
              <w:br/>
              <w:t>DRAFT NEW REPORT ITU-R SM.[THZ_TREND]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6F1032" w:rsidRDefault="00450610" w:rsidP="00450610">
            <w:pPr>
              <w:pStyle w:val="Title3"/>
              <w:spacing w:before="120"/>
              <w:rPr>
                <w:caps/>
                <w:lang w:eastAsia="zh-CN"/>
              </w:rPr>
            </w:pPr>
            <w:bookmarkStart w:id="7" w:name="dtitle1" w:colFirst="0" w:colLast="0"/>
            <w:bookmarkEnd w:id="6"/>
            <w:r w:rsidRPr="006F1032">
              <w:rPr>
                <w:caps/>
                <w:lang w:eastAsia="ja-JP"/>
              </w:rPr>
              <w:t xml:space="preserve">Copy for information to </w:t>
            </w:r>
            <w:r w:rsidRPr="006F1032">
              <w:rPr>
                <w:rFonts w:hint="eastAsia"/>
                <w:caps/>
                <w:lang w:eastAsia="ja-JP"/>
              </w:rPr>
              <w:t>W</w:t>
            </w:r>
            <w:r w:rsidRPr="006F1032">
              <w:rPr>
                <w:caps/>
                <w:lang w:eastAsia="ja-JP"/>
              </w:rPr>
              <w:t xml:space="preserve">orking </w:t>
            </w:r>
            <w:r w:rsidRPr="006F1032">
              <w:rPr>
                <w:rFonts w:hint="eastAsia"/>
                <w:caps/>
                <w:lang w:eastAsia="ja-JP"/>
              </w:rPr>
              <w:t>P</w:t>
            </w:r>
            <w:r w:rsidRPr="006F1032">
              <w:rPr>
                <w:caps/>
                <w:lang w:eastAsia="ja-JP"/>
              </w:rPr>
              <w:t xml:space="preserve">arties </w:t>
            </w:r>
            <w:r w:rsidRPr="006F1032">
              <w:rPr>
                <w:rFonts w:hint="eastAsia"/>
                <w:caps/>
                <w:lang w:eastAsia="ja-JP"/>
              </w:rPr>
              <w:t>5A</w:t>
            </w:r>
            <w:r w:rsidRPr="006F1032">
              <w:rPr>
                <w:caps/>
                <w:lang w:eastAsia="ja-JP"/>
              </w:rPr>
              <w:t>,</w:t>
            </w:r>
            <w:r w:rsidRPr="006F1032">
              <w:rPr>
                <w:rFonts w:hint="eastAsia"/>
                <w:caps/>
                <w:lang w:eastAsia="ja-JP"/>
              </w:rPr>
              <w:t xml:space="preserve"> 5C</w:t>
            </w:r>
            <w:r w:rsidRPr="006F1032">
              <w:rPr>
                <w:caps/>
                <w:lang w:eastAsia="ja-JP"/>
              </w:rPr>
              <w:t>, 7C and 7D</w:t>
            </w:r>
          </w:p>
        </w:tc>
      </w:tr>
      <w:tr w:rsidR="00450610">
        <w:trPr>
          <w:cantSplit/>
        </w:trPr>
        <w:tc>
          <w:tcPr>
            <w:tcW w:w="10031" w:type="dxa"/>
            <w:gridSpan w:val="2"/>
          </w:tcPr>
          <w:p w:rsidR="00450610" w:rsidRDefault="00450610" w:rsidP="00450610">
            <w:pPr>
              <w:pStyle w:val="Reptitle"/>
              <w:rPr>
                <w:lang w:eastAsia="ja-JP"/>
              </w:rPr>
            </w:pPr>
            <w:r>
              <w:t>Technology trends of active services in the band above 275 GHz</w:t>
            </w:r>
          </w:p>
        </w:tc>
      </w:tr>
    </w:tbl>
    <w:p w:rsidR="00450610" w:rsidRDefault="00450610" w:rsidP="00450610">
      <w:pPr>
        <w:pStyle w:val="Normalaftertitle"/>
        <w:rPr>
          <w:szCs w:val="24"/>
          <w:lang w:eastAsia="ja-JP" w:bidi="he-IL"/>
        </w:rPr>
      </w:pPr>
      <w:bookmarkStart w:id="8" w:name="dbreak"/>
      <w:bookmarkEnd w:id="7"/>
      <w:bookmarkEnd w:id="8"/>
      <w:r w:rsidRPr="007475D1">
        <w:rPr>
          <w:lang w:eastAsia="ja-JP"/>
        </w:rPr>
        <w:t xml:space="preserve">ITU-R Working Party </w:t>
      </w:r>
      <w:r>
        <w:rPr>
          <w:lang w:eastAsia="ja-JP"/>
        </w:rPr>
        <w:t xml:space="preserve">(WP) </w:t>
      </w:r>
      <w:r w:rsidRPr="007475D1">
        <w:rPr>
          <w:lang w:eastAsia="ja-JP"/>
        </w:rPr>
        <w:t>1A would like to</w:t>
      </w:r>
      <w:r>
        <w:rPr>
          <w:lang w:eastAsia="ja-JP"/>
        </w:rPr>
        <w:t xml:space="preserve"> thank IEEE for your comments and inputs on the preliminary draft new Report ITU-R SM.[THZ_TREND]</w:t>
      </w:r>
      <w:r>
        <w:rPr>
          <w:rFonts w:hint="eastAsia"/>
          <w:szCs w:val="24"/>
          <w:lang w:eastAsia="ja-JP" w:bidi="he-IL"/>
        </w:rPr>
        <w:t xml:space="preserve">, </w:t>
      </w:r>
      <w:r>
        <w:rPr>
          <w:szCs w:val="24"/>
          <w:lang w:eastAsia="ja-JP" w:bidi="he-IL"/>
        </w:rPr>
        <w:t xml:space="preserve">“Technology trends of active services in the band above 275 GHz” (Document </w:t>
      </w:r>
      <w:hyperlink r:id="rId7" w:history="1">
        <w:r w:rsidRPr="00EC0AC9">
          <w:rPr>
            <w:rStyle w:val="Hyperlink"/>
            <w:szCs w:val="24"/>
            <w:lang w:eastAsia="ja-JP" w:bidi="he-IL"/>
          </w:rPr>
          <w:t>1A/197</w:t>
        </w:r>
      </w:hyperlink>
      <w:r>
        <w:rPr>
          <w:szCs w:val="24"/>
          <w:lang w:eastAsia="ja-JP" w:bidi="he-IL"/>
        </w:rPr>
        <w:t xml:space="preserve">). </w:t>
      </w:r>
    </w:p>
    <w:p w:rsidR="00450610" w:rsidRPr="003C2CA9" w:rsidRDefault="00450610" w:rsidP="005A79C5">
      <w:pPr>
        <w:rPr>
          <w:lang w:eastAsia="ja-JP"/>
        </w:rPr>
      </w:pPr>
      <w:r>
        <w:rPr>
          <w:lang w:eastAsia="ja-JP"/>
        </w:rPr>
        <w:t xml:space="preserve">As shown in the attachment, </w:t>
      </w:r>
      <w:r>
        <w:rPr>
          <w:rFonts w:hint="eastAsia"/>
          <w:lang w:eastAsia="ja-JP"/>
        </w:rPr>
        <w:t>WP 1A would like to inform IEEE how the comments and inputs from IEEE are incorporated in the draft new Report</w:t>
      </w:r>
      <w:r>
        <w:rPr>
          <w:lang w:eastAsia="ja-JP"/>
        </w:rPr>
        <w:t xml:space="preserve"> and sent it to Study Group 1 for its approval</w:t>
      </w:r>
      <w:r w:rsidR="005A79C5">
        <w:rPr>
          <w:rStyle w:val="FootnoteReference"/>
          <w:lang w:eastAsia="ja-JP"/>
        </w:rPr>
        <w:footnoteReference w:id="1"/>
      </w:r>
      <w:r>
        <w:rPr>
          <w:lang w:eastAsia="ja-JP"/>
        </w:rPr>
        <w:t>.</w:t>
      </w:r>
    </w:p>
    <w:p w:rsidR="00450610" w:rsidRDefault="00450610" w:rsidP="00450610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IEEE</w:t>
      </w:r>
      <w:r>
        <w:rPr>
          <w:rFonts w:eastAsiaTheme="minorEastAsia"/>
          <w:lang w:eastAsia="ja-JP"/>
        </w:rPr>
        <w:t xml:space="preserve"> suggested</w:t>
      </w:r>
      <w:r w:rsidRPr="00133295">
        <w:rPr>
          <w:rFonts w:eastAsiaTheme="minorEastAsia"/>
          <w:lang w:eastAsia="ja-JP"/>
        </w:rPr>
        <w:t xml:space="preserve"> that the </w:t>
      </w:r>
      <w:r>
        <w:rPr>
          <w:rFonts w:eastAsiaTheme="minorEastAsia"/>
          <w:lang w:eastAsia="ja-JP"/>
        </w:rPr>
        <w:t xml:space="preserve">band 275-325 GHz </w:t>
      </w:r>
      <w:r>
        <w:rPr>
          <w:rFonts w:eastAsiaTheme="minorEastAsia" w:hint="eastAsia"/>
          <w:lang w:eastAsia="ja-JP"/>
        </w:rPr>
        <w:t>is</w:t>
      </w:r>
      <w:r w:rsidRPr="00133295">
        <w:rPr>
          <w:rFonts w:eastAsiaTheme="minorEastAsia"/>
          <w:lang w:eastAsia="ja-JP"/>
        </w:rPr>
        <w:t xml:space="preserve"> suitable for t</w:t>
      </w:r>
      <w:r>
        <w:rPr>
          <w:rFonts w:eastAsiaTheme="minorEastAsia"/>
          <w:lang w:eastAsia="ja-JP"/>
        </w:rPr>
        <w:t xml:space="preserve">he use of terahertz applications in </w:t>
      </w:r>
      <w:r>
        <w:rPr>
          <w:rFonts w:eastAsiaTheme="minorEastAsia" w:hint="eastAsia"/>
          <w:lang w:eastAsia="ja-JP"/>
        </w:rPr>
        <w:t xml:space="preserve">the </w:t>
      </w:r>
      <w:r>
        <w:rPr>
          <w:rFonts w:eastAsiaTheme="minorEastAsia"/>
          <w:lang w:eastAsia="ja-JP"/>
        </w:rPr>
        <w:t xml:space="preserve">fixed </w:t>
      </w:r>
      <w:r w:rsidRPr="00133295">
        <w:rPr>
          <w:rFonts w:eastAsiaTheme="minorEastAsia"/>
          <w:lang w:eastAsia="ja-JP"/>
        </w:rPr>
        <w:t xml:space="preserve">and </w:t>
      </w:r>
      <w:r>
        <w:rPr>
          <w:rFonts w:eastAsiaTheme="minorEastAsia"/>
          <w:lang w:eastAsia="ja-JP"/>
        </w:rPr>
        <w:t>land mobile services</w:t>
      </w:r>
      <w:r w:rsidRPr="00133295">
        <w:rPr>
          <w:rFonts w:eastAsiaTheme="minorEastAsia"/>
          <w:lang w:eastAsia="ja-JP"/>
        </w:rPr>
        <w:t xml:space="preserve"> considering the attenuation characteristics which have specific resonant attenuations by oxygen and water vapour and the progress of technology in these </w:t>
      </w:r>
      <w:r>
        <w:rPr>
          <w:rFonts w:eastAsiaTheme="minorEastAsia"/>
          <w:lang w:eastAsia="ja-JP"/>
        </w:rPr>
        <w:t>band</w:t>
      </w:r>
      <w:r w:rsidRPr="00133295">
        <w:rPr>
          <w:rFonts w:eastAsiaTheme="minorEastAsia"/>
          <w:lang w:eastAsia="ja-JP"/>
        </w:rPr>
        <w:t>s.</w:t>
      </w:r>
      <w:r>
        <w:rPr>
          <w:rFonts w:eastAsiaTheme="minorEastAsia"/>
          <w:lang w:eastAsia="ja-JP"/>
        </w:rPr>
        <w:t xml:space="preserve"> Since the bands </w:t>
      </w:r>
      <w:r w:rsidRPr="00133295">
        <w:rPr>
          <w:rFonts w:eastAsiaTheme="minorEastAsia"/>
          <w:lang w:eastAsia="ja-JP"/>
        </w:rPr>
        <w:t>275-325 GHz</w:t>
      </w:r>
      <w:r>
        <w:rPr>
          <w:rFonts w:eastAsiaTheme="minorEastAsia"/>
          <w:lang w:eastAsia="ja-JP"/>
        </w:rPr>
        <w:t xml:space="preserve"> are identified for the passive services by No. </w:t>
      </w:r>
      <w:r w:rsidRPr="0080042C">
        <w:rPr>
          <w:rFonts w:eastAsiaTheme="minorEastAsia"/>
          <w:b/>
          <w:bCs/>
          <w:lang w:eastAsia="ja-JP"/>
        </w:rPr>
        <w:t>5.5</w:t>
      </w:r>
      <w:r w:rsidRPr="0080042C">
        <w:rPr>
          <w:rFonts w:eastAsiaTheme="minorEastAsia" w:hint="eastAsia"/>
          <w:b/>
          <w:bCs/>
          <w:lang w:eastAsia="ja-JP"/>
        </w:rPr>
        <w:t>6</w:t>
      </w:r>
      <w:r w:rsidRPr="0080042C">
        <w:rPr>
          <w:rFonts w:eastAsiaTheme="minorEastAsia"/>
          <w:b/>
          <w:bCs/>
          <w:lang w:eastAsia="ja-JP"/>
        </w:rPr>
        <w:t xml:space="preserve">5 </w:t>
      </w:r>
      <w:r>
        <w:rPr>
          <w:rFonts w:eastAsiaTheme="minorEastAsia"/>
          <w:lang w:eastAsia="ja-JP"/>
        </w:rPr>
        <w:t>of the Radio Regulations (RR), the studies are needed to review RR No.</w:t>
      </w:r>
      <w:r w:rsidR="0080042C">
        <w:rPr>
          <w:rFonts w:eastAsiaTheme="minorEastAsia"/>
          <w:lang w:eastAsia="ja-JP"/>
        </w:rPr>
        <w:t xml:space="preserve"> </w:t>
      </w:r>
      <w:r w:rsidRPr="0080042C">
        <w:rPr>
          <w:rFonts w:eastAsiaTheme="minorEastAsia"/>
          <w:b/>
          <w:bCs/>
          <w:lang w:eastAsia="ja-JP"/>
        </w:rPr>
        <w:t>5.5</w:t>
      </w:r>
      <w:r w:rsidRPr="0080042C">
        <w:rPr>
          <w:rFonts w:eastAsiaTheme="minorEastAsia" w:hint="eastAsia"/>
          <w:b/>
          <w:bCs/>
          <w:lang w:eastAsia="ja-JP"/>
        </w:rPr>
        <w:t>6</w:t>
      </w:r>
      <w:r w:rsidRPr="0080042C">
        <w:rPr>
          <w:rFonts w:eastAsiaTheme="minorEastAsia"/>
          <w:b/>
          <w:bCs/>
          <w:lang w:eastAsia="ja-JP"/>
        </w:rPr>
        <w:t>5</w:t>
      </w:r>
      <w:r>
        <w:rPr>
          <w:rFonts w:eastAsiaTheme="minorEastAsia"/>
          <w:lang w:eastAsia="ja-JP"/>
        </w:rPr>
        <w:t xml:space="preserve"> for use of these bands by active services in the future. </w:t>
      </w:r>
    </w:p>
    <w:p w:rsidR="00450610" w:rsidRDefault="00450610" w:rsidP="00450610">
      <w:pPr>
        <w:rPr>
          <w:rFonts w:eastAsiaTheme="minorEastAsia"/>
          <w:lang w:eastAsia="ja-JP"/>
        </w:rPr>
      </w:pPr>
      <w:r>
        <w:rPr>
          <w:rFonts w:hint="eastAsia"/>
          <w:lang w:eastAsia="ja-JP"/>
        </w:rPr>
        <w:t>IEE</w:t>
      </w:r>
      <w:r>
        <w:rPr>
          <w:lang w:eastAsia="ja-JP"/>
        </w:rPr>
        <w:t xml:space="preserve">E is invited to provide information on </w:t>
      </w:r>
      <w:r>
        <w:rPr>
          <w:rFonts w:eastAsiaTheme="minorEastAsia"/>
          <w:lang w:eastAsia="ja-JP"/>
        </w:rPr>
        <w:t xml:space="preserve">spectrum requirements </w:t>
      </w:r>
      <w:r>
        <w:rPr>
          <w:rFonts w:eastAsiaTheme="minorEastAsia" w:hint="eastAsia"/>
          <w:lang w:eastAsia="ja-JP"/>
        </w:rPr>
        <w:t>and technical and operational characteristics of their systems operating in</w:t>
      </w:r>
      <w:r>
        <w:rPr>
          <w:rFonts w:eastAsiaTheme="minorEastAsia"/>
          <w:lang w:eastAsia="ja-JP"/>
        </w:rPr>
        <w:t xml:space="preserve"> these bands </w:t>
      </w:r>
      <w:r>
        <w:rPr>
          <w:rFonts w:eastAsiaTheme="minorEastAsia" w:hint="eastAsia"/>
          <w:lang w:eastAsia="ja-JP"/>
        </w:rPr>
        <w:t>or</w:t>
      </w:r>
      <w:r>
        <w:rPr>
          <w:rFonts w:eastAsiaTheme="minorEastAsia"/>
          <w:lang w:eastAsia="ja-JP"/>
        </w:rPr>
        <w:t xml:space="preserve"> other bands for sharing studies </w:t>
      </w:r>
      <w:r>
        <w:rPr>
          <w:szCs w:val="24"/>
          <w:lang w:eastAsia="ja-JP" w:bidi="he-IL"/>
        </w:rPr>
        <w:t>to Working Parties 5A and 5C</w:t>
      </w:r>
      <w:r>
        <w:rPr>
          <w:rFonts w:eastAsiaTheme="minorEastAsia"/>
          <w:lang w:eastAsia="ja-JP"/>
        </w:rPr>
        <w:t>.</w:t>
      </w:r>
    </w:p>
    <w:p w:rsidR="00450610" w:rsidRDefault="00450610" w:rsidP="00450610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WP 1A would also like to inform that since the band 252-275 GHz is also allocated to the mobile and fixed services, the additional contiguous bandwidth of 23 GHz could be utilized for terahertz communications discussed within IEEE 802 group.</w:t>
      </w:r>
    </w:p>
    <w:p w:rsidR="0004606D" w:rsidRDefault="0004606D" w:rsidP="0080042C">
      <w:pPr>
        <w:pStyle w:val="Reasons"/>
        <w:spacing w:after="720"/>
        <w:rPr>
          <w:lang w:eastAsia="ja-JP"/>
        </w:rPr>
      </w:pPr>
      <w:r>
        <w:rPr>
          <w:lang w:eastAsia="ja-JP"/>
        </w:rPr>
        <w:br w:type="page"/>
      </w:r>
    </w:p>
    <w:p w:rsidR="00450610" w:rsidRPr="00CE2D5A" w:rsidRDefault="00450610" w:rsidP="0080042C">
      <w:pPr>
        <w:pStyle w:val="Reasons"/>
        <w:spacing w:after="720"/>
        <w:rPr>
          <w:lang w:eastAsia="ja-JP"/>
        </w:rPr>
      </w:pPr>
      <w:r>
        <w:rPr>
          <w:rFonts w:hint="eastAsia"/>
          <w:lang w:eastAsia="ja-JP"/>
        </w:rPr>
        <w:lastRenderedPageBreak/>
        <w:t>WP 1A would like to keep communicating with IEEE on the technology development in the band above 275 GHz.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64323" w:rsidTr="004C1DC5">
        <w:tc>
          <w:tcPr>
            <w:tcW w:w="9629" w:type="dxa"/>
            <w:gridSpan w:val="2"/>
          </w:tcPr>
          <w:p w:rsidR="00364323" w:rsidRDefault="00364323" w:rsidP="004C1DC5">
            <w:pPr>
              <w:rPr>
                <w:lang w:eastAsia="ja-JP"/>
              </w:rPr>
            </w:pPr>
            <w:r w:rsidRPr="0094266C">
              <w:rPr>
                <w:rFonts w:hint="eastAsia"/>
                <w:b/>
                <w:lang w:eastAsia="ja-JP"/>
              </w:rPr>
              <w:t>Status</w:t>
            </w:r>
            <w:r>
              <w:rPr>
                <w:rFonts w:hint="eastAsia"/>
                <w:lang w:eastAsia="ja-JP"/>
              </w:rPr>
              <w:t>: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For </w:t>
            </w:r>
            <w:r>
              <w:rPr>
                <w:lang w:eastAsia="ja-JP"/>
              </w:rPr>
              <w:t>information and action as appropriate</w:t>
            </w:r>
          </w:p>
        </w:tc>
      </w:tr>
      <w:tr w:rsidR="00364323" w:rsidTr="0051332B">
        <w:tc>
          <w:tcPr>
            <w:tcW w:w="9629" w:type="dxa"/>
            <w:gridSpan w:val="2"/>
          </w:tcPr>
          <w:p w:rsidR="00364323" w:rsidRDefault="00364323" w:rsidP="00364323">
            <w:pPr>
              <w:rPr>
                <w:lang w:eastAsia="ja-JP"/>
              </w:rPr>
            </w:pPr>
            <w:r>
              <w:rPr>
                <w:b/>
                <w:lang w:eastAsia="ja-JP"/>
              </w:rPr>
              <w:t>Deadline</w:t>
            </w:r>
            <w:r>
              <w:rPr>
                <w:rFonts w:hint="eastAsia"/>
                <w:lang w:eastAsia="ja-JP"/>
              </w:rPr>
              <w:t>:</w:t>
            </w:r>
            <w:r>
              <w:rPr>
                <w:lang w:eastAsia="ja-JP"/>
              </w:rPr>
              <w:tab/>
            </w:r>
            <w:r w:rsidR="00576FFE">
              <w:rPr>
                <w:lang w:eastAsia="ja-JP"/>
              </w:rPr>
              <w:t>Preferably prior the planned June 2016 meeting of WP 1A</w:t>
            </w:r>
          </w:p>
        </w:tc>
      </w:tr>
      <w:tr w:rsidR="00450610" w:rsidTr="00895678">
        <w:tc>
          <w:tcPr>
            <w:tcW w:w="4814" w:type="dxa"/>
          </w:tcPr>
          <w:p w:rsidR="00450610" w:rsidRDefault="00450610" w:rsidP="00895678">
            <w:pPr>
              <w:rPr>
                <w:lang w:eastAsia="ja-JP"/>
              </w:rPr>
            </w:pPr>
            <w:r w:rsidRPr="00FC2A30">
              <w:rPr>
                <w:rFonts w:hint="eastAsia"/>
                <w:b/>
                <w:lang w:val="en-US" w:eastAsia="ja-JP"/>
              </w:rPr>
              <w:t>Contact</w:t>
            </w:r>
            <w:r w:rsidRPr="00FC2A30">
              <w:rPr>
                <w:rFonts w:hint="eastAsia"/>
                <w:lang w:val="en-US" w:eastAsia="ja-JP"/>
              </w:rPr>
              <w:t>:</w:t>
            </w:r>
            <w:r w:rsidRPr="00FC2A30">
              <w:rPr>
                <w:lang w:val="en-US" w:eastAsia="ja-JP"/>
              </w:rPr>
              <w:tab/>
            </w:r>
            <w:r>
              <w:rPr>
                <w:rFonts w:hint="eastAsia"/>
                <w:lang w:val="en-US" w:eastAsia="ja-JP"/>
              </w:rPr>
              <w:t>Yumi Ueda</w:t>
            </w:r>
          </w:p>
        </w:tc>
        <w:tc>
          <w:tcPr>
            <w:tcW w:w="4815" w:type="dxa"/>
          </w:tcPr>
          <w:p w:rsidR="00450610" w:rsidRPr="00B82699" w:rsidRDefault="00450610" w:rsidP="00895678">
            <w:pPr>
              <w:rPr>
                <w:lang w:val="en-US" w:eastAsia="ja-JP"/>
              </w:rPr>
            </w:pPr>
            <w:r w:rsidRPr="00FC2A30">
              <w:rPr>
                <w:b/>
                <w:lang w:val="en-US"/>
              </w:rPr>
              <w:t>E-mail:</w:t>
            </w:r>
            <w:r>
              <w:rPr>
                <w:bCs/>
                <w:lang w:val="en-US"/>
              </w:rPr>
              <w:tab/>
            </w:r>
            <w:hyperlink r:id="rId8" w:history="1">
              <w:r w:rsidR="0080042C" w:rsidRPr="00E760FA">
                <w:rPr>
                  <w:rStyle w:val="Hyperlink"/>
                  <w:rFonts w:hint="eastAsia"/>
                  <w:bCs/>
                  <w:lang w:val="en-US" w:eastAsia="ja-JP"/>
                </w:rPr>
                <w:t>ueda@nict.go.jp</w:t>
              </w:r>
            </w:hyperlink>
            <w:r w:rsidR="0080042C">
              <w:rPr>
                <w:bCs/>
                <w:lang w:val="en-US" w:eastAsia="ja-JP"/>
              </w:rPr>
              <w:t xml:space="preserve"> </w:t>
            </w:r>
          </w:p>
        </w:tc>
      </w:tr>
    </w:tbl>
    <w:p w:rsidR="00450610" w:rsidRDefault="00450610" w:rsidP="0038769B">
      <w:pPr>
        <w:tabs>
          <w:tab w:val="clear" w:pos="1871"/>
          <w:tab w:val="left" w:pos="1395"/>
        </w:tabs>
        <w:rPr>
          <w:szCs w:val="24"/>
          <w:lang w:eastAsia="ja-JP"/>
        </w:rPr>
      </w:pPr>
    </w:p>
    <w:p w:rsidR="000069D4" w:rsidRPr="0080042C" w:rsidRDefault="00450610" w:rsidP="008004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80"/>
        <w:jc w:val="center"/>
        <w:textAlignment w:val="auto"/>
        <w:rPr>
          <w:lang w:eastAsia="ja-JP"/>
        </w:rPr>
      </w:pPr>
      <w:r>
        <w:t>______________</w:t>
      </w:r>
    </w:p>
    <w:sectPr w:rsidR="000069D4" w:rsidRPr="0080042C" w:rsidSect="00D02712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79" w:rsidRDefault="00866E79">
      <w:r>
        <w:separator/>
      </w:r>
    </w:p>
  </w:endnote>
  <w:endnote w:type="continuationSeparator" w:id="0">
    <w:p w:rsidR="00866E79" w:rsidRDefault="0086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79" w:rsidRDefault="00866E79">
      <w:r>
        <w:t>____________________</w:t>
      </w:r>
    </w:p>
  </w:footnote>
  <w:footnote w:type="continuationSeparator" w:id="0">
    <w:p w:rsidR="00866E79" w:rsidRDefault="00866E79">
      <w:r>
        <w:continuationSeparator/>
      </w:r>
    </w:p>
  </w:footnote>
  <w:footnote w:id="1">
    <w:p w:rsidR="005A79C5" w:rsidRDefault="005A79C5" w:rsidP="005A79C5">
      <w:pPr>
        <w:pStyle w:val="FootnoteText"/>
        <w:spacing w:after="120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B366C8">
        <w:rPr>
          <w:szCs w:val="24"/>
          <w:u w:val="single"/>
        </w:rPr>
        <w:t>Note by the secretariat</w:t>
      </w:r>
      <w:r w:rsidRPr="00B366C8">
        <w:rPr>
          <w:szCs w:val="24"/>
        </w:rPr>
        <w:t>: the Report was approved by Study Group 1 at its June 2015 meeting as Report ITU-R SM.2352-0 with the title “Technology trends of active services in the frequency range 275-3 000 GHz” (see Document </w:t>
      </w:r>
      <w:hyperlink r:id="rId1" w:history="1">
        <w:r w:rsidRPr="00B366C8">
          <w:rPr>
            <w:rStyle w:val="Hyperlink"/>
            <w:szCs w:val="24"/>
          </w:rPr>
          <w:t>1/147(Rev.1)</w:t>
        </w:r>
      </w:hyperlink>
      <w:r w:rsidRPr="00B366C8">
        <w:rPr>
          <w:szCs w:val="24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3B3233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10"/>
    <w:rsid w:val="000069D4"/>
    <w:rsid w:val="0001336E"/>
    <w:rsid w:val="0001365E"/>
    <w:rsid w:val="000174AD"/>
    <w:rsid w:val="0004606D"/>
    <w:rsid w:val="000A7D55"/>
    <w:rsid w:val="000C2E8E"/>
    <w:rsid w:val="000E0E7C"/>
    <w:rsid w:val="000F1B4B"/>
    <w:rsid w:val="0012744F"/>
    <w:rsid w:val="00132A82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63AAE"/>
    <w:rsid w:val="00364323"/>
    <w:rsid w:val="00386A9D"/>
    <w:rsid w:val="00391081"/>
    <w:rsid w:val="003B2789"/>
    <w:rsid w:val="003B3233"/>
    <w:rsid w:val="003C13CE"/>
    <w:rsid w:val="003C27CE"/>
    <w:rsid w:val="003E2518"/>
    <w:rsid w:val="003E7CEF"/>
    <w:rsid w:val="00450610"/>
    <w:rsid w:val="004B1EF7"/>
    <w:rsid w:val="004B3FAD"/>
    <w:rsid w:val="00501DCA"/>
    <w:rsid w:val="00513A47"/>
    <w:rsid w:val="005408DF"/>
    <w:rsid w:val="00573344"/>
    <w:rsid w:val="00576FFE"/>
    <w:rsid w:val="00583F9B"/>
    <w:rsid w:val="005A79C5"/>
    <w:rsid w:val="005E5C10"/>
    <w:rsid w:val="005F2C78"/>
    <w:rsid w:val="006144E4"/>
    <w:rsid w:val="00650299"/>
    <w:rsid w:val="00655FC5"/>
    <w:rsid w:val="006F1032"/>
    <w:rsid w:val="0080042C"/>
    <w:rsid w:val="00814E0A"/>
    <w:rsid w:val="00822581"/>
    <w:rsid w:val="008309DD"/>
    <w:rsid w:val="0083227A"/>
    <w:rsid w:val="00866900"/>
    <w:rsid w:val="00866E79"/>
    <w:rsid w:val="00881BA1"/>
    <w:rsid w:val="0088287A"/>
    <w:rsid w:val="008C26B8"/>
    <w:rsid w:val="008F208F"/>
    <w:rsid w:val="0091524C"/>
    <w:rsid w:val="00982084"/>
    <w:rsid w:val="00995963"/>
    <w:rsid w:val="009B61EB"/>
    <w:rsid w:val="009C2064"/>
    <w:rsid w:val="009D1697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31937"/>
    <w:rsid w:val="00C57A91"/>
    <w:rsid w:val="00CC01C2"/>
    <w:rsid w:val="00CF21F2"/>
    <w:rsid w:val="00D02712"/>
    <w:rsid w:val="00D039DA"/>
    <w:rsid w:val="00D214D0"/>
    <w:rsid w:val="00D6546B"/>
    <w:rsid w:val="00DD4BED"/>
    <w:rsid w:val="00DE39F0"/>
    <w:rsid w:val="00DF0AF3"/>
    <w:rsid w:val="00DF7E9F"/>
    <w:rsid w:val="00E27C2A"/>
    <w:rsid w:val="00E27D7E"/>
    <w:rsid w:val="00E42E13"/>
    <w:rsid w:val="00E56D5C"/>
    <w:rsid w:val="00E612F8"/>
    <w:rsid w:val="00E6257C"/>
    <w:rsid w:val="00E63C59"/>
    <w:rsid w:val="00F23985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7D3DB3-9979-4CBF-A2D0-6ED879C7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450610"/>
    <w:rPr>
      <w:rFonts w:cs="Times New Roman"/>
      <w:color w:val="0000FF"/>
      <w:u w:val="single"/>
    </w:rPr>
  </w:style>
  <w:style w:type="character" w:customStyle="1" w:styleId="RecNoChar">
    <w:name w:val="Rec_No Char"/>
    <w:basedOn w:val="DefaultParagraphFont"/>
    <w:link w:val="RecNo"/>
    <w:rsid w:val="00450610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450610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har">
    <w:name w:val="Source Char"/>
    <w:basedOn w:val="DefaultParagraphFont"/>
    <w:link w:val="Source"/>
    <w:locked/>
    <w:rsid w:val="00450610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da@nict.g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R12-WP1A-C-0197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2-SG01-C-0147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Mostyn-Jones, Elizabeth</cp:lastModifiedBy>
  <cp:revision>6</cp:revision>
  <cp:lastPrinted>2015-06-22T13:22:00Z</cp:lastPrinted>
  <dcterms:created xsi:type="dcterms:W3CDTF">2015-06-23T09:17:00Z</dcterms:created>
  <dcterms:modified xsi:type="dcterms:W3CDTF">2015-06-23T09:26:00Z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